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bidi w:val="0"/>
        <w:snapToGrid/>
        <w:spacing w:line="360" w:lineRule="auto"/>
        <w:jc w:val="both"/>
        <w:rPr>
          <w:rFonts w:hint="eastAsia" w:asciiTheme="minorEastAsia" w:hAnsiTheme="minorEastAsia" w:eastAsiaTheme="minorEastAsia" w:cstheme="minorEastAsia"/>
          <w:b/>
          <w:i w:val="0"/>
          <w:iCs w:val="0"/>
          <w:color w:val="auto"/>
          <w:sz w:val="52"/>
          <w:szCs w:val="52"/>
          <w:highlight w:val="none"/>
          <w:lang w:eastAsia="zh-CN"/>
        </w:rPr>
      </w:pPr>
    </w:p>
    <w:p>
      <w:pPr>
        <w:pStyle w:val="13"/>
        <w:spacing w:line="60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color w:val="auto"/>
          <w:sz w:val="48"/>
          <w:szCs w:val="48"/>
          <w:highlight w:val="none"/>
          <w:lang w:eastAsia="zh-CN"/>
        </w:rPr>
        <w:t>2023年浦江县农村污水处理设施建设改造项目（第三批）仙华街道、郑家坞镇设备采购</w:t>
      </w:r>
    </w:p>
    <w:p>
      <w:pPr>
        <w:rPr>
          <w:rFonts w:hint="eastAsia" w:asciiTheme="minorEastAsia" w:hAnsiTheme="minorEastAsia" w:eastAsiaTheme="minorEastAsia" w:cstheme="minorEastAsia"/>
          <w:color w:val="auto"/>
          <w:highlight w:val="none"/>
          <w:lang w:val="en-US" w:eastAsia="zh-CN"/>
        </w:rPr>
      </w:pPr>
    </w:p>
    <w:p>
      <w:pPr>
        <w:pStyle w:val="13"/>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pPr>
        <w:pStyle w:val="13"/>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pPr>
        <w:pStyle w:val="13"/>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i w:val="0"/>
          <w:iCs w:val="0"/>
          <w:color w:val="auto"/>
          <w:sz w:val="44"/>
          <w:szCs w:val="44"/>
          <w:highlight w:val="none"/>
          <w:lang w:val="en-US" w:eastAsia="zh-CN"/>
        </w:rPr>
        <w:t>公开招标采购</w:t>
      </w:r>
      <w:r>
        <w:rPr>
          <w:rFonts w:hint="eastAsia" w:asciiTheme="minorEastAsia" w:hAnsiTheme="minorEastAsia" w:eastAsiaTheme="minorEastAsia" w:cstheme="minorEastAsia"/>
          <w:b/>
          <w:i w:val="0"/>
          <w:iCs w:val="0"/>
          <w:color w:val="auto"/>
          <w:sz w:val="44"/>
          <w:szCs w:val="44"/>
          <w:highlight w:val="none"/>
          <w:lang w:eastAsia="zh-CN"/>
        </w:rPr>
        <w:t>文件</w:t>
      </w:r>
    </w:p>
    <w:p>
      <w:pPr>
        <w:spacing w:line="360" w:lineRule="auto"/>
        <w:jc w:val="center"/>
        <w:rPr>
          <w:rFonts w:hint="default" w:asciiTheme="minorEastAsia" w:hAnsiTheme="minorEastAsia" w:eastAsiaTheme="minorEastAsia" w:cstheme="minorEastAsia"/>
          <w:b/>
          <w:color w:val="auto"/>
          <w:sz w:val="40"/>
          <w:szCs w:val="40"/>
          <w:highlight w:val="none"/>
          <w:lang w:val="en-US" w:eastAsia="zh-CN"/>
        </w:rPr>
      </w:pPr>
      <w:r>
        <w:rPr>
          <w:rFonts w:hint="eastAsia" w:asciiTheme="minorEastAsia" w:hAnsiTheme="minorEastAsia" w:eastAsiaTheme="minorEastAsia" w:cstheme="minorEastAsia"/>
          <w:b/>
          <w:color w:val="auto"/>
          <w:sz w:val="40"/>
          <w:szCs w:val="40"/>
          <w:highlight w:val="none"/>
          <w:lang w:val="en-US" w:eastAsia="zh-CN"/>
        </w:rPr>
        <w:t xml:space="preserve"> </w:t>
      </w:r>
      <w:r>
        <w:rPr>
          <w:rFonts w:hint="eastAsia" w:asciiTheme="minorEastAsia" w:hAnsiTheme="minorEastAsia" w:eastAsiaTheme="minorEastAsia" w:cstheme="minorEastAsia"/>
          <w:b/>
          <w:color w:val="auto"/>
          <w:sz w:val="40"/>
          <w:szCs w:val="40"/>
          <w:highlight w:val="none"/>
          <w:lang w:val="en-US" w:eastAsia="zh-CN"/>
        </w:rPr>
        <w:tab/>
      </w:r>
    </w:p>
    <w:p>
      <w:pPr>
        <w:spacing w:line="360" w:lineRule="auto"/>
        <w:jc w:val="center"/>
        <w:rPr>
          <w:rFonts w:hint="eastAsia" w:asciiTheme="minorEastAsia" w:hAnsiTheme="minorEastAsia" w:eastAsiaTheme="minorEastAsia" w:cstheme="minorEastAsia"/>
          <w:b/>
          <w:color w:val="auto"/>
          <w:sz w:val="40"/>
          <w:szCs w:val="40"/>
          <w:highlight w:val="none"/>
        </w:rPr>
      </w:pPr>
      <w:r>
        <w:rPr>
          <w:rFonts w:hint="eastAsia" w:asciiTheme="minorEastAsia" w:hAnsiTheme="minorEastAsia" w:eastAsiaTheme="minorEastAsia" w:cstheme="minorEastAsia"/>
          <w:b/>
          <w:color w:val="auto"/>
          <w:sz w:val="40"/>
          <w:szCs w:val="40"/>
          <w:highlight w:val="none"/>
        </w:rPr>
        <w:t>（</w:t>
      </w:r>
      <w:r>
        <w:rPr>
          <w:rFonts w:hint="eastAsia" w:asciiTheme="minorEastAsia" w:hAnsiTheme="minorEastAsia" w:eastAsiaTheme="minorEastAsia" w:cstheme="minorEastAsia"/>
          <w:b/>
          <w:color w:val="auto"/>
          <w:sz w:val="44"/>
          <w:szCs w:val="44"/>
          <w:highlight w:val="none"/>
        </w:rPr>
        <w:t>电子招投标</w:t>
      </w:r>
      <w:r>
        <w:rPr>
          <w:rFonts w:hint="eastAsia" w:asciiTheme="minorEastAsia" w:hAnsiTheme="minorEastAsia" w:eastAsiaTheme="minorEastAsia" w:cstheme="minorEastAsia"/>
          <w:b/>
          <w:color w:val="auto"/>
          <w:sz w:val="40"/>
          <w:szCs w:val="40"/>
          <w:highlight w:val="none"/>
        </w:rPr>
        <w:t>）</w:t>
      </w:r>
    </w:p>
    <w:p>
      <w:pPr>
        <w:pStyle w:val="6"/>
        <w:ind w:left="0" w:leftChars="0" w:firstLine="0" w:firstLineChars="0"/>
        <w:rPr>
          <w:rFonts w:hint="eastAsia" w:asciiTheme="minorEastAsia" w:hAnsiTheme="minorEastAsia" w:eastAsiaTheme="minorEastAsia" w:cstheme="minorEastAsia"/>
          <w:b/>
          <w:color w:val="auto"/>
          <w:sz w:val="40"/>
          <w:szCs w:val="40"/>
          <w:highlight w:val="none"/>
          <w:lang w:eastAsia="zh-CN"/>
        </w:rPr>
      </w:pPr>
    </w:p>
    <w:tbl>
      <w:tblPr>
        <w:tblStyle w:val="23"/>
        <w:tblpPr w:leftFromText="180" w:rightFromText="180" w:vertAnchor="text" w:horzAnchor="page" w:tblpX="3479" w:tblpY="648"/>
        <w:tblOverlap w:val="never"/>
        <w:tblW w:w="5596" w:type="dxa"/>
        <w:tblInd w:w="0" w:type="dxa"/>
        <w:tblLayout w:type="fixed"/>
        <w:tblCellMar>
          <w:top w:w="0" w:type="dxa"/>
          <w:left w:w="108" w:type="dxa"/>
          <w:bottom w:w="0" w:type="dxa"/>
          <w:right w:w="108" w:type="dxa"/>
        </w:tblCellMar>
      </w:tblPr>
      <w:tblGrid>
        <w:gridCol w:w="1755"/>
        <w:gridCol w:w="3841"/>
      </w:tblGrid>
      <w:tr>
        <w:tblPrEx>
          <w:tblCellMar>
            <w:top w:w="0" w:type="dxa"/>
            <w:left w:w="108" w:type="dxa"/>
            <w:bottom w:w="0" w:type="dxa"/>
            <w:right w:w="108" w:type="dxa"/>
          </w:tblCellMar>
        </w:tblPrEx>
        <w:trPr>
          <w:trHeight w:val="936" w:hRule="atLeast"/>
        </w:trPr>
        <w:tc>
          <w:tcPr>
            <w:tcW w:w="1755" w:type="dxa"/>
            <w:noWrap w:val="0"/>
            <w:vAlign w:val="center"/>
          </w:tcPr>
          <w:p>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eastAsia" w:asciiTheme="minorEastAsia" w:hAnsiTheme="minorEastAsia" w:eastAsiaTheme="minorEastAsia" w:cstheme="minorEastAsia"/>
                <w:i w:val="0"/>
                <w:iCs w:val="0"/>
                <w:color w:val="auto"/>
                <w:sz w:val="32"/>
                <w:szCs w:val="20"/>
                <w:highlight w:val="none"/>
                <w:shd w:val="clear" w:color="auto" w:fill="auto"/>
              </w:rPr>
            </w:pPr>
            <w:r>
              <w:rPr>
                <w:rFonts w:hint="eastAsia" w:asciiTheme="minorEastAsia" w:hAnsiTheme="minorEastAsia" w:eastAsiaTheme="minorEastAsia" w:cstheme="minorEastAsia"/>
                <w:i w:val="0"/>
                <w:iCs w:val="0"/>
                <w:color w:val="auto"/>
                <w:sz w:val="32"/>
                <w:szCs w:val="20"/>
                <w:highlight w:val="none"/>
                <w:shd w:val="clear" w:color="auto" w:fill="auto"/>
                <w:lang w:val="en-US" w:eastAsia="zh-CN"/>
              </w:rPr>
              <w:t>项目</w:t>
            </w:r>
            <w:r>
              <w:rPr>
                <w:rFonts w:hint="eastAsia" w:asciiTheme="minorEastAsia" w:hAnsiTheme="minorEastAsia" w:eastAsiaTheme="minorEastAsia" w:cstheme="minorEastAsia"/>
                <w:i w:val="0"/>
                <w:iCs w:val="0"/>
                <w:color w:val="auto"/>
                <w:sz w:val="32"/>
                <w:szCs w:val="20"/>
                <w:highlight w:val="none"/>
                <w:shd w:val="clear" w:color="auto" w:fill="auto"/>
              </w:rPr>
              <w:t>编号：</w:t>
            </w:r>
          </w:p>
        </w:tc>
        <w:tc>
          <w:tcPr>
            <w:tcW w:w="3841" w:type="dxa"/>
            <w:noWrap w:val="0"/>
            <w:vAlign w:val="center"/>
          </w:tcPr>
          <w:p>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eastAsia" w:asciiTheme="minorEastAsia" w:hAnsiTheme="minorEastAsia" w:eastAsiaTheme="minorEastAsia" w:cstheme="minorEastAsia"/>
                <w:i w:val="0"/>
                <w:iCs w:val="0"/>
                <w:color w:val="auto"/>
                <w:sz w:val="32"/>
                <w:szCs w:val="32"/>
                <w:highlight w:val="none"/>
                <w:shd w:val="clear" w:color="auto" w:fill="auto"/>
                <w:lang w:val="en-US" w:eastAsia="zh-CN"/>
              </w:rPr>
            </w:pPr>
            <w:r>
              <w:rPr>
                <w:rFonts w:hint="eastAsia" w:asciiTheme="minorEastAsia" w:hAnsiTheme="minorEastAsia" w:eastAsiaTheme="minorEastAsia" w:cstheme="minorEastAsia"/>
                <w:i w:val="0"/>
                <w:iCs w:val="0"/>
                <w:color w:val="auto"/>
                <w:sz w:val="32"/>
                <w:szCs w:val="32"/>
                <w:highlight w:val="none"/>
                <w:shd w:val="clear" w:color="auto" w:fill="auto"/>
                <w:lang w:val="en-US" w:eastAsia="zh-CN"/>
              </w:rPr>
              <w:t>ZJKXGK2070012023018</w:t>
            </w:r>
          </w:p>
        </w:tc>
      </w:tr>
    </w:tbl>
    <w:p>
      <w:pPr>
        <w:pStyle w:val="6"/>
        <w:rPr>
          <w:rFonts w:hint="eastAsia" w:asciiTheme="minorEastAsia" w:hAnsiTheme="minorEastAsia" w:eastAsiaTheme="minorEastAsia" w:cstheme="minorEastAsia"/>
          <w:color w:val="auto"/>
          <w:highlight w:val="none"/>
        </w:rPr>
      </w:pPr>
    </w:p>
    <w:p>
      <w:pPr>
        <w:pStyle w:val="6"/>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rPr>
          <w:rFonts w:hint="eastAsia" w:asciiTheme="minorEastAsia" w:hAnsiTheme="minorEastAsia" w:eastAsiaTheme="minorEastAsia" w:cstheme="minorEastAsia"/>
          <w:color w:val="auto"/>
          <w:highlight w:val="none"/>
        </w:rPr>
      </w:pPr>
    </w:p>
    <w:p>
      <w:pPr>
        <w:pStyle w:val="5"/>
        <w:ind w:left="0" w:leftChars="0" w:firstLine="0" w:firstLineChars="0"/>
        <w:rPr>
          <w:rFonts w:hint="eastAsia" w:asciiTheme="minorEastAsia" w:hAnsiTheme="minorEastAsia" w:eastAsiaTheme="minorEastAsia" w:cstheme="minorEastAsia"/>
          <w:color w:val="auto"/>
          <w:highlight w:val="none"/>
        </w:rPr>
      </w:pPr>
    </w:p>
    <w:p>
      <w:pPr>
        <w:pStyle w:val="6"/>
        <w:rPr>
          <w:rFonts w:hint="eastAsia" w:asciiTheme="minorEastAsia" w:hAnsiTheme="minorEastAsia" w:eastAsiaTheme="minorEastAsia" w:cstheme="minorEastAsia"/>
          <w:color w:val="auto"/>
          <w:highlight w:val="none"/>
        </w:rPr>
      </w:pPr>
    </w:p>
    <w:p>
      <w:pPr>
        <w:pStyle w:val="5"/>
        <w:rPr>
          <w:rFonts w:hint="eastAsia" w:asciiTheme="minorEastAsia" w:hAnsiTheme="minorEastAsia" w:eastAsiaTheme="minorEastAsia" w:cstheme="minorEastAsia"/>
          <w:color w:val="auto"/>
          <w:highlight w:val="none"/>
        </w:rPr>
      </w:pPr>
    </w:p>
    <w:p>
      <w:pPr>
        <w:pStyle w:val="5"/>
        <w:ind w:left="0" w:leftChars="0" w:firstLine="0" w:firstLineChars="0"/>
        <w:rPr>
          <w:rFonts w:hint="eastAsia"/>
          <w:color w:val="auto"/>
        </w:rPr>
      </w:pPr>
    </w:p>
    <w:p>
      <w:pPr>
        <w:pStyle w:val="5"/>
        <w:rPr>
          <w:rFonts w:hint="eastAsia" w:asciiTheme="minorEastAsia" w:hAnsiTheme="minorEastAsia" w:eastAsiaTheme="minorEastAsia" w:cstheme="minorEastAsia"/>
          <w:color w:val="auto"/>
          <w:highlight w:val="none"/>
        </w:rPr>
      </w:pPr>
    </w:p>
    <w:tbl>
      <w:tblPr>
        <w:tblStyle w:val="24"/>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85" w:type="dxa"/>
            <w:noWrap w:val="0"/>
            <w:vAlign w:val="top"/>
          </w:tcPr>
          <w:p>
            <w:pPr>
              <w:kinsoku/>
              <w:wordWrap/>
              <w:overflowPunct/>
              <w:topLinePunct w:val="0"/>
              <w:bidi w:val="0"/>
              <w:adjustRightInd w:val="0"/>
              <w:snapToGrid/>
              <w:spacing w:line="360" w:lineRule="auto"/>
              <w:jc w:val="center"/>
              <w:rPr>
                <w:rFonts w:hint="eastAsia" w:asciiTheme="minorEastAsia" w:hAnsiTheme="minorEastAsia" w:eastAsiaTheme="minorEastAsia" w:cstheme="minorEastAsia"/>
                <w:i w:val="0"/>
                <w:iCs w:val="0"/>
                <w:color w:val="auto"/>
                <w:sz w:val="24"/>
                <w:highlight w:val="none"/>
                <w:vertAlign w:val="baseline"/>
                <w:lang w:eastAsia="zh-CN"/>
              </w:rPr>
            </w:pPr>
            <w:r>
              <w:rPr>
                <w:rFonts w:hint="eastAsia" w:asciiTheme="minorEastAsia" w:hAnsiTheme="minorEastAsia" w:eastAsiaTheme="minorEastAsia" w:cstheme="minorEastAsia"/>
                <w:i w:val="0"/>
                <w:iCs w:val="0"/>
                <w:color w:val="auto"/>
                <w:sz w:val="32"/>
                <w:szCs w:val="32"/>
                <w:highlight w:val="none"/>
                <w:lang w:val="zh-CN" w:eastAsia="zh-CN"/>
              </w:rPr>
              <w:t>采</w:t>
            </w:r>
            <w:r>
              <w:rPr>
                <w:rFonts w:hint="eastAsia" w:asciiTheme="minorEastAsia" w:hAnsiTheme="minorEastAsia" w:eastAsiaTheme="minorEastAsia" w:cstheme="minorEastAsia"/>
                <w:i w:val="0"/>
                <w:iCs w:val="0"/>
                <w:color w:val="auto"/>
                <w:sz w:val="32"/>
                <w:szCs w:val="32"/>
                <w:highlight w:val="none"/>
                <w:lang w:val="en-US" w:eastAsia="zh-CN"/>
              </w:rPr>
              <w:t xml:space="preserve">   </w:t>
            </w:r>
            <w:r>
              <w:rPr>
                <w:rFonts w:hint="eastAsia" w:asciiTheme="minorEastAsia" w:hAnsiTheme="minorEastAsia" w:eastAsiaTheme="minorEastAsia" w:cstheme="minorEastAsia"/>
                <w:i w:val="0"/>
                <w:iCs w:val="0"/>
                <w:color w:val="auto"/>
                <w:sz w:val="32"/>
                <w:szCs w:val="32"/>
                <w:highlight w:val="none"/>
                <w:lang w:val="zh-CN" w:eastAsia="zh-CN"/>
              </w:rPr>
              <w:t>购</w:t>
            </w:r>
            <w:r>
              <w:rPr>
                <w:rFonts w:hint="eastAsia" w:asciiTheme="minorEastAsia" w:hAnsiTheme="minorEastAsia" w:eastAsiaTheme="minorEastAsia" w:cstheme="minorEastAsia"/>
                <w:i w:val="0"/>
                <w:iCs w:val="0"/>
                <w:color w:val="auto"/>
                <w:sz w:val="32"/>
                <w:szCs w:val="32"/>
                <w:highlight w:val="none"/>
                <w:lang w:val="en-US" w:eastAsia="zh-CN"/>
              </w:rPr>
              <w:t xml:space="preserve">   </w:t>
            </w:r>
            <w:r>
              <w:rPr>
                <w:rFonts w:hint="eastAsia" w:asciiTheme="minorEastAsia" w:hAnsiTheme="minorEastAsia" w:eastAsiaTheme="minorEastAsia" w:cstheme="minorEastAsia"/>
                <w:i w:val="0"/>
                <w:iCs w:val="0"/>
                <w:color w:val="auto"/>
                <w:sz w:val="32"/>
                <w:szCs w:val="32"/>
                <w:highlight w:val="none"/>
                <w:lang w:val="zh-CN" w:eastAsia="zh-CN"/>
              </w:rPr>
              <w:t>人：</w:t>
            </w:r>
          </w:p>
        </w:tc>
        <w:tc>
          <w:tcPr>
            <w:tcW w:w="6270" w:type="dxa"/>
            <w:noWrap w:val="0"/>
            <w:vAlign w:val="top"/>
          </w:tcPr>
          <w:p>
            <w:pPr>
              <w:kinsoku/>
              <w:wordWrap/>
              <w:overflowPunct/>
              <w:topLinePunct w:val="0"/>
              <w:autoSpaceDE w:val="0"/>
              <w:autoSpaceDN w:val="0"/>
              <w:bidi w:val="0"/>
              <w:adjustRightInd w:val="0"/>
              <w:snapToGrid/>
              <w:spacing w:line="360" w:lineRule="auto"/>
              <w:jc w:val="left"/>
              <w:rPr>
                <w:rFonts w:hint="eastAsia" w:asciiTheme="minorEastAsia" w:hAnsiTheme="minorEastAsia" w:eastAsiaTheme="minorEastAsia" w:cstheme="minorEastAsia"/>
                <w:i w:val="0"/>
                <w:iCs w:val="0"/>
                <w:color w:val="auto"/>
                <w:sz w:val="24"/>
                <w:highlight w:val="none"/>
                <w:vertAlign w:val="baseline"/>
              </w:rPr>
            </w:pPr>
            <w:r>
              <w:rPr>
                <w:rFonts w:hint="eastAsia" w:asciiTheme="minorEastAsia" w:hAnsiTheme="minorEastAsia" w:eastAsiaTheme="minorEastAsia" w:cstheme="minorEastAsia"/>
                <w:i w:val="0"/>
                <w:iCs w:val="0"/>
                <w:color w:val="auto"/>
                <w:sz w:val="32"/>
                <w:szCs w:val="32"/>
                <w:highlight w:val="none"/>
                <w:lang w:val="zh-CN" w:eastAsia="zh-CN"/>
              </w:rPr>
              <w:t>浦江县住房和城乡建设局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noWrap w:val="0"/>
            <w:vAlign w:val="top"/>
          </w:tcPr>
          <w:p>
            <w:pPr>
              <w:kinsoku/>
              <w:wordWrap/>
              <w:overflowPunct/>
              <w:topLinePunct w:val="0"/>
              <w:bidi w:val="0"/>
              <w:adjustRightInd w:val="0"/>
              <w:snapToGrid/>
              <w:spacing w:line="360" w:lineRule="auto"/>
              <w:jc w:val="center"/>
              <w:rPr>
                <w:rFonts w:hint="eastAsia" w:asciiTheme="minorEastAsia" w:hAnsiTheme="minorEastAsia" w:eastAsiaTheme="minorEastAsia" w:cstheme="minorEastAsia"/>
                <w:i w:val="0"/>
                <w:iCs w:val="0"/>
                <w:color w:val="auto"/>
                <w:sz w:val="24"/>
                <w:highlight w:val="none"/>
                <w:vertAlign w:val="baseline"/>
                <w:lang w:eastAsia="zh-CN"/>
              </w:rPr>
            </w:pPr>
            <w:r>
              <w:rPr>
                <w:rFonts w:hint="eastAsia" w:asciiTheme="minorEastAsia" w:hAnsiTheme="minorEastAsia" w:eastAsiaTheme="minorEastAsia" w:cstheme="minorEastAsia"/>
                <w:i w:val="0"/>
                <w:iCs w:val="0"/>
                <w:color w:val="auto"/>
                <w:sz w:val="32"/>
                <w:szCs w:val="32"/>
                <w:highlight w:val="none"/>
                <w:lang w:val="zh-CN" w:eastAsia="zh-CN"/>
              </w:rPr>
              <w:t>采购代理机构：</w:t>
            </w:r>
          </w:p>
        </w:tc>
        <w:tc>
          <w:tcPr>
            <w:tcW w:w="6270" w:type="dxa"/>
            <w:noWrap w:val="0"/>
            <w:vAlign w:val="top"/>
          </w:tcPr>
          <w:p>
            <w:pPr>
              <w:kinsoku/>
              <w:wordWrap/>
              <w:overflowPunct/>
              <w:topLinePunct w:val="0"/>
              <w:autoSpaceDE w:val="0"/>
              <w:autoSpaceDN w:val="0"/>
              <w:bidi w:val="0"/>
              <w:adjustRightInd w:val="0"/>
              <w:snapToGrid/>
              <w:spacing w:line="360" w:lineRule="auto"/>
              <w:jc w:val="left"/>
              <w:rPr>
                <w:rFonts w:hint="eastAsia" w:asciiTheme="minorEastAsia" w:hAnsiTheme="minorEastAsia" w:eastAsiaTheme="minorEastAsia" w:cstheme="minorEastAsia"/>
                <w:i w:val="0"/>
                <w:iCs w:val="0"/>
                <w:color w:val="auto"/>
                <w:sz w:val="24"/>
                <w:highlight w:val="none"/>
                <w:vertAlign w:val="baseline"/>
              </w:rPr>
            </w:pPr>
            <w:r>
              <w:rPr>
                <w:rFonts w:hint="eastAsia" w:asciiTheme="minorEastAsia" w:hAnsiTheme="minorEastAsia" w:eastAsiaTheme="minorEastAsia" w:cstheme="minorEastAsia"/>
                <w:i w:val="0"/>
                <w:iCs w:val="0"/>
                <w:color w:val="auto"/>
                <w:sz w:val="32"/>
                <w:szCs w:val="32"/>
                <w:highlight w:val="none"/>
                <w:lang w:val="zh-CN"/>
              </w:rPr>
              <w:t>浙江科信联合工程项目管理咨询有限公司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noWrap w:val="0"/>
            <w:vAlign w:val="top"/>
          </w:tcPr>
          <w:p>
            <w:pPr>
              <w:kinsoku/>
              <w:wordWrap/>
              <w:overflowPunct/>
              <w:topLinePunct w:val="0"/>
              <w:autoSpaceDE w:val="0"/>
              <w:autoSpaceDN w:val="0"/>
              <w:bidi w:val="0"/>
              <w:adjustRightInd w:val="0"/>
              <w:snapToGrid/>
              <w:spacing w:line="360" w:lineRule="auto"/>
              <w:jc w:val="center"/>
              <w:rPr>
                <w:rFonts w:hint="eastAsia" w:asciiTheme="minorEastAsia" w:hAnsiTheme="minorEastAsia" w:eastAsiaTheme="minorEastAsia" w:cstheme="minorEastAsia"/>
                <w:i w:val="0"/>
                <w:iCs w:val="0"/>
                <w:color w:val="auto"/>
                <w:sz w:val="24"/>
                <w:highlight w:val="none"/>
                <w:vertAlign w:val="baseline"/>
              </w:rPr>
            </w:pPr>
            <w:r>
              <w:rPr>
                <w:rFonts w:hint="eastAsia" w:asciiTheme="minorEastAsia" w:hAnsiTheme="minorEastAsia" w:eastAsiaTheme="minorEastAsia" w:cstheme="minorEastAsia"/>
                <w:i w:val="0"/>
                <w:iCs w:val="0"/>
                <w:color w:val="auto"/>
                <w:sz w:val="32"/>
                <w:szCs w:val="32"/>
                <w:highlight w:val="none"/>
                <w:lang w:val="en-US" w:eastAsia="zh-CN"/>
              </w:rPr>
              <w:t>2023</w:t>
            </w:r>
            <w:r>
              <w:rPr>
                <w:rFonts w:hint="eastAsia" w:asciiTheme="minorEastAsia" w:hAnsiTheme="minorEastAsia" w:eastAsiaTheme="minorEastAsia" w:cstheme="minorEastAsia"/>
                <w:i w:val="0"/>
                <w:iCs w:val="0"/>
                <w:color w:val="auto"/>
                <w:sz w:val="32"/>
                <w:szCs w:val="32"/>
                <w:highlight w:val="none"/>
              </w:rPr>
              <w:t>年</w:t>
            </w:r>
            <w:r>
              <w:rPr>
                <w:rFonts w:hint="eastAsia" w:asciiTheme="minorEastAsia" w:hAnsiTheme="minorEastAsia" w:eastAsiaTheme="minorEastAsia" w:cstheme="minorEastAsia"/>
                <w:i w:val="0"/>
                <w:iCs w:val="0"/>
                <w:color w:val="auto"/>
                <w:sz w:val="32"/>
                <w:szCs w:val="32"/>
                <w:highlight w:val="none"/>
                <w:lang w:val="en-US" w:eastAsia="zh-CN"/>
              </w:rPr>
              <w:t>9</w:t>
            </w:r>
            <w:r>
              <w:rPr>
                <w:rFonts w:hint="eastAsia" w:asciiTheme="minorEastAsia" w:hAnsiTheme="minorEastAsia" w:eastAsiaTheme="minorEastAsia" w:cstheme="minorEastAsia"/>
                <w:i w:val="0"/>
                <w:iCs w:val="0"/>
                <w:color w:val="auto"/>
                <w:sz w:val="32"/>
                <w:szCs w:val="32"/>
                <w:highlight w:val="none"/>
              </w:rPr>
              <w:t>月</w:t>
            </w:r>
          </w:p>
        </w:tc>
      </w:tr>
    </w:tbl>
    <w:p>
      <w:pPr>
        <w:pStyle w:val="6"/>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6"/>
        <w:ind w:left="0" w:leftChars="0" w:firstLine="0" w:firstLineChars="0"/>
        <w:rPr>
          <w:rFonts w:hint="eastAsia" w:asciiTheme="minorEastAsia" w:hAnsiTheme="minorEastAsia" w:eastAsiaTheme="minorEastAsia" w:cstheme="minorEastAsia"/>
          <w:color w:val="auto"/>
          <w:highlight w:val="none"/>
        </w:rPr>
      </w:pPr>
    </w:p>
    <w:p>
      <w:pPr>
        <w:pStyle w:val="21"/>
        <w:rPr>
          <w:rFonts w:hint="eastAsia" w:asciiTheme="minorEastAsia" w:hAnsiTheme="minorEastAsia" w:eastAsiaTheme="minorEastAsia" w:cstheme="minorEastAsia"/>
          <w:color w:val="auto"/>
          <w:highlight w:val="none"/>
        </w:rPr>
      </w:pPr>
    </w:p>
    <w:p>
      <w:pPr>
        <w:adjustRightInd w:val="0"/>
        <w:spacing w:line="360" w:lineRule="auto"/>
        <w:jc w:val="both"/>
        <w:rPr>
          <w:rFonts w:hint="eastAsia" w:asciiTheme="minorEastAsia" w:hAnsiTheme="minorEastAsia" w:eastAsiaTheme="minorEastAsia" w:cstheme="minorEastAsia"/>
          <w:b/>
          <w:color w:val="auto"/>
          <w:sz w:val="48"/>
          <w:szCs w:val="48"/>
          <w:highlight w:val="none"/>
        </w:rPr>
      </w:pPr>
    </w:p>
    <w:p>
      <w:pPr>
        <w:adjustRightInd w:val="0"/>
        <w:spacing w:line="360" w:lineRule="auto"/>
        <w:jc w:val="center"/>
        <w:rPr>
          <w:rFonts w:hint="eastAsia" w:asciiTheme="minorEastAsia" w:hAnsiTheme="minorEastAsia" w:eastAsiaTheme="minorEastAsia" w:cstheme="minorEastAsia"/>
          <w:b/>
          <w:color w:val="auto"/>
          <w:sz w:val="48"/>
          <w:szCs w:val="48"/>
          <w:highlight w:val="none"/>
        </w:rPr>
      </w:pPr>
    </w:p>
    <w:p>
      <w:pPr>
        <w:adjustRightInd w:val="0"/>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pPr>
        <w:adjustRightInd w:val="0"/>
        <w:spacing w:line="360" w:lineRule="auto"/>
        <w:rPr>
          <w:rFonts w:hint="eastAsia" w:asciiTheme="minorEastAsia" w:hAnsiTheme="minorEastAsia" w:eastAsiaTheme="minorEastAsia" w:cstheme="minorEastAsia"/>
          <w:color w:val="auto"/>
          <w:sz w:val="32"/>
          <w:szCs w:val="32"/>
          <w:highlight w:val="none"/>
        </w:rPr>
      </w:pPr>
    </w:p>
    <w:p>
      <w:pPr>
        <w:adjustRightInd w:val="0"/>
        <w:spacing w:line="360" w:lineRule="auto"/>
        <w:rPr>
          <w:rFonts w:hint="eastAsia" w:asciiTheme="minorEastAsia" w:hAnsiTheme="minorEastAsia" w:eastAsiaTheme="minorEastAsia" w:cstheme="minorEastAsia"/>
          <w:color w:val="auto"/>
          <w:sz w:val="32"/>
          <w:szCs w:val="32"/>
          <w:highlight w:val="none"/>
        </w:rPr>
      </w:pPr>
    </w:p>
    <w:p>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公开招标公告</w:t>
      </w:r>
    </w:p>
    <w:p>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第三部分</w:t>
      </w:r>
      <w:r>
        <w:rPr>
          <w:rFonts w:hint="eastAsia" w:asciiTheme="minorEastAsia" w:hAnsiTheme="minorEastAsia" w:eastAsiaTheme="minorEastAsia" w:cstheme="minorEastAsia"/>
          <w:color w:val="auto"/>
          <w:sz w:val="32"/>
          <w:szCs w:val="32"/>
          <w:highlight w:val="none"/>
          <w:lang w:val="en-US" w:eastAsia="zh-CN"/>
        </w:rPr>
        <w:t xml:space="preserve">      采购需求</w:t>
      </w:r>
    </w:p>
    <w:p>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四</w:t>
      </w:r>
      <w:r>
        <w:rPr>
          <w:rFonts w:hint="eastAsia" w:asciiTheme="minorEastAsia" w:hAnsiTheme="minorEastAsia" w:eastAsiaTheme="minorEastAsia" w:cstheme="minorEastAsia"/>
          <w:color w:val="auto"/>
          <w:sz w:val="32"/>
          <w:szCs w:val="32"/>
          <w:highlight w:val="none"/>
        </w:rPr>
        <w:t>部分      评标办法</w:t>
      </w:r>
    </w:p>
    <w:p>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五</w:t>
      </w:r>
      <w:r>
        <w:rPr>
          <w:rFonts w:hint="eastAsia" w:asciiTheme="minorEastAsia" w:hAnsiTheme="minorEastAsia" w:eastAsiaTheme="minorEastAsia" w:cstheme="minorEastAsia"/>
          <w:color w:val="auto"/>
          <w:sz w:val="32"/>
          <w:szCs w:val="32"/>
          <w:highlight w:val="none"/>
        </w:rPr>
        <w:t>部分      拟签订的合同文本</w:t>
      </w:r>
    </w:p>
    <w:p>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六</w:t>
      </w:r>
      <w:r>
        <w:rPr>
          <w:rFonts w:hint="eastAsia" w:asciiTheme="minorEastAsia" w:hAnsiTheme="minorEastAsia" w:eastAsiaTheme="minorEastAsia" w:cstheme="minorEastAsia"/>
          <w:color w:val="auto"/>
          <w:sz w:val="32"/>
          <w:szCs w:val="32"/>
          <w:highlight w:val="none"/>
        </w:rPr>
        <w:t>部分      应提交的有关格式范例</w:t>
      </w:r>
    </w:p>
    <w:p>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七</w:t>
      </w:r>
      <w:r>
        <w:rPr>
          <w:rFonts w:hint="eastAsia" w:asciiTheme="minorEastAsia" w:hAnsiTheme="minorEastAsia" w:eastAsiaTheme="minorEastAsia" w:cstheme="minorEastAsia"/>
          <w:color w:val="auto"/>
          <w:sz w:val="32"/>
          <w:szCs w:val="32"/>
          <w:highlight w:val="none"/>
        </w:rPr>
        <w:t xml:space="preserve">部分      </w:t>
      </w:r>
      <w:r>
        <w:rPr>
          <w:rFonts w:hint="eastAsia" w:asciiTheme="minorEastAsia" w:hAnsiTheme="minorEastAsia" w:eastAsiaTheme="minorEastAsia" w:cstheme="minorEastAsia"/>
          <w:color w:val="auto"/>
          <w:sz w:val="32"/>
          <w:szCs w:val="32"/>
          <w:highlight w:val="none"/>
          <w:lang w:val="en-US" w:eastAsia="zh-CN"/>
        </w:rPr>
        <w:t>其他</w:t>
      </w:r>
    </w:p>
    <w:p>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  </w:t>
      </w:r>
    </w:p>
    <w:p>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br w:type="textWrapping"/>
      </w:r>
    </w:p>
    <w:p>
      <w:pPr>
        <w:pStyle w:val="21"/>
        <w:rPr>
          <w:rFonts w:hint="eastAsia" w:asciiTheme="minorEastAsia" w:hAnsiTheme="minorEastAsia" w:eastAsiaTheme="minorEastAsia" w:cstheme="minorEastAsia"/>
          <w:color w:val="auto"/>
          <w:sz w:val="32"/>
          <w:szCs w:val="32"/>
          <w:highlight w:val="none"/>
        </w:rPr>
      </w:pPr>
    </w:p>
    <w:p>
      <w:pPr>
        <w:rPr>
          <w:rFonts w:hint="eastAsia" w:asciiTheme="minorEastAsia" w:hAnsiTheme="minorEastAsia" w:eastAsiaTheme="minorEastAsia" w:cstheme="minorEastAsia"/>
          <w:color w:val="auto"/>
          <w:sz w:val="32"/>
          <w:szCs w:val="32"/>
          <w:highlight w:val="none"/>
        </w:rPr>
      </w:pPr>
    </w:p>
    <w:p>
      <w:pPr>
        <w:pStyle w:val="21"/>
        <w:rPr>
          <w:rFonts w:hint="eastAsia" w:asciiTheme="minorEastAsia" w:hAnsiTheme="minorEastAsia" w:eastAsiaTheme="minorEastAsia" w:cstheme="minorEastAsia"/>
          <w:color w:val="auto"/>
          <w:sz w:val="32"/>
          <w:szCs w:val="32"/>
          <w:highlight w:val="none"/>
        </w:rPr>
      </w:pPr>
    </w:p>
    <w:p>
      <w:pPr>
        <w:rPr>
          <w:rFonts w:hint="eastAsia" w:asciiTheme="minorEastAsia" w:hAnsiTheme="minorEastAsia" w:eastAsiaTheme="minorEastAsia" w:cstheme="minorEastAsia"/>
          <w:color w:val="auto"/>
          <w:sz w:val="32"/>
          <w:szCs w:val="32"/>
          <w:highlight w:val="none"/>
        </w:rPr>
      </w:pPr>
    </w:p>
    <w:p>
      <w:pPr>
        <w:pStyle w:val="21"/>
        <w:rPr>
          <w:rFonts w:hint="eastAsia" w:asciiTheme="minorEastAsia" w:hAnsiTheme="minorEastAsia" w:eastAsiaTheme="minorEastAsia" w:cstheme="minorEastAsia"/>
          <w:color w:val="auto"/>
          <w:sz w:val="32"/>
          <w:szCs w:val="32"/>
          <w:highlight w:val="none"/>
        </w:rPr>
      </w:pPr>
    </w:p>
    <w:p>
      <w:pPr>
        <w:adjustRightInd/>
        <w:spacing w:line="360" w:lineRule="auto"/>
        <w:jc w:val="both"/>
        <w:outlineLvl w:val="0"/>
        <w:rPr>
          <w:rFonts w:hint="eastAsia" w:asciiTheme="minorEastAsia" w:hAnsiTheme="minorEastAsia" w:eastAsiaTheme="minorEastAsia" w:cstheme="minorEastAsia"/>
          <w:b/>
          <w:color w:val="auto"/>
          <w:sz w:val="36"/>
          <w:szCs w:val="20"/>
          <w:highlight w:val="none"/>
        </w:rPr>
      </w:pPr>
    </w:p>
    <w:p>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p>
    <w:p>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p>
    <w:p>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第一部分</w:t>
      </w:r>
      <w:r>
        <w:rPr>
          <w:rFonts w:hint="eastAsia" w:asciiTheme="minorEastAsia" w:hAnsiTheme="minorEastAsia" w:eastAsiaTheme="minorEastAsia" w:cstheme="minorEastAsia"/>
          <w:b/>
          <w:color w:val="auto"/>
          <w:sz w:val="36"/>
          <w:szCs w:val="20"/>
          <w:highlight w:val="none"/>
          <w:lang w:val="en-US" w:eastAsia="zh-CN"/>
        </w:rPr>
        <w:t xml:space="preserve"> 公开招标公告</w:t>
      </w:r>
    </w:p>
    <w:tbl>
      <w:tblPr>
        <w:tblStyle w:val="24"/>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项目概况：</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single"/>
                <w:lang w:eastAsia="zh-CN"/>
              </w:rPr>
              <w:t>2023年浦江县农村污水处理设施建设改造项目（第三批）仙华街道、郑家坞镇设备采购</w:t>
            </w: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none"/>
              </w:rPr>
              <w:t>招标项目</w:t>
            </w:r>
            <w:r>
              <w:rPr>
                <w:rFonts w:hint="eastAsia" w:asciiTheme="minorEastAsia" w:hAnsiTheme="minorEastAsia" w:eastAsiaTheme="minorEastAsia" w:cstheme="minorEastAsia"/>
                <w:color w:val="auto"/>
                <w:kern w:val="0"/>
                <w:sz w:val="24"/>
                <w:szCs w:val="24"/>
                <w:highlight w:val="none"/>
              </w:rPr>
              <w:t>的潜在</w:t>
            </w:r>
            <w:r>
              <w:rPr>
                <w:rFonts w:hint="eastAsia" w:asciiTheme="minorEastAsia" w:hAnsiTheme="minorEastAsia" w:eastAsiaTheme="minorEastAsia" w:cstheme="minorEastAsia"/>
                <w:color w:val="auto"/>
                <w:kern w:val="0"/>
                <w:sz w:val="24"/>
                <w:szCs w:val="24"/>
                <w:highlight w:val="none"/>
                <w:lang w:val="en-US" w:eastAsia="zh-CN"/>
              </w:rPr>
              <w:t>投标人</w:t>
            </w:r>
            <w:r>
              <w:rPr>
                <w:rFonts w:hint="eastAsia" w:asciiTheme="minorEastAsia" w:hAnsiTheme="minorEastAsia" w:eastAsiaTheme="minorEastAsia" w:cstheme="minorEastAsia"/>
                <w:color w:val="auto"/>
                <w:kern w:val="0"/>
                <w:sz w:val="24"/>
                <w:szCs w:val="24"/>
                <w:highlight w:val="none"/>
              </w:rPr>
              <w:t>应在</w:t>
            </w:r>
            <w:r>
              <w:rPr>
                <w:rFonts w:hint="eastAsia" w:asciiTheme="minorEastAsia" w:hAnsiTheme="minorEastAsia" w:eastAsiaTheme="minorEastAsia" w:cstheme="minorEastAsia"/>
                <w:i w:val="0"/>
                <w:iCs w:val="0"/>
                <w:color w:val="auto"/>
                <w:kern w:val="0"/>
                <w:sz w:val="24"/>
                <w:szCs w:val="24"/>
                <w:highlight w:val="none"/>
                <w:u w:val="single"/>
              </w:rPr>
              <w:t>浙江政府采购网（https://zfcg.czt.zj.gov.cn/）</w:t>
            </w:r>
            <w:r>
              <w:rPr>
                <w:rFonts w:hint="eastAsia" w:asciiTheme="minorEastAsia" w:hAnsiTheme="minorEastAsia" w:eastAsiaTheme="minorEastAsia" w:cstheme="minorEastAsia"/>
                <w:color w:val="auto"/>
                <w:kern w:val="0"/>
                <w:sz w:val="24"/>
                <w:szCs w:val="24"/>
                <w:highlight w:val="none"/>
              </w:rPr>
              <w:t>获取（下载）招标文件，并于</w:t>
            </w:r>
            <w:r>
              <w:rPr>
                <w:rFonts w:hint="eastAsia" w:asciiTheme="minorEastAsia" w:hAnsiTheme="minorEastAsia" w:eastAsiaTheme="minorEastAsia" w:cstheme="minorEastAsia"/>
                <w:color w:val="auto"/>
                <w:kern w:val="0"/>
                <w:sz w:val="24"/>
                <w:szCs w:val="24"/>
                <w:highlight w:val="none"/>
                <w:u w:val="single"/>
                <w:lang w:eastAsia="zh-CN"/>
              </w:rPr>
              <w:t>2023年10月9日9时30分</w:t>
            </w:r>
            <w:r>
              <w:rPr>
                <w:rFonts w:hint="eastAsia" w:asciiTheme="minorEastAsia" w:hAnsiTheme="minorEastAsia" w:eastAsiaTheme="minorEastAsia" w:cstheme="minorEastAsia"/>
                <w:bCs/>
                <w:color w:val="auto"/>
                <w:kern w:val="0"/>
                <w:sz w:val="24"/>
                <w:szCs w:val="24"/>
                <w:highlight w:val="none"/>
                <w:u w:val="single"/>
              </w:rPr>
              <w:t>（</w:t>
            </w:r>
            <w:r>
              <w:rPr>
                <w:rFonts w:hint="eastAsia" w:asciiTheme="minorEastAsia" w:hAnsiTheme="minorEastAsia" w:eastAsiaTheme="minorEastAsia" w:cstheme="minorEastAsia"/>
                <w:bCs/>
                <w:color w:val="auto"/>
                <w:kern w:val="0"/>
                <w:sz w:val="24"/>
                <w:szCs w:val="24"/>
                <w:highlight w:val="none"/>
              </w:rPr>
              <w:t>北京时间）前</w:t>
            </w:r>
            <w:r>
              <w:rPr>
                <w:rFonts w:hint="eastAsia" w:asciiTheme="minorEastAsia" w:hAnsiTheme="minorEastAsia" w:eastAsiaTheme="minorEastAsia" w:cstheme="minorEastAsia"/>
                <w:bCs/>
                <w:color w:val="auto"/>
                <w:kern w:val="0"/>
                <w:sz w:val="24"/>
                <w:szCs w:val="24"/>
                <w:highlight w:val="none"/>
                <w:lang w:val="en-US" w:eastAsia="zh-CN"/>
              </w:rPr>
              <w:t>递交（上传）投标文件</w:t>
            </w:r>
            <w:r>
              <w:rPr>
                <w:rFonts w:hint="eastAsia" w:asciiTheme="minorEastAsia" w:hAnsiTheme="minorEastAsia" w:eastAsiaTheme="minorEastAsia" w:cstheme="minorEastAsia"/>
                <w:color w:val="auto"/>
                <w:kern w:val="0"/>
                <w:sz w:val="24"/>
                <w:szCs w:val="24"/>
                <w:highlight w:val="none"/>
              </w:rPr>
              <w:t>。</w:t>
            </w:r>
          </w:p>
        </w:tc>
      </w:tr>
    </w:tbl>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一、项目基本情况                                            </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项目编号：ZJKXGK2070012023018</w:t>
      </w:r>
      <w:r>
        <w:rPr>
          <w:rFonts w:hint="eastAsia" w:asciiTheme="minorEastAsia" w:hAnsiTheme="minorEastAsia" w:eastAsiaTheme="minorEastAsia" w:cstheme="minorEastAsia"/>
          <w:b/>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项目名称：</w:t>
      </w:r>
      <w:r>
        <w:rPr>
          <w:rFonts w:hint="eastAsia" w:asciiTheme="minorEastAsia" w:hAnsiTheme="minorEastAsia" w:eastAsiaTheme="minorEastAsia" w:cstheme="minorEastAsia"/>
          <w:b/>
          <w:color w:val="auto"/>
          <w:sz w:val="24"/>
          <w:szCs w:val="24"/>
          <w:highlight w:val="none"/>
          <w:lang w:eastAsia="zh-CN"/>
        </w:rPr>
        <w:t>2023年浦江县农村污水处理设施建设改造项目（第三批）仙华街道、郑家坞镇设备采购</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val="en-US" w:eastAsia="zh-CN"/>
        </w:rPr>
        <w:t>8680000</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最高限价（元）：</w:t>
      </w:r>
      <w:r>
        <w:rPr>
          <w:rFonts w:hint="eastAsia" w:asciiTheme="minorEastAsia" w:hAnsiTheme="minorEastAsia" w:eastAsiaTheme="minorEastAsia" w:cstheme="minorEastAsia"/>
          <w:b/>
          <w:color w:val="auto"/>
          <w:sz w:val="24"/>
          <w:szCs w:val="24"/>
          <w:highlight w:val="none"/>
          <w:lang w:eastAsia="zh-CN"/>
        </w:rPr>
        <w:t>8680000</w:t>
      </w:r>
    </w:p>
    <w:p>
      <w:pPr>
        <w:keepNext w:val="0"/>
        <w:keepLines w:val="0"/>
        <w:pageBreakBefore w:val="0"/>
        <w:widowControl/>
        <w:kinsoku/>
        <w:wordWrap/>
        <w:overflowPunct/>
        <w:topLinePunct w:val="0"/>
        <w:autoSpaceDE/>
        <w:autoSpaceDN/>
        <w:bidi w:val="0"/>
        <w:adjustRightInd w:val="0"/>
        <w:snapToGrid w:val="0"/>
        <w:spacing w:before="0" w:line="324"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采购需求：</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标项名称：2023年浦江县农村污水处理设施建设改造项目（第三批）仙华街道、郑家坞镇设备采购</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数量：1       </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eastAsia="zh-CN"/>
        </w:rPr>
        <w:t>8680000</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简要规格描述或项目基本概况介绍、用途：详见</w:t>
      </w:r>
      <w:r>
        <w:rPr>
          <w:rFonts w:hint="eastAsia" w:asciiTheme="minorEastAsia" w:hAnsiTheme="minorEastAsia" w:eastAsiaTheme="minorEastAsia" w:cstheme="minorEastAsia"/>
          <w:b/>
          <w:color w:val="auto"/>
          <w:sz w:val="24"/>
          <w:szCs w:val="24"/>
          <w:highlight w:val="none"/>
          <w:lang w:val="en-US" w:eastAsia="zh-CN"/>
        </w:rPr>
        <w:t>采购</w:t>
      </w:r>
      <w:r>
        <w:rPr>
          <w:rFonts w:hint="eastAsia" w:asciiTheme="minorEastAsia" w:hAnsiTheme="minorEastAsia" w:eastAsiaTheme="minorEastAsia" w:cstheme="minorEastAsia"/>
          <w:b/>
          <w:color w:val="auto"/>
          <w:sz w:val="24"/>
          <w:szCs w:val="24"/>
          <w:highlight w:val="none"/>
        </w:rPr>
        <w:t>文件</w:t>
      </w:r>
    </w:p>
    <w:p>
      <w:pPr>
        <w:keepNext w:val="0"/>
        <w:keepLines w:val="0"/>
        <w:pageBreakBefore w:val="0"/>
        <w:widowControl/>
        <w:kinsoku/>
        <w:wordWrap/>
        <w:overflowPunct/>
        <w:topLinePunct w:val="0"/>
        <w:autoSpaceDE/>
        <w:autoSpaceDN/>
        <w:bidi w:val="0"/>
        <w:adjustRightInd w:val="0"/>
        <w:snapToGrid w:val="0"/>
        <w:spacing w:before="0" w:line="324"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备注：</w:t>
      </w:r>
    </w:p>
    <w:p>
      <w:pPr>
        <w:keepNext w:val="0"/>
        <w:keepLines w:val="0"/>
        <w:pageBreakBefore w:val="0"/>
        <w:widowControl w:val="0"/>
        <w:kinsoku/>
        <w:wordWrap/>
        <w:overflowPunct/>
        <w:topLinePunct w:val="0"/>
        <w:autoSpaceDE/>
        <w:autoSpaceDN/>
        <w:bidi w:val="0"/>
        <w:adjustRightInd w:val="0"/>
        <w:spacing w:before="0" w:line="324" w:lineRule="auto"/>
        <w:ind w:firstLine="482" w:firstLineChars="200"/>
        <w:jc w:val="both"/>
        <w:textAlignment w:val="auto"/>
        <w:outlineLvl w:val="2"/>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b/>
          <w:color w:val="auto"/>
          <w:kern w:val="2"/>
          <w:sz w:val="24"/>
          <w:szCs w:val="20"/>
          <w:highlight w:val="none"/>
          <w:lang w:val="en-US" w:eastAsia="zh-CN" w:bidi="ar-SA"/>
        </w:rPr>
        <w:t>合同履约期限：土建完成后20日历天内完成安装调试并经验收通过。</w:t>
      </w:r>
    </w:p>
    <w:p>
      <w:pPr>
        <w:keepNext w:val="0"/>
        <w:keepLines w:val="0"/>
        <w:pageBreakBefore w:val="0"/>
        <w:widowControl/>
        <w:kinsoku/>
        <w:wordWrap/>
        <w:overflowPunct/>
        <w:topLinePunct w:val="0"/>
        <w:autoSpaceDE/>
        <w:autoSpaceDN/>
        <w:bidi w:val="0"/>
        <w:adjustRightInd w:val="0"/>
        <w:snapToGrid w:val="0"/>
        <w:spacing w:before="0" w:line="324"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本项目接受联合体投标：</w:t>
      </w:r>
      <w:r>
        <w:rPr>
          <w:rFonts w:hint="eastAsia" w:asciiTheme="minorEastAsia" w:hAnsiTheme="minorEastAsia" w:eastAsiaTheme="minorEastAsia" w:cstheme="minorEastAsia"/>
          <w:color w:val="auto"/>
          <w:sz w:val="24"/>
          <w:szCs w:val="24"/>
          <w:highlight w:val="none"/>
        </w:rPr>
        <w:sym w:font="Wingdings" w:char="00A8"/>
      </w:r>
      <w:r>
        <w:rPr>
          <w:rFonts w:hint="eastAsia" w:asciiTheme="minorEastAsia" w:hAnsiTheme="minorEastAsia" w:eastAsiaTheme="minorEastAsia" w:cstheme="minorEastAsia"/>
          <w:b/>
          <w:snapToGrid w:val="0"/>
          <w:color w:val="auto"/>
          <w:kern w:val="28"/>
          <w:sz w:val="24"/>
          <w:szCs w:val="24"/>
          <w:highlight w:val="none"/>
          <w:lang w:val="en-US" w:eastAsia="zh-CN" w:bidi="ar-SA"/>
        </w:rPr>
        <w:t>是，</w:t>
      </w:r>
      <w:r>
        <w:rPr>
          <w:rFonts w:hint="eastAsia" w:asciiTheme="minorEastAsia" w:hAnsiTheme="minorEastAsia" w:eastAsiaTheme="minorEastAsia" w:cstheme="minorEastAsia"/>
          <w:color w:val="auto"/>
          <w:sz w:val="24"/>
          <w:szCs w:val="24"/>
          <w:highlight w:val="none"/>
        </w:rPr>
        <w:sym w:font="Wingdings" w:char="00FE"/>
      </w:r>
      <w:r>
        <w:rPr>
          <w:rFonts w:hint="eastAsia" w:asciiTheme="minorEastAsia" w:hAnsiTheme="minorEastAsia" w:eastAsiaTheme="minorEastAsia" w:cstheme="minorEastAsia"/>
          <w:b/>
          <w:snapToGrid w:val="0"/>
          <w:color w:val="auto"/>
          <w:kern w:val="28"/>
          <w:sz w:val="24"/>
          <w:szCs w:val="24"/>
          <w:highlight w:val="none"/>
          <w:lang w:val="en-US" w:eastAsia="zh-CN" w:bidi="ar-SA"/>
        </w:rPr>
        <w:t>否</w:t>
      </w:r>
      <w:r>
        <w:rPr>
          <w:rFonts w:hint="eastAsia" w:asciiTheme="minorEastAsia" w:hAnsiTheme="minorEastAsia" w:eastAsiaTheme="minorEastAsia" w:cstheme="minorEastAsia"/>
          <w:snapToGrid w:val="0"/>
          <w:color w:val="auto"/>
          <w:kern w:val="0"/>
          <w:sz w:val="24"/>
          <w:szCs w:val="24"/>
          <w:highlight w:val="none"/>
          <w:lang w:val="en-US" w:eastAsia="zh-CN" w:bidi="ar-SA"/>
        </w:rPr>
        <w:t>。</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申请人的资格要求：</w:t>
      </w:r>
    </w:p>
    <w:p>
      <w:pPr>
        <w:keepNext w:val="0"/>
        <w:keepLines w:val="0"/>
        <w:pageBreakBefore w:val="0"/>
        <w:kinsoku/>
        <w:wordWrap/>
        <w:overflowPunct/>
        <w:topLinePunct w:val="0"/>
        <w:autoSpaceDE/>
        <w:autoSpaceDN/>
        <w:bidi w:val="0"/>
        <w:adjustRightInd w:val="0"/>
        <w:spacing w:line="324" w:lineRule="auto"/>
        <w:ind w:firstLine="480"/>
        <w:textAlignment w:val="auto"/>
        <w:rPr>
          <w:rFonts w:hint="eastAsia" w:asciiTheme="minorEastAsia" w:hAnsiTheme="minorEastAsia" w:eastAsiaTheme="minorEastAsia" w:cstheme="minorEastAsia"/>
          <w:snapToGrid w:val="0"/>
          <w:color w:val="auto"/>
          <w:kern w:val="28"/>
          <w:sz w:val="24"/>
          <w:szCs w:val="20"/>
          <w:highlight w:val="none"/>
          <w:lang w:eastAsia="zh-CN"/>
        </w:rPr>
      </w:pPr>
      <w:r>
        <w:rPr>
          <w:rFonts w:hint="eastAsia" w:asciiTheme="minorEastAsia" w:hAnsiTheme="minorEastAsia" w:eastAsiaTheme="minorEastAsia" w:cstheme="minorEastAsia"/>
          <w:snapToGrid w:val="0"/>
          <w:color w:val="auto"/>
          <w:kern w:val="28"/>
          <w:sz w:val="24"/>
          <w:szCs w:val="20"/>
          <w:highlight w:val="none"/>
        </w:rPr>
        <w:t>1</w:t>
      </w:r>
      <w:r>
        <w:rPr>
          <w:rFonts w:hint="eastAsia" w:asciiTheme="minorEastAsia" w:hAnsiTheme="minorEastAsia" w:eastAsiaTheme="minorEastAsia" w:cstheme="minorEastAsia"/>
          <w:snapToGrid w:val="0"/>
          <w:color w:val="auto"/>
          <w:kern w:val="28"/>
          <w:sz w:val="24"/>
          <w:szCs w:val="20"/>
          <w:highlight w:val="none"/>
          <w:lang w:eastAsia="zh-CN"/>
        </w:rPr>
        <w:t>.</w:t>
      </w:r>
      <w:r>
        <w:rPr>
          <w:rFonts w:hint="eastAsia" w:asciiTheme="minorEastAsia" w:hAnsiTheme="minorEastAsia" w:eastAsiaTheme="minorEastAsia" w:cstheme="minorEastAsia"/>
          <w:snapToGrid w:val="0"/>
          <w:color w:val="auto"/>
          <w:kern w:val="28"/>
          <w:sz w:val="24"/>
          <w:szCs w:val="20"/>
          <w:highlight w:val="none"/>
        </w:rPr>
        <w:t>满足《中华人民共和国政府采购法》第二十二条规定；未被“信用中国”（www.creditchina.gov.cn)、中国政府采购网（www.ccgp.gov.cn）列入失信被执行人、</w:t>
      </w:r>
      <w:r>
        <w:rPr>
          <w:rFonts w:hint="eastAsia" w:asciiTheme="minorEastAsia" w:hAnsiTheme="minorEastAsia" w:eastAsiaTheme="minorEastAsia" w:cstheme="minorEastAsia"/>
          <w:snapToGrid w:val="0"/>
          <w:color w:val="auto"/>
          <w:kern w:val="28"/>
          <w:sz w:val="24"/>
          <w:szCs w:val="20"/>
          <w:highlight w:val="none"/>
          <w:lang w:eastAsia="zh-CN"/>
        </w:rPr>
        <w:t>重大税收违法失信主体</w:t>
      </w:r>
      <w:r>
        <w:rPr>
          <w:rFonts w:hint="eastAsia" w:asciiTheme="minorEastAsia" w:hAnsiTheme="minorEastAsia" w:eastAsiaTheme="minorEastAsia" w:cstheme="minorEastAsia"/>
          <w:snapToGrid w:val="0"/>
          <w:color w:val="auto"/>
          <w:kern w:val="28"/>
          <w:sz w:val="24"/>
          <w:szCs w:val="20"/>
          <w:highlight w:val="none"/>
        </w:rPr>
        <w:t>、政府采购严重违法失信行为记录名单</w:t>
      </w:r>
      <w:r>
        <w:rPr>
          <w:rFonts w:hint="eastAsia" w:asciiTheme="minorEastAsia" w:hAnsiTheme="minorEastAsia" w:eastAsiaTheme="minorEastAsia" w:cstheme="minorEastAsia"/>
          <w:snapToGrid w:val="0"/>
          <w:color w:val="auto"/>
          <w:kern w:val="28"/>
          <w:sz w:val="24"/>
          <w:szCs w:val="20"/>
          <w:highlight w:val="none"/>
          <w:lang w:eastAsia="zh-CN"/>
        </w:rPr>
        <w:t>；</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napToGrid w:val="0"/>
          <w:color w:val="auto"/>
          <w:kern w:val="28"/>
          <w:sz w:val="24"/>
          <w:szCs w:val="20"/>
          <w:highlight w:val="none"/>
        </w:rPr>
        <w:t xml:space="preserve">    2.落实政府采购政策需满足的资格要求：</w:t>
      </w:r>
      <w:r>
        <w:rPr>
          <w:rFonts w:hint="eastAsia" w:asciiTheme="minorEastAsia" w:hAnsiTheme="minorEastAsia" w:eastAsiaTheme="minorEastAsia" w:cstheme="minorEastAsia"/>
          <w:color w:val="auto"/>
          <w:sz w:val="24"/>
          <w:szCs w:val="24"/>
          <w:highlight w:val="none"/>
        </w:rPr>
        <w:t>本项目专门面向中小企业采购，货物全部由符合政策要求的中小企业制造；</w:t>
      </w:r>
    </w:p>
    <w:p>
      <w:pPr>
        <w:keepNext w:val="0"/>
        <w:keepLines w:val="0"/>
        <w:pageBreakBefore w:val="0"/>
        <w:kinsoku/>
        <w:wordWrap/>
        <w:overflowPunct/>
        <w:topLinePunct w:val="0"/>
        <w:autoSpaceDE/>
        <w:autoSpaceDN/>
        <w:bidi w:val="0"/>
        <w:adjustRightInd w:val="0"/>
        <w:spacing w:line="324" w:lineRule="auto"/>
        <w:ind w:firstLine="480"/>
        <w:textAlignment w:val="auto"/>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3.本项目的特定资格要求：</w:t>
      </w:r>
      <w:r>
        <w:rPr>
          <w:rFonts w:hint="eastAsia" w:asciiTheme="minorEastAsia" w:hAnsiTheme="minorEastAsia" w:eastAsiaTheme="minorEastAsia" w:cstheme="minorEastAsia"/>
          <w:snapToGrid w:val="0"/>
          <w:color w:val="auto"/>
          <w:kern w:val="28"/>
          <w:sz w:val="24"/>
          <w:szCs w:val="20"/>
          <w:highlight w:val="none"/>
          <w:lang w:val="en-US" w:eastAsia="zh-CN"/>
        </w:rPr>
        <w:t>无；</w:t>
      </w:r>
    </w:p>
    <w:p>
      <w:pPr>
        <w:keepNext w:val="0"/>
        <w:keepLines w:val="0"/>
        <w:pageBreakBefore w:val="0"/>
        <w:kinsoku/>
        <w:wordWrap/>
        <w:overflowPunct/>
        <w:topLinePunct w:val="0"/>
        <w:autoSpaceDE/>
        <w:autoSpaceDN/>
        <w:bidi w:val="0"/>
        <w:adjustRightInd w:val="0"/>
        <w:spacing w:line="324"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28"/>
          <w:sz w:val="24"/>
          <w:szCs w:val="20"/>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三</w:t>
      </w:r>
      <w:r>
        <w:rPr>
          <w:rFonts w:hint="eastAsia" w:asciiTheme="minorEastAsia" w:hAnsiTheme="minorEastAsia" w:eastAsiaTheme="minorEastAsia" w:cstheme="minorEastAsia"/>
          <w:b/>
          <w:color w:val="auto"/>
          <w:sz w:val="24"/>
          <w:szCs w:val="24"/>
          <w:highlight w:val="none"/>
        </w:rPr>
        <w:t>、获取</w:t>
      </w:r>
      <w:r>
        <w:rPr>
          <w:rFonts w:hint="eastAsia" w:asciiTheme="minorEastAsia" w:hAnsiTheme="minorEastAsia" w:eastAsiaTheme="minorEastAsia" w:cstheme="minorEastAsia"/>
          <w:b/>
          <w:color w:val="auto"/>
          <w:sz w:val="24"/>
          <w:szCs w:val="24"/>
          <w:highlight w:val="none"/>
          <w:lang w:val="en-US" w:eastAsia="zh-CN"/>
        </w:rPr>
        <w:t>招标文件</w:t>
      </w:r>
      <w:r>
        <w:rPr>
          <w:rFonts w:hint="eastAsia" w:asciiTheme="minorEastAsia" w:hAnsiTheme="minorEastAsia" w:eastAsiaTheme="minorEastAsia" w:cstheme="minorEastAsia"/>
          <w:b/>
          <w:color w:val="auto"/>
          <w:sz w:val="24"/>
          <w:szCs w:val="24"/>
          <w:highlight w:val="none"/>
        </w:rPr>
        <w:t xml:space="preserve"> </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时间：</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eastAsia="zh-CN"/>
        </w:rPr>
        <w:t>2023年</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u w:val="single"/>
          <w:lang w:eastAsia="zh-CN"/>
        </w:rPr>
        <w:t>月</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u w:val="single"/>
          <w:lang w:eastAsia="zh-CN"/>
        </w:rPr>
        <w:t>日</w:t>
      </w:r>
      <w:r>
        <w:rPr>
          <w:rFonts w:hint="eastAsia" w:asciiTheme="minorEastAsia" w:hAnsiTheme="minorEastAsia" w:eastAsiaTheme="minorEastAsia" w:cstheme="minorEastAsia"/>
          <w:color w:val="auto"/>
          <w:sz w:val="24"/>
          <w:szCs w:val="24"/>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地点（网址）：</w:t>
      </w:r>
      <w:r>
        <w:rPr>
          <w:rFonts w:hint="eastAsia" w:asciiTheme="minorEastAsia" w:hAnsiTheme="minorEastAsia" w:eastAsiaTheme="minorEastAsia" w:cstheme="minorEastAsia"/>
          <w:color w:val="auto"/>
          <w:sz w:val="24"/>
          <w:szCs w:val="24"/>
          <w:highlight w:val="none"/>
        </w:rPr>
        <w:t>浙江政府采购网（https://zfcg.czt.zj.gov.cn/）</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方式：</w:t>
      </w:r>
      <w:r>
        <w:rPr>
          <w:rFonts w:hint="eastAsia" w:asciiTheme="minorEastAsia" w:hAnsiTheme="minorEastAsia" w:eastAsiaTheme="minorEastAsia" w:cstheme="minorEastAsia"/>
          <w:color w:val="auto"/>
          <w:sz w:val="24"/>
          <w:szCs w:val="24"/>
          <w:highlight w:val="none"/>
        </w:rPr>
        <w:t>供应商登录政采云平台https://www.zcygov.cn/在线申请获取采购文件（进入“项目采购”应用，在获取采购文件菜单中选择项目，申请获取采购文件）</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售价（元）：</w:t>
      </w:r>
      <w:r>
        <w:rPr>
          <w:rFonts w:hint="eastAsia" w:asciiTheme="minorEastAsia" w:hAnsiTheme="minorEastAsia" w:eastAsiaTheme="minorEastAsia" w:cstheme="minorEastAsia"/>
          <w:color w:val="auto"/>
          <w:sz w:val="24"/>
          <w:szCs w:val="24"/>
          <w:highlight w:val="none"/>
        </w:rPr>
        <w:t xml:space="preserve">0 </w:t>
      </w:r>
      <w:r>
        <w:rPr>
          <w:rFonts w:hint="eastAsia" w:asciiTheme="minorEastAsia" w:hAnsiTheme="minorEastAsia" w:eastAsiaTheme="minorEastAsia" w:cstheme="minorEastAsia"/>
          <w:color w:val="auto"/>
          <w:sz w:val="24"/>
          <w:szCs w:val="24"/>
          <w:highlight w:val="none"/>
        </w:rPr>
        <w:tab/>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四</w:t>
      </w:r>
      <w:r>
        <w:rPr>
          <w:rFonts w:hint="eastAsia" w:asciiTheme="minorEastAsia" w:hAnsiTheme="minorEastAsia" w:eastAsiaTheme="minorEastAsia" w:cstheme="minorEastAsia"/>
          <w:b/>
          <w:color w:val="auto"/>
          <w:sz w:val="24"/>
          <w:szCs w:val="24"/>
          <w:highlight w:val="none"/>
        </w:rPr>
        <w:t>、提交投标文件截止时间、开标时间和地点</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提交投标文件截止时间：</w:t>
      </w:r>
      <w:r>
        <w:rPr>
          <w:rFonts w:hint="eastAsia" w:asciiTheme="minorEastAsia" w:hAnsiTheme="minorEastAsia" w:eastAsiaTheme="minorEastAsia" w:cstheme="minorEastAsia"/>
          <w:color w:val="auto"/>
          <w:sz w:val="24"/>
          <w:szCs w:val="24"/>
          <w:highlight w:val="none"/>
          <w:u w:val="single"/>
          <w:lang w:eastAsia="zh-CN"/>
        </w:rPr>
        <w:t>2023年10月9日9时30分</w:t>
      </w:r>
      <w:r>
        <w:rPr>
          <w:rFonts w:hint="eastAsia" w:asciiTheme="minorEastAsia" w:hAnsiTheme="minorEastAsia" w:eastAsiaTheme="minorEastAsia" w:cstheme="minorEastAsia"/>
          <w:color w:val="auto"/>
          <w:sz w:val="24"/>
          <w:szCs w:val="24"/>
          <w:highlight w:val="none"/>
        </w:rPr>
        <w:t>（北京时间）</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投标地点（网址）：</w:t>
      </w:r>
      <w:r>
        <w:rPr>
          <w:rFonts w:hint="eastAsia" w:asciiTheme="minorEastAsia" w:hAnsiTheme="minorEastAsia" w:eastAsiaTheme="minorEastAsia" w:cstheme="minorEastAsia"/>
          <w:color w:val="auto"/>
          <w:sz w:val="24"/>
          <w:szCs w:val="24"/>
          <w:highlight w:val="none"/>
        </w:rPr>
        <w:t>在政府采购云平台http://login.zcygov.cn/login上自行加密上传电子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，逾期上传或未按要求上传的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将予以拒收</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开标时间：</w:t>
      </w:r>
      <w:r>
        <w:rPr>
          <w:rFonts w:hint="eastAsia" w:asciiTheme="minorEastAsia" w:hAnsiTheme="minorEastAsia" w:eastAsiaTheme="minorEastAsia" w:cstheme="minorEastAsia"/>
          <w:color w:val="auto"/>
          <w:sz w:val="24"/>
          <w:szCs w:val="24"/>
          <w:highlight w:val="none"/>
          <w:u w:val="single"/>
          <w:lang w:eastAsia="zh-CN"/>
        </w:rPr>
        <w:t>2023年10月9日9时30分</w:t>
      </w:r>
      <w:r>
        <w:rPr>
          <w:rFonts w:hint="eastAsia" w:asciiTheme="minorEastAsia" w:hAnsiTheme="minorEastAsia" w:eastAsiaTheme="minorEastAsia" w:cstheme="minorEastAsia"/>
          <w:color w:val="auto"/>
          <w:sz w:val="24"/>
          <w:szCs w:val="24"/>
          <w:highlight w:val="none"/>
        </w:rPr>
        <w:t>（北京时间）</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开标地点（网址）：</w:t>
      </w:r>
      <w:r>
        <w:rPr>
          <w:rFonts w:hint="eastAsia" w:asciiTheme="minorEastAsia" w:hAnsiTheme="minorEastAsia" w:eastAsiaTheme="minorEastAsia" w:cstheme="minorEastAsia"/>
          <w:b w:val="0"/>
          <w:bCs/>
          <w:color w:val="auto"/>
          <w:sz w:val="24"/>
          <w:szCs w:val="24"/>
          <w:highlight w:val="none"/>
          <w:lang w:val="en-US" w:eastAsia="zh-CN"/>
        </w:rPr>
        <w:t>浦江县人民东路83号金华市公共资源交易中心浦江县分中心</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rPr>
        <w:t>、采购意向公开链接</w:t>
      </w:r>
    </w:p>
    <w:p>
      <w:pPr>
        <w:keepNext w:val="0"/>
        <w:keepLines w:val="0"/>
        <w:pageBreakBefore w:val="0"/>
        <w:kinsoku/>
        <w:wordWrap/>
        <w:overflowPunct/>
        <w:topLinePunct w:val="0"/>
        <w:autoSpaceDE/>
        <w:autoSpaceDN/>
        <w:bidi w:val="0"/>
        <w:adjustRightInd w:val="0"/>
        <w:spacing w:line="324" w:lineRule="auto"/>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fldChar w:fldCharType="begin"/>
      </w:r>
      <w:r>
        <w:rPr>
          <w:rFonts w:hint="eastAsia" w:asciiTheme="minorEastAsia" w:hAnsiTheme="minorEastAsia" w:eastAsiaTheme="minorEastAsia" w:cstheme="minorEastAsia"/>
          <w:b/>
          <w:color w:val="auto"/>
          <w:sz w:val="24"/>
          <w:szCs w:val="24"/>
          <w:highlight w:val="none"/>
          <w:lang w:val="en-US" w:eastAsia="zh-CN"/>
        </w:rPr>
        <w:instrText xml:space="preserve"> HYPERLINK "https://zfcg.czt.zj.gov.cn/luban/detail?parentId=600007&amp;articleId=49hvJqqynu3SihO1%2BX6RtQ%3D%3D&amp;utm=luban.luban-PC-37000.979-pc-websitegroup-zhejiang-secondPage-front.6.30a3b6304ba011ee9e829343c3e5ec05" </w:instrText>
      </w:r>
      <w:r>
        <w:rPr>
          <w:rFonts w:hint="eastAsia" w:asciiTheme="minorEastAsia" w:hAnsiTheme="minorEastAsia" w:eastAsiaTheme="minorEastAsia" w:cstheme="minorEastAsia"/>
          <w:b/>
          <w:color w:val="auto"/>
          <w:sz w:val="24"/>
          <w:szCs w:val="24"/>
          <w:highlight w:val="none"/>
          <w:lang w:val="en-US" w:eastAsia="zh-CN"/>
        </w:rPr>
        <w:fldChar w:fldCharType="separate"/>
      </w:r>
      <w:r>
        <w:rPr>
          <w:rFonts w:hint="eastAsia" w:asciiTheme="minorEastAsia" w:hAnsiTheme="minorEastAsia" w:eastAsiaTheme="minorEastAsia" w:cstheme="minorEastAsia"/>
          <w:b/>
          <w:color w:val="auto"/>
          <w:sz w:val="24"/>
          <w:szCs w:val="24"/>
          <w:highlight w:val="none"/>
          <w:lang w:val="en-US" w:eastAsia="zh-CN"/>
        </w:rPr>
        <w:t>https://zfcg.czt.zj.gov.cn/luban/detail?parentId=600007&amp;articleId=49hvJqqynu3SihO1%2BX6RtQ%3D%3D&amp;utm=luban.luban-PC-37000.979-pc-websitegroup-zhejiang-secondPage-front.6.30a3b6304ba011ee9e829343c3e5ec05</w:t>
      </w:r>
      <w:r>
        <w:rPr>
          <w:rFonts w:hint="eastAsia" w:asciiTheme="minorEastAsia" w:hAnsiTheme="minorEastAsia" w:eastAsiaTheme="minorEastAsia" w:cstheme="minorEastAsia"/>
          <w:b/>
          <w:color w:val="auto"/>
          <w:sz w:val="24"/>
          <w:szCs w:val="24"/>
          <w:highlight w:val="none"/>
          <w:lang w:val="en-US" w:eastAsia="zh-CN"/>
        </w:rPr>
        <w:fldChar w:fldCharType="end"/>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六、公告期限</w:t>
      </w:r>
    </w:p>
    <w:p>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七、</w:t>
      </w:r>
      <w:r>
        <w:rPr>
          <w:rFonts w:hint="eastAsia" w:asciiTheme="minorEastAsia" w:hAnsiTheme="minorEastAsia" w:eastAsiaTheme="minorEastAsia" w:cstheme="minorEastAsia"/>
          <w:b/>
          <w:color w:val="auto"/>
          <w:sz w:val="24"/>
          <w:szCs w:val="24"/>
          <w:highlight w:val="none"/>
        </w:rPr>
        <w:t>其他补充事宜</w:t>
      </w:r>
    </w:p>
    <w:p>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.其他事项：（1）</w:t>
      </w:r>
      <w:r>
        <w:rPr>
          <w:rFonts w:hint="eastAsia" w:asciiTheme="minorEastAsia" w:hAnsiTheme="minorEastAsia" w:eastAsiaTheme="minorEastAsia" w:cstheme="minorEastAsia"/>
          <w:b w:val="0"/>
          <w:bCs w:val="0"/>
          <w:color w:val="auto"/>
          <w:sz w:val="24"/>
          <w:szCs w:val="24"/>
          <w:highlight w:val="none"/>
        </w:rPr>
        <w:t>需要落实的政府采购政策：包括节约资源、保护环境、支持创新、促进中小企业发展等。详见招标文件的</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第</w:t>
      </w:r>
      <w:r>
        <w:rPr>
          <w:rFonts w:hint="eastAsia" w:asciiTheme="minorEastAsia" w:hAnsiTheme="minorEastAsia" w:eastAsiaTheme="minorEastAsia" w:cstheme="minorEastAsia"/>
          <w:b w:val="0"/>
          <w:bCs w:val="0"/>
          <w:color w:val="auto"/>
          <w:sz w:val="24"/>
          <w:szCs w:val="24"/>
          <w:highlight w:val="none"/>
          <w:lang w:val="en-US" w:eastAsia="zh-CN"/>
        </w:rPr>
        <w:t>二</w:t>
      </w:r>
      <w:r>
        <w:rPr>
          <w:rFonts w:hint="eastAsia" w:asciiTheme="minorEastAsia" w:hAnsiTheme="minorEastAsia" w:eastAsiaTheme="minorEastAsia" w:cstheme="minorEastAsia"/>
          <w:b w:val="0"/>
          <w:bCs w:val="0"/>
          <w:color w:val="auto"/>
          <w:sz w:val="24"/>
          <w:szCs w:val="24"/>
          <w:highlight w:val="none"/>
        </w:rPr>
        <w:t>部分</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投标人须知</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。（2）电子招投标的说明：①电子招投标：</w:t>
      </w:r>
      <w:r>
        <w:rPr>
          <w:rFonts w:hint="eastAsia" w:asciiTheme="minorEastAsia" w:hAnsiTheme="minorEastAsia" w:eastAsiaTheme="minorEastAsia" w:cstheme="minorEastAsia"/>
          <w:color w:val="auto"/>
          <w:sz w:val="24"/>
          <w:szCs w:val="24"/>
          <w:highlight w:val="none"/>
        </w:rPr>
        <w:t>本项目以数据电文形式，依托“政府采购云平台（www.zcygov.cn）”进行招投标活动，不接受纸质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；②</w:t>
      </w:r>
      <w:r>
        <w:rPr>
          <w:rFonts w:hint="eastAsia" w:asciiTheme="minorEastAsia" w:hAnsiTheme="minorEastAsia" w:eastAsiaTheme="minorEastAsia" w:cstheme="minorEastAsia"/>
          <w:color w:val="auto"/>
          <w:sz w:val="24"/>
          <w:szCs w:val="24"/>
          <w:highlight w:val="none"/>
          <w:lang w:val="en-US" w:eastAsia="zh-CN"/>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inorEastAsia" w:hAnsiTheme="minorEastAsia" w:eastAsiaTheme="minorEastAsia" w:cstheme="minorEastAsia"/>
          <w:color w:val="auto"/>
          <w:sz w:val="24"/>
          <w:szCs w:val="24"/>
          <w:highlight w:val="none"/>
        </w:rPr>
        <w:t>③</w:t>
      </w:r>
      <w:r>
        <w:rPr>
          <w:rFonts w:hint="eastAsia" w:asciiTheme="minorEastAsia" w:hAnsiTheme="minorEastAsia" w:eastAsiaTheme="minorEastAsia" w:cstheme="minorEastAsia"/>
          <w:color w:val="auto"/>
          <w:sz w:val="24"/>
          <w:szCs w:val="24"/>
          <w:highlight w:val="none"/>
          <w:lang w:val="en-US" w:eastAsia="zh-CN"/>
        </w:rPr>
        <w:t>招标文件的获取：使用账号登录或者使用CA登录政采云平台；进入“项目采购”应用，在获取采购文件菜单中选择项目，获取招标文件；</w:t>
      </w:r>
      <w:r>
        <w:rPr>
          <w:rFonts w:hint="eastAsia" w:asciiTheme="minorEastAsia" w:hAnsiTheme="minorEastAsia" w:eastAsiaTheme="minorEastAsia" w:cstheme="minorEastAsia"/>
          <w:color w:val="auto"/>
          <w:sz w:val="24"/>
          <w:szCs w:val="24"/>
          <w:highlight w:val="none"/>
        </w:rPr>
        <w:t>④</w:t>
      </w:r>
      <w:r>
        <w:rPr>
          <w:rFonts w:hint="eastAsia" w:asciiTheme="minorEastAsia" w:hAnsiTheme="minorEastAsia" w:eastAsiaTheme="minorEastAsia" w:cstheme="minorEastAsia"/>
          <w:color w:val="auto"/>
          <w:sz w:val="24"/>
          <w:szCs w:val="24"/>
          <w:highlight w:val="none"/>
          <w:lang w:eastAsia="zh-CN"/>
        </w:rPr>
        <w:t>投标文件的制作：在“政采云电子交易客户端”中完成“填写基本信息”、“导入投标文件”、“标书关联”、“标书检查”、“电子签名”、“生成电子标书”等操作；</w:t>
      </w:r>
      <w:r>
        <w:rPr>
          <w:rFonts w:hint="eastAsia" w:asciiTheme="minorEastAsia" w:hAnsiTheme="minorEastAsia" w:eastAsiaTheme="minorEastAsia" w:cstheme="minorEastAsia"/>
          <w:color w:val="auto"/>
          <w:sz w:val="24"/>
          <w:szCs w:val="24"/>
          <w:highlight w:val="none"/>
        </w:rPr>
        <w:t>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的传输递交：投标人在投标截止时间前将加密的投标文件上传至政府采购云平台，还可以在投标截止时间前直接提交或者以快递方式递交备份投标文件1份至</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rPr>
        <w:t>文件规定的地点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u w:val="single"/>
        </w:rPr>
        <w:t>浙江省金华市浦江县农副产品批发交易市场A1幢213号浙江科信，</w:t>
      </w:r>
      <w:r>
        <w:rPr>
          <w:rFonts w:hint="eastAsia" w:asciiTheme="minorEastAsia" w:hAnsiTheme="minorEastAsia" w:eastAsiaTheme="minorEastAsia" w:cstheme="minorEastAsia"/>
          <w:color w:val="auto"/>
          <w:sz w:val="24"/>
          <w:highlight w:val="none"/>
          <w:u w:val="single"/>
          <w:lang w:val="en-US" w:eastAsia="zh-CN"/>
        </w:rPr>
        <w:t>金女士</w:t>
      </w:r>
      <w:r>
        <w:rPr>
          <w:rFonts w:hint="eastAsia" w:asciiTheme="minorEastAsia" w:hAnsiTheme="minorEastAsia" w:eastAsiaTheme="minorEastAsia" w:cstheme="minorEastAsia"/>
          <w:color w:val="auto"/>
          <w:sz w:val="24"/>
          <w:highlight w:val="none"/>
          <w:u w:val="single"/>
        </w:rPr>
        <w:t>收，联系方式：</w:t>
      </w:r>
      <w:r>
        <w:rPr>
          <w:rFonts w:hint="eastAsia" w:asciiTheme="minorEastAsia" w:hAnsiTheme="minorEastAsia" w:eastAsiaTheme="minorEastAsia" w:cstheme="minorEastAsia"/>
          <w:color w:val="auto"/>
          <w:sz w:val="24"/>
          <w:highlight w:val="none"/>
          <w:u w:val="single"/>
          <w:lang w:val="en-US" w:eastAsia="zh-CN"/>
        </w:rPr>
        <w:t>13456323069</w:t>
      </w:r>
      <w:r>
        <w:rPr>
          <w:rFonts w:hint="eastAsia" w:asciiTheme="minorEastAsia" w:hAnsiTheme="minorEastAsia" w:eastAsiaTheme="minorEastAsia" w:cstheme="minorEastAsia"/>
          <w:color w:val="auto"/>
          <w:sz w:val="24"/>
          <w:highlight w:val="none"/>
          <w:u w:val="single"/>
        </w:rPr>
        <w:t>，邮编：322200</w:t>
      </w:r>
      <w:r>
        <w:rPr>
          <w:rFonts w:hint="eastAsia" w:asciiTheme="minorEastAsia" w:hAnsiTheme="minorEastAsia" w:eastAsiaTheme="minorEastAsia" w:cstheme="minorEastAsia"/>
          <w:color w:val="auto"/>
          <w:sz w:val="24"/>
          <w:szCs w:val="24"/>
          <w:highlight w:val="none"/>
        </w:rPr>
        <w:t>，逾期送达、未按指定地点送达或未密封将予以拒收。电子备份</w:t>
      </w:r>
      <w:r>
        <w:rPr>
          <w:rFonts w:hint="eastAsia" w:asciiTheme="minorEastAsia" w:hAnsiTheme="minorEastAsia" w:eastAsiaTheme="minorEastAsia" w:cstheme="minorEastAsia"/>
          <w:color w:val="auto"/>
          <w:sz w:val="24"/>
          <w:szCs w:val="24"/>
          <w:highlight w:val="none"/>
          <w:lang w:val="en-US" w:eastAsia="zh-CN"/>
        </w:rPr>
        <w:t>投标文件</w:t>
      </w:r>
      <w:r>
        <w:rPr>
          <w:rFonts w:hint="eastAsia" w:asciiTheme="minorEastAsia" w:hAnsiTheme="minorEastAsia" w:eastAsiaTheme="minorEastAsia" w:cstheme="minorEastAsia"/>
          <w:color w:val="auto"/>
          <w:sz w:val="24"/>
          <w:szCs w:val="24"/>
          <w:highlight w:val="none"/>
        </w:rPr>
        <w:t>的提交不作强制要求。电子备份</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的制作、存储、密封详见</w:t>
      </w:r>
      <w:r>
        <w:rPr>
          <w:rFonts w:hint="eastAsia" w:asciiTheme="minorEastAsia" w:hAnsiTheme="minorEastAsia" w:eastAsiaTheme="minorEastAsia" w:cstheme="minorEastAsia"/>
          <w:color w:val="auto"/>
          <w:sz w:val="24"/>
          <w:szCs w:val="24"/>
          <w:highlight w:val="none"/>
          <w:lang w:eastAsia="zh-CN"/>
        </w:rPr>
        <w:t>“第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部分</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投标人须知”；</w:t>
      </w:r>
      <w:r>
        <w:rPr>
          <w:rFonts w:hint="eastAsia" w:asciiTheme="minorEastAsia" w:hAnsiTheme="minorEastAsia" w:eastAsiaTheme="minorEastAsia" w:cstheme="minorEastAsia"/>
          <w:color w:val="auto"/>
          <w:sz w:val="24"/>
          <w:szCs w:val="24"/>
          <w:highlight w:val="none"/>
        </w:rPr>
        <w:t>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⑩具体操作指南：详见政采云平台“服务中心-帮助文档-项目采购-操作流程-电子招投标-政府采购项目电子交易管理操作指南-供应商”。</w:t>
      </w:r>
    </w:p>
    <w:p>
      <w:pPr>
        <w:keepNext w:val="0"/>
        <w:keepLines w:val="0"/>
        <w:pageBreakBefore w:val="0"/>
        <w:kinsoku/>
        <w:wordWrap/>
        <w:overflowPunct/>
        <w:topLinePunct w:val="0"/>
        <w:autoSpaceDE/>
        <w:autoSpaceDN/>
        <w:bidi w:val="0"/>
        <w:adjustRightInd w:val="0"/>
        <w:spacing w:line="324" w:lineRule="auto"/>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highlight w:val="none"/>
        </w:rPr>
        <w:t>政</w:t>
      </w:r>
      <w:r>
        <w:rPr>
          <w:rFonts w:hint="eastAsia" w:asciiTheme="minorEastAsia" w:hAnsiTheme="minorEastAsia" w:eastAsiaTheme="minorEastAsia" w:cstheme="minorEastAsia"/>
          <w:color w:val="auto"/>
          <w:sz w:val="24"/>
          <w:highlight w:val="none"/>
        </w:rPr>
        <w:t>府采购金融服务提示：为扩大政府采购金融服务面，除政采云网上金融服务合作银行外，金华市范围增加线下合作银行两家，具体信息如下：</w:t>
      </w:r>
    </w:p>
    <w:p>
      <w:pPr>
        <w:keepNext w:val="0"/>
        <w:keepLines w:val="0"/>
        <w:pageBreakBefore w:val="0"/>
        <w:kinsoku/>
        <w:wordWrap/>
        <w:overflowPunct/>
        <w:topLinePunct w:val="0"/>
        <w:autoSpaceDE/>
        <w:autoSpaceDN/>
        <w:bidi w:val="0"/>
        <w:adjustRightInd w:val="0"/>
        <w:spacing w:line="324" w:lineRule="auto"/>
        <w:ind w:left="420" w:leftChars="20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金华银行文创支行      联系人：姜峰；联系电话：13905792828、0579-82479020</w:t>
      </w:r>
    </w:p>
    <w:p>
      <w:pPr>
        <w:keepNext w:val="0"/>
        <w:keepLines w:val="0"/>
        <w:pageBreakBefore w:val="0"/>
        <w:kinsoku/>
        <w:wordWrap/>
        <w:overflowPunct/>
        <w:topLinePunct w:val="0"/>
        <w:autoSpaceDE/>
        <w:autoSpaceDN/>
        <w:bidi w:val="0"/>
        <w:adjustRightInd w:val="0"/>
        <w:spacing w:line="324" w:lineRule="auto"/>
        <w:ind w:left="420" w:leftChars="200" w:firstLine="0" w:firstLineChars="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color w:val="auto"/>
          <w:sz w:val="24"/>
          <w:highlight w:val="none"/>
        </w:rPr>
        <w:t>浙商银行金华浦江支行  联系人：严艳萍；联系电话：13566950560、0579-88088337</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八</w:t>
      </w:r>
      <w:r>
        <w:rPr>
          <w:rFonts w:hint="eastAsia" w:asciiTheme="minorEastAsia" w:hAnsiTheme="minorEastAsia" w:eastAsiaTheme="minorEastAsia" w:cstheme="minorEastAsia"/>
          <w:b/>
          <w:color w:val="auto"/>
          <w:sz w:val="24"/>
          <w:szCs w:val="24"/>
          <w:highlight w:val="none"/>
        </w:rPr>
        <w:t>、凡对本次招标提出询问、质疑、投诉，请按以下方式联系</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1.采购人信息</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名    称：</w:t>
      </w:r>
      <w:r>
        <w:rPr>
          <w:rFonts w:hint="eastAsia" w:asciiTheme="minorEastAsia" w:hAnsiTheme="minorEastAsia" w:eastAsiaTheme="minorEastAsia" w:cstheme="minorEastAsia"/>
          <w:color w:val="auto"/>
          <w:sz w:val="24"/>
          <w:szCs w:val="24"/>
          <w:highlight w:val="none"/>
          <w:lang w:eastAsia="zh-CN"/>
        </w:rPr>
        <w:t>浦江县住房和城乡建设局</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地    址：</w:t>
      </w:r>
      <w:r>
        <w:rPr>
          <w:rFonts w:hint="eastAsia" w:asciiTheme="minorEastAsia" w:hAnsiTheme="minorEastAsia" w:eastAsiaTheme="minorEastAsia" w:cstheme="minorEastAsia"/>
          <w:color w:val="auto"/>
          <w:kern w:val="0"/>
          <w:sz w:val="24"/>
          <w:highlight w:val="none"/>
          <w:lang w:eastAsia="zh-CN"/>
        </w:rPr>
        <w:t>浦江县月泉东路66号</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kinsoku/>
        <w:wordWrap/>
        <w:overflowPunct/>
        <w:topLinePunct w:val="0"/>
        <w:autoSpaceDE/>
        <w:autoSpaceDN/>
        <w:bidi w:val="0"/>
        <w:adjustRightInd w:val="0"/>
        <w:spacing w:line="324"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 /</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项目联系人（询问）：</w:t>
      </w:r>
      <w:r>
        <w:rPr>
          <w:rFonts w:hint="eastAsia" w:asciiTheme="minorEastAsia" w:hAnsiTheme="minorEastAsia" w:eastAsiaTheme="minorEastAsia" w:cstheme="minorEastAsia"/>
          <w:color w:val="auto"/>
          <w:sz w:val="24"/>
          <w:szCs w:val="24"/>
          <w:highlight w:val="none"/>
          <w:lang w:val="en-US" w:eastAsia="zh-CN"/>
        </w:rPr>
        <w:t>傅先生</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项目联系方式（询问）：</w:t>
      </w:r>
      <w:r>
        <w:rPr>
          <w:rFonts w:hint="eastAsia" w:asciiTheme="minorEastAsia" w:hAnsiTheme="minorEastAsia" w:eastAsiaTheme="minorEastAsia" w:cstheme="minorEastAsia"/>
          <w:color w:val="auto"/>
          <w:sz w:val="24"/>
          <w:szCs w:val="24"/>
          <w:highlight w:val="none"/>
          <w:lang w:eastAsia="zh-CN"/>
        </w:rPr>
        <w:t>13868915304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质疑联系人：</w:t>
      </w:r>
      <w:r>
        <w:rPr>
          <w:rFonts w:hint="eastAsia" w:asciiTheme="minorEastAsia" w:hAnsiTheme="minorEastAsia" w:eastAsiaTheme="minorEastAsia" w:cstheme="minorEastAsia"/>
          <w:color w:val="auto"/>
          <w:sz w:val="24"/>
          <w:szCs w:val="24"/>
          <w:highlight w:val="none"/>
          <w:lang w:val="en-US" w:eastAsia="zh-CN"/>
        </w:rPr>
        <w:t xml:space="preserve">吴先生 </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质疑联系方式：13738915627 </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2.采购代理机构信息            </w:t>
      </w:r>
    </w:p>
    <w:p>
      <w:pPr>
        <w:keepNext w:val="0"/>
        <w:keepLines w:val="0"/>
        <w:pageBreakBefore w:val="0"/>
        <w:kinsoku/>
        <w:wordWrap/>
        <w:overflowPunct/>
        <w:topLinePunct w:val="0"/>
        <w:autoSpaceDE/>
        <w:autoSpaceDN/>
        <w:bidi w:val="0"/>
        <w:adjustRightInd w:val="0"/>
        <w:spacing w:line="324"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称：浙江科信联合工程项目管理咨询有限公司</w:t>
      </w:r>
    </w:p>
    <w:p>
      <w:pPr>
        <w:keepNext w:val="0"/>
        <w:keepLines w:val="0"/>
        <w:pageBreakBefore w:val="0"/>
        <w:kinsoku/>
        <w:wordWrap/>
        <w:overflowPunct/>
        <w:topLinePunct w:val="0"/>
        <w:autoSpaceDE/>
        <w:autoSpaceDN/>
        <w:bidi w:val="0"/>
        <w:adjustRightInd w:val="0"/>
        <w:spacing w:line="324"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    址：浦江县农批市场A1-213 </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    真：/             </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项目联系人（询问）：</w:t>
      </w:r>
      <w:r>
        <w:rPr>
          <w:rFonts w:hint="eastAsia" w:asciiTheme="minorEastAsia" w:hAnsiTheme="minorEastAsia" w:eastAsiaTheme="minorEastAsia" w:cstheme="minorEastAsia"/>
          <w:color w:val="auto"/>
          <w:sz w:val="24"/>
          <w:szCs w:val="24"/>
          <w:highlight w:val="none"/>
          <w:lang w:val="en-US" w:eastAsia="zh-CN"/>
        </w:rPr>
        <w:t>金女士</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项目联系方式（询问）：0579-84123833、</w:t>
      </w:r>
      <w:r>
        <w:rPr>
          <w:rFonts w:hint="eastAsia" w:asciiTheme="minorEastAsia" w:hAnsiTheme="minorEastAsia" w:eastAsiaTheme="minorEastAsia" w:cstheme="minorEastAsia"/>
          <w:color w:val="auto"/>
          <w:sz w:val="24"/>
          <w:szCs w:val="24"/>
          <w:highlight w:val="none"/>
          <w:lang w:val="en-US" w:eastAsia="zh-CN"/>
        </w:rPr>
        <w:t>13456323069</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质疑联系人：刘先生             </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质疑联系方式：13857919166</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3.同级政府采购监督管理部门            </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名    称：浦江县财政局政府采购监管科 </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地    址：浦江县人民东路83号 </w:t>
      </w:r>
    </w:p>
    <w:p>
      <w:pPr>
        <w:keepNext w:val="0"/>
        <w:keepLines w:val="0"/>
        <w:pageBreakBefore w:val="0"/>
        <w:kinsoku/>
        <w:wordWrap/>
        <w:overflowPunct/>
        <w:topLinePunct w:val="0"/>
        <w:autoSpaceDE/>
        <w:autoSpaceDN/>
        <w:bidi w:val="0"/>
        <w:adjustRightInd w:val="0"/>
        <w:spacing w:line="324"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    真：0579-84107222 </w:t>
      </w:r>
    </w:p>
    <w:p>
      <w:pPr>
        <w:keepNext w:val="0"/>
        <w:keepLines w:val="0"/>
        <w:pageBreakBefore w:val="0"/>
        <w:kinsoku/>
        <w:wordWrap/>
        <w:overflowPunct/>
        <w:topLinePunct w:val="0"/>
        <w:autoSpaceDE/>
        <w:autoSpaceDN/>
        <w:bidi w:val="0"/>
        <w:adjustRightInd w:val="0"/>
        <w:spacing w:line="324"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联系人 ：</w:t>
      </w:r>
      <w:r>
        <w:rPr>
          <w:rFonts w:hint="eastAsia" w:asciiTheme="minorEastAsia" w:hAnsiTheme="minorEastAsia" w:eastAsiaTheme="minorEastAsia" w:cstheme="minorEastAsia"/>
          <w:color w:val="auto"/>
          <w:sz w:val="24"/>
          <w:szCs w:val="24"/>
          <w:highlight w:val="none"/>
          <w:lang w:val="en-US" w:eastAsia="zh-CN"/>
        </w:rPr>
        <w:t>赵</w:t>
      </w:r>
      <w:r>
        <w:rPr>
          <w:rFonts w:hint="eastAsia" w:asciiTheme="minorEastAsia" w:hAnsiTheme="minorEastAsia" w:eastAsiaTheme="minorEastAsia" w:cstheme="minorEastAsia"/>
          <w:color w:val="auto"/>
          <w:sz w:val="24"/>
          <w:szCs w:val="24"/>
          <w:highlight w:val="none"/>
        </w:rPr>
        <w:t xml:space="preserve">先生    </w:t>
      </w:r>
    </w:p>
    <w:p>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监督投诉电话：0579-84123011          </w:t>
      </w:r>
    </w:p>
    <w:p>
      <w:pPr>
        <w:keepNext w:val="0"/>
        <w:keepLines w:val="0"/>
        <w:pageBreakBefore w:val="0"/>
        <w:kinsoku/>
        <w:wordWrap/>
        <w:overflowPunct/>
        <w:topLinePunct w:val="0"/>
        <w:autoSpaceDE/>
        <w:autoSpaceDN/>
        <w:bidi w:val="0"/>
        <w:adjustRightInd w:val="0"/>
        <w:spacing w:line="324" w:lineRule="auto"/>
        <w:ind w:firstLine="480" w:firstLineChars="200"/>
        <w:jc w:val="righ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2023年9月18日</w:t>
      </w:r>
    </w:p>
    <w:p>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sz w:val="24"/>
          <w:szCs w:val="24"/>
          <w:highlight w:val="none"/>
          <w:lang w:val="en-US" w:eastAsia="zh-CN"/>
        </w:rPr>
        <w:t>95763</w:t>
      </w:r>
      <w:r>
        <w:rPr>
          <w:rFonts w:hint="eastAsia" w:asciiTheme="minorEastAsia" w:hAnsiTheme="minorEastAsia" w:eastAsiaTheme="minorEastAsia" w:cstheme="minorEastAsia"/>
          <w:color w:val="auto"/>
          <w:sz w:val="24"/>
          <w:szCs w:val="24"/>
          <w:highlight w:val="none"/>
        </w:rPr>
        <w:t>获取热线服务帮助。</w:t>
      </w:r>
    </w:p>
    <w:p>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CA问题联系电话（人工）：汇信CA 400-888-4636；天谷CA 400-087-8198。</w:t>
      </w:r>
    </w:p>
    <w:p>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val="en-US" w:eastAsia="zh-CN"/>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二</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20"/>
          <w:highlight w:val="none"/>
          <w:lang w:val="en-US" w:eastAsia="zh-CN"/>
        </w:rPr>
        <w:t xml:space="preserve"> 投标人须知</w:t>
      </w:r>
    </w:p>
    <w:p>
      <w:pPr>
        <w:kinsoku/>
        <w:wordWrap/>
        <w:overflowPunct/>
        <w:topLinePunct w:val="0"/>
        <w:bidi w:val="0"/>
        <w:adjustRightInd w:val="0"/>
        <w:snapToGrid/>
        <w:spacing w:line="360" w:lineRule="auto"/>
        <w:jc w:val="center"/>
        <w:outlineLvl w:val="1"/>
        <w:rPr>
          <w:rFonts w:hint="eastAsia" w:asciiTheme="minorEastAsia" w:hAnsiTheme="minorEastAsia" w:eastAsiaTheme="minorEastAsia" w:cstheme="minorEastAsia"/>
          <w:b/>
          <w:i w:val="0"/>
          <w:iCs w:val="0"/>
          <w:color w:val="auto"/>
          <w:sz w:val="32"/>
          <w:highlight w:val="none"/>
        </w:rPr>
      </w:pPr>
      <w:bookmarkStart w:id="0" w:name="_Toc12650"/>
      <w:r>
        <w:rPr>
          <w:rFonts w:hint="eastAsia" w:asciiTheme="minorEastAsia" w:hAnsiTheme="minorEastAsia" w:eastAsiaTheme="minorEastAsia" w:cstheme="minorEastAsia"/>
          <w:b/>
          <w:i w:val="0"/>
          <w:iCs w:val="0"/>
          <w:color w:val="auto"/>
          <w:sz w:val="32"/>
          <w:highlight w:val="none"/>
        </w:rPr>
        <w:t>前附表</w:t>
      </w:r>
      <w:bookmarkEnd w:id="0"/>
    </w:p>
    <w:tbl>
      <w:tblPr>
        <w:tblStyle w:val="24"/>
        <w:tblW w:w="97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124"/>
        <w:gridCol w:w="76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1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条款号</w:t>
            </w:r>
          </w:p>
        </w:tc>
        <w:tc>
          <w:tcPr>
            <w:tcW w:w="112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条款</w:t>
            </w:r>
          </w:p>
        </w:tc>
        <w:tc>
          <w:tcPr>
            <w:tcW w:w="769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条款内容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项目名称</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2023年浦江县农村污水处理设施建设改造项目（第三批）仙华街道、郑家坞镇设备采购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项目编号</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ZJKXGK2070012023018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采购方式</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公开招标（电子招投标）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4</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项目概况</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采购内容：</w:t>
            </w: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详见“第</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三</w:t>
            </w: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部分 采购需求”。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项目实施地点：</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金华市浦江县</w:t>
            </w: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5</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采购</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预算</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采购预算：</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8680000元，</w:t>
            </w: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最高限价：</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8680000元。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6</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采购人</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名称：浦江县住房和城乡建设局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地址：浦江县月泉东路66号</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项目联系人（询问）：傅先生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项目联系方式（询问）：13868915304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7</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采购代理机构</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名称：浙江科信联合工程项目管理咨询有限公司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地址：浦江县农批市场A1-213</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项目联系人（询问）：金女士</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TW"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项目联系方式（询问）：0579-84123833、13456323069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8</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电子交易平台</w:t>
            </w:r>
          </w:p>
        </w:tc>
        <w:tc>
          <w:tcPr>
            <w:tcW w:w="76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sz w:val="21"/>
                <w:szCs w:val="21"/>
                <w:highlight w:val="none"/>
                <w:lang w:val="en-US" w:eastAsia="zh-CN"/>
              </w:rPr>
              <w:t>浙江政府采购网政府采购云平台（政采云平台）（www.zcygov.cn）。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▲9</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资格</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条件</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满足《中华人民共和国政府采购法》第二十二条规定；未被“信用中国”（www.creditchina.gov.cn)、中国政府采购网（www.ccgp.gov.cn）列入失信被执行人、</w:t>
            </w:r>
            <w:r>
              <w:rPr>
                <w:rFonts w:hint="eastAsia" w:asciiTheme="minorEastAsia" w:hAnsiTheme="minorEastAsia" w:eastAsiaTheme="minorEastAsia" w:cstheme="minorEastAsia"/>
                <w:color w:val="auto"/>
                <w:sz w:val="21"/>
                <w:szCs w:val="21"/>
                <w:highlight w:val="none"/>
                <w:lang w:val="zh-TW" w:eastAsia="zh-CN"/>
              </w:rPr>
              <w:t>重大税收违法失信主体</w:t>
            </w:r>
            <w:r>
              <w:rPr>
                <w:rFonts w:hint="eastAsia" w:asciiTheme="minorEastAsia" w:hAnsiTheme="minorEastAsia" w:eastAsiaTheme="minorEastAsia" w:cstheme="minorEastAsia"/>
                <w:color w:val="auto"/>
                <w:sz w:val="21"/>
                <w:szCs w:val="21"/>
                <w:highlight w:val="none"/>
                <w:lang w:val="zh-TW" w:eastAsia="zh-TW"/>
              </w:rPr>
              <w:t>、政府采购严重违法失信行为记录名单。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TW" w:eastAsia="zh-TW"/>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落实政府采购政策需满足的资格要求：</w:t>
            </w:r>
            <w:r>
              <w:rPr>
                <w:rFonts w:hint="eastAsia" w:asciiTheme="minorEastAsia" w:hAnsiTheme="minorEastAsia" w:eastAsiaTheme="minorEastAsia" w:cstheme="minorEastAsia"/>
                <w:color w:val="auto"/>
                <w:sz w:val="21"/>
                <w:szCs w:val="21"/>
                <w:highlight w:val="none"/>
              </w:rPr>
              <w:t>本项目专门面向中小企业采购，货物全部由符合政策要求的中小企业制造</w:t>
            </w:r>
            <w:r>
              <w:rPr>
                <w:rFonts w:hint="eastAsia" w:asciiTheme="minorEastAsia" w:hAnsiTheme="minorEastAsia" w:eastAsiaTheme="minorEastAsia" w:cstheme="minorEastAsia"/>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TW" w:eastAsia="zh-TW"/>
              </w:rPr>
              <w:t>3</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本项目的特定资格要求：</w:t>
            </w:r>
            <w:r>
              <w:rPr>
                <w:rFonts w:hint="eastAsia" w:asciiTheme="minorEastAsia" w:hAnsiTheme="minorEastAsia" w:eastAsiaTheme="minorEastAsia" w:cstheme="minorEastAsia"/>
                <w:color w:val="auto"/>
                <w:sz w:val="21"/>
                <w:szCs w:val="21"/>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资格审查资料：相关证件等复印件或扫描件，投标声明书（格式附后），资格承诺函（格式附后）。</w:t>
            </w:r>
          </w:p>
          <w:p>
            <w:pPr>
              <w:pStyle w:val="21"/>
              <w:spacing w:line="360" w:lineRule="auto"/>
              <w:ind w:left="0" w:leftChars="0" w:firstLine="0" w:firstLineChars="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spacing w:val="0"/>
                <w:kern w:val="0"/>
                <w:sz w:val="21"/>
                <w:szCs w:val="21"/>
                <w:highlight w:val="none"/>
                <w:lang w:val="en-US" w:eastAsia="zh-CN" w:bidi="ar-SA"/>
              </w:rPr>
              <w:t>注：如联合体参加投标的，另须提供联合体协议书，并联合体各方均须提供相关证件等复印件或扫描件，投标声明书（格式附后），资格承诺函（格式附后）。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10</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联合体</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color w:val="auto"/>
                <w:sz w:val="21"/>
                <w:szCs w:val="21"/>
                <w:highlight w:val="none"/>
              </w:rPr>
              <w:sym w:font="Wingdings" w:char="00FE"/>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本项目接受联合体投标。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b/>
                <w:bCs w:val="0"/>
                <w:i w:val="0"/>
                <w:iCs w:val="0"/>
                <w:color w:val="auto"/>
                <w:kern w:val="10"/>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如投标人组成联合体中标的，在项目实施中，采购人将直接向联合体牵头人支付项目预付款、项目进度款和项目结算款等。联合体各方请自行协议各方的权利、义务。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11</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招标文件获取</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b w:val="0"/>
                <w:bCs/>
                <w:i w:val="0"/>
                <w:iCs w:val="0"/>
                <w:color w:val="auto"/>
                <w:kern w:val="10"/>
                <w:sz w:val="21"/>
                <w:szCs w:val="21"/>
                <w:highlight w:val="none"/>
                <w:lang w:val="en-US" w:eastAsia="zh-CN" w:bidi="ar-SA"/>
              </w:rPr>
            </w:pPr>
            <w:r>
              <w:rPr>
                <w:rFonts w:hint="eastAsia" w:asciiTheme="minorEastAsia" w:hAnsiTheme="minorEastAsia" w:eastAsiaTheme="minorEastAsia" w:cstheme="minorEastAsia"/>
                <w:b/>
                <w:bCs w:val="0"/>
                <w:i w:val="0"/>
                <w:iCs w:val="0"/>
                <w:color w:val="auto"/>
                <w:kern w:val="10"/>
                <w:sz w:val="21"/>
                <w:szCs w:val="21"/>
                <w:highlight w:val="none"/>
                <w:lang w:val="en-US" w:eastAsia="zh-CN" w:bidi="ar-SA"/>
              </w:rPr>
              <w:t>获取方式：</w:t>
            </w:r>
            <w:r>
              <w:rPr>
                <w:rFonts w:hint="eastAsia" w:asciiTheme="minorEastAsia" w:hAnsiTheme="minorEastAsia" w:eastAsiaTheme="minorEastAsia" w:cstheme="minorEastAsia"/>
                <w:i w:val="0"/>
                <w:iCs w:val="0"/>
                <w:color w:val="auto"/>
                <w:kern w:val="2"/>
                <w:sz w:val="21"/>
                <w:szCs w:val="21"/>
                <w:highlight w:val="none"/>
                <w:lang w:val="en-US" w:eastAsia="zh-CN" w:bidi="ar-SA"/>
              </w:rPr>
              <w:t>政采云平台（www.zcygov.cn）用户登录-项目采购-获取采购文件-申请完成-下载文件</w:t>
            </w:r>
            <w:r>
              <w:rPr>
                <w:rFonts w:hint="eastAsia" w:asciiTheme="minorEastAsia" w:hAnsiTheme="minorEastAsia" w:eastAsiaTheme="minorEastAsia" w:cstheme="minorEastAsia"/>
                <w:b w:val="0"/>
                <w:bCs/>
                <w:i w:val="0"/>
                <w:iCs w:val="0"/>
                <w:color w:val="auto"/>
                <w:kern w:val="1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b w:val="0"/>
                <w:bCs/>
                <w:i w:val="0"/>
                <w:iCs w:val="0"/>
                <w:color w:val="auto"/>
                <w:kern w:val="10"/>
                <w:sz w:val="21"/>
                <w:szCs w:val="21"/>
                <w:highlight w:val="none"/>
                <w:lang w:val="en-US" w:eastAsia="zh-CN" w:bidi="ar-SA"/>
              </w:rPr>
            </w:pPr>
            <w:r>
              <w:rPr>
                <w:rFonts w:hint="eastAsia" w:asciiTheme="minorEastAsia" w:hAnsiTheme="minorEastAsia" w:eastAsiaTheme="minorEastAsia" w:cstheme="minorEastAsia"/>
                <w:b/>
                <w:bCs w:val="0"/>
                <w:i w:val="0"/>
                <w:iCs w:val="0"/>
                <w:color w:val="auto"/>
                <w:kern w:val="10"/>
                <w:sz w:val="21"/>
                <w:szCs w:val="21"/>
                <w:highlight w:val="none"/>
                <w:lang w:val="en-US" w:eastAsia="zh-CN" w:bidi="ar-SA"/>
              </w:rPr>
              <w:t>获取状态：</w:t>
            </w:r>
            <w:r>
              <w:rPr>
                <w:rFonts w:hint="eastAsia" w:asciiTheme="minorEastAsia" w:hAnsiTheme="minorEastAsia" w:eastAsiaTheme="minorEastAsia" w:cstheme="minorEastAsia"/>
                <w:i w:val="0"/>
                <w:iCs w:val="0"/>
                <w:color w:val="auto"/>
                <w:kern w:val="2"/>
                <w:sz w:val="21"/>
                <w:szCs w:val="21"/>
                <w:highlight w:val="none"/>
                <w:lang w:val="en-US" w:eastAsia="zh-CN" w:bidi="ar-SA"/>
              </w:rPr>
              <w:t>政采云平台（www.zcygov.cn）</w:t>
            </w:r>
            <w:r>
              <w:rPr>
                <w:rFonts w:hint="eastAsia" w:asciiTheme="minorEastAsia" w:hAnsiTheme="minorEastAsia" w:eastAsiaTheme="minorEastAsia" w:cstheme="minorEastAsia"/>
                <w:b w:val="0"/>
                <w:bCs/>
                <w:i w:val="0"/>
                <w:iCs w:val="0"/>
                <w:color w:val="auto"/>
                <w:kern w:val="10"/>
                <w:sz w:val="21"/>
                <w:szCs w:val="21"/>
                <w:highlight w:val="none"/>
                <w:lang w:val="en-US" w:eastAsia="zh-CN" w:bidi="ar-SA"/>
              </w:rPr>
              <w:t>用户登录-项目采购-获取采购文件-已申请-状态。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12</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开标前答疑会或现场考察</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不组织。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组织，时间为：/年/月/日至/年/月/日（上午/至下午/），联系人：/，联系方式：/。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▲13</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报价要求</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有关本项目实施所需的货款、标准附件、备品备件、专用工具、包装、运输、装卸、安装调试、管理费、利润、风险费、保险、税金、培训、技术指导、服务、专利费（著作权）、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投标报价出现下列情形的，投标无效：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▲投标文件出现不是唯一的、有选择性投标报价的；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▲投标文件有采购人不能接受的附加条件的；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▲《开标一览表》填写不完整或字迹不能辨认或有漏项的；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▲投标人对根据修正原则修正后的报价不确认的。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▲不符合法律、法规和本招标文件规定的其他实质性要求的。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▲14</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交货时间</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土建完成后20日历天内完成安装调试并经验收通过。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15</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付款方式</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sz w:val="21"/>
                <w:szCs w:val="21"/>
                <w:highlight w:val="none"/>
                <w:lang w:val="en-US" w:eastAsia="zh-CN"/>
              </w:rPr>
              <w:t>签订合同并具备实施条件后7个工作日内，采购人凭发票向中标人支付合同价款的40%作为预付款（中标人需出具同金额预付款保函。如中标人明确表示无需预付款或者主动要求降低预付款比例的，采购人可不支付或减少预付款支付比例），主要设备到场凭发票支付合同价款的40%，安装、调试、水质验收合格后10个工作日内凭发票付清余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▲16</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投标文件有效期</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自投标截止日起</w:t>
            </w:r>
            <w:r>
              <w:rPr>
                <w:rFonts w:hint="eastAsia" w:asciiTheme="minorEastAsia" w:hAnsiTheme="minorEastAsia" w:eastAsiaTheme="minorEastAsia" w:cstheme="minorEastAsia"/>
                <w:i w:val="0"/>
                <w:iCs w:val="0"/>
                <w:color w:val="auto"/>
                <w:kern w:val="2"/>
                <w:sz w:val="21"/>
                <w:szCs w:val="21"/>
                <w:highlight w:val="none"/>
                <w:u w:val="single"/>
                <w:lang w:val="en-US" w:eastAsia="zh-CN" w:bidi="ar-SA"/>
              </w:rPr>
              <w:t>120</w:t>
            </w:r>
            <w:r>
              <w:rPr>
                <w:rFonts w:hint="eastAsia" w:asciiTheme="minorEastAsia" w:hAnsiTheme="minorEastAsia" w:eastAsiaTheme="minorEastAsia" w:cstheme="minorEastAsia"/>
                <w:i w:val="0"/>
                <w:iCs w:val="0"/>
                <w:color w:val="auto"/>
                <w:kern w:val="2"/>
                <w:sz w:val="21"/>
                <w:szCs w:val="21"/>
                <w:highlight w:val="none"/>
                <w:lang w:val="en-US" w:eastAsia="zh-CN" w:bidi="ar-SA"/>
              </w:rPr>
              <w:t>天内有效。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▲17</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履约保证金</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不要求。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要求。</w:t>
            </w:r>
            <w:r>
              <w:rPr>
                <w:rFonts w:hint="eastAsia" w:asciiTheme="minorEastAsia" w:hAnsiTheme="minorEastAsia" w:eastAsiaTheme="minorEastAsia" w:cstheme="minorEastAsia"/>
                <w:b/>
                <w:bCs/>
                <w:i w:val="0"/>
                <w:iCs w:val="0"/>
                <w:color w:val="auto"/>
                <w:kern w:val="2"/>
                <w:sz w:val="21"/>
                <w:szCs w:val="21"/>
                <w:highlight w:val="none"/>
                <w:lang w:val="en-US" w:eastAsia="zh-CN" w:bidi="ar-SA"/>
              </w:rPr>
              <w:t>履约保证金的数额为政府采购合同金额的</w:t>
            </w:r>
            <w:r>
              <w:rPr>
                <w:rFonts w:hint="eastAsia" w:asciiTheme="minorEastAsia" w:hAnsiTheme="minorEastAsia" w:eastAsiaTheme="minorEastAsia" w:cstheme="minorEastAsia"/>
                <w:b/>
                <w:bCs/>
                <w:i w:val="0"/>
                <w:iCs w:val="0"/>
                <w:color w:val="auto"/>
                <w:kern w:val="2"/>
                <w:sz w:val="21"/>
                <w:szCs w:val="21"/>
                <w:highlight w:val="none"/>
                <w:u w:val="single"/>
                <w:lang w:val="en-US" w:eastAsia="zh-CN" w:bidi="ar-SA"/>
              </w:rPr>
              <w:t xml:space="preserve"> 1% </w:t>
            </w:r>
            <w:r>
              <w:rPr>
                <w:rFonts w:hint="eastAsia" w:asciiTheme="minorEastAsia" w:hAnsiTheme="minorEastAsia" w:eastAsiaTheme="minorEastAsia" w:cstheme="minorEastAsia"/>
                <w:b/>
                <w:bCs/>
                <w:i w:val="0"/>
                <w:iCs w:val="0"/>
                <w:color w:val="auto"/>
                <w:kern w:val="2"/>
                <w:sz w:val="21"/>
                <w:szCs w:val="21"/>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履约保证金缴纳的形式：</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供</w:t>
            </w:r>
            <w:r>
              <w:rPr>
                <w:rFonts w:hint="eastAsia" w:asciiTheme="minorEastAsia" w:hAnsiTheme="minorEastAsia" w:eastAsiaTheme="minorEastAsia" w:cstheme="minorEastAsia"/>
                <w:i w:val="0"/>
                <w:iCs w:val="0"/>
                <w:color w:val="auto"/>
                <w:kern w:val="2"/>
                <w:sz w:val="21"/>
                <w:szCs w:val="21"/>
                <w:highlight w:val="none"/>
                <w:lang w:val="en-US" w:eastAsia="zh-CN" w:bidi="ar-SA"/>
              </w:rPr>
              <w:t>应商应当以支票或汇票或本票或者金融机构、担保机构出具的保函等非现金形式提交。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￭履约保证金形式为支票或汇票或本票（账户另行通知）的，履约保证金待验收通过后视履约情况到采购人处办理履约保证金的退还手续。</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履约保证金退还时间</w:t>
            </w:r>
            <w:r>
              <w:rPr>
                <w:rFonts w:hint="eastAsia" w:asciiTheme="minorEastAsia" w:hAnsiTheme="minorEastAsia" w:eastAsiaTheme="minorEastAsia" w:cstheme="minorEastAsia"/>
                <w:i w:val="0"/>
                <w:iCs w:val="0"/>
                <w:color w:val="auto"/>
                <w:kern w:val="2"/>
                <w:sz w:val="21"/>
                <w:szCs w:val="21"/>
                <w:highlight w:val="none"/>
                <w:lang w:val="en-US" w:eastAsia="zh-CN" w:bidi="ar-SA"/>
              </w:rPr>
              <w:t>：项目验收合格并经采购人认可后无息退还。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▲18</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质量保证期（或保修期）</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质量保证期（或保修期）：</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验收合格后至少1年；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中标人应保证合同项下所发产品完全是崭新的且生产日期为近一年内。在质量保证期内，中标人应负责修理和替换不合格的部件并承担一切费用。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19</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分包</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color w:val="auto"/>
                <w:kern w:val="0"/>
                <w:sz w:val="21"/>
                <w:szCs w:val="21"/>
                <w:highlight w:val="none"/>
                <w:lang w:val="en-US" w:eastAsia="zh-CN" w:bidi="ar-SA"/>
              </w:rPr>
              <w:t>A</w:t>
            </w:r>
            <w:r>
              <w:rPr>
                <w:rFonts w:hint="eastAsia" w:asciiTheme="minorEastAsia" w:hAnsiTheme="minorEastAsia" w:eastAsiaTheme="minorEastAsia" w:cstheme="minorEastAsia"/>
                <w:color w:val="auto"/>
                <w:kern w:val="2"/>
                <w:sz w:val="21"/>
                <w:szCs w:val="21"/>
                <w:highlight w:val="none"/>
                <w:lang w:val="en-US" w:eastAsia="zh-CN" w:bidi="ar-SA"/>
              </w:rPr>
              <w:t>同意将非主体、非关键性的工作分包，须有相应资质和能力，并事前须得到采购人同意。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A8"/>
            </w:r>
            <w:r>
              <w:rPr>
                <w:rFonts w:hint="eastAsia" w:asciiTheme="minorEastAsia" w:hAnsiTheme="minorEastAsia" w:eastAsiaTheme="minorEastAsia" w:cstheme="minorEastAsia"/>
                <w:color w:val="auto"/>
                <w:kern w:val="0"/>
                <w:sz w:val="21"/>
                <w:szCs w:val="21"/>
                <w:highlight w:val="none"/>
                <w:lang w:val="en-US" w:eastAsia="zh-CN" w:bidi="ar-SA"/>
              </w:rPr>
              <w:t>B</w:t>
            </w:r>
            <w:r>
              <w:rPr>
                <w:rFonts w:hint="eastAsia" w:asciiTheme="minorEastAsia" w:hAnsiTheme="minorEastAsia" w:eastAsiaTheme="minorEastAsia" w:cstheme="minorEastAsia"/>
                <w:color w:val="auto"/>
                <w:kern w:val="2"/>
                <w:sz w:val="21"/>
                <w:szCs w:val="21"/>
                <w:highlight w:val="none"/>
                <w:lang w:val="en-US" w:eastAsia="zh-CN" w:bidi="ar-SA"/>
              </w:rPr>
              <w:t>不同意分包。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9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20</w:t>
            </w:r>
          </w:p>
        </w:tc>
        <w:tc>
          <w:tcPr>
            <w:tcW w:w="112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投标文件的上传和递交</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电子加密投标文件的上传、递交：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a.投标人应在投标截止时间前将“电子加密投标文件”成功上传递交至“政府采购云平台”，否则投标无效。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b.投标文件递交的截止时间：2023年10月9日9时30分（北京时间）。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c.电子加密投标文件成功上传递交后，投标人可自行打印投标文件接收回执。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9" w:hRule="atLeast"/>
        </w:trPr>
        <w:tc>
          <w:tcPr>
            <w:tcW w:w="9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p>
        </w:tc>
        <w:tc>
          <w:tcPr>
            <w:tcW w:w="112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电子备份投标文件的递交：</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投标人</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如需要递交备份投标文件（后缀格式为.bfbs）的，请将</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u盘或DVD光盘形式</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的备份投标文件密封包装后以邮寄形式递交。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邮寄地址：浙江省金华市浦江县农副产品批发交易市场A1幢213号浙江科信，金女士收，联系方式：0579-84123833、13456323069，邮编：322200，逾期送达、未按指定地点送达或未密封将予以拒收。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截止签收时间：同投标文件递交的截止时间。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电子备份投标文件的密封：</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外包装须注明项目名称、项目编号、投标截止时间并加盖公章。(联合体投标的，包装物封面需注明联合体投标，并注明联合体成员各方的名称和联合协议中约定的牵头人的名称)。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未按要求密封和标志的电子备份投标文件，被遗漏、误拆是投标人的责任。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21</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投标文件开启</w:t>
            </w:r>
          </w:p>
        </w:tc>
        <w:tc>
          <w:tcPr>
            <w:tcW w:w="76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时间：</w:t>
            </w:r>
            <w:r>
              <w:rPr>
                <w:rFonts w:hint="eastAsia" w:asciiTheme="minorEastAsia" w:hAnsiTheme="minorEastAsia" w:eastAsiaTheme="minorEastAsia" w:cstheme="minorEastAsia"/>
                <w:b/>
                <w:bCs/>
                <w:i w:val="0"/>
                <w:iCs w:val="0"/>
                <w:color w:val="auto"/>
                <w:kern w:val="2"/>
                <w:sz w:val="21"/>
                <w:szCs w:val="21"/>
                <w:highlight w:val="none"/>
                <w:u w:val="none"/>
                <w:lang w:val="en-US" w:eastAsia="zh-CN" w:bidi="ar-SA"/>
              </w:rPr>
              <w:t>2023年10月9日9时30分（北京时间）。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地点：</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政采云平台（www.zcygov.cn）。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22</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解密时间</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投标文件解密时间为首次投标文件开启后30分钟。（以电子交易平台设定时间为准）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23</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解密失败的异常处理</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投标文件未按时解密且未提供备份投标文件的，视为投标文件撤回，后果由投标人自行承担。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24</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活动现场确认声明</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投标人名单公布后</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30分钟内</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，投标人通过邮件形式发送经授权代表签署的《政府采购活动现场确认声明书》（格式见附件），扫描件发至代理机构经办人邮箱：514383378@qq.com，联系人：金女士，电话：</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0579-84123833、13456323069</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未按规定发送的，视为无异议，后果由投标人承担。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25</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采购标的对应的中小企业划分标准所属行业</w:t>
            </w:r>
          </w:p>
        </w:tc>
        <w:tc>
          <w:tcPr>
            <w:tcW w:w="7695" w:type="dxa"/>
            <w:tcBorders>
              <w:tl2br w:val="nil"/>
              <w:tr2bl w:val="nil"/>
            </w:tcBorders>
            <w:noWrap w:val="0"/>
            <w:vAlign w:val="center"/>
          </w:tcPr>
          <w:p>
            <w:pPr>
              <w:numPr>
                <w:ilvl w:val="0"/>
                <w:numId w:val="0"/>
              </w:numPr>
              <w:adjustRightInd w:val="0"/>
              <w:snapToGrid w:val="0"/>
              <w:spacing w:line="360" w:lineRule="auto"/>
              <w:rPr>
                <w:rFonts w:hint="eastAsia" w:asciiTheme="minorEastAsia" w:hAnsiTheme="minorEastAsia" w:eastAsiaTheme="minorEastAsia" w:cstheme="minorEastAsia"/>
                <w:bCs/>
                <w:snapToGrid w:val="0"/>
                <w:color w:val="auto"/>
                <w:kern w:val="0"/>
                <w:sz w:val="21"/>
                <w:szCs w:val="21"/>
                <w:highlight w:val="none"/>
                <w:lang w:eastAsia="zh-CN"/>
              </w:rPr>
            </w:pPr>
            <w:r>
              <w:rPr>
                <w:rFonts w:hint="eastAsia" w:asciiTheme="minorEastAsia" w:hAnsiTheme="minorEastAsia" w:eastAsiaTheme="minorEastAsia" w:cstheme="minorEastAsia"/>
                <w:bCs/>
                <w:snapToGrid w:val="0"/>
                <w:color w:val="auto"/>
                <w:kern w:val="0"/>
                <w:sz w:val="21"/>
                <w:szCs w:val="21"/>
                <w:highlight w:val="none"/>
                <w:lang w:val="en-US" w:eastAsia="zh-CN"/>
              </w:rPr>
              <w:t>1.</w:t>
            </w:r>
            <w:r>
              <w:rPr>
                <w:rFonts w:hint="eastAsia" w:asciiTheme="minorEastAsia" w:hAnsiTheme="minorEastAsia" w:eastAsiaTheme="minorEastAsia" w:cstheme="minorEastAsia"/>
                <w:bCs/>
                <w:snapToGrid w:val="0"/>
                <w:color w:val="auto"/>
                <w:kern w:val="0"/>
                <w:sz w:val="21"/>
                <w:szCs w:val="21"/>
                <w:highlight w:val="none"/>
                <w:lang w:eastAsia="zh-CN"/>
              </w:rPr>
              <w:t>本项目</w:t>
            </w:r>
            <w:r>
              <w:rPr>
                <w:rFonts w:hint="eastAsia" w:asciiTheme="minorEastAsia" w:hAnsiTheme="minorEastAsia" w:eastAsiaTheme="minorEastAsia" w:cstheme="minorEastAsia"/>
                <w:b/>
                <w:bCs w:val="0"/>
                <w:snapToGrid w:val="0"/>
                <w:color w:val="auto"/>
                <w:kern w:val="0"/>
                <w:sz w:val="21"/>
                <w:szCs w:val="21"/>
                <w:highlight w:val="none"/>
                <w:u w:val="single"/>
                <w:lang w:eastAsia="zh-CN"/>
              </w:rPr>
              <w:t>属于</w:t>
            </w:r>
            <w:r>
              <w:rPr>
                <w:rFonts w:hint="eastAsia" w:asciiTheme="minorEastAsia" w:hAnsiTheme="minorEastAsia" w:eastAsiaTheme="minorEastAsia" w:cstheme="minorEastAsia"/>
                <w:bCs/>
                <w:snapToGrid w:val="0"/>
                <w:color w:val="auto"/>
                <w:kern w:val="0"/>
                <w:sz w:val="21"/>
                <w:szCs w:val="21"/>
                <w:highlight w:val="none"/>
                <w:lang w:eastAsia="zh-CN"/>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val="0"/>
                <w:snapToGrid w:val="0"/>
                <w:color w:val="auto"/>
                <w:kern w:val="0"/>
                <w:sz w:val="21"/>
                <w:szCs w:val="21"/>
                <w:highlight w:val="none"/>
                <w:u w:val="single"/>
                <w:lang w:eastAsia="zh-CN"/>
              </w:rPr>
              <w:t>（二）工业</w:t>
            </w:r>
            <w:r>
              <w:rPr>
                <w:rFonts w:hint="eastAsia" w:asciiTheme="minorEastAsia" w:hAnsiTheme="minorEastAsia" w:eastAsiaTheme="minorEastAsia" w:cstheme="minorEastAsia"/>
                <w:bCs/>
                <w:snapToGrid w:val="0"/>
                <w:color w:val="auto"/>
                <w:kern w:val="0"/>
                <w:sz w:val="21"/>
                <w:szCs w:val="21"/>
                <w:highlight w:val="none"/>
                <w:lang w:eastAsia="zh-CN"/>
              </w:rPr>
              <w:t>。</w:t>
            </w:r>
          </w:p>
          <w:p>
            <w:pPr>
              <w:numPr>
                <w:ilvl w:val="0"/>
                <w:numId w:val="0"/>
              </w:numPr>
              <w:adjustRightInd w:val="0"/>
              <w:snapToGrid w:val="0"/>
              <w:spacing w:line="360" w:lineRule="auto"/>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Cs/>
                <w:snapToGrid w:val="0"/>
                <w:color w:val="auto"/>
                <w:kern w:val="0"/>
                <w:sz w:val="21"/>
                <w:szCs w:val="21"/>
                <w:highlight w:val="none"/>
                <w:lang w:val="en-US" w:eastAsia="zh-CN"/>
              </w:rPr>
              <w:t>2.</w:t>
            </w:r>
            <w:r>
              <w:rPr>
                <w:rFonts w:hint="eastAsia" w:asciiTheme="minorEastAsia" w:hAnsiTheme="minorEastAsia" w:eastAsiaTheme="minorEastAsia" w:cstheme="minorEastAsia"/>
                <w:bCs/>
                <w:snapToGrid w:val="0"/>
                <w:color w:val="auto"/>
                <w:kern w:val="0"/>
                <w:sz w:val="21"/>
                <w:szCs w:val="21"/>
                <w:highlight w:val="none"/>
                <w:lang w:eastAsia="zh-CN"/>
              </w:rPr>
              <w:t>残疾人福利性单位、监狱企业视同小型、微型企业，享受预留份额。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26</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中小企业扶持政策</w:t>
            </w:r>
          </w:p>
        </w:tc>
        <w:tc>
          <w:tcPr>
            <w:tcW w:w="76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sym w:font="Wingdings" w:char="00FE"/>
            </w:r>
            <w:r>
              <w:rPr>
                <w:rFonts w:hint="eastAsia" w:asciiTheme="minorEastAsia" w:hAnsiTheme="minorEastAsia" w:eastAsiaTheme="minorEastAsia" w:cstheme="minorEastAsia"/>
                <w:b/>
                <w:bCs/>
                <w:i w:val="0"/>
                <w:iCs w:val="0"/>
                <w:color w:val="auto"/>
                <w:sz w:val="21"/>
                <w:szCs w:val="21"/>
                <w:highlight w:val="none"/>
              </w:rPr>
              <w:t>本项目专门面向中小企业，不再进行价格政策扶持</w:t>
            </w:r>
            <w:r>
              <w:rPr>
                <w:rFonts w:hint="eastAsia" w:asciiTheme="minorEastAsia" w:hAnsiTheme="minorEastAsia" w:eastAsiaTheme="minorEastAsia" w:cstheme="minorEastAsia"/>
                <w:b/>
                <w:bCs/>
                <w:i w:val="0"/>
                <w:iCs w:val="0"/>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 w:val="0"/>
                <w:bCs w:val="0"/>
                <w:i w:val="0"/>
                <w:iCs w:val="0"/>
                <w:color w:val="auto"/>
                <w:sz w:val="21"/>
                <w:szCs w:val="21"/>
                <w:highlight w:val="none"/>
              </w:rPr>
              <w:t>本项目非专门面向中小企业，价格扣除</w:t>
            </w:r>
            <w:r>
              <w:rPr>
                <w:rFonts w:hint="eastAsia" w:asciiTheme="minorEastAsia" w:hAnsiTheme="minorEastAsia" w:eastAsiaTheme="minorEastAsia" w:cstheme="minorEastAsia"/>
                <w:b w:val="0"/>
                <w:bCs w:val="0"/>
                <w:i w:val="0"/>
                <w:iCs w:val="0"/>
                <w:color w:val="auto"/>
                <w:sz w:val="21"/>
                <w:szCs w:val="21"/>
                <w:highlight w:val="none"/>
                <w:lang w:eastAsia="zh-CN"/>
              </w:rPr>
              <w:t>：</w:t>
            </w:r>
          </w:p>
          <w:p>
            <w:pPr>
              <w:pStyle w:val="21"/>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1.投标人按照《关于印发中小企业划型标准规定的通知》（工信部联企业〔2011〕300号）的所属行业规定为小型、微型企业【注：按规定提供《中小企业声明函》】。</w:t>
            </w:r>
          </w:p>
          <w:p>
            <w:pPr>
              <w:pStyle w:val="21"/>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pPr>
              <w:pStyle w:val="21"/>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pPr>
              <w:pStyle w:val="21"/>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pPr>
              <w:pStyle w:val="21"/>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注：①残疾人福利性单位、监狱企业视同小型、微型企业，享受预留份额、评审中价格扣除等促进中小企业发展的政府采购政策，享受同样的价格扣除。</w:t>
            </w:r>
          </w:p>
          <w:p>
            <w:pPr>
              <w:pStyle w:val="21"/>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②残疾人福利性单位、监狱企业属于小型、微型企业的，不重复享受价格扣除优惠。</w:t>
            </w:r>
          </w:p>
          <w:p>
            <w:pPr>
              <w:pStyle w:val="21"/>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pPr>
              <w:pStyle w:val="21"/>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④联合体各方均为小型、微型企业的，联合体视同为小型、微型企业。</w:t>
            </w:r>
          </w:p>
          <w:p>
            <w:pPr>
              <w:pStyle w:val="21"/>
              <w:spacing w:line="360" w:lineRule="auto"/>
              <w:ind w:left="0" w:leftChars="0" w:firstLine="0" w:firstLineChars="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⑤未提供以上材料的，均不给予价格扣除。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27</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信用记录查询</w:t>
            </w:r>
          </w:p>
        </w:tc>
        <w:tc>
          <w:tcPr>
            <w:tcW w:w="76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信用记录查询：</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根据《关于在政府采购活动中查询及使用信用记录有关问题的通知》财库[2016]125号文件的规定执行：</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查询渠道：</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信用中国（www.creditchina.gov.cn）、中国政府采购网（www.ccgp.gov.cn）；</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截止时点：</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提交投标文件截止时间前3年内；</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查询记录和证据的留存：</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信用信息查询记录和证据以网页截图等方式留存。</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使用规则：</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被列入失信被执行人、重大税收违法失信主体、政府采购严重违法失信行为记录名单及其他不符合《中华人民共和国政府采购法》第二十二条规定条件的，其投标将被拒绝。</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Cs/>
                <w:i w:val="0"/>
                <w:iCs w:val="0"/>
                <w:color w:val="auto"/>
                <w:sz w:val="21"/>
                <w:szCs w:val="21"/>
                <w:highlight w:val="none"/>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联合体信用信息查询：</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TW"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28</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质疑</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t>质疑：</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投标人</w:t>
            </w:r>
            <w:r>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t>在法定质疑期内应当一次性提出针对同一采购程序环节的质疑。</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t>接收质疑函的方式：</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①纸质</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TW" w:bidi="ar-SA"/>
              </w:rPr>
              <w:t>形式</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以快递方式送达</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TW" w:bidi="ar-SA"/>
              </w:rPr>
              <w:t>。联系人：</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刘先生</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TW" w:bidi="ar-SA"/>
              </w:rPr>
              <w:t>，联系电话：13857919166，地址：浦江县农批市场A1-213</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科信</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同时请将质疑函的word格式文件发送至邮箱：</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790892545</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TW" w:bidi="ar-SA"/>
              </w:rPr>
              <w:t>@qq.com。</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②在线质疑菜单路径：应用中心-项目采购-询问质疑投诉-质疑列表，具体操作详见“政府采购项目电子交易管理操作指南-供应商” （https://service.zcygov.cn/#/knowledges/CW1EtGwBFdiHxlNd6I3m/6IMVAG0BFdiHxlNdQ8Na）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29</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节能产品、环境标志产品政策</w:t>
            </w:r>
          </w:p>
        </w:tc>
        <w:tc>
          <w:tcPr>
            <w:tcW w:w="769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 w:val="0"/>
                <w:bCs w:val="0"/>
                <w:i w:val="0"/>
                <w:iCs w:val="0"/>
                <w:color w:val="auto"/>
                <w:sz w:val="21"/>
                <w:szCs w:val="21"/>
                <w:highlight w:val="none"/>
              </w:rPr>
              <w:t>本项目为服务项目，不适用节能环保政策</w:t>
            </w:r>
            <w:r>
              <w:rPr>
                <w:rFonts w:hint="eastAsia" w:asciiTheme="minorEastAsia" w:hAnsiTheme="minorEastAsia" w:eastAsiaTheme="minorEastAsia" w:cstheme="minorEastAsia"/>
                <w:b w:val="0"/>
                <w:bCs w:val="0"/>
                <w:i w:val="0"/>
                <w:iCs w:val="0"/>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i w:val="0"/>
                <w:iCs w:val="0"/>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sym w:font="Wingdings" w:char="00FE"/>
            </w:r>
            <w:r>
              <w:rPr>
                <w:rFonts w:hint="eastAsia" w:asciiTheme="minorEastAsia" w:hAnsiTheme="minorEastAsia" w:eastAsiaTheme="minorEastAsia" w:cstheme="minorEastAsia"/>
                <w:i w:val="0"/>
                <w:iCs w:val="0"/>
                <w:color w:val="auto"/>
                <w:sz w:val="21"/>
                <w:szCs w:val="21"/>
                <w:highlight w:val="none"/>
              </w:rPr>
              <w:t>根据</w:t>
            </w:r>
            <w:r>
              <w:rPr>
                <w:rFonts w:hint="eastAsia" w:asciiTheme="minorEastAsia" w:hAnsiTheme="minorEastAsia" w:eastAsiaTheme="minorEastAsia" w:cstheme="minorEastAsia"/>
                <w:i w:val="0"/>
                <w:iCs w:val="0"/>
                <w:color w:val="auto"/>
                <w:sz w:val="21"/>
                <w:szCs w:val="21"/>
                <w:highlight w:val="none"/>
                <w:lang w:eastAsia="zh-CN"/>
              </w:rPr>
              <w:t>《</w:t>
            </w:r>
            <w:r>
              <w:rPr>
                <w:rFonts w:hint="eastAsia" w:asciiTheme="minorEastAsia" w:hAnsiTheme="minorEastAsia" w:eastAsiaTheme="minorEastAsia" w:cstheme="minorEastAsia"/>
                <w:i w:val="0"/>
                <w:iCs w:val="0"/>
                <w:color w:val="auto"/>
                <w:sz w:val="21"/>
                <w:szCs w:val="21"/>
                <w:highlight w:val="none"/>
              </w:rPr>
              <w:t>关于调整优化节能产品、环境标志产品政府采购执行机制的通知</w:t>
            </w:r>
            <w:r>
              <w:rPr>
                <w:rFonts w:hint="eastAsia" w:asciiTheme="minorEastAsia" w:hAnsiTheme="minorEastAsia" w:eastAsiaTheme="minorEastAsia" w:cstheme="minorEastAsia"/>
                <w:i w:val="0"/>
                <w:iCs w:val="0"/>
                <w:color w:val="auto"/>
                <w:sz w:val="21"/>
                <w:szCs w:val="21"/>
                <w:highlight w:val="none"/>
                <w:lang w:eastAsia="zh-CN"/>
              </w:rPr>
              <w:t>》（</w:t>
            </w:r>
            <w:r>
              <w:rPr>
                <w:rFonts w:hint="eastAsia" w:asciiTheme="minorEastAsia" w:hAnsiTheme="minorEastAsia" w:eastAsiaTheme="minorEastAsia" w:cstheme="minorEastAsia"/>
                <w:i w:val="0"/>
                <w:iCs w:val="0"/>
                <w:color w:val="auto"/>
                <w:sz w:val="21"/>
                <w:szCs w:val="21"/>
                <w:highlight w:val="none"/>
              </w:rPr>
              <w:t>财库〔2019〕9号</w:t>
            </w:r>
            <w:r>
              <w:rPr>
                <w:rFonts w:hint="eastAsia" w:asciiTheme="minorEastAsia" w:hAnsiTheme="minorEastAsia" w:eastAsiaTheme="minorEastAsia" w:cstheme="minorEastAsia"/>
                <w:i w:val="0"/>
                <w:iCs w:val="0"/>
                <w:color w:val="auto"/>
                <w:sz w:val="21"/>
                <w:szCs w:val="21"/>
                <w:highlight w:val="none"/>
                <w:lang w:eastAsia="zh-CN"/>
              </w:rPr>
              <w:t>）文件的规定，</w:t>
            </w:r>
            <w:r>
              <w:rPr>
                <w:rFonts w:hint="eastAsia" w:asciiTheme="minorEastAsia" w:hAnsiTheme="minorEastAsia" w:eastAsiaTheme="minorEastAsia" w:cstheme="minorEastAsia"/>
                <w:i w:val="0"/>
                <w:iCs w:val="0"/>
                <w:color w:val="auto"/>
                <w:sz w:val="21"/>
                <w:szCs w:val="21"/>
                <w:highlight w:val="none"/>
              </w:rPr>
              <w:t>本项目如需采购节能产品、环境标志产品品目清单</w:t>
            </w:r>
            <w:r>
              <w:rPr>
                <w:rFonts w:hint="eastAsia" w:asciiTheme="minorEastAsia" w:hAnsiTheme="minorEastAsia" w:eastAsiaTheme="minorEastAsia" w:cstheme="minorEastAsia"/>
                <w:i w:val="0"/>
                <w:iCs w:val="0"/>
                <w:color w:val="auto"/>
                <w:sz w:val="21"/>
                <w:szCs w:val="21"/>
                <w:highlight w:val="none"/>
                <w:lang w:eastAsia="zh-CN"/>
              </w:rPr>
              <w:t>内的产品的</w:t>
            </w:r>
            <w:r>
              <w:rPr>
                <w:rFonts w:hint="eastAsia" w:asciiTheme="minorEastAsia" w:hAnsiTheme="minorEastAsia" w:eastAsiaTheme="minorEastAsia" w:cstheme="minorEastAsia"/>
                <w:i w:val="0"/>
                <w:iCs w:val="0"/>
                <w:color w:val="auto"/>
                <w:sz w:val="21"/>
                <w:szCs w:val="21"/>
                <w:highlight w:val="none"/>
              </w:rPr>
              <w:t>，</w:t>
            </w:r>
            <w:r>
              <w:rPr>
                <w:rFonts w:hint="eastAsia" w:asciiTheme="minorEastAsia" w:hAnsiTheme="minorEastAsia" w:eastAsiaTheme="minorEastAsia" w:cstheme="minorEastAsia"/>
                <w:i w:val="0"/>
                <w:iCs w:val="0"/>
                <w:color w:val="auto"/>
                <w:sz w:val="21"/>
                <w:szCs w:val="21"/>
                <w:highlight w:val="none"/>
                <w:lang w:eastAsia="zh-CN"/>
              </w:rPr>
              <w:t>供应商</w:t>
            </w:r>
            <w:r>
              <w:rPr>
                <w:rFonts w:hint="eastAsia" w:asciiTheme="minorEastAsia" w:hAnsiTheme="minorEastAsia" w:eastAsiaTheme="minorEastAsia" w:cstheme="minorEastAsia"/>
                <w:i w:val="0"/>
                <w:iCs w:val="0"/>
                <w:color w:val="auto"/>
                <w:sz w:val="21"/>
                <w:szCs w:val="21"/>
                <w:highlight w:val="none"/>
              </w:rPr>
              <w:t>所投的相应产品</w:t>
            </w:r>
            <w:r>
              <w:rPr>
                <w:rFonts w:hint="eastAsia" w:asciiTheme="minorEastAsia" w:hAnsiTheme="minorEastAsia" w:eastAsiaTheme="minorEastAsia" w:cstheme="minorEastAsia"/>
                <w:i w:val="0"/>
                <w:iCs w:val="0"/>
                <w:color w:val="auto"/>
                <w:sz w:val="21"/>
                <w:szCs w:val="21"/>
                <w:highlight w:val="none"/>
                <w:lang w:eastAsia="zh-CN"/>
              </w:rPr>
              <w:t>须提供经</w:t>
            </w:r>
            <w:r>
              <w:rPr>
                <w:rFonts w:hint="eastAsia" w:asciiTheme="minorEastAsia" w:hAnsiTheme="minorEastAsia" w:eastAsiaTheme="minorEastAsia" w:cstheme="minorEastAsia"/>
                <w:i w:val="0"/>
                <w:iCs w:val="0"/>
                <w:color w:val="auto"/>
                <w:sz w:val="21"/>
                <w:szCs w:val="21"/>
                <w:highlight w:val="none"/>
              </w:rPr>
              <w:t>国家确定的认证机构出具的、处于有效期之内的节能产品、环境标志产品认证证书，</w:t>
            </w:r>
            <w:r>
              <w:rPr>
                <w:rFonts w:hint="eastAsia" w:asciiTheme="minorEastAsia" w:hAnsiTheme="minorEastAsia" w:eastAsiaTheme="minorEastAsia" w:cstheme="minorEastAsia"/>
                <w:i w:val="0"/>
                <w:iCs w:val="0"/>
                <w:color w:val="auto"/>
                <w:sz w:val="21"/>
                <w:szCs w:val="21"/>
                <w:highlight w:val="none"/>
                <w:lang w:eastAsia="zh-CN"/>
              </w:rPr>
              <w:t>采购人</w:t>
            </w:r>
            <w:r>
              <w:rPr>
                <w:rFonts w:hint="eastAsia" w:asciiTheme="minorEastAsia" w:hAnsiTheme="minorEastAsia" w:eastAsiaTheme="minorEastAsia" w:cstheme="minorEastAsia"/>
                <w:i w:val="0"/>
                <w:iCs w:val="0"/>
                <w:color w:val="auto"/>
                <w:sz w:val="21"/>
                <w:szCs w:val="21"/>
                <w:highlight w:val="none"/>
              </w:rPr>
              <w:t>对获得证书的产品实施政府优先采购或强制采购。</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r>
              <w:rPr>
                <w:rFonts w:hint="eastAsia" w:asciiTheme="minorEastAsia" w:hAnsiTheme="minorEastAsia" w:eastAsiaTheme="minorEastAsia" w:cstheme="minorEastAsia"/>
                <w:b/>
                <w:bCs/>
                <w:i w:val="0"/>
                <w:iCs w:val="0"/>
                <w:color w:val="auto"/>
                <w:sz w:val="21"/>
                <w:szCs w:val="21"/>
                <w:highlight w:val="none"/>
                <w:lang w:eastAsia="zh-CN"/>
              </w:rPr>
              <w:t>提供中国政府采购网（www.ccgp.gov.cn）网页查询打印材料等说明材料。</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注：属于强制采购品目清单中的产品如未获得证书，其投标将被拒绝。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7"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30</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采购代理服务费</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i w:val="0"/>
                <w:i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bCs w:val="0"/>
                <w:i w:val="0"/>
                <w:iCs w:val="0"/>
                <w:color w:val="auto"/>
                <w:kern w:val="2"/>
                <w:sz w:val="21"/>
                <w:szCs w:val="21"/>
                <w:highlight w:val="none"/>
                <w:shd w:val="clear" w:color="auto" w:fill="auto"/>
                <w:lang w:val="en-US" w:eastAsia="zh-CN" w:bidi="ar-SA"/>
              </w:rPr>
              <w:t>收取标准</w:t>
            </w:r>
            <w:r>
              <w:rPr>
                <w:rFonts w:hint="eastAsia" w:asciiTheme="minorEastAsia" w:hAnsiTheme="minorEastAsia" w:eastAsiaTheme="minorEastAsia" w:cstheme="minorEastAsia"/>
                <w:b/>
                <w:bCs w:val="0"/>
                <w:i w:val="0"/>
                <w:iCs w:val="0"/>
                <w:color w:val="auto"/>
                <w:kern w:val="2"/>
                <w:sz w:val="21"/>
                <w:szCs w:val="21"/>
                <w:highlight w:val="none"/>
                <w:lang w:val="en-US" w:eastAsia="zh-CN" w:bidi="ar-SA"/>
              </w:rPr>
              <w:t>：</w:t>
            </w:r>
            <w:r>
              <w:rPr>
                <w:rFonts w:hint="eastAsia" w:asciiTheme="minorEastAsia" w:hAnsiTheme="minorEastAsia" w:eastAsiaTheme="minorEastAsia" w:cstheme="minorEastAsia"/>
                <w:bCs/>
                <w:i w:val="0"/>
                <w:iCs w:val="0"/>
                <w:color w:val="auto"/>
                <w:kern w:val="2"/>
                <w:sz w:val="21"/>
                <w:szCs w:val="21"/>
                <w:highlight w:val="none"/>
                <w:shd w:val="clear" w:color="auto" w:fill="auto"/>
                <w:lang w:val="en-US" w:eastAsia="zh-CN" w:bidi="ar-SA"/>
              </w:rPr>
              <w:t>本项目招标代理服务费以中标金额为基数，参照（计价格[2002]1980号）文件计算收取，费用由中标供应商承担。投标供应商报价时须综合考虑，由中标供应商在收到中标供应商的同时支付给采购代理机构。</w:t>
            </w:r>
            <w:bookmarkStart w:id="19" w:name="_GoBack"/>
            <w:bookmarkEnd w:id="19"/>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val="0"/>
                <w:i w:val="0"/>
                <w:iCs w:val="0"/>
                <w:color w:val="auto"/>
                <w:kern w:val="2"/>
                <w:sz w:val="21"/>
                <w:szCs w:val="21"/>
                <w:highlight w:val="none"/>
                <w:lang w:val="en-US" w:eastAsia="zh-CN" w:bidi="ar-SA"/>
              </w:rPr>
              <w:t>银行账户名称：浙江科信联合工程项目管理咨询有限公司浦江分公司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val="0"/>
                <w:i w:val="0"/>
                <w:iCs w:val="0"/>
                <w:color w:val="auto"/>
                <w:kern w:val="2"/>
                <w:sz w:val="21"/>
                <w:szCs w:val="21"/>
                <w:highlight w:val="none"/>
                <w:lang w:val="en-US" w:eastAsia="zh-CN" w:bidi="ar-SA"/>
              </w:rPr>
              <w:t>开户银行：上海浦东发展银行金华分行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i w:val="0"/>
                <w:iCs w:val="0"/>
                <w:color w:val="auto"/>
                <w:kern w:val="2"/>
                <w:sz w:val="21"/>
                <w:szCs w:val="21"/>
                <w:highlight w:val="none"/>
                <w:lang w:val="zh-TW" w:eastAsia="zh-TW" w:bidi="ar-SA"/>
              </w:rPr>
            </w:pPr>
            <w:r>
              <w:rPr>
                <w:rFonts w:hint="eastAsia" w:asciiTheme="minorEastAsia" w:hAnsiTheme="minorEastAsia" w:eastAsiaTheme="minorEastAsia" w:cstheme="minorEastAsia"/>
                <w:b/>
                <w:bCs w:val="0"/>
                <w:i w:val="0"/>
                <w:iCs w:val="0"/>
                <w:color w:val="auto"/>
                <w:kern w:val="2"/>
                <w:sz w:val="21"/>
                <w:szCs w:val="21"/>
                <w:highlight w:val="none"/>
                <w:lang w:val="en-US" w:eastAsia="zh-CN" w:bidi="ar-SA"/>
              </w:rPr>
              <w:t>银行账号：14250078801000000021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31</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是否允许采购进口产品</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sym w:font="Wingdings" w:char="00FE"/>
            </w:r>
            <w:r>
              <w:rPr>
                <w:rFonts w:hint="eastAsia" w:asciiTheme="minorEastAsia" w:hAnsiTheme="minorEastAsia" w:eastAsiaTheme="minorEastAsia" w:cstheme="minorEastAsia"/>
                <w:b/>
                <w:bCs/>
                <w:i w:val="0"/>
                <w:iCs w:val="0"/>
                <w:color w:val="auto"/>
                <w:kern w:val="2"/>
                <w:sz w:val="21"/>
                <w:szCs w:val="21"/>
                <w:highlight w:val="none"/>
                <w:lang w:val="en-US" w:eastAsia="zh-CN" w:bidi="ar-SA"/>
              </w:rPr>
              <w:t>本项目不允许采购进口产品。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rPr>
              <w:sym w:font="Wingdings" w:char="00A8"/>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32</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项目属性与核心产品</w:t>
            </w:r>
          </w:p>
        </w:tc>
        <w:tc>
          <w:tcPr>
            <w:tcW w:w="7695" w:type="dxa"/>
            <w:tcBorders>
              <w:tl2br w:val="nil"/>
              <w:tr2bl w:val="nil"/>
            </w:tcBorders>
            <w:noWrap w:val="0"/>
            <w:vAlign w:val="center"/>
          </w:tcPr>
          <w:p>
            <w:pPr>
              <w:adjustRightInd w:val="0"/>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sym w:font="Wingdings" w:char="00FE"/>
            </w:r>
            <w:r>
              <w:rPr>
                <w:rFonts w:hint="eastAsia" w:asciiTheme="minorEastAsia" w:hAnsiTheme="minorEastAsia" w:eastAsiaTheme="minorEastAsia" w:cstheme="minorEastAsia"/>
                <w:b/>
                <w:bCs/>
                <w:color w:val="auto"/>
                <w:kern w:val="0"/>
                <w:sz w:val="21"/>
                <w:szCs w:val="21"/>
                <w:highlight w:val="none"/>
              </w:rPr>
              <w:t>A</w:t>
            </w:r>
            <w:r>
              <w:rPr>
                <w:rFonts w:hint="eastAsia" w:asciiTheme="minorEastAsia" w:hAnsiTheme="minorEastAsia" w:eastAsiaTheme="minorEastAsia" w:cstheme="minorEastAsia"/>
                <w:b/>
                <w:bCs/>
                <w:color w:val="auto"/>
                <w:sz w:val="21"/>
                <w:szCs w:val="21"/>
                <w:highlight w:val="none"/>
              </w:rPr>
              <w:t>货物类，</w:t>
            </w:r>
            <w:r>
              <w:rPr>
                <w:rFonts w:hint="eastAsia" w:asciiTheme="minorEastAsia" w:hAnsiTheme="minorEastAsia" w:eastAsiaTheme="minorEastAsia" w:cstheme="minorEastAsia"/>
                <w:b/>
                <w:bCs/>
                <w:color w:val="auto"/>
                <w:kern w:val="0"/>
                <w:sz w:val="21"/>
                <w:szCs w:val="21"/>
                <w:highlight w:val="none"/>
              </w:rPr>
              <w:t>核心产品为：</w:t>
            </w:r>
            <w:r>
              <w:rPr>
                <w:rFonts w:hint="eastAsia" w:asciiTheme="minorEastAsia" w:hAnsiTheme="minorEastAsia" w:eastAsiaTheme="minorEastAsia" w:cstheme="minorEastAsia"/>
                <w:b/>
                <w:bCs/>
                <w:color w:val="auto"/>
                <w:kern w:val="0"/>
                <w:sz w:val="21"/>
                <w:szCs w:val="21"/>
                <w:highlight w:val="none"/>
                <w:u w:val="single"/>
                <w:lang w:eastAsia="zh-CN" w:bidi="ar"/>
              </w:rPr>
              <w:t>污水处理终端</w:t>
            </w:r>
            <w:r>
              <w:rPr>
                <w:rFonts w:hint="eastAsia" w:asciiTheme="minorEastAsia" w:hAnsiTheme="minorEastAsia" w:eastAsiaTheme="minorEastAsia" w:cstheme="minorEastAsia"/>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B</w:t>
            </w:r>
            <w:r>
              <w:rPr>
                <w:rFonts w:hint="eastAsia" w:asciiTheme="minorEastAsia" w:hAnsiTheme="minorEastAsia" w:eastAsiaTheme="minorEastAsia" w:cstheme="minorEastAsia"/>
                <w:color w:val="auto"/>
                <w:sz w:val="21"/>
                <w:szCs w:val="21"/>
                <w:highlight w:val="none"/>
              </w:rPr>
              <w:t>服务类。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33</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演示</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不要求；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本项目要求进行方案讲解</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，每个供应商时间不超过</w:t>
            </w:r>
            <w:r>
              <w:rPr>
                <w:rFonts w:hint="eastAsia" w:asciiTheme="minorEastAsia" w:hAnsiTheme="minorEastAsia" w:eastAsiaTheme="minorEastAsia" w:cstheme="minorEastAsia"/>
                <w:b w:val="0"/>
                <w:bCs w:val="0"/>
                <w:i w:val="0"/>
                <w:iCs w:val="0"/>
                <w:color w:val="auto"/>
                <w:kern w:val="2"/>
                <w:sz w:val="21"/>
                <w:szCs w:val="21"/>
                <w:highlight w:val="none"/>
                <w:u w:val="single"/>
                <w:lang w:val="en-US" w:eastAsia="zh-CN" w:bidi="ar-SA"/>
              </w:rPr>
              <w:t xml:space="preserve"> / </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分钟，并解答谈判小组的提问，解答提问时间另计。讲解顺序：</w:t>
            </w:r>
            <w:r>
              <w:rPr>
                <w:rFonts w:hint="eastAsia" w:asciiTheme="minorEastAsia" w:hAnsiTheme="minorEastAsia" w:eastAsiaTheme="minorEastAsia" w:cstheme="minorEastAsia"/>
                <w:b w:val="0"/>
                <w:bCs w:val="0"/>
                <w:i w:val="0"/>
                <w:iCs w:val="0"/>
                <w:color w:val="auto"/>
                <w:kern w:val="2"/>
                <w:sz w:val="21"/>
                <w:szCs w:val="21"/>
                <w:highlight w:val="none"/>
                <w:u w:val="single"/>
                <w:lang w:val="en-US" w:eastAsia="zh-CN" w:bidi="ar-SA"/>
              </w:rPr>
              <w:t xml:space="preserve"> / </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34</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方案讲解</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35</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样品</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不提供。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提供，按招标文件“第三部分 采购需求”要求。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36</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纸质投标文件</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中标人在签订合同前另行提供纸质投标文件一正二副。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37</w:t>
            </w:r>
          </w:p>
        </w:tc>
        <w:tc>
          <w:tcPr>
            <w:tcW w:w="11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其他</w:t>
            </w:r>
          </w:p>
        </w:tc>
        <w:tc>
          <w:tcPr>
            <w:tcW w:w="7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本招标文件规定如有与法律法规冲突的，以法律法规为准。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解释：本招标文件的解释权属于采购人。</w:t>
            </w:r>
          </w:p>
        </w:tc>
      </w:tr>
    </w:tbl>
    <w:p>
      <w:pPr>
        <w:spacing w:line="48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szCs w:val="24"/>
          <w:highlight w:val="none"/>
        </w:rPr>
        <w:t>注：下文如有与本附表不一致处以本表为准。</w:t>
      </w:r>
    </w:p>
    <w:p>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rPr>
      </w:pPr>
    </w:p>
    <w:p>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rPr>
      </w:pPr>
    </w:p>
    <w:p>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一、总  则</w:t>
      </w:r>
    </w:p>
    <w:p>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1．适用范围</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本招标文件适用于该项目的招标、投标、开标、资格审查及信用信息查询、评标、定标、合同、验收等行为（法律、法规另有规定的，从其规定）。</w:t>
      </w:r>
    </w:p>
    <w:p>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2．定义</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“采购人”：详见前附表。</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“采购代理机构”：详见前附表。</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 “投标人”系指是指响应招标、参加投标竞争的法人、其他组织或者自然人。</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2.4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“负责人”系指法人企业的法定负责人，或其他组织为法律、行政法规规定代表单位行使职权的主要负责</w:t>
      </w:r>
      <w:r>
        <w:rPr>
          <w:rFonts w:hint="eastAsia" w:asciiTheme="minorEastAsia" w:hAnsiTheme="minorEastAsia" w:eastAsiaTheme="minorEastAsia" w:cstheme="minorEastAsia"/>
          <w:color w:val="auto"/>
          <w:highlight w:val="none"/>
        </w:rPr>
        <w:t>人，或自然人本人。</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 xml:space="preserve">5 </w:t>
      </w:r>
      <w:r>
        <w:rPr>
          <w:rFonts w:hint="eastAsia" w:asciiTheme="minorEastAsia" w:hAnsiTheme="minorEastAsia" w:eastAsiaTheme="minorEastAsia" w:cstheme="minorEastAsia"/>
          <w:color w:val="auto"/>
          <w:highlight w:val="none"/>
        </w:rPr>
        <w:t>“货物”系指</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highlight w:val="none"/>
          <w:lang w:eastAsia="zh-CN"/>
        </w:rPr>
        <w:t>投标文件</w:t>
      </w:r>
      <w:r>
        <w:rPr>
          <w:rFonts w:hint="eastAsia" w:asciiTheme="minorEastAsia" w:hAnsiTheme="minorEastAsia" w:eastAsiaTheme="minorEastAsia" w:cstheme="minorEastAsia"/>
          <w:color w:val="auto"/>
          <w:highlight w:val="none"/>
        </w:rPr>
        <w:t>或合同要求，须向采购人提供的一切材料、设备、机械、仪器、备件、配件、工具、手册及其他技术资料和文字材料。</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 xml:space="preserve"> “服务”系指</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highlight w:val="none"/>
          <w:lang w:eastAsia="zh-CN"/>
        </w:rPr>
        <w:t>投标文件</w:t>
      </w:r>
      <w:r>
        <w:rPr>
          <w:rFonts w:hint="eastAsia" w:asciiTheme="minorEastAsia" w:hAnsiTheme="minorEastAsia" w:eastAsiaTheme="minorEastAsia" w:cstheme="minorEastAsia"/>
          <w:color w:val="auto"/>
          <w:highlight w:val="none"/>
        </w:rPr>
        <w:t>或合同要求须承担的相关服务及义务。</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7 “投标文件”系指投标人提交的投标文件。</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2.8 </w:t>
      </w:r>
      <w:r>
        <w:rPr>
          <w:rFonts w:hint="eastAsia" w:asciiTheme="minorEastAsia" w:hAnsiTheme="minorEastAsia" w:eastAsiaTheme="minorEastAsia" w:cstheme="minorEastAsia"/>
          <w:color w:val="auto"/>
          <w:highlight w:val="none"/>
        </w:rPr>
        <w:t>“书面形式”是合同书、信件、电报、电传、传真等可以有形地表现所载内容的形式。以电子数据交换、电子邮件等方式能够有形地表现所载内容，并可以随时调取查用的数据电文，视为书面形式。</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 xml:space="preserve"> “电子交易活动”是指以数据电文形式，依托政府采购项目电子交易平台（简称电子交易平台，详见前附表）进行的政府采购交易活动。</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2.11 “▲” 系指实质性要求条款，“★”系产品采购项目中重要技术参数，“</w:t>
      </w:r>
      <w:r>
        <w:rPr>
          <w:rFonts w:hint="eastAsia" w:asciiTheme="minorEastAsia" w:hAnsiTheme="minorEastAsia" w:eastAsiaTheme="minorEastAsia" w:cstheme="minorEastAsia"/>
          <w:b w:val="0"/>
          <w:bCs w:val="0"/>
          <w:color w:val="auto"/>
          <w:highlight w:val="none"/>
          <w:lang w:val="en-US" w:eastAsia="zh-CN"/>
        </w:rPr>
        <w:sym w:font="Wingdings" w:char="00FE"/>
      </w:r>
      <w:r>
        <w:rPr>
          <w:rFonts w:hint="eastAsia" w:asciiTheme="minorEastAsia" w:hAnsiTheme="minorEastAsia" w:eastAsiaTheme="minorEastAsia" w:cstheme="minorEastAsia"/>
          <w:b w:val="0"/>
          <w:bCs w:val="0"/>
          <w:color w:val="auto"/>
          <w:highlight w:val="none"/>
          <w:lang w:val="en-US" w:eastAsia="zh-CN"/>
        </w:rPr>
        <w:t>” 系指适用本项目的要求，“☐” 系指不适用本项目的要求。</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highlight w:val="none"/>
        </w:rPr>
      </w:pPr>
      <w:bookmarkStart w:id="1" w:name="_Toc183786416"/>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highlight w:val="none"/>
        </w:rPr>
        <w:t>采购项目需要落实的政府采购政策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3.2 支持绿色发展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3.3支持中小企业发展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3.3.2在政府采购活动中，供应商提供的货物、工程或者服务符合下列情形的，享受中小企业扶持政策：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3.3.2.1在货物采购项目中，货物由中小企业制造，即货物由中小企业生产且使用该中小企业商号或者注册商标；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3.3.2.2在工程采购项目中，工程由中小企业承建，即工程施工单位为中小企业；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3.3.2.3在服务采购项目中，服务由中小企业承接，即提供服务的人员为中小企业依照《中华人民共和国劳动合同法》订立劳动合同的从业人员。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在货物采购项目中，供应商提供的货物既有中小企业制造货物，也有大型企业制造货物的，不享受中小企业扶持政策。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3.3.4符合《关于促进残疾人就业政府采购政策的通知》（财库〔2017〕141号）规定的条件并提供《残疾人福利性单位声明函》（附件1）的残疾人福利性单位视同小型、微型企业；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3.3.7中小企业享受扶持政策获得政府采购合同的，小微企业不得将合同分包给大中型企业，中型企业不得将合同分包给大型企业。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3.4支持创新发展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3.4.1 采购人优先采购被认定为首台套产品和“制造精品”的自主创新产品。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 w:val="24"/>
          <w:highlight w:val="none"/>
          <w:lang w:val="en-US" w:eastAsia="zh-CN" w:bidi="ar-SA"/>
        </w:rPr>
        <w:t>3.5中小企业信用融资：为支持和促进中小企业发展，进一步发挥政府采购政策功能，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供应商可以通过浙江政府采购网(https://zfcg.czt.zj.gov.cn/)首页的“浙江政采贷”模块进入申请，还可以通过政府采购云平台(www.zcygov.cn)首页的“金融服务”模块进入申请。</w:t>
      </w:r>
    </w:p>
    <w:p>
      <w:pPr>
        <w:pageBreakBefore w:val="0"/>
        <w:widowControl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4.询问、质疑、投诉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供应商询问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供应商质疑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对招标文件提出质疑的，质疑期限为供应商获得招标文件之日或者招标文件公告期限届满之日起计算。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对采购过程提出质疑的，质疑期限为各采购程序环节结束之日起计算。对同一采购程序环节的质疑，供应商须一次性提出。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对采购结果提出质疑的，质疑期限自采购结果公告期限届满之日起计算。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质疑项目的名称、编号；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4.2.3.4</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事实依据；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4.2.3.5</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必要的法律依据；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4.2.3.6</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提出质疑的日期。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质疑函范本及制作说明详见附件。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.4</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b w:val="0"/>
          <w:bCs w:val="0"/>
          <w:color w:val="auto"/>
          <w:sz w:val="24"/>
          <w:szCs w:val="24"/>
          <w:highlight w:val="none"/>
          <w:lang w:val="en-US" w:eastAsia="zh-CN"/>
        </w:rPr>
        <w:t>《浙江省财政局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.5</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询问或者质疑事项可能影响采购结果的，采购人应当暂停签订合同，已经签订合同的，应当中止履行合同。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w:t>
      </w:r>
      <w:r>
        <w:rPr>
          <w:rFonts w:hint="eastAsia" w:asciiTheme="minorEastAsia" w:hAnsiTheme="minorEastAsia" w:eastAsiaTheme="minorEastAsia" w:cstheme="minorEastAsia"/>
          <w:b w:val="0"/>
          <w:bCs w:val="0"/>
          <w:color w:val="auto"/>
          <w:sz w:val="24"/>
          <w:szCs w:val="24"/>
          <w:highlight w:val="none"/>
          <w:lang w:val="zh-CN"/>
        </w:rPr>
        <w:t>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供应商投诉的事项不得超出已质疑事项的范围，基于质疑答复内容提出的投诉事项除外。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供应商投诉应当有明确的请求和必要的证明材料。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w:t>
      </w:r>
      <w:r>
        <w:rPr>
          <w:rFonts w:hint="eastAsia" w:asciiTheme="minorEastAsia" w:hAnsiTheme="minorEastAsia" w:eastAsiaTheme="minorEastAsia" w:cstheme="minorEastAsia"/>
          <w:b w:val="0"/>
          <w:bCs w:val="0"/>
          <w:color w:val="auto"/>
          <w:sz w:val="24"/>
          <w:szCs w:val="24"/>
          <w:highlight w:val="none"/>
          <w:lang w:val="en-US" w:eastAsia="zh-CN"/>
        </w:rPr>
        <w:t xml:space="preserve">4 </w:t>
      </w:r>
      <w:r>
        <w:rPr>
          <w:rFonts w:hint="eastAsia" w:asciiTheme="minorEastAsia" w:hAnsiTheme="minorEastAsia" w:eastAsiaTheme="minorEastAsia" w:cstheme="minorEastAsia"/>
          <w:b w:val="0"/>
          <w:bCs w:val="0"/>
          <w:color w:val="auto"/>
          <w:sz w:val="24"/>
          <w:szCs w:val="24"/>
          <w:highlight w:val="none"/>
        </w:rPr>
        <w:t>以联合体形式参加政府采购活动的，其投诉应当由组成联合体的所有供应商共同提出。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投诉书范本及制作说明详见附件。</w:t>
      </w:r>
    </w:p>
    <w:p>
      <w:pPr>
        <w:pStyle w:val="2"/>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Cs/>
          <w:color w:val="auto"/>
          <w:highlight w:val="none"/>
        </w:rPr>
      </w:pPr>
      <w:bookmarkStart w:id="2" w:name="_Toc32634"/>
      <w:r>
        <w:rPr>
          <w:rFonts w:hint="eastAsia" w:asciiTheme="minorEastAsia" w:hAnsiTheme="minorEastAsia" w:eastAsiaTheme="minorEastAsia" w:cstheme="minorEastAsia"/>
          <w:b/>
          <w:color w:val="auto"/>
          <w:kern w:val="2"/>
          <w:sz w:val="32"/>
          <w:szCs w:val="32"/>
          <w:highlight w:val="none"/>
          <w:lang w:val="en-US" w:eastAsia="zh-CN" w:bidi="ar-SA"/>
        </w:rPr>
        <w:t>二、</w:t>
      </w:r>
      <w:bookmarkEnd w:id="1"/>
      <w:bookmarkEnd w:id="2"/>
      <w:r>
        <w:rPr>
          <w:rFonts w:hint="eastAsia" w:asciiTheme="minorEastAsia" w:hAnsiTheme="minorEastAsia" w:eastAsiaTheme="minorEastAsia" w:cstheme="minorEastAsia"/>
          <w:b/>
          <w:color w:val="auto"/>
          <w:kern w:val="2"/>
          <w:sz w:val="32"/>
          <w:szCs w:val="32"/>
          <w:highlight w:val="none"/>
          <w:lang w:val="en-US" w:eastAsia="zh-CN" w:bidi="ar-SA"/>
        </w:rPr>
        <w:t>招标文件</w:t>
      </w:r>
      <w:r>
        <w:rPr>
          <w:rFonts w:hint="eastAsia" w:asciiTheme="minorEastAsia" w:hAnsiTheme="minorEastAsia" w:eastAsiaTheme="minorEastAsia" w:cstheme="minorEastAsia"/>
          <w:b/>
          <w:color w:val="auto"/>
          <w:sz w:val="32"/>
          <w:szCs w:val="32"/>
          <w:highlight w:val="none"/>
        </w:rPr>
        <w:t>构成、修改、解释</w:t>
      </w:r>
    </w:p>
    <w:p>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highlight w:val="none"/>
          <w:lang w:val="en-US" w:eastAsia="zh-CN" w:bidi="ar-SA"/>
        </w:rPr>
      </w:pPr>
      <w:bookmarkStart w:id="3" w:name="_Toc183786417"/>
      <w:bookmarkStart w:id="4" w:name="_Toc13570"/>
      <w:r>
        <w:rPr>
          <w:rFonts w:hint="eastAsia" w:asciiTheme="minorEastAsia" w:hAnsiTheme="minorEastAsia" w:eastAsiaTheme="minorEastAsia" w:cstheme="minorEastAsia"/>
          <w:b/>
          <w:snapToGrid w:val="0"/>
          <w:color w:val="auto"/>
          <w:kern w:val="2"/>
          <w:sz w:val="24"/>
          <w:szCs w:val="24"/>
          <w:highlight w:val="none"/>
          <w:lang w:val="en-US" w:eastAsia="zh-CN" w:bidi="ar-SA"/>
        </w:rPr>
        <w:t>5．招标文件的构成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 招标文件包括下列文件及附件：</w:t>
      </w:r>
    </w:p>
    <w:p>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5.1.1 公开招标公告；</w:t>
      </w:r>
    </w:p>
    <w:p>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5.1.2 投标人须知；</w:t>
      </w:r>
    </w:p>
    <w:p>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5.1.3 采购需求；</w:t>
      </w:r>
    </w:p>
    <w:p>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5.1.4 评标办法；</w:t>
      </w:r>
    </w:p>
    <w:p>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5.1.5 拟签订的合同文本；</w:t>
      </w:r>
    </w:p>
    <w:p>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1"/>
          <w:highlight w:val="none"/>
          <w:lang w:val="en-US" w:eastAsia="zh-CN" w:bidi="ar-SA"/>
        </w:rPr>
        <w:t xml:space="preserve">5.1.6 </w:t>
      </w:r>
      <w:r>
        <w:rPr>
          <w:rFonts w:hint="eastAsia" w:asciiTheme="minorEastAsia" w:hAnsiTheme="minorEastAsia" w:eastAsiaTheme="minorEastAsia" w:cstheme="minorEastAsia"/>
          <w:snapToGrid w:val="0"/>
          <w:color w:val="auto"/>
          <w:kern w:val="2"/>
          <w:sz w:val="24"/>
          <w:szCs w:val="24"/>
          <w:highlight w:val="none"/>
          <w:lang w:val="en-US" w:eastAsia="zh-CN" w:bidi="ar-SA"/>
        </w:rPr>
        <w:t>应提交的有关格式范例。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5.1.7 其他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5.2与本项目有关的</w:t>
      </w:r>
      <w:r>
        <w:rPr>
          <w:rFonts w:hint="eastAsia" w:asciiTheme="minorEastAsia" w:hAnsiTheme="minorEastAsia" w:eastAsiaTheme="minorEastAsia" w:cstheme="minorEastAsia"/>
          <w:bCs/>
          <w:color w:val="auto"/>
          <w:sz w:val="24"/>
          <w:szCs w:val="24"/>
          <w:highlight w:val="none"/>
        </w:rPr>
        <w:t>澄清或者修改的内容为招标文件的组成部分</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highlight w:val="none"/>
          <w:lang w:val="en-US" w:eastAsia="zh-CN" w:bidi="ar-SA"/>
        </w:rPr>
      </w:pPr>
      <w:r>
        <w:rPr>
          <w:rFonts w:hint="eastAsia" w:asciiTheme="minorEastAsia" w:hAnsiTheme="minorEastAsia" w:eastAsiaTheme="minorEastAsia" w:cstheme="minorEastAsia"/>
          <w:b/>
          <w:snapToGrid w:val="0"/>
          <w:color w:val="auto"/>
          <w:kern w:val="2"/>
          <w:sz w:val="24"/>
          <w:szCs w:val="24"/>
          <w:highlight w:val="none"/>
          <w:lang w:val="en-US" w:eastAsia="zh-CN" w:bidi="ar-SA"/>
        </w:rPr>
        <w:t>6. 招标文件的澄清、修改</w:t>
      </w:r>
    </w:p>
    <w:p>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6.1已获取招标文件的潜在投标人，若有问题需要澄清，应于投标截止时间前，以书面形式向采购机构提出。</w:t>
      </w:r>
    </w:p>
    <w:p>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三、</w:t>
      </w:r>
      <w:bookmarkEnd w:id="3"/>
      <w:r>
        <w:rPr>
          <w:rFonts w:hint="eastAsia" w:asciiTheme="minorEastAsia" w:hAnsiTheme="minorEastAsia" w:eastAsiaTheme="minorEastAsia" w:cstheme="minorEastAsia"/>
          <w:b/>
          <w:color w:val="auto"/>
          <w:kern w:val="2"/>
          <w:sz w:val="32"/>
          <w:szCs w:val="32"/>
          <w:highlight w:val="none"/>
          <w:lang w:val="en-US" w:eastAsia="zh-CN" w:bidi="ar-SA"/>
        </w:rPr>
        <w:t>投标</w:t>
      </w:r>
      <w:bookmarkEnd w:id="4"/>
    </w:p>
    <w:p>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bookmarkStart w:id="5" w:name="_Toc183786418"/>
      <w:bookmarkStart w:id="6" w:name="_Toc6879"/>
      <w:r>
        <w:rPr>
          <w:rFonts w:hint="eastAsia" w:asciiTheme="minorEastAsia" w:hAnsiTheme="minorEastAsia" w:eastAsiaTheme="minorEastAsia" w:cstheme="minorEastAsia"/>
          <w:b/>
          <w:color w:val="auto"/>
          <w:sz w:val="24"/>
          <w:szCs w:val="24"/>
          <w:highlight w:val="none"/>
          <w:lang w:val="en-US" w:eastAsia="zh-CN"/>
        </w:rPr>
        <w:t>7.招标文件的获取</w:t>
      </w:r>
    </w:p>
    <w:p>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详见招标公告中获取招标文件的时间期限、地点、方式及招标文件售价。</w:t>
      </w:r>
    </w:p>
    <w:p>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8.开标前答疑会或现场考察</w:t>
      </w:r>
    </w:p>
    <w:p>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采购人组织潜在投标人现场考察或者召开开标前答疑会的，潜在投标人按第二部分投标人须知前附表的规定参加现场考察或者开标前答疑会。</w:t>
      </w:r>
    </w:p>
    <w:p>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9.投标保证金</w:t>
      </w:r>
    </w:p>
    <w:p>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本项目不需缴纳投标保证金。</w:t>
      </w:r>
    </w:p>
    <w:p>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10.投标文件的语言</w:t>
      </w:r>
    </w:p>
    <w:p>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投标文件及投标人与采购有关的来往通知、函件和文件均应使用中文。</w:t>
      </w:r>
    </w:p>
    <w:p>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谈判供应商向采购人上传的谈判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 xml:space="preserve">）由资格文件、商务技术文件及报价文件三部分内容组成，具体如下： </w:t>
      </w:r>
    </w:p>
    <w:p>
      <w:pPr>
        <w:pageBreakBefore w:val="0"/>
        <w:widowControl w:val="0"/>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资格文件</w:t>
      </w:r>
    </w:p>
    <w:p>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详见“</w:t>
      </w: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部分 应提交的有关格式范例</w:t>
      </w:r>
      <w:r>
        <w:rPr>
          <w:rFonts w:hint="eastAsia" w:asciiTheme="minorEastAsia" w:hAnsiTheme="minorEastAsia" w:eastAsiaTheme="minorEastAsia" w:cstheme="minorEastAsia"/>
          <w:b/>
          <w:bCs/>
          <w:color w:val="auto"/>
          <w:sz w:val="24"/>
          <w:szCs w:val="24"/>
          <w:highlight w:val="none"/>
          <w:lang w:val="en-US" w:eastAsia="zh-CN"/>
        </w:rPr>
        <w:t>”要求</w:t>
      </w:r>
    </w:p>
    <w:p>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商务技术文件</w:t>
      </w:r>
    </w:p>
    <w:p>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报价文件</w:t>
      </w:r>
    </w:p>
    <w:p>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投标文件含有采购人不能接受的附加条件的，投标无效；</w:t>
      </w:r>
    </w:p>
    <w:p>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投标人提供虚假材料投标的，投标无效。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12.投标文件的编制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12.2 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12.3 使用“政采云电子交易客户端”需要提前申领CA数字证书，申领流程请自行前往“浙江政府采购网-下载专区-电子交易客户端-CA驱动和申领流程”进行查阅。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13.投标文件的签署、盖章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13.1 投标文件按照招标文件第六部分格式要求进行签署、盖章。▲投标人的投标文件未按照招标文件要求签署、盖章的，其投标无效。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13.2 为确保网上操作合法、有效和安全，投标人应当在投标截止时间前完成在“政府采购云平台”的身份认证，确保在电子投标过程中能够对相关数据电文进行加密和使用电子签名。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13.3 招标文件对投标文件签署、盖章的要求适用于电子签名。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14.投标文件的提交、补充、修改、撤回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14.2 电子交易平台收到投标文件，将妥善保存并即时向供应商发出确认回执通知。在投标截止时间前，除供应商补充、修改或者撤回投标文件外，任何单位和个人不得解密或提取投标文件。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14.3 采购人、采购机构可以视情况延长投标文件提交的截止时间。在上述情况下，采购机构与投标人以前在投标截止期方面的全部权利、责任和义务，将适用于延长至新的投标截止期。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15.备份投标文件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 投标人在电子交易平台传输递交投标文件后，还可以在投标截止时间前直接提交或者以快递方式递交备份投标文件1份，但采购人、采购机构不强制或变相强制投标人提交备份投标文件。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15.2 备份投标文件须在“政采云投标客户端”制作生成（后缀格式为.bfbs），并储存在u盘或DVD光盘中。备份投标文件应当密封包装并在包装上加盖公章并注明投标项目名称、投标截止时间、投标人名称(联合体投标的，包装物封面需注明联合体投标，并注明联合体成员各方的名称和联合协议中约定的牵头人的名称)。不符合上述制作、存储、密封规定的备份投标文件将被视为无效或者被拒绝接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15.3 直接提交备份投标文件的，投标人应于投标截止时间前在招标公告中载明的开标地点将备份投标文件提交给采购机构，采购机构将拒绝接受逾期送达的备份投标文件。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 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16.投标文件的无效处理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有招标文件“第四部分 评标办法”规定的情形之一的，投标无效：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17.投标有效期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17.1 投标有效期为从提交投标文件的截止之日起120天。</w:t>
      </w:r>
      <w:r>
        <w:rPr>
          <w:rFonts w:hint="eastAsia" w:asciiTheme="minorEastAsia" w:hAnsiTheme="minorEastAsia" w:eastAsiaTheme="minorEastAsia" w:cstheme="minorEastAsia"/>
          <w:b/>
          <w:bCs w:val="0"/>
          <w:color w:val="auto"/>
          <w:sz w:val="24"/>
          <w:szCs w:val="24"/>
          <w:highlight w:val="none"/>
          <w:lang w:val="en-US" w:eastAsia="zh-CN"/>
        </w:rPr>
        <w:t>▲投标人的投标文件中承诺的投标有效期少于招标文件中载明的投标有效期的，投标无效。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17.2 投标文件合格投递后，自投标截止日期起，在投标有效期内有效。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17.3 在原定投标有效期满之前，如果出现特殊情况，采购机构可以以书面形式通知投标人延长投标有效期。投标人同意延长的，不得要求或被允许修改其投标文件，投标人拒绝延长的，其投标无效。</w:t>
      </w:r>
    </w:p>
    <w:p>
      <w:pPr>
        <w:pStyle w:val="2"/>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四、</w:t>
      </w:r>
      <w:bookmarkEnd w:id="5"/>
      <w:bookmarkEnd w:id="6"/>
      <w:r>
        <w:rPr>
          <w:rFonts w:hint="eastAsia" w:asciiTheme="minorEastAsia" w:hAnsiTheme="minorEastAsia" w:eastAsiaTheme="minorEastAsia" w:cstheme="minorEastAsia"/>
          <w:b/>
          <w:color w:val="auto"/>
          <w:kern w:val="2"/>
          <w:sz w:val="32"/>
          <w:szCs w:val="32"/>
          <w:highlight w:val="none"/>
          <w:lang w:val="en-US" w:eastAsia="zh-CN" w:bidi="ar-SA"/>
        </w:rPr>
        <w:t>开标、资格审查与信用信息查询</w:t>
      </w:r>
    </w:p>
    <w:p>
      <w:pPr>
        <w:keepNext w:val="0"/>
        <w:keepLines w:val="0"/>
        <w:pageBreakBefore w:val="0"/>
        <w:widowControl w:val="0"/>
        <w:kinsoku/>
        <w:wordWrap/>
        <w:overflowPunct/>
        <w:topLinePunct w:val="0"/>
        <w:autoSpaceDE w:val="0"/>
        <w:autoSpaceDN w:val="0"/>
        <w:bidi w:val="0"/>
        <w:adjustRightInd w:val="0"/>
        <w:spacing w:before="0" w:beforeAutospacing="0" w:after="0" w:line="360" w:lineRule="auto"/>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bookmarkStart w:id="7" w:name="_Toc207550884"/>
      <w:bookmarkStart w:id="8" w:name="_Toc11093"/>
      <w:bookmarkStart w:id="9" w:name="_Toc183786419"/>
      <w:r>
        <w:rPr>
          <w:rFonts w:hint="eastAsia" w:asciiTheme="minorEastAsia" w:hAnsiTheme="minorEastAsia" w:eastAsiaTheme="minorEastAsia" w:cstheme="minorEastAsia"/>
          <w:b/>
          <w:color w:val="auto"/>
          <w:sz w:val="24"/>
          <w:szCs w:val="24"/>
          <w:highlight w:val="none"/>
          <w:lang w:val="en-US" w:eastAsia="zh-CN" w:bidi="ar-SA"/>
        </w:rPr>
        <w:t>18.开标</w:t>
      </w:r>
      <w:r>
        <w:rPr>
          <w:rFonts w:hint="eastAsia" w:asciiTheme="minorEastAsia" w:hAnsiTheme="minorEastAsia" w:eastAsiaTheme="minorEastAsia" w:cstheme="minorEastAsia"/>
          <w:color w:val="auto"/>
          <w:sz w:val="24"/>
          <w:highlight w:val="non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bidi="ar-SA"/>
        </w:rPr>
        <w:t>18.1 采购机构按照招标文件规定的时间通过电子交易平台组织开标，所有投标人均应当准时在线参加。投标人不足3家的，不得开标。</w:t>
      </w:r>
    </w:p>
    <w:p>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bidi="ar-SA"/>
        </w:rPr>
        <w:t>　18.2 开标时，电子交易平台按开标时间自动提取所有投标文件。采购机构依托电子交易平台发起开始解密指令，投标人按照平台提示和招标文件的规定在半小时内完成在线解密。</w:t>
      </w:r>
    </w:p>
    <w:p>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2" w:firstLineChars="200"/>
        <w:contextualSpacing/>
        <w:jc w:val="both"/>
        <w:textAlignment w:val="auto"/>
        <w:rPr>
          <w:rFonts w:hint="eastAsia" w:asciiTheme="minorEastAsia" w:hAnsiTheme="minorEastAsia" w:eastAsiaTheme="minorEastAsia" w:cstheme="minorEastAsia"/>
          <w:b/>
          <w:color w:val="auto"/>
          <w:sz w:val="24"/>
          <w:highlight w:val="none"/>
          <w:lang w:val="en-US" w:eastAsia="zh-CN" w:bidi="ar-SA"/>
        </w:rPr>
      </w:pPr>
      <w:r>
        <w:rPr>
          <w:rFonts w:hint="eastAsia" w:asciiTheme="minorEastAsia" w:hAnsiTheme="minorEastAsia" w:eastAsiaTheme="minorEastAsia" w:cstheme="minorEastAsia"/>
          <w:b/>
          <w:bCs/>
          <w:color w:val="auto"/>
          <w:sz w:val="24"/>
          <w:highlight w:val="none"/>
          <w:lang w:val="en-US" w:eastAsia="zh-CN" w:bidi="ar-SA"/>
        </w:rPr>
        <w:t xml:space="preserve">18.3 </w:t>
      </w:r>
      <w:r>
        <w:rPr>
          <w:rFonts w:hint="eastAsia" w:asciiTheme="minorEastAsia" w:hAnsiTheme="minorEastAsia" w:eastAsiaTheme="minorEastAsia" w:cstheme="minorEastAsia"/>
          <w:b/>
          <w:color w:val="auto"/>
          <w:sz w:val="24"/>
          <w:highlight w:val="none"/>
          <w:lang w:val="en-US" w:eastAsia="zh-CN" w:bidi="ar-SA"/>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19</w:t>
      </w:r>
      <w:r>
        <w:rPr>
          <w:rFonts w:hint="eastAsia" w:asciiTheme="minorEastAsia" w:hAnsiTheme="minorEastAsia" w:eastAsiaTheme="minorEastAsia" w:cstheme="minorEastAsia"/>
          <w:b/>
          <w:color w:val="auto"/>
          <w:sz w:val="24"/>
          <w:szCs w:val="20"/>
          <w:highlight w:val="none"/>
          <w:lang w:val="en-US" w:eastAsia="zh-CN"/>
        </w:rPr>
        <w:t>.</w:t>
      </w:r>
      <w:r>
        <w:rPr>
          <w:rFonts w:hint="eastAsia" w:asciiTheme="minorEastAsia" w:hAnsiTheme="minorEastAsia" w:eastAsiaTheme="minorEastAsia" w:cstheme="minorEastAsia"/>
          <w:b/>
          <w:color w:val="auto"/>
          <w:sz w:val="24"/>
          <w:szCs w:val="20"/>
          <w:highlight w:val="none"/>
        </w:rPr>
        <w:t>资格审查</w:t>
      </w:r>
    </w:p>
    <w:p>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19.1 开标后，采购人或采购机构将依法对投标人的资格进行审查。</w:t>
      </w:r>
    </w:p>
    <w:p>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19.2</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采购人或采购机构依据法律法规和招标文件的规定，对投标人的基本资格条件、特定资格条件进行审查。</w:t>
      </w:r>
    </w:p>
    <w:p>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19.3 投标人未按照招标文件要求提供与</w:t>
      </w:r>
      <w:r>
        <w:rPr>
          <w:rFonts w:hint="eastAsia" w:asciiTheme="minorEastAsia" w:hAnsiTheme="minorEastAsia" w:eastAsiaTheme="minorEastAsia" w:cstheme="minorEastAsia"/>
          <w:color w:val="auto"/>
          <w:kern w:val="2"/>
          <w:sz w:val="24"/>
          <w:szCs w:val="20"/>
          <w:highlight w:val="none"/>
          <w:lang w:val="en-US" w:eastAsia="zh-CN" w:bidi="ar-SA"/>
        </w:rPr>
        <w:t>基本资格条件、特定资格条件相应的</w:t>
      </w:r>
      <w:r>
        <w:rPr>
          <w:rFonts w:hint="eastAsia" w:asciiTheme="minorEastAsia" w:hAnsiTheme="minorEastAsia" w:eastAsiaTheme="minorEastAsia" w:cstheme="minorEastAsia"/>
          <w:color w:val="auto"/>
          <w:kern w:val="0"/>
          <w:sz w:val="24"/>
          <w:szCs w:val="24"/>
          <w:highlight w:val="none"/>
          <w:lang w:val="en-US" w:eastAsia="zh-CN" w:bidi="ar-SA"/>
        </w:rPr>
        <w:t>有效资格证明材料的，视为</w:t>
      </w:r>
      <w:r>
        <w:rPr>
          <w:rFonts w:hint="eastAsia" w:asciiTheme="minorEastAsia" w:hAnsiTheme="minorEastAsia" w:eastAsiaTheme="minorEastAsia" w:cstheme="minorEastAsia"/>
          <w:color w:val="auto"/>
          <w:kern w:val="2"/>
          <w:sz w:val="24"/>
          <w:szCs w:val="20"/>
          <w:highlight w:val="none"/>
          <w:lang w:val="en-US" w:eastAsia="zh-CN" w:bidi="ar-SA"/>
        </w:rPr>
        <w:t>投标人不具备招标文件中规定的资格要求，其投标无效。</w:t>
      </w:r>
    </w:p>
    <w:p>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w:t>
      </w:r>
      <w:r>
        <w:rPr>
          <w:rFonts w:hint="eastAsia" w:asciiTheme="minorEastAsia" w:hAnsiTheme="minorEastAsia" w:eastAsiaTheme="minorEastAsia" w:cstheme="minorEastAsia"/>
          <w:color w:val="auto"/>
          <w:kern w:val="2"/>
          <w:sz w:val="24"/>
          <w:szCs w:val="20"/>
          <w:highlight w:val="none"/>
          <w:lang w:val="en-US" w:eastAsia="zh-CN" w:bidi="ar-SA"/>
        </w:rPr>
        <w:t>4 对未通过资格审查的投标人，采购人或采购机构告知其未通过的原因。</w:t>
      </w:r>
    </w:p>
    <w:p>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w:t>
      </w:r>
      <w:r>
        <w:rPr>
          <w:rFonts w:hint="eastAsia" w:asciiTheme="minorEastAsia" w:hAnsiTheme="minorEastAsia" w:eastAsiaTheme="minorEastAsia" w:cstheme="minorEastAsia"/>
          <w:color w:val="auto"/>
          <w:kern w:val="2"/>
          <w:sz w:val="24"/>
          <w:szCs w:val="20"/>
          <w:highlight w:val="none"/>
          <w:lang w:val="en-US" w:eastAsia="zh-CN" w:bidi="ar-SA"/>
        </w:rPr>
        <w:t>5 合格投标人不足3家的，不再评标。</w:t>
      </w:r>
    </w:p>
    <w:p>
      <w:pPr>
        <w:keepNext w:val="0"/>
        <w:keepLines w:val="0"/>
        <w:pageBreakBefore w:val="0"/>
        <w:widowControl w:val="0"/>
        <w:kinsoku/>
        <w:wordWrap/>
        <w:overflowPunct/>
        <w:topLinePunct w:val="0"/>
        <w:bidi w:val="0"/>
        <w:adjustRightInd w:val="0"/>
        <w:spacing w:before="0" w:beforeAutospacing="0" w:after="0" w:line="360" w:lineRule="auto"/>
        <w:jc w:val="both"/>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20.信用信息查询</w:t>
      </w:r>
    </w:p>
    <w:p>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20.2 信用信息查询记录和证据留存的具体方式：信用信息查询记录和证据以网页截图等方式留存。</w:t>
      </w:r>
    </w:p>
    <w:p>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20.3 信用信息的使用规则：被列入失信被执行人、重大税收违法失信主体、政府采购严重违法失信行为记录名单及其他不符合《中华人民共和国政府采购法》第二十二条规定条件的，其投标将被拒绝。</w:t>
      </w:r>
    </w:p>
    <w:p>
      <w:pPr>
        <w:keepNext/>
        <w:keepLines/>
        <w:pageBreakBefore w:val="0"/>
        <w:widowControl w:val="0"/>
        <w:kinsoku/>
        <w:wordWrap/>
        <w:overflowPunct/>
        <w:topLinePunct w:val="0"/>
        <w:bidi w:val="0"/>
        <w:spacing w:before="120" w:beforeLines="0" w:beforeAutospacing="0" w:after="120" w:afterLines="0" w:afterAutospacing="0" w:line="360" w:lineRule="auto"/>
        <w:ind w:firstLine="480" w:firstLineChars="200"/>
        <w:jc w:val="left"/>
        <w:outlineLvl w:val="1"/>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pPr>
        <w:pStyle w:val="2"/>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五、评标</w:t>
      </w:r>
    </w:p>
    <w:p>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21.</w:t>
      </w:r>
      <w:r>
        <w:rPr>
          <w:rFonts w:hint="eastAsia" w:asciiTheme="minorEastAsia" w:hAnsiTheme="minorEastAsia" w:eastAsiaTheme="minorEastAsia" w:cstheme="minorEastAsia"/>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szCs w:val="24"/>
          <w:highlight w:val="none"/>
        </w:rPr>
        <w:t>详见招标文件</w:t>
      </w:r>
      <w:r>
        <w:rPr>
          <w:rFonts w:hint="eastAsia" w:asciiTheme="minorEastAsia" w:hAnsiTheme="minorEastAsia" w:eastAsiaTheme="minorEastAsia" w:cstheme="minorEastAsia"/>
          <w:b/>
          <w:color w:val="auto"/>
          <w:sz w:val="24"/>
          <w:szCs w:val="24"/>
          <w:highlight w:val="none"/>
          <w:lang w:val="en-US" w:eastAsia="zh-CN"/>
        </w:rPr>
        <w:t>“第四部分 评标办法”</w:t>
      </w:r>
      <w:r>
        <w:rPr>
          <w:rFonts w:hint="eastAsia" w:asciiTheme="minorEastAsia" w:hAnsiTheme="minorEastAsia" w:eastAsiaTheme="minorEastAsia" w:cstheme="minorEastAsia"/>
          <w:b/>
          <w:color w:val="auto"/>
          <w:sz w:val="24"/>
          <w:szCs w:val="24"/>
          <w:highlight w:val="none"/>
        </w:rPr>
        <w:t>。</w:t>
      </w:r>
    </w:p>
    <w:p>
      <w:pPr>
        <w:pStyle w:val="2"/>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六、定标</w:t>
      </w:r>
    </w:p>
    <w:p>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22.确定中标供应商</w:t>
      </w:r>
    </w:p>
    <w:p>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采购人将自收到评审报告之日起5个工作日内通过电子交易平台在评审报告推荐的中标候选人中按顺序确定中标供应商。</w:t>
      </w:r>
    </w:p>
    <w:p>
      <w:pPr>
        <w:widowControl w:val="0"/>
        <w:shd w:val="clear"/>
        <w:adjustRightInd w:val="0"/>
        <w:snapToGrid w:val="0"/>
        <w:spacing w:before="0" w:line="360" w:lineRule="auto"/>
        <w:ind w:firstLine="0" w:firstLineChars="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23.中标通知与中标结果公告</w:t>
      </w:r>
    </w:p>
    <w:p>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r>
        <w:rPr>
          <w:rFonts w:hint="eastAsia" w:asciiTheme="minorEastAsia" w:hAnsiTheme="minorEastAsia" w:eastAsiaTheme="minorEastAsia" w:cstheme="minorEastAsia"/>
          <w:color w:val="auto"/>
          <w:sz w:val="24"/>
          <w:szCs w:val="24"/>
          <w:highlight w:val="none"/>
          <w:lang w:val="en-US" w:eastAsia="zh-CN"/>
        </w:rPr>
        <w:t xml:space="preserve">1 </w:t>
      </w:r>
      <w:r>
        <w:rPr>
          <w:rFonts w:hint="eastAsia" w:asciiTheme="minorEastAsia" w:hAnsiTheme="minorEastAsia" w:eastAsiaTheme="minorEastAsia" w:cstheme="minorEastAsia"/>
          <w:color w:val="auto"/>
          <w:sz w:val="24"/>
          <w:szCs w:val="24"/>
          <w:highlight w:val="none"/>
        </w:rPr>
        <w:t>自中标人确定之日起2个工作日内，采购机构通过电子交易平台向中标人发出中标通知书，同时编制发布采购结果公告。采购机构也可以以纸质形式进行中标通知。</w:t>
      </w:r>
    </w:p>
    <w:p>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adjustRightInd w:val="0"/>
        <w:spacing w:line="360" w:lineRule="auto"/>
        <w:ind w:firstLine="480"/>
        <w:jc w:val="left"/>
        <w:rPr>
          <w:rFonts w:hint="eastAsia" w:asciiTheme="minorEastAsia" w:hAnsiTheme="minorEastAsia" w:eastAsiaTheme="minorEastAsia" w:cstheme="minorEastAsia"/>
          <w:b/>
          <w:color w:val="auto"/>
          <w:sz w:val="32"/>
          <w:szCs w:val="24"/>
          <w:highlight w:val="none"/>
        </w:rPr>
      </w:pPr>
      <w:r>
        <w:rPr>
          <w:rFonts w:hint="eastAsia" w:asciiTheme="minorEastAsia" w:hAnsiTheme="minorEastAsia" w:eastAsiaTheme="minorEastAsia" w:cstheme="minorEastAsia"/>
          <w:color w:val="auto"/>
          <w:sz w:val="24"/>
          <w:szCs w:val="24"/>
          <w:highlight w:val="none"/>
        </w:rPr>
        <w:t>23.3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公告期限为1个工作日。</w:t>
      </w:r>
    </w:p>
    <w:p>
      <w:pPr>
        <w:pStyle w:val="2"/>
        <w:pageBreakBefore w:val="0"/>
        <w:widowControl w:val="0"/>
        <w:shd w:val="clear"/>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七、合同授予</w:t>
      </w:r>
    </w:p>
    <w:p>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w:t>
      </w:r>
      <w:r>
        <w:rPr>
          <w:rFonts w:hint="eastAsia" w:asciiTheme="minorEastAsia" w:hAnsiTheme="minorEastAsia" w:eastAsiaTheme="minorEastAsia" w:cstheme="minorEastAsia"/>
          <w:b/>
          <w:bCs w:val="0"/>
          <w:color w:val="auto"/>
          <w:kern w:val="2"/>
          <w:sz w:val="24"/>
          <w:szCs w:val="24"/>
          <w:highlight w:val="none"/>
          <w:lang w:val="en-US" w:eastAsia="zh-CN" w:bidi="ar-SA"/>
        </w:rPr>
        <w:t>4.合同主要条款详见“第五部分 拟签订的合同文本”。</w:t>
      </w:r>
    </w:p>
    <w:p>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25.合同的签订</w:t>
      </w:r>
    </w:p>
    <w:p>
      <w:pPr>
        <w:widowControl/>
        <w:shd w:val="clear" w:color="auto"/>
        <w:adjustRightInd w:val="0"/>
        <w:spacing w:line="360" w:lineRule="auto"/>
        <w:ind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25.1</w:t>
      </w:r>
      <w:r>
        <w:rPr>
          <w:rFonts w:hint="eastAsia" w:asciiTheme="minorEastAsia" w:hAnsiTheme="minorEastAsia" w:eastAsiaTheme="minorEastAsia" w:cstheme="minorEastAsia"/>
          <w:color w:val="auto"/>
          <w:kern w:val="0"/>
          <w:sz w:val="24"/>
          <w:szCs w:val="24"/>
          <w:highlight w:val="none"/>
        </w:rPr>
        <w:t xml:space="preserve"> 采购人与中标人应当通过电子交易平台在中标通知书发出之日起</w:t>
      </w:r>
      <w:r>
        <w:rPr>
          <w:rFonts w:hint="eastAsia" w:asciiTheme="minorEastAsia" w:hAnsiTheme="minorEastAsia" w:eastAsia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rPr>
        <w:t>日内，按照招标文件确定的事项签订政府采购合同，并在合同签订之日起2个工作日内依法发布合同公告。</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szCs w:val="20"/>
          <w:highlight w:val="none"/>
          <w:lang w:val="zh-CN" w:eastAsia="zh-CN" w:bidi="ar-SA"/>
        </w:rPr>
        <w:t>25.2中标人按规定的日期、时间、地点，由法定代表人或其授权代表与采购人代表签订合同。如中标人为联合体的，由联合体成员各方法定代表人或其授权代表与采购人代表签订合同。</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25.3如签订合同并生效后，供应商无故拒绝或延期，除按照合同条款处理外，列入不良行为记录一次，并给予通报。</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25.4中标供应商拒绝与采购人签订合同的，采购人可以按照评审报告推荐的中标或者成交候选人名单排序，确定下一候选人为中标供应商，也可以重新开展政府采购活动。</w:t>
      </w:r>
    </w:p>
    <w:p>
      <w:pPr>
        <w:widowControl w:val="0"/>
        <w:adjustRightInd w:val="0"/>
        <w:snapToGrid w:val="0"/>
        <w:spacing w:before="0" w:after="12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25.5采购合同由采购人与中标供应商根据招标文件、投标文件等内容通过政府采购电子交易平台在线签订，自动备案。</w:t>
      </w:r>
    </w:p>
    <w:p>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26.履约保证金</w:t>
      </w:r>
    </w:p>
    <w:p>
      <w:pPr>
        <w:tabs>
          <w:tab w:val="left" w:pos="0"/>
        </w:tabs>
        <w:adjustRightInd w:val="0"/>
        <w:spacing w:line="360" w:lineRule="auto"/>
        <w:ind w:firstLine="482"/>
        <w:rPr>
          <w:rFonts w:hint="eastAsia" w:asciiTheme="minorEastAsia" w:hAnsiTheme="minorEastAsia" w:eastAsiaTheme="minorEastAsia" w:cstheme="minorEastAsia"/>
          <w:b/>
          <w:color w:val="auto"/>
          <w:sz w:val="32"/>
          <w:szCs w:val="24"/>
          <w:highlight w:val="none"/>
        </w:rPr>
      </w:pPr>
      <w:r>
        <w:rPr>
          <w:rFonts w:hint="eastAsia" w:asciiTheme="minorEastAsia" w:hAnsiTheme="minorEastAsia" w:eastAsiaTheme="minorEastAsia" w:cstheme="minorEastAsia"/>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szCs w:val="24"/>
          <w:highlight w:val="none"/>
        </w:rPr>
        <w:t>。履约保证金的数额不得超过政府采购合同金额的</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%。鼓励和支持供应商以银行、保险公司出具的保函形式提供履约保证金。</w:t>
      </w:r>
      <w:r>
        <w:rPr>
          <w:rFonts w:hint="eastAsia" w:asciiTheme="minorEastAsia" w:hAnsiTheme="minorEastAsia" w:eastAsiaTheme="minorEastAsia" w:cstheme="minorEastAsia"/>
          <w:b/>
          <w:color w:val="auto"/>
          <w:sz w:val="24"/>
          <w:szCs w:val="24"/>
          <w:highlight w:val="none"/>
        </w:rPr>
        <w:t>采购人不得拒收履约保函。</w:t>
      </w:r>
    </w:p>
    <w:p>
      <w:pPr>
        <w:pStyle w:val="2"/>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八、电子交易活动的中止</w:t>
      </w:r>
    </w:p>
    <w:p>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b/>
          <w:bCs/>
          <w:color w:val="auto"/>
          <w:kern w:val="2"/>
          <w:sz w:val="24"/>
          <w:szCs w:val="20"/>
          <w:highlight w:val="none"/>
          <w:lang w:val="en-US" w:eastAsia="zh-CN" w:bidi="ar-SA"/>
        </w:rPr>
        <w:t>2</w:t>
      </w:r>
      <w:r>
        <w:rPr>
          <w:rFonts w:hint="eastAsia" w:asciiTheme="minorEastAsia" w:hAnsiTheme="minorEastAsia" w:eastAsiaTheme="minorEastAsia" w:cstheme="minorEastAsia"/>
          <w:b/>
          <w:bCs/>
          <w:color w:val="auto"/>
          <w:kern w:val="2"/>
          <w:sz w:val="24"/>
          <w:szCs w:val="24"/>
          <w:highlight w:val="none"/>
          <w:lang w:val="en-US" w:eastAsia="zh-CN" w:bidi="ar-SA"/>
        </w:rPr>
        <w:t>7</w:t>
      </w:r>
      <w:r>
        <w:rPr>
          <w:rFonts w:hint="eastAsia" w:asciiTheme="minorEastAsia" w:hAnsiTheme="minorEastAsia" w:eastAsiaTheme="minorEastAsia" w:cstheme="minorEastAsia"/>
          <w:b/>
          <w:color w:val="auto"/>
          <w:kern w:val="2"/>
          <w:sz w:val="24"/>
          <w:szCs w:val="24"/>
          <w:highlight w:val="none"/>
          <w:lang w:val="en-US" w:eastAsia="zh-CN" w:bidi="ar-SA"/>
        </w:rPr>
        <w:t>.电子交易活动的中止。</w:t>
      </w:r>
      <w:r>
        <w:rPr>
          <w:rFonts w:hint="eastAsia" w:asciiTheme="minorEastAsia" w:hAnsiTheme="minorEastAsia" w:eastAsiaTheme="minorEastAsia" w:cstheme="minorEastAsia"/>
          <w:color w:val="auto"/>
          <w:kern w:val="2"/>
          <w:sz w:val="24"/>
          <w:szCs w:val="20"/>
          <w:highlight w:val="none"/>
          <w:lang w:val="en-US" w:eastAsia="zh-CN" w:bidi="ar-SA"/>
        </w:rPr>
        <w:t>采购过程中出现以下情形，导致电子交易平台无法正常运行，或者无法保证电子交易的公平、公正和安全时，采购机构可中止电子交易活动：</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 xml:space="preserve">27.1 电子交易平台发生故障而无法登录访问的； </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27.2 电子交易平台应用或数据库出现错误，不能进行正常操作的；</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27.3 电子交易平台发现严重安全漏洞，有潜在泄密危险的；</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 xml:space="preserve">27.4 病毒发作导致不能进行正常操作的； </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27.5 其他无法保证电子交易的公平、公正和安全的情况。</w:t>
      </w:r>
    </w:p>
    <w:p>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0"/>
          <w:highlight w:val="none"/>
          <w:lang w:val="en-US" w:eastAsia="zh-CN" w:bidi="ar-SA"/>
        </w:rPr>
        <w:t>28.出现以上情形，不影响采购公平、公正性的，采购组织机构可以待上述情形消除后继续组织电子交易活动，也可以决定某些环节以纸质形式进行；影响或可能影响采购公平、公正性的，应当重新采购。</w:t>
      </w:r>
    </w:p>
    <w:p>
      <w:pPr>
        <w:pStyle w:val="2"/>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九、验收</w:t>
      </w:r>
    </w:p>
    <w:p>
      <w:pPr>
        <w:widowControl w:val="0"/>
        <w:adjustRightInd w:val="0"/>
        <w:spacing w:line="360" w:lineRule="auto"/>
        <w:ind w:firstLine="0" w:firstLineChars="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29.验收</w:t>
      </w:r>
    </w:p>
    <w:bookmarkEnd w:id="7"/>
    <w:bookmarkEnd w:id="8"/>
    <w:bookmarkEnd w:id="9"/>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29.2采购人可以邀请参加本项目的其他供应商或者第三方机构参与验收。参与验收的供应商或者第三方机构的意见作为验收书的参考资料一并存档。</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29.4采购人原则上应当在履约验收之日起2个工作日内，将履约验收结果在浙江政府采购网上公告。</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29.5验收合格的项目，采购人将根据采购合同的约定及时向供应商支付采购资金、退还履约保证金。</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kern w:val="2"/>
          <w:sz w:val="24"/>
          <w:szCs w:val="20"/>
          <w:highlight w:val="none"/>
          <w:lang w:val="en-US" w:eastAsia="zh-CN" w:bidi="ar-SA"/>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val="en-US" w:eastAsia="zh-CN"/>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三</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20"/>
          <w:highlight w:val="none"/>
          <w:lang w:val="en-US" w:eastAsia="zh-CN"/>
        </w:rPr>
        <w:t>采购需求</w:t>
      </w:r>
    </w:p>
    <w:p>
      <w:pPr>
        <w:keepNext w:val="0"/>
        <w:keepLines w:val="0"/>
        <w:pageBreakBefore w:val="0"/>
        <w:widowControl w:val="0"/>
        <w:kinsoku/>
        <w:wordWrap/>
        <w:overflowPunct/>
        <w:topLinePunct w:val="0"/>
        <w:bidi w:val="0"/>
        <w:snapToGrid/>
        <w:spacing w:line="360" w:lineRule="auto"/>
        <w:ind w:left="0" w:leftChars="0" w:firstLine="482" w:firstLineChars="200"/>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（标注“▲”的技术参数，供应商所报货物必须满足（或正偏离），否则将做无效投标处理。标注“★”的为重要技术参数）</w:t>
      </w:r>
    </w:p>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kern w:val="0"/>
          <w:sz w:val="28"/>
          <w:szCs w:val="28"/>
          <w:highlight w:val="none"/>
          <w:lang w:eastAsia="zh-CN"/>
        </w:rPr>
        <w:t>2023年浦江县农村污水处理设施建设改造项目（第三批）仙华街道、郑家坞镇设备采购</w:t>
      </w:r>
    </w:p>
    <w:p>
      <w:pPr>
        <w:numPr>
          <w:ilvl w:val="0"/>
          <w:numId w:val="0"/>
        </w:numP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项目说明</w:t>
      </w:r>
    </w:p>
    <w:p>
      <w:pPr>
        <w:widowControl/>
        <w:spacing w:line="400" w:lineRule="exact"/>
        <w:ind w:firstLine="480" w:firstLineChars="20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项目名称：2023 年浦江县农村污水处理设施建设改造项目（第三批）设备采购项目。</w:t>
      </w:r>
    </w:p>
    <w:p>
      <w:pPr>
        <w:widowControl/>
        <w:spacing w:line="400" w:lineRule="exact"/>
        <w:ind w:firstLine="480" w:firstLineChars="20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建设地点：浦江县仙华街道、郑家坞镇。</w:t>
      </w:r>
    </w:p>
    <w:p>
      <w:pPr>
        <w:widowControl/>
        <w:spacing w:line="400" w:lineRule="exact"/>
        <w:ind w:firstLine="480" w:firstLineChars="20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建设单位：浦江县住房和城乡建设局。</w:t>
      </w:r>
    </w:p>
    <w:p>
      <w:pPr>
        <w:widowControl/>
        <w:spacing w:line="400" w:lineRule="exact"/>
        <w:ind w:firstLine="480" w:firstLineChars="20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建设性质：处理终端的提升改造</w:t>
      </w:r>
      <w:r>
        <w:rPr>
          <w:rFonts w:hint="eastAsia" w:ascii="宋体" w:hAnsi="宋体" w:eastAsia="宋体" w:cs="宋体"/>
          <w:color w:val="auto"/>
          <w:kern w:val="0"/>
          <w:sz w:val="24"/>
          <w:szCs w:val="24"/>
          <w:lang w:val="en-US" w:eastAsia="zh-CN" w:bidi="ar"/>
        </w:rPr>
        <w:t>项目</w:t>
      </w:r>
      <w:r>
        <w:rPr>
          <w:rFonts w:hint="eastAsia" w:ascii="宋体" w:hAnsi="宋体" w:eastAsia="宋体" w:cs="宋体"/>
          <w:color w:val="auto"/>
          <w:kern w:val="0"/>
          <w:sz w:val="24"/>
          <w:szCs w:val="24"/>
          <w:lang w:bidi="ar"/>
        </w:rPr>
        <w:t>。</w:t>
      </w:r>
    </w:p>
    <w:p>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建设规模：本次改造共涉及</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套终端及其附属设备内容，具体采购数量及清单详见以下第二点采购终端数量及规模和第三点各终端主要设备清单。</w:t>
      </w:r>
    </w:p>
    <w:p>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进水标准：pH 6.5-8.5，COD</w:t>
      </w:r>
      <w:r>
        <w:rPr>
          <w:rFonts w:hint="eastAsia" w:ascii="宋体" w:hAnsi="宋体" w:eastAsia="宋体" w:cs="宋体"/>
          <w:color w:val="auto"/>
          <w:sz w:val="24"/>
          <w:szCs w:val="24"/>
          <w:vertAlign w:val="subscript"/>
        </w:rPr>
        <w:t>C</w:t>
      </w:r>
      <w:r>
        <w:rPr>
          <w:rFonts w:hint="eastAsia" w:ascii="宋体" w:hAnsi="宋体" w:eastAsia="宋体" w:cs="宋体"/>
          <w:color w:val="auto"/>
          <w:sz w:val="24"/>
          <w:szCs w:val="24"/>
        </w:rPr>
        <w:t>r≤400mg/L，NH</w:t>
      </w:r>
      <w:r>
        <w:rPr>
          <w:rFonts w:hint="eastAsia" w:ascii="宋体" w:hAnsi="宋体" w:eastAsia="宋体" w:cs="宋体"/>
          <w:color w:val="auto"/>
          <w:sz w:val="24"/>
          <w:szCs w:val="24"/>
          <w:vertAlign w:val="subscript"/>
        </w:rPr>
        <w:t>3</w:t>
      </w:r>
      <w:r>
        <w:rPr>
          <w:rFonts w:hint="eastAsia" w:ascii="宋体" w:hAnsi="宋体" w:eastAsia="宋体" w:cs="宋体"/>
          <w:color w:val="auto"/>
          <w:sz w:val="24"/>
          <w:szCs w:val="24"/>
        </w:rPr>
        <w:t>-N≤50mg/L，SS≤200mg/L，TP≤5mg/ L，TN≤60mg/ L。</w:t>
      </w:r>
    </w:p>
    <w:p>
      <w:pPr>
        <w:widowControl/>
        <w:spacing w:line="400" w:lineRule="exact"/>
        <w:ind w:firstLine="480" w:firstLineChars="20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项目目标：处理终端出水标准达到《农村生活污水集中处理设施水污染物排放标准》DB33/973-2021 </w:t>
      </w:r>
      <w:r>
        <w:rPr>
          <w:rFonts w:hint="eastAsia" w:ascii="宋体" w:hAnsi="宋体" w:eastAsia="宋体" w:cs="宋体"/>
          <w:color w:val="auto"/>
          <w:kern w:val="0"/>
          <w:sz w:val="24"/>
          <w:szCs w:val="24"/>
          <w:lang w:val="en-US" w:eastAsia="zh-CN" w:bidi="ar"/>
        </w:rPr>
        <w:t>一</w:t>
      </w:r>
      <w:r>
        <w:rPr>
          <w:rFonts w:hint="eastAsia" w:ascii="宋体" w:hAnsi="宋体" w:eastAsia="宋体" w:cs="宋体"/>
          <w:color w:val="auto"/>
          <w:kern w:val="0"/>
          <w:sz w:val="24"/>
          <w:szCs w:val="24"/>
          <w:lang w:bidi="ar"/>
        </w:rPr>
        <w:t>级标准。</w:t>
      </w:r>
    </w:p>
    <w:p>
      <w:pPr>
        <w:widowControl/>
        <w:numPr>
          <w:ilvl w:val="0"/>
          <w:numId w:val="0"/>
        </w:numPr>
        <w:spacing w:line="400" w:lineRule="exact"/>
        <w:ind w:leftChars="0"/>
        <w:jc w:val="left"/>
        <w:rPr>
          <w:rFonts w:hint="eastAsia" w:ascii="仿宋" w:hAnsi="仿宋" w:eastAsia="仿宋" w:cs="仿宋"/>
          <w:b/>
          <w:bCs/>
          <w:color w:val="auto"/>
          <w:sz w:val="28"/>
          <w:szCs w:val="28"/>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采购终端数量及规模</w:t>
      </w:r>
    </w:p>
    <w:tbl>
      <w:tblPr>
        <w:tblStyle w:val="23"/>
        <w:tblW w:w="4938" w:type="pct"/>
        <w:tblInd w:w="113" w:type="dxa"/>
        <w:shd w:val="clear" w:color="auto" w:fill="auto"/>
        <w:tblLayout w:type="autofit"/>
        <w:tblCellMar>
          <w:top w:w="0" w:type="dxa"/>
          <w:left w:w="108" w:type="dxa"/>
          <w:bottom w:w="0" w:type="dxa"/>
          <w:right w:w="108" w:type="dxa"/>
        </w:tblCellMar>
      </w:tblPr>
      <w:tblGrid>
        <w:gridCol w:w="426"/>
        <w:gridCol w:w="1034"/>
        <w:gridCol w:w="1081"/>
        <w:gridCol w:w="1696"/>
        <w:gridCol w:w="1298"/>
        <w:gridCol w:w="1368"/>
        <w:gridCol w:w="1370"/>
        <w:gridCol w:w="1164"/>
      </w:tblGrid>
      <w:tr>
        <w:tblPrEx>
          <w:shd w:val="clear" w:color="auto" w:fill="auto"/>
          <w:tblCellMar>
            <w:top w:w="0" w:type="dxa"/>
            <w:left w:w="108" w:type="dxa"/>
            <w:bottom w:w="0" w:type="dxa"/>
            <w:right w:w="108" w:type="dxa"/>
          </w:tblCellMar>
        </w:tblPrEx>
        <w:trPr>
          <w:trHeight w:val="288" w:hRule="atLeast"/>
        </w:trPr>
        <w:tc>
          <w:tcPr>
            <w:tcW w:w="226" w:type="pct"/>
            <w:vMerge w:val="restart"/>
            <w:tcBorders>
              <w:top w:val="single" w:color="000000" w:sz="4" w:space="0"/>
              <w:left w:val="single" w:color="000000" w:sz="4" w:space="0"/>
              <w:bottom w:val="single" w:color="000000" w:sz="4" w:space="0"/>
              <w:right w:val="single" w:color="000000" w:sz="4" w:space="0"/>
              <w:tl2br w:val="nil"/>
            </w:tcBorders>
            <w:shd w:val="clear" w:color="auto" w:fill="auto"/>
            <w:vAlign w:val="center"/>
          </w:tcPr>
          <w:p>
            <w:pPr>
              <w:pStyle w:val="52"/>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序号</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ind w:left="0" w:right="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乡、镇</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（街道）</w:t>
            </w:r>
          </w:p>
        </w:tc>
        <w:tc>
          <w:tcPr>
            <w:tcW w:w="1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ind w:left="0" w:right="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处理设施概况</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ind w:left="0" w:right="0"/>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设计日处理量（t/d</w:t>
            </w:r>
            <w:r>
              <w:rPr>
                <w:rFonts w:hint="eastAsia" w:ascii="宋体" w:hAnsi="宋体" w:eastAsia="宋体" w:cs="宋体"/>
                <w:b w:val="0"/>
                <w:bCs/>
                <w:color w:val="auto"/>
                <w:sz w:val="21"/>
                <w:szCs w:val="21"/>
                <w:lang w:eastAsia="zh-CN"/>
              </w:rPr>
              <w:t>）</w:t>
            </w:r>
          </w:p>
        </w:tc>
        <w:tc>
          <w:tcPr>
            <w:tcW w:w="7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ind w:left="0" w:right="0"/>
              <w:jc w:val="center"/>
              <w:rPr>
                <w:rFonts w:hint="eastAsia" w:ascii="宋体" w:hAnsi="宋体" w:eastAsia="宋体" w:cs="宋体"/>
                <w:b w:val="0"/>
                <w:bCs/>
                <w:color w:val="auto"/>
                <w:sz w:val="21"/>
                <w:szCs w:val="21"/>
                <w:lang w:val="en-US" w:eastAsia="zh-CN"/>
              </w:rPr>
            </w:pPr>
            <w:r>
              <w:rPr>
                <w:rFonts w:hint="eastAsia" w:ascii="宋体" w:hAnsi="宋体" w:eastAsia="宋体" w:cs="宋体"/>
                <w:color w:val="auto"/>
                <w:kern w:val="0"/>
                <w:sz w:val="21"/>
                <w:szCs w:val="21"/>
              </w:rPr>
              <w:t>出水标准</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ind w:left="0" w:right="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数量</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ind w:left="0" w:right="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备注</w:t>
            </w:r>
          </w:p>
        </w:tc>
      </w:tr>
      <w:tr>
        <w:tblPrEx>
          <w:shd w:val="clear" w:color="auto" w:fill="auto"/>
          <w:tblCellMar>
            <w:top w:w="0" w:type="dxa"/>
            <w:left w:w="108" w:type="dxa"/>
            <w:bottom w:w="0" w:type="dxa"/>
            <w:right w:w="108" w:type="dxa"/>
          </w:tblCellMar>
        </w:tblPrEx>
        <w:trPr>
          <w:trHeight w:val="288"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ind w:left="0" w:right="0"/>
              <w:rPr>
                <w:rFonts w:hint="eastAsia" w:ascii="宋体" w:hAnsi="宋体" w:eastAsia="宋体" w:cs="宋体"/>
                <w:b w:val="0"/>
                <w:color w:val="auto"/>
                <w:sz w:val="21"/>
                <w:szCs w:val="21"/>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ind w:left="0" w:right="0"/>
              <w:rPr>
                <w:rFonts w:hint="eastAsia" w:ascii="宋体" w:hAnsi="宋体" w:eastAsia="宋体" w:cs="宋体"/>
                <w:b w:val="0"/>
                <w:color w:val="auto"/>
                <w:sz w:val="21"/>
                <w:szCs w:val="21"/>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ind w:left="0" w:right="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行政村</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ind w:left="0" w:right="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设施</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ind w:left="0" w:right="0"/>
              <w:rPr>
                <w:rFonts w:hint="eastAsia" w:ascii="宋体" w:hAnsi="宋体" w:eastAsia="宋体" w:cs="宋体"/>
                <w:b w:val="0"/>
                <w:color w:val="auto"/>
                <w:sz w:val="21"/>
                <w:szCs w:val="21"/>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ind w:left="0" w:right="0"/>
              <w:rPr>
                <w:rFonts w:hint="eastAsia" w:ascii="宋体" w:hAnsi="宋体" w:eastAsia="宋体" w:cs="宋体"/>
                <w:b w:val="0"/>
                <w:color w:val="auto"/>
                <w:sz w:val="21"/>
                <w:szCs w:val="21"/>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ind w:left="0" w:right="0"/>
              <w:rPr>
                <w:rFonts w:hint="eastAsia" w:ascii="宋体" w:hAnsi="宋体" w:eastAsia="宋体" w:cs="宋体"/>
                <w:b w:val="0"/>
                <w:color w:val="auto"/>
                <w:sz w:val="21"/>
                <w:szCs w:val="21"/>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ind w:left="0" w:right="0"/>
              <w:rPr>
                <w:rFonts w:hint="eastAsia" w:ascii="宋体" w:hAnsi="宋体" w:eastAsia="宋体" w:cs="宋体"/>
                <w:b w:val="0"/>
                <w:color w:val="auto"/>
                <w:sz w:val="21"/>
                <w:szCs w:val="21"/>
              </w:rPr>
            </w:pPr>
          </w:p>
        </w:tc>
      </w:tr>
      <w:tr>
        <w:tblPrEx>
          <w:shd w:val="clear" w:color="auto" w:fill="auto"/>
          <w:tblCellMar>
            <w:top w:w="0" w:type="dxa"/>
            <w:left w:w="108" w:type="dxa"/>
            <w:bottom w:w="0" w:type="dxa"/>
            <w:right w:w="108" w:type="dxa"/>
          </w:tblCellMar>
        </w:tblPrEx>
        <w:trPr>
          <w:trHeight w:val="9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仙华街道</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冯村</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上叶北终端</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30</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一级</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1套</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rPr>
                <w:rFonts w:hint="eastAsia" w:ascii="宋体" w:hAnsi="宋体" w:eastAsia="宋体" w:cs="宋体"/>
                <w:b w:val="0"/>
                <w:color w:val="auto"/>
                <w:sz w:val="21"/>
                <w:szCs w:val="21"/>
              </w:rPr>
            </w:pPr>
          </w:p>
        </w:tc>
      </w:tr>
      <w:tr>
        <w:tblPrEx>
          <w:shd w:val="clear" w:color="auto" w:fill="auto"/>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仙华街道</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冯村</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冯村上叶南终端</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30</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eastAsia="zh-CN"/>
              </w:rPr>
              <w:t>一级</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1套</w:t>
            </w: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ind w:left="0" w:right="0"/>
              <w:rPr>
                <w:rFonts w:hint="eastAsia" w:ascii="宋体" w:hAnsi="宋体" w:eastAsia="宋体" w:cs="宋体"/>
                <w:b w:val="0"/>
                <w:color w:val="auto"/>
                <w:sz w:val="21"/>
                <w:szCs w:val="21"/>
              </w:rPr>
            </w:pPr>
          </w:p>
        </w:tc>
      </w:tr>
      <w:tr>
        <w:tblPrEx>
          <w:shd w:val="clear" w:color="auto" w:fill="auto"/>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仙华街道</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冯村</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冯村终端</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120</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eastAsia="zh-CN"/>
              </w:rPr>
              <w:t>一级</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2套</w:t>
            </w:r>
            <w:r>
              <w:rPr>
                <w:rFonts w:hint="eastAsia" w:ascii="宋体" w:hAnsi="宋体" w:eastAsia="宋体" w:cs="宋体"/>
                <w:b w:val="0"/>
                <w:color w:val="auto"/>
                <w:sz w:val="21"/>
                <w:szCs w:val="21"/>
                <w:lang w:val="en-US" w:eastAsia="zh-CN"/>
              </w:rPr>
              <w:t>60</w:t>
            </w:r>
            <w:r>
              <w:rPr>
                <w:rFonts w:hint="eastAsia" w:ascii="宋体" w:hAnsi="宋体" w:eastAsia="宋体" w:cs="宋体"/>
                <w:b w:val="0"/>
                <w:color w:val="auto"/>
                <w:sz w:val="21"/>
                <w:szCs w:val="21"/>
              </w:rPr>
              <w:t>t/d</w:t>
            </w: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ind w:left="0" w:right="0"/>
              <w:rPr>
                <w:rFonts w:hint="eastAsia" w:ascii="宋体" w:hAnsi="宋体" w:eastAsia="宋体" w:cs="宋体"/>
                <w:b w:val="0"/>
                <w:color w:val="auto"/>
                <w:sz w:val="21"/>
                <w:szCs w:val="21"/>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仙华街道</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冯村</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方门村终端</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50</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eastAsia="zh-CN"/>
              </w:rPr>
              <w:t>一级</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1套</w:t>
            </w: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ind w:left="0" w:right="0"/>
              <w:rPr>
                <w:rFonts w:hint="eastAsia" w:ascii="宋体" w:hAnsi="宋体" w:eastAsia="宋体" w:cs="宋体"/>
                <w:b w:val="0"/>
                <w:color w:val="auto"/>
                <w:sz w:val="21"/>
                <w:szCs w:val="21"/>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仙华街道</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冯村</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岳塘下张村终端</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80</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eastAsia="zh-CN"/>
              </w:rPr>
              <w:t>一级</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1套</w:t>
            </w: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ind w:left="0" w:right="0"/>
              <w:rPr>
                <w:rFonts w:hint="eastAsia" w:ascii="宋体" w:hAnsi="宋体" w:eastAsia="宋体" w:cs="宋体"/>
                <w:b w:val="0"/>
                <w:color w:val="auto"/>
                <w:sz w:val="21"/>
                <w:szCs w:val="21"/>
              </w:rPr>
            </w:pPr>
          </w:p>
        </w:tc>
      </w:tr>
      <w:tr>
        <w:tblPrEx>
          <w:shd w:val="clear" w:color="auto" w:fill="auto"/>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仙华街道</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道光村</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毛竹沿村终端</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80</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eastAsia="zh-CN"/>
              </w:rPr>
              <w:t>一级</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1套</w:t>
            </w: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ind w:left="0" w:right="0"/>
              <w:rPr>
                <w:rFonts w:hint="eastAsia" w:ascii="宋体" w:hAnsi="宋体" w:eastAsia="宋体" w:cs="宋体"/>
                <w:b w:val="0"/>
                <w:color w:val="auto"/>
                <w:sz w:val="21"/>
                <w:szCs w:val="21"/>
              </w:rPr>
            </w:pPr>
          </w:p>
        </w:tc>
      </w:tr>
      <w:tr>
        <w:tblPrEx>
          <w:shd w:val="clear" w:color="auto" w:fill="auto"/>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7</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郑家坞镇</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朱路村</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朱路村上朱路终端</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40</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eastAsia="zh-CN"/>
              </w:rPr>
              <w:t>一级</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1套</w:t>
            </w: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ind w:left="0" w:right="0"/>
              <w:rPr>
                <w:rFonts w:hint="eastAsia" w:ascii="宋体" w:hAnsi="宋体" w:eastAsia="宋体" w:cs="宋体"/>
                <w:b w:val="0"/>
                <w:color w:val="auto"/>
                <w:sz w:val="21"/>
                <w:szCs w:val="21"/>
              </w:rPr>
            </w:pPr>
          </w:p>
        </w:tc>
      </w:tr>
      <w:tr>
        <w:tblPrEx>
          <w:shd w:val="clear" w:color="auto" w:fill="auto"/>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8</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郑家坞镇</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朱路村</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朱路村大何街终端</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20</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eastAsia="zh-CN"/>
              </w:rPr>
              <w:t>一级</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rPr>
              <w:t>1套</w:t>
            </w: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ind w:left="0" w:right="0"/>
              <w:rPr>
                <w:rFonts w:hint="eastAsia" w:ascii="宋体" w:hAnsi="宋体" w:eastAsia="宋体" w:cs="宋体"/>
                <w:b w:val="0"/>
                <w:color w:val="auto"/>
                <w:sz w:val="21"/>
                <w:szCs w:val="21"/>
              </w:rPr>
            </w:pPr>
          </w:p>
        </w:tc>
      </w:tr>
      <w:tr>
        <w:tblPrEx>
          <w:shd w:val="clear" w:color="auto" w:fill="auto"/>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9</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郑家坞镇</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朱路村</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朱路村小何街终端</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10</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eastAsia="zh-CN"/>
              </w:rPr>
              <w:t>一级</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1套</w:t>
            </w: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ind w:left="0" w:right="0"/>
              <w:rPr>
                <w:rFonts w:hint="eastAsia" w:ascii="宋体" w:hAnsi="宋体" w:eastAsia="宋体" w:cs="宋体"/>
                <w:b w:val="0"/>
                <w:color w:val="auto"/>
                <w:sz w:val="21"/>
                <w:szCs w:val="21"/>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郑家坞镇</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朱路村</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朱路沼气池</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40</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eastAsia="zh-CN"/>
              </w:rPr>
              <w:t>一级</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1套</w:t>
            </w: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ind w:left="0" w:right="0"/>
              <w:rPr>
                <w:rFonts w:hint="eastAsia" w:ascii="宋体" w:hAnsi="宋体" w:eastAsia="宋体" w:cs="宋体"/>
                <w:b w:val="0"/>
                <w:color w:val="auto"/>
                <w:sz w:val="21"/>
                <w:szCs w:val="21"/>
              </w:rPr>
            </w:pPr>
          </w:p>
        </w:tc>
      </w:tr>
      <w:tr>
        <w:tblPrEx>
          <w:shd w:val="clear" w:color="auto" w:fill="auto"/>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11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郑家坞镇</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沈里村</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沈里村沈街终端</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100</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eastAsia="zh-CN"/>
              </w:rPr>
              <w:t>一级</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1套</w:t>
            </w: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ind w:left="0" w:right="0"/>
              <w:rPr>
                <w:rFonts w:hint="eastAsia" w:ascii="宋体" w:hAnsi="宋体" w:eastAsia="宋体" w:cs="宋体"/>
                <w:b w:val="0"/>
                <w:color w:val="auto"/>
                <w:sz w:val="21"/>
                <w:szCs w:val="21"/>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12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郑家坞镇</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江东村</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溪东旧区终端</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50</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eastAsia="zh-CN"/>
              </w:rPr>
              <w:t>一级</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1套</w:t>
            </w: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ind w:left="0" w:right="0"/>
              <w:rPr>
                <w:rFonts w:hint="eastAsia" w:ascii="宋体" w:hAnsi="宋体" w:eastAsia="宋体" w:cs="宋体"/>
                <w:b w:val="0"/>
                <w:color w:val="auto"/>
                <w:sz w:val="21"/>
                <w:szCs w:val="21"/>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13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郑家坞镇</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云溪村</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余郭村终端</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40</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eastAsia="zh-CN"/>
              </w:rPr>
              <w:t>一级</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1套</w:t>
            </w: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ind w:left="0" w:right="0"/>
              <w:rPr>
                <w:rFonts w:hint="eastAsia" w:ascii="宋体" w:hAnsi="宋体" w:eastAsia="宋体" w:cs="宋体"/>
                <w:b w:val="0"/>
                <w:color w:val="auto"/>
                <w:sz w:val="21"/>
                <w:szCs w:val="21"/>
              </w:rPr>
            </w:pPr>
          </w:p>
        </w:tc>
      </w:tr>
      <w:tr>
        <w:tblPrEx>
          <w:tblCellMar>
            <w:top w:w="0" w:type="dxa"/>
            <w:left w:w="108" w:type="dxa"/>
            <w:bottom w:w="0" w:type="dxa"/>
            <w:right w:w="108" w:type="dxa"/>
          </w:tblCellMar>
        </w:tblPrEx>
        <w:trPr>
          <w:trHeight w:val="567"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14</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郑家坞镇</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吴大路村</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吴大路终端</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eastAsia="zh-CN"/>
              </w:rPr>
              <w:t>190</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一级</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2套</w:t>
            </w:r>
            <w:r>
              <w:rPr>
                <w:rFonts w:hint="eastAsia" w:ascii="宋体" w:hAnsi="宋体" w:eastAsia="宋体" w:cs="宋体"/>
                <w:b w:val="0"/>
                <w:color w:val="auto"/>
                <w:sz w:val="21"/>
                <w:szCs w:val="21"/>
                <w:lang w:val="en-US" w:eastAsia="zh-CN"/>
              </w:rPr>
              <w:t>100</w:t>
            </w:r>
            <w:r>
              <w:rPr>
                <w:rFonts w:hint="eastAsia" w:ascii="宋体" w:hAnsi="宋体" w:eastAsia="宋体" w:cs="宋体"/>
                <w:b w:val="0"/>
                <w:color w:val="auto"/>
                <w:sz w:val="21"/>
                <w:szCs w:val="21"/>
              </w:rPr>
              <w:t>t/d</w:t>
            </w: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ind w:left="0" w:right="0"/>
              <w:rPr>
                <w:rFonts w:hint="eastAsia" w:ascii="宋体" w:hAnsi="宋体" w:eastAsia="宋体" w:cs="宋体"/>
                <w:b w:val="0"/>
                <w:color w:val="auto"/>
                <w:sz w:val="21"/>
                <w:szCs w:val="21"/>
              </w:rPr>
            </w:pPr>
          </w:p>
        </w:tc>
      </w:tr>
    </w:tbl>
    <w:p>
      <w:pPr>
        <w:rPr>
          <w:rFonts w:eastAsiaTheme="minorEastAsia"/>
          <w:b/>
          <w:bCs/>
          <w:color w:val="auto"/>
          <w:sz w:val="24"/>
          <w:szCs w:val="32"/>
        </w:rPr>
      </w:pPr>
      <w:r>
        <w:rPr>
          <w:rFonts w:eastAsiaTheme="minorEastAsia"/>
          <w:b/>
          <w:bCs/>
          <w:color w:val="auto"/>
          <w:sz w:val="24"/>
          <w:szCs w:val="32"/>
        </w:rPr>
        <w:t>三、各终端主要设备清单</w:t>
      </w:r>
    </w:p>
    <w:p>
      <w:pPr>
        <w:numPr>
          <w:ilvl w:val="0"/>
          <w:numId w:val="0"/>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上叶北终端</w:t>
      </w:r>
    </w:p>
    <w:tbl>
      <w:tblPr>
        <w:tblStyle w:val="23"/>
        <w:tblW w:w="4911" w:type="pct"/>
        <w:tblInd w:w="96" w:type="dxa"/>
        <w:tblLayout w:type="autofit"/>
        <w:tblCellMar>
          <w:top w:w="0" w:type="dxa"/>
          <w:left w:w="108" w:type="dxa"/>
          <w:bottom w:w="0" w:type="dxa"/>
          <w:right w:w="108" w:type="dxa"/>
        </w:tblCellMar>
      </w:tblPr>
      <w:tblGrid>
        <w:gridCol w:w="1038"/>
        <w:gridCol w:w="2376"/>
        <w:gridCol w:w="3779"/>
        <w:gridCol w:w="1131"/>
        <w:gridCol w:w="1061"/>
      </w:tblGrid>
      <w:tr>
        <w:tblPrEx>
          <w:tblCellMar>
            <w:top w:w="0" w:type="dxa"/>
            <w:left w:w="108" w:type="dxa"/>
            <w:bottom w:w="0" w:type="dxa"/>
            <w:right w:w="108" w:type="dxa"/>
          </w:tblCellMar>
        </w:tblPrEx>
        <w:trPr>
          <w:trHeight w:val="567"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设备名称</w:t>
            </w:r>
          </w:p>
        </w:tc>
        <w:tc>
          <w:tcPr>
            <w:tcW w:w="2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规格参数</w:t>
            </w:r>
          </w:p>
        </w:tc>
        <w:tc>
          <w:tcPr>
            <w:tcW w:w="60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r>
      <w:tr>
        <w:tblPrEx>
          <w:tblCellMar>
            <w:top w:w="0" w:type="dxa"/>
            <w:left w:w="108" w:type="dxa"/>
            <w:bottom w:w="0" w:type="dxa"/>
            <w:right w:w="108" w:type="dxa"/>
          </w:tblCellMar>
        </w:tblPrEx>
        <w:trPr>
          <w:trHeight w:val="567"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粗格栅</w:t>
            </w:r>
          </w:p>
        </w:tc>
        <w:tc>
          <w:tcPr>
            <w:tcW w:w="2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栅条直径5mm，间距25mm，</w:t>
            </w:r>
            <w:r>
              <w:rPr>
                <w:rFonts w:hint="eastAsia" w:ascii="宋体" w:hAnsi="宋体" w:eastAsia="宋体" w:cs="宋体"/>
                <w:color w:val="auto"/>
                <w:sz w:val="21"/>
                <w:szCs w:val="21"/>
                <w:lang w:eastAsia="zh-CN"/>
              </w:rPr>
              <w:t>不锈钢SS304</w:t>
            </w:r>
          </w:p>
        </w:tc>
        <w:tc>
          <w:tcPr>
            <w:tcW w:w="60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细格栅</w:t>
            </w:r>
          </w:p>
        </w:tc>
        <w:tc>
          <w:tcPr>
            <w:tcW w:w="2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栅网孔径5*5mm，不锈钢SS304</w:t>
            </w:r>
          </w:p>
        </w:tc>
        <w:tc>
          <w:tcPr>
            <w:tcW w:w="60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隔油板</w:t>
            </w:r>
          </w:p>
        </w:tc>
        <w:tc>
          <w:tcPr>
            <w:tcW w:w="2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硬质UPVC</w:t>
            </w:r>
          </w:p>
        </w:tc>
        <w:tc>
          <w:tcPr>
            <w:tcW w:w="60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挡泥板</w:t>
            </w:r>
          </w:p>
        </w:tc>
        <w:tc>
          <w:tcPr>
            <w:tcW w:w="2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硬质UPVC</w:t>
            </w:r>
          </w:p>
        </w:tc>
        <w:tc>
          <w:tcPr>
            <w:tcW w:w="60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一体化设备</w:t>
            </w:r>
          </w:p>
        </w:tc>
        <w:tc>
          <w:tcPr>
            <w:tcW w:w="2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0t/d一体化设备</w:t>
            </w:r>
            <w:r>
              <w:rPr>
                <w:rStyle w:val="28"/>
                <w:rFonts w:hint="eastAsia" w:ascii="宋体" w:hAnsi="宋体" w:eastAsia="宋体" w:cs="宋体"/>
                <w:color w:val="auto"/>
                <w:sz w:val="21"/>
                <w:szCs w:val="21"/>
              </w:rPr>
              <w:t>，</w:t>
            </w:r>
            <w:r>
              <w:rPr>
                <w:rStyle w:val="28"/>
                <w:rFonts w:hint="eastAsia" w:ascii="宋体" w:hAnsi="宋体" w:eastAsia="宋体" w:cs="宋体"/>
                <w:color w:val="auto"/>
                <w:sz w:val="21"/>
                <w:szCs w:val="21"/>
                <w:lang w:val="en-US" w:eastAsia="zh-CN"/>
              </w:rPr>
              <w:t>5.0</w:t>
            </w:r>
            <w:r>
              <w:rPr>
                <w:rStyle w:val="28"/>
                <w:rFonts w:hint="eastAsia" w:ascii="宋体" w:hAnsi="宋体" w:eastAsia="宋体" w:cs="宋体"/>
                <w:color w:val="auto"/>
                <w:sz w:val="21"/>
                <w:szCs w:val="21"/>
              </w:rPr>
              <w:t>×</w:t>
            </w:r>
            <w:r>
              <w:rPr>
                <w:rStyle w:val="28"/>
                <w:rFonts w:hint="eastAsia" w:ascii="宋体" w:hAnsi="宋体" w:eastAsia="宋体" w:cs="宋体"/>
                <w:color w:val="auto"/>
                <w:sz w:val="21"/>
                <w:szCs w:val="21"/>
                <w:lang w:val="en-US" w:eastAsia="zh-CN"/>
              </w:rPr>
              <w:t>2.4</w:t>
            </w:r>
            <w:r>
              <w:rPr>
                <w:rStyle w:val="28"/>
                <w:rFonts w:hint="eastAsia" w:ascii="宋体" w:hAnsi="宋体" w:eastAsia="宋体" w:cs="宋体"/>
                <w:color w:val="auto"/>
                <w:sz w:val="21"/>
                <w:szCs w:val="21"/>
              </w:rPr>
              <w:t>×3.0m，地埋式，成品碳钢（</w:t>
            </w:r>
            <w:r>
              <w:rPr>
                <w:rStyle w:val="28"/>
                <w:rFonts w:hint="eastAsia" w:ascii="宋体" w:hAnsi="宋体" w:eastAsia="宋体" w:cs="宋体"/>
                <w:color w:val="auto"/>
                <w:sz w:val="21"/>
                <w:szCs w:val="21"/>
                <w:lang w:eastAsia="zh-CN"/>
              </w:rPr>
              <w:t>含污泥回流系统、混合液回流系统、深度除磷系统、风机、流量计、调节池提升泵、控制柜等</w:t>
            </w:r>
            <w:r>
              <w:rPr>
                <w:rStyle w:val="28"/>
                <w:rFonts w:hint="eastAsia" w:ascii="宋体" w:hAnsi="宋体" w:eastAsia="宋体" w:cs="宋体"/>
                <w:color w:val="auto"/>
                <w:sz w:val="21"/>
                <w:szCs w:val="21"/>
              </w:rPr>
              <w:t>）</w:t>
            </w:r>
          </w:p>
        </w:tc>
        <w:tc>
          <w:tcPr>
            <w:tcW w:w="60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消毒设备</w:t>
            </w:r>
          </w:p>
        </w:tc>
        <w:tc>
          <w:tcPr>
            <w:tcW w:w="2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日处理3</w:t>
            </w:r>
            <w:r>
              <w:rPr>
                <w:rFonts w:hint="eastAsia" w:ascii="宋体" w:hAnsi="宋体" w:eastAsia="宋体" w:cs="宋体"/>
                <w:color w:val="auto"/>
                <w:sz w:val="21"/>
                <w:szCs w:val="21"/>
              </w:rPr>
              <w:t>0t/d</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箱式灭菌仪，灭菌率大于95%</w:t>
            </w:r>
          </w:p>
        </w:tc>
        <w:tc>
          <w:tcPr>
            <w:tcW w:w="60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监控设备</w:t>
            </w:r>
          </w:p>
        </w:tc>
        <w:tc>
          <w:tcPr>
            <w:tcW w:w="2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移位</w:t>
            </w:r>
          </w:p>
        </w:tc>
        <w:tc>
          <w:tcPr>
            <w:tcW w:w="60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w:t>
            </w:r>
          </w:p>
        </w:tc>
        <w:tc>
          <w:tcPr>
            <w:tcW w:w="1265" w:type="pct"/>
            <w:tcBorders>
              <w:top w:val="nil"/>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控制房</w:t>
            </w:r>
          </w:p>
        </w:tc>
        <w:tc>
          <w:tcPr>
            <w:tcW w:w="2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2.5m*1.8m*2m，防腐木</w:t>
            </w:r>
          </w:p>
        </w:tc>
        <w:tc>
          <w:tcPr>
            <w:tcW w:w="60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座</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9</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电器元件</w:t>
            </w:r>
          </w:p>
        </w:tc>
        <w:tc>
          <w:tcPr>
            <w:tcW w:w="2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电线、电缆、控制柜等</w:t>
            </w:r>
          </w:p>
        </w:tc>
        <w:tc>
          <w:tcPr>
            <w:tcW w:w="60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10</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工艺管道阀门及其配件</w:t>
            </w:r>
          </w:p>
        </w:tc>
        <w:tc>
          <w:tcPr>
            <w:tcW w:w="2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国标</w:t>
            </w:r>
          </w:p>
        </w:tc>
        <w:tc>
          <w:tcPr>
            <w:tcW w:w="60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bl>
    <w:p>
      <w:pPr>
        <w:numPr>
          <w:ilvl w:val="0"/>
          <w:numId w:val="0"/>
        </w:numPr>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2、冯村上叶南终端</w:t>
      </w:r>
    </w:p>
    <w:tbl>
      <w:tblPr>
        <w:tblStyle w:val="23"/>
        <w:tblW w:w="4911" w:type="pct"/>
        <w:tblInd w:w="81" w:type="dxa"/>
        <w:tblLayout w:type="autofit"/>
        <w:tblCellMar>
          <w:top w:w="0" w:type="dxa"/>
          <w:left w:w="108" w:type="dxa"/>
          <w:bottom w:w="0" w:type="dxa"/>
          <w:right w:w="108" w:type="dxa"/>
        </w:tblCellMar>
      </w:tblPr>
      <w:tblGrid>
        <w:gridCol w:w="1052"/>
        <w:gridCol w:w="2376"/>
        <w:gridCol w:w="3780"/>
        <w:gridCol w:w="1131"/>
        <w:gridCol w:w="1046"/>
      </w:tblGrid>
      <w:tr>
        <w:tblPrEx>
          <w:tblCellMar>
            <w:top w:w="0" w:type="dxa"/>
            <w:left w:w="108" w:type="dxa"/>
            <w:bottom w:w="0" w:type="dxa"/>
            <w:right w:w="108" w:type="dxa"/>
          </w:tblCellMar>
        </w:tblPrEx>
        <w:trPr>
          <w:trHeight w:val="23"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设备名称</w:t>
            </w:r>
          </w:p>
        </w:tc>
        <w:tc>
          <w:tcPr>
            <w:tcW w:w="2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规格参数</w:t>
            </w:r>
          </w:p>
        </w:tc>
        <w:tc>
          <w:tcPr>
            <w:tcW w:w="60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r>
      <w:tr>
        <w:tblPrEx>
          <w:tblCellMar>
            <w:top w:w="0" w:type="dxa"/>
            <w:left w:w="108" w:type="dxa"/>
            <w:bottom w:w="0" w:type="dxa"/>
            <w:right w:w="108" w:type="dxa"/>
          </w:tblCellMar>
        </w:tblPrEx>
        <w:trPr>
          <w:trHeight w:val="23"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粗格栅</w:t>
            </w:r>
          </w:p>
        </w:tc>
        <w:tc>
          <w:tcPr>
            <w:tcW w:w="2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栅条直径5mm，间距25mm，</w:t>
            </w:r>
            <w:r>
              <w:rPr>
                <w:rFonts w:hint="eastAsia" w:ascii="宋体" w:hAnsi="宋体" w:eastAsia="宋体" w:cs="宋体"/>
                <w:color w:val="auto"/>
                <w:sz w:val="21"/>
                <w:szCs w:val="21"/>
                <w:lang w:eastAsia="zh-CN"/>
              </w:rPr>
              <w:t>不锈钢SS304</w:t>
            </w:r>
          </w:p>
        </w:tc>
        <w:tc>
          <w:tcPr>
            <w:tcW w:w="60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23"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细格栅</w:t>
            </w:r>
          </w:p>
        </w:tc>
        <w:tc>
          <w:tcPr>
            <w:tcW w:w="2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栅网孔径5*5mm，不锈钢SS304</w:t>
            </w:r>
          </w:p>
        </w:tc>
        <w:tc>
          <w:tcPr>
            <w:tcW w:w="60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23"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隔油板</w:t>
            </w:r>
          </w:p>
        </w:tc>
        <w:tc>
          <w:tcPr>
            <w:tcW w:w="2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硬质UPVC</w:t>
            </w:r>
          </w:p>
        </w:tc>
        <w:tc>
          <w:tcPr>
            <w:tcW w:w="60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23"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挡泥板</w:t>
            </w:r>
          </w:p>
        </w:tc>
        <w:tc>
          <w:tcPr>
            <w:tcW w:w="2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硬质UPVC</w:t>
            </w:r>
          </w:p>
        </w:tc>
        <w:tc>
          <w:tcPr>
            <w:tcW w:w="60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23"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提升泵</w:t>
            </w:r>
          </w:p>
        </w:tc>
        <w:tc>
          <w:tcPr>
            <w:tcW w:w="2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规格：Q=5m3/h，H=8m，N=0.37kw，三相，含浮球</w:t>
            </w:r>
          </w:p>
        </w:tc>
        <w:tc>
          <w:tcPr>
            <w:tcW w:w="60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r>
      <w:tr>
        <w:tblPrEx>
          <w:tblCellMar>
            <w:top w:w="0" w:type="dxa"/>
            <w:left w:w="108" w:type="dxa"/>
            <w:bottom w:w="0" w:type="dxa"/>
            <w:right w:w="108" w:type="dxa"/>
          </w:tblCellMar>
        </w:tblPrEx>
        <w:trPr>
          <w:trHeight w:val="23"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一体化设备</w:t>
            </w:r>
          </w:p>
        </w:tc>
        <w:tc>
          <w:tcPr>
            <w:tcW w:w="2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0t/d一体化设备</w:t>
            </w:r>
            <w:r>
              <w:rPr>
                <w:rStyle w:val="28"/>
                <w:rFonts w:hint="eastAsia" w:ascii="宋体" w:hAnsi="宋体" w:eastAsia="宋体" w:cs="宋体"/>
                <w:color w:val="auto"/>
                <w:sz w:val="21"/>
                <w:szCs w:val="21"/>
              </w:rPr>
              <w:t>，</w:t>
            </w:r>
            <w:r>
              <w:rPr>
                <w:rStyle w:val="28"/>
                <w:rFonts w:hint="eastAsia" w:ascii="宋体" w:hAnsi="宋体" w:eastAsia="宋体" w:cs="宋体"/>
                <w:color w:val="auto"/>
                <w:sz w:val="21"/>
                <w:szCs w:val="21"/>
                <w:lang w:val="en-US" w:eastAsia="zh-CN"/>
              </w:rPr>
              <w:t>5.0</w:t>
            </w:r>
            <w:r>
              <w:rPr>
                <w:rStyle w:val="28"/>
                <w:rFonts w:hint="eastAsia" w:ascii="宋体" w:hAnsi="宋体" w:eastAsia="宋体" w:cs="宋体"/>
                <w:color w:val="auto"/>
                <w:sz w:val="21"/>
                <w:szCs w:val="21"/>
              </w:rPr>
              <w:t>×</w:t>
            </w:r>
            <w:r>
              <w:rPr>
                <w:rStyle w:val="28"/>
                <w:rFonts w:hint="eastAsia" w:ascii="宋体" w:hAnsi="宋体" w:eastAsia="宋体" w:cs="宋体"/>
                <w:color w:val="auto"/>
                <w:sz w:val="21"/>
                <w:szCs w:val="21"/>
                <w:lang w:val="en-US" w:eastAsia="zh-CN"/>
              </w:rPr>
              <w:t>2.4</w:t>
            </w:r>
            <w:r>
              <w:rPr>
                <w:rStyle w:val="28"/>
                <w:rFonts w:hint="eastAsia" w:ascii="宋体" w:hAnsi="宋体" w:eastAsia="宋体" w:cs="宋体"/>
                <w:color w:val="auto"/>
                <w:sz w:val="21"/>
                <w:szCs w:val="21"/>
              </w:rPr>
              <w:t>×3.0m，地埋式，成品碳钢（</w:t>
            </w:r>
            <w:r>
              <w:rPr>
                <w:rStyle w:val="28"/>
                <w:rFonts w:hint="eastAsia" w:ascii="宋体" w:hAnsi="宋体" w:eastAsia="宋体" w:cs="宋体"/>
                <w:color w:val="auto"/>
                <w:sz w:val="21"/>
                <w:szCs w:val="21"/>
                <w:lang w:eastAsia="zh-CN"/>
              </w:rPr>
              <w:t>含污泥回流系统、混合液回流系统、深度除磷系统、风机、流量计、调节池提升泵、控制柜等</w:t>
            </w:r>
            <w:r>
              <w:rPr>
                <w:rStyle w:val="28"/>
                <w:rFonts w:hint="eastAsia" w:ascii="宋体" w:hAnsi="宋体" w:eastAsia="宋体" w:cs="宋体"/>
                <w:color w:val="auto"/>
                <w:sz w:val="21"/>
                <w:szCs w:val="21"/>
              </w:rPr>
              <w:t>）</w:t>
            </w:r>
          </w:p>
        </w:tc>
        <w:tc>
          <w:tcPr>
            <w:tcW w:w="60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23"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消毒设备</w:t>
            </w:r>
          </w:p>
        </w:tc>
        <w:tc>
          <w:tcPr>
            <w:tcW w:w="2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日处理3</w:t>
            </w:r>
            <w:r>
              <w:rPr>
                <w:rFonts w:hint="eastAsia" w:ascii="宋体" w:hAnsi="宋体" w:eastAsia="宋体" w:cs="宋体"/>
                <w:color w:val="auto"/>
                <w:sz w:val="21"/>
                <w:szCs w:val="21"/>
              </w:rPr>
              <w:t>0t/d</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箱式灭菌仪，灭菌率大于95%</w:t>
            </w:r>
          </w:p>
        </w:tc>
        <w:tc>
          <w:tcPr>
            <w:tcW w:w="60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23"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265" w:type="pct"/>
            <w:tcBorders>
              <w:top w:val="nil"/>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监控设备</w:t>
            </w:r>
          </w:p>
        </w:tc>
        <w:tc>
          <w:tcPr>
            <w:tcW w:w="2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移位</w:t>
            </w:r>
          </w:p>
        </w:tc>
        <w:tc>
          <w:tcPr>
            <w:tcW w:w="60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23"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控制房</w:t>
            </w:r>
          </w:p>
        </w:tc>
        <w:tc>
          <w:tcPr>
            <w:tcW w:w="2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2.5m*1.8m*2m，防腐木</w:t>
            </w:r>
          </w:p>
        </w:tc>
        <w:tc>
          <w:tcPr>
            <w:tcW w:w="60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座</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23"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电器元件</w:t>
            </w:r>
          </w:p>
        </w:tc>
        <w:tc>
          <w:tcPr>
            <w:tcW w:w="2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电线、电缆、控制柜等</w:t>
            </w:r>
          </w:p>
        </w:tc>
        <w:tc>
          <w:tcPr>
            <w:tcW w:w="60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23"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工艺管道阀门及其配件</w:t>
            </w:r>
          </w:p>
        </w:tc>
        <w:tc>
          <w:tcPr>
            <w:tcW w:w="2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国标</w:t>
            </w:r>
          </w:p>
        </w:tc>
        <w:tc>
          <w:tcPr>
            <w:tcW w:w="60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bl>
    <w:p>
      <w:pPr>
        <w:numPr>
          <w:ilvl w:val="0"/>
          <w:numId w:val="0"/>
        </w:numPr>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3、冯村终端</w:t>
      </w:r>
    </w:p>
    <w:tbl>
      <w:tblPr>
        <w:tblStyle w:val="23"/>
        <w:tblW w:w="4911" w:type="pct"/>
        <w:tblInd w:w="81" w:type="dxa"/>
        <w:tblLayout w:type="autofit"/>
        <w:tblCellMar>
          <w:top w:w="0" w:type="dxa"/>
          <w:left w:w="108" w:type="dxa"/>
          <w:bottom w:w="0" w:type="dxa"/>
          <w:right w:w="108" w:type="dxa"/>
        </w:tblCellMar>
      </w:tblPr>
      <w:tblGrid>
        <w:gridCol w:w="1157"/>
        <w:gridCol w:w="2410"/>
        <w:gridCol w:w="3683"/>
        <w:gridCol w:w="1121"/>
        <w:gridCol w:w="1014"/>
      </w:tblGrid>
      <w:tr>
        <w:tblPrEx>
          <w:tblCellMar>
            <w:top w:w="0" w:type="dxa"/>
            <w:left w:w="108" w:type="dxa"/>
            <w:bottom w:w="0" w:type="dxa"/>
            <w:right w:w="108" w:type="dxa"/>
          </w:tblCellMar>
        </w:tblPrEx>
        <w:trPr>
          <w:trHeight w:val="300"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设备名称</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规格参数</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r>
      <w:tr>
        <w:tblPrEx>
          <w:tblCellMar>
            <w:top w:w="0" w:type="dxa"/>
            <w:left w:w="108" w:type="dxa"/>
            <w:bottom w:w="0" w:type="dxa"/>
            <w:right w:w="108" w:type="dxa"/>
          </w:tblCellMar>
        </w:tblPrEx>
        <w:trPr>
          <w:trHeight w:val="567"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一体化设备</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60t/d一体化设备，8.5×3.0×3.0m，地埋式，成品碳钢（</w:t>
            </w:r>
            <w:r>
              <w:rPr>
                <w:rFonts w:hint="eastAsia" w:ascii="宋体" w:hAnsi="宋体" w:eastAsia="宋体" w:cs="宋体"/>
                <w:color w:val="auto"/>
                <w:sz w:val="21"/>
                <w:szCs w:val="21"/>
                <w:lang w:eastAsia="zh-CN"/>
              </w:rPr>
              <w:t>含污泥回流系统、混合液回流系统、深度除磷系统、风机、流量计、调节池提升泵、控制柜等</w:t>
            </w:r>
            <w:r>
              <w:rPr>
                <w:rFonts w:hint="eastAsia" w:ascii="宋体" w:hAnsi="宋体" w:eastAsia="宋体" w:cs="宋体"/>
                <w:color w:val="auto"/>
                <w:sz w:val="21"/>
                <w:szCs w:val="21"/>
              </w:rPr>
              <w:t>）</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r>
      <w:tr>
        <w:tblPrEx>
          <w:tblCellMar>
            <w:top w:w="0" w:type="dxa"/>
            <w:left w:w="108" w:type="dxa"/>
            <w:bottom w:w="0" w:type="dxa"/>
            <w:right w:w="108" w:type="dxa"/>
          </w:tblCellMar>
        </w:tblPrEx>
        <w:trPr>
          <w:trHeight w:val="567"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过滤池</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120t/d</w:t>
            </w:r>
            <w:r>
              <w:rPr>
                <w:rFonts w:hint="eastAsia" w:ascii="宋体" w:hAnsi="宋体" w:eastAsia="宋体" w:cs="宋体"/>
                <w:color w:val="auto"/>
                <w:sz w:val="21"/>
                <w:szCs w:val="21"/>
                <w:lang w:eastAsia="zh-CN"/>
              </w:rPr>
              <w:t>，2.4m×1.5m×3.0m，半地埋，成品碳钢</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搅拌机</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N=0.85kw，叶轮转速980r/min，叶轮直径260mm，不锈钢材质</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消毒设备</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日处理1</w:t>
            </w:r>
            <w:r>
              <w:rPr>
                <w:rFonts w:hint="eastAsia" w:ascii="宋体" w:hAnsi="宋体" w:eastAsia="宋体" w:cs="宋体"/>
                <w:color w:val="auto"/>
                <w:sz w:val="21"/>
                <w:szCs w:val="21"/>
              </w:rPr>
              <w:t>20t/d</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箱式灭菌仪，灭菌率大于95%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监控设备</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移位</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挡泥板</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硬质UPVC</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控制房</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4m*3m*2m，防腐木</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座</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电器元件</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电线、电缆等</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工艺管道阀门及其配件</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国标</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bl>
    <w:p>
      <w:pPr>
        <w:numPr>
          <w:ilvl w:val="0"/>
          <w:numId w:val="0"/>
        </w:numPr>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4、方门村终端</w:t>
      </w:r>
    </w:p>
    <w:tbl>
      <w:tblPr>
        <w:tblStyle w:val="23"/>
        <w:tblW w:w="4941" w:type="pct"/>
        <w:tblInd w:w="107" w:type="dxa"/>
        <w:tblLayout w:type="autofit"/>
        <w:tblCellMar>
          <w:top w:w="0" w:type="dxa"/>
          <w:left w:w="108" w:type="dxa"/>
          <w:bottom w:w="0" w:type="dxa"/>
          <w:right w:w="108" w:type="dxa"/>
        </w:tblCellMar>
      </w:tblPr>
      <w:tblGrid>
        <w:gridCol w:w="1128"/>
        <w:gridCol w:w="2409"/>
        <w:gridCol w:w="3667"/>
        <w:gridCol w:w="1118"/>
        <w:gridCol w:w="1035"/>
        <w:gridCol w:w="85"/>
      </w:tblGrid>
      <w:tr>
        <w:tblPrEx>
          <w:tblCellMar>
            <w:top w:w="0" w:type="dxa"/>
            <w:left w:w="108" w:type="dxa"/>
            <w:bottom w:w="0" w:type="dxa"/>
            <w:right w:w="108" w:type="dxa"/>
          </w:tblCellMar>
        </w:tblPrEx>
        <w:trPr>
          <w:trHeight w:val="23"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1"/>
                <w:szCs w:val="21"/>
              </w:rPr>
            </w:pPr>
            <w:r>
              <w:rPr>
                <w:rFonts w:hint="eastAsia" w:ascii="宋体" w:hAnsi="宋体" w:eastAsia="宋体" w:cs="宋体"/>
                <w:b/>
                <w:bCs/>
                <w:color w:val="auto"/>
                <w:sz w:val="21"/>
                <w:szCs w:val="21"/>
              </w:rPr>
              <w:t>设备名称</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1"/>
                <w:szCs w:val="21"/>
              </w:rPr>
            </w:pPr>
            <w:r>
              <w:rPr>
                <w:rFonts w:hint="eastAsia" w:ascii="宋体" w:hAnsi="宋体" w:eastAsia="宋体" w:cs="宋体"/>
                <w:b/>
                <w:bCs/>
                <w:color w:val="auto"/>
                <w:sz w:val="21"/>
                <w:szCs w:val="21"/>
              </w:rPr>
              <w:t>规格参数</w:t>
            </w:r>
          </w:p>
        </w:tc>
        <w:tc>
          <w:tcPr>
            <w:tcW w:w="59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r>
      <w:tr>
        <w:tblPrEx>
          <w:tblCellMar>
            <w:top w:w="0" w:type="dxa"/>
            <w:left w:w="108" w:type="dxa"/>
            <w:bottom w:w="0" w:type="dxa"/>
            <w:right w:w="108" w:type="dxa"/>
          </w:tblCellMar>
        </w:tblPrEx>
        <w:trPr>
          <w:trHeight w:val="567"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粗格栅</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栅条直径5mm，间距25mm，</w:t>
            </w:r>
            <w:r>
              <w:rPr>
                <w:rFonts w:hint="eastAsia" w:ascii="宋体" w:hAnsi="宋体" w:eastAsia="宋体" w:cs="宋体"/>
                <w:color w:val="auto"/>
                <w:sz w:val="21"/>
                <w:szCs w:val="21"/>
                <w:lang w:eastAsia="zh-CN"/>
              </w:rPr>
              <w:t>不锈钢SS304</w:t>
            </w:r>
          </w:p>
        </w:tc>
        <w:tc>
          <w:tcPr>
            <w:tcW w:w="59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细格栅</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栅网孔径5*5mm，不锈钢SS304</w:t>
            </w:r>
          </w:p>
        </w:tc>
        <w:tc>
          <w:tcPr>
            <w:tcW w:w="59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隔油板</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硬质UPVC</w:t>
            </w:r>
          </w:p>
        </w:tc>
        <w:tc>
          <w:tcPr>
            <w:tcW w:w="59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挡泥板</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硬质UPVC</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提升泵</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规格：Q=5m3/h，H=8m，N=0.37kw，三相，含液位控制</w:t>
            </w:r>
          </w:p>
        </w:tc>
        <w:tc>
          <w:tcPr>
            <w:tcW w:w="59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r>
      <w:tr>
        <w:tblPrEx>
          <w:tblCellMar>
            <w:top w:w="0" w:type="dxa"/>
            <w:left w:w="108" w:type="dxa"/>
            <w:bottom w:w="0" w:type="dxa"/>
            <w:right w:w="108" w:type="dxa"/>
          </w:tblCellMar>
        </w:tblPrEx>
        <w:trPr>
          <w:trHeight w:val="567"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一体化设备</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0t/d一体化设备</w:t>
            </w:r>
            <w:r>
              <w:rPr>
                <w:rStyle w:val="28"/>
                <w:rFonts w:hint="eastAsia" w:ascii="宋体" w:hAnsi="宋体" w:eastAsia="宋体" w:cs="宋体"/>
                <w:color w:val="auto"/>
                <w:sz w:val="21"/>
                <w:szCs w:val="21"/>
              </w:rPr>
              <w:t>，</w:t>
            </w:r>
            <w:r>
              <w:rPr>
                <w:rStyle w:val="28"/>
                <w:rFonts w:hint="eastAsia" w:ascii="宋体" w:hAnsi="宋体" w:eastAsia="宋体" w:cs="宋体"/>
                <w:color w:val="auto"/>
                <w:sz w:val="21"/>
                <w:szCs w:val="21"/>
                <w:lang w:val="en-US" w:eastAsia="zh-CN"/>
              </w:rPr>
              <w:t>8.0</w:t>
            </w:r>
            <w:r>
              <w:rPr>
                <w:rStyle w:val="28"/>
                <w:rFonts w:hint="eastAsia" w:ascii="宋体" w:hAnsi="宋体" w:eastAsia="宋体" w:cs="宋体"/>
                <w:color w:val="auto"/>
                <w:sz w:val="21"/>
                <w:szCs w:val="21"/>
              </w:rPr>
              <w:t>×</w:t>
            </w:r>
            <w:r>
              <w:rPr>
                <w:rStyle w:val="28"/>
                <w:rFonts w:hint="eastAsia" w:ascii="宋体" w:hAnsi="宋体" w:eastAsia="宋体" w:cs="宋体"/>
                <w:color w:val="auto"/>
                <w:sz w:val="21"/>
                <w:szCs w:val="21"/>
                <w:lang w:val="en-US" w:eastAsia="zh-CN"/>
              </w:rPr>
              <w:t>3.0</w:t>
            </w:r>
            <w:r>
              <w:rPr>
                <w:rStyle w:val="28"/>
                <w:rFonts w:hint="eastAsia" w:ascii="宋体" w:hAnsi="宋体" w:eastAsia="宋体" w:cs="宋体"/>
                <w:color w:val="auto"/>
                <w:sz w:val="21"/>
                <w:szCs w:val="21"/>
              </w:rPr>
              <w:t>×3.0m，地埋式，成品碳钢（</w:t>
            </w:r>
            <w:r>
              <w:rPr>
                <w:rStyle w:val="28"/>
                <w:rFonts w:hint="eastAsia" w:ascii="宋体" w:hAnsi="宋体" w:eastAsia="宋体" w:cs="宋体"/>
                <w:color w:val="auto"/>
                <w:sz w:val="21"/>
                <w:szCs w:val="21"/>
                <w:lang w:eastAsia="zh-CN"/>
              </w:rPr>
              <w:t>含污泥回流系统、混合液回流系统、深度除磷系统、风机、流量计、调节池提升泵、控制柜等</w:t>
            </w:r>
            <w:r>
              <w:rPr>
                <w:rStyle w:val="28"/>
                <w:rFonts w:hint="eastAsia" w:ascii="宋体" w:hAnsi="宋体" w:eastAsia="宋体" w:cs="宋体"/>
                <w:color w:val="auto"/>
                <w:sz w:val="21"/>
                <w:szCs w:val="21"/>
              </w:rPr>
              <w:t>）</w:t>
            </w:r>
          </w:p>
        </w:tc>
        <w:tc>
          <w:tcPr>
            <w:tcW w:w="59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搅拌机</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N=0.85kw，叶轮转速980r/min，叶轮直径260mm，不锈钢材质</w:t>
            </w:r>
          </w:p>
        </w:tc>
        <w:tc>
          <w:tcPr>
            <w:tcW w:w="59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gridAfter w:val="1"/>
          <w:wAfter w:w="44" w:type="pct"/>
          <w:trHeight w:val="567"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消毒设备</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日处理5</w:t>
            </w:r>
            <w:r>
              <w:rPr>
                <w:rFonts w:hint="eastAsia" w:ascii="宋体" w:hAnsi="宋体" w:eastAsia="宋体" w:cs="宋体"/>
                <w:color w:val="auto"/>
                <w:sz w:val="21"/>
                <w:szCs w:val="21"/>
              </w:rPr>
              <w:t>0t/d</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箱式灭菌仪，灭菌率大于95%</w:t>
            </w:r>
          </w:p>
        </w:tc>
        <w:tc>
          <w:tcPr>
            <w:tcW w:w="59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gridAfter w:val="1"/>
          <w:wAfter w:w="44" w:type="pct"/>
          <w:trHeight w:val="567"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275" w:type="pct"/>
            <w:tcBorders>
              <w:top w:val="nil"/>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监控设备</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移位</w:t>
            </w:r>
          </w:p>
        </w:tc>
        <w:tc>
          <w:tcPr>
            <w:tcW w:w="59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gridAfter w:val="1"/>
          <w:wAfter w:w="44" w:type="pct"/>
          <w:trHeight w:val="567"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控制房</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3m*2m*2m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防腐木</w:t>
            </w:r>
          </w:p>
        </w:tc>
        <w:tc>
          <w:tcPr>
            <w:tcW w:w="59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座</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gridAfter w:val="1"/>
          <w:wAfter w:w="44" w:type="pct"/>
          <w:trHeight w:val="567"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电器元件</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电线、电缆等</w:t>
            </w:r>
          </w:p>
        </w:tc>
        <w:tc>
          <w:tcPr>
            <w:tcW w:w="59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gridAfter w:val="1"/>
          <w:wAfter w:w="44" w:type="pct"/>
          <w:trHeight w:val="567"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工艺管道阀门及其配件</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国标</w:t>
            </w:r>
          </w:p>
        </w:tc>
        <w:tc>
          <w:tcPr>
            <w:tcW w:w="59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bl>
    <w:p>
      <w:pPr>
        <w:numPr>
          <w:ilvl w:val="0"/>
          <w:numId w:val="0"/>
        </w:numPr>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5、岳塘下张村终端</w:t>
      </w:r>
    </w:p>
    <w:tbl>
      <w:tblPr>
        <w:tblStyle w:val="23"/>
        <w:tblW w:w="4896" w:type="pct"/>
        <w:tblInd w:w="113" w:type="dxa"/>
        <w:tblLayout w:type="autofit"/>
        <w:tblCellMar>
          <w:top w:w="0" w:type="dxa"/>
          <w:left w:w="108" w:type="dxa"/>
          <w:bottom w:w="0" w:type="dxa"/>
          <w:right w:w="108" w:type="dxa"/>
        </w:tblCellMar>
      </w:tblPr>
      <w:tblGrid>
        <w:gridCol w:w="1012"/>
        <w:gridCol w:w="2528"/>
        <w:gridCol w:w="3662"/>
        <w:gridCol w:w="1120"/>
        <w:gridCol w:w="1034"/>
      </w:tblGrid>
      <w:tr>
        <w:tblPrEx>
          <w:tblCellMar>
            <w:top w:w="0" w:type="dxa"/>
            <w:left w:w="108" w:type="dxa"/>
            <w:bottom w:w="0" w:type="dxa"/>
            <w:right w:w="108" w:type="dxa"/>
          </w:tblCellMar>
        </w:tblPrEx>
        <w:trPr>
          <w:trHeight w:val="567"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设备名称</w:t>
            </w: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规格参数</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r>
      <w:tr>
        <w:tblPrEx>
          <w:tblCellMar>
            <w:top w:w="0" w:type="dxa"/>
            <w:left w:w="108" w:type="dxa"/>
            <w:bottom w:w="0" w:type="dxa"/>
            <w:right w:w="108" w:type="dxa"/>
          </w:tblCellMar>
        </w:tblPrEx>
        <w:trPr>
          <w:trHeight w:val="567"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粗格栅</w:t>
            </w: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栅条直径5mm，间距25mm，</w:t>
            </w:r>
            <w:r>
              <w:rPr>
                <w:rFonts w:hint="eastAsia" w:ascii="宋体" w:hAnsi="宋体" w:eastAsia="宋体" w:cs="宋体"/>
                <w:color w:val="auto"/>
                <w:sz w:val="21"/>
                <w:szCs w:val="21"/>
                <w:lang w:eastAsia="zh-CN"/>
              </w:rPr>
              <w:t>不锈钢SS304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细格栅</w:t>
            </w: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栅网孔径5*5mm，不锈钢SS304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隔油板</w:t>
            </w: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硬质UPVC</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提升泵</w:t>
            </w: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Q=5m3/h，H=8m，N=0.37kw，三相，含液位控制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用于过滤池</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r>
      <w:tr>
        <w:tblPrEx>
          <w:tblCellMar>
            <w:top w:w="0" w:type="dxa"/>
            <w:left w:w="108" w:type="dxa"/>
            <w:bottom w:w="0" w:type="dxa"/>
            <w:right w:w="108" w:type="dxa"/>
          </w:tblCellMar>
        </w:tblPrEx>
        <w:trPr>
          <w:trHeight w:val="567"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挡泥板</w:t>
            </w: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硬质UPVC</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一体化设备</w:t>
            </w: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80t/d一体化设备，9.5×3.0×3.0m，地埋式，成品碳钢（</w:t>
            </w:r>
            <w:r>
              <w:rPr>
                <w:rFonts w:hint="eastAsia" w:ascii="宋体" w:hAnsi="宋体" w:eastAsia="宋体" w:cs="宋体"/>
                <w:color w:val="auto"/>
                <w:sz w:val="21"/>
                <w:szCs w:val="21"/>
                <w:lang w:eastAsia="zh-CN"/>
              </w:rPr>
              <w:t>含污泥回流系统、混合液回流系统、深度除磷系统、风机、流量计、调节池提升泵、控制柜等</w:t>
            </w:r>
            <w:r>
              <w:rPr>
                <w:rFonts w:hint="eastAsia" w:ascii="宋体" w:hAnsi="宋体" w:eastAsia="宋体" w:cs="宋体"/>
                <w:color w:val="auto"/>
                <w:sz w:val="21"/>
                <w:szCs w:val="21"/>
              </w:rPr>
              <w:t>）</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搅拌机</w:t>
            </w: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N=0.85kw，叶轮转速980r/min，叶轮直径260mm，不锈钢材质</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消毒设备</w:t>
            </w: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日处理8</w:t>
            </w:r>
            <w:r>
              <w:rPr>
                <w:rFonts w:hint="eastAsia" w:ascii="宋体" w:hAnsi="宋体" w:eastAsia="宋体" w:cs="宋体"/>
                <w:color w:val="auto"/>
                <w:sz w:val="21"/>
                <w:szCs w:val="21"/>
              </w:rPr>
              <w:t>0t/d</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箱式灭菌仪，灭菌率大于95%</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监控设备</w:t>
            </w: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移位</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控制房</w:t>
            </w: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3m*2m*2m，防腐木</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座</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电器元件</w:t>
            </w: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电线、电缆、控制柜等</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3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工艺管道阀门及其配件</w:t>
            </w: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国标</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bl>
    <w:p>
      <w:pPr>
        <w:numPr>
          <w:ilvl w:val="0"/>
          <w:numId w:val="0"/>
        </w:numPr>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6、毛竹沿村终端</w:t>
      </w:r>
    </w:p>
    <w:tbl>
      <w:tblPr>
        <w:tblStyle w:val="23"/>
        <w:tblW w:w="4896" w:type="pct"/>
        <w:tblInd w:w="125" w:type="dxa"/>
        <w:tblLayout w:type="autofit"/>
        <w:tblCellMar>
          <w:top w:w="0" w:type="dxa"/>
          <w:left w:w="108" w:type="dxa"/>
          <w:bottom w:w="0" w:type="dxa"/>
          <w:right w:w="108" w:type="dxa"/>
        </w:tblCellMar>
      </w:tblPr>
      <w:tblGrid>
        <w:gridCol w:w="977"/>
        <w:gridCol w:w="2563"/>
        <w:gridCol w:w="3693"/>
        <w:gridCol w:w="1097"/>
        <w:gridCol w:w="1026"/>
      </w:tblGrid>
      <w:tr>
        <w:tblPrEx>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设备名称</w:t>
            </w: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规格参数</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r>
      <w:tr>
        <w:tblPrEx>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粗格栅</w:t>
            </w: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栅条直径5mm，间距25mm，</w:t>
            </w:r>
            <w:r>
              <w:rPr>
                <w:rFonts w:hint="eastAsia" w:ascii="宋体" w:hAnsi="宋体" w:eastAsia="宋体" w:cs="宋体"/>
                <w:color w:val="auto"/>
                <w:sz w:val="21"/>
                <w:szCs w:val="21"/>
                <w:lang w:eastAsia="zh-CN"/>
              </w:rPr>
              <w:t>不锈钢SS304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细格栅</w:t>
            </w: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栅网孔径5*5mm，不锈钢SS304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隔油板</w:t>
            </w: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硬质UPVC</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挡泥板</w:t>
            </w: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硬质UPVC</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一体化设备</w:t>
            </w: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80t/d一体化设备，9.5×3.0×3.0m，地埋式，成品碳钢（</w:t>
            </w:r>
            <w:r>
              <w:rPr>
                <w:rFonts w:hint="eastAsia" w:ascii="宋体" w:hAnsi="宋体" w:eastAsia="宋体" w:cs="宋体"/>
                <w:color w:val="auto"/>
                <w:sz w:val="21"/>
                <w:szCs w:val="21"/>
                <w:lang w:eastAsia="zh-CN"/>
              </w:rPr>
              <w:t>含污泥回流系统、混合液回流系统、深度除磷系统、风机、流量计、调节池提升泵、控制柜等</w:t>
            </w:r>
            <w:r>
              <w:rPr>
                <w:rFonts w:hint="eastAsia" w:ascii="宋体" w:hAnsi="宋体" w:eastAsia="宋体" w:cs="宋体"/>
                <w:color w:val="auto"/>
                <w:sz w:val="21"/>
                <w:szCs w:val="21"/>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搅拌机</w:t>
            </w: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N=0.85kw，叶轮转速980r/min，叶轮直径260mm，不锈钢材质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消毒设备</w:t>
            </w: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日处理8</w:t>
            </w:r>
            <w:r>
              <w:rPr>
                <w:rFonts w:hint="eastAsia" w:ascii="宋体" w:hAnsi="宋体" w:eastAsia="宋体" w:cs="宋体"/>
                <w:color w:val="auto"/>
                <w:sz w:val="21"/>
                <w:szCs w:val="21"/>
              </w:rPr>
              <w:t>0t/d</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箱式灭菌仪，灭菌率大于95%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监控设备</w:t>
            </w: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移位</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控制房</w:t>
            </w: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3m*2m*2m，防腐木</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座</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电器元件</w:t>
            </w: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电线、电缆等</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工艺管道阀门及其配件</w:t>
            </w: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国标</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bl>
    <w:p>
      <w:pPr>
        <w:numPr>
          <w:ilvl w:val="0"/>
          <w:numId w:val="0"/>
        </w:numPr>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7、朱路村上朱路终端</w:t>
      </w:r>
    </w:p>
    <w:tbl>
      <w:tblPr>
        <w:tblStyle w:val="23"/>
        <w:tblW w:w="4896" w:type="pct"/>
        <w:tblInd w:w="125" w:type="dxa"/>
        <w:tblLayout w:type="autofit"/>
        <w:tblCellMar>
          <w:top w:w="0" w:type="dxa"/>
          <w:left w:w="108" w:type="dxa"/>
          <w:bottom w:w="0" w:type="dxa"/>
          <w:right w:w="108" w:type="dxa"/>
        </w:tblCellMar>
      </w:tblPr>
      <w:tblGrid>
        <w:gridCol w:w="925"/>
        <w:gridCol w:w="2773"/>
        <w:gridCol w:w="3509"/>
        <w:gridCol w:w="1082"/>
        <w:gridCol w:w="1067"/>
      </w:tblGrid>
      <w:tr>
        <w:tblPrEx>
          <w:tblCellMar>
            <w:top w:w="0" w:type="dxa"/>
            <w:left w:w="108" w:type="dxa"/>
            <w:bottom w:w="0" w:type="dxa"/>
            <w:right w:w="108" w:type="dxa"/>
          </w:tblCellMar>
        </w:tblPrEx>
        <w:trPr>
          <w:trHeight w:val="567"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设备名称</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规格参数</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r>
      <w:tr>
        <w:tblPrEx>
          <w:tblCellMar>
            <w:top w:w="0" w:type="dxa"/>
            <w:left w:w="108" w:type="dxa"/>
            <w:bottom w:w="0" w:type="dxa"/>
            <w:right w:w="108" w:type="dxa"/>
          </w:tblCellMar>
        </w:tblPrEx>
        <w:trPr>
          <w:trHeight w:val="567"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粗格栅</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栅条直径5mm，间距25mm，</w:t>
            </w:r>
            <w:r>
              <w:rPr>
                <w:rFonts w:hint="eastAsia" w:ascii="宋体" w:hAnsi="宋体" w:eastAsia="宋体" w:cs="宋体"/>
                <w:color w:val="auto"/>
                <w:sz w:val="21"/>
                <w:szCs w:val="21"/>
                <w:lang w:eastAsia="zh-CN"/>
              </w:rPr>
              <w:t>不锈钢SS304</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细格栅</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栅网孔径5*5mm，不锈钢SS304</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隔油板</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硬质UPVC</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挡泥板</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硬质UPVC</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一体化设备</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0t/d一体化设备</w:t>
            </w:r>
            <w:r>
              <w:rPr>
                <w:rStyle w:val="28"/>
                <w:rFonts w:hint="eastAsia" w:ascii="宋体" w:hAnsi="宋体" w:eastAsia="宋体" w:cs="宋体"/>
                <w:color w:val="auto"/>
                <w:sz w:val="21"/>
                <w:szCs w:val="21"/>
              </w:rPr>
              <w:t>，</w:t>
            </w:r>
            <w:r>
              <w:rPr>
                <w:rStyle w:val="28"/>
                <w:rFonts w:hint="eastAsia" w:ascii="宋体" w:hAnsi="宋体" w:eastAsia="宋体" w:cs="宋体"/>
                <w:color w:val="auto"/>
                <w:sz w:val="21"/>
                <w:szCs w:val="21"/>
                <w:lang w:val="en-US" w:eastAsia="zh-CN"/>
              </w:rPr>
              <w:t>6.5</w:t>
            </w:r>
            <w:r>
              <w:rPr>
                <w:rStyle w:val="28"/>
                <w:rFonts w:hint="eastAsia" w:ascii="宋体" w:hAnsi="宋体" w:eastAsia="宋体" w:cs="宋体"/>
                <w:color w:val="auto"/>
                <w:sz w:val="21"/>
                <w:szCs w:val="21"/>
              </w:rPr>
              <w:t>×</w:t>
            </w:r>
            <w:r>
              <w:rPr>
                <w:rStyle w:val="28"/>
                <w:rFonts w:hint="eastAsia" w:ascii="宋体" w:hAnsi="宋体" w:eastAsia="宋体" w:cs="宋体"/>
                <w:color w:val="auto"/>
                <w:sz w:val="21"/>
                <w:szCs w:val="21"/>
                <w:lang w:val="en-US" w:eastAsia="zh-CN"/>
              </w:rPr>
              <w:t>2.4</w:t>
            </w:r>
            <w:r>
              <w:rPr>
                <w:rStyle w:val="28"/>
                <w:rFonts w:hint="eastAsia" w:ascii="宋体" w:hAnsi="宋体" w:eastAsia="宋体" w:cs="宋体"/>
                <w:color w:val="auto"/>
                <w:sz w:val="21"/>
                <w:szCs w:val="21"/>
              </w:rPr>
              <w:t>×3.0m，地埋式，成品碳钢（</w:t>
            </w:r>
            <w:r>
              <w:rPr>
                <w:rStyle w:val="28"/>
                <w:rFonts w:hint="eastAsia" w:ascii="宋体" w:hAnsi="宋体" w:eastAsia="宋体" w:cs="宋体"/>
                <w:color w:val="auto"/>
                <w:sz w:val="21"/>
                <w:szCs w:val="21"/>
                <w:lang w:eastAsia="zh-CN"/>
              </w:rPr>
              <w:t>含污泥回流系统、混合液回流系统、深度除磷系统、风机、流量计、调节池提升泵、控制柜等</w:t>
            </w:r>
            <w:r>
              <w:rPr>
                <w:rStyle w:val="28"/>
                <w:rFonts w:hint="eastAsia" w:ascii="宋体" w:hAnsi="宋体" w:eastAsia="宋体" w:cs="宋体"/>
                <w:color w:val="auto"/>
                <w:sz w:val="21"/>
                <w:szCs w:val="21"/>
              </w:rPr>
              <w:t>）</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消毒设备</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日处理40</w:t>
            </w:r>
            <w:r>
              <w:rPr>
                <w:rFonts w:hint="eastAsia" w:ascii="宋体" w:hAnsi="宋体" w:eastAsia="宋体" w:cs="宋体"/>
                <w:color w:val="auto"/>
                <w:sz w:val="21"/>
                <w:szCs w:val="21"/>
              </w:rPr>
              <w:t>t/d</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箱式灭菌仪，灭菌率大于95%</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监控设备</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移位</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控制房</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2.5m*1.8m*2m，防腐木</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座</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电器元件</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电线、电缆等</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工艺管道阀门及其配件</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国标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bl>
    <w:p>
      <w:pPr>
        <w:numPr>
          <w:ilvl w:val="0"/>
          <w:numId w:val="0"/>
        </w:numPr>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8、朱路村大何街终端</w:t>
      </w:r>
    </w:p>
    <w:tbl>
      <w:tblPr>
        <w:tblStyle w:val="23"/>
        <w:tblW w:w="4896" w:type="pct"/>
        <w:tblInd w:w="113" w:type="dxa"/>
        <w:tblLayout w:type="fixed"/>
        <w:tblCellMar>
          <w:top w:w="0" w:type="dxa"/>
          <w:left w:w="108" w:type="dxa"/>
          <w:bottom w:w="0" w:type="dxa"/>
          <w:right w:w="108" w:type="dxa"/>
        </w:tblCellMar>
      </w:tblPr>
      <w:tblGrid>
        <w:gridCol w:w="961"/>
        <w:gridCol w:w="2727"/>
        <w:gridCol w:w="3533"/>
        <w:gridCol w:w="1047"/>
        <w:gridCol w:w="1088"/>
      </w:tblGrid>
      <w:tr>
        <w:tblPrEx>
          <w:tblCellMar>
            <w:top w:w="0" w:type="dxa"/>
            <w:left w:w="108" w:type="dxa"/>
            <w:bottom w:w="0" w:type="dxa"/>
            <w:right w:w="108" w:type="dxa"/>
          </w:tblCellMar>
        </w:tblPrEx>
        <w:trPr>
          <w:trHeight w:val="567"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设备名称</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规格参数</w:t>
            </w:r>
          </w:p>
        </w:tc>
        <w:tc>
          <w:tcPr>
            <w:tcW w:w="559" w:type="pct"/>
            <w:tcBorders>
              <w:top w:val="single" w:color="000000" w:sz="4" w:space="0"/>
              <w:left w:val="single" w:color="000000" w:sz="4" w:space="0"/>
              <w:bottom w:val="single" w:color="000000" w:sz="4" w:space="0"/>
              <w:right w:val="nil"/>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r>
      <w:tr>
        <w:tblPrEx>
          <w:tblCellMar>
            <w:top w:w="0" w:type="dxa"/>
            <w:left w:w="108" w:type="dxa"/>
            <w:bottom w:w="0" w:type="dxa"/>
            <w:right w:w="108" w:type="dxa"/>
          </w:tblCellMar>
        </w:tblPrEx>
        <w:trPr>
          <w:trHeight w:val="567"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粗格栅</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栅条直径5mm，间距25mm，</w:t>
            </w:r>
            <w:r>
              <w:rPr>
                <w:rFonts w:hint="eastAsia" w:ascii="宋体" w:hAnsi="宋体" w:eastAsia="宋体" w:cs="宋体"/>
                <w:color w:val="auto"/>
                <w:sz w:val="21"/>
                <w:szCs w:val="21"/>
                <w:lang w:eastAsia="zh-CN"/>
              </w:rPr>
              <w:t>不锈钢SS304</w:t>
            </w:r>
          </w:p>
        </w:tc>
        <w:tc>
          <w:tcPr>
            <w:tcW w:w="559" w:type="pct"/>
            <w:tcBorders>
              <w:top w:val="single" w:color="000000" w:sz="4" w:space="0"/>
              <w:left w:val="single" w:color="000000" w:sz="4" w:space="0"/>
              <w:bottom w:val="single" w:color="000000" w:sz="4" w:space="0"/>
              <w:right w:val="nil"/>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细格栅</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栅网孔径5*5mm，不锈钢SS304</w:t>
            </w:r>
          </w:p>
        </w:tc>
        <w:tc>
          <w:tcPr>
            <w:tcW w:w="559" w:type="pct"/>
            <w:tcBorders>
              <w:top w:val="single" w:color="000000" w:sz="4" w:space="0"/>
              <w:left w:val="single" w:color="000000" w:sz="4" w:space="0"/>
              <w:bottom w:val="single" w:color="000000" w:sz="4" w:space="0"/>
              <w:right w:val="nil"/>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隔油板</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硬质UPVC</w:t>
            </w:r>
          </w:p>
        </w:tc>
        <w:tc>
          <w:tcPr>
            <w:tcW w:w="559" w:type="pct"/>
            <w:tcBorders>
              <w:top w:val="single" w:color="000000" w:sz="4" w:space="0"/>
              <w:left w:val="single" w:color="000000" w:sz="4" w:space="0"/>
              <w:bottom w:val="single" w:color="000000" w:sz="4" w:space="0"/>
              <w:right w:val="nil"/>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挡泥板</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硬质UPVC</w:t>
            </w:r>
          </w:p>
        </w:tc>
        <w:tc>
          <w:tcPr>
            <w:tcW w:w="559" w:type="pct"/>
            <w:tcBorders>
              <w:top w:val="single" w:color="000000" w:sz="4" w:space="0"/>
              <w:left w:val="single" w:color="000000" w:sz="4" w:space="0"/>
              <w:bottom w:val="single" w:color="000000" w:sz="4" w:space="0"/>
              <w:right w:val="nil"/>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一体化设备</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20t/d一体化设备</w:t>
            </w:r>
            <w:r>
              <w:rPr>
                <w:rStyle w:val="28"/>
                <w:rFonts w:hint="eastAsia" w:ascii="宋体" w:hAnsi="宋体" w:eastAsia="宋体" w:cs="宋体"/>
                <w:color w:val="auto"/>
                <w:sz w:val="21"/>
                <w:szCs w:val="21"/>
              </w:rPr>
              <w:t>，</w:t>
            </w:r>
            <w:r>
              <w:rPr>
                <w:rStyle w:val="28"/>
                <w:rFonts w:hint="eastAsia" w:ascii="宋体" w:hAnsi="宋体" w:eastAsia="宋体" w:cs="宋体"/>
                <w:color w:val="auto"/>
                <w:sz w:val="21"/>
                <w:szCs w:val="21"/>
                <w:lang w:val="en-US" w:eastAsia="zh-CN"/>
              </w:rPr>
              <w:t>4.0</w:t>
            </w:r>
            <w:r>
              <w:rPr>
                <w:rStyle w:val="28"/>
                <w:rFonts w:hint="eastAsia" w:ascii="宋体" w:hAnsi="宋体" w:eastAsia="宋体" w:cs="宋体"/>
                <w:color w:val="auto"/>
                <w:sz w:val="21"/>
                <w:szCs w:val="21"/>
              </w:rPr>
              <w:t>×</w:t>
            </w:r>
            <w:r>
              <w:rPr>
                <w:rStyle w:val="28"/>
                <w:rFonts w:hint="eastAsia" w:ascii="宋体" w:hAnsi="宋体" w:eastAsia="宋体" w:cs="宋体"/>
                <w:color w:val="auto"/>
                <w:sz w:val="21"/>
                <w:szCs w:val="21"/>
                <w:lang w:val="en-US" w:eastAsia="zh-CN"/>
              </w:rPr>
              <w:t>2.4</w:t>
            </w:r>
            <w:r>
              <w:rPr>
                <w:rStyle w:val="28"/>
                <w:rFonts w:hint="eastAsia" w:ascii="宋体" w:hAnsi="宋体" w:eastAsia="宋体" w:cs="宋体"/>
                <w:color w:val="auto"/>
                <w:sz w:val="21"/>
                <w:szCs w:val="21"/>
              </w:rPr>
              <w:t>×3.0m，地埋式，成品碳钢（</w:t>
            </w:r>
            <w:r>
              <w:rPr>
                <w:rStyle w:val="28"/>
                <w:rFonts w:hint="eastAsia" w:ascii="宋体" w:hAnsi="宋体" w:eastAsia="宋体" w:cs="宋体"/>
                <w:color w:val="auto"/>
                <w:sz w:val="21"/>
                <w:szCs w:val="21"/>
                <w:lang w:eastAsia="zh-CN"/>
              </w:rPr>
              <w:t>含污泥回流系统、混合液回流系统、深度除磷系统、风机、流量计、调节池提升泵、控制柜等</w:t>
            </w:r>
            <w:r>
              <w:rPr>
                <w:rStyle w:val="28"/>
                <w:rFonts w:hint="eastAsia" w:ascii="宋体" w:hAnsi="宋体" w:eastAsia="宋体" w:cs="宋体"/>
                <w:color w:val="auto"/>
                <w:sz w:val="21"/>
                <w:szCs w:val="21"/>
              </w:rPr>
              <w:t>）</w:t>
            </w:r>
          </w:p>
        </w:tc>
        <w:tc>
          <w:tcPr>
            <w:tcW w:w="559" w:type="pct"/>
            <w:tcBorders>
              <w:top w:val="single" w:color="000000" w:sz="4" w:space="0"/>
              <w:left w:val="single" w:color="000000" w:sz="4" w:space="0"/>
              <w:bottom w:val="single" w:color="000000" w:sz="4" w:space="0"/>
              <w:right w:val="nil"/>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消毒设备</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日处理</w:t>
            </w:r>
            <w:r>
              <w:rPr>
                <w:rFonts w:hint="eastAsia" w:ascii="宋体" w:hAnsi="宋体" w:eastAsia="宋体" w:cs="宋体"/>
                <w:color w:val="auto"/>
                <w:sz w:val="21"/>
                <w:szCs w:val="21"/>
              </w:rPr>
              <w:t>20t/d</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箱式灭菌仪，灭菌率大于95%</w:t>
            </w:r>
          </w:p>
        </w:tc>
        <w:tc>
          <w:tcPr>
            <w:tcW w:w="559" w:type="pct"/>
            <w:tcBorders>
              <w:top w:val="single" w:color="000000" w:sz="4" w:space="0"/>
              <w:left w:val="single" w:color="000000" w:sz="4" w:space="0"/>
              <w:bottom w:val="single" w:color="000000" w:sz="4" w:space="0"/>
              <w:right w:val="nil"/>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控制房</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2.5m*1.8m*2m，防腐木</w:t>
            </w:r>
          </w:p>
        </w:tc>
        <w:tc>
          <w:tcPr>
            <w:tcW w:w="559" w:type="pct"/>
            <w:tcBorders>
              <w:top w:val="single" w:color="000000" w:sz="4" w:space="0"/>
              <w:left w:val="single" w:color="000000" w:sz="4" w:space="0"/>
              <w:bottom w:val="single" w:color="000000" w:sz="4" w:space="0"/>
              <w:right w:val="nil"/>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座</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电器元件</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电线、电缆等</w:t>
            </w:r>
          </w:p>
        </w:tc>
        <w:tc>
          <w:tcPr>
            <w:tcW w:w="559"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工艺管道阀门及其配件</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国标</w:t>
            </w:r>
          </w:p>
        </w:tc>
        <w:tc>
          <w:tcPr>
            <w:tcW w:w="559"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bl>
    <w:p>
      <w:pPr>
        <w:numPr>
          <w:ilvl w:val="0"/>
          <w:numId w:val="0"/>
        </w:numPr>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9、朱路村小何街终端</w:t>
      </w:r>
    </w:p>
    <w:tbl>
      <w:tblPr>
        <w:tblStyle w:val="23"/>
        <w:tblW w:w="4896" w:type="pct"/>
        <w:tblInd w:w="113" w:type="dxa"/>
        <w:tblLayout w:type="autofit"/>
        <w:tblCellMar>
          <w:top w:w="0" w:type="dxa"/>
          <w:left w:w="108" w:type="dxa"/>
          <w:bottom w:w="0" w:type="dxa"/>
          <w:right w:w="108" w:type="dxa"/>
        </w:tblCellMar>
      </w:tblPr>
      <w:tblGrid>
        <w:gridCol w:w="980"/>
        <w:gridCol w:w="2728"/>
        <w:gridCol w:w="3532"/>
        <w:gridCol w:w="1045"/>
        <w:gridCol w:w="1071"/>
      </w:tblGrid>
      <w:tr>
        <w:tblPrEx>
          <w:tblCellMar>
            <w:top w:w="0" w:type="dxa"/>
            <w:left w:w="108" w:type="dxa"/>
            <w:bottom w:w="0" w:type="dxa"/>
            <w:right w:w="108" w:type="dxa"/>
          </w:tblCellMar>
        </w:tblPrEx>
        <w:trPr>
          <w:trHeight w:val="567"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设备名称</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规格参数</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r>
      <w:tr>
        <w:tblPrEx>
          <w:tblCellMar>
            <w:top w:w="0" w:type="dxa"/>
            <w:left w:w="108" w:type="dxa"/>
            <w:bottom w:w="0" w:type="dxa"/>
            <w:right w:w="108" w:type="dxa"/>
          </w:tblCellMar>
        </w:tblPrEx>
        <w:trPr>
          <w:trHeight w:val="567"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粗格栅</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栅条直径5mm，间距25mm，</w:t>
            </w:r>
            <w:r>
              <w:rPr>
                <w:rFonts w:hint="eastAsia" w:ascii="宋体" w:hAnsi="宋体" w:eastAsia="宋体" w:cs="宋体"/>
                <w:color w:val="auto"/>
                <w:sz w:val="21"/>
                <w:szCs w:val="21"/>
                <w:lang w:eastAsia="zh-CN"/>
              </w:rPr>
              <w:t>不锈钢SS304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细格栅</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栅网孔径5*5mm，不锈钢SS304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隔油板</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硬质UPVC</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挡泥板</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硬质UPVC</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一体化设备</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φ2.2m*2.3m，10t/d地下式，含控制柜，提升泵、空气泵等</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消毒设备</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日处理1</w:t>
            </w:r>
            <w:r>
              <w:rPr>
                <w:rFonts w:hint="eastAsia" w:ascii="宋体" w:hAnsi="宋体" w:eastAsia="宋体" w:cs="宋体"/>
                <w:color w:val="auto"/>
                <w:sz w:val="21"/>
                <w:szCs w:val="21"/>
              </w:rPr>
              <w:t>0t/d</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箱式灭菌仪，灭菌率大于95%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电器元件</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电线、电缆等</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工艺管道阀门及其配件</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国标</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bl>
    <w:p>
      <w:pPr>
        <w:numPr>
          <w:ilvl w:val="0"/>
          <w:numId w:val="0"/>
        </w:numPr>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10、朱路沼气池</w:t>
      </w:r>
    </w:p>
    <w:tbl>
      <w:tblPr>
        <w:tblStyle w:val="23"/>
        <w:tblW w:w="4881" w:type="pct"/>
        <w:tblInd w:w="125" w:type="dxa"/>
        <w:tblLayout w:type="autofit"/>
        <w:tblCellMar>
          <w:top w:w="0" w:type="dxa"/>
          <w:left w:w="108" w:type="dxa"/>
          <w:bottom w:w="0" w:type="dxa"/>
          <w:right w:w="108" w:type="dxa"/>
        </w:tblCellMar>
      </w:tblPr>
      <w:tblGrid>
        <w:gridCol w:w="964"/>
        <w:gridCol w:w="2729"/>
        <w:gridCol w:w="3533"/>
        <w:gridCol w:w="1064"/>
        <w:gridCol w:w="1038"/>
      </w:tblGrid>
      <w:tr>
        <w:tblPrEx>
          <w:tblCellMar>
            <w:top w:w="0" w:type="dxa"/>
            <w:left w:w="108" w:type="dxa"/>
            <w:bottom w:w="0" w:type="dxa"/>
            <w:right w:w="108" w:type="dxa"/>
          </w:tblCellMar>
        </w:tblPrEx>
        <w:trPr>
          <w:trHeight w:val="567"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设备名称</w:t>
            </w:r>
          </w:p>
        </w:tc>
        <w:tc>
          <w:tcPr>
            <w:tcW w:w="18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规格参数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r>
      <w:tr>
        <w:tblPrEx>
          <w:tblCellMar>
            <w:top w:w="0" w:type="dxa"/>
            <w:left w:w="108" w:type="dxa"/>
            <w:bottom w:w="0" w:type="dxa"/>
            <w:right w:w="108" w:type="dxa"/>
          </w:tblCellMar>
        </w:tblPrEx>
        <w:trPr>
          <w:trHeight w:val="567"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粗格栅</w:t>
            </w:r>
          </w:p>
        </w:tc>
        <w:tc>
          <w:tcPr>
            <w:tcW w:w="18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栅条直径5mm，间距25mm，</w:t>
            </w:r>
            <w:r>
              <w:rPr>
                <w:rFonts w:hint="eastAsia" w:ascii="宋体" w:hAnsi="宋体" w:eastAsia="宋体" w:cs="宋体"/>
                <w:color w:val="auto"/>
                <w:sz w:val="21"/>
                <w:szCs w:val="21"/>
                <w:lang w:eastAsia="zh-CN"/>
              </w:rPr>
              <w:t>不锈钢SS304</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细格栅</w:t>
            </w:r>
          </w:p>
        </w:tc>
        <w:tc>
          <w:tcPr>
            <w:tcW w:w="18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栅网孔径5*5mm，不锈钢SS304</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隔油板</w:t>
            </w:r>
          </w:p>
        </w:tc>
        <w:tc>
          <w:tcPr>
            <w:tcW w:w="18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硬质UPVC</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挡泥板</w:t>
            </w:r>
          </w:p>
        </w:tc>
        <w:tc>
          <w:tcPr>
            <w:tcW w:w="18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硬质UPVC</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一体化设备</w:t>
            </w:r>
          </w:p>
        </w:tc>
        <w:tc>
          <w:tcPr>
            <w:tcW w:w="18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0t/d一体化设备</w:t>
            </w:r>
            <w:r>
              <w:rPr>
                <w:rStyle w:val="28"/>
                <w:rFonts w:hint="eastAsia" w:ascii="宋体" w:hAnsi="宋体" w:eastAsia="宋体" w:cs="宋体"/>
                <w:color w:val="auto"/>
                <w:sz w:val="21"/>
                <w:szCs w:val="21"/>
              </w:rPr>
              <w:t>，</w:t>
            </w:r>
            <w:r>
              <w:rPr>
                <w:rStyle w:val="28"/>
                <w:rFonts w:hint="eastAsia" w:ascii="宋体" w:hAnsi="宋体" w:eastAsia="宋体" w:cs="宋体"/>
                <w:color w:val="auto"/>
                <w:sz w:val="21"/>
                <w:szCs w:val="21"/>
                <w:lang w:val="en-US" w:eastAsia="zh-CN"/>
              </w:rPr>
              <w:t>6.5</w:t>
            </w:r>
            <w:r>
              <w:rPr>
                <w:rStyle w:val="28"/>
                <w:rFonts w:hint="eastAsia" w:ascii="宋体" w:hAnsi="宋体" w:eastAsia="宋体" w:cs="宋体"/>
                <w:color w:val="auto"/>
                <w:sz w:val="21"/>
                <w:szCs w:val="21"/>
              </w:rPr>
              <w:t>×</w:t>
            </w:r>
            <w:r>
              <w:rPr>
                <w:rStyle w:val="28"/>
                <w:rFonts w:hint="eastAsia" w:ascii="宋体" w:hAnsi="宋体" w:eastAsia="宋体" w:cs="宋体"/>
                <w:color w:val="auto"/>
                <w:sz w:val="21"/>
                <w:szCs w:val="21"/>
                <w:lang w:val="en-US" w:eastAsia="zh-CN"/>
              </w:rPr>
              <w:t>2.4</w:t>
            </w:r>
            <w:r>
              <w:rPr>
                <w:rStyle w:val="28"/>
                <w:rFonts w:hint="eastAsia" w:ascii="宋体" w:hAnsi="宋体" w:eastAsia="宋体" w:cs="宋体"/>
                <w:color w:val="auto"/>
                <w:sz w:val="21"/>
                <w:szCs w:val="21"/>
              </w:rPr>
              <w:t>×3.0m，地埋式，成品碳钢（</w:t>
            </w:r>
            <w:r>
              <w:rPr>
                <w:rStyle w:val="28"/>
                <w:rFonts w:hint="eastAsia" w:ascii="宋体" w:hAnsi="宋体" w:eastAsia="宋体" w:cs="宋体"/>
                <w:color w:val="auto"/>
                <w:sz w:val="21"/>
                <w:szCs w:val="21"/>
                <w:lang w:eastAsia="zh-CN"/>
              </w:rPr>
              <w:t>含污泥回流系统、混合液回流系统、深度除磷系统、风机、流量计、调节池提升泵、控制柜等</w:t>
            </w:r>
            <w:r>
              <w:rPr>
                <w:rStyle w:val="28"/>
                <w:rFonts w:hint="eastAsia" w:ascii="宋体" w:hAnsi="宋体" w:eastAsia="宋体" w:cs="宋体"/>
                <w:color w:val="auto"/>
                <w:sz w:val="21"/>
                <w:szCs w:val="21"/>
              </w:rPr>
              <w:t>）</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消毒设备</w:t>
            </w:r>
          </w:p>
        </w:tc>
        <w:tc>
          <w:tcPr>
            <w:tcW w:w="18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日处理4</w:t>
            </w:r>
            <w:r>
              <w:rPr>
                <w:rFonts w:hint="eastAsia" w:ascii="宋体" w:hAnsi="宋体" w:eastAsia="宋体" w:cs="宋体"/>
                <w:color w:val="auto"/>
                <w:sz w:val="21"/>
                <w:szCs w:val="21"/>
              </w:rPr>
              <w:t>0t/d</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箱式灭菌仪，灭菌率大于95%</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监控设备</w:t>
            </w:r>
          </w:p>
        </w:tc>
        <w:tc>
          <w:tcPr>
            <w:tcW w:w="18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新增</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控制房</w:t>
            </w:r>
          </w:p>
        </w:tc>
        <w:tc>
          <w:tcPr>
            <w:tcW w:w="18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2.5m*1.8m*2m，防腐木</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座</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电器元件</w:t>
            </w:r>
          </w:p>
        </w:tc>
        <w:tc>
          <w:tcPr>
            <w:tcW w:w="18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电线、电缆等</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工艺管道阀门及其配件</w:t>
            </w:r>
          </w:p>
        </w:tc>
        <w:tc>
          <w:tcPr>
            <w:tcW w:w="18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国标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bl>
    <w:p>
      <w:pPr>
        <w:numPr>
          <w:ilvl w:val="0"/>
          <w:numId w:val="0"/>
        </w:numPr>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11、沈里村沈街终端</w:t>
      </w:r>
    </w:p>
    <w:tbl>
      <w:tblPr>
        <w:tblStyle w:val="23"/>
        <w:tblW w:w="4896" w:type="pct"/>
        <w:tblInd w:w="113" w:type="dxa"/>
        <w:tblLayout w:type="autofit"/>
        <w:tblCellMar>
          <w:top w:w="0" w:type="dxa"/>
          <w:left w:w="108" w:type="dxa"/>
          <w:bottom w:w="0" w:type="dxa"/>
          <w:right w:w="108" w:type="dxa"/>
        </w:tblCellMar>
      </w:tblPr>
      <w:tblGrid>
        <w:gridCol w:w="980"/>
        <w:gridCol w:w="2766"/>
        <w:gridCol w:w="3477"/>
        <w:gridCol w:w="1101"/>
        <w:gridCol w:w="1032"/>
      </w:tblGrid>
      <w:tr>
        <w:tblPrEx>
          <w:tblCellMar>
            <w:top w:w="0" w:type="dxa"/>
            <w:left w:w="108" w:type="dxa"/>
            <w:bottom w:w="0" w:type="dxa"/>
            <w:right w:w="108" w:type="dxa"/>
          </w:tblCellMar>
        </w:tblPrEx>
        <w:trPr>
          <w:trHeight w:val="567"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设备名称</w:t>
            </w: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规格参数</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r>
      <w:tr>
        <w:tblPrEx>
          <w:tblCellMar>
            <w:top w:w="0" w:type="dxa"/>
            <w:left w:w="108" w:type="dxa"/>
            <w:bottom w:w="0" w:type="dxa"/>
            <w:right w:w="108" w:type="dxa"/>
          </w:tblCellMar>
        </w:tblPrEx>
        <w:trPr>
          <w:trHeight w:val="567"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一体化设备</w:t>
            </w: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100t/d一体化设备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12.0×3.0×3.0m，地埋式，成品碳钢（</w:t>
            </w:r>
            <w:r>
              <w:rPr>
                <w:rFonts w:hint="eastAsia" w:ascii="宋体" w:hAnsi="宋体" w:eastAsia="宋体" w:cs="宋体"/>
                <w:color w:val="auto"/>
                <w:sz w:val="21"/>
                <w:szCs w:val="21"/>
                <w:lang w:eastAsia="zh-CN"/>
              </w:rPr>
              <w:t>含污泥回流系统、混合液回流系统、深度除磷系统、风机、流量计、调节池提升泵、控制柜等</w:t>
            </w:r>
            <w:r>
              <w:rPr>
                <w:rFonts w:hint="eastAsia" w:ascii="宋体" w:hAnsi="宋体" w:eastAsia="宋体" w:cs="宋体"/>
                <w:color w:val="auto"/>
                <w:sz w:val="21"/>
                <w:szCs w:val="21"/>
              </w:rPr>
              <w:t>）</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过滤池</w:t>
            </w: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100t/d</w:t>
            </w:r>
            <w:r>
              <w:rPr>
                <w:rFonts w:hint="eastAsia" w:ascii="宋体" w:hAnsi="宋体" w:eastAsia="宋体" w:cs="宋体"/>
                <w:color w:val="auto"/>
                <w:sz w:val="21"/>
                <w:szCs w:val="21"/>
                <w:lang w:eastAsia="zh-CN"/>
              </w:rPr>
              <w:t>，2.4m×1.5m×3.0m，半地埋，成品碳钢</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搅拌机</w:t>
            </w: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N=0.85kw，叶轮转速980r/min，叶轮直径260mm，不锈钢材质</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消毒设备</w:t>
            </w: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日处理10</w:t>
            </w:r>
            <w:r>
              <w:rPr>
                <w:rFonts w:hint="eastAsia" w:ascii="宋体" w:hAnsi="宋体" w:eastAsia="宋体" w:cs="宋体"/>
                <w:color w:val="auto"/>
                <w:sz w:val="21"/>
                <w:szCs w:val="21"/>
              </w:rPr>
              <w:t>0t/d</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箱式灭菌仪，灭菌率大于95%</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监控设备</w:t>
            </w: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新增</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控制房</w:t>
            </w: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3m*2m*2m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防腐木</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座</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挡泥板</w:t>
            </w: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硬质UPVC</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电器元件</w:t>
            </w: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电线、电缆、控制柜等</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工艺管道阀门及其配件</w:t>
            </w: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国标</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bl>
    <w:p>
      <w:pPr>
        <w:numPr>
          <w:ilvl w:val="0"/>
          <w:numId w:val="0"/>
        </w:numPr>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12、溪东旧区终端</w:t>
      </w:r>
    </w:p>
    <w:tbl>
      <w:tblPr>
        <w:tblStyle w:val="23"/>
        <w:tblW w:w="4896" w:type="pct"/>
        <w:tblInd w:w="96" w:type="dxa"/>
        <w:tblLayout w:type="autofit"/>
        <w:tblCellMar>
          <w:top w:w="0" w:type="dxa"/>
          <w:left w:w="108" w:type="dxa"/>
          <w:bottom w:w="0" w:type="dxa"/>
          <w:right w:w="108" w:type="dxa"/>
        </w:tblCellMar>
      </w:tblPr>
      <w:tblGrid>
        <w:gridCol w:w="991"/>
        <w:gridCol w:w="2766"/>
        <w:gridCol w:w="3481"/>
        <w:gridCol w:w="1137"/>
        <w:gridCol w:w="981"/>
      </w:tblGrid>
      <w:tr>
        <w:tblPrEx>
          <w:tblCellMar>
            <w:top w:w="0" w:type="dxa"/>
            <w:left w:w="108" w:type="dxa"/>
            <w:bottom w:w="0" w:type="dxa"/>
            <w:right w:w="108" w:type="dxa"/>
          </w:tblCellMar>
        </w:tblPrEx>
        <w:trPr>
          <w:trHeight w:val="567"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设备名称</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规格参数</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r>
      <w:tr>
        <w:tblPrEx>
          <w:tblCellMar>
            <w:top w:w="0" w:type="dxa"/>
            <w:left w:w="108" w:type="dxa"/>
            <w:bottom w:w="0" w:type="dxa"/>
            <w:right w:w="108" w:type="dxa"/>
          </w:tblCellMar>
        </w:tblPrEx>
        <w:trPr>
          <w:trHeight w:val="567"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挡泥板</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硬质UPVC</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一体化设备</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0t/d一体化设备</w:t>
            </w:r>
            <w:r>
              <w:rPr>
                <w:rStyle w:val="28"/>
                <w:rFonts w:hint="eastAsia" w:ascii="宋体" w:hAnsi="宋体" w:eastAsia="宋体" w:cs="宋体"/>
                <w:color w:val="auto"/>
                <w:sz w:val="21"/>
                <w:szCs w:val="21"/>
              </w:rPr>
              <w:t>，</w:t>
            </w:r>
            <w:r>
              <w:rPr>
                <w:rStyle w:val="28"/>
                <w:rFonts w:hint="eastAsia" w:ascii="宋体" w:hAnsi="宋体" w:eastAsia="宋体" w:cs="宋体"/>
                <w:color w:val="auto"/>
                <w:sz w:val="21"/>
                <w:szCs w:val="21"/>
                <w:lang w:val="en-US" w:eastAsia="zh-CN"/>
              </w:rPr>
              <w:t>8.0</w:t>
            </w:r>
            <w:r>
              <w:rPr>
                <w:rStyle w:val="28"/>
                <w:rFonts w:hint="eastAsia" w:ascii="宋体" w:hAnsi="宋体" w:eastAsia="宋体" w:cs="宋体"/>
                <w:color w:val="auto"/>
                <w:sz w:val="21"/>
                <w:szCs w:val="21"/>
              </w:rPr>
              <w:t>×</w:t>
            </w:r>
            <w:r>
              <w:rPr>
                <w:rStyle w:val="28"/>
                <w:rFonts w:hint="eastAsia" w:ascii="宋体" w:hAnsi="宋体" w:eastAsia="宋体" w:cs="宋体"/>
                <w:color w:val="auto"/>
                <w:sz w:val="21"/>
                <w:szCs w:val="21"/>
                <w:lang w:val="en-US" w:eastAsia="zh-CN"/>
              </w:rPr>
              <w:t>3.0</w:t>
            </w:r>
            <w:r>
              <w:rPr>
                <w:rStyle w:val="28"/>
                <w:rFonts w:hint="eastAsia" w:ascii="宋体" w:hAnsi="宋体" w:eastAsia="宋体" w:cs="宋体"/>
                <w:color w:val="auto"/>
                <w:sz w:val="21"/>
                <w:szCs w:val="21"/>
              </w:rPr>
              <w:t>×3.0m，地埋式，成品碳钢（</w:t>
            </w:r>
            <w:r>
              <w:rPr>
                <w:rStyle w:val="28"/>
                <w:rFonts w:hint="eastAsia" w:ascii="宋体" w:hAnsi="宋体" w:eastAsia="宋体" w:cs="宋体"/>
                <w:color w:val="auto"/>
                <w:sz w:val="21"/>
                <w:szCs w:val="21"/>
                <w:lang w:eastAsia="zh-CN"/>
              </w:rPr>
              <w:t>含污泥回流系统、混合液回流系统、深度除磷系统、风机、流量计、调节池提升泵、控制柜等</w:t>
            </w:r>
            <w:r>
              <w:rPr>
                <w:rStyle w:val="28"/>
                <w:rFonts w:hint="eastAsia" w:ascii="宋体" w:hAnsi="宋体" w:eastAsia="宋体" w:cs="宋体"/>
                <w:color w:val="auto"/>
                <w:sz w:val="21"/>
                <w:szCs w:val="21"/>
              </w:rPr>
              <w:t>）</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过滤池</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2.4m×1.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m×3.</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m，半地埋，成品碳钢</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搅拌机</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N=0.85kw，叶轮转速980r/min，叶轮直径260mm，不锈钢材质</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消毒设备</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日处理5</w:t>
            </w:r>
            <w:r>
              <w:rPr>
                <w:rFonts w:hint="eastAsia" w:ascii="宋体" w:hAnsi="宋体" w:eastAsia="宋体" w:cs="宋体"/>
                <w:color w:val="auto"/>
                <w:sz w:val="21"/>
                <w:szCs w:val="21"/>
              </w:rPr>
              <w:t>0t/d</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箱式灭菌仪，灭菌率大于95%</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监控设备</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新增</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控制房</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3m*2m*2m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防腐木</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座</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电器元件</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电线、电缆等</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工艺管道阀门及其配件</w:t>
            </w:r>
          </w:p>
        </w:tc>
        <w:tc>
          <w:tcPr>
            <w:tcW w:w="18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国标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bl>
    <w:p>
      <w:pPr>
        <w:numPr>
          <w:ilvl w:val="0"/>
          <w:numId w:val="0"/>
        </w:numPr>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13、余郭村终端</w:t>
      </w:r>
    </w:p>
    <w:tbl>
      <w:tblPr>
        <w:tblStyle w:val="23"/>
        <w:tblW w:w="4904" w:type="pct"/>
        <w:tblInd w:w="113" w:type="dxa"/>
        <w:tblLayout w:type="autofit"/>
        <w:tblCellMar>
          <w:top w:w="0" w:type="dxa"/>
          <w:left w:w="108" w:type="dxa"/>
          <w:bottom w:w="0" w:type="dxa"/>
          <w:right w:w="108" w:type="dxa"/>
        </w:tblCellMar>
      </w:tblPr>
      <w:tblGrid>
        <w:gridCol w:w="980"/>
        <w:gridCol w:w="2781"/>
        <w:gridCol w:w="3445"/>
        <w:gridCol w:w="1159"/>
        <w:gridCol w:w="1007"/>
      </w:tblGrid>
      <w:tr>
        <w:tblPrEx>
          <w:tblCellMar>
            <w:top w:w="0" w:type="dxa"/>
            <w:left w:w="108" w:type="dxa"/>
            <w:bottom w:w="0" w:type="dxa"/>
            <w:right w:w="108" w:type="dxa"/>
          </w:tblCellMar>
        </w:tblPrEx>
        <w:trPr>
          <w:trHeight w:val="567"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设备名称</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规格参数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r>
      <w:tr>
        <w:tblPrEx>
          <w:tblCellMar>
            <w:top w:w="0" w:type="dxa"/>
            <w:left w:w="108" w:type="dxa"/>
            <w:bottom w:w="0" w:type="dxa"/>
            <w:right w:w="108" w:type="dxa"/>
          </w:tblCellMar>
        </w:tblPrEx>
        <w:trPr>
          <w:trHeight w:val="567"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4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粗格栅</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栅条直径5mm，间距25mm，</w:t>
            </w:r>
            <w:r>
              <w:rPr>
                <w:rFonts w:hint="eastAsia" w:ascii="宋体" w:hAnsi="宋体" w:eastAsia="宋体" w:cs="宋体"/>
                <w:color w:val="auto"/>
                <w:sz w:val="21"/>
                <w:szCs w:val="21"/>
                <w:lang w:eastAsia="zh-CN"/>
              </w:rPr>
              <w:t>不锈钢SS304</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4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细格栅</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栅网孔径5*5mm，不锈钢SS304</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4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隔油板</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硬质UPVC</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4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挡泥板</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硬质UPVC</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4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一体化设备</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0t/d一体化设备</w:t>
            </w:r>
            <w:r>
              <w:rPr>
                <w:rStyle w:val="28"/>
                <w:rFonts w:hint="eastAsia" w:ascii="宋体" w:hAnsi="宋体" w:eastAsia="宋体" w:cs="宋体"/>
                <w:color w:val="auto"/>
                <w:sz w:val="21"/>
                <w:szCs w:val="21"/>
              </w:rPr>
              <w:t>，</w:t>
            </w:r>
            <w:r>
              <w:rPr>
                <w:rStyle w:val="28"/>
                <w:rFonts w:hint="eastAsia" w:ascii="宋体" w:hAnsi="宋体" w:eastAsia="宋体" w:cs="宋体"/>
                <w:color w:val="auto"/>
                <w:sz w:val="21"/>
                <w:szCs w:val="21"/>
                <w:lang w:val="en-US" w:eastAsia="zh-CN"/>
              </w:rPr>
              <w:t>6.5</w:t>
            </w:r>
            <w:r>
              <w:rPr>
                <w:rStyle w:val="28"/>
                <w:rFonts w:hint="eastAsia" w:ascii="宋体" w:hAnsi="宋体" w:eastAsia="宋体" w:cs="宋体"/>
                <w:color w:val="auto"/>
                <w:sz w:val="21"/>
                <w:szCs w:val="21"/>
              </w:rPr>
              <w:t>×</w:t>
            </w:r>
            <w:r>
              <w:rPr>
                <w:rStyle w:val="28"/>
                <w:rFonts w:hint="eastAsia" w:ascii="宋体" w:hAnsi="宋体" w:eastAsia="宋体" w:cs="宋体"/>
                <w:color w:val="auto"/>
                <w:sz w:val="21"/>
                <w:szCs w:val="21"/>
                <w:lang w:val="en-US" w:eastAsia="zh-CN"/>
              </w:rPr>
              <w:t>2.4</w:t>
            </w:r>
            <w:r>
              <w:rPr>
                <w:rStyle w:val="28"/>
                <w:rFonts w:hint="eastAsia" w:ascii="宋体" w:hAnsi="宋体" w:eastAsia="宋体" w:cs="宋体"/>
                <w:color w:val="auto"/>
                <w:sz w:val="21"/>
                <w:szCs w:val="21"/>
              </w:rPr>
              <w:t>×3.0m，地埋式，成品碳钢（</w:t>
            </w:r>
            <w:r>
              <w:rPr>
                <w:rStyle w:val="28"/>
                <w:rFonts w:hint="eastAsia" w:ascii="宋体" w:hAnsi="宋体" w:eastAsia="宋体" w:cs="宋体"/>
                <w:color w:val="auto"/>
                <w:sz w:val="21"/>
                <w:szCs w:val="21"/>
                <w:lang w:eastAsia="zh-CN"/>
              </w:rPr>
              <w:t>含污泥回流系统、混合液回流系统、深度除磷系统、风机、流量计、调节池提升泵、控制柜等</w:t>
            </w:r>
            <w:r>
              <w:rPr>
                <w:rStyle w:val="28"/>
                <w:rFonts w:hint="eastAsia" w:ascii="宋体" w:hAnsi="宋体" w:eastAsia="宋体" w:cs="宋体"/>
                <w:color w:val="auto"/>
                <w:sz w:val="21"/>
                <w:szCs w:val="21"/>
              </w:rPr>
              <w:t>）</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4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消毒设备</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日处理4</w:t>
            </w:r>
            <w:r>
              <w:rPr>
                <w:rFonts w:hint="eastAsia" w:ascii="宋体" w:hAnsi="宋体" w:eastAsia="宋体" w:cs="宋体"/>
                <w:color w:val="auto"/>
                <w:sz w:val="21"/>
                <w:szCs w:val="21"/>
              </w:rPr>
              <w:t>0t/d</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箱式灭菌仪，灭菌率大于95%</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4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监控设备</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移位</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4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控制房</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2.5m*1.8m*2m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防腐木</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座</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4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电器元件</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电线、电缆等</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4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工艺管道阀门及其配件</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国标</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bl>
    <w:p>
      <w:pPr>
        <w:numPr>
          <w:ilvl w:val="0"/>
          <w:numId w:val="0"/>
        </w:numPr>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14、吴大路终端</w:t>
      </w:r>
    </w:p>
    <w:tbl>
      <w:tblPr>
        <w:tblStyle w:val="23"/>
        <w:tblW w:w="4919" w:type="pct"/>
        <w:tblInd w:w="79" w:type="dxa"/>
        <w:tblLayout w:type="autofit"/>
        <w:tblCellMar>
          <w:top w:w="0" w:type="dxa"/>
          <w:left w:w="108" w:type="dxa"/>
          <w:bottom w:w="0" w:type="dxa"/>
          <w:right w:w="108" w:type="dxa"/>
        </w:tblCellMar>
      </w:tblPr>
      <w:tblGrid>
        <w:gridCol w:w="1019"/>
        <w:gridCol w:w="2750"/>
        <w:gridCol w:w="3499"/>
        <w:gridCol w:w="1099"/>
        <w:gridCol w:w="1033"/>
      </w:tblGrid>
      <w:tr>
        <w:tblPrEx>
          <w:tblCellMar>
            <w:top w:w="0" w:type="dxa"/>
            <w:left w:w="108" w:type="dxa"/>
            <w:bottom w:w="0" w:type="dxa"/>
            <w:right w:w="108" w:type="dxa"/>
          </w:tblCellMar>
        </w:tblPrEx>
        <w:trPr>
          <w:trHeight w:val="567"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设备名称</w:t>
            </w:r>
          </w:p>
        </w:tc>
        <w:tc>
          <w:tcPr>
            <w:tcW w:w="18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规格参数</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r>
      <w:tr>
        <w:tblPrEx>
          <w:tblCellMar>
            <w:top w:w="0" w:type="dxa"/>
            <w:left w:w="108" w:type="dxa"/>
            <w:bottom w:w="0" w:type="dxa"/>
            <w:right w:w="108" w:type="dxa"/>
          </w:tblCellMar>
        </w:tblPrEx>
        <w:trPr>
          <w:trHeight w:val="567"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一体化设备</w:t>
            </w:r>
          </w:p>
        </w:tc>
        <w:tc>
          <w:tcPr>
            <w:tcW w:w="18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100t/d一体化设备</w:t>
            </w:r>
            <w:r>
              <w:rPr>
                <w:rFonts w:hint="eastAsia" w:ascii="宋体" w:hAnsi="宋体" w:eastAsia="宋体" w:cs="宋体"/>
                <w:color w:val="auto"/>
                <w:sz w:val="21"/>
                <w:szCs w:val="21"/>
                <w:lang w:eastAsia="zh-CN"/>
              </w:rPr>
              <w:t>，12.0×3.0×3.0m，地埋式，成品碳钢（含污泥回流系统、混合液回流系统、深度除磷系统、风机、流量计、调节池提升泵、控制柜等）</w:t>
            </w:r>
          </w:p>
        </w:tc>
        <w:tc>
          <w:tcPr>
            <w:tcW w:w="584"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r>
      <w:tr>
        <w:tblPrEx>
          <w:tblCellMar>
            <w:top w:w="0" w:type="dxa"/>
            <w:left w:w="108" w:type="dxa"/>
            <w:bottom w:w="0" w:type="dxa"/>
            <w:right w:w="108" w:type="dxa"/>
          </w:tblCellMar>
        </w:tblPrEx>
        <w:trPr>
          <w:trHeight w:val="567"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过滤池</w:t>
            </w:r>
          </w:p>
        </w:tc>
        <w:tc>
          <w:tcPr>
            <w:tcW w:w="18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2.4m×</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m×</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.0m，半地埋，成品碳钢</w:t>
            </w:r>
          </w:p>
        </w:tc>
        <w:tc>
          <w:tcPr>
            <w:tcW w:w="584"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搅拌机</w:t>
            </w:r>
          </w:p>
        </w:tc>
        <w:tc>
          <w:tcPr>
            <w:tcW w:w="18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N=0.85kw，叶轮转速980r/min，叶轮直径260mm，不锈钢材质</w:t>
            </w:r>
          </w:p>
        </w:tc>
        <w:tc>
          <w:tcPr>
            <w:tcW w:w="584"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消毒设备</w:t>
            </w:r>
          </w:p>
        </w:tc>
        <w:tc>
          <w:tcPr>
            <w:tcW w:w="1860" w:type="pct"/>
            <w:tcBorders>
              <w:top w:val="single" w:color="000000" w:sz="4" w:space="0"/>
              <w:left w:val="single" w:color="000000" w:sz="4" w:space="0"/>
              <w:bottom w:val="nil"/>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日处理19</w:t>
            </w:r>
            <w:r>
              <w:rPr>
                <w:rFonts w:hint="eastAsia" w:ascii="宋体" w:hAnsi="宋体" w:eastAsia="宋体" w:cs="宋体"/>
                <w:color w:val="auto"/>
                <w:sz w:val="21"/>
                <w:szCs w:val="21"/>
              </w:rPr>
              <w:t>0t/d</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箱式灭菌仪，灭菌率大于95%</w:t>
            </w:r>
          </w:p>
        </w:tc>
        <w:tc>
          <w:tcPr>
            <w:tcW w:w="584" w:type="pct"/>
            <w:tcBorders>
              <w:top w:val="single" w:color="000000" w:sz="4" w:space="0"/>
              <w:left w:val="single" w:color="000000" w:sz="4" w:space="0"/>
              <w:bottom w:val="nil"/>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49" w:type="pct"/>
            <w:tcBorders>
              <w:top w:val="single" w:color="000000" w:sz="4" w:space="0"/>
              <w:left w:val="single" w:color="000000" w:sz="4" w:space="0"/>
              <w:bottom w:val="nil"/>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5</w:t>
            </w:r>
          </w:p>
        </w:tc>
        <w:tc>
          <w:tcPr>
            <w:tcW w:w="1462" w:type="pct"/>
            <w:tcBorders>
              <w:top w:val="single" w:color="000000" w:sz="4" w:space="0"/>
              <w:left w:val="single" w:color="000000" w:sz="4" w:space="0"/>
              <w:bottom w:val="nil"/>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监控设备</w:t>
            </w:r>
          </w:p>
        </w:tc>
        <w:tc>
          <w:tcPr>
            <w:tcW w:w="18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移位</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6</w:t>
            </w:r>
          </w:p>
        </w:tc>
        <w:tc>
          <w:tcPr>
            <w:tcW w:w="146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控制房</w:t>
            </w:r>
          </w:p>
        </w:tc>
        <w:tc>
          <w:tcPr>
            <w:tcW w:w="18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3.5m*2.5m*2.2m，防腐木</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座</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7</w:t>
            </w:r>
          </w:p>
        </w:tc>
        <w:tc>
          <w:tcPr>
            <w:tcW w:w="146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进水电磁流量计</w:t>
            </w:r>
          </w:p>
        </w:tc>
        <w:tc>
          <w:tcPr>
            <w:tcW w:w="18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分体式，DN40，法兰连接，485通讯</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8</w:t>
            </w:r>
          </w:p>
        </w:tc>
        <w:tc>
          <w:tcPr>
            <w:tcW w:w="146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出水电磁流量计</w:t>
            </w:r>
          </w:p>
        </w:tc>
        <w:tc>
          <w:tcPr>
            <w:tcW w:w="18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分体式，DN160，法兰连接，485通讯</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9</w:t>
            </w:r>
          </w:p>
        </w:tc>
        <w:tc>
          <w:tcPr>
            <w:tcW w:w="146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电器元件</w:t>
            </w:r>
          </w:p>
        </w:tc>
        <w:tc>
          <w:tcPr>
            <w:tcW w:w="18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电线、电缆等</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CellMar>
            <w:top w:w="0" w:type="dxa"/>
            <w:left w:w="108" w:type="dxa"/>
            <w:bottom w:w="0" w:type="dxa"/>
            <w:right w:w="108" w:type="dxa"/>
          </w:tblCellMar>
        </w:tblPrEx>
        <w:trPr>
          <w:trHeight w:val="567"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10</w:t>
            </w:r>
          </w:p>
        </w:tc>
        <w:tc>
          <w:tcPr>
            <w:tcW w:w="1462" w:type="pct"/>
            <w:tcBorders>
              <w:top w:val="single" w:color="000000" w:sz="4" w:space="0"/>
              <w:left w:val="single" w:color="000000" w:sz="4" w:space="0"/>
              <w:bottom w:val="single" w:color="000000" w:sz="4" w:space="0"/>
              <w:right w:val="nil"/>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工艺管道阀门及其配件</w:t>
            </w:r>
          </w:p>
        </w:tc>
        <w:tc>
          <w:tcPr>
            <w:tcW w:w="18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国标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批</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2"/>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r>
    </w:tbl>
    <w:p>
      <w:pPr>
        <w:pStyle w:val="35"/>
        <w:spacing w:line="360" w:lineRule="auto"/>
        <w:ind w:firstLine="422"/>
        <w:jc w:val="left"/>
        <w:rPr>
          <w:rFonts w:hint="eastAsia" w:asciiTheme="minorEastAsia" w:hAnsiTheme="minorEastAsia" w:eastAsiaTheme="minorEastAsia" w:cstheme="minorEastAsia"/>
          <w:b/>
          <w:bCs/>
          <w:color w:val="auto"/>
          <w:sz w:val="24"/>
          <w:szCs w:val="24"/>
        </w:rPr>
      </w:pPr>
      <w:r>
        <w:rPr>
          <w:rFonts w:hint="eastAsia" w:ascii="宋体" w:hAnsi="宋体" w:eastAsia="宋体" w:cs="宋体"/>
          <w:b/>
          <w:bCs/>
          <w:color w:val="auto"/>
          <w:sz w:val="24"/>
          <w:szCs w:val="24"/>
          <w:lang w:val="en-US" w:eastAsia="zh-CN"/>
        </w:rPr>
        <w:t>注：</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本次采购核心产品为</w:t>
      </w:r>
      <w:r>
        <w:rPr>
          <w:rFonts w:hint="eastAsia" w:asciiTheme="minorEastAsia" w:hAnsiTheme="minorEastAsia" w:eastAsiaTheme="minorEastAsia" w:cstheme="minorEastAsia"/>
          <w:b/>
          <w:bCs/>
          <w:color w:val="auto"/>
          <w:sz w:val="24"/>
          <w:szCs w:val="24"/>
        </w:rPr>
        <w:t>污水处理终端</w:t>
      </w:r>
      <w:r>
        <w:rPr>
          <w:rFonts w:hint="eastAsia" w:asciiTheme="minorEastAsia" w:hAnsiTheme="minorEastAsia" w:eastAsiaTheme="minorEastAsia" w:cstheme="minorEastAsia"/>
          <w:b w:val="0"/>
          <w:bCs w:val="0"/>
          <w:color w:val="auto"/>
          <w:sz w:val="24"/>
          <w:szCs w:val="24"/>
        </w:rPr>
        <w:t>。</w:t>
      </w:r>
    </w:p>
    <w:p>
      <w:pPr>
        <w:pStyle w:val="35"/>
        <w:spacing w:line="360" w:lineRule="auto"/>
        <w:ind w:firstLine="422"/>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kern w:val="0"/>
          <w:sz w:val="24"/>
          <w:szCs w:val="24"/>
        </w:rPr>
        <w:t>.</w:t>
      </w:r>
      <w:r>
        <w:rPr>
          <w:rFonts w:hint="eastAsia" w:ascii="宋体" w:hAnsi="宋体" w:eastAsia="宋体" w:cs="宋体"/>
          <w:bCs/>
          <w:color w:val="auto"/>
          <w:sz w:val="24"/>
          <w:szCs w:val="24"/>
        </w:rPr>
        <w:t>响应性要求：▲条款为实质性条款，不允许负偏离，否则作无效标处理；★条款为重要项，负偏离将导致严重扣分。各产品技术参数或服务描述按招标文件要求提供检测报告或其他说明资料等资料，</w:t>
      </w:r>
      <w:r>
        <w:rPr>
          <w:rFonts w:hint="eastAsia" w:ascii="宋体" w:hAnsi="宋体" w:eastAsia="宋体" w:cs="宋体"/>
          <w:b/>
          <w:color w:val="auto"/>
          <w:sz w:val="24"/>
          <w:szCs w:val="24"/>
        </w:rPr>
        <w:t>未提供或缺少提供都将作为负偏离影响技术得分</w:t>
      </w:r>
      <w:r>
        <w:rPr>
          <w:rFonts w:hint="eastAsia" w:ascii="宋体" w:hAnsi="宋体" w:eastAsia="宋体" w:cs="宋体"/>
          <w:bCs/>
          <w:color w:val="auto"/>
          <w:sz w:val="24"/>
          <w:szCs w:val="24"/>
        </w:rPr>
        <w:t>；投标供应商在投标文件中需</w:t>
      </w:r>
      <w:r>
        <w:rPr>
          <w:rFonts w:hint="eastAsia" w:ascii="宋体" w:hAnsi="宋体" w:eastAsia="宋体" w:cs="宋体"/>
          <w:b/>
          <w:color w:val="auto"/>
          <w:sz w:val="24"/>
          <w:szCs w:val="24"/>
        </w:rPr>
        <w:t>真实描述</w:t>
      </w:r>
      <w:r>
        <w:rPr>
          <w:rFonts w:hint="eastAsia" w:ascii="宋体" w:hAnsi="宋体" w:eastAsia="宋体" w:cs="宋体"/>
          <w:bCs/>
          <w:color w:val="auto"/>
          <w:sz w:val="24"/>
          <w:szCs w:val="24"/>
        </w:rPr>
        <w:t>投标产品实际响应情况（技术偏离表需准确注明满足情况或负偏离情况）。</w:t>
      </w:r>
    </w:p>
    <w:p>
      <w:pPr>
        <w:pStyle w:val="35"/>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.本项目为交钥匙工程(如本项目所有内容 、施工工艺等），</w:t>
      </w:r>
      <w:r>
        <w:rPr>
          <w:rFonts w:hint="eastAsia" w:ascii="宋体" w:hAnsi="宋体" w:cs="宋体"/>
          <w:color w:val="auto"/>
          <w:sz w:val="24"/>
          <w:szCs w:val="24"/>
          <w:lang w:eastAsia="zh-CN"/>
        </w:rPr>
        <w:t>采购文件</w:t>
      </w:r>
      <w:r>
        <w:rPr>
          <w:rFonts w:hint="eastAsia" w:ascii="宋体" w:hAnsi="宋体" w:eastAsia="宋体" w:cs="宋体"/>
          <w:color w:val="auto"/>
          <w:sz w:val="24"/>
          <w:szCs w:val="24"/>
        </w:rPr>
        <w:t>的配置要求仅是本项目的关键技术要求，如在施工过程中出现无法实施或者缺少相关设备和配件的情况，供应商应免费予以更换或补充同档次或更高档次的相关设备和配件。供应商可自行现场踏勘，以了解采购需求，取得准确的报价依据。</w:t>
      </w:r>
      <w:r>
        <w:rPr>
          <w:rFonts w:hint="eastAsia" w:ascii="宋体" w:hAnsi="宋体" w:eastAsia="宋体" w:cs="宋体"/>
          <w:color w:val="auto"/>
          <w:sz w:val="24"/>
          <w:szCs w:val="24"/>
          <w:lang w:val="en-US" w:eastAsia="zh-CN"/>
        </w:rPr>
        <w:t>此风险</w:t>
      </w:r>
      <w:r>
        <w:rPr>
          <w:rFonts w:hint="eastAsia" w:ascii="宋体" w:hAnsi="宋体" w:eastAsia="宋体" w:cs="宋体"/>
          <w:color w:val="auto"/>
          <w:sz w:val="24"/>
          <w:szCs w:val="24"/>
        </w:rPr>
        <w:t>供应商须自行</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rPr>
        <w:t>投标报价</w:t>
      </w:r>
      <w:r>
        <w:rPr>
          <w:rFonts w:hint="eastAsia" w:ascii="宋体" w:hAnsi="宋体" w:eastAsia="宋体" w:cs="宋体"/>
          <w:color w:val="auto"/>
          <w:sz w:val="24"/>
          <w:szCs w:val="24"/>
          <w:lang w:val="en-US" w:eastAsia="zh-CN"/>
        </w:rPr>
        <w:t>中考虑</w:t>
      </w:r>
      <w:r>
        <w:rPr>
          <w:rFonts w:hint="eastAsia" w:ascii="宋体" w:hAnsi="宋体" w:eastAsia="宋体" w:cs="宋体"/>
          <w:color w:val="auto"/>
          <w:sz w:val="24"/>
          <w:szCs w:val="24"/>
        </w:rPr>
        <w:t>。</w:t>
      </w:r>
    </w:p>
    <w:p>
      <w:pPr>
        <w:pStyle w:val="35"/>
        <w:spacing w:line="360" w:lineRule="auto"/>
        <w:jc w:val="left"/>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.要求投标人充分理解项目需求，并建议投标前进行实地勘察，切实为用户提供优质的解决方案。</w:t>
      </w:r>
      <w:r>
        <w:rPr>
          <w:rFonts w:hint="eastAsia" w:ascii="宋体" w:hAnsi="宋体" w:eastAsia="宋体" w:cs="宋体"/>
          <w:color w:val="auto"/>
          <w:sz w:val="24"/>
          <w:szCs w:val="24"/>
          <w:lang w:val="zh-CN"/>
        </w:rPr>
        <w:t>如</w:t>
      </w:r>
      <w:r>
        <w:rPr>
          <w:rFonts w:hint="eastAsia" w:ascii="宋体" w:hAnsi="宋体" w:cs="宋体"/>
          <w:color w:val="auto"/>
          <w:sz w:val="24"/>
          <w:szCs w:val="24"/>
          <w:lang w:val="zh-CN"/>
        </w:rPr>
        <w:t>采购文件</w:t>
      </w:r>
      <w:r>
        <w:rPr>
          <w:rFonts w:hint="eastAsia" w:ascii="宋体" w:hAnsi="宋体" w:eastAsia="宋体" w:cs="宋体"/>
          <w:color w:val="auto"/>
          <w:sz w:val="24"/>
          <w:szCs w:val="24"/>
          <w:lang w:val="zh-CN"/>
        </w:rPr>
        <w:t>中遗漏了必须具备的设备、</w:t>
      </w:r>
      <w:r>
        <w:rPr>
          <w:rFonts w:hint="eastAsia" w:ascii="宋体" w:hAnsi="宋体" w:eastAsia="宋体" w:cs="宋体"/>
          <w:color w:val="auto"/>
          <w:sz w:val="24"/>
          <w:szCs w:val="24"/>
        </w:rPr>
        <w:t>附件、辅材、</w:t>
      </w:r>
      <w:r>
        <w:rPr>
          <w:rFonts w:hint="eastAsia" w:ascii="宋体" w:hAnsi="宋体" w:eastAsia="宋体" w:cs="宋体"/>
          <w:color w:val="auto"/>
          <w:sz w:val="24"/>
          <w:szCs w:val="24"/>
          <w:lang w:val="zh-CN"/>
        </w:rPr>
        <w:t>配件、</w:t>
      </w:r>
      <w:r>
        <w:rPr>
          <w:rFonts w:hint="eastAsia" w:ascii="宋体" w:hAnsi="宋体" w:eastAsia="宋体" w:cs="宋体"/>
          <w:color w:val="auto"/>
          <w:sz w:val="24"/>
          <w:szCs w:val="24"/>
        </w:rPr>
        <w:t>模块、软件</w:t>
      </w:r>
      <w:r>
        <w:rPr>
          <w:rFonts w:hint="eastAsia" w:ascii="宋体" w:hAnsi="宋体" w:eastAsia="宋体" w:cs="宋体"/>
          <w:color w:val="auto"/>
          <w:sz w:val="24"/>
          <w:szCs w:val="24"/>
          <w:lang w:val="zh-CN"/>
        </w:rPr>
        <w:t>或服务，请投标人在投标文件中指出，并提出解决方案供采购人参考；</w:t>
      </w:r>
      <w:r>
        <w:rPr>
          <w:rFonts w:hint="eastAsia" w:ascii="宋体" w:hAnsi="宋体" w:eastAsia="宋体" w:cs="宋体"/>
          <w:color w:val="auto"/>
          <w:kern w:val="0"/>
          <w:sz w:val="24"/>
          <w:szCs w:val="24"/>
        </w:rPr>
        <w:t>投标人</w:t>
      </w:r>
      <w:r>
        <w:rPr>
          <w:rFonts w:hint="eastAsia" w:ascii="宋体" w:hAnsi="宋体" w:eastAsia="宋体" w:cs="宋体"/>
          <w:color w:val="auto"/>
          <w:sz w:val="24"/>
          <w:szCs w:val="24"/>
          <w:lang w:val="zh-CN"/>
        </w:rPr>
        <w:t>有义务保证采购人系统的完整性，如项目实施过程中因缺少设备、</w:t>
      </w:r>
      <w:r>
        <w:rPr>
          <w:rFonts w:hint="eastAsia" w:ascii="宋体" w:hAnsi="宋体" w:eastAsia="宋体" w:cs="宋体"/>
          <w:color w:val="auto"/>
          <w:sz w:val="24"/>
          <w:szCs w:val="24"/>
        </w:rPr>
        <w:t>附件、辅材、</w:t>
      </w:r>
      <w:r>
        <w:rPr>
          <w:rFonts w:hint="eastAsia" w:ascii="宋体" w:hAnsi="宋体" w:eastAsia="宋体" w:cs="宋体"/>
          <w:color w:val="auto"/>
          <w:sz w:val="24"/>
          <w:szCs w:val="24"/>
          <w:lang w:val="zh-CN"/>
        </w:rPr>
        <w:t>配件、</w:t>
      </w:r>
      <w:r>
        <w:rPr>
          <w:rFonts w:hint="eastAsia" w:ascii="宋体" w:hAnsi="宋体" w:eastAsia="宋体" w:cs="宋体"/>
          <w:color w:val="auto"/>
          <w:sz w:val="24"/>
          <w:szCs w:val="24"/>
        </w:rPr>
        <w:t>模块、软件</w:t>
      </w:r>
      <w:r>
        <w:rPr>
          <w:rFonts w:hint="eastAsia" w:ascii="宋体" w:hAnsi="宋体" w:eastAsia="宋体" w:cs="宋体"/>
          <w:color w:val="auto"/>
          <w:sz w:val="24"/>
          <w:szCs w:val="24"/>
          <w:lang w:val="zh-CN"/>
        </w:rPr>
        <w:t>或服务导致采购人系统无法正常运行</w:t>
      </w:r>
      <w:r>
        <w:rPr>
          <w:rFonts w:hint="eastAsia" w:ascii="宋体" w:hAnsi="宋体" w:eastAsia="宋体" w:cs="宋体"/>
          <w:color w:val="auto"/>
          <w:sz w:val="24"/>
          <w:szCs w:val="24"/>
        </w:rPr>
        <w:t>和使用</w:t>
      </w:r>
      <w:r>
        <w:rPr>
          <w:rFonts w:hint="eastAsia" w:ascii="宋体" w:hAnsi="宋体" w:eastAsia="宋体" w:cs="宋体"/>
          <w:color w:val="auto"/>
          <w:sz w:val="24"/>
          <w:szCs w:val="24"/>
          <w:lang w:val="zh-CN"/>
        </w:rPr>
        <w:t>，</w:t>
      </w:r>
      <w:r>
        <w:rPr>
          <w:rFonts w:hint="eastAsia" w:ascii="宋体" w:hAnsi="宋体" w:eastAsia="宋体" w:cs="宋体"/>
          <w:color w:val="auto"/>
          <w:kern w:val="0"/>
          <w:sz w:val="24"/>
          <w:szCs w:val="24"/>
        </w:rPr>
        <w:t>中标人</w:t>
      </w:r>
      <w:r>
        <w:rPr>
          <w:rFonts w:hint="eastAsia" w:ascii="宋体" w:hAnsi="宋体" w:eastAsia="宋体" w:cs="宋体"/>
          <w:color w:val="auto"/>
          <w:sz w:val="24"/>
          <w:szCs w:val="24"/>
          <w:lang w:val="zh-CN"/>
        </w:rPr>
        <w:t>须免费提供，报价时自行考虑。</w:t>
      </w:r>
    </w:p>
    <w:p>
      <w:pPr>
        <w:pStyle w:val="35"/>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.投标人可参考采购单位推荐的设备技术参数及配置，也欢迎其他能满足或优于本项目技术需求且性能与所明确要求相当的产品参加投标。</w:t>
      </w:r>
    </w:p>
    <w:p>
      <w:pPr>
        <w:numPr>
          <w:ilvl w:val="0"/>
          <w:numId w:val="0"/>
        </w:numPr>
        <w:ind w:leftChars="0"/>
        <w:rPr>
          <w:rFonts w:hint="eastAsia" w:eastAsiaTheme="minorEastAsia"/>
          <w:b/>
          <w:bCs/>
          <w:color w:val="auto"/>
          <w:sz w:val="24"/>
          <w:szCs w:val="24"/>
          <w:lang w:eastAsia="zh-CN"/>
        </w:rPr>
      </w:pPr>
      <w:r>
        <w:rPr>
          <w:rFonts w:hint="eastAsia" w:eastAsiaTheme="minorEastAsia"/>
          <w:b/>
          <w:bCs/>
          <w:color w:val="auto"/>
          <w:sz w:val="24"/>
          <w:szCs w:val="24"/>
          <w:lang w:val="en-US" w:eastAsia="zh-CN"/>
        </w:rPr>
        <w:t>四、</w:t>
      </w:r>
      <w:r>
        <w:rPr>
          <w:rFonts w:eastAsiaTheme="minorEastAsia"/>
          <w:b/>
          <w:bCs/>
          <w:color w:val="auto"/>
          <w:sz w:val="24"/>
          <w:szCs w:val="24"/>
        </w:rPr>
        <w:t>技术要求</w:t>
      </w:r>
      <w:r>
        <w:rPr>
          <w:rFonts w:hint="eastAsia" w:eastAsiaTheme="minorEastAsia"/>
          <w:b/>
          <w:bCs/>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rPr>
        <w:t>过滤池</w:t>
      </w:r>
      <w:r>
        <w:rPr>
          <w:rFonts w:hint="eastAsia" w:asciiTheme="minorEastAsia" w:hAnsiTheme="minorEastAsia" w:eastAsiaTheme="minorEastAsia" w:cstheme="minorEastAsia"/>
          <w:b/>
          <w:bCs/>
          <w:color w:val="auto"/>
          <w:sz w:val="24"/>
          <w:szCs w:val="24"/>
          <w:lang w:val="en-US" w:eastAsia="zh-CN"/>
        </w:rPr>
        <w:t>要求：</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1.1 </w:t>
      </w:r>
      <w:r>
        <w:rPr>
          <w:rFonts w:hint="eastAsia" w:asciiTheme="minorEastAsia" w:hAnsiTheme="minorEastAsia" w:eastAsiaTheme="minorEastAsia" w:cstheme="minorEastAsia"/>
          <w:color w:val="auto"/>
          <w:sz w:val="24"/>
          <w:szCs w:val="24"/>
        </w:rPr>
        <w:t>设备组成</w:t>
      </w:r>
    </w:p>
    <w:tbl>
      <w:tblPr>
        <w:tblStyle w:val="24"/>
        <w:tblW w:w="49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882"/>
        <w:gridCol w:w="1434"/>
        <w:gridCol w:w="5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66" w:type="pct"/>
            <w:vAlign w:val="center"/>
          </w:tcPr>
          <w:p>
            <w:pPr>
              <w:pStyle w:val="52"/>
              <w:bidi w:val="0"/>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序号</w:t>
            </w:r>
          </w:p>
        </w:tc>
        <w:tc>
          <w:tcPr>
            <w:tcW w:w="1003" w:type="pct"/>
            <w:vAlign w:val="center"/>
          </w:tcPr>
          <w:p>
            <w:pPr>
              <w:pStyle w:val="52"/>
              <w:bidi w:val="0"/>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终端名称</w:t>
            </w:r>
          </w:p>
        </w:tc>
        <w:tc>
          <w:tcPr>
            <w:tcW w:w="764" w:type="pct"/>
            <w:vAlign w:val="center"/>
          </w:tcPr>
          <w:p>
            <w:pPr>
              <w:pStyle w:val="52"/>
              <w:bidi w:val="0"/>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尺寸</w:t>
            </w:r>
          </w:p>
        </w:tc>
        <w:tc>
          <w:tcPr>
            <w:tcW w:w="2765" w:type="pct"/>
            <w:vAlign w:val="center"/>
          </w:tcPr>
          <w:p>
            <w:pPr>
              <w:pStyle w:val="52"/>
              <w:bidi w:val="0"/>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466" w:type="pct"/>
            <w:vAlign w:val="center"/>
          </w:tcPr>
          <w:p>
            <w:pPr>
              <w:pStyle w:val="52"/>
              <w:bidi w:val="0"/>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1003" w:type="pct"/>
            <w:vAlign w:val="center"/>
          </w:tcPr>
          <w:p>
            <w:pPr>
              <w:pStyle w:val="52"/>
              <w:bidi w:val="0"/>
              <w:spacing w:line="240" w:lineRule="auto"/>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冯村终端</w:t>
            </w:r>
          </w:p>
        </w:tc>
        <w:tc>
          <w:tcPr>
            <w:tcW w:w="764" w:type="pct"/>
            <w:vMerge w:val="restart"/>
            <w:vAlign w:val="center"/>
          </w:tcPr>
          <w:p>
            <w:pPr>
              <w:pStyle w:val="52"/>
              <w:bidi w:val="0"/>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2.4m×1.</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m×3.0m，半地埋，成品碳钢</w:t>
            </w:r>
          </w:p>
        </w:tc>
        <w:tc>
          <w:tcPr>
            <w:tcW w:w="2765" w:type="pct"/>
            <w:vMerge w:val="restart"/>
            <w:vAlign w:val="center"/>
          </w:tcPr>
          <w:p>
            <w:pPr>
              <w:pStyle w:val="52"/>
              <w:bidi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含</w:t>
            </w:r>
            <w:r>
              <w:rPr>
                <w:rFonts w:hint="eastAsia" w:asciiTheme="minorEastAsia" w:hAnsiTheme="minorEastAsia" w:eastAsiaTheme="minorEastAsia" w:cstheme="minorEastAsia"/>
                <w:color w:val="auto"/>
                <w:sz w:val="21"/>
                <w:szCs w:val="21"/>
              </w:rPr>
              <w:t>旋流沉砂区、提篮超格栅</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稳态隔油区、刮油板、集油槽、提升泵、一体式电磁流量计</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其中</w:t>
            </w:r>
            <w:r>
              <w:rPr>
                <w:rFonts w:hint="eastAsia" w:asciiTheme="minorEastAsia" w:hAnsiTheme="minorEastAsia" w:eastAsiaTheme="minorEastAsia" w:cstheme="minorEastAsia"/>
                <w:color w:val="auto"/>
                <w:sz w:val="21"/>
                <w:szCs w:val="21"/>
              </w:rPr>
              <w:t>提篮格栅1：0.35m*0.35*0.6、SS304不锈钢，可手/自动提渣、可更换；栅条间隙b=8mm；提篮格栅2：0.5*0.2*0.2，栅条间隙b=3mm，塑料材质。</w:t>
            </w:r>
          </w:p>
          <w:p>
            <w:pPr>
              <w:pStyle w:val="52"/>
              <w:bidi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水泵选型配备</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流量20m3/h，扬程8m，N=</w:t>
            </w: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kw，含浮球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pStyle w:val="52"/>
              <w:bidi w:val="0"/>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1003" w:type="pct"/>
            <w:vAlign w:val="center"/>
          </w:tcPr>
          <w:p>
            <w:pPr>
              <w:pStyle w:val="52"/>
              <w:bidi w:val="0"/>
              <w:spacing w:line="240" w:lineRule="auto"/>
              <w:ind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沈街终端</w:t>
            </w:r>
          </w:p>
        </w:tc>
        <w:tc>
          <w:tcPr>
            <w:tcW w:w="764" w:type="pct"/>
            <w:vMerge w:val="continue"/>
            <w:vAlign w:val="center"/>
          </w:tcPr>
          <w:p>
            <w:pPr>
              <w:pStyle w:val="52"/>
              <w:bidi w:val="0"/>
              <w:spacing w:line="240" w:lineRule="auto"/>
              <w:jc w:val="center"/>
              <w:rPr>
                <w:rFonts w:hint="eastAsia" w:asciiTheme="minorEastAsia" w:hAnsiTheme="minorEastAsia" w:eastAsiaTheme="minorEastAsia" w:cstheme="minorEastAsia"/>
                <w:color w:val="auto"/>
                <w:sz w:val="21"/>
                <w:szCs w:val="21"/>
              </w:rPr>
            </w:pPr>
          </w:p>
        </w:tc>
        <w:tc>
          <w:tcPr>
            <w:tcW w:w="2765" w:type="pct"/>
            <w:vMerge w:val="continue"/>
            <w:vAlign w:val="center"/>
          </w:tcPr>
          <w:p>
            <w:pPr>
              <w:pStyle w:val="52"/>
              <w:bidi w:val="0"/>
              <w:spacing w:line="360" w:lineRule="auto"/>
              <w:jc w:val="left"/>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pStyle w:val="52"/>
              <w:bidi w:val="0"/>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1003" w:type="pct"/>
            <w:vAlign w:val="center"/>
          </w:tcPr>
          <w:p>
            <w:pPr>
              <w:pStyle w:val="52"/>
              <w:bidi w:val="0"/>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溪东旧区终端</w:t>
            </w:r>
          </w:p>
        </w:tc>
        <w:tc>
          <w:tcPr>
            <w:tcW w:w="764" w:type="pct"/>
            <w:vAlign w:val="center"/>
          </w:tcPr>
          <w:p>
            <w:pPr>
              <w:pStyle w:val="52"/>
              <w:bidi w:val="0"/>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2.4m×1.</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m×3.0m，半地埋，成品碳钢</w:t>
            </w:r>
          </w:p>
        </w:tc>
        <w:tc>
          <w:tcPr>
            <w:tcW w:w="2765" w:type="pct"/>
            <w:vAlign w:val="center"/>
          </w:tcPr>
          <w:p>
            <w:pPr>
              <w:pStyle w:val="52"/>
              <w:bidi w:val="0"/>
              <w:spacing w:line="36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含</w:t>
            </w:r>
            <w:r>
              <w:rPr>
                <w:rFonts w:hint="eastAsia" w:asciiTheme="minorEastAsia" w:hAnsiTheme="minorEastAsia" w:eastAsiaTheme="minorEastAsia" w:cstheme="minorEastAsia"/>
                <w:color w:val="auto"/>
                <w:sz w:val="21"/>
                <w:szCs w:val="21"/>
              </w:rPr>
              <w:t>旋流沉砂区、提篮超格栅</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稳态隔油区、刮油板、集油槽、提升泵、一体式电磁流量计</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其中</w:t>
            </w:r>
            <w:r>
              <w:rPr>
                <w:rFonts w:hint="eastAsia" w:asciiTheme="minorEastAsia" w:hAnsiTheme="minorEastAsia" w:eastAsiaTheme="minorEastAsia" w:cstheme="minorEastAsia"/>
                <w:color w:val="auto"/>
                <w:sz w:val="21"/>
                <w:szCs w:val="21"/>
                <w:lang w:eastAsia="zh-CN"/>
              </w:rPr>
              <w:t>提篮格栅1：0.35m*0.35*0.6、SS304不锈钢，可手/自动提渣、可更换；栅条间隙b=5mm；提篮格栅2：0.3*0.2*0.2，栅条间隙b=3mm，塑料材质。</w:t>
            </w:r>
          </w:p>
          <w:p>
            <w:pPr>
              <w:pStyle w:val="52"/>
              <w:bidi w:val="0"/>
              <w:spacing w:line="36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（3）水泵选型配备，流量5m3/h，扬程8m，N=0.55kw，含浮球。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pStyle w:val="52"/>
              <w:bidi w:val="0"/>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1003" w:type="pct"/>
            <w:vAlign w:val="center"/>
          </w:tcPr>
          <w:p>
            <w:pPr>
              <w:pStyle w:val="52"/>
              <w:bidi w:val="0"/>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吴大路终端</w:t>
            </w:r>
          </w:p>
        </w:tc>
        <w:tc>
          <w:tcPr>
            <w:tcW w:w="764" w:type="pct"/>
            <w:vAlign w:val="center"/>
          </w:tcPr>
          <w:p>
            <w:pPr>
              <w:pStyle w:val="52"/>
              <w:bidi w:val="0"/>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2.4m×</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m×</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.0m，半地埋，成品碳钢</w:t>
            </w:r>
          </w:p>
        </w:tc>
        <w:tc>
          <w:tcPr>
            <w:tcW w:w="2765" w:type="pct"/>
            <w:vAlign w:val="center"/>
          </w:tcPr>
          <w:p>
            <w:pPr>
              <w:pStyle w:val="52"/>
              <w:bidi w:val="0"/>
              <w:spacing w:line="36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含</w:t>
            </w:r>
            <w:r>
              <w:rPr>
                <w:rFonts w:hint="eastAsia" w:asciiTheme="minorEastAsia" w:hAnsiTheme="minorEastAsia" w:eastAsiaTheme="minorEastAsia" w:cstheme="minorEastAsia"/>
                <w:color w:val="auto"/>
                <w:sz w:val="21"/>
                <w:szCs w:val="21"/>
              </w:rPr>
              <w:t>机械格栅</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旋流沉砂池、抽屉式细格栅、隔油板、刮油板、集渣槽、集油槽、提升泵、一体式电磁流量计</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其中</w:t>
            </w:r>
            <w:r>
              <w:rPr>
                <w:rFonts w:hint="eastAsia" w:asciiTheme="minorEastAsia" w:hAnsiTheme="minorEastAsia" w:eastAsiaTheme="minorEastAsia" w:cstheme="minorEastAsia"/>
                <w:color w:val="auto"/>
                <w:sz w:val="21"/>
                <w:szCs w:val="21"/>
                <w:lang w:eastAsia="zh-CN"/>
              </w:rPr>
              <w:t>机械格栅：长度L=2350mm；宽度B=500mm；栅条间隙b=5mm。适用于过滤20mm~5mm粒径的栅渣。</w:t>
            </w:r>
          </w:p>
          <w:p>
            <w:pPr>
              <w:pStyle w:val="52"/>
              <w:bidi w:val="0"/>
              <w:spacing w:line="36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水泵选型配备，流量2</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lang w:eastAsia="zh-CN"/>
              </w:rPr>
              <w:t>m3/h，扬程8m，N=1.5kw，含浮球。</w:t>
            </w: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2.技术</w:t>
      </w:r>
      <w:r>
        <w:rPr>
          <w:rFonts w:hint="eastAsia" w:ascii="宋体" w:hAnsi="宋体" w:eastAsia="宋体" w:cs="宋体"/>
          <w:b/>
          <w:bCs/>
          <w:color w:val="auto"/>
          <w:sz w:val="24"/>
          <w:szCs w:val="24"/>
        </w:rPr>
        <w:t>参数</w:t>
      </w:r>
      <w:r>
        <w:rPr>
          <w:rFonts w:hint="eastAsia" w:ascii="宋体" w:hAnsi="宋体" w:eastAsia="宋体" w:cs="宋体"/>
          <w:b/>
          <w:bCs/>
          <w:color w:val="auto"/>
          <w:sz w:val="24"/>
          <w:szCs w:val="24"/>
          <w:lang w:val="en-US" w:eastAsia="zh-CN"/>
        </w:rPr>
        <w:t>及要求：</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（1）设备主体：外壳钢板Q235防腐6mm厚；隔仓钢板Q235防腐4mm厚；顶板隔仓Q235防腐2mm厚。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（2）本过滤池适用于过滤20mm~5mm粒径的栅渣。</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）流量计：DN40。</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技术要求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（1）一般要求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①一体化过滤池应符合本标准要求，并按经规定程序批准的图样及技术文件制造。</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②一体化过滤池选用材料、外购件、外协加工件应符合相应标准的有要求并附质保书或合格证。</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（2）外观质量要求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①产品外观不应有图样规定外的凸起、凹陷、粗糙不平和其他损伤等缺陷。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②油漆表面应平整、均匀、光滑，不应有漏漆、起皱、流挂、剥落、锈蚀和锈痕等缺陷。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③漆膜附着力应不低于GB/T 9286规定的2级要求。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④表面涂层、外露零部件及标志应光洁完整，紧固件不应松动，可动部件应灵活可靠。</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（3）造型和布局</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①布局应便于调整和维修，操作应有利于观察工作区。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②造型应美观、均匀，整机（含成套设备）应协调。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（4）材料、加工和装配质量要求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①焊接部件的外观表面不应有锤痕、焊瘤、金属飞溅物及引弧痕迹，边棱、尖角处应光滑。所有焊缝的熔渣均应清理干净。焊缝表面应打磨平整。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②零件的切削加工面不应有锈蚀、磕碰、划伤等影响性能、寿命和外观的缺陷。除有特殊要求外，切削加工后的零件不应有锐棱、尖角和毛刺。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（5）功能与性能要求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①一体化过滤池的处理能力应符合产品相应日处理量的规定。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②一体化过滤池应具备拦截浮渣、沉砂、隔油的功能，能够拦截污水中较大悬浮物或漂浮物，沉淀污水中的泥沙，隔掉污水中的部分油脂。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③带提升功能的一体化过滤池应具备污水在线流量监测功能，能够远程在线流量监测污水流量。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④一体化过滤池在运行过程中，机械格栅、旋流沉砂机等运动部件应运转灵活、平稳、无卡滞、无碰撞、无异声等现象，整机运行平稳可靠。</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（6）强度、耐腐蚀及无渗水性</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①一体化过滤池强度及无渗水性应满足工艺要求，并应无污水泄漏现象。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②污水如具有腐蚀性，一体化过滤池及内部格栅采用不绣钢材料应经酸洗钝化处理，酸洗与钝化的质量应符合SJ20893的规定，若采用碳钢格栅应涂装防腐，涂装前应除锈，除锈质量应符合GB/T8923.1。</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（7）机械安全要求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①有可能对人身或设备本身造成损伤的部位应采取相应的安全措施。对运行时有可能松脱的零部件应设置防松装置，避免其脱落造成人身伤害。</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②一体化过滤池内应设有防坠网，避免跌落造成的人身伤害。</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③一体化过滤池危险部分必须设有明显警示标志：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a）检修口：严禁烟火、必须戴安全帽、非授权人员禁止入内等标志；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b）防护罩：当心机械伤人、注意危险、禁止碰触等标志。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）电气安全要求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①一体化过滤池应有可靠的接地装置，可触及的金属部件与接地端子的接地电阻不大于0.1Ω，接地点应有明示的接地标志。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②一体化过滤池泄漏电流不得大于10 mA。</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③控制回路必须设有过载保护措施和漏电保护措施，过载保护措施必须符合GB/T 3797-2016中的规定；漏电保护措施应符合GB/T 13955 的规定，一体化过滤池宜采用漏电断路器作为二次回路的电源开关。</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过滤池宜采用安全可靠成熟先进性产品。</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农村生活污水处理罐（碳钢）</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设备主工艺为倒置</w:t>
      </w:r>
      <w:r>
        <w:rPr>
          <w:rFonts w:hint="eastAsia" w:ascii="宋体" w:hAnsi="宋体" w:eastAsia="宋体" w:cs="宋体"/>
          <w:color w:val="auto"/>
          <w:sz w:val="24"/>
          <w:szCs w:val="24"/>
          <w:lang w:eastAsia="zh-CN"/>
        </w:rPr>
        <w:t>AAO</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进水条件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进水条件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污水在进入装置前必须经过预处理，包括沉砂池除砂，粗</w:t>
      </w:r>
      <w:r>
        <w:rPr>
          <w:rFonts w:hint="eastAsia" w:ascii="宋体" w:hAnsi="宋体" w:eastAsia="宋体" w:cs="宋体"/>
          <w:color w:val="auto"/>
          <w:sz w:val="24"/>
          <w:szCs w:val="24"/>
          <w:lang w:val="en-US"/>
        </w:rPr>
        <w:t>/细</w:t>
      </w:r>
      <w:r>
        <w:rPr>
          <w:rFonts w:hint="eastAsia" w:ascii="宋体" w:hAnsi="宋体" w:eastAsia="宋体" w:cs="宋体"/>
          <w:color w:val="auto"/>
          <w:sz w:val="24"/>
          <w:szCs w:val="24"/>
        </w:rPr>
        <w:t>格栅去除漂浮物，隔油池去除油污，调节池调控水量等，装置进水流量与处理能力相匹配。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进水水质指标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根据《浙江省农村生活污水处理设施污水排入标准</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DB33/T1196-2020）</w:t>
      </w:r>
      <w:r>
        <w:rPr>
          <w:rFonts w:hint="eastAsia" w:ascii="宋体" w:hAnsi="宋体" w:eastAsia="宋体" w:cs="宋体"/>
          <w:color w:val="auto"/>
          <w:sz w:val="24"/>
          <w:szCs w:val="24"/>
        </w:rPr>
        <w:t>中对水质指标最高浓度限值作为本项目设计进水水质的要求，具体如下表：</w:t>
      </w:r>
    </w:p>
    <w:p>
      <w:pPr>
        <w:pStyle w:val="52"/>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6266180" cy="2347595"/>
            <wp:effectExtent l="0" t="0" r="1270" b="146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6266180" cy="23475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出水标准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出水标准：浙江省《农村生活污水集中处理设施水污染物排放标准》（DB33/973-2021）标准一级排放。详见下表。</w:t>
      </w:r>
    </w:p>
    <w:tbl>
      <w:tblPr>
        <w:tblStyle w:val="23"/>
        <w:tblW w:w="492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3049"/>
        <w:gridCol w:w="44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41" w:type="pct"/>
            <w:tcBorders>
              <w:top w:val="single" w:color="auto" w:sz="8" w:space="0"/>
              <w:left w:val="single" w:color="auto" w:sz="4" w:space="0"/>
              <w:bottom w:val="single" w:color="auto" w:sz="8" w:space="0"/>
              <w:right w:val="single" w:color="auto" w:sz="4" w:space="0"/>
            </w:tcBorders>
            <w:vAlign w:val="center"/>
          </w:tcPr>
          <w:p>
            <w:pPr>
              <w:pStyle w:val="52"/>
              <w:keepNext w:val="0"/>
              <w:keepLines w:val="0"/>
              <w:suppressLineNumbers w:val="0"/>
              <w:bidi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控制类型</w:t>
            </w:r>
          </w:p>
        </w:tc>
        <w:tc>
          <w:tcPr>
            <w:tcW w:w="1619" w:type="pct"/>
            <w:tcBorders>
              <w:top w:val="single" w:color="auto" w:sz="8" w:space="0"/>
              <w:left w:val="single" w:color="auto" w:sz="4" w:space="0"/>
              <w:bottom w:val="single" w:color="auto" w:sz="8" w:space="0"/>
              <w:right w:val="single" w:color="auto" w:sz="4" w:space="0"/>
            </w:tcBorders>
            <w:vAlign w:val="center"/>
          </w:tcPr>
          <w:p>
            <w:pPr>
              <w:pStyle w:val="52"/>
              <w:keepNext w:val="0"/>
              <w:keepLines w:val="0"/>
              <w:suppressLineNumbers w:val="0"/>
              <w:bidi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污染物项目</w:t>
            </w:r>
          </w:p>
        </w:tc>
        <w:tc>
          <w:tcPr>
            <w:tcW w:w="2339" w:type="pct"/>
            <w:tcBorders>
              <w:top w:val="single" w:color="auto" w:sz="8" w:space="0"/>
              <w:left w:val="single" w:color="auto" w:sz="4" w:space="0"/>
              <w:bottom w:val="single" w:color="auto" w:sz="8" w:space="0"/>
              <w:right w:val="single" w:color="auto" w:sz="8" w:space="0"/>
            </w:tcBorders>
            <w:vAlign w:val="center"/>
          </w:tcPr>
          <w:p>
            <w:pPr>
              <w:pStyle w:val="52"/>
              <w:keepNext w:val="0"/>
              <w:keepLines w:val="0"/>
              <w:suppressLineNumbers w:val="0"/>
              <w:bidi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一级标准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pct"/>
            <w:vMerge w:val="restart"/>
            <w:tcBorders>
              <w:top w:val="nil"/>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基本控制项目</w:t>
            </w:r>
          </w:p>
        </w:tc>
        <w:tc>
          <w:tcPr>
            <w:tcW w:w="1619" w:type="pct"/>
            <w:tcBorders>
              <w:top w:val="single" w:color="auto" w:sz="8" w:space="0"/>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pH值（无量纲）</w:t>
            </w:r>
          </w:p>
        </w:tc>
        <w:tc>
          <w:tcPr>
            <w:tcW w:w="2339" w:type="pct"/>
            <w:tcBorders>
              <w:top w:val="single" w:color="auto" w:sz="8" w:space="0"/>
              <w:left w:val="single" w:color="auto" w:sz="4" w:space="0"/>
              <w:bottom w:val="single" w:color="auto" w:sz="4" w:space="0"/>
              <w:right w:val="single" w:color="auto" w:sz="8" w:space="0"/>
            </w:tcBorders>
            <w:vAlign w:val="center"/>
          </w:tcPr>
          <w:p>
            <w:pPr>
              <w:pStyle w:val="52"/>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pct"/>
            <w:vMerge w:val="continue"/>
            <w:tcBorders>
              <w:top w:val="nil"/>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 w:val="24"/>
                <w:szCs w:val="24"/>
              </w:rPr>
            </w:pPr>
          </w:p>
        </w:tc>
        <w:tc>
          <w:tcPr>
            <w:tcW w:w="1619"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化学需氧量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CODCr</w:t>
            </w:r>
            <w:r>
              <w:rPr>
                <w:rFonts w:hint="eastAsia" w:ascii="宋体" w:hAnsi="宋体" w:eastAsia="宋体" w:cs="宋体"/>
                <w:color w:val="auto"/>
                <w:sz w:val="24"/>
                <w:szCs w:val="24"/>
                <w:lang w:eastAsia="zh-CN"/>
              </w:rPr>
              <w:t>)</w:t>
            </w:r>
          </w:p>
        </w:tc>
        <w:tc>
          <w:tcPr>
            <w:tcW w:w="2339" w:type="pct"/>
            <w:tcBorders>
              <w:top w:val="single" w:color="auto" w:sz="4" w:space="0"/>
              <w:left w:val="single" w:color="auto" w:sz="4" w:space="0"/>
              <w:bottom w:val="single" w:color="auto" w:sz="4" w:space="0"/>
              <w:right w:val="single" w:color="auto" w:sz="8" w:space="0"/>
            </w:tcBorders>
            <w:vAlign w:val="center"/>
          </w:tcPr>
          <w:p>
            <w:pPr>
              <w:pStyle w:val="52"/>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pct"/>
            <w:vMerge w:val="continue"/>
            <w:tcBorders>
              <w:top w:val="nil"/>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 w:val="24"/>
                <w:szCs w:val="24"/>
              </w:rPr>
            </w:pPr>
          </w:p>
        </w:tc>
        <w:tc>
          <w:tcPr>
            <w:tcW w:w="1619"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悬浮物（SS）</w:t>
            </w:r>
          </w:p>
        </w:tc>
        <w:tc>
          <w:tcPr>
            <w:tcW w:w="2339" w:type="pct"/>
            <w:tcBorders>
              <w:top w:val="single" w:color="auto" w:sz="4" w:space="0"/>
              <w:left w:val="single" w:color="auto" w:sz="4" w:space="0"/>
              <w:bottom w:val="single" w:color="auto" w:sz="4" w:space="0"/>
              <w:right w:val="single" w:color="auto" w:sz="8" w:space="0"/>
            </w:tcBorders>
            <w:vAlign w:val="center"/>
          </w:tcPr>
          <w:p>
            <w:pPr>
              <w:pStyle w:val="52"/>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pct"/>
            <w:vMerge w:val="continue"/>
            <w:tcBorders>
              <w:top w:val="nil"/>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 w:val="24"/>
                <w:szCs w:val="24"/>
              </w:rPr>
            </w:pPr>
          </w:p>
        </w:tc>
        <w:tc>
          <w:tcPr>
            <w:tcW w:w="1619"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氨氮（以N计）</w:t>
            </w:r>
          </w:p>
        </w:tc>
        <w:tc>
          <w:tcPr>
            <w:tcW w:w="2339" w:type="pct"/>
            <w:tcBorders>
              <w:top w:val="single" w:color="auto" w:sz="4" w:space="0"/>
              <w:left w:val="single" w:color="auto" w:sz="4" w:space="0"/>
              <w:bottom w:val="single" w:color="auto" w:sz="4" w:space="0"/>
              <w:right w:val="single" w:color="auto" w:sz="8" w:space="0"/>
            </w:tcBorders>
            <w:vAlign w:val="center"/>
          </w:tcPr>
          <w:p>
            <w:pPr>
              <w:pStyle w:val="52"/>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pct"/>
            <w:vMerge w:val="continue"/>
            <w:tcBorders>
              <w:top w:val="nil"/>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 w:val="24"/>
                <w:szCs w:val="24"/>
              </w:rPr>
            </w:pPr>
          </w:p>
        </w:tc>
        <w:tc>
          <w:tcPr>
            <w:tcW w:w="1619"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总磷（以P计）c</w:t>
            </w:r>
          </w:p>
        </w:tc>
        <w:tc>
          <w:tcPr>
            <w:tcW w:w="2339" w:type="pct"/>
            <w:tcBorders>
              <w:top w:val="single" w:color="auto" w:sz="4" w:space="0"/>
              <w:left w:val="single" w:color="auto" w:sz="4" w:space="0"/>
              <w:bottom w:val="single" w:color="auto" w:sz="4" w:space="0"/>
              <w:right w:val="single" w:color="auto" w:sz="8" w:space="0"/>
            </w:tcBorders>
            <w:vAlign w:val="center"/>
          </w:tcPr>
          <w:p>
            <w:pPr>
              <w:pStyle w:val="52"/>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pct"/>
            <w:vMerge w:val="restart"/>
            <w:tcBorders>
              <w:top w:val="single" w:color="auto" w:sz="4" w:space="0"/>
              <w:left w:val="single" w:color="auto" w:sz="4" w:space="0"/>
              <w:right w:val="single" w:color="auto" w:sz="4" w:space="0"/>
            </w:tcBorders>
            <w:vAlign w:val="center"/>
          </w:tcPr>
          <w:p>
            <w:pPr>
              <w:pStyle w:val="52"/>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选择控制项目</w:t>
            </w:r>
          </w:p>
        </w:tc>
        <w:tc>
          <w:tcPr>
            <w:tcW w:w="1619"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粪大肠菌群(NPN/L）</w:t>
            </w:r>
          </w:p>
        </w:tc>
        <w:tc>
          <w:tcPr>
            <w:tcW w:w="2339"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pct"/>
            <w:vMerge w:val="continue"/>
            <w:tcBorders>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 w:val="24"/>
                <w:szCs w:val="24"/>
              </w:rPr>
            </w:pPr>
          </w:p>
        </w:tc>
        <w:tc>
          <w:tcPr>
            <w:tcW w:w="1619"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动植物油</w:t>
            </w:r>
          </w:p>
        </w:tc>
        <w:tc>
          <w:tcPr>
            <w:tcW w:w="2339"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r>
    </w:tbl>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注：a</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xml:space="preserve">括号内为每年的11月1日至次年3月31日执行；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rPr>
        <w:t>括号内为出水排入封闭水体、半封闭水体和省、市、县级等水质断面磷超标水体的限值。</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f.排入含油污水的处理设备。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（3）功能要求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同时具备有机物去除、脱氮、除磷、固液分离工艺要求；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设备运行可实现根据进水实际条件调整运行参数；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③</w:t>
      </w:r>
      <w:r>
        <w:rPr>
          <w:rFonts w:hint="eastAsia" w:ascii="宋体" w:hAnsi="宋体" w:eastAsia="宋体" w:cs="宋体"/>
          <w:color w:val="auto"/>
          <w:sz w:val="24"/>
          <w:szCs w:val="24"/>
        </w:rPr>
        <w:t>须预留智能监测接入端口；</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④</w:t>
      </w:r>
      <w:r>
        <w:rPr>
          <w:rFonts w:hint="eastAsia" w:ascii="宋体" w:hAnsi="宋体" w:eastAsia="宋体" w:cs="宋体"/>
          <w:color w:val="auto"/>
          <w:sz w:val="24"/>
          <w:szCs w:val="24"/>
        </w:rPr>
        <w:t>须配备检修梯；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⑤</w:t>
      </w:r>
      <w:r>
        <w:rPr>
          <w:rFonts w:hint="eastAsia" w:ascii="宋体" w:hAnsi="宋体" w:eastAsia="宋体" w:cs="宋体"/>
          <w:color w:val="auto"/>
          <w:sz w:val="24"/>
          <w:szCs w:val="24"/>
        </w:rPr>
        <w:t>设备具备深度除磷过滤系统并可实现自动反冲洗功能。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机械参数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设备主体结构采用碳钢结构、选用Q235B材质，壁厚≥8mm，符合GB/T700的要求，设备内外防腐进行处理，漆膜的干膜总厚度要求：直接与水接触部位应为240μm～260μm；其他部位可为160μm～200μm。；</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进、出水管采用法兰或卡箍连接；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③</w:t>
      </w:r>
      <w:r>
        <w:rPr>
          <w:rFonts w:hint="eastAsia" w:ascii="宋体" w:hAnsi="宋体" w:eastAsia="宋体" w:cs="宋体"/>
          <w:color w:val="auto"/>
          <w:sz w:val="24"/>
          <w:szCs w:val="24"/>
        </w:rPr>
        <w:t>配套管路外径：50mm、110mm和160mm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其他规格外径可以定制或采用变径接头；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④</w:t>
      </w:r>
      <w:r>
        <w:rPr>
          <w:rFonts w:hint="eastAsia" w:ascii="宋体" w:hAnsi="宋体" w:eastAsia="宋体" w:cs="宋体"/>
          <w:color w:val="auto"/>
          <w:sz w:val="24"/>
          <w:szCs w:val="24"/>
        </w:rPr>
        <w:t>设备主体结构内外部、钢制管道等均需防腐处理。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设备技术要求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曝气系统，汽水比16:1~20：1，氧利用率大于20%；提供配套管道，满足现场使用要求；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活性污泥法厌氧池的水力停留时间取1h-2h，缺氧池的水力停留时间取2h-4h，好氧池的水力停留时间取8h-12h，混合液回流比取100%-400%，污泥回流比取40%-100%，并具备剩余污泥排放系统，填料填充比为50%~60%；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③</w:t>
      </w:r>
      <w:r>
        <w:rPr>
          <w:rFonts w:hint="eastAsia" w:ascii="宋体" w:hAnsi="宋体" w:eastAsia="宋体" w:cs="宋体"/>
          <w:color w:val="auto"/>
          <w:sz w:val="24"/>
          <w:szCs w:val="24"/>
        </w:rPr>
        <w:t>沉淀池为竖流式沉淀池，表面负荷为≤0.92m3//m2/·h，含溢流堰、中心筒。沉淀池中心筒，筒内流速≤0.03m/s，溢流堰出水负荷≤1.7L/（m·s），泥斗倾角大于55°。</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电气参数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电气系统布线应正确、整齐、美观，各指示仪表、开关、按钮等应整齐、牢固。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电源：380V/220V/AC，50HZ，装有漏电保护器。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③</w:t>
      </w:r>
      <w:r>
        <w:rPr>
          <w:rFonts w:hint="eastAsia" w:ascii="宋体" w:hAnsi="宋体" w:eastAsia="宋体" w:cs="宋体"/>
          <w:color w:val="auto"/>
          <w:sz w:val="24"/>
          <w:szCs w:val="24"/>
        </w:rPr>
        <w:t>应有可靠的接地端子并有明显的接地标志。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外观要求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 xml:space="preserve">焊缝应牢固，连续焊缝不应出现间断、焊瘤、表面气孔和裂纹等缺陷。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 xml:space="preserve">安全防护罩应表面平整，间隙均匀，圆弧光滑，不应有凸起、凹陷和翘曲等现象。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③</w:t>
      </w:r>
      <w:r>
        <w:rPr>
          <w:rFonts w:hint="eastAsia" w:ascii="宋体" w:hAnsi="宋体" w:eastAsia="宋体" w:cs="宋体"/>
          <w:color w:val="auto"/>
          <w:sz w:val="24"/>
          <w:szCs w:val="24"/>
        </w:rPr>
        <w:t xml:space="preserve">管路布置应整齐有序、固定牢靠，管路不应产生扭曲、折叠等现象。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④</w:t>
      </w:r>
      <w:r>
        <w:rPr>
          <w:rFonts w:hint="eastAsia" w:ascii="宋体" w:hAnsi="宋体" w:eastAsia="宋体" w:cs="宋体"/>
          <w:color w:val="auto"/>
          <w:sz w:val="24"/>
          <w:szCs w:val="24"/>
        </w:rPr>
        <w:t xml:space="preserve">标牌应平整、光洁，固定应牢靠，不应有铆裂、偏斜等缺陷。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⑤</w:t>
      </w:r>
      <w:r>
        <w:rPr>
          <w:rFonts w:hint="eastAsia" w:ascii="宋体" w:hAnsi="宋体" w:eastAsia="宋体" w:cs="宋体"/>
          <w:color w:val="auto"/>
          <w:sz w:val="24"/>
          <w:szCs w:val="24"/>
        </w:rPr>
        <w:t xml:space="preserve">装配完毕后的设备，外表面的漆膜应光洁、平整、均匀，不允许有气泡和剥落等缺陷。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品牌推荐</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提升泵，采用高效、高可靠、抗腐蚀、无堵塞的潜污泵，提供配套全部安装附件，满足现场使用要求，推荐品牌：新界、川源、南方泵业、鹤见、东方、威乐、老百姓等优质品牌；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 xml:space="preserve">鼓风机，满足现场使用要求，推荐品牌：宜友、百事德、优纳特、名业等优质品牌；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③</w:t>
      </w:r>
      <w:r>
        <w:rPr>
          <w:rFonts w:hint="eastAsia" w:ascii="宋体" w:hAnsi="宋体" w:eastAsia="宋体" w:cs="宋体"/>
          <w:color w:val="auto"/>
          <w:sz w:val="24"/>
          <w:szCs w:val="24"/>
        </w:rPr>
        <w:t>电磁流量计，推荐品牌：杭州源牌、杭州米科、浙江精控、上海金宁等优质品牌；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w:t>
      </w:r>
      <w:r>
        <w:rPr>
          <w:rFonts w:hint="eastAsia" w:ascii="宋体" w:hAnsi="宋体" w:eastAsia="宋体" w:cs="宋体"/>
          <w:color w:val="auto"/>
          <w:sz w:val="24"/>
          <w:szCs w:val="24"/>
        </w:rPr>
        <w:t>电控系统，推荐品牌：施耐德、西门子、正泰、浙江天正等优质品牌。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⑤管材</w:t>
      </w:r>
      <w:r>
        <w:rPr>
          <w:rFonts w:hint="eastAsia" w:ascii="宋体" w:hAnsi="宋体" w:eastAsia="宋体" w:cs="宋体"/>
          <w:color w:val="auto"/>
          <w:sz w:val="24"/>
          <w:szCs w:val="24"/>
        </w:rPr>
        <w:t>，推荐品牌：</w:t>
      </w:r>
      <w:r>
        <w:rPr>
          <w:rFonts w:hint="eastAsia" w:ascii="宋体" w:hAnsi="宋体" w:eastAsia="宋体" w:cs="宋体"/>
          <w:color w:val="auto"/>
          <w:sz w:val="24"/>
          <w:szCs w:val="24"/>
          <w:lang w:val="en-US" w:eastAsia="zh-CN"/>
        </w:rPr>
        <w:t>中财管建、公元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伟星</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联塑</w:t>
      </w:r>
      <w:r>
        <w:rPr>
          <w:rFonts w:hint="eastAsia" w:ascii="宋体" w:hAnsi="宋体" w:eastAsia="宋体" w:cs="宋体"/>
          <w:color w:val="auto"/>
          <w:sz w:val="24"/>
          <w:szCs w:val="24"/>
        </w:rPr>
        <w:t>等优质品牌。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⑥电缆</w:t>
      </w:r>
      <w:r>
        <w:rPr>
          <w:rFonts w:hint="eastAsia" w:ascii="宋体" w:hAnsi="宋体" w:eastAsia="宋体" w:cs="宋体"/>
          <w:color w:val="auto"/>
          <w:sz w:val="24"/>
          <w:szCs w:val="24"/>
        </w:rPr>
        <w:t>，推荐品牌：</w:t>
      </w:r>
      <w:r>
        <w:rPr>
          <w:rFonts w:hint="eastAsia" w:ascii="宋体" w:hAnsi="宋体" w:eastAsia="宋体" w:cs="宋体"/>
          <w:color w:val="auto"/>
          <w:sz w:val="24"/>
          <w:szCs w:val="24"/>
          <w:lang w:val="en-US" w:eastAsia="zh-CN"/>
        </w:rPr>
        <w:t>正泰、中策</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公牛</w:t>
      </w:r>
      <w:r>
        <w:rPr>
          <w:rFonts w:hint="eastAsia" w:ascii="宋体" w:hAnsi="宋体" w:eastAsia="宋体" w:cs="宋体"/>
          <w:color w:val="auto"/>
          <w:sz w:val="24"/>
          <w:szCs w:val="24"/>
        </w:rPr>
        <w:t>等优质品牌。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外观要求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焊缝应牢固，连续焊缝不应出现间断、焊瘤、表面气孔和裂纹等缺陷。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安全防护罩应表面平整，间隙均匀，圆弧光滑，不应有凸起、凹陷和翘曲等现象。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③</w:t>
      </w:r>
      <w:r>
        <w:rPr>
          <w:rFonts w:hint="eastAsia" w:ascii="宋体" w:hAnsi="宋体" w:eastAsia="宋体" w:cs="宋体"/>
          <w:color w:val="auto"/>
          <w:sz w:val="24"/>
          <w:szCs w:val="24"/>
        </w:rPr>
        <w:t>管路布置应整齐有序、固定牢靠，管路不应产生扭曲、折叠等现象。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④</w:t>
      </w:r>
      <w:r>
        <w:rPr>
          <w:rFonts w:hint="eastAsia" w:ascii="宋体" w:hAnsi="宋体" w:eastAsia="宋体" w:cs="宋体"/>
          <w:color w:val="auto"/>
          <w:sz w:val="24"/>
          <w:szCs w:val="24"/>
        </w:rPr>
        <w:t>标牌应平整、光洁，固定应牢靠，不应有铆裂、偏斜等缺陷。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⑤</w:t>
      </w:r>
      <w:r>
        <w:rPr>
          <w:rFonts w:hint="eastAsia" w:ascii="宋体" w:hAnsi="宋体" w:eastAsia="宋体" w:cs="宋体"/>
          <w:color w:val="auto"/>
          <w:sz w:val="24"/>
          <w:szCs w:val="24"/>
        </w:rPr>
        <w:t>装配完毕后的设备，外表面的漆膜应光洁、平整、均匀，不允许有气泡和剥落等缺陷。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质量保证</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供方提供的设备应符合国家规范和技术行业的标准。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供方应提供工艺核心设备及配套辅助设备的产品质量合格证。</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技术资料和技术图纸</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供方应提供设备的使用说明书。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供方应提供设备的主要技术参数。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③</w:t>
      </w:r>
      <w:r>
        <w:rPr>
          <w:rFonts w:hint="eastAsia" w:ascii="宋体" w:hAnsi="宋体" w:eastAsia="宋体" w:cs="宋体"/>
          <w:color w:val="auto"/>
          <w:sz w:val="24"/>
          <w:szCs w:val="24"/>
        </w:rPr>
        <w:t>供方应提供设备的工艺流程图及相关图纸。</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④</w:t>
      </w:r>
      <w:r>
        <w:rPr>
          <w:rFonts w:hint="eastAsia" w:ascii="宋体" w:hAnsi="宋体" w:eastAsia="宋体" w:cs="宋体"/>
          <w:color w:val="auto"/>
          <w:sz w:val="24"/>
          <w:szCs w:val="24"/>
        </w:rPr>
        <w:t>供方应提供设备的电控图，推荐品牌：施耐德、西门子、正泰、浙江天正。</w:t>
      </w:r>
    </w:p>
    <w:tbl>
      <w:tblPr>
        <w:tblStyle w:val="23"/>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59"/>
        <w:gridCol w:w="4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697" w:type="pct"/>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设备型号</w:t>
            </w:r>
          </w:p>
        </w:tc>
        <w:tc>
          <w:tcPr>
            <w:tcW w:w="2302" w:type="pct"/>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697" w:type="pct"/>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Q=20T/d</w:t>
            </w:r>
          </w:p>
        </w:tc>
        <w:tc>
          <w:tcPr>
            <w:tcW w:w="2302" w:type="pct"/>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20t/d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697" w:type="pct"/>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Q=30T/d</w:t>
            </w:r>
          </w:p>
        </w:tc>
        <w:tc>
          <w:tcPr>
            <w:tcW w:w="2302" w:type="pct"/>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30t/d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697" w:type="pct"/>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Q=40T/d</w:t>
            </w:r>
          </w:p>
        </w:tc>
        <w:tc>
          <w:tcPr>
            <w:tcW w:w="2302" w:type="pct"/>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40t/d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697" w:type="pct"/>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Q=50T/d</w:t>
            </w:r>
          </w:p>
        </w:tc>
        <w:tc>
          <w:tcPr>
            <w:tcW w:w="2302" w:type="pct"/>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50t/d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697" w:type="pct"/>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Q=60T/d</w:t>
            </w:r>
          </w:p>
        </w:tc>
        <w:tc>
          <w:tcPr>
            <w:tcW w:w="2302" w:type="pct"/>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60t/d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2697" w:type="pct"/>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Q=80T/d</w:t>
            </w:r>
          </w:p>
        </w:tc>
        <w:tc>
          <w:tcPr>
            <w:tcW w:w="2302" w:type="pct"/>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80t/d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697" w:type="pct"/>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Q=100T/d</w:t>
            </w:r>
          </w:p>
        </w:tc>
        <w:tc>
          <w:tcPr>
            <w:tcW w:w="2302" w:type="pct"/>
            <w:vAlign w:val="center"/>
          </w:tcPr>
          <w:p>
            <w:pPr>
              <w:pStyle w:val="52"/>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100t/d</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工艺流程</w:t>
      </w:r>
    </w:p>
    <w:p>
      <w:pPr>
        <w:pStyle w:val="52"/>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5915025" cy="3821430"/>
            <wp:effectExtent l="0" t="0" r="9525" b="762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a:stretch>
                      <a:fillRect/>
                    </a:stretch>
                  </pic:blipFill>
                  <pic:spPr>
                    <a:xfrm>
                      <a:off x="0" y="0"/>
                      <a:ext cx="5915025" cy="38214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2.3农村生活污水处理罐（PE）</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设备主工艺为AAO。</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1.进水条件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（1）进水条件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污水在进入装置前必须经过预处理，包括沉砂池除砂，粗/细格栅去除漂浮物，隔油池去除油污，调节池调控水量等，装置进水流量与处理能力相匹配。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（2）进水水质指标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根据《浙江省农村生活污水处理设施污水排入标准》（DB33/T1196-2020）中对水质指标最高浓度限值作为本项目设计进水水质的要求，具体如下表：</w:t>
      </w:r>
    </w:p>
    <w:p>
      <w:pPr>
        <w:pStyle w:val="52"/>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6266180" cy="2347595"/>
            <wp:effectExtent l="0" t="0" r="1270" b="1460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0"/>
                    <a:stretch>
                      <a:fillRect/>
                    </a:stretch>
                  </pic:blipFill>
                  <pic:spPr>
                    <a:xfrm>
                      <a:off x="0" y="0"/>
                      <a:ext cx="6266180" cy="23475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2.出水标准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出水标准：浙江省《农村生活污水集中处理设施水污染物排放标准》（DB33/973-2021）标准一级排放。</w:t>
      </w:r>
    </w:p>
    <w:tbl>
      <w:tblPr>
        <w:tblStyle w:val="23"/>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3052"/>
        <w:gridCol w:w="44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96" w:type="pct"/>
            <w:tcBorders>
              <w:top w:val="single" w:color="auto" w:sz="8" w:space="0"/>
              <w:left w:val="single" w:color="auto" w:sz="4" w:space="0"/>
              <w:bottom w:val="single" w:color="auto" w:sz="8" w:space="0"/>
              <w:right w:val="single" w:color="auto" w:sz="4" w:space="0"/>
            </w:tcBorders>
            <w:vAlign w:val="center"/>
          </w:tcPr>
          <w:p>
            <w:pPr>
              <w:pStyle w:val="52"/>
              <w:keepNext w:val="0"/>
              <w:keepLines w:val="0"/>
              <w:suppressLineNumbers w:val="0"/>
              <w:bidi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控制类型</w:t>
            </w:r>
          </w:p>
        </w:tc>
        <w:tc>
          <w:tcPr>
            <w:tcW w:w="1597" w:type="pct"/>
            <w:tcBorders>
              <w:top w:val="single" w:color="auto" w:sz="8" w:space="0"/>
              <w:left w:val="single" w:color="auto" w:sz="4" w:space="0"/>
              <w:bottom w:val="single" w:color="auto" w:sz="8" w:space="0"/>
              <w:right w:val="single" w:color="auto" w:sz="4" w:space="0"/>
            </w:tcBorders>
            <w:vAlign w:val="center"/>
          </w:tcPr>
          <w:p>
            <w:pPr>
              <w:pStyle w:val="52"/>
              <w:keepNext w:val="0"/>
              <w:keepLines w:val="0"/>
              <w:suppressLineNumbers w:val="0"/>
              <w:bidi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污染物项目</w:t>
            </w:r>
          </w:p>
        </w:tc>
        <w:tc>
          <w:tcPr>
            <w:tcW w:w="2305" w:type="pct"/>
            <w:tcBorders>
              <w:top w:val="single" w:color="auto" w:sz="8" w:space="0"/>
              <w:left w:val="single" w:color="auto" w:sz="4" w:space="0"/>
              <w:bottom w:val="single" w:color="auto" w:sz="8" w:space="0"/>
              <w:right w:val="single" w:color="auto" w:sz="8" w:space="0"/>
            </w:tcBorders>
            <w:vAlign w:val="center"/>
          </w:tcPr>
          <w:p>
            <w:pPr>
              <w:pStyle w:val="52"/>
              <w:keepNext w:val="0"/>
              <w:keepLines w:val="0"/>
              <w:suppressLineNumbers w:val="0"/>
              <w:bidi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一级标准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096" w:type="pct"/>
            <w:vMerge w:val="restart"/>
            <w:tcBorders>
              <w:top w:val="nil"/>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基本控制项目</w:t>
            </w:r>
          </w:p>
        </w:tc>
        <w:tc>
          <w:tcPr>
            <w:tcW w:w="1597" w:type="pct"/>
            <w:tcBorders>
              <w:top w:val="single" w:color="auto" w:sz="8" w:space="0"/>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pH值（无量纲）</w:t>
            </w:r>
          </w:p>
        </w:tc>
        <w:tc>
          <w:tcPr>
            <w:tcW w:w="2305" w:type="pct"/>
            <w:tcBorders>
              <w:top w:val="single" w:color="auto" w:sz="8" w:space="0"/>
              <w:left w:val="single" w:color="auto" w:sz="4" w:space="0"/>
              <w:bottom w:val="single" w:color="auto" w:sz="4" w:space="0"/>
              <w:right w:val="single" w:color="auto" w:sz="8" w:space="0"/>
            </w:tcBorders>
            <w:vAlign w:val="center"/>
          </w:tcPr>
          <w:p>
            <w:pPr>
              <w:pStyle w:val="52"/>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096" w:type="pct"/>
            <w:vMerge w:val="continue"/>
            <w:tcBorders>
              <w:top w:val="nil"/>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p>
        </w:tc>
        <w:tc>
          <w:tcPr>
            <w:tcW w:w="1597"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化学需氧量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CODCr</w:t>
            </w:r>
            <w:r>
              <w:rPr>
                <w:rFonts w:hint="eastAsia" w:ascii="宋体" w:hAnsi="宋体" w:eastAsia="宋体" w:cs="宋体"/>
                <w:color w:val="auto"/>
                <w:sz w:val="24"/>
                <w:szCs w:val="24"/>
                <w:lang w:eastAsia="zh-CN"/>
              </w:rPr>
              <w:t>)</w:t>
            </w:r>
          </w:p>
        </w:tc>
        <w:tc>
          <w:tcPr>
            <w:tcW w:w="2305" w:type="pct"/>
            <w:tcBorders>
              <w:top w:val="single" w:color="auto" w:sz="4" w:space="0"/>
              <w:left w:val="single" w:color="auto" w:sz="4" w:space="0"/>
              <w:bottom w:val="single" w:color="auto" w:sz="4" w:space="0"/>
              <w:right w:val="single" w:color="auto" w:sz="8" w:space="0"/>
            </w:tcBorders>
            <w:vAlign w:val="center"/>
          </w:tcPr>
          <w:p>
            <w:pPr>
              <w:pStyle w:val="52"/>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096" w:type="pct"/>
            <w:vMerge w:val="continue"/>
            <w:tcBorders>
              <w:top w:val="nil"/>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p>
        </w:tc>
        <w:tc>
          <w:tcPr>
            <w:tcW w:w="1597"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悬浮物（SS）</w:t>
            </w:r>
          </w:p>
        </w:tc>
        <w:tc>
          <w:tcPr>
            <w:tcW w:w="2305" w:type="pct"/>
            <w:tcBorders>
              <w:top w:val="single" w:color="auto" w:sz="4" w:space="0"/>
              <w:left w:val="single" w:color="auto" w:sz="4" w:space="0"/>
              <w:bottom w:val="single" w:color="auto" w:sz="4" w:space="0"/>
              <w:right w:val="single" w:color="auto" w:sz="8" w:space="0"/>
            </w:tcBorders>
            <w:vAlign w:val="center"/>
          </w:tcPr>
          <w:p>
            <w:pPr>
              <w:pStyle w:val="52"/>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096" w:type="pct"/>
            <w:vMerge w:val="continue"/>
            <w:tcBorders>
              <w:top w:val="nil"/>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p>
        </w:tc>
        <w:tc>
          <w:tcPr>
            <w:tcW w:w="1597"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氨氮（以N计）</w:t>
            </w:r>
          </w:p>
        </w:tc>
        <w:tc>
          <w:tcPr>
            <w:tcW w:w="2305" w:type="pct"/>
            <w:tcBorders>
              <w:top w:val="single" w:color="auto" w:sz="4" w:space="0"/>
              <w:left w:val="single" w:color="auto" w:sz="4" w:space="0"/>
              <w:bottom w:val="single" w:color="auto" w:sz="4" w:space="0"/>
              <w:right w:val="single" w:color="auto" w:sz="8" w:space="0"/>
            </w:tcBorders>
            <w:vAlign w:val="center"/>
          </w:tcPr>
          <w:p>
            <w:pPr>
              <w:pStyle w:val="52"/>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096" w:type="pct"/>
            <w:vMerge w:val="continue"/>
            <w:tcBorders>
              <w:top w:val="nil"/>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p>
        </w:tc>
        <w:tc>
          <w:tcPr>
            <w:tcW w:w="1597"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总磷（以P计）c</w:t>
            </w:r>
          </w:p>
        </w:tc>
        <w:tc>
          <w:tcPr>
            <w:tcW w:w="2305" w:type="pct"/>
            <w:tcBorders>
              <w:top w:val="single" w:color="auto" w:sz="4" w:space="0"/>
              <w:left w:val="single" w:color="auto" w:sz="4" w:space="0"/>
              <w:bottom w:val="single" w:color="auto" w:sz="4" w:space="0"/>
              <w:right w:val="single" w:color="auto" w:sz="8" w:space="0"/>
            </w:tcBorders>
            <w:vAlign w:val="center"/>
          </w:tcPr>
          <w:p>
            <w:pPr>
              <w:pStyle w:val="52"/>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182" w:type="dxa"/>
            <w:vMerge w:val="restart"/>
            <w:tcBorders>
              <w:top w:val="single" w:color="auto" w:sz="4" w:space="0"/>
              <w:left w:val="single" w:color="auto" w:sz="4" w:space="0"/>
              <w:bottom w:val="nil"/>
              <w:right w:val="single" w:color="auto" w:sz="4" w:space="0"/>
            </w:tcBorders>
            <w:vAlign w:val="center"/>
          </w:tcPr>
          <w:p>
            <w:pPr>
              <w:pStyle w:val="52"/>
              <w:keepNext w:val="0"/>
              <w:keepLines w:val="0"/>
              <w:suppressLineNumbers w:val="0"/>
              <w:bidi w:val="0"/>
              <w:spacing w:before="0" w:beforeAutospacing="0" w:after="0" w:afterAutospacing="0" w:line="240" w:lineRule="auto"/>
              <w:ind w:left="0" w:right="0" w:firstLine="50" w:firstLineChars="21"/>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选择控制项目</w:t>
            </w:r>
          </w:p>
        </w:tc>
        <w:tc>
          <w:tcPr>
            <w:tcW w:w="3180"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line="240" w:lineRule="auto"/>
              <w:ind w:left="0" w:right="0" w:firstLine="50" w:firstLineChars="21"/>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粪大肠菌群(NPN/L）</w:t>
            </w:r>
          </w:p>
        </w:tc>
        <w:tc>
          <w:tcPr>
            <w:tcW w:w="4590"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line="240" w:lineRule="auto"/>
              <w:ind w:left="0" w:right="0" w:firstLine="50" w:firstLineChars="21"/>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182" w:type="dxa"/>
            <w:vMerge w:val="continue"/>
            <w:tcBorders>
              <w:top w:val="nil"/>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line="240" w:lineRule="auto"/>
              <w:ind w:left="0" w:right="0" w:firstLine="50" w:firstLineChars="21"/>
              <w:jc w:val="center"/>
              <w:rPr>
                <w:rFonts w:hint="eastAsia" w:ascii="宋体" w:hAnsi="宋体" w:eastAsia="宋体" w:cs="宋体"/>
                <w:color w:val="auto"/>
                <w:sz w:val="24"/>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line="240" w:lineRule="auto"/>
              <w:ind w:left="0" w:right="0" w:firstLine="50" w:firstLineChars="21"/>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动植物油</w:t>
            </w:r>
          </w:p>
        </w:tc>
        <w:tc>
          <w:tcPr>
            <w:tcW w:w="4590"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suppressLineNumbers w:val="0"/>
              <w:bidi w:val="0"/>
              <w:spacing w:before="0" w:beforeAutospacing="0" w:after="0" w:afterAutospacing="0" w:line="240" w:lineRule="auto"/>
              <w:ind w:left="0" w:right="0" w:firstLine="50" w:firstLineChars="21"/>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p>
        </w:tc>
      </w:tr>
    </w:tbl>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注：a.括号内为每年的11月1日至次年3月31日执行；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c.括号内为出水排入封闭水体、半封闭水体和省、市、县级等水质断面磷超标水体的限值。</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f.排入含油污水的处理设备。</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3.工艺要求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（1）一体化污水处理设备采用工艺以AO为基础优化的生物处理工艺，必须体现工艺技术的先进性、采用成熟的新技术、新材料、系统集成度高、安装操作简便，出水水质稳定、噪声低、臭味强烈程度低。</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（2）一体化设备自动化程度高，可通过只能网络控制系统/平台实现无人值守，自动运行，远程控制等功能，营运简单、维护方便，不需要专人值守。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（3）设备运行应满足设计进出水水质要求。</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4.一体化设备技术参数</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642"/>
        <w:gridCol w:w="6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pct"/>
            <w:vAlign w:val="center"/>
          </w:tcPr>
          <w:p>
            <w:pPr>
              <w:pStyle w:val="5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模块</w:t>
            </w:r>
          </w:p>
        </w:tc>
        <w:tc>
          <w:tcPr>
            <w:tcW w:w="859" w:type="pct"/>
            <w:vAlign w:val="center"/>
          </w:tcPr>
          <w:p>
            <w:pPr>
              <w:pStyle w:val="5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设备名称</w:t>
            </w:r>
          </w:p>
        </w:tc>
        <w:tc>
          <w:tcPr>
            <w:tcW w:w="3351" w:type="pct"/>
            <w:vAlign w:val="center"/>
          </w:tcPr>
          <w:p>
            <w:pPr>
              <w:pStyle w:val="5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pct"/>
            <w:vAlign w:val="center"/>
          </w:tcPr>
          <w:p>
            <w:pPr>
              <w:pStyle w:val="5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一体化池体</w:t>
            </w:r>
          </w:p>
        </w:tc>
        <w:tc>
          <w:tcPr>
            <w:tcW w:w="859" w:type="pct"/>
            <w:vAlign w:val="center"/>
          </w:tcPr>
          <w:p>
            <w:pPr>
              <w:pStyle w:val="5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污水处理设备</w:t>
            </w:r>
          </w:p>
        </w:tc>
        <w:tc>
          <w:tcPr>
            <w:tcW w:w="3351" w:type="pct"/>
            <w:vAlign w:val="center"/>
          </w:tcPr>
          <w:p>
            <w:pPr>
              <w:pStyle w:val="5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1、PE平均壁厚≥11mm，最小处厚度≥9mm，耐酸碱、防腐蚀，主体使用寿命20年以上。</w:t>
            </w:r>
          </w:p>
          <w:p>
            <w:pPr>
              <w:pStyle w:val="5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2、10t/d（含）及以下设备采用PE一体化立式处理设备，主体工艺为</w:t>
            </w:r>
            <w:r>
              <w:rPr>
                <w:rFonts w:hint="eastAsia" w:ascii="宋体" w:hAnsi="宋体" w:eastAsia="宋体" w:cs="宋体"/>
                <w:color w:val="auto"/>
                <w:sz w:val="24"/>
                <w:szCs w:val="24"/>
                <w:lang w:eastAsia="zh-CN"/>
              </w:rPr>
              <w:t>AAO</w:t>
            </w:r>
            <w:r>
              <w:rPr>
                <w:rFonts w:hint="eastAsia" w:ascii="宋体" w:hAnsi="宋体" w:eastAsia="宋体" w:cs="宋体"/>
                <w:color w:val="auto"/>
                <w:sz w:val="24"/>
                <w:szCs w:val="24"/>
              </w:rPr>
              <w:t>工艺，需配置除磷加药装置。</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5.一体化设备工艺要求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（1）AAO工艺要求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1）采用厌氧、缺氧和好氧模式；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 生物接触氧化池内采用悬浮式填料，填料填充率宜25%~50%；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3）好氧池的水力停留时间为8h~12h，气水比为8:1~20:1；</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4）脱氮处理工艺应联合缺氧池和好氧池。缺氧池的水力停留时间为2h ~4h，混合液回流比为100%~400%；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5）脱氮除磷处理工艺应联合厌氧池、缺氧池和好氧池。厌氧池的水力停留时间为1h~2h，污泥回流比为 40% ~100%。进行处理系统的剩余污泥排放；</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6）工艺应保证活性污泥与污水充分接触，终端缺氧池设置搅拌。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（2）化学除磷工艺要求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1)化学除磷的药剂选用聚合氯化铝（PAC）。按照铝污水总磷的摩尔比为1.5~3进行投加；</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2)化学除磷应采用快速混合方式、设置混合区，混合时间为10s~30s， 可采用机械、水力或空气混合搅拌；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3)化学除磷产生的污泥量采用与活性污泥一样的处理处置方式；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4)化学除磷的设备与管道应采取防腐措施。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（3）主体材质要求：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1）平均厚度≥11mm，最少厚度≥9mm。</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2）罐体表面杂质每500cm²不多于5个，杂质长度应≤2mm。</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3）强度：拉伸强度≥15MPa，弯曲强度≥12MPa，经15KN以上，0.5h的轴向抗承载压力试验后应无破裂、裂缝或明显变形现象；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罐体材料应具耐酸性、耐碱性，①耐酸性:经10%（23±2℃）的硫酸溶液浸泡96h后，材料外观应无异常，且质量变化百分比率应≤1%;②耐碱性：经10%（23±2℃）的氢氧化钠溶液浸泡96h后，材料外观应无异常，且质量变化百分比率应≤1%。</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五、其他要求：</w:t>
      </w:r>
    </w:p>
    <w:p>
      <w:pPr>
        <w:keepNext w:val="0"/>
        <w:keepLines w:val="0"/>
        <w:pageBreakBefore w:val="0"/>
        <w:widowControl/>
        <w:kinsoku/>
        <w:wordWrap/>
        <w:overflowPunct/>
        <w:topLinePunct w:val="0"/>
        <w:bidi w:val="0"/>
        <w:snapToGrid/>
        <w:spacing w:before="0" w:line="360" w:lineRule="auto"/>
        <w:ind w:left="0" w:leftChars="0" w:firstLine="560" w:firstLineChars="200"/>
        <w:jc w:val="both"/>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snapToGrid w:val="0"/>
          <w:color w:val="auto"/>
          <w:spacing w:val="20"/>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en-US" w:eastAsia="zh-CN" w:bidi="ar-SA"/>
        </w:rPr>
        <w:t>由中标供应商负责所有与项目相关的产品、设备、服务的采购、定制、开发、安装调试等</w:t>
      </w:r>
      <w:r>
        <w:rPr>
          <w:rFonts w:hint="eastAsia" w:ascii="宋体" w:hAnsi="宋体" w:eastAsia="宋体" w:cs="宋体"/>
          <w:b w:val="0"/>
          <w:bCs w:val="0"/>
          <w:snapToGrid w:val="0"/>
          <w:color w:val="auto"/>
          <w:kern w:val="0"/>
          <w:sz w:val="24"/>
          <w:szCs w:val="24"/>
          <w:highlight w:val="none"/>
          <w:lang w:val="en-US" w:eastAsia="zh-CN" w:bidi="ar-SA"/>
        </w:rPr>
        <w:t>工作</w:t>
      </w:r>
      <w:r>
        <w:rPr>
          <w:rFonts w:hint="eastAsia" w:ascii="宋体" w:hAnsi="宋体" w:eastAsia="宋体" w:cs="宋体"/>
          <w:snapToGrid w:val="0"/>
          <w:color w:val="auto"/>
          <w:kern w:val="0"/>
          <w:sz w:val="24"/>
          <w:szCs w:val="24"/>
          <w:highlight w:val="none"/>
          <w:lang w:val="en-US" w:eastAsia="zh-CN" w:bidi="ar-SA"/>
        </w:rPr>
        <w:t>，并承担全部工作责任，其所有权归采购人所有</w:t>
      </w:r>
      <w:r>
        <w:rPr>
          <w:rFonts w:hint="eastAsia" w:ascii="宋体" w:hAnsi="宋体" w:eastAsia="宋体" w:cs="宋体"/>
          <w:bCs/>
          <w:snapToGrid w:val="0"/>
          <w:color w:val="auto"/>
          <w:kern w:val="0"/>
          <w:sz w:val="24"/>
          <w:szCs w:val="24"/>
          <w:highlight w:val="none"/>
          <w:lang w:val="en-US" w:eastAsia="zh-CN" w:bidi="ar-SA"/>
        </w:rPr>
        <w:t>。</w:t>
      </w:r>
    </w:p>
    <w:p>
      <w:pPr>
        <w:keepNext w:val="0"/>
        <w:keepLines w:val="0"/>
        <w:pageBreakBefore w:val="0"/>
        <w:kinsoku/>
        <w:wordWrap/>
        <w:overflowPunct/>
        <w:topLinePunct w:val="0"/>
        <w:bidi w:val="0"/>
        <w:snapToGrid/>
        <w:spacing w:line="360" w:lineRule="auto"/>
        <w:ind w:left="0" w:leftChars="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eastAsia="zh-CN"/>
        </w:rPr>
        <w:t>采购文件</w:t>
      </w:r>
      <w:r>
        <w:rPr>
          <w:rFonts w:hint="eastAsia" w:ascii="宋体" w:hAnsi="宋体" w:eastAsia="宋体" w:cs="宋体"/>
          <w:bCs/>
          <w:color w:val="auto"/>
          <w:kern w:val="0"/>
          <w:sz w:val="24"/>
          <w:szCs w:val="24"/>
          <w:highlight w:val="none"/>
        </w:rPr>
        <w:t>技术要求中所列示的参考</w:t>
      </w:r>
      <w:r>
        <w:rPr>
          <w:rFonts w:hint="eastAsia" w:ascii="宋体" w:hAnsi="宋体" w:eastAsia="宋体" w:cs="宋体"/>
          <w:bCs/>
          <w:color w:val="auto"/>
          <w:kern w:val="0"/>
          <w:sz w:val="24"/>
          <w:szCs w:val="24"/>
          <w:highlight w:val="none"/>
          <w:lang w:val="en-US" w:eastAsia="zh-CN"/>
        </w:rPr>
        <w:t>或</w:t>
      </w:r>
      <w:r>
        <w:rPr>
          <w:rFonts w:hint="eastAsia" w:ascii="宋体" w:hAnsi="宋体" w:eastAsia="宋体" w:cs="宋体"/>
          <w:bCs/>
          <w:color w:val="auto"/>
          <w:kern w:val="0"/>
          <w:sz w:val="24"/>
          <w:szCs w:val="24"/>
          <w:highlight w:val="none"/>
        </w:rPr>
        <w:t>推荐品牌，仅是对采购需求产品所要求达到的质量、性能以及应有的技术标准做进一步的说明之用，欢迎其他符合采购单位产品质量要求及项目技术需求且性能、质量与所列示推荐品牌相当或更优的产品参加。</w:t>
      </w:r>
    </w:p>
    <w:p>
      <w:pPr>
        <w:keepNext w:val="0"/>
        <w:keepLines w:val="0"/>
        <w:pageBreakBefore w:val="0"/>
        <w:kinsoku/>
        <w:wordWrap/>
        <w:overflowPunct/>
        <w:topLinePunct w:val="0"/>
        <w:bidi w:val="0"/>
        <w:snapToGrid/>
        <w:spacing w:line="360" w:lineRule="auto"/>
        <w:ind w:left="0" w:leftChars="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r>
        <w:rPr>
          <w:rFonts w:hint="eastAsia" w:ascii="宋体" w:hAnsi="宋体" w:eastAsia="宋体" w:cs="宋体"/>
          <w:bCs/>
          <w:color w:val="auto"/>
          <w:kern w:val="0"/>
          <w:sz w:val="24"/>
          <w:szCs w:val="24"/>
          <w:highlight w:val="none"/>
          <w:lang w:eastAsia="zh-CN"/>
        </w:rPr>
        <w:t>采购人</w:t>
      </w:r>
      <w:r>
        <w:rPr>
          <w:rFonts w:hint="eastAsia" w:ascii="宋体" w:hAnsi="宋体" w:eastAsia="宋体" w:cs="宋体"/>
          <w:bCs/>
          <w:color w:val="auto"/>
          <w:kern w:val="0"/>
          <w:sz w:val="24"/>
          <w:szCs w:val="24"/>
          <w:highlight w:val="none"/>
        </w:rPr>
        <w:t>在</w:t>
      </w:r>
      <w:r>
        <w:rPr>
          <w:rFonts w:hint="eastAsia" w:ascii="宋体" w:hAnsi="宋体" w:eastAsia="宋体" w:cs="宋体"/>
          <w:bCs/>
          <w:color w:val="auto"/>
          <w:kern w:val="0"/>
          <w:sz w:val="24"/>
          <w:szCs w:val="24"/>
          <w:highlight w:val="none"/>
          <w:lang w:eastAsia="zh-CN"/>
        </w:rPr>
        <w:t>采购文件</w:t>
      </w:r>
      <w:r>
        <w:rPr>
          <w:rFonts w:hint="eastAsia" w:ascii="宋体" w:hAnsi="宋体" w:eastAsia="宋体" w:cs="宋体"/>
          <w:bCs/>
          <w:color w:val="auto"/>
          <w:kern w:val="0"/>
          <w:sz w:val="24"/>
          <w:szCs w:val="24"/>
          <w:highlight w:val="none"/>
        </w:rPr>
        <w:t>所列采购清单中，只列主要产品、设备的名称、品牌、数量、技术参数等要求，其他辅材、配套、配件、软件等未详细列入，均应包括在相应产品、设备器材中，投标人在报价时自行考虑。</w:t>
      </w:r>
    </w:p>
    <w:p>
      <w:pPr>
        <w:keepNext w:val="0"/>
        <w:keepLines w:val="0"/>
        <w:pageBreakBefore w:val="0"/>
        <w:kinsoku/>
        <w:wordWrap/>
        <w:overflowPunct/>
        <w:topLinePunct w:val="0"/>
        <w:bidi w:val="0"/>
        <w:snapToGrid/>
        <w:spacing w:line="360" w:lineRule="auto"/>
        <w:ind w:left="0" w:leftChars="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zh-CN"/>
        </w:rPr>
        <w:t>如采购文件中遗漏了必须具备的设备、</w:t>
      </w:r>
      <w:r>
        <w:rPr>
          <w:rFonts w:hint="eastAsia" w:ascii="宋体" w:hAnsi="宋体" w:eastAsia="宋体" w:cs="宋体"/>
          <w:color w:val="auto"/>
          <w:sz w:val="24"/>
          <w:szCs w:val="24"/>
          <w:highlight w:val="none"/>
        </w:rPr>
        <w:t>附件、辅材、</w:t>
      </w:r>
      <w:r>
        <w:rPr>
          <w:rFonts w:hint="eastAsia" w:ascii="宋体" w:hAnsi="宋体" w:eastAsia="宋体" w:cs="宋体"/>
          <w:color w:val="auto"/>
          <w:sz w:val="24"/>
          <w:szCs w:val="24"/>
          <w:highlight w:val="none"/>
          <w:lang w:val="zh-CN"/>
        </w:rPr>
        <w:t>配件、</w:t>
      </w:r>
      <w:r>
        <w:rPr>
          <w:rFonts w:hint="eastAsia" w:ascii="宋体" w:hAnsi="宋体" w:eastAsia="宋体" w:cs="宋体"/>
          <w:color w:val="auto"/>
          <w:sz w:val="24"/>
          <w:szCs w:val="24"/>
          <w:highlight w:val="none"/>
          <w:lang w:val="en-US" w:eastAsia="zh-CN"/>
        </w:rPr>
        <w:t>模块、</w:t>
      </w:r>
      <w:r>
        <w:rPr>
          <w:rFonts w:hint="eastAsia" w:ascii="宋体" w:hAnsi="宋体" w:eastAsia="宋体" w:cs="宋体"/>
          <w:color w:val="auto"/>
          <w:sz w:val="24"/>
          <w:szCs w:val="24"/>
          <w:highlight w:val="none"/>
        </w:rPr>
        <w:t>软件</w:t>
      </w:r>
      <w:r>
        <w:rPr>
          <w:rFonts w:hint="eastAsia" w:ascii="宋体" w:hAnsi="宋体" w:eastAsia="宋体" w:cs="宋体"/>
          <w:color w:val="auto"/>
          <w:sz w:val="24"/>
          <w:szCs w:val="24"/>
          <w:highlight w:val="none"/>
          <w:lang w:val="zh-CN"/>
        </w:rPr>
        <w:t>或服务，请投标人在投标文件中指出，并提出解决方案供采购人参考；</w:t>
      </w:r>
      <w:r>
        <w:rPr>
          <w:rFonts w:hint="eastAsia" w:ascii="宋体" w:hAnsi="宋体" w:eastAsia="宋体" w:cs="宋体"/>
          <w:color w:val="auto"/>
          <w:kern w:val="0"/>
          <w:sz w:val="24"/>
          <w:szCs w:val="24"/>
          <w:highlight w:val="none"/>
        </w:rPr>
        <w:t>投标人</w:t>
      </w:r>
      <w:r>
        <w:rPr>
          <w:rFonts w:hint="eastAsia" w:ascii="宋体" w:hAnsi="宋体" w:eastAsia="宋体" w:cs="宋体"/>
          <w:color w:val="auto"/>
          <w:sz w:val="24"/>
          <w:szCs w:val="24"/>
          <w:highlight w:val="none"/>
          <w:lang w:val="zh-CN"/>
        </w:rPr>
        <w:t>有义务保证采购人系统的完整性，如项目实施过程中因缺少设备、</w:t>
      </w:r>
      <w:r>
        <w:rPr>
          <w:rFonts w:hint="eastAsia" w:ascii="宋体" w:hAnsi="宋体" w:eastAsia="宋体" w:cs="宋体"/>
          <w:color w:val="auto"/>
          <w:sz w:val="24"/>
          <w:szCs w:val="24"/>
          <w:highlight w:val="none"/>
        </w:rPr>
        <w:t>附件、辅材、</w:t>
      </w:r>
      <w:r>
        <w:rPr>
          <w:rFonts w:hint="eastAsia" w:ascii="宋体" w:hAnsi="宋体" w:eastAsia="宋体" w:cs="宋体"/>
          <w:color w:val="auto"/>
          <w:sz w:val="24"/>
          <w:szCs w:val="24"/>
          <w:highlight w:val="none"/>
          <w:lang w:val="zh-CN"/>
        </w:rPr>
        <w:t>配件、</w:t>
      </w:r>
      <w:r>
        <w:rPr>
          <w:rFonts w:hint="eastAsia" w:ascii="宋体" w:hAnsi="宋体" w:eastAsia="宋体" w:cs="宋体"/>
          <w:color w:val="auto"/>
          <w:sz w:val="24"/>
          <w:szCs w:val="24"/>
          <w:highlight w:val="none"/>
          <w:lang w:val="en-US" w:eastAsia="zh-CN"/>
        </w:rPr>
        <w:t>模块、</w:t>
      </w:r>
      <w:r>
        <w:rPr>
          <w:rFonts w:hint="eastAsia" w:ascii="宋体" w:hAnsi="宋体" w:eastAsia="宋体" w:cs="宋体"/>
          <w:color w:val="auto"/>
          <w:sz w:val="24"/>
          <w:szCs w:val="24"/>
          <w:highlight w:val="none"/>
        </w:rPr>
        <w:t>软件</w:t>
      </w:r>
      <w:r>
        <w:rPr>
          <w:rFonts w:hint="eastAsia" w:ascii="宋体" w:hAnsi="宋体" w:eastAsia="宋体" w:cs="宋体"/>
          <w:color w:val="auto"/>
          <w:sz w:val="24"/>
          <w:szCs w:val="24"/>
          <w:highlight w:val="none"/>
          <w:lang w:val="zh-CN"/>
        </w:rPr>
        <w:t>或服务导致采购人系统无法正常运行，</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sz w:val="24"/>
          <w:szCs w:val="24"/>
          <w:highlight w:val="none"/>
          <w:lang w:val="zh-CN"/>
        </w:rPr>
        <w:t>须免费提供，报价时自行考虑。</w:t>
      </w:r>
    </w:p>
    <w:p>
      <w:pPr>
        <w:keepNext w:val="0"/>
        <w:keepLines w:val="0"/>
        <w:pageBreakBefore w:val="0"/>
        <w:kinsoku/>
        <w:wordWrap/>
        <w:overflowPunct/>
        <w:topLinePunct w:val="0"/>
        <w:bidi w:val="0"/>
        <w:snapToGrid/>
        <w:spacing w:line="360" w:lineRule="auto"/>
        <w:ind w:left="0" w:leftChars="0" w:firstLine="56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spacing w:val="20"/>
          <w:sz w:val="24"/>
          <w:szCs w:val="24"/>
          <w:highlight w:val="none"/>
        </w:rPr>
        <w:t>4.</w:t>
      </w:r>
      <w:r>
        <w:rPr>
          <w:rFonts w:hint="eastAsia" w:ascii="宋体" w:hAnsi="宋体" w:eastAsia="宋体" w:cs="宋体"/>
          <w:bCs/>
          <w:color w:val="auto"/>
          <w:kern w:val="0"/>
          <w:sz w:val="24"/>
          <w:szCs w:val="24"/>
          <w:highlight w:val="none"/>
        </w:rPr>
        <w:t>列入国家生产许可</w:t>
      </w:r>
      <w:r>
        <w:rPr>
          <w:rFonts w:hint="eastAsia" w:ascii="宋体" w:hAnsi="宋体" w:eastAsia="宋体" w:cs="宋体"/>
          <w:bCs/>
          <w:color w:val="auto"/>
          <w:kern w:val="0"/>
          <w:sz w:val="24"/>
          <w:szCs w:val="24"/>
          <w:highlight w:val="none"/>
          <w:lang w:val="en-US" w:eastAsia="zh-CN"/>
        </w:rPr>
        <w:t>或有国家强制性要求的或</w:t>
      </w:r>
      <w:r>
        <w:rPr>
          <w:rFonts w:hint="eastAsia" w:ascii="宋体" w:hAnsi="宋体" w:eastAsia="宋体" w:cs="宋体"/>
          <w:bCs/>
          <w:color w:val="auto"/>
          <w:kern w:val="0"/>
          <w:sz w:val="24"/>
          <w:szCs w:val="24"/>
          <w:highlight w:val="none"/>
        </w:rPr>
        <w:t>3C目录的产品，在项目实施前必须取得并提供相应说明资料备查。</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352" w:firstLineChars="147"/>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 xml:space="preserve"> </w:t>
      </w:r>
      <w:r>
        <w:rPr>
          <w:rFonts w:hint="eastAsia" w:ascii="宋体" w:hAnsi="宋体" w:eastAsia="宋体" w:cs="宋体"/>
          <w:color w:val="auto"/>
          <w:sz w:val="24"/>
          <w:szCs w:val="24"/>
          <w:highlight w:val="none"/>
        </w:rPr>
        <w:t>▲</w:t>
      </w:r>
      <w:r>
        <w:rPr>
          <w:rFonts w:hint="eastAsia" w:ascii="宋体" w:hAnsi="宋体" w:eastAsia="宋体" w:cs="宋体"/>
          <w:bCs/>
          <w:color w:val="auto"/>
          <w:kern w:val="0"/>
          <w:sz w:val="24"/>
          <w:szCs w:val="24"/>
          <w:highlight w:val="none"/>
        </w:rPr>
        <w:t>5.</w:t>
      </w:r>
      <w:r>
        <w:rPr>
          <w:rFonts w:hint="eastAsia" w:ascii="宋体" w:hAnsi="宋体" w:eastAsia="宋体" w:cs="宋体"/>
          <w:bCs/>
          <w:color w:val="auto"/>
          <w:sz w:val="24"/>
          <w:szCs w:val="24"/>
          <w:highlight w:val="none"/>
        </w:rPr>
        <w:t>项目方案及安装调试方案具体在实施前须报经采购人同意后方可执行，否则后果自负。</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6.</w:t>
      </w:r>
      <w:r>
        <w:rPr>
          <w:rFonts w:hint="eastAsia" w:ascii="宋体" w:hAnsi="宋体" w:eastAsia="宋体" w:cs="宋体"/>
          <w:bCs/>
          <w:color w:val="auto"/>
          <w:kern w:val="0"/>
          <w:sz w:val="24"/>
          <w:szCs w:val="24"/>
          <w:highlight w:val="none"/>
          <w:lang w:val="en-US" w:eastAsia="zh-CN"/>
        </w:rPr>
        <w:t>中标人</w:t>
      </w:r>
      <w:r>
        <w:rPr>
          <w:rFonts w:hint="eastAsia" w:ascii="宋体" w:hAnsi="宋体" w:eastAsia="宋体" w:cs="宋体"/>
          <w:bCs/>
          <w:color w:val="auto"/>
          <w:kern w:val="0"/>
          <w:sz w:val="24"/>
          <w:szCs w:val="24"/>
          <w:highlight w:val="none"/>
        </w:rPr>
        <w:t>应保护</w:t>
      </w:r>
      <w:r>
        <w:rPr>
          <w:rFonts w:hint="eastAsia" w:ascii="宋体" w:hAnsi="宋体" w:eastAsia="宋体" w:cs="宋体"/>
          <w:bCs/>
          <w:color w:val="auto"/>
          <w:kern w:val="0"/>
          <w:sz w:val="24"/>
          <w:szCs w:val="24"/>
          <w:highlight w:val="none"/>
          <w:lang w:val="en-US" w:eastAsia="zh-CN"/>
        </w:rPr>
        <w:t>采购</w:t>
      </w:r>
      <w:r>
        <w:rPr>
          <w:rFonts w:hint="eastAsia" w:ascii="宋体" w:hAnsi="宋体" w:eastAsia="宋体" w:cs="宋体"/>
          <w:bCs/>
          <w:color w:val="auto"/>
          <w:kern w:val="0"/>
          <w:sz w:val="24"/>
          <w:szCs w:val="24"/>
          <w:highlight w:val="none"/>
        </w:rPr>
        <w:t>方在使用该产品、服务或其任何一部分时不受第三方提出侵犯专利权、商标权或工业设计权等知识产权的指控。如果任何第三方提出侵权指控，</w:t>
      </w:r>
      <w:r>
        <w:rPr>
          <w:rFonts w:hint="eastAsia" w:ascii="宋体" w:hAnsi="宋体" w:eastAsia="宋体" w:cs="宋体"/>
          <w:bCs/>
          <w:color w:val="auto"/>
          <w:kern w:val="0"/>
          <w:sz w:val="24"/>
          <w:szCs w:val="24"/>
          <w:highlight w:val="none"/>
          <w:lang w:val="en-US" w:eastAsia="zh-CN"/>
        </w:rPr>
        <w:t>中标人</w:t>
      </w:r>
      <w:r>
        <w:rPr>
          <w:rFonts w:hint="eastAsia" w:ascii="宋体" w:hAnsi="宋体" w:eastAsia="宋体" w:cs="宋体"/>
          <w:bCs/>
          <w:color w:val="auto"/>
          <w:kern w:val="0"/>
          <w:sz w:val="24"/>
          <w:szCs w:val="24"/>
          <w:highlight w:val="none"/>
        </w:rPr>
        <w:t>须与第三方交涉并承担可能发生的一切法律责任和费用。</w:t>
      </w:r>
      <w:r>
        <w:rPr>
          <w:rFonts w:hint="eastAsia" w:ascii="宋体" w:hAnsi="宋体" w:eastAsia="宋体" w:cs="宋体"/>
          <w:color w:val="auto"/>
          <w:sz w:val="24"/>
          <w:szCs w:val="24"/>
          <w:highlight w:val="none"/>
        </w:rPr>
        <w:t>本项目相关著作权、版权、专利权和使用权归</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所有（署名权除外）。</w:t>
      </w:r>
    </w:p>
    <w:p>
      <w:pPr>
        <w:keepNext w:val="0"/>
        <w:keepLines w:val="0"/>
        <w:pageBreakBefore w:val="0"/>
        <w:widowControl w:val="0"/>
        <w:kinsoku/>
        <w:wordWrap/>
        <w:overflowPunct/>
        <w:topLinePunct w:val="0"/>
        <w:bidi w:val="0"/>
        <w:snapToGrid/>
        <w:spacing w:line="360" w:lineRule="auto"/>
        <w:ind w:left="0" w:leftChars="0"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7.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w:t>
      </w:r>
      <w:r>
        <w:rPr>
          <w:rFonts w:hint="eastAsia" w:ascii="宋体" w:hAnsi="宋体" w:eastAsia="宋体" w:cs="宋体"/>
          <w:bCs/>
          <w:color w:val="auto"/>
          <w:sz w:val="24"/>
          <w:szCs w:val="24"/>
          <w:highlight w:val="none"/>
        </w:rPr>
        <w:t>配件必须是原包装到达</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w:t>
      </w:r>
      <w:r>
        <w:rPr>
          <w:rFonts w:hint="eastAsia" w:ascii="宋体" w:hAnsi="宋体" w:eastAsia="宋体" w:cs="宋体"/>
          <w:bCs/>
          <w:color w:val="auto"/>
          <w:kern w:val="0"/>
          <w:sz w:val="24"/>
          <w:szCs w:val="24"/>
          <w:highlight w:val="none"/>
        </w:rPr>
        <w:t>未经</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kern w:val="0"/>
          <w:sz w:val="24"/>
          <w:szCs w:val="24"/>
          <w:highlight w:val="none"/>
        </w:rPr>
        <w:t>允许不得私自预先安装。</w:t>
      </w:r>
    </w:p>
    <w:p>
      <w:pPr>
        <w:keepNext w:val="0"/>
        <w:keepLines w:val="0"/>
        <w:pageBreakBefore w:val="0"/>
        <w:widowControl w:val="0"/>
        <w:kinsoku/>
        <w:wordWrap/>
        <w:overflowPunct/>
        <w:topLinePunct w:val="0"/>
        <w:bidi w:val="0"/>
        <w:snapToGrid/>
        <w:spacing w:line="360" w:lineRule="auto"/>
        <w:ind w:left="0" w:leftChars="0" w:firstLine="328" w:firstLineChars="137"/>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标人所提供的货物必须是符合需求的合法产品，且符合质量检测标准，杜绝三无、假冒和走私产品。投标人使用设备必须具有合格证书，或符合规定做的试验资料报告。严禁使用质量不合格或不符合设计要求的设备，否则</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必须承担由此产生的一切责任。</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8.包装及运输要求：</w:t>
      </w:r>
      <w:r>
        <w:rPr>
          <w:rFonts w:hint="eastAsia" w:asciiTheme="minorEastAsia" w:hAnsiTheme="minorEastAsia" w:eastAsiaTheme="minorEastAsia" w:cstheme="minorEastAsia"/>
          <w:color w:val="auto"/>
          <w:sz w:val="24"/>
          <w:szCs w:val="24"/>
          <w:lang w:val="en-US" w:eastAsia="zh-CN"/>
        </w:rPr>
        <w:t>(1)投标人提供的产品必须具有可靠的安全保护、保险措施，以防止误操作或意外事故致使产品受损。产品包装应符合国家或专业(部)标准规定。供货时须提供配套的附件，工具和使用说明书、合格证、维修维护指南或服务手册等技术资料文件。</w:t>
      </w:r>
    </w:p>
    <w:p>
      <w:pPr>
        <w:keepNext w:val="0"/>
        <w:keepLines w:val="0"/>
        <w:pageBreakBefore w:val="0"/>
        <w:widowControl w:val="0"/>
        <w:kinsoku/>
        <w:wordWrap/>
        <w:overflowPunct/>
        <w:topLinePunct w:val="0"/>
        <w:bidi w:val="0"/>
        <w:snapToGrid/>
        <w:spacing w:line="360" w:lineRule="auto"/>
        <w:ind w:left="0" w:leftChars="0" w:firstLine="480" w:firstLineChars="2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szCs w:val="24"/>
          <w:lang w:val="en-US" w:eastAsia="zh-CN"/>
        </w:rPr>
        <w:t>(2)由投标人将所供产品直接免费送至采购方指定的位置。如在运输、搬运、安装过程中造成产品损坏，采购人有权不签收并由中标人承担相应经济损失。</w:t>
      </w:r>
    </w:p>
    <w:p>
      <w:pPr>
        <w:keepNext w:val="0"/>
        <w:keepLines w:val="0"/>
        <w:pageBreakBefore w:val="0"/>
        <w:widowControl w:val="0"/>
        <w:kinsoku/>
        <w:wordWrap/>
        <w:overflowPunct/>
        <w:topLinePunct w:val="0"/>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kern w:val="0"/>
          <w:sz w:val="24"/>
          <w:szCs w:val="24"/>
          <w:highlight w:val="none"/>
        </w:rPr>
        <w:t>.</w:t>
      </w:r>
      <w:r>
        <w:rPr>
          <w:rFonts w:hint="eastAsia" w:ascii="宋体" w:hAnsi="宋体" w:eastAsia="宋体" w:cs="宋体"/>
          <w:color w:val="auto"/>
          <w:sz w:val="24"/>
          <w:szCs w:val="24"/>
          <w:highlight w:val="none"/>
        </w:rPr>
        <w:t>技术培训：为采购人培训操作技术人员，使其能够熟练掌握系统的安装、操作、维护、维修，并能独立上岗。人数及培训地址按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w:t>
      </w:r>
    </w:p>
    <w:p>
      <w:pPr>
        <w:keepNext w:val="0"/>
        <w:keepLines w:val="0"/>
        <w:pageBreakBefore w:val="0"/>
        <w:widowControl w:val="0"/>
        <w:kinsoku/>
        <w:wordWrap/>
        <w:overflowPunct/>
        <w:topLinePunct w:val="0"/>
        <w:bidi w:val="0"/>
        <w:snapToGrid/>
        <w:spacing w:before="0" w:line="360" w:lineRule="auto"/>
        <w:ind w:left="0" w:leftChars="0" w:firstLine="4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10.保密：项目实施过程和结果将严格保密，在未经</w:t>
      </w:r>
      <w:r>
        <w:rPr>
          <w:rFonts w:hint="eastAsia" w:ascii="宋体" w:hAnsi="宋体" w:eastAsia="宋体" w:cs="宋体"/>
          <w:color w:val="auto"/>
          <w:kern w:val="0"/>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授权的情况下不会泄露给任何单位和个人，不会利用此信息进行任何侵害客户权益的行为。</w:t>
      </w:r>
    </w:p>
    <w:p>
      <w:pPr>
        <w:keepNext w:val="0"/>
        <w:keepLines w:val="0"/>
        <w:pageBreakBefore w:val="0"/>
        <w:widowControl w:val="0"/>
        <w:kinsoku/>
        <w:wordWrap/>
        <w:overflowPunct/>
        <w:topLinePunct w:val="0"/>
        <w:bidi w:val="0"/>
        <w:snapToGrid/>
        <w:spacing w:line="360" w:lineRule="auto"/>
        <w:ind w:left="0" w:leftChars="0" w:firstLine="482" w:firstLineChars="200"/>
        <w:jc w:val="left"/>
        <w:rPr>
          <w:rFonts w:hint="eastAsia" w:ascii="宋体" w:hAnsi="宋体" w:eastAsia="宋体" w:cs="宋体"/>
          <w:b/>
          <w:bCs/>
          <w:color w:val="auto"/>
          <w:spacing w:val="20"/>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20"/>
          <w:sz w:val="24"/>
          <w:szCs w:val="24"/>
          <w:highlight w:val="none"/>
        </w:rPr>
        <w:t>保修期（免费维修期）</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560" w:firstLineChars="200"/>
        <w:rPr>
          <w:rFonts w:hint="eastAsia" w:ascii="宋体" w:hAnsi="宋体" w:eastAsia="宋体" w:cs="宋体"/>
          <w:bCs/>
          <w:color w:val="auto"/>
          <w:kern w:val="0"/>
          <w:sz w:val="24"/>
          <w:szCs w:val="24"/>
          <w:highlight w:val="none"/>
        </w:rPr>
      </w:pPr>
      <w:r>
        <w:rPr>
          <w:rFonts w:hint="eastAsia" w:ascii="宋体" w:hAnsi="宋体" w:eastAsia="宋体" w:cs="宋体"/>
          <w:color w:val="auto"/>
          <w:spacing w:val="20"/>
          <w:sz w:val="24"/>
          <w:szCs w:val="24"/>
          <w:highlight w:val="none"/>
        </w:rPr>
        <w:t>①保</w:t>
      </w:r>
      <w:r>
        <w:rPr>
          <w:rFonts w:hint="eastAsia" w:ascii="宋体" w:hAnsi="宋体" w:eastAsia="宋体" w:cs="宋体"/>
          <w:bCs/>
          <w:color w:val="auto"/>
          <w:kern w:val="0"/>
          <w:sz w:val="24"/>
          <w:szCs w:val="24"/>
          <w:highlight w:val="none"/>
        </w:rPr>
        <w:t>修期从整个项目产品安装调试完毕，并经验收合格之日开始计算。除非采购人另有要求，保修期内的服务均为免费上门服务。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②质量保证：整体项目免费维护维修</w:t>
      </w:r>
      <w:r>
        <w:rPr>
          <w:rFonts w:hint="eastAsia" w:ascii="宋体" w:hAnsi="宋体" w:eastAsia="宋体" w:cs="宋体"/>
          <w:b/>
          <w:color w:val="auto"/>
          <w:kern w:val="0"/>
          <w:sz w:val="24"/>
          <w:szCs w:val="24"/>
          <w:highlight w:val="none"/>
        </w:rPr>
        <w:t>至少</w:t>
      </w:r>
      <w:r>
        <w:rPr>
          <w:rFonts w:hint="eastAsia" w:ascii="宋体" w:hAnsi="宋体" w:eastAsia="宋体" w:cs="宋体"/>
          <w:b/>
          <w:color w:val="auto"/>
          <w:kern w:val="0"/>
          <w:sz w:val="24"/>
          <w:szCs w:val="24"/>
          <w:highlight w:val="none"/>
          <w:lang w:val="en-US" w:eastAsia="zh-CN"/>
        </w:rPr>
        <w:t>1</w:t>
      </w:r>
      <w:r>
        <w:rPr>
          <w:rFonts w:hint="eastAsia" w:ascii="宋体" w:hAnsi="宋体" w:eastAsia="宋体" w:cs="宋体"/>
          <w:b/>
          <w:color w:val="auto"/>
          <w:kern w:val="0"/>
          <w:sz w:val="24"/>
          <w:szCs w:val="24"/>
          <w:highlight w:val="none"/>
        </w:rPr>
        <w:t>年</w:t>
      </w:r>
      <w:r>
        <w:rPr>
          <w:rFonts w:hint="eastAsia" w:ascii="宋体" w:hAnsi="宋体" w:eastAsia="宋体" w:cs="宋体"/>
          <w:bCs/>
          <w:color w:val="auto"/>
          <w:kern w:val="0"/>
          <w:sz w:val="24"/>
          <w:szCs w:val="24"/>
          <w:highlight w:val="none"/>
        </w:rPr>
        <w:t>，具体以投标人投标承诺质保期为准。</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③在保修期内，采购人有故障申报，投标人（或原厂商，在投标文件中注明由谁提供该服务）须在至少</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小时内响应提供解决方案，若不能以电话方式解决故障，须在</w:t>
      </w: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小时内到达现场</w:t>
      </w:r>
      <w:r>
        <w:rPr>
          <w:rFonts w:hint="eastAsia" w:ascii="宋体" w:hAnsi="宋体" w:eastAsia="宋体" w:cs="宋体"/>
          <w:bCs/>
          <w:color w:val="auto"/>
          <w:kern w:val="0"/>
          <w:sz w:val="24"/>
          <w:szCs w:val="24"/>
          <w:highlight w:val="none"/>
          <w:lang w:val="en-US" w:eastAsia="zh-CN"/>
        </w:rPr>
        <w:t>解决</w:t>
      </w:r>
      <w:r>
        <w:rPr>
          <w:rFonts w:hint="eastAsia" w:ascii="宋体" w:hAnsi="宋体" w:eastAsia="宋体" w:cs="宋体"/>
          <w:bCs/>
          <w:color w:val="auto"/>
          <w:kern w:val="0"/>
          <w:sz w:val="24"/>
          <w:szCs w:val="24"/>
          <w:highlight w:val="none"/>
        </w:rPr>
        <w:t>。若不能现场解决，须提供同等性能、同等配置的设备替换，以确保采购人不中断使用运行。</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④保修期内，与维修相关的所有费用、安全等由投标人自负。</w:t>
      </w:r>
    </w:p>
    <w:p>
      <w:pPr>
        <w:keepNext w:val="0"/>
        <w:keepLines w:val="0"/>
        <w:pageBreakBefore w:val="0"/>
        <w:widowControl w:val="0"/>
        <w:tabs>
          <w:tab w:val="left" w:pos="0"/>
        </w:tabs>
        <w:kinsoku/>
        <w:wordWrap/>
        <w:overflowPunct/>
        <w:topLinePunct w:val="0"/>
        <w:bidi w:val="0"/>
        <w:snapToGrid/>
        <w:spacing w:line="360" w:lineRule="auto"/>
        <w:ind w:left="0" w:leftChars="0" w:firstLine="551" w:firstLineChars="196"/>
        <w:jc w:val="left"/>
        <w:rPr>
          <w:rFonts w:hint="eastAsia" w:ascii="宋体" w:hAnsi="宋体" w:eastAsia="宋体" w:cs="宋体"/>
          <w:b/>
          <w:bCs/>
          <w:color w:val="auto"/>
          <w:spacing w:val="20"/>
          <w:sz w:val="24"/>
          <w:szCs w:val="24"/>
          <w:highlight w:val="none"/>
        </w:rPr>
      </w:pPr>
      <w:r>
        <w:rPr>
          <w:rFonts w:hint="eastAsia" w:ascii="宋体" w:hAnsi="宋体" w:eastAsia="宋体" w:cs="宋体"/>
          <w:b/>
          <w:bCs/>
          <w:color w:val="auto"/>
          <w:spacing w:val="20"/>
          <w:sz w:val="24"/>
          <w:szCs w:val="24"/>
          <w:highlight w:val="none"/>
        </w:rPr>
        <w:t>1</w:t>
      </w:r>
      <w:r>
        <w:rPr>
          <w:rFonts w:hint="eastAsia" w:ascii="宋体" w:hAnsi="宋体" w:eastAsia="宋体" w:cs="宋体"/>
          <w:b/>
          <w:bCs/>
          <w:color w:val="auto"/>
          <w:spacing w:val="20"/>
          <w:sz w:val="24"/>
          <w:szCs w:val="24"/>
          <w:highlight w:val="none"/>
          <w:lang w:val="en-US" w:eastAsia="zh-CN"/>
        </w:rPr>
        <w:t>2</w:t>
      </w:r>
      <w:r>
        <w:rPr>
          <w:rFonts w:hint="eastAsia" w:ascii="宋体" w:hAnsi="宋体" w:eastAsia="宋体" w:cs="宋体"/>
          <w:b/>
          <w:bCs/>
          <w:color w:val="auto"/>
          <w:spacing w:val="20"/>
          <w:sz w:val="24"/>
          <w:szCs w:val="24"/>
          <w:highlight w:val="none"/>
        </w:rPr>
        <w:t>.安装施工要求</w:t>
      </w:r>
    </w:p>
    <w:p>
      <w:pPr>
        <w:keepNext w:val="0"/>
        <w:keepLines w:val="0"/>
        <w:pageBreakBefore w:val="0"/>
        <w:widowControl w:val="0"/>
        <w:kinsoku/>
        <w:wordWrap/>
        <w:overflowPunct/>
        <w:topLinePunct w:val="0"/>
        <w:bidi w:val="0"/>
        <w:snapToGrid/>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投标人须保证</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本次采购所有产品、设备安装调试。</w:t>
      </w:r>
    </w:p>
    <w:p>
      <w:pPr>
        <w:keepNext w:val="0"/>
        <w:keepLines w:val="0"/>
        <w:pageBreakBefore w:val="0"/>
        <w:widowControl w:val="0"/>
        <w:tabs>
          <w:tab w:val="left" w:pos="0"/>
        </w:tabs>
        <w:kinsoku/>
        <w:wordWrap/>
        <w:overflowPunct/>
        <w:topLinePunct w:val="0"/>
        <w:bidi w:val="0"/>
        <w:snapToGrid/>
        <w:spacing w:line="360" w:lineRule="auto"/>
        <w:ind w:left="0" w:leftChars="0" w:firstLine="480" w:firstLineChars="200"/>
        <w:jc w:val="lef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土建施工时，须提前介入，提供必要的技术支持和指导。</w:t>
      </w:r>
    </w:p>
    <w:p>
      <w:pPr>
        <w:keepNext w:val="0"/>
        <w:keepLines w:val="0"/>
        <w:pageBreakBefore w:val="0"/>
        <w:widowControl w:val="0"/>
        <w:tabs>
          <w:tab w:val="left" w:pos="0"/>
        </w:tabs>
        <w:kinsoku/>
        <w:wordWrap/>
        <w:overflowPunct/>
        <w:topLinePunct w:val="0"/>
        <w:bidi w:val="0"/>
        <w:snapToGrid/>
        <w:spacing w:line="360" w:lineRule="auto"/>
        <w:ind w:left="0" w:leftChars="0"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项目实施时不得损坏</w:t>
      </w:r>
      <w:r>
        <w:rPr>
          <w:rFonts w:hint="eastAsia" w:ascii="宋体" w:hAnsi="宋体" w:eastAsia="宋体" w:cs="宋体"/>
          <w:bCs/>
          <w:color w:val="auto"/>
          <w:kern w:val="0"/>
          <w:sz w:val="24"/>
          <w:szCs w:val="24"/>
          <w:highlight w:val="none"/>
          <w:lang w:eastAsia="zh-CN"/>
        </w:rPr>
        <w:t>采购人</w:t>
      </w:r>
      <w:r>
        <w:rPr>
          <w:rFonts w:hint="eastAsia" w:ascii="宋体" w:hAnsi="宋体" w:eastAsia="宋体" w:cs="宋体"/>
          <w:bCs/>
          <w:color w:val="auto"/>
          <w:kern w:val="0"/>
          <w:sz w:val="24"/>
          <w:szCs w:val="24"/>
          <w:highlight w:val="none"/>
        </w:rPr>
        <w:t>财物，如有损坏需无条件修复原状，否则</w:t>
      </w:r>
      <w:r>
        <w:rPr>
          <w:rFonts w:hint="eastAsia" w:ascii="宋体" w:hAnsi="宋体" w:eastAsia="宋体" w:cs="宋体"/>
          <w:bCs/>
          <w:color w:val="auto"/>
          <w:kern w:val="0"/>
          <w:sz w:val="24"/>
          <w:szCs w:val="24"/>
          <w:highlight w:val="none"/>
          <w:lang w:eastAsia="zh-CN"/>
        </w:rPr>
        <w:t>采购人</w:t>
      </w:r>
      <w:r>
        <w:rPr>
          <w:rFonts w:hint="eastAsia" w:ascii="宋体" w:hAnsi="宋体" w:eastAsia="宋体" w:cs="宋体"/>
          <w:bCs/>
          <w:color w:val="auto"/>
          <w:kern w:val="0"/>
          <w:sz w:val="24"/>
          <w:szCs w:val="24"/>
          <w:highlight w:val="none"/>
        </w:rPr>
        <w:t>有权在应付货款中扣除相应损失。</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本项目安装工期自土建施工完成后20日历天内完成</w:t>
      </w:r>
      <w:r>
        <w:rPr>
          <w:rFonts w:hint="eastAsia" w:ascii="宋体" w:hAnsi="宋体" w:eastAsia="宋体" w:cs="宋体"/>
          <w:color w:val="auto"/>
          <w:sz w:val="24"/>
          <w:szCs w:val="24"/>
          <w:highlight w:val="none"/>
          <w:lang w:val="en-US" w:eastAsia="zh-CN"/>
        </w:rPr>
        <w:t>所有设备安装调试并经验收通过</w:t>
      </w:r>
      <w:r>
        <w:rPr>
          <w:rFonts w:hint="eastAsia" w:ascii="宋体" w:hAnsi="宋体" w:eastAsia="宋体" w:cs="宋体"/>
          <w:color w:val="auto"/>
          <w:sz w:val="24"/>
          <w:szCs w:val="24"/>
          <w:highlight w:val="none"/>
        </w:rPr>
        <w:t>，中标人在供货期间应根据采购方要求在规定时间内进行分批次供货、安装、调试设备，积极配合土建施工单位完成本工程的施工。分批次供货所产生的一切费用由供货方自行考虑计入投标报价中，采购方不另行增加费用。</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强化安全意识、抓好安全生产，明确安全责任，杜绝事故发生，项目实施中发生安全及人身事故均由投标人负责处理，并承担全部责任和费用。</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480" w:firstLineChars="200"/>
        <w:rPr>
          <w:rFonts w:hint="eastAsia" w:ascii="宋体" w:hAnsi="宋体" w:eastAsia="宋体" w:cs="宋体"/>
          <w:color w:val="auto"/>
          <w:kern w:val="24"/>
          <w:sz w:val="24"/>
          <w:szCs w:val="24"/>
          <w:highlight w:val="none"/>
        </w:rPr>
      </w:pPr>
      <w:r>
        <w:rPr>
          <w:rFonts w:hint="eastAsia" w:ascii="宋体" w:hAnsi="宋体" w:eastAsia="宋体" w:cs="宋体"/>
          <w:bCs/>
          <w:color w:val="auto"/>
          <w:sz w:val="24"/>
          <w:szCs w:val="24"/>
          <w:highlight w:val="none"/>
        </w:rPr>
        <w:t>以非投标人制造的产品参加投标的，采购人有权要求在项目实施时提供该产品制造商针对本项目出具的授权书和质保函</w:t>
      </w:r>
      <w:r>
        <w:rPr>
          <w:rFonts w:hint="eastAsia" w:ascii="宋体" w:hAnsi="宋体" w:eastAsia="宋体" w:cs="宋体"/>
          <w:color w:val="auto"/>
          <w:kern w:val="24"/>
          <w:sz w:val="24"/>
          <w:szCs w:val="24"/>
          <w:highlight w:val="none"/>
        </w:rPr>
        <w:t>。</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项目实施过程中采购人有权要求中标人提供经国家认可的质量检测机构出具的产品检测报告（包括货物成份），如不符，则验收不予通过，检测费用由中标人负责。</w:t>
      </w:r>
    </w:p>
    <w:p>
      <w:pPr>
        <w:keepNext w:val="0"/>
        <w:keepLines w:val="0"/>
        <w:pageBreakBefore w:val="0"/>
        <w:widowControl w:val="0"/>
        <w:kinsoku/>
        <w:wordWrap/>
        <w:overflowPunct/>
        <w:topLinePunct w:val="0"/>
        <w:autoSpaceDE w:val="0"/>
        <w:autoSpaceDN w:val="0"/>
        <w:bidi w:val="0"/>
        <w:adjustRightInd w:val="0"/>
        <w:snapToGrid/>
        <w:spacing w:before="0" w:line="360" w:lineRule="auto"/>
        <w:ind w:left="0" w:leftChars="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0"/>
          <w:kern w:val="0"/>
          <w:sz w:val="24"/>
          <w:szCs w:val="24"/>
          <w:highlight w:val="none"/>
          <w:lang w:val="en-US" w:eastAsia="zh-CN" w:bidi="ar-SA"/>
        </w:rPr>
        <w:t>按采购人要求提供详细图纸。</w:t>
      </w:r>
    </w:p>
    <w:p>
      <w:pPr>
        <w:keepNext w:val="0"/>
        <w:keepLines w:val="0"/>
        <w:pageBreakBefore w:val="0"/>
        <w:widowControl w:val="0"/>
        <w:tabs>
          <w:tab w:val="left" w:pos="0"/>
        </w:tabs>
        <w:kinsoku/>
        <w:wordWrap/>
        <w:overflowPunct/>
        <w:topLinePunct w:val="0"/>
        <w:bidi w:val="0"/>
        <w:snapToGrid/>
        <w:spacing w:line="360" w:lineRule="auto"/>
        <w:ind w:left="0" w:leftChars="0" w:firstLine="551" w:firstLineChars="196"/>
        <w:jc w:val="left"/>
        <w:rPr>
          <w:rFonts w:hint="eastAsia" w:ascii="宋体" w:hAnsi="宋体" w:eastAsia="宋体" w:cs="宋体"/>
          <w:b/>
          <w:bCs/>
          <w:color w:val="auto"/>
          <w:spacing w:val="20"/>
          <w:sz w:val="24"/>
          <w:szCs w:val="24"/>
          <w:highlight w:val="none"/>
        </w:rPr>
      </w:pPr>
      <w:r>
        <w:rPr>
          <w:rFonts w:hint="eastAsia" w:ascii="宋体" w:hAnsi="宋体" w:eastAsia="宋体" w:cs="宋体"/>
          <w:b/>
          <w:bCs/>
          <w:color w:val="auto"/>
          <w:spacing w:val="20"/>
          <w:sz w:val="24"/>
          <w:szCs w:val="24"/>
          <w:highlight w:val="none"/>
        </w:rPr>
        <w:t>1</w:t>
      </w:r>
      <w:r>
        <w:rPr>
          <w:rFonts w:hint="eastAsia" w:ascii="宋体" w:hAnsi="宋体" w:eastAsia="宋体" w:cs="宋体"/>
          <w:b/>
          <w:bCs/>
          <w:color w:val="auto"/>
          <w:spacing w:val="20"/>
          <w:sz w:val="24"/>
          <w:szCs w:val="24"/>
          <w:highlight w:val="none"/>
          <w:lang w:val="en-US" w:eastAsia="zh-CN"/>
        </w:rPr>
        <w:t>3</w:t>
      </w:r>
      <w:r>
        <w:rPr>
          <w:rFonts w:hint="eastAsia" w:ascii="宋体" w:hAnsi="宋体" w:eastAsia="宋体" w:cs="宋体"/>
          <w:b/>
          <w:bCs/>
          <w:color w:val="auto"/>
          <w:spacing w:val="20"/>
          <w:sz w:val="24"/>
          <w:szCs w:val="24"/>
          <w:highlight w:val="none"/>
        </w:rPr>
        <w:t>.验收标准及要求</w:t>
      </w:r>
    </w:p>
    <w:p>
      <w:pPr>
        <w:keepNext w:val="0"/>
        <w:keepLines w:val="0"/>
        <w:pageBreakBefore w:val="0"/>
        <w:widowControl w:val="0"/>
        <w:tabs>
          <w:tab w:val="left" w:pos="0"/>
        </w:tabs>
        <w:kinsoku/>
        <w:wordWrap/>
        <w:overflowPunct/>
        <w:topLinePunct w:val="0"/>
        <w:bidi w:val="0"/>
        <w:snapToGrid/>
        <w:spacing w:line="360" w:lineRule="auto"/>
        <w:ind w:left="0" w:leftChars="0"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根据中华人民共和国现行技术标准，按</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以及合同规定的验收评定标准等规范，由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组织验收。</w:t>
      </w:r>
    </w:p>
    <w:p>
      <w:pPr>
        <w:keepNext w:val="0"/>
        <w:keepLines w:val="0"/>
        <w:pageBreakBefore w:val="0"/>
        <w:widowControl w:val="0"/>
        <w:tabs>
          <w:tab w:val="left" w:pos="0"/>
        </w:tabs>
        <w:kinsoku/>
        <w:wordWrap/>
        <w:overflowPunct/>
        <w:topLinePunct w:val="0"/>
        <w:bidi w:val="0"/>
        <w:snapToGrid/>
        <w:spacing w:line="360" w:lineRule="auto"/>
        <w:ind w:left="0" w:leftChars="0"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验收在材料、设备到齐时，由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组织人员对材料、设备等投标响应要求进行初次验收，经验收合格投标人方可实施；投标人必须按照招标要求及</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的要求准备完整的验收材料。验收费用由投标人承担。</w:t>
      </w:r>
    </w:p>
    <w:p>
      <w:pPr>
        <w:keepNext w:val="0"/>
        <w:keepLines w:val="0"/>
        <w:pageBreakBefore w:val="0"/>
        <w:widowControl w:val="0"/>
        <w:tabs>
          <w:tab w:val="left" w:pos="0"/>
        </w:tabs>
        <w:kinsoku/>
        <w:wordWrap/>
        <w:overflowPunct/>
        <w:topLinePunct w:val="0"/>
        <w:bidi w:val="0"/>
        <w:snapToGrid/>
        <w:spacing w:line="360" w:lineRule="auto"/>
        <w:ind w:left="0" w:leftChars="0"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②最终验收在由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组织专家组进行验收，同时根据具体情况可以邀请主要设备厂家代表或投标人代表协助采购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进行验收。由于中标人原因超过时间达不到要求的或验收不能过的，中标人须退还已付货款，履约保证金不予退还，赔偿</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损失，并报有关部门处理。</w:t>
      </w:r>
    </w:p>
    <w:p>
      <w:pPr>
        <w:pStyle w:val="20"/>
        <w:keepNext w:val="0"/>
        <w:keepLines w:val="0"/>
        <w:pageBreakBefore w:val="0"/>
        <w:widowControl w:val="0"/>
        <w:kinsoku/>
        <w:wordWrap/>
        <w:overflowPunct/>
        <w:topLinePunct w:val="0"/>
        <w:autoSpaceDE w:val="0"/>
        <w:autoSpaceDN w:val="0"/>
        <w:bidi w:val="0"/>
        <w:adjustRightInd w:val="0"/>
        <w:snapToGrid/>
        <w:spacing w:after="0" w:afterLines="0" w:line="360" w:lineRule="auto"/>
        <w:ind w:left="0" w:leftChars="0" w:firstLine="480"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snapToGrid w:val="0"/>
          <w:color w:val="auto"/>
          <w:kern w:val="0"/>
          <w:sz w:val="24"/>
          <w:szCs w:val="24"/>
          <w:highlight w:val="none"/>
          <w:lang w:val="en-US" w:eastAsia="zh-CN" w:bidi="ar-SA"/>
        </w:rPr>
        <w:t>③投标人向采购人提供施工过程中形成的图纸、记录、档案资料、产品说明书、合格证、原厂家安装手册、技术文件资料、使用手册、安装、验收报告等原件文档汇集成册（含电子版一套），并按采购人的档案管理要求完成资料归档工作，报送招标单位留存。</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heme="minorEastAsia" w:hAnsiTheme="minorEastAsia" w:eastAsiaTheme="minorEastAsia" w:cstheme="minorEastAsia"/>
          <w:b/>
          <w:bCs/>
          <w:color w:val="auto"/>
          <w:sz w:val="24"/>
          <w:szCs w:val="24"/>
          <w:lang w:val="en-US" w:eastAsia="zh-CN"/>
        </w:rPr>
      </w:pPr>
    </w:p>
    <w:p>
      <w:pP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br w:type="page"/>
      </w:r>
    </w:p>
    <w:p>
      <w:pPr>
        <w:pStyle w:val="21"/>
        <w:ind w:left="0" w:leftChars="0" w:firstLine="0" w:firstLineChars="0"/>
        <w:jc w:val="cente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第四部分  评标办法</w:t>
      </w:r>
    </w:p>
    <w:p>
      <w:pPr>
        <w:pStyle w:val="21"/>
        <w:ind w:left="0" w:leftChars="0" w:firstLine="0" w:firstLineChars="0"/>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tbl>
      <w:tblPr>
        <w:tblStyle w:val="23"/>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45"/>
        <w:gridCol w:w="7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jc w:val="center"/>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445" w:type="dxa"/>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评分因素及分值</w:t>
            </w:r>
          </w:p>
        </w:tc>
        <w:tc>
          <w:tcPr>
            <w:tcW w:w="7164" w:type="dxa"/>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730" w:type="dxa"/>
            <w:noWrap w:val="0"/>
            <w:vAlign w:val="center"/>
          </w:tcPr>
          <w:p>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45" w:type="dxa"/>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业绩</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3分）</w:t>
            </w:r>
          </w:p>
        </w:tc>
        <w:tc>
          <w:tcPr>
            <w:tcW w:w="7164" w:type="dxa"/>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以签订时间准）</w:t>
            </w:r>
            <w:r>
              <w:rPr>
                <w:rFonts w:hint="eastAsia" w:ascii="宋体" w:hAnsi="宋体" w:eastAsia="宋体" w:cs="宋体"/>
                <w:color w:val="auto"/>
                <w:sz w:val="24"/>
                <w:szCs w:val="24"/>
                <w:highlight w:val="none"/>
              </w:rPr>
              <w:t>以来承担过同类项目</w:t>
            </w:r>
            <w:r>
              <w:rPr>
                <w:rFonts w:hint="eastAsia" w:ascii="宋体" w:hAnsi="宋体" w:eastAsia="宋体" w:cs="宋体"/>
                <w:color w:val="auto"/>
                <w:sz w:val="24"/>
                <w:szCs w:val="24"/>
                <w:highlight w:val="none"/>
                <w:lang w:val="en-US" w:eastAsia="zh-CN"/>
              </w:rPr>
              <w:t>业绩的</w:t>
            </w:r>
            <w:r>
              <w:rPr>
                <w:rFonts w:hint="eastAsia" w:ascii="宋体" w:hAnsi="宋体" w:eastAsia="宋体" w:cs="宋体"/>
                <w:color w:val="auto"/>
                <w:sz w:val="24"/>
                <w:szCs w:val="24"/>
                <w:highlight w:val="none"/>
              </w:rPr>
              <w:t>，每个得1分，最高得3分。</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注：</w:t>
            </w:r>
            <w:r>
              <w:rPr>
                <w:rFonts w:hint="eastAsia" w:ascii="宋体" w:hAnsi="宋体" w:eastAsia="宋体" w:cs="宋体"/>
                <w:color w:val="auto"/>
                <w:sz w:val="24"/>
                <w:szCs w:val="24"/>
                <w:highlight w:val="none"/>
              </w:rPr>
              <w:t>以合同和验收</w:t>
            </w:r>
            <w:r>
              <w:rPr>
                <w:rFonts w:hint="eastAsia" w:ascii="宋体" w:hAnsi="宋体" w:eastAsia="宋体" w:cs="宋体"/>
                <w:color w:val="auto"/>
                <w:sz w:val="24"/>
                <w:szCs w:val="24"/>
                <w:highlight w:val="none"/>
                <w:lang w:val="en-US" w:eastAsia="zh-CN"/>
              </w:rPr>
              <w:t>合格</w:t>
            </w:r>
            <w:r>
              <w:rPr>
                <w:rFonts w:hint="eastAsia" w:ascii="宋体" w:hAnsi="宋体" w:eastAsia="宋体" w:cs="宋体"/>
                <w:color w:val="auto"/>
                <w:sz w:val="24"/>
                <w:szCs w:val="24"/>
                <w:highlight w:val="none"/>
              </w:rPr>
              <w:t>报告（或其他能说明项目合格的资料）完整提供为准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不提供或缺少提供不得分</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730" w:type="dxa"/>
            <w:noWrap w:val="0"/>
            <w:vAlign w:val="center"/>
          </w:tcPr>
          <w:p>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445" w:type="dxa"/>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企业实力</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5分）</w:t>
            </w:r>
          </w:p>
        </w:tc>
        <w:tc>
          <w:tcPr>
            <w:tcW w:w="7164" w:type="dxa"/>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2.1投标人同时具有有效ISO9001质量管理体系认证</w:t>
            </w:r>
            <w:r>
              <w:rPr>
                <w:rFonts w:hint="eastAsia" w:ascii="宋体" w:hAnsi="宋体" w:eastAsia="宋体" w:cs="宋体"/>
                <w:color w:val="auto"/>
                <w:sz w:val="24"/>
                <w:szCs w:val="24"/>
                <w:lang w:val="en-US" w:eastAsia="zh-CN"/>
              </w:rPr>
              <w:t>证书的得1分。</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投标人获得过省级及以上</w:t>
            </w:r>
            <w:r>
              <w:rPr>
                <w:rFonts w:hint="eastAsia" w:ascii="宋体" w:hAnsi="宋体" w:eastAsia="宋体" w:cs="宋体"/>
                <w:color w:val="auto"/>
                <w:sz w:val="24"/>
                <w:szCs w:val="24"/>
                <w:lang w:val="en-US" w:eastAsia="zh-CN"/>
              </w:rPr>
              <w:t>人民政府</w:t>
            </w:r>
            <w:r>
              <w:rPr>
                <w:rFonts w:hint="eastAsia" w:ascii="宋体" w:hAnsi="宋体" w:eastAsia="宋体" w:cs="宋体"/>
                <w:color w:val="auto"/>
                <w:sz w:val="24"/>
                <w:szCs w:val="24"/>
              </w:rPr>
              <w:t>颁发</w:t>
            </w:r>
            <w:r>
              <w:rPr>
                <w:rFonts w:hint="eastAsia" w:ascii="宋体" w:hAnsi="宋体" w:eastAsia="宋体" w:cs="宋体"/>
                <w:color w:val="auto"/>
                <w:sz w:val="24"/>
                <w:szCs w:val="24"/>
                <w:lang w:val="en-US" w:eastAsia="zh-CN"/>
              </w:rPr>
              <w:t>的项目</w:t>
            </w:r>
            <w:r>
              <w:rPr>
                <w:rFonts w:hint="eastAsia" w:ascii="宋体" w:hAnsi="宋体" w:eastAsia="宋体" w:cs="宋体"/>
                <w:color w:val="auto"/>
                <w:sz w:val="24"/>
                <w:szCs w:val="24"/>
              </w:rPr>
              <w:t>相关</w:t>
            </w:r>
            <w:r>
              <w:rPr>
                <w:rFonts w:hint="eastAsia" w:ascii="宋体" w:hAnsi="宋体" w:eastAsia="宋体" w:cs="宋体"/>
                <w:color w:val="auto"/>
                <w:sz w:val="24"/>
                <w:szCs w:val="24"/>
                <w:lang w:val="en-US" w:eastAsia="zh-CN"/>
              </w:rPr>
              <w:t>荣誉或</w:t>
            </w:r>
            <w:r>
              <w:rPr>
                <w:rFonts w:hint="eastAsia" w:ascii="宋体" w:hAnsi="宋体" w:eastAsia="宋体" w:cs="宋体"/>
                <w:color w:val="auto"/>
                <w:sz w:val="24"/>
                <w:szCs w:val="24"/>
              </w:rPr>
              <w:t>奖</w:t>
            </w:r>
            <w:r>
              <w:rPr>
                <w:rFonts w:hint="eastAsia" w:ascii="宋体" w:hAnsi="宋体" w:eastAsia="宋体" w:cs="宋体"/>
                <w:color w:val="auto"/>
                <w:sz w:val="24"/>
                <w:szCs w:val="24"/>
                <w:lang w:val="en-US" w:eastAsia="zh-CN"/>
              </w:rPr>
              <w:t>项的，每个得2分，最高得4分。</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注：以上证书标书内提供证书</w:t>
            </w:r>
            <w:r>
              <w:rPr>
                <w:rFonts w:hint="eastAsia" w:ascii="宋体" w:hAnsi="宋体" w:eastAsia="宋体" w:cs="宋体"/>
                <w:color w:val="auto"/>
                <w:sz w:val="24"/>
                <w:szCs w:val="24"/>
                <w:lang w:val="en-US" w:eastAsia="zh-CN"/>
              </w:rPr>
              <w:t>或奖项</w:t>
            </w:r>
            <w:r>
              <w:rPr>
                <w:rFonts w:hint="eastAsia" w:ascii="宋体" w:hAnsi="宋体" w:eastAsia="宋体" w:cs="宋体"/>
                <w:color w:val="auto"/>
                <w:sz w:val="24"/>
                <w:szCs w:val="24"/>
              </w:rPr>
              <w:t>原件扫描件，不提供不得分。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730" w:type="dxa"/>
            <w:noWrap w:val="0"/>
            <w:vAlign w:val="center"/>
          </w:tcPr>
          <w:p>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1445" w:type="dxa"/>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投标货物的性能及技术指标</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18分）</w:t>
            </w:r>
          </w:p>
        </w:tc>
        <w:tc>
          <w:tcPr>
            <w:tcW w:w="716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完全满足招标文件货物清单各项产品技术指标参数要求的得</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分；每有一项负偏离扣</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分（非★的参数），扣完为止。每有一项负偏离扣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分（★的参数），扣完为止。</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rPr>
              <w:t>注：是否属于偏离指标由评审小组根据投标人提供的参数、相关证明资料的描述进行认定，产品技术参数描述按要求提供检测报告或其他说明资料等资料，未提供或缺少提供都将作为负偏离处理。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30" w:type="dxa"/>
            <w:noWrap w:val="0"/>
            <w:vAlign w:val="center"/>
          </w:tcPr>
          <w:p>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45" w:type="dxa"/>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项目现状、重点分析</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716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投标人对项目现状和背景的了解和理解（0-3分），以及对本项目的重点难点的分析和应对措施（0-3分）。（0-6分）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30" w:type="dxa"/>
            <w:noWrap w:val="0"/>
            <w:vAlign w:val="center"/>
          </w:tcPr>
          <w:p>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45" w:type="dxa"/>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项目实施方案</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snapToGrid w:val="0"/>
                <w:color w:val="auto"/>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19分）</w:t>
            </w:r>
          </w:p>
        </w:tc>
        <w:tc>
          <w:tcPr>
            <w:tcW w:w="716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w:t>
            </w:r>
          </w:p>
          <w:p>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5.1项目管理组织（包括但不限于环保文明施工措施（0-1分）</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组织管理</w:t>
            </w:r>
            <w:r>
              <w:rPr>
                <w:rFonts w:hint="eastAsia" w:asciiTheme="minorEastAsia" w:hAnsiTheme="minorEastAsia" w:eastAsiaTheme="minorEastAsia" w:cstheme="minorEastAsia"/>
                <w:color w:val="auto"/>
                <w:sz w:val="24"/>
                <w:szCs w:val="24"/>
              </w:rPr>
              <w:t>措施</w:t>
            </w:r>
            <w:r>
              <w:rPr>
                <w:rFonts w:hint="eastAsia" w:asciiTheme="minorEastAsia" w:hAnsiTheme="minorEastAsia" w:eastAsiaTheme="minorEastAsia" w:cstheme="minorEastAsia"/>
                <w:color w:val="auto"/>
                <w:sz w:val="24"/>
                <w:szCs w:val="24"/>
                <w:lang w:val="en-US" w:eastAsia="zh-CN"/>
              </w:rPr>
              <w:t>（0-3分）</w:t>
            </w:r>
            <w:r>
              <w:rPr>
                <w:rFonts w:hint="eastAsia" w:asciiTheme="minorEastAsia" w:hAnsiTheme="minorEastAsia" w:eastAsiaTheme="minorEastAsia" w:cstheme="minorEastAsia"/>
                <w:color w:val="auto"/>
                <w:sz w:val="24"/>
                <w:szCs w:val="24"/>
              </w:rPr>
              <w:t>、技术措施</w:t>
            </w:r>
            <w:r>
              <w:rPr>
                <w:rFonts w:hint="eastAsia" w:asciiTheme="minorEastAsia" w:hAnsiTheme="minorEastAsia" w:eastAsiaTheme="minorEastAsia" w:cstheme="minorEastAsia"/>
                <w:color w:val="auto"/>
                <w:sz w:val="24"/>
                <w:szCs w:val="24"/>
                <w:lang w:val="en-US" w:eastAsia="zh-CN"/>
              </w:rPr>
              <w:t>（0-2分）等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方案和保障措施。（0-6分）</w:t>
            </w:r>
          </w:p>
          <w:p>
            <w:pPr>
              <w:keepNext w:val="0"/>
              <w:keepLines w:val="0"/>
              <w:suppressLineNumbers w:val="0"/>
              <w:bidi w:val="0"/>
              <w:spacing w:before="0" w:beforeAutospacing="0" w:after="0" w:afterAutospacing="0"/>
              <w:ind w:left="0" w:right="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5.2</w:t>
            </w:r>
            <w:r>
              <w:rPr>
                <w:rFonts w:hint="eastAsia" w:asciiTheme="minorEastAsia" w:hAnsiTheme="minorEastAsia" w:eastAsiaTheme="minorEastAsia" w:cstheme="minorEastAsia"/>
                <w:color w:val="auto"/>
                <w:sz w:val="24"/>
                <w:szCs w:val="24"/>
              </w:rPr>
              <w:t>安全施工</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安全</w:t>
            </w:r>
            <w:r>
              <w:rPr>
                <w:rFonts w:hint="eastAsia" w:asciiTheme="minorEastAsia" w:hAnsiTheme="minorEastAsia" w:eastAsiaTheme="minorEastAsia" w:cstheme="minorEastAsia"/>
                <w:color w:val="auto"/>
                <w:sz w:val="24"/>
                <w:szCs w:val="24"/>
                <w:lang w:val="en-US" w:eastAsia="zh-CN"/>
              </w:rPr>
              <w:t>保证措施（0-1分）</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安全人员配置及工作安排（0-1分）</w:t>
            </w:r>
            <w:r>
              <w:rPr>
                <w:rFonts w:hint="eastAsia" w:asciiTheme="minorEastAsia" w:hAnsiTheme="minorEastAsia" w:eastAsiaTheme="minorEastAsia" w:cstheme="minorEastAsia"/>
                <w:color w:val="auto"/>
                <w:sz w:val="24"/>
                <w:szCs w:val="24"/>
              </w:rPr>
              <w:t>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方案及措施</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0-2分），</w:t>
            </w:r>
            <w:r>
              <w:rPr>
                <w:rFonts w:hint="eastAsia" w:asciiTheme="minorEastAsia" w:hAnsiTheme="minorEastAsia" w:eastAsiaTheme="minorEastAsia" w:cstheme="minorEastAsia"/>
                <w:color w:val="auto"/>
                <w:sz w:val="24"/>
                <w:szCs w:val="24"/>
              </w:rPr>
              <w:t>安全</w:t>
            </w:r>
            <w:r>
              <w:rPr>
                <w:rFonts w:hint="eastAsia" w:asciiTheme="minorEastAsia" w:hAnsiTheme="minorEastAsia" w:eastAsiaTheme="minorEastAsia" w:cstheme="minorEastAsia"/>
                <w:color w:val="auto"/>
                <w:sz w:val="24"/>
                <w:szCs w:val="24"/>
                <w:lang w:val="en-US" w:eastAsia="zh-CN"/>
              </w:rPr>
              <w:t>目标和</w:t>
            </w:r>
            <w:r>
              <w:rPr>
                <w:rFonts w:hint="eastAsia" w:asciiTheme="minorEastAsia" w:hAnsiTheme="minorEastAsia" w:eastAsiaTheme="minorEastAsia" w:cstheme="minorEastAsia"/>
                <w:color w:val="auto"/>
                <w:sz w:val="24"/>
                <w:szCs w:val="24"/>
              </w:rPr>
              <w:t>责任承诺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0-1分）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（0-3分）</w:t>
            </w:r>
          </w:p>
          <w:p>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5.3</w:t>
            </w:r>
            <w:r>
              <w:rPr>
                <w:rFonts w:hint="eastAsia" w:asciiTheme="minorEastAsia" w:hAnsiTheme="minorEastAsia" w:eastAsiaTheme="minorEastAsia" w:cstheme="minorEastAsia"/>
                <w:color w:val="auto"/>
                <w:sz w:val="24"/>
                <w:szCs w:val="24"/>
                <w:highlight w:val="none"/>
              </w:rPr>
              <w:t>进度计划及保障措施，进度计划</w:t>
            </w:r>
            <w:r>
              <w:rPr>
                <w:rFonts w:hint="eastAsia" w:asciiTheme="minorEastAsia" w:hAnsiTheme="minorEastAsia" w:eastAsiaTheme="minorEastAsia" w:cstheme="minorEastAsia"/>
                <w:color w:val="auto"/>
                <w:sz w:val="24"/>
                <w:szCs w:val="24"/>
                <w:highlight w:val="none"/>
                <w:lang w:val="en-US" w:eastAsia="zh-CN"/>
              </w:rPr>
              <w:t>是否满足项目要求</w:t>
            </w:r>
            <w:r>
              <w:rPr>
                <w:rFonts w:hint="eastAsia" w:asciiTheme="minorEastAsia" w:hAnsiTheme="minorEastAsia" w:eastAsiaTheme="minorEastAsia" w:cstheme="minorEastAsia"/>
                <w:color w:val="auto"/>
                <w:sz w:val="24"/>
                <w:szCs w:val="24"/>
                <w:highlight w:val="none"/>
              </w:rPr>
              <w:t>，保障措施有力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可行等情况。（0-3分）</w:t>
            </w:r>
          </w:p>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5.4</w:t>
            </w:r>
            <w:r>
              <w:rPr>
                <w:rFonts w:hint="eastAsia" w:asciiTheme="minorEastAsia" w:hAnsiTheme="minorEastAsia" w:eastAsiaTheme="minorEastAsia" w:cstheme="minorEastAsia"/>
                <w:color w:val="auto"/>
                <w:sz w:val="24"/>
                <w:szCs w:val="24"/>
                <w:highlight w:val="none"/>
              </w:rPr>
              <w:t>质量目标及保证措</w:t>
            </w:r>
            <w:r>
              <w:rPr>
                <w:rFonts w:hint="eastAsia" w:ascii="宋体" w:hAnsi="宋体" w:eastAsia="宋体" w:cs="宋体"/>
                <w:color w:val="auto"/>
                <w:sz w:val="24"/>
                <w:szCs w:val="24"/>
                <w:highlight w:val="none"/>
              </w:rPr>
              <w:t>施，质量目标</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符合要求，保证措施有力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可行等情况。（0-3分）</w:t>
            </w:r>
          </w:p>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5.5</w:t>
            </w:r>
            <w:r>
              <w:rPr>
                <w:rFonts w:hint="eastAsia" w:ascii="宋体" w:hAnsi="宋体" w:eastAsia="宋体" w:cs="宋体"/>
                <w:color w:val="auto"/>
                <w:sz w:val="24"/>
                <w:szCs w:val="24"/>
                <w:highlight w:val="none"/>
              </w:rPr>
              <w:t>安装调试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0-3分）</w:t>
            </w:r>
            <w:r>
              <w:rPr>
                <w:rFonts w:hint="eastAsia" w:ascii="宋体" w:hAnsi="宋体" w:eastAsia="宋体" w:cs="宋体"/>
                <w:color w:val="auto"/>
                <w:sz w:val="24"/>
                <w:szCs w:val="24"/>
                <w:highlight w:val="none"/>
              </w:rPr>
              <w:t>、验收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0-1分）</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详细、可行、操作性强</w:t>
            </w:r>
            <w:r>
              <w:rPr>
                <w:rFonts w:hint="eastAsia" w:ascii="宋体" w:hAnsi="宋体" w:eastAsia="宋体" w:cs="宋体"/>
                <w:color w:val="auto"/>
                <w:sz w:val="24"/>
                <w:szCs w:val="24"/>
                <w:highlight w:val="none"/>
                <w:lang w:val="en-US" w:eastAsia="zh-CN"/>
              </w:rPr>
              <w:t>等情况。（0-4分）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45" w:type="dxa"/>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成员</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6分）</w:t>
            </w:r>
          </w:p>
        </w:tc>
        <w:tc>
          <w:tcPr>
            <w:tcW w:w="716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6.1项目技术负责人具有环保类正高级工程师职称证书的得3分，环保类高级工程师职称证书的得1分，其他不得分，最高得3分。</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rPr>
              <w:t>项目组成员配备</w:t>
            </w:r>
            <w:r>
              <w:rPr>
                <w:rFonts w:hint="eastAsia" w:ascii="宋体" w:hAnsi="宋体" w:eastAsia="宋体" w:cs="宋体"/>
                <w:color w:val="auto"/>
                <w:sz w:val="24"/>
                <w:szCs w:val="24"/>
                <w:lang w:val="en-US" w:eastAsia="zh-CN"/>
              </w:rPr>
              <w:t>注册环保工程师或</w:t>
            </w:r>
            <w:r>
              <w:rPr>
                <w:rFonts w:hint="eastAsia" w:ascii="宋体" w:hAnsi="宋体" w:eastAsia="宋体" w:cs="宋体"/>
                <w:color w:val="auto"/>
                <w:sz w:val="24"/>
                <w:szCs w:val="24"/>
              </w:rPr>
              <w:t>注册</w:t>
            </w:r>
            <w:r>
              <w:rPr>
                <w:rFonts w:hint="eastAsia" w:ascii="宋体" w:hAnsi="宋体" w:eastAsia="宋体" w:cs="宋体"/>
                <w:color w:val="auto"/>
                <w:sz w:val="24"/>
                <w:szCs w:val="24"/>
                <w:lang w:val="en-US" w:eastAsia="zh-CN"/>
              </w:rPr>
              <w:t>电气工程师（供配电）或给排水</w:t>
            </w:r>
            <w:r>
              <w:rPr>
                <w:rFonts w:hint="eastAsia" w:ascii="宋体" w:hAnsi="宋体" w:eastAsia="宋体" w:cs="宋体"/>
                <w:color w:val="auto"/>
                <w:sz w:val="24"/>
                <w:szCs w:val="24"/>
              </w:rPr>
              <w:t>高级</w:t>
            </w:r>
            <w:r>
              <w:rPr>
                <w:rFonts w:hint="eastAsia" w:ascii="宋体" w:hAnsi="宋体" w:eastAsia="宋体" w:cs="宋体"/>
                <w:color w:val="auto"/>
                <w:sz w:val="24"/>
                <w:szCs w:val="24"/>
                <w:lang w:val="en-US" w:eastAsia="zh-CN"/>
              </w:rPr>
              <w:t>及以上</w:t>
            </w:r>
            <w:r>
              <w:rPr>
                <w:rFonts w:hint="eastAsia" w:ascii="宋体" w:hAnsi="宋体" w:eastAsia="宋体" w:cs="宋体"/>
                <w:color w:val="auto"/>
                <w:sz w:val="24"/>
                <w:szCs w:val="24"/>
              </w:rPr>
              <w:t>工程师</w:t>
            </w:r>
            <w:r>
              <w:rPr>
                <w:rFonts w:hint="eastAsia" w:ascii="宋体" w:hAnsi="宋体" w:eastAsia="宋体" w:cs="宋体"/>
                <w:color w:val="auto"/>
                <w:sz w:val="24"/>
                <w:szCs w:val="24"/>
                <w:lang w:val="en-US" w:eastAsia="zh-CN"/>
              </w:rPr>
              <w:t>的，每类人员得1分，最高得3分。</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注：提供相关人员证书、</w:t>
            </w:r>
            <w:r>
              <w:rPr>
                <w:rFonts w:hint="eastAsia" w:ascii="宋体" w:hAnsi="宋体" w:eastAsia="宋体" w:cs="宋体"/>
                <w:color w:val="auto"/>
                <w:sz w:val="24"/>
                <w:szCs w:val="24"/>
                <w:highlight w:val="none"/>
                <w:lang w:val="en-US" w:eastAsia="zh-CN"/>
              </w:rPr>
              <w:t>近3</w:t>
            </w:r>
            <w:r>
              <w:rPr>
                <w:rFonts w:hint="eastAsia" w:ascii="宋体" w:hAnsi="宋体" w:eastAsia="宋体" w:cs="宋体"/>
                <w:color w:val="auto"/>
                <w:sz w:val="24"/>
                <w:szCs w:val="24"/>
                <w:highlight w:val="none"/>
              </w:rPr>
              <w:t>月任一时点的社会保险参保</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缴费单位和投标人名称必须一致，不提供或提供不全不得分。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445" w:type="dxa"/>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培训</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（2分）</w:t>
            </w:r>
          </w:p>
        </w:tc>
        <w:tc>
          <w:tcPr>
            <w:tcW w:w="716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投标人提供的</w:t>
            </w:r>
            <w:r>
              <w:rPr>
                <w:rFonts w:hint="eastAsia" w:ascii="宋体" w:hAnsi="宋体" w:eastAsia="宋体" w:cs="宋体"/>
                <w:color w:val="auto"/>
                <w:sz w:val="24"/>
                <w:szCs w:val="24"/>
                <w:highlight w:val="none"/>
              </w:rPr>
              <w:t>培训方案</w:t>
            </w:r>
            <w:r>
              <w:rPr>
                <w:rFonts w:hint="eastAsia" w:ascii="宋体" w:hAnsi="宋体" w:eastAsia="宋体" w:cs="宋体"/>
                <w:color w:val="auto"/>
                <w:sz w:val="24"/>
                <w:szCs w:val="24"/>
                <w:highlight w:val="none"/>
                <w:lang w:val="en-US" w:eastAsia="zh-CN"/>
              </w:rPr>
              <w:t>和承诺。</w:t>
            </w:r>
            <w:r>
              <w:rPr>
                <w:rFonts w:hint="eastAsia" w:ascii="宋体" w:hAnsi="宋体" w:eastAsia="宋体" w:cs="宋体"/>
                <w:color w:val="auto"/>
                <w:kern w:val="0"/>
                <w:sz w:val="24"/>
                <w:szCs w:val="24"/>
                <w:highlight w:val="none"/>
                <w:lang w:val="en-US" w:eastAsia="zh-CN"/>
              </w:rPr>
              <w:t>（0-2分</w:t>
            </w: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445" w:type="dxa"/>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应急预案</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（3分）</w:t>
            </w:r>
          </w:p>
        </w:tc>
        <w:tc>
          <w:tcPr>
            <w:tcW w:w="716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应急预案分析及应对措施。(0-3分）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445" w:type="dxa"/>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售后服务</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6分）</w:t>
            </w:r>
          </w:p>
        </w:tc>
        <w:tc>
          <w:tcPr>
            <w:tcW w:w="7164" w:type="dxa"/>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9.1</w:t>
            </w:r>
            <w:r>
              <w:rPr>
                <w:rFonts w:hint="eastAsia" w:ascii="宋体" w:hAnsi="宋体" w:eastAsia="宋体" w:cs="宋体"/>
                <w:color w:val="auto"/>
                <w:sz w:val="24"/>
                <w:szCs w:val="24"/>
                <w:highlight w:val="none"/>
              </w:rPr>
              <w:t>质保期限（</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年）满足招标</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要求的，不得分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优于的，</w:t>
            </w:r>
            <w:r>
              <w:rPr>
                <w:rFonts w:hint="eastAsia" w:ascii="宋体" w:hAnsi="宋体" w:eastAsia="宋体" w:cs="宋体"/>
                <w:color w:val="auto"/>
                <w:sz w:val="24"/>
                <w:szCs w:val="24"/>
                <w:highlight w:val="none"/>
                <w:lang w:val="en-US" w:eastAsia="zh-CN"/>
              </w:rPr>
              <w:t>每</w:t>
            </w:r>
            <w:r>
              <w:rPr>
                <w:rFonts w:hint="eastAsia" w:ascii="宋体" w:hAnsi="宋体" w:eastAsia="宋体" w:cs="宋体"/>
                <w:color w:val="auto"/>
                <w:sz w:val="24"/>
                <w:szCs w:val="24"/>
                <w:highlight w:val="none"/>
              </w:rPr>
              <w:t>延长一年质保的加</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9.2</w:t>
            </w:r>
            <w:r>
              <w:rPr>
                <w:rFonts w:hint="eastAsia" w:ascii="宋体" w:hAnsi="宋体" w:eastAsia="宋体" w:cs="宋体"/>
                <w:bCs/>
                <w:color w:val="auto"/>
                <w:sz w:val="24"/>
                <w:szCs w:val="24"/>
                <w:highlight w:val="none"/>
                <w:lang w:val="en-US" w:eastAsia="zh-CN"/>
              </w:rPr>
              <w:t>针对本项目售后服务：</w:t>
            </w:r>
            <w:r>
              <w:rPr>
                <w:rFonts w:hint="eastAsia" w:ascii="宋体" w:hAnsi="宋体" w:eastAsia="宋体" w:cs="宋体"/>
                <w:bCs/>
                <w:color w:val="auto"/>
                <w:sz w:val="24"/>
                <w:szCs w:val="24"/>
                <w:highlight w:val="none"/>
              </w:rPr>
              <w:t>“三包”方案，</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详细完整，服务</w:t>
            </w:r>
            <w:r>
              <w:rPr>
                <w:rFonts w:hint="eastAsia" w:ascii="宋体" w:hAnsi="宋体" w:eastAsia="宋体" w:cs="宋体"/>
                <w:bCs/>
                <w:color w:val="auto"/>
                <w:sz w:val="24"/>
                <w:szCs w:val="24"/>
                <w:highlight w:val="none"/>
                <w:lang w:val="en-US" w:eastAsia="zh-CN"/>
              </w:rPr>
              <w:t>承诺是否到位</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是否具有</w:t>
            </w:r>
            <w:r>
              <w:rPr>
                <w:rFonts w:hint="eastAsia" w:ascii="宋体" w:hAnsi="宋体" w:eastAsia="宋体" w:cs="宋体"/>
                <w:bCs/>
                <w:color w:val="auto"/>
                <w:sz w:val="24"/>
                <w:szCs w:val="24"/>
                <w:highlight w:val="none"/>
              </w:rPr>
              <w:t>较强的可操作性</w:t>
            </w:r>
            <w:r>
              <w:rPr>
                <w:rFonts w:hint="eastAsia" w:ascii="宋体" w:hAnsi="宋体" w:eastAsia="宋体" w:cs="宋体"/>
                <w:bCs/>
                <w:color w:val="auto"/>
                <w:sz w:val="24"/>
                <w:szCs w:val="24"/>
                <w:highlight w:val="none"/>
                <w:lang w:val="en-US" w:eastAsia="zh-CN"/>
              </w:rPr>
              <w:t>等。（0-2分）</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9.3针对本项目售后服务：</w:t>
            </w:r>
            <w:r>
              <w:rPr>
                <w:rFonts w:hint="eastAsia" w:ascii="宋体" w:hAnsi="宋体" w:eastAsia="宋体" w:cs="宋体"/>
                <w:color w:val="auto"/>
                <w:sz w:val="24"/>
                <w:szCs w:val="24"/>
                <w:highlight w:val="none"/>
              </w:rPr>
              <w:t>售后服务标准、队伍等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445"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政策分</w:t>
            </w:r>
          </w:p>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c>
          <w:tcPr>
            <w:tcW w:w="716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10.1</w:t>
            </w:r>
            <w:r>
              <w:rPr>
                <w:rFonts w:hint="eastAsia" w:ascii="宋体" w:hAnsi="宋体" w:eastAsia="宋体" w:cs="宋体"/>
                <w:color w:val="auto"/>
                <w:sz w:val="24"/>
                <w:szCs w:val="24"/>
                <w:highlight w:val="none"/>
              </w:rPr>
              <w:t>投标人按规定享受国家政策支持、扶持的：投标人所在地区属于不发达地区或少数民族地区的，每项给予加分0.5分，本项最高得1分。</w:t>
            </w:r>
          </w:p>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需提供不发达地区或少数民族地区的声明函（格式自拟）及相关资料，如未提供，则不得分。</w:t>
            </w:r>
          </w:p>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投标产品属于《节能产品政府采购品目清单》范围的且具有国家确定的认证机构出具的、处于有效期之内的节能产品认证证书的得0.5分；投标产品属于《环境标志产品政府采购品目清单》范围的且具有国家确定的认证机构出具的、处于有效期之内的环境标志产品认证证书的得0.5分。</w:t>
            </w:r>
          </w:p>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注：投标文件中必须同时提供以下资料：</w:t>
            </w:r>
          </w:p>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政府采购品目清单相关内容页（并对相关内容作圈记），采购品目清单详见《关于印发环境标志产品政府采购品目清单的通知》（财库〔2019〕18号）和《关于印发节能产品政府采购品目清单的通知》（财库〔2019〕19号）。</w:t>
            </w:r>
          </w:p>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（2）《市场监管总局关于发布参与实施政府采购节能产品、环境标志产品认证机构名录的公告》中的认证机构出具的、处于有效期之内的节能产品/环境标志产品认证证书复印件并加盖公章。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73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445"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w:t>
            </w:r>
          </w:p>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评分办法（</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0</w:t>
            </w:r>
            <w:r>
              <w:rPr>
                <w:rFonts w:hint="eastAsia" w:ascii="宋体" w:hAnsi="宋体" w:eastAsia="宋体" w:cs="宋体"/>
                <w:color w:val="auto"/>
                <w:sz w:val="24"/>
                <w:szCs w:val="24"/>
                <w:highlight w:val="none"/>
              </w:rPr>
              <w:t>分）</w:t>
            </w:r>
          </w:p>
        </w:tc>
        <w:tc>
          <w:tcPr>
            <w:tcW w:w="716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评分采用低价优先法计算，在有效报价中，满足招标文件要求且投标价格最低的投标报价为评标基准价，其价格分为满分30分。其他供应商的价格分统一按照下列公式计算：投标报价得分=（评标基准价/投标报价）×30%×100。</w:t>
            </w:r>
          </w:p>
          <w:p>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投标人最终得分=商务技术标得分+报价得分，满分为100分。</w:t>
            </w:r>
          </w:p>
        </w:tc>
      </w:tr>
    </w:tbl>
    <w:p>
      <w:pPr>
        <w:pageBreakBefore w:val="0"/>
        <w:kinsoku/>
        <w:wordWrap/>
        <w:overflowPunct/>
        <w:topLinePunct w:val="0"/>
        <w:autoSpaceDE/>
        <w:autoSpaceDN/>
        <w:bidi w:val="0"/>
        <w:adjustRightInd w:val="0"/>
        <w:snapToGrid w:val="0"/>
        <w:spacing w:line="360" w:lineRule="auto"/>
        <w:ind w:left="0" w:leftChars="0"/>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一、评标方法</w:t>
      </w:r>
    </w:p>
    <w:p>
      <w:pPr>
        <w:pageBreakBefore w:val="0"/>
        <w:kinsoku/>
        <w:wordWrap/>
        <w:overflowPunct/>
        <w:topLinePunct w:val="0"/>
        <w:autoSpaceDE/>
        <w:autoSpaceDN/>
        <w:bidi w:val="0"/>
        <w:adjustRightInd/>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1.本项目采用综合评分法。</w:t>
      </w:r>
      <w:r>
        <w:rPr>
          <w:rFonts w:hint="eastAsia" w:asciiTheme="minorEastAsia" w:hAnsiTheme="minorEastAsia" w:eastAsiaTheme="minorEastAsia" w:cstheme="minorEastAsia"/>
          <w:color w:val="auto"/>
          <w:kern w:val="0"/>
          <w:sz w:val="24"/>
          <w:szCs w:val="24"/>
          <w:highlight w:val="none"/>
        </w:rPr>
        <w:t>综合评分法，是指投标文件满足招标文件全部实质性要求，且按照评审因素的量化指标评审得分最高的投标人为中标候选人的评标方法。</w:t>
      </w:r>
    </w:p>
    <w:p>
      <w:pPr>
        <w:pageBreakBefore w:val="0"/>
        <w:kinsoku/>
        <w:wordWrap/>
        <w:overflowPunct/>
        <w:topLinePunct w:val="0"/>
        <w:autoSpaceDE/>
        <w:autoSpaceDN/>
        <w:bidi w:val="0"/>
        <w:adjustRightInd/>
        <w:spacing w:line="360" w:lineRule="auto"/>
        <w:ind w:left="0" w:leftChars="0"/>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color w:val="auto"/>
          <w:sz w:val="28"/>
          <w:szCs w:val="28"/>
          <w:highlight w:val="none"/>
        </w:rPr>
        <w:t>二、评标标准</w:t>
      </w:r>
    </w:p>
    <w:p>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2.评标标准：</w:t>
      </w:r>
      <w:r>
        <w:rPr>
          <w:rFonts w:hint="eastAsia" w:asciiTheme="minorEastAsia" w:hAnsiTheme="minorEastAsia" w:eastAsiaTheme="minorEastAsia" w:cstheme="minorEastAsia"/>
          <w:color w:val="auto"/>
          <w:kern w:val="0"/>
          <w:sz w:val="24"/>
          <w:szCs w:val="24"/>
          <w:highlight w:val="none"/>
        </w:rPr>
        <w:t>见评标办法前附表。</w:t>
      </w:r>
    </w:p>
    <w:p>
      <w:pPr>
        <w:pageBreakBefore w:val="0"/>
        <w:kinsoku/>
        <w:wordWrap/>
        <w:overflowPunct/>
        <w:topLinePunct w:val="0"/>
        <w:autoSpaceDE/>
        <w:autoSpaceDN/>
        <w:bidi w:val="0"/>
        <w:adjustRightInd w:val="0"/>
        <w:spacing w:line="360" w:lineRule="auto"/>
        <w:ind w:left="0" w:leftChars="0"/>
        <w:textAlignment w:val="auto"/>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三、评标程序</w:t>
      </w:r>
    </w:p>
    <w:p>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3.1</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符合性审查。</w:t>
      </w:r>
      <w:r>
        <w:rPr>
          <w:rFonts w:hint="eastAsia" w:asciiTheme="minorEastAsia" w:hAnsiTheme="minorEastAsia" w:eastAsiaTheme="minorEastAsia" w:cstheme="minorEastAsia"/>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3.2 比较与评价。</w:t>
      </w:r>
      <w:r>
        <w:rPr>
          <w:rFonts w:hint="eastAsia" w:asciiTheme="minorEastAsia" w:hAnsiTheme="minorEastAsia" w:eastAsiaTheme="minorEastAsia" w:cstheme="minorEastAsia"/>
          <w:color w:val="auto"/>
          <w:kern w:val="0"/>
          <w:sz w:val="24"/>
          <w:szCs w:val="24"/>
          <w:highlight w:val="none"/>
        </w:rPr>
        <w:t>评标委员会应当按照招标文件中规定的评标方法和标准，对符合性审查合格的投标文件进行商务和技术评估，综合比较与评价。</w:t>
      </w:r>
    </w:p>
    <w:p>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3.3</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汇总商务技术得分。</w:t>
      </w:r>
      <w:r>
        <w:rPr>
          <w:rFonts w:hint="eastAsia" w:asciiTheme="minorEastAsia" w:hAnsiTheme="minorEastAsia" w:eastAsiaTheme="minorEastAsia" w:cstheme="minorEastAsia"/>
          <w:color w:val="auto"/>
          <w:kern w:val="0"/>
          <w:sz w:val="24"/>
          <w:szCs w:val="24"/>
          <w:highlight w:val="none"/>
        </w:rPr>
        <w:t>评标委员会各成员应当独立对每个投标人的商务和技术文件进行评价，汇总各评委打分的算术平均值（小数点后保留二位数），并汇总商务技术得分情况。</w:t>
      </w:r>
    </w:p>
    <w:p>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3.4</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报价评审。</w:t>
      </w:r>
    </w:p>
    <w:p>
      <w:pPr>
        <w:pageBreakBefore w:val="0"/>
        <w:widowControl w:val="0"/>
        <w:kinsoku/>
        <w:wordWrap/>
        <w:overflowPunct/>
        <w:topLinePunct w:val="0"/>
        <w:autoSpaceDE/>
        <w:autoSpaceDN/>
        <w:bidi w:val="0"/>
        <w:adjustRightInd w:val="0"/>
        <w:spacing w:before="0" w:after="0" w:line="360" w:lineRule="auto"/>
        <w:ind w:left="0" w:leftChars="0" w:firstLine="508" w:firstLineChars="212"/>
        <w:jc w:val="both"/>
        <w:textAlignment w:val="auto"/>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szCs w:val="20"/>
          <w:highlight w:val="none"/>
          <w:lang w:val="en-US" w:eastAsia="zh-CN" w:bidi="ar-SA"/>
        </w:rPr>
        <w:t>3.4.1 投标文件报价出现前后不一致的，按照下列规定修正：</w:t>
      </w:r>
    </w:p>
    <w:p>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3.4.1.1 投标文件中开标一览表(报价表)内容与投标文件中相应内容不一致的，以开标一览表(报价表)为准;</w:t>
      </w:r>
    </w:p>
    <w:p>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3.4.1.2 大写金额和小写金额不一致的，以大写金额为准;</w:t>
      </w:r>
    </w:p>
    <w:p>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3.4.1.3 单价金额小数点或者百分比有明显错位的，以开标一览表的总价为准，并修改单价;</w:t>
      </w:r>
    </w:p>
    <w:p>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3.4.1.4 总价金额与按单价汇总金额不一致的，以单价金额计算结果为准。</w:t>
      </w:r>
    </w:p>
    <w:p>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3.4.1.5 同时出现两种以上不一致的，按照3.4.1规定的顺序修正。修正后的报价按照财政部第87号令 《政府采购货物和服务招标投标管理办法》第五十一条第二款的规定经投标人确认后产生约束力。</w:t>
      </w:r>
    </w:p>
    <w:p>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3.4.2</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投标文件出现不是唯一的、有选择性投标报价的，投标无效。</w:t>
      </w:r>
    </w:p>
    <w:p>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3.4.3</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投标报价超过招标文件中规定的预算金额或者最高限价的，投标无效。</w:t>
      </w:r>
    </w:p>
    <w:p>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3.5</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排序与推荐。</w:t>
      </w:r>
      <w:r>
        <w:rPr>
          <w:rFonts w:hint="eastAsia" w:asciiTheme="minorEastAsia" w:hAnsiTheme="minorEastAsia" w:eastAsiaTheme="minorEastAsia" w:cstheme="minorEastAsia"/>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可以确定无异议的第二中标候选人为中标候选人，也可以重新招标。评分过程中采用四舍五入法，并保留小数2位。</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3.6</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编写评标报告。</w:t>
      </w:r>
      <w:r>
        <w:rPr>
          <w:rFonts w:hint="eastAsia" w:asciiTheme="minorEastAsia" w:hAnsiTheme="minorEastAsia" w:eastAsiaTheme="minorEastAsia" w:cstheme="minorEastAsia"/>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cstheme="minorEastAsia"/>
          <w:b/>
          <w:bCs/>
          <w:color w:val="auto"/>
          <w:sz w:val="24"/>
          <w:szCs w:val="20"/>
          <w:highlight w:val="none"/>
        </w:rPr>
        <w:t>评标过程中如发现有异常情况，由评委集体讨论决定。</w:t>
      </w:r>
    </w:p>
    <w:p>
      <w:pPr>
        <w:pageBreakBefore w:val="0"/>
        <w:kinsoku/>
        <w:wordWrap/>
        <w:overflowPunct/>
        <w:topLinePunct w:val="0"/>
        <w:autoSpaceDE/>
        <w:autoSpaceDN/>
        <w:bidi w:val="0"/>
        <w:adjustRightInd w:val="0"/>
        <w:spacing w:line="360" w:lineRule="auto"/>
        <w:ind w:left="0" w:leftChars="0"/>
        <w:textAlignment w:val="auto"/>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四、评标中的其他事项</w:t>
      </w:r>
    </w:p>
    <w:p>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4.1 投标人澄清、说明或者补正。</w:t>
      </w:r>
      <w:r>
        <w:rPr>
          <w:rFonts w:hint="eastAsia" w:asciiTheme="minorEastAsia" w:hAnsiTheme="minorEastAsia" w:eastAsiaTheme="minorEastAsia" w:cstheme="minorEastAsia"/>
          <w:color w:val="auto"/>
          <w:kern w:val="0"/>
          <w:sz w:val="24"/>
          <w:szCs w:val="24"/>
          <w:highlight w:val="none"/>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4.2投标无效。</w:t>
      </w:r>
      <w:r>
        <w:rPr>
          <w:rFonts w:hint="eastAsia" w:asciiTheme="minorEastAsia" w:hAnsiTheme="minorEastAsia" w:eastAsiaTheme="minorEastAsia" w:cstheme="minorEastAsia"/>
          <w:color w:val="auto"/>
          <w:kern w:val="2"/>
          <w:sz w:val="24"/>
          <w:szCs w:val="21"/>
          <w:highlight w:val="none"/>
          <w:lang w:val="en-US" w:eastAsia="zh-CN" w:bidi="ar-SA"/>
        </w:rPr>
        <w:t>有下列情况之一的，投标无效：</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4.2.1投标人不具备招标文件中规定的资格要求的（投标人未提供有效的资格文件的，视为投标人不具备招标文件中规定的资格要求）；</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4.2.2投标文件未按照招标文件要求签署、盖章的；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4.2.4投标文件含有采购人不能接受的附加条件的；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4.2.5投标文件中承诺的投标有效期少于招标文件中载明的投标有效期的；</w:t>
      </w:r>
    </w:p>
    <w:p>
      <w:pPr>
        <w:pageBreakBefore w:val="0"/>
        <w:kinsoku/>
        <w:wordWrap/>
        <w:overflowPunct/>
        <w:topLinePunct w:val="0"/>
        <w:autoSpaceDE/>
        <w:autoSpaceDN/>
        <w:bidi w:val="0"/>
        <w:adjustRightInd w:val="0"/>
        <w:snapToGrid w:val="0"/>
        <w:spacing w:line="360" w:lineRule="auto"/>
        <w:ind w:left="0" w:leftChars="0" w:firstLine="120" w:firstLineChars="5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4.2.6投标文件出现不是唯一的、有选择性投标报价的;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4.2.7投标报价超过招标文件中规定的预算金额或者最高限价的;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4.2.9投标人对根据修正原则修正后的报价不确认的；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4.2.10投标人提供虚假材料投标的；</w:t>
      </w:r>
    </w:p>
    <w:p>
      <w:pPr>
        <w:pageBreakBefore w:val="0"/>
        <w:kinsoku/>
        <w:wordWrap/>
        <w:overflowPunct/>
        <w:topLinePunct w:val="0"/>
        <w:autoSpaceDE/>
        <w:autoSpaceDN/>
        <w:bidi w:val="0"/>
        <w:adjustRightInd w:val="0"/>
        <w:spacing w:line="360" w:lineRule="auto"/>
        <w:ind w:left="0" w:leftChars="0" w:firstLine="240" w:firstLineChars="1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4.2.11投标人有恶意串通、妨碍其他投标人的竞争行为、损害采购人或者其他投标人的合法权益情形的；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4.2.12投标人仅提交备份投标文件，没有在电子交易平台传输递交投标文件的，投标无效；</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4.2.13 投标文件不满足招标文件的其它实质性要求的；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4.2.14法律、法规、规章（适用本市的）及省级以上规范性文件（适用本市的）规定的其他无效情形。</w:t>
      </w:r>
    </w:p>
    <w:p>
      <w:pPr>
        <w:pageBreakBefore w:val="0"/>
        <w:widowControl w:val="0"/>
        <w:kinsoku/>
        <w:wordWrap/>
        <w:overflowPunct/>
        <w:topLinePunct w:val="0"/>
        <w:autoSpaceDE/>
        <w:autoSpaceDN/>
        <w:bidi w:val="0"/>
        <w:adjustRightInd w:val="0"/>
        <w:snapToGrid w:val="0"/>
        <w:spacing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5.废标。</w:t>
      </w:r>
      <w:r>
        <w:rPr>
          <w:rFonts w:hint="eastAsia" w:asciiTheme="minorEastAsia" w:hAnsiTheme="minorEastAsia" w:eastAsiaTheme="minorEastAsia" w:cstheme="minorEastAsia"/>
          <w:color w:val="auto"/>
          <w:kern w:val="2"/>
          <w:sz w:val="24"/>
          <w:szCs w:val="24"/>
          <w:highlight w:val="none"/>
          <w:lang w:val="en-US" w:eastAsia="zh-CN" w:bidi="ar-SA"/>
        </w:rPr>
        <w:t>根据《中华人民共和国政府采购法》第三十六条之规定，在采购中，出现下列情形之一的，应予废标：</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5.1符合专业条件的供应商或者对招标文件作实质响应的供应商不足3家的；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5.2出现影响采购公正的违法、违规行为的；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5.3投标人的报价均超过了采购预算，采购人不能支付的；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5.4因重大变故，采购任务取消的。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废标后，采购机构应当将废标理由通知所有投标人。</w:t>
      </w:r>
    </w:p>
    <w:p>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6.修改招标文件，重新组织采购活动。</w:t>
      </w:r>
      <w:r>
        <w:rPr>
          <w:rFonts w:hint="eastAsia" w:asciiTheme="minorEastAsia" w:hAnsiTheme="minorEastAsia" w:eastAsiaTheme="minorEastAsia" w:cstheme="minorEastAsia"/>
          <w:color w:val="auto"/>
          <w:kern w:val="2"/>
          <w:sz w:val="24"/>
          <w:szCs w:val="24"/>
          <w:highlight w:val="none"/>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7.重新开展采购。</w:t>
      </w:r>
      <w:r>
        <w:rPr>
          <w:rFonts w:hint="eastAsia" w:asciiTheme="minorEastAsia" w:hAnsiTheme="minorEastAsia" w:eastAsiaTheme="minorEastAsia" w:cstheme="minorEastAsia"/>
          <w:color w:val="auto"/>
          <w:kern w:val="2"/>
          <w:sz w:val="24"/>
          <w:szCs w:val="24"/>
          <w:highlight w:val="none"/>
          <w:lang w:val="en-US" w:eastAsia="zh-CN" w:bidi="ar-SA"/>
        </w:rPr>
        <w:t>有政府采购法第七十一条、第七十二条规定的违法行为之一，影响或者可能影响中标、成交结果的，依照下列规定处理：</w:t>
      </w:r>
    </w:p>
    <w:p>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7.1未确定中标或者中标人的，终止本次政府采购活动，重新开展政府采购活动。</w:t>
      </w:r>
    </w:p>
    <w:p>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7.2已确定中标或者中标人但尚未签订政府采购合同的，中标或者成交结果无效，从合格的中标或者成交候选人中另行确定中标或者中标人；没有合格的中标或者成交候选人的，重新开展政府采购活动。</w:t>
      </w:r>
    </w:p>
    <w:p>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7.3政府采购合同已签订但尚未履行的，撤销合同，从合格的中标或者成交候选人中另行确定中标或者中标人；没有合格的中标或者成交候选人的，重新开展政府采购活动。</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7.4政府采购合同已经履行，给采购人、供应商造成损失的，由责任人承担赔偿责任。</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7.5政府采购当事人有其他违反政府采购法</w:t>
      </w:r>
      <w:r>
        <w:rPr>
          <w:rFonts w:hint="eastAsia" w:asciiTheme="minorEastAsia" w:hAnsiTheme="minorEastAsia" w:eastAsiaTheme="minorEastAsia" w:cstheme="minorEastAsia"/>
          <w:color w:val="auto"/>
          <w:kern w:val="0"/>
          <w:sz w:val="24"/>
          <w:szCs w:val="24"/>
          <w:highlight w:val="none"/>
          <w:lang w:val="en-US" w:eastAsia="zh-CN" w:bidi="ar-SA"/>
        </w:rPr>
        <w:t>或者政府采购法实施条例等法律法规规定</w:t>
      </w:r>
      <w:r>
        <w:rPr>
          <w:rFonts w:hint="eastAsia" w:asciiTheme="minorEastAsia" w:hAnsiTheme="minorEastAsia" w:eastAsiaTheme="minorEastAsia" w:cstheme="minorEastAsia"/>
          <w:color w:val="auto"/>
          <w:kern w:val="2"/>
          <w:sz w:val="24"/>
          <w:szCs w:val="24"/>
          <w:highlight w:val="none"/>
          <w:lang w:val="en-US" w:eastAsia="zh-CN" w:bidi="ar-SA"/>
        </w:rPr>
        <w:t>的行为，经改正后仍然影响或者可能影响中标、成交结果或者依法被认定为中标、成交无效的，依照7.1-7.4规定处理。</w:t>
      </w:r>
    </w:p>
    <w:p>
      <w:pPr>
        <w:pageBreakBefore w:val="0"/>
        <w:widowControl w:val="0"/>
        <w:kinsoku/>
        <w:wordWrap/>
        <w:overflowPunct/>
        <w:topLinePunct w:val="0"/>
        <w:autoSpaceDE/>
        <w:autoSpaceDN/>
        <w:bidi w:val="0"/>
        <w:adjustRightInd w:val="0"/>
        <w:snapToGrid w:val="0"/>
        <w:spacing w:after="0" w:line="36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sz w:val="28"/>
          <w:szCs w:val="28"/>
          <w:highlight w:val="none"/>
          <w:lang w:val="en-US" w:eastAsia="zh-CN"/>
        </w:rPr>
        <w:t>五、</w:t>
      </w:r>
      <w:r>
        <w:rPr>
          <w:rFonts w:hint="eastAsia" w:asciiTheme="minorEastAsia" w:hAnsiTheme="minorEastAsia" w:eastAsiaTheme="minorEastAsia" w:cstheme="minorEastAsia"/>
          <w:b/>
          <w:color w:val="auto"/>
          <w:sz w:val="28"/>
          <w:szCs w:val="28"/>
          <w:highlight w:val="none"/>
        </w:rPr>
        <w:t>评审纪律和要求</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1.评审专家必须公平、公正评审，遵纪守法，客观、廉洁地履行职责。</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2.评审专家在评审开始前，应关闭并上交随身携带的各种通信工具。</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3.评审专家在评审过程中，未经许可不得中途离开评审现场，不得迟到早退。</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4.评审专家和工作人员不得透露评审过程中的讨论情况和评审结果。</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6.采购人、采购代理机构不得向评审委员会的评审专家作倾向性、误导性的解释或者说明。</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8.评审专家在评审过程中不得将自己的观点强加给其他评审专家，评审专家应自主发表见解，对评审意见承担个人责任。</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10.评审专家应当独立、客观、公正地提出评审意见，不得带有倾向性，不得影响其他评审专家评审，并在评审报告上签字；如对评审报告有异议的，可在报告上签署不同意见，并说明理由，否则将视为同意。</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11.评审专家应当遵守评审工作纪律，不得泄露评审文件、评审情况和评审中获悉的商业秘密。</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评审委员会在评审过程中发现投标人有行贿、提供虚假材料或者串通等违法行为的，应当及时向财政部门报告。</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12.招标文件内容违反国家有关强制性规定的，评审委员会应当停止评审并向采购代理机构说明情况。</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13.评审专家应当配合采购代理机构答复投标人提出的质疑。</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14.评审专家应当配合财政部门的投诉处理工作。</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15.评审专家有如下行为之一的，责令改正，给予警告，可以并处一千元以下的罚款：</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①明知应当回避而未主动回避的；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②在得知自己为评审专家身份后至评审结束前时段内私下接触投标人的；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③在评审过程中擅离职守，影响评审程序正常进行的；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④在评审过程有明显不合理或者不正当倾向性的；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⑤未按招标文件规定的评审方法和标准进行评审的。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⑥上述①至⑤行为影响中标结果的，中标结果无效。</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政府采购评审专家与投标人存在利害关系未回避的，处2万元以上5万元以下的罚款，禁止其参加政府采购评审活动。</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政府采购评审专家收受采购人、采购代理机构、投标人贿赂或者获取其他不正当利益，构成犯罪的，依法追究刑事责任；尚不构成犯罪的，处2万元以上5万元以下的罚款，禁止其参加政府采购评审活动。</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政府采购评审专家有上述违法行为的，其评审意见无效，不得获取评审费；有违法所得的，没收违法所得；给他人造成损失的，依法承担民事责任。</w:t>
      </w:r>
    </w:p>
    <w:p>
      <w:pP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br w:type="page"/>
      </w:r>
    </w:p>
    <w:p>
      <w:pPr>
        <w:pStyle w:val="21"/>
        <w:ind w:left="0" w:leftChars="0" w:firstLine="0" w:firstLineChars="0"/>
        <w:jc w:val="cente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第五部分 拟签订的合同文本</w:t>
      </w:r>
    </w:p>
    <w:p>
      <w:pPr>
        <w:spacing w:before="156" w:beforeLines="50" w:line="240" w:lineRule="auto"/>
        <w:jc w:val="center"/>
        <w:rPr>
          <w:rFonts w:hint="eastAsia" w:asciiTheme="minorEastAsia" w:hAnsiTheme="minorEastAsia" w:eastAsiaTheme="minorEastAsia" w:cstheme="minorEastAsia"/>
          <w:b/>
          <w:bCs/>
          <w:color w:val="auto"/>
          <w:sz w:val="24"/>
          <w:szCs w:val="28"/>
          <w:highlight w:val="none"/>
        </w:rPr>
      </w:pPr>
      <w:bookmarkStart w:id="10" w:name="_Toc306883934"/>
      <w:bookmarkStart w:id="11" w:name="_Toc309034225"/>
      <w:r>
        <w:rPr>
          <w:rFonts w:hint="eastAsia" w:asciiTheme="minorEastAsia" w:hAnsiTheme="minorEastAsia" w:eastAsiaTheme="minorEastAsia" w:cstheme="minorEastAsia"/>
          <w:b/>
          <w:bCs/>
          <w:color w:val="auto"/>
          <w:sz w:val="24"/>
          <w:szCs w:val="28"/>
          <w:highlight w:val="none"/>
        </w:rPr>
        <w:t>合同</w:t>
      </w:r>
      <w:bookmarkEnd w:id="10"/>
      <w:r>
        <w:rPr>
          <w:rFonts w:hint="eastAsia" w:asciiTheme="minorEastAsia" w:hAnsiTheme="minorEastAsia" w:eastAsiaTheme="minorEastAsia" w:cstheme="minorEastAsia"/>
          <w:b/>
          <w:bCs/>
          <w:color w:val="auto"/>
          <w:sz w:val="24"/>
          <w:szCs w:val="28"/>
          <w:highlight w:val="none"/>
        </w:rPr>
        <w:t>格式（供签约参考）</w:t>
      </w:r>
      <w:bookmarkEnd w:id="11"/>
    </w:p>
    <w:p>
      <w:pPr>
        <w:spacing w:before="156" w:beforeLines="50"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pPr>
        <w:spacing w:before="156" w:beforeLines="50"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pPr>
        <w:spacing w:after="156" w:afterLines="50" w:line="240" w:lineRule="auto"/>
        <w:rPr>
          <w:rFonts w:hint="eastAsia" w:asciiTheme="minorEastAsia" w:hAnsiTheme="minorEastAsia" w:eastAsiaTheme="minorEastAsia" w:cstheme="minorEastAsia"/>
          <w:color w:val="auto"/>
          <w:sz w:val="24"/>
          <w:szCs w:val="24"/>
          <w:highlight w:val="none"/>
          <w:u w:val="single"/>
        </w:rPr>
      </w:pP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 xml:space="preserve"> 甲、乙双方根据</w:t>
      </w:r>
      <w:r>
        <w:rPr>
          <w:rFonts w:hint="eastAsia" w:asciiTheme="minorEastAsia" w:hAnsiTheme="minorEastAsia" w:eastAsiaTheme="minorEastAsia" w:cstheme="minorEastAsia"/>
          <w:color w:val="auto"/>
          <w:sz w:val="24"/>
          <w:szCs w:val="24"/>
          <w:highlight w:val="none"/>
          <w:lang w:eastAsia="zh-CN"/>
        </w:rPr>
        <w:t>2023年浦江县农村污水处理设施建设改造项目（第三批）仙华街道、郑家坞镇设备采购</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项目编号</w:t>
      </w:r>
      <w:r>
        <w:rPr>
          <w:rFonts w:hint="eastAsia" w:asciiTheme="minorEastAsia" w:hAnsiTheme="minorEastAsia" w:eastAsiaTheme="minorEastAsia" w:cstheme="minorEastAsia"/>
          <w:color w:val="auto"/>
          <w:sz w:val="24"/>
          <w:szCs w:val="24"/>
          <w:highlight w:val="none"/>
        </w:rPr>
        <w:t>：        ）公开招标的结果，签署本合同。</w:t>
      </w:r>
    </w:p>
    <w:p>
      <w:pPr>
        <w:autoSpaceDE w:val="0"/>
        <w:autoSpaceDN w:val="0"/>
        <w:adjustRightInd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rPr>
        <w:t>合同产品和服务名称、数量及价格：</w:t>
      </w:r>
    </w:p>
    <w:tbl>
      <w:tblPr>
        <w:tblStyle w:val="23"/>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568"/>
        <w:gridCol w:w="914"/>
        <w:gridCol w:w="1253"/>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900" w:type="dxa"/>
            <w:noWrap w:val="0"/>
            <w:vAlign w:val="center"/>
          </w:tcPr>
          <w:p>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产品名称</w:t>
            </w:r>
          </w:p>
        </w:tc>
        <w:tc>
          <w:tcPr>
            <w:tcW w:w="2568" w:type="dxa"/>
            <w:noWrap w:val="0"/>
            <w:vAlign w:val="center"/>
          </w:tcPr>
          <w:p>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型号</w:t>
            </w:r>
          </w:p>
        </w:tc>
        <w:tc>
          <w:tcPr>
            <w:tcW w:w="914" w:type="dxa"/>
            <w:noWrap w:val="0"/>
            <w:vAlign w:val="center"/>
          </w:tcPr>
          <w:p>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数量</w:t>
            </w:r>
          </w:p>
        </w:tc>
        <w:tc>
          <w:tcPr>
            <w:tcW w:w="1253" w:type="dxa"/>
            <w:noWrap w:val="0"/>
            <w:vAlign w:val="center"/>
          </w:tcPr>
          <w:p>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单价</w:t>
            </w:r>
          </w:p>
        </w:tc>
        <w:tc>
          <w:tcPr>
            <w:tcW w:w="1891" w:type="dxa"/>
            <w:noWrap w:val="0"/>
            <w:vAlign w:val="center"/>
          </w:tcPr>
          <w:p>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00" w:type="dxa"/>
            <w:noWrap w:val="0"/>
            <w:vAlign w:val="center"/>
          </w:tcPr>
          <w:p>
            <w:pPr>
              <w:keepNext w:val="0"/>
              <w:keepLines w:val="0"/>
              <w:suppressLineNumbers w:val="0"/>
              <w:spacing w:before="0" w:beforeAutospacing="0" w:after="0" w:afterAutospacing="0" w:line="0" w:lineRule="atLeast"/>
              <w:ind w:left="-105" w:right="-114"/>
              <w:jc w:val="center"/>
              <w:rPr>
                <w:rFonts w:hint="eastAsia" w:asciiTheme="minorEastAsia" w:hAnsiTheme="minorEastAsia" w:eastAsiaTheme="minorEastAsia" w:cstheme="minorEastAsia"/>
                <w:color w:val="auto"/>
                <w:sz w:val="24"/>
                <w:szCs w:val="24"/>
                <w:highlight w:val="none"/>
              </w:rPr>
            </w:pPr>
          </w:p>
        </w:tc>
        <w:tc>
          <w:tcPr>
            <w:tcW w:w="2568" w:type="dxa"/>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p>
        </w:tc>
        <w:tc>
          <w:tcPr>
            <w:tcW w:w="914" w:type="dxa"/>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p>
        </w:tc>
        <w:tc>
          <w:tcPr>
            <w:tcW w:w="1253" w:type="dxa"/>
            <w:noWrap w:val="0"/>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kern w:val="0"/>
                <w:sz w:val="24"/>
                <w:szCs w:val="24"/>
                <w:highlight w:val="none"/>
              </w:rPr>
            </w:pPr>
          </w:p>
        </w:tc>
        <w:tc>
          <w:tcPr>
            <w:tcW w:w="1891" w:type="dxa"/>
            <w:noWrap w:val="0"/>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00" w:type="dxa"/>
            <w:noWrap w:val="0"/>
            <w:vAlign w:val="center"/>
          </w:tcPr>
          <w:p>
            <w:pPr>
              <w:keepNext w:val="0"/>
              <w:keepLines w:val="0"/>
              <w:suppressLineNumbers w:val="0"/>
              <w:spacing w:before="0" w:beforeAutospacing="0" w:after="0" w:afterAutospacing="0" w:line="0" w:lineRule="atLeast"/>
              <w:ind w:left="-105" w:right="-114"/>
              <w:jc w:val="center"/>
              <w:rPr>
                <w:rFonts w:hint="eastAsia" w:asciiTheme="minorEastAsia" w:hAnsiTheme="minorEastAsia" w:eastAsiaTheme="minorEastAsia" w:cstheme="minorEastAsia"/>
                <w:color w:val="auto"/>
                <w:sz w:val="24"/>
                <w:szCs w:val="24"/>
                <w:highlight w:val="none"/>
              </w:rPr>
            </w:pPr>
          </w:p>
        </w:tc>
        <w:tc>
          <w:tcPr>
            <w:tcW w:w="2568" w:type="dxa"/>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p>
        </w:tc>
        <w:tc>
          <w:tcPr>
            <w:tcW w:w="914" w:type="dxa"/>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p>
        </w:tc>
        <w:tc>
          <w:tcPr>
            <w:tcW w:w="1253" w:type="dxa"/>
            <w:noWrap w:val="0"/>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kern w:val="0"/>
                <w:sz w:val="24"/>
                <w:szCs w:val="24"/>
                <w:highlight w:val="none"/>
              </w:rPr>
            </w:pPr>
          </w:p>
        </w:tc>
        <w:tc>
          <w:tcPr>
            <w:tcW w:w="1891" w:type="dxa"/>
            <w:noWrap w:val="0"/>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00" w:type="dxa"/>
            <w:noWrap w:val="0"/>
            <w:vAlign w:val="center"/>
          </w:tcPr>
          <w:p>
            <w:pPr>
              <w:keepNext w:val="0"/>
              <w:keepLines w:val="0"/>
              <w:suppressLineNumbers w:val="0"/>
              <w:spacing w:before="0" w:beforeAutospacing="0" w:after="0" w:afterAutospacing="0" w:line="0" w:lineRule="atLeast"/>
              <w:ind w:left="-105" w:right="-114"/>
              <w:jc w:val="center"/>
              <w:rPr>
                <w:rFonts w:hint="eastAsia" w:asciiTheme="minorEastAsia" w:hAnsiTheme="minorEastAsia" w:eastAsiaTheme="minorEastAsia" w:cstheme="minorEastAsia"/>
                <w:color w:val="auto"/>
                <w:sz w:val="24"/>
                <w:szCs w:val="24"/>
                <w:highlight w:val="none"/>
              </w:rPr>
            </w:pPr>
          </w:p>
        </w:tc>
        <w:tc>
          <w:tcPr>
            <w:tcW w:w="2568" w:type="dxa"/>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p>
        </w:tc>
        <w:tc>
          <w:tcPr>
            <w:tcW w:w="914" w:type="dxa"/>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p>
        </w:tc>
        <w:tc>
          <w:tcPr>
            <w:tcW w:w="1253" w:type="dxa"/>
            <w:noWrap w:val="0"/>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kern w:val="0"/>
                <w:sz w:val="24"/>
                <w:szCs w:val="24"/>
                <w:highlight w:val="none"/>
              </w:rPr>
            </w:pPr>
          </w:p>
        </w:tc>
        <w:tc>
          <w:tcPr>
            <w:tcW w:w="1891" w:type="dxa"/>
            <w:noWrap w:val="0"/>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kern w:val="0"/>
                <w:sz w:val="24"/>
                <w:szCs w:val="24"/>
                <w:highlight w:val="none"/>
              </w:rPr>
            </w:pPr>
          </w:p>
        </w:tc>
      </w:tr>
    </w:tbl>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kern w:val="0"/>
          <w:sz w:val="24"/>
          <w:szCs w:val="24"/>
          <w:highlight w:val="none"/>
        </w:rPr>
        <w:t>合同总价内包含的内容：</w:t>
      </w:r>
      <w:r>
        <w:rPr>
          <w:rFonts w:hint="eastAsia" w:asciiTheme="minorEastAsia" w:hAnsiTheme="minorEastAsia" w:eastAsiaTheme="minorEastAsia" w:cstheme="minorEastAsia"/>
          <w:color w:val="auto"/>
          <w:sz w:val="24"/>
          <w:szCs w:val="24"/>
          <w:highlight w:val="none"/>
        </w:rPr>
        <w:t>包括</w:t>
      </w:r>
      <w:r>
        <w:rPr>
          <w:rFonts w:hint="eastAsia" w:asciiTheme="minorEastAsia" w:hAnsiTheme="minorEastAsia" w:eastAsiaTheme="minorEastAsia" w:cstheme="minorEastAsia"/>
          <w:color w:val="auto"/>
          <w:sz w:val="24"/>
          <w:szCs w:val="24"/>
          <w:highlight w:val="none"/>
          <w:lang w:eastAsia="zh-CN"/>
        </w:rPr>
        <w:t>货款、标准附件、备品备件、专用工具、包装、运输、装卸、安装调试、管理费、利润、风险费、保险、税金、培训、技术指导、服务、专利费（著作权）、代理费、其他费用</w:t>
      </w:r>
      <w:r>
        <w:rPr>
          <w:rFonts w:hint="eastAsia" w:asciiTheme="minorEastAsia" w:hAnsiTheme="minorEastAsia" w:eastAsiaTheme="minorEastAsia" w:cstheme="minorEastAsia"/>
          <w:color w:val="auto"/>
          <w:sz w:val="24"/>
          <w:szCs w:val="24"/>
          <w:highlight w:val="none"/>
        </w:rPr>
        <w:t>等完成招标内容及要求所提供的货物及服务过程中涉及的一切费用</w:t>
      </w:r>
      <w:r>
        <w:rPr>
          <w:rFonts w:hint="eastAsia" w:asciiTheme="minorEastAsia" w:hAnsiTheme="minorEastAsia" w:eastAsiaTheme="minorEastAsia" w:cstheme="minorEastAsia"/>
          <w:color w:val="auto"/>
          <w:spacing w:val="20"/>
          <w:sz w:val="24"/>
          <w:szCs w:val="24"/>
          <w:highlight w:val="none"/>
        </w:rPr>
        <w:t>。</w:t>
      </w:r>
    </w:p>
    <w:p>
      <w:pPr>
        <w:keepNext w:val="0"/>
        <w:keepLines w:val="0"/>
        <w:pageBreakBefore w:val="0"/>
        <w:widowControl w:val="0"/>
        <w:numPr>
          <w:ilvl w:val="0"/>
          <w:numId w:val="0"/>
        </w:numPr>
        <w:kinsoku/>
        <w:wordWrap/>
        <w:overflowPunct/>
        <w:topLinePunct w:val="0"/>
        <w:bidi w:val="0"/>
        <w:spacing w:line="34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二、</w:t>
      </w:r>
      <w:r>
        <w:rPr>
          <w:rFonts w:hint="eastAsia" w:asciiTheme="minorEastAsia" w:hAnsiTheme="minorEastAsia" w:eastAsiaTheme="minorEastAsia" w:cstheme="minorEastAsia"/>
          <w:b/>
          <w:bCs/>
          <w:color w:val="auto"/>
          <w:kern w:val="0"/>
          <w:sz w:val="24"/>
          <w:szCs w:val="24"/>
          <w:highlight w:val="none"/>
        </w:rPr>
        <w:t>履约保证金</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sz w:val="24"/>
          <w:szCs w:val="24"/>
          <w:highlight w:val="none"/>
          <w:lang w:val="en-US" w:eastAsia="zh-CN"/>
        </w:rPr>
        <w:t>提供给甲方</w:t>
      </w:r>
      <w:r>
        <w:rPr>
          <w:rFonts w:hint="eastAsia" w:asciiTheme="minorEastAsia" w:hAnsiTheme="minorEastAsia" w:eastAsiaTheme="minorEastAsia" w:cstheme="minorEastAsia"/>
          <w:color w:val="auto"/>
          <w:sz w:val="24"/>
          <w:szCs w:val="24"/>
          <w:highlight w:val="none"/>
        </w:rPr>
        <w:t>人民币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万元作为本合同的履约保证金。</w:t>
      </w:r>
    </w:p>
    <w:p>
      <w:pPr>
        <w:keepNext w:val="0"/>
        <w:keepLines w:val="0"/>
        <w:pageBreakBefore w:val="0"/>
        <w:widowControl w:val="0"/>
        <w:numPr>
          <w:ilvl w:val="0"/>
          <w:numId w:val="0"/>
        </w:numPr>
        <w:kinsoku/>
        <w:wordWrap/>
        <w:overflowPunct/>
        <w:topLinePunct w:val="0"/>
        <w:bidi w:val="0"/>
        <w:spacing w:line="348"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r>
        <w:rPr>
          <w:rFonts w:hint="eastAsia" w:asciiTheme="minorEastAsia" w:hAnsiTheme="minorEastAsia" w:eastAsiaTheme="minorEastAsia" w:cstheme="minorEastAsia"/>
          <w:color w:val="auto"/>
          <w:sz w:val="24"/>
          <w:szCs w:val="24"/>
          <w:highlight w:val="none"/>
          <w:lang w:val="en-US" w:eastAsia="zh-CN"/>
        </w:rPr>
        <w:t>缴纳形式</w:t>
      </w:r>
      <w:r>
        <w:rPr>
          <w:rFonts w:hint="eastAsia" w:asciiTheme="minorEastAsia" w:hAnsiTheme="minorEastAsia" w:eastAsiaTheme="minorEastAsia" w:cstheme="minorEastAsia"/>
          <w:color w:val="auto"/>
          <w:sz w:val="24"/>
          <w:szCs w:val="24"/>
          <w:highlight w:val="none"/>
        </w:rPr>
        <w:t>：供应商应当以支票、汇票、本票或者金融机构、担保机构出具的保函等非现金形式提交。</w:t>
      </w:r>
    </w:p>
    <w:p>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￭履约保证金形式为支票、汇票、本票（账户另行通知）的，履约保证金待验收通过后视履约情况到</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处办理履约保证金的退还手续。</w:t>
      </w:r>
    </w:p>
    <w:p>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形式为银行保函或者保险公司保证保险，履约保证金保函应在合同履行期限内有效，如出现工期延期等情况，及时办理续保手续，不得出现保函或保险时效失效的情况；如出现保函或保险时效失效的情况，则</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需支付保函时效失效违约金，该违约金按500元/天计算。如出现保函或保险失效的情况，导致</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的违约金额无法从保函或保险出具单位理赔的，</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有权从合同款中予以直接扣除。</w:t>
      </w:r>
    </w:p>
    <w:p>
      <w:pPr>
        <w:autoSpaceDE w:val="0"/>
        <w:autoSpaceDN w:val="0"/>
        <w:adjustRightInd w:val="0"/>
        <w:spacing w:line="360" w:lineRule="auto"/>
        <w:ind w:firstLine="480" w:firstLineChars="20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履约保证金退还时间：项目验收合格并经</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认可后无息退还。</w:t>
      </w:r>
    </w:p>
    <w:p>
      <w:pPr>
        <w:autoSpaceDE w:val="0"/>
        <w:autoSpaceDN w:val="0"/>
        <w:adjustRightInd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rPr>
        <w:t>结算方法、付款方式及付款期：</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bCs/>
          <w:color w:val="auto"/>
          <w:sz w:val="24"/>
          <w:szCs w:val="24"/>
          <w:highlight w:val="none"/>
        </w:rPr>
        <w:t>中标单价乘实际供货数量为实际结算价。</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付款方式：签订合同及具备实施条件后7个工作日内，甲方凭发票向中标人支付合同价款的40%作为预付款（中标人需出具同金额预付款保函。如中标人明确表示无需预付款或者主动要求降低预付款比例的，甲方可不支付或减少预付款支付比例），主要设备到场凭发票支付合同价款的40%，安装、调试、水质验收合格后10个工作日内凭发票付清余款。</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注：如有预付款保函，预付款保函应在合同履行期限内有效，如出现工期延期等情况，乙方须及时办理续保手续，不得出现保函时效失效的情况；如出现保函时效失效的情况，则乙方需支付保函时效失效违约金，该违约金按1000元/天计算。如出现保函失效的情况，导致甲方的预付款无法从保函出具单位理赔的，或者乙方未按合同约定履行合同的，乙方须将预付款返还给甲方；并且甲方有权终止合同。</w:t>
      </w:r>
    </w:p>
    <w:p>
      <w:pPr>
        <w:autoSpaceDE w:val="0"/>
        <w:autoSpaceDN w:val="0"/>
        <w:adjustRightInd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四、</w:t>
      </w:r>
      <w:r>
        <w:rPr>
          <w:rFonts w:hint="eastAsia" w:asciiTheme="minorEastAsia" w:hAnsiTheme="minorEastAsia" w:eastAsiaTheme="minorEastAsia" w:cstheme="minorEastAsia"/>
          <w:b/>
          <w:bCs/>
          <w:color w:val="auto"/>
          <w:sz w:val="24"/>
          <w:szCs w:val="24"/>
          <w:highlight w:val="none"/>
        </w:rPr>
        <w:t>交货时间及交货地点：</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交货（完工）地点：</w:t>
      </w:r>
      <w:r>
        <w:rPr>
          <w:rFonts w:hint="eastAsia" w:asciiTheme="minorEastAsia" w:hAnsiTheme="minorEastAsia" w:eastAsiaTheme="minorEastAsia" w:cstheme="minorEastAsia"/>
          <w:color w:val="auto"/>
          <w:kern w:val="0"/>
          <w:sz w:val="24"/>
          <w:szCs w:val="24"/>
          <w:highlight w:val="none"/>
          <w:lang w:val="en-US" w:eastAsia="zh-CN"/>
        </w:rPr>
        <w:t>甲方</w:t>
      </w:r>
      <w:r>
        <w:rPr>
          <w:rFonts w:hint="eastAsia" w:asciiTheme="minorEastAsia" w:hAnsiTheme="minorEastAsia" w:eastAsiaTheme="minorEastAsia" w:cstheme="minorEastAsia"/>
          <w:color w:val="auto"/>
          <w:kern w:val="0"/>
          <w:sz w:val="24"/>
          <w:szCs w:val="24"/>
          <w:highlight w:val="none"/>
        </w:rPr>
        <w:t xml:space="preserve">指定地址。 </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交货（完工）期限：</w:t>
      </w:r>
      <w:r>
        <w:rPr>
          <w:rFonts w:hint="eastAsia" w:asciiTheme="minorEastAsia" w:hAnsiTheme="minorEastAsia" w:eastAsiaTheme="minorEastAsia" w:cstheme="minorEastAsia"/>
          <w:color w:val="auto"/>
          <w:kern w:val="0"/>
          <w:sz w:val="24"/>
          <w:szCs w:val="24"/>
          <w:highlight w:val="none"/>
          <w:lang w:eastAsia="zh-CN"/>
        </w:rPr>
        <w:t>土建完成后20日历天内完成安装调试并经验收通过</w:t>
      </w:r>
      <w:r>
        <w:rPr>
          <w:rFonts w:hint="eastAsia" w:asciiTheme="minorEastAsia" w:hAnsiTheme="minorEastAsia" w:eastAsiaTheme="minorEastAsia" w:cstheme="minorEastAsia"/>
          <w:color w:val="auto"/>
          <w:kern w:val="0"/>
          <w:sz w:val="24"/>
          <w:szCs w:val="24"/>
          <w:highlight w:val="none"/>
        </w:rPr>
        <w:t>。</w:t>
      </w:r>
    </w:p>
    <w:p>
      <w:pPr>
        <w:autoSpaceDE w:val="0"/>
        <w:autoSpaceDN w:val="0"/>
        <w:adjustRightInd w:val="0"/>
        <w:spacing w:line="360" w:lineRule="auto"/>
        <w:ind w:firstLine="480"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交货方式：按</w:t>
      </w:r>
      <w:r>
        <w:rPr>
          <w:rFonts w:hint="eastAsia" w:asciiTheme="minorEastAsia" w:hAnsiTheme="minorEastAsia" w:eastAsiaTheme="minorEastAsia" w:cstheme="minorEastAsia"/>
          <w:color w:val="auto"/>
          <w:kern w:val="0"/>
          <w:sz w:val="24"/>
          <w:szCs w:val="24"/>
          <w:highlight w:val="none"/>
          <w:lang w:eastAsia="zh-CN"/>
        </w:rPr>
        <w:t>甲方</w:t>
      </w:r>
      <w:r>
        <w:rPr>
          <w:rFonts w:hint="eastAsia" w:asciiTheme="minorEastAsia" w:hAnsiTheme="minorEastAsia" w:eastAsiaTheme="minorEastAsia" w:cstheme="minorEastAsia"/>
          <w:color w:val="auto"/>
          <w:kern w:val="0"/>
          <w:sz w:val="24"/>
          <w:szCs w:val="24"/>
          <w:highlight w:val="none"/>
        </w:rPr>
        <w:t>要求。</w:t>
      </w:r>
    </w:p>
    <w:p>
      <w:pPr>
        <w:autoSpaceDE w:val="0"/>
        <w:autoSpaceDN w:val="0"/>
        <w:adjustRightInd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五、</w:t>
      </w:r>
      <w:r>
        <w:rPr>
          <w:rFonts w:hint="eastAsia" w:asciiTheme="minorEastAsia" w:hAnsiTheme="minorEastAsia" w:eastAsiaTheme="minorEastAsia" w:cstheme="minorEastAsia"/>
          <w:b/>
          <w:bCs/>
          <w:color w:val="auto"/>
          <w:sz w:val="24"/>
          <w:szCs w:val="24"/>
          <w:highlight w:val="none"/>
        </w:rPr>
        <w:t>其他约定事项：</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乙方交付技术资料的时间、数量和质量按</w:t>
      </w:r>
      <w:r>
        <w:rPr>
          <w:rFonts w:hint="eastAsia" w:asciiTheme="minorEastAsia" w:hAnsiTheme="minorEastAsia" w:eastAsiaTheme="minorEastAsia" w:cstheme="minorEastAsia"/>
          <w:color w:val="auto"/>
          <w:kern w:val="0"/>
          <w:sz w:val="24"/>
          <w:szCs w:val="24"/>
          <w:highlight w:val="none"/>
          <w:lang w:eastAsia="zh-CN"/>
        </w:rPr>
        <w:t>甲方</w:t>
      </w:r>
      <w:r>
        <w:rPr>
          <w:rFonts w:hint="eastAsia" w:asciiTheme="minorEastAsia" w:hAnsiTheme="minorEastAsia" w:eastAsiaTheme="minorEastAsia" w:cstheme="minorEastAsia"/>
          <w:color w:val="auto"/>
          <w:kern w:val="0"/>
          <w:sz w:val="24"/>
          <w:szCs w:val="24"/>
          <w:highlight w:val="none"/>
        </w:rPr>
        <w:t>要求；</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关于交货和终交验收的约定：交货完毕并试用一个月满后，由甲、乙双方</w:t>
      </w:r>
      <w:r>
        <w:rPr>
          <w:rFonts w:hint="eastAsia" w:asciiTheme="minorEastAsia" w:hAnsiTheme="minorEastAsia" w:eastAsiaTheme="minorEastAsia" w:cstheme="minorEastAsia"/>
          <w:color w:val="auto"/>
          <w:kern w:val="0"/>
          <w:sz w:val="24"/>
          <w:szCs w:val="24"/>
          <w:highlight w:val="none"/>
          <w:lang w:val="en-US" w:eastAsia="zh-CN"/>
        </w:rPr>
        <w:t>派</w:t>
      </w:r>
      <w:r>
        <w:rPr>
          <w:rFonts w:hint="eastAsia" w:asciiTheme="minorEastAsia" w:hAnsiTheme="minorEastAsia" w:eastAsiaTheme="minorEastAsia" w:cstheme="minorEastAsia"/>
          <w:color w:val="auto"/>
          <w:kern w:val="0"/>
          <w:sz w:val="24"/>
          <w:szCs w:val="24"/>
          <w:highlight w:val="none"/>
        </w:rPr>
        <w:t>人员验收，并邀请相关专家参加验收，也可送相关专业机构检测，验收及检测（含中间验收）费用由乙方承担。超过时间达不到要求的或验收不能通过的，</w:t>
      </w:r>
      <w:r>
        <w:rPr>
          <w:rFonts w:hint="eastAsia" w:asciiTheme="minorEastAsia" w:hAnsiTheme="minorEastAsia" w:eastAsiaTheme="minorEastAsia" w:cstheme="minorEastAsia"/>
          <w:color w:val="auto"/>
          <w:kern w:val="0"/>
          <w:sz w:val="24"/>
          <w:szCs w:val="24"/>
          <w:highlight w:val="none"/>
          <w:lang w:eastAsia="zh-CN"/>
        </w:rPr>
        <w:t>甲方</w:t>
      </w:r>
      <w:r>
        <w:rPr>
          <w:rFonts w:hint="eastAsia" w:asciiTheme="minorEastAsia" w:hAnsiTheme="minorEastAsia" w:eastAsiaTheme="minorEastAsia" w:cstheme="minorEastAsia"/>
          <w:color w:val="auto"/>
          <w:kern w:val="0"/>
          <w:sz w:val="24"/>
          <w:szCs w:val="24"/>
          <w:highlight w:val="none"/>
        </w:rPr>
        <w:t>有权终止合同，并退还已付货款（服务费），赔偿</w:t>
      </w:r>
      <w:r>
        <w:rPr>
          <w:rFonts w:hint="eastAsia" w:asciiTheme="minorEastAsia" w:hAnsiTheme="minorEastAsia" w:eastAsiaTheme="minorEastAsia" w:cstheme="minorEastAsia"/>
          <w:color w:val="auto"/>
          <w:kern w:val="0"/>
          <w:sz w:val="24"/>
          <w:szCs w:val="24"/>
          <w:highlight w:val="none"/>
          <w:lang w:eastAsia="zh-CN"/>
        </w:rPr>
        <w:t>甲方</w:t>
      </w:r>
      <w:r>
        <w:rPr>
          <w:rFonts w:hint="eastAsia" w:asciiTheme="minorEastAsia" w:hAnsiTheme="minorEastAsia" w:eastAsiaTheme="minorEastAsia" w:cstheme="minorEastAsia"/>
          <w:color w:val="auto"/>
          <w:kern w:val="0"/>
          <w:sz w:val="24"/>
          <w:szCs w:val="24"/>
          <w:highlight w:val="none"/>
        </w:rPr>
        <w:t>损失，并报采购管理部门处理。</w:t>
      </w:r>
      <w:r>
        <w:rPr>
          <w:rFonts w:hint="eastAsia" w:asciiTheme="minorEastAsia" w:hAnsiTheme="minorEastAsia" w:eastAsiaTheme="minorEastAsia" w:cstheme="minorEastAsia"/>
          <w:color w:val="auto"/>
          <w:sz w:val="24"/>
          <w:szCs w:val="24"/>
          <w:highlight w:val="none"/>
        </w:rPr>
        <w:t>一次验收不通过的，甲方有权扣除应付货款的10%，二次不通过的，</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有权终止合同，退回已付货款，并赔偿甲方损失。</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交货时须随附出厂说明和检测报告。交付货物的出厂说明和国家认可的专业检测机构出具的质量合格的检测报告（出厂说明与质量检测报告必须与所交付的货物相对应）。</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违约赔偿约定：</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除了合同的专门约定外，如果卖方没有按照合同规定的时间交货和提供服务，买方可从货款中扣除误期赔偿费，赔偿费应按每迟交一天，从货款中扣除每天1000元，以此类推，如推迟达30天时，甲方有权终止合同，并赔偿甲方损失。</w:t>
      </w:r>
      <w:r>
        <w:rPr>
          <w:rFonts w:hint="eastAsia" w:asciiTheme="minorEastAsia" w:hAnsiTheme="minorEastAsia" w:eastAsiaTheme="minorEastAsia" w:cstheme="minorEastAsia"/>
          <w:color w:val="auto"/>
          <w:kern w:val="0"/>
          <w:sz w:val="24"/>
          <w:szCs w:val="24"/>
          <w:highlight w:val="none"/>
          <w:lang w:val="en-US" w:eastAsia="zh-CN"/>
        </w:rPr>
        <w:t xml:space="preserve">          </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甲方无故逾期验收和办理款项支付手续的,甲方应按逾期付款总额每日</w:t>
      </w:r>
      <w:r>
        <w:rPr>
          <w:rFonts w:hint="eastAsia" w:asciiTheme="minorEastAsia" w:hAnsiTheme="minorEastAsia" w:eastAsiaTheme="minorEastAsia" w:cstheme="minorEastAsia"/>
          <w:color w:val="auto"/>
          <w:kern w:val="0"/>
          <w:sz w:val="24"/>
          <w:szCs w:val="24"/>
          <w:highlight w:val="none"/>
          <w:lang w:val="en-US" w:eastAsia="zh-CN"/>
        </w:rPr>
        <w:t>万</w:t>
      </w:r>
      <w:r>
        <w:rPr>
          <w:rFonts w:hint="eastAsia" w:asciiTheme="minorEastAsia" w:hAnsiTheme="minorEastAsia" w:eastAsiaTheme="minorEastAsia" w:cstheme="minorEastAsia"/>
          <w:color w:val="auto"/>
          <w:kern w:val="0"/>
          <w:sz w:val="24"/>
          <w:szCs w:val="24"/>
          <w:highlight w:val="none"/>
        </w:rPr>
        <w:t>分之</w:t>
      </w:r>
      <w:r>
        <w:rPr>
          <w:rFonts w:hint="eastAsia" w:asciiTheme="minorEastAsia" w:hAnsiTheme="minorEastAsia" w:eastAsiaTheme="minorEastAsia" w:cstheme="minorEastAsia"/>
          <w:color w:val="auto"/>
          <w:kern w:val="0"/>
          <w:sz w:val="24"/>
          <w:szCs w:val="24"/>
          <w:highlight w:val="none"/>
          <w:lang w:val="en-US" w:eastAsia="zh-CN"/>
        </w:rPr>
        <w:t>一</w:t>
      </w:r>
      <w:r>
        <w:rPr>
          <w:rFonts w:hint="eastAsia" w:asciiTheme="minorEastAsia" w:hAnsiTheme="minorEastAsia" w:eastAsiaTheme="minorEastAsia" w:cstheme="minorEastAsia"/>
          <w:color w:val="auto"/>
          <w:kern w:val="0"/>
          <w:sz w:val="24"/>
          <w:szCs w:val="24"/>
          <w:highlight w:val="none"/>
        </w:rPr>
        <w:t>向乙方支付违约金。</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在未得到对方许可的情况下，双方均不得擅自终止本合同，如任何一方无正当理由终止合同，则违约方将向另一方支付中途毁约违约金，金额为合同总价的30%。</w:t>
      </w:r>
    </w:p>
    <w:p>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4.</w:t>
      </w:r>
      <w:r>
        <w:rPr>
          <w:rFonts w:hint="eastAsia" w:asciiTheme="minorEastAsia" w:hAnsiTheme="minorEastAsia" w:eastAsiaTheme="minorEastAsia" w:cstheme="minorEastAsia"/>
          <w:b/>
          <w:bCs/>
          <w:color w:val="auto"/>
          <w:kern w:val="0"/>
          <w:sz w:val="24"/>
          <w:szCs w:val="24"/>
          <w:highlight w:val="none"/>
        </w:rPr>
        <w:t>项目负责人</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lang w:val="en-US" w:eastAsia="zh-CN"/>
        </w:rPr>
        <w:t>项目负责人</w:t>
      </w:r>
      <w:r>
        <w:rPr>
          <w:rFonts w:hint="eastAsia" w:asciiTheme="minorEastAsia" w:hAnsiTheme="minorEastAsia" w:eastAsiaTheme="minorEastAsia" w:cstheme="minorEastAsia"/>
          <w:color w:val="auto"/>
          <w:kern w:val="0"/>
          <w:sz w:val="24"/>
          <w:szCs w:val="24"/>
          <w:highlight w:val="none"/>
        </w:rPr>
        <w:t>姓名：</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，身份证号码：</w:t>
      </w:r>
      <w:r>
        <w:rPr>
          <w:rFonts w:hint="eastAsia" w:asciiTheme="minorEastAsia" w:hAnsiTheme="minorEastAsia" w:eastAsiaTheme="minorEastAsia" w:cstheme="minorEastAsia"/>
          <w:color w:val="auto"/>
          <w:kern w:val="0"/>
          <w:sz w:val="24"/>
          <w:szCs w:val="24"/>
          <w:highlight w:val="none"/>
          <w:u w:val="single"/>
        </w:rPr>
        <w:t xml:space="preserve">             </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合同履约</w:t>
      </w:r>
      <w:r>
        <w:rPr>
          <w:rFonts w:hint="eastAsia" w:asciiTheme="minorEastAsia" w:hAnsiTheme="minorEastAsia" w:eastAsiaTheme="minorEastAsia" w:cstheme="minorEastAsia"/>
          <w:color w:val="auto"/>
          <w:kern w:val="0"/>
          <w:sz w:val="24"/>
          <w:szCs w:val="24"/>
          <w:highlight w:val="none"/>
        </w:rPr>
        <w:t>期间乙方不得随意更换项目负责人，</w:t>
      </w:r>
      <w:r>
        <w:rPr>
          <w:rFonts w:hint="eastAsia" w:asciiTheme="minorEastAsia" w:hAnsiTheme="minorEastAsia" w:eastAsiaTheme="minorEastAsia" w:cstheme="minorEastAsia"/>
          <w:color w:val="auto"/>
          <w:kern w:val="0"/>
          <w:sz w:val="24"/>
          <w:szCs w:val="24"/>
          <w:highlight w:val="none"/>
          <w:lang w:val="en-US" w:eastAsia="zh-CN"/>
        </w:rPr>
        <w:t>未经甲方同意擅自更换项目负责人的，处10</w:t>
      </w:r>
      <w:r>
        <w:rPr>
          <w:rFonts w:hint="eastAsia" w:asciiTheme="minorEastAsia" w:hAnsiTheme="minorEastAsia" w:eastAsiaTheme="minorEastAsia" w:cstheme="minorEastAsia"/>
          <w:color w:val="auto"/>
          <w:kern w:val="0"/>
          <w:sz w:val="24"/>
          <w:szCs w:val="24"/>
          <w:highlight w:val="none"/>
        </w:rPr>
        <w:t>万元/人次违约金；如有特殊情况需要更换，须经甲方同意，且更换的项目负责人要求具有乙方投标文件承诺的资历。</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甲方有权要求撤换工作不负责任、管理不力、不到位、贻误工作的项目负责人，或造成严重的安全事故和质量事故的项目负责人，每次处</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万元/人次的违约金，逾期未到位的并处1000元/天的违约金进行处罚。</w:t>
      </w:r>
    </w:p>
    <w:p>
      <w:pPr>
        <w:autoSpaceDE w:val="0"/>
        <w:autoSpaceDN w:val="0"/>
        <w:adjustRightInd w:val="0"/>
        <w:spacing w:line="360" w:lineRule="auto"/>
        <w:ind w:firstLine="482"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5.项目部人员考勤</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项目负责人每月出勤不少于22天，项目部其他人员每月出勤率不少于85%，每天到施工现场进行实名制考勤系统考勤，作为缺勤处罚依据，项目负责人缺勤按每天1000元收取违约金，项目部其他人员缺勤按每天500元收取违约金，违约金从履约保证金或货款中扣除。情节严重的，甲方有权单方终止合同的履行，其一切损失由乙方承担，并暂不支付货款。</w:t>
      </w:r>
    </w:p>
    <w:p>
      <w:pPr>
        <w:autoSpaceDE w:val="0"/>
        <w:autoSpaceDN w:val="0"/>
        <w:adjustRightInd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质保期和售后服务</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质量保证期：货物验收合格并办理正式移交使用手续后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年。</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售后服务：卖方应便于买方购买备件，并在需要时安排技术服务。售后服务的响应速度要求：免费维修与更换缺陷部件（或提供备品备件或备用产品）的时间为卖方收到买方通知后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小时内到达现场，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小时内解决。</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3.乙方</w:t>
      </w:r>
      <w:r>
        <w:rPr>
          <w:rFonts w:hint="eastAsia" w:asciiTheme="minorEastAsia" w:hAnsiTheme="minorEastAsia" w:eastAsiaTheme="minorEastAsia" w:cstheme="minorEastAsia"/>
          <w:color w:val="auto"/>
          <w:kern w:val="0"/>
          <w:sz w:val="24"/>
          <w:szCs w:val="24"/>
          <w:highlight w:val="none"/>
        </w:rPr>
        <w:t>在投标文件中承诺的售后服务内容。</w:t>
      </w:r>
    </w:p>
    <w:p>
      <w:pPr>
        <w:autoSpaceDE w:val="0"/>
        <w:autoSpaceDN w:val="0"/>
        <w:adjustRightInd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七、</w:t>
      </w:r>
      <w:r>
        <w:rPr>
          <w:rFonts w:hint="eastAsia" w:asciiTheme="minorEastAsia" w:hAnsiTheme="minorEastAsia" w:eastAsiaTheme="minorEastAsia" w:cstheme="minorEastAsia"/>
          <w:b/>
          <w:bCs/>
          <w:color w:val="auto"/>
          <w:sz w:val="24"/>
          <w:szCs w:val="24"/>
          <w:highlight w:val="none"/>
        </w:rPr>
        <w:t>鉴于甲方将按照本合同向乙方支付货款，乙方在此保证全部按照合同的规定向</w:t>
      </w:r>
      <w:r>
        <w:rPr>
          <w:rFonts w:hint="eastAsia" w:asciiTheme="minorEastAsia" w:hAnsiTheme="minorEastAsia" w:eastAsiaTheme="minorEastAsia" w:cstheme="minorEastAsia"/>
          <w:b/>
          <w:bCs/>
          <w:color w:val="auto"/>
          <w:kern w:val="0"/>
          <w:sz w:val="24"/>
          <w:szCs w:val="24"/>
          <w:highlight w:val="none"/>
        </w:rPr>
        <w:t>甲方</w:t>
      </w:r>
      <w:r>
        <w:rPr>
          <w:rFonts w:hint="eastAsia" w:asciiTheme="minorEastAsia" w:hAnsiTheme="minorEastAsia" w:eastAsiaTheme="minorEastAsia" w:cstheme="minorEastAsia"/>
          <w:b/>
          <w:bCs/>
          <w:color w:val="auto"/>
          <w:sz w:val="24"/>
          <w:szCs w:val="24"/>
          <w:highlight w:val="none"/>
        </w:rPr>
        <w:t>提供货物与服务并修补缺陷。鉴于乙方将按本合同规定提供货物和服务并修补缺陷，甲方在此保证按照合同规定的时间和方式向乙方支付合同价或其它按合同应支付的金额。</w:t>
      </w:r>
    </w:p>
    <w:p>
      <w:pPr>
        <w:spacing w:line="360" w:lineRule="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八、</w:t>
      </w:r>
      <w:r>
        <w:rPr>
          <w:rFonts w:hint="eastAsia" w:asciiTheme="minorEastAsia" w:hAnsiTheme="minorEastAsia" w:eastAsiaTheme="minorEastAsia" w:cstheme="minorEastAsia"/>
          <w:b/>
          <w:bCs/>
          <w:color w:val="auto"/>
          <w:kern w:val="0"/>
          <w:sz w:val="24"/>
          <w:szCs w:val="24"/>
          <w:highlight w:val="none"/>
        </w:rPr>
        <w:t>其他</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合同经双方法定代表人或授权代表签字并加盖单位公章后生效</w:t>
      </w:r>
      <w:r>
        <w:rPr>
          <w:rFonts w:hint="eastAsia" w:asciiTheme="minorEastAsia" w:hAnsiTheme="minorEastAsia" w:eastAsiaTheme="minorEastAsia" w:cstheme="minorEastAsia"/>
          <w:color w:val="auto"/>
          <w:sz w:val="24"/>
          <w:szCs w:val="24"/>
          <w:highlight w:val="none"/>
          <w:lang w:eastAsia="zh-CN"/>
        </w:rPr>
        <w:t>。</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Cs/>
          <w:color w:val="auto"/>
          <w:kern w:val="0"/>
          <w:sz w:val="24"/>
          <w:szCs w:val="24"/>
          <w:highlight w:val="none"/>
        </w:rPr>
        <w:t>本合同未尽事宜由双方协商解决，</w:t>
      </w:r>
      <w:r>
        <w:rPr>
          <w:rFonts w:hint="eastAsia" w:asciiTheme="minorEastAsia" w:hAnsiTheme="minorEastAsia" w:eastAsiaTheme="minorEastAsia" w:cstheme="minorEastAsia"/>
          <w:color w:val="auto"/>
          <w:kern w:val="0"/>
          <w:sz w:val="24"/>
          <w:szCs w:val="24"/>
          <w:highlight w:val="none"/>
        </w:rPr>
        <w:t>并签署书面的修改或补充协议，形成的书面修改或补充协议视为本合同的组成部分。</w:t>
      </w:r>
      <w:r>
        <w:rPr>
          <w:rFonts w:hint="eastAsia" w:asciiTheme="minorEastAsia" w:hAnsiTheme="minorEastAsia" w:eastAsiaTheme="minorEastAsia" w:cstheme="minorEastAsia"/>
          <w:color w:val="auto"/>
          <w:sz w:val="24"/>
          <w:szCs w:val="24"/>
          <w:highlight w:val="none"/>
        </w:rPr>
        <w:t>合同执行中涉及采购资金和采购内容修改或补充的，须经原审批部门审批，并签书面补充协议报政府采购监督管理部门备案，方可作为主合同不可分割的一部分。</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本项目的中标通知书、招标文件、投标文件为本合同的有效组成部分。本合同未尽事宜，遵照《</w:t>
      </w:r>
      <w:r>
        <w:rPr>
          <w:rFonts w:hint="eastAsia" w:asciiTheme="minorEastAsia" w:hAnsiTheme="minorEastAsia" w:eastAsiaTheme="minorEastAsia" w:cstheme="minorEastAsia"/>
          <w:color w:val="auto"/>
          <w:sz w:val="24"/>
          <w:szCs w:val="24"/>
          <w:highlight w:val="none"/>
          <w:lang w:val="en-US" w:eastAsia="zh-CN"/>
        </w:rPr>
        <w:t>中华人民共和国</w:t>
      </w:r>
      <w:r>
        <w:rPr>
          <w:rFonts w:hint="eastAsia" w:asciiTheme="minorEastAsia" w:hAnsiTheme="minorEastAsia" w:eastAsiaTheme="minorEastAsia" w:cstheme="minorEastAsia"/>
          <w:color w:val="auto"/>
          <w:sz w:val="24"/>
          <w:szCs w:val="24"/>
          <w:highlight w:val="none"/>
        </w:rPr>
        <w:t>民法典》有关条文执行。</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强化安全意识、抓好安全生产，明确安全责任，杜绝事故发生，项目实施中（含质保期）发生安全及人身事故均由乙方负责处理，并承担全部责任和费用。</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因合同及合同有关事项发生的争议，双方协商，协商不成的，双方约定由甲方所在地法院管辖。</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本合同一式陆份，具有同等法律效力，甲乙双方各执</w:t>
      </w:r>
      <w:r>
        <w:rPr>
          <w:rFonts w:hint="eastAsia" w:asciiTheme="minorEastAsia" w:hAnsiTheme="minorEastAsia" w:eastAsiaTheme="minorEastAsia" w:cstheme="minorEastAsia"/>
          <w:color w:val="auto"/>
          <w:sz w:val="24"/>
          <w:szCs w:val="24"/>
          <w:highlight w:val="none"/>
          <w:lang w:val="en-US" w:eastAsia="zh-CN"/>
        </w:rPr>
        <w:t>贰</w:t>
      </w:r>
      <w:r>
        <w:rPr>
          <w:rFonts w:hint="eastAsia" w:asciiTheme="minorEastAsia" w:hAnsiTheme="minorEastAsia" w:eastAsiaTheme="minorEastAsia" w:cstheme="minorEastAsia"/>
          <w:color w:val="auto"/>
          <w:sz w:val="24"/>
          <w:szCs w:val="24"/>
          <w:highlight w:val="none"/>
        </w:rPr>
        <w:t>份，其余用于采购代理机构存档</w:t>
      </w:r>
      <w:r>
        <w:rPr>
          <w:rFonts w:hint="eastAsia" w:asciiTheme="minorEastAsia" w:hAnsiTheme="minorEastAsia" w:eastAsiaTheme="minorEastAsia" w:cstheme="minorEastAsia"/>
          <w:color w:val="auto"/>
          <w:sz w:val="24"/>
          <w:szCs w:val="24"/>
          <w:highlight w:val="none"/>
          <w:lang w:val="en-US" w:eastAsia="zh-CN"/>
        </w:rPr>
        <w:t>壹</w:t>
      </w:r>
      <w:r>
        <w:rPr>
          <w:rFonts w:hint="eastAsia" w:asciiTheme="minorEastAsia" w:hAnsiTheme="minorEastAsia" w:eastAsiaTheme="minorEastAsia" w:cstheme="minorEastAsia"/>
          <w:color w:val="auto"/>
          <w:sz w:val="24"/>
          <w:szCs w:val="24"/>
          <w:highlight w:val="none"/>
        </w:rPr>
        <w:t>份，政府采购管理部门备案</w:t>
      </w:r>
      <w:r>
        <w:rPr>
          <w:rFonts w:hint="eastAsia" w:asciiTheme="minorEastAsia" w:hAnsiTheme="minorEastAsia" w:eastAsiaTheme="minorEastAsia" w:cstheme="minorEastAsia"/>
          <w:color w:val="auto"/>
          <w:sz w:val="24"/>
          <w:szCs w:val="24"/>
          <w:highlight w:val="none"/>
          <w:lang w:val="en-US" w:eastAsia="zh-CN"/>
        </w:rPr>
        <w:t>壹</w:t>
      </w:r>
      <w:r>
        <w:rPr>
          <w:rFonts w:hint="eastAsia" w:asciiTheme="minorEastAsia" w:hAnsiTheme="minorEastAsia" w:eastAsiaTheme="minorEastAsia" w:cstheme="minorEastAsia"/>
          <w:color w:val="auto"/>
          <w:sz w:val="24"/>
          <w:szCs w:val="24"/>
          <w:highlight w:val="none"/>
        </w:rPr>
        <w:t>份。</w:t>
      </w:r>
    </w:p>
    <w:p>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甲方：                                   乙方： </w:t>
      </w:r>
    </w:p>
    <w:p>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法定（授权）代表人：                     法定（授权）代表人：</w:t>
      </w:r>
    </w:p>
    <w:p>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签字日期：      年  月  日               签字日期：      年  月  日</w:t>
      </w:r>
    </w:p>
    <w:p>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见证方：</w:t>
      </w:r>
    </w:p>
    <w:p>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法定（授权）代表人：</w:t>
      </w:r>
    </w:p>
    <w:p>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见证日期：      年  月  日</w:t>
      </w:r>
    </w:p>
    <w:p>
      <w:pP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br w:type="page"/>
      </w:r>
    </w:p>
    <w:p>
      <w:pPr>
        <w:pStyle w:val="21"/>
        <w:ind w:left="0" w:leftChars="0" w:firstLine="0" w:firstLineChars="0"/>
        <w:jc w:val="cente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第六部分 应提交的有关格式范例</w:t>
      </w:r>
    </w:p>
    <w:p>
      <w:pPr>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pPr>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由供应商根据招标文件要求参照附件格式编制。</w:t>
      </w:r>
    </w:p>
    <w:p>
      <w:pPr>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供应商根据实际情况填写。</w:t>
      </w:r>
    </w:p>
    <w:p>
      <w:pPr>
        <w:spacing w:line="48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招标文件中没有参考格式的，供应商自行编制。</w:t>
      </w:r>
    </w:p>
    <w:p>
      <w:pPr>
        <w:pStyle w:val="21"/>
        <w:ind w:left="0" w:leftChars="0" w:firstLine="0" w:firstLineChars="0"/>
        <w:rPr>
          <w:rFonts w:hint="eastAsia" w:asciiTheme="minorEastAsia" w:hAnsiTheme="minorEastAsia" w:eastAsiaTheme="minorEastAsia" w:cstheme="minorEastAsia"/>
          <w:b/>
          <w:color w:val="auto"/>
          <w:spacing w:val="0"/>
          <w:kern w:val="2"/>
          <w:sz w:val="36"/>
          <w:szCs w:val="20"/>
          <w:highlight w:val="none"/>
          <w:lang w:val="en-US" w:eastAsia="zh-CN" w:bidi="ar-SA"/>
        </w:rPr>
      </w:pPr>
    </w:p>
    <w:p>
      <w:pPr>
        <w:pStyle w:val="21"/>
        <w:ind w:left="0" w:leftChars="0" w:firstLine="0" w:firstLineChars="0"/>
        <w:rPr>
          <w:rFonts w:hint="eastAsia" w:asciiTheme="minorEastAsia" w:hAnsiTheme="minorEastAsia" w:eastAsiaTheme="minorEastAsia" w:cstheme="minorEastAsia"/>
          <w:b/>
          <w:color w:val="auto"/>
          <w:spacing w:val="0"/>
          <w:kern w:val="2"/>
          <w:sz w:val="36"/>
          <w:szCs w:val="20"/>
          <w:highlight w:val="none"/>
          <w:lang w:val="en-US" w:eastAsia="zh-CN" w:bidi="ar-SA"/>
        </w:rPr>
      </w:pPr>
    </w:p>
    <w:p>
      <w:pPr>
        <w:rPr>
          <w:rFonts w:hint="eastAsia" w:asciiTheme="minorEastAsia" w:hAnsiTheme="minorEastAsia" w:eastAsiaTheme="minorEastAsia" w:cstheme="minorEastAsia"/>
          <w:b/>
          <w:color w:val="auto"/>
          <w:spacing w:val="0"/>
          <w:kern w:val="2"/>
          <w:sz w:val="36"/>
          <w:szCs w:val="20"/>
          <w:highlight w:val="none"/>
          <w:lang w:val="en-US" w:eastAsia="zh-CN" w:bidi="ar-SA"/>
        </w:rPr>
      </w:pPr>
    </w:p>
    <w:p>
      <w:pPr>
        <w:pStyle w:val="21"/>
        <w:rPr>
          <w:rFonts w:hint="eastAsia" w:asciiTheme="minorEastAsia" w:hAnsiTheme="minorEastAsia" w:eastAsiaTheme="minorEastAsia" w:cstheme="minorEastAsia"/>
          <w:b/>
          <w:color w:val="auto"/>
          <w:spacing w:val="0"/>
          <w:kern w:val="2"/>
          <w:sz w:val="36"/>
          <w:szCs w:val="20"/>
          <w:highlight w:val="none"/>
          <w:lang w:val="en-US" w:eastAsia="zh-CN" w:bidi="ar-SA"/>
        </w:rPr>
      </w:pPr>
    </w:p>
    <w:p>
      <w:pPr>
        <w:rPr>
          <w:rFonts w:hint="eastAsia" w:asciiTheme="minorEastAsia" w:hAnsiTheme="minorEastAsia" w:eastAsiaTheme="minorEastAsia" w:cstheme="minorEastAsia"/>
          <w:b/>
          <w:color w:val="auto"/>
          <w:spacing w:val="0"/>
          <w:kern w:val="2"/>
          <w:sz w:val="36"/>
          <w:szCs w:val="20"/>
          <w:highlight w:val="none"/>
          <w:lang w:val="en-US" w:eastAsia="zh-CN" w:bidi="ar-SA"/>
        </w:rPr>
      </w:pPr>
    </w:p>
    <w:p>
      <w:pPr>
        <w:pStyle w:val="21"/>
        <w:rPr>
          <w:rFonts w:hint="eastAsia" w:asciiTheme="minorEastAsia" w:hAnsiTheme="minorEastAsia" w:eastAsiaTheme="minorEastAsia" w:cstheme="minorEastAsia"/>
          <w:b/>
          <w:color w:val="auto"/>
          <w:spacing w:val="0"/>
          <w:kern w:val="2"/>
          <w:sz w:val="36"/>
          <w:szCs w:val="20"/>
          <w:highlight w:val="none"/>
          <w:lang w:val="en-US" w:eastAsia="zh-CN" w:bidi="ar-SA"/>
        </w:rPr>
      </w:pPr>
    </w:p>
    <w:p>
      <w:pPr>
        <w:rPr>
          <w:rFonts w:hint="eastAsia" w:asciiTheme="minorEastAsia" w:hAnsiTheme="minorEastAsia" w:eastAsiaTheme="minorEastAsia" w:cstheme="minorEastAsia"/>
          <w:b/>
          <w:color w:val="auto"/>
          <w:spacing w:val="0"/>
          <w:kern w:val="2"/>
          <w:sz w:val="36"/>
          <w:szCs w:val="20"/>
          <w:highlight w:val="none"/>
          <w:lang w:val="en-US" w:eastAsia="zh-CN" w:bidi="ar-SA"/>
        </w:rPr>
      </w:pPr>
    </w:p>
    <w:p>
      <w:pPr>
        <w:pStyle w:val="21"/>
        <w:rPr>
          <w:rFonts w:hint="eastAsia" w:asciiTheme="minorEastAsia" w:hAnsiTheme="minorEastAsia" w:eastAsiaTheme="minorEastAsia" w:cstheme="minorEastAsia"/>
          <w:b/>
          <w:color w:val="auto"/>
          <w:spacing w:val="0"/>
          <w:kern w:val="2"/>
          <w:sz w:val="36"/>
          <w:szCs w:val="20"/>
          <w:highlight w:val="none"/>
          <w:lang w:val="en-US" w:eastAsia="zh-CN" w:bidi="ar-SA"/>
        </w:rPr>
      </w:pPr>
    </w:p>
    <w:p>
      <w:pPr>
        <w:rPr>
          <w:rFonts w:hint="eastAsia" w:asciiTheme="minorEastAsia" w:hAnsiTheme="minorEastAsia" w:eastAsiaTheme="minorEastAsia" w:cstheme="minorEastAsia"/>
          <w:b/>
          <w:color w:val="auto"/>
          <w:spacing w:val="0"/>
          <w:kern w:val="2"/>
          <w:sz w:val="36"/>
          <w:szCs w:val="20"/>
          <w:highlight w:val="none"/>
          <w:lang w:val="en-US" w:eastAsia="zh-CN" w:bidi="ar-SA"/>
        </w:rPr>
      </w:pPr>
    </w:p>
    <w:p>
      <w:pPr>
        <w:pStyle w:val="21"/>
        <w:rPr>
          <w:rFonts w:hint="eastAsia" w:asciiTheme="minorEastAsia" w:hAnsiTheme="minorEastAsia" w:eastAsiaTheme="minorEastAsia" w:cstheme="minorEastAsia"/>
          <w:b/>
          <w:color w:val="auto"/>
          <w:spacing w:val="0"/>
          <w:kern w:val="2"/>
          <w:sz w:val="36"/>
          <w:szCs w:val="20"/>
          <w:highlight w:val="none"/>
          <w:lang w:val="en-US" w:eastAsia="zh-CN" w:bidi="ar-SA"/>
        </w:rPr>
      </w:pPr>
    </w:p>
    <w:p>
      <w:pPr>
        <w:rPr>
          <w:rFonts w:hint="eastAsia" w:asciiTheme="minorEastAsia" w:hAnsiTheme="minorEastAsia" w:eastAsiaTheme="minorEastAsia" w:cstheme="minorEastAsia"/>
          <w:b/>
          <w:color w:val="auto"/>
          <w:spacing w:val="0"/>
          <w:kern w:val="2"/>
          <w:sz w:val="36"/>
          <w:szCs w:val="20"/>
          <w:highlight w:val="none"/>
          <w:lang w:val="en-US" w:eastAsia="zh-CN" w:bidi="ar-SA"/>
        </w:rPr>
      </w:pPr>
    </w:p>
    <w:p>
      <w:pPr>
        <w:spacing w:line="240" w:lineRule="auto"/>
        <w:rPr>
          <w:rFonts w:hint="eastAsia" w:asciiTheme="minorEastAsia" w:hAnsiTheme="minorEastAsia" w:eastAsiaTheme="minorEastAsia" w:cstheme="minorEastAsia"/>
          <w:b/>
          <w:color w:val="auto"/>
          <w:sz w:val="28"/>
          <w:szCs w:val="28"/>
          <w:highlight w:val="none"/>
        </w:rPr>
      </w:pPr>
    </w:p>
    <w:p>
      <w:pPr>
        <w:spacing w:line="240" w:lineRule="auto"/>
        <w:rPr>
          <w:rFonts w:hint="eastAsia" w:asciiTheme="minorEastAsia" w:hAnsiTheme="minorEastAsia" w:eastAsiaTheme="minorEastAsia" w:cstheme="minorEastAsia"/>
          <w:b/>
          <w:color w:val="auto"/>
          <w:sz w:val="28"/>
          <w:szCs w:val="28"/>
          <w:highlight w:val="none"/>
        </w:rPr>
      </w:pPr>
    </w:p>
    <w:p>
      <w:pPr>
        <w:spacing w:line="240" w:lineRule="auto"/>
        <w:rPr>
          <w:rFonts w:hint="eastAsia" w:asciiTheme="minorEastAsia" w:hAnsiTheme="minorEastAsia" w:eastAsiaTheme="minorEastAsia" w:cstheme="minorEastAsia"/>
          <w:b/>
          <w:color w:val="auto"/>
          <w:sz w:val="28"/>
          <w:szCs w:val="28"/>
          <w:highlight w:val="none"/>
        </w:rPr>
      </w:pPr>
    </w:p>
    <w:p>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pPr>
        <w:spacing w:line="24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一、资格文件封面格式</w:t>
      </w:r>
    </w:p>
    <w:p>
      <w:pPr>
        <w:spacing w:line="240" w:lineRule="auto"/>
        <w:rPr>
          <w:rFonts w:hint="eastAsia" w:asciiTheme="minorEastAsia" w:hAnsiTheme="minorEastAsia" w:eastAsiaTheme="minorEastAsia" w:cstheme="minorEastAsia"/>
          <w:b/>
          <w:bCs/>
          <w:color w:val="auto"/>
          <w:sz w:val="40"/>
          <w:szCs w:val="40"/>
          <w:highlight w:val="none"/>
        </w:rPr>
      </w:pPr>
    </w:p>
    <w:p>
      <w:pPr>
        <w:spacing w:line="240" w:lineRule="auto"/>
        <w:jc w:val="center"/>
        <w:rPr>
          <w:rFonts w:hint="eastAsia" w:asciiTheme="minorEastAsia" w:hAnsiTheme="minorEastAsia" w:eastAsiaTheme="minorEastAsia" w:cstheme="minorEastAsia"/>
          <w:b/>
          <w:bCs/>
          <w:color w:val="auto"/>
          <w:sz w:val="40"/>
          <w:szCs w:val="40"/>
          <w:highlight w:val="none"/>
        </w:rPr>
      </w:pPr>
    </w:p>
    <w:p>
      <w:pPr>
        <w:spacing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40"/>
          <w:szCs w:val="40"/>
          <w:highlight w:val="none"/>
          <w:lang w:eastAsia="zh-CN"/>
        </w:rPr>
        <w:t>2023年浦江县农村污水处理设施建设改造项目（第三批）仙华街道、郑家坞镇设备采购</w:t>
      </w:r>
    </w:p>
    <w:p>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p>
    <w:p>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bidi="th-TH"/>
        </w:rPr>
        <w:t>投 标 文 件</w:t>
      </w:r>
    </w:p>
    <w:p>
      <w:pPr>
        <w:spacing w:line="24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（资格文件）</w:t>
      </w:r>
    </w:p>
    <w:p>
      <w:pPr>
        <w:spacing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pPr>
        <w:spacing w:line="240" w:lineRule="auto"/>
        <w:jc w:val="center"/>
        <w:rPr>
          <w:rFonts w:hint="eastAsia" w:asciiTheme="minorEastAsia" w:hAnsiTheme="minorEastAsia" w:eastAsiaTheme="minorEastAsia" w:cstheme="minorEastAsia"/>
          <w:b/>
          <w:bCs/>
          <w:color w:val="auto"/>
          <w:sz w:val="28"/>
          <w:szCs w:val="28"/>
          <w:highlight w:val="none"/>
        </w:rPr>
      </w:pP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jc w:val="center"/>
        <w:rPr>
          <w:rFonts w:hint="eastAsia" w:asciiTheme="minorEastAsia" w:hAnsiTheme="minorEastAsia" w:eastAsiaTheme="minorEastAsia" w:cstheme="minorEastAsia"/>
          <w:b/>
          <w:bCs w:val="0"/>
          <w:snapToGrid w:val="0"/>
          <w:color w:val="auto"/>
          <w:kern w:val="0"/>
          <w:sz w:val="32"/>
          <w:szCs w:val="32"/>
          <w:highlight w:val="none"/>
          <w:lang w:val="en-US" w:eastAsia="zh-CN"/>
        </w:rPr>
      </w:pPr>
      <w:r>
        <w:rPr>
          <w:rFonts w:hint="eastAsia" w:asciiTheme="minorEastAsia" w:hAnsiTheme="minorEastAsia" w:eastAsiaTheme="minorEastAsia" w:cstheme="minorEastAsia"/>
          <w:b/>
          <w:color w:val="auto"/>
          <w:sz w:val="32"/>
          <w:szCs w:val="32"/>
          <w:highlight w:val="none"/>
        </w:rPr>
        <w:t>时间：    年   月   日</w:t>
      </w:r>
    </w:p>
    <w:p>
      <w:pPr>
        <w:rPr>
          <w:rFonts w:hint="eastAsia" w:asciiTheme="minorEastAsia" w:hAnsiTheme="minorEastAsia" w:eastAsiaTheme="minorEastAsia" w:cstheme="minorEastAsia"/>
          <w:b/>
          <w:bCs w:val="0"/>
          <w:snapToGrid w:val="0"/>
          <w:color w:val="auto"/>
          <w:kern w:val="0"/>
          <w:sz w:val="32"/>
          <w:szCs w:val="32"/>
          <w:highlight w:val="none"/>
          <w:lang w:val="en-US" w:eastAsia="zh-CN"/>
        </w:rPr>
      </w:pPr>
      <w:r>
        <w:rPr>
          <w:rFonts w:hint="eastAsia" w:asciiTheme="minorEastAsia" w:hAnsiTheme="minorEastAsia" w:eastAsiaTheme="minorEastAsia" w:cstheme="minorEastAsia"/>
          <w:b/>
          <w:bCs w:val="0"/>
          <w:snapToGrid w:val="0"/>
          <w:color w:val="auto"/>
          <w:kern w:val="0"/>
          <w:sz w:val="32"/>
          <w:szCs w:val="32"/>
          <w:highlight w:val="none"/>
          <w:lang w:val="en-US" w:eastAsia="zh-CN"/>
        </w:rPr>
        <w:br w:type="page"/>
      </w:r>
    </w:p>
    <w:p>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rPr>
          <w:rFonts w:hint="eastAsia" w:asciiTheme="minorEastAsia" w:hAnsiTheme="minorEastAsia" w:eastAsiaTheme="minorEastAsia" w:cstheme="minorEastAsia"/>
          <w:b/>
          <w:bCs w:val="0"/>
          <w:snapToGrid w:val="0"/>
          <w:color w:val="auto"/>
          <w:kern w:val="0"/>
          <w:sz w:val="32"/>
          <w:szCs w:val="32"/>
          <w:highlight w:val="none"/>
          <w:lang w:val="en-US" w:eastAsia="zh-CN"/>
        </w:rPr>
      </w:pPr>
      <w:r>
        <w:rPr>
          <w:rFonts w:hint="eastAsia" w:asciiTheme="minorEastAsia" w:hAnsiTheme="minorEastAsia" w:eastAsiaTheme="minorEastAsia" w:cstheme="minorEastAsia"/>
          <w:b/>
          <w:bCs w:val="0"/>
          <w:snapToGrid w:val="0"/>
          <w:color w:val="auto"/>
          <w:kern w:val="0"/>
          <w:sz w:val="32"/>
          <w:szCs w:val="32"/>
          <w:highlight w:val="none"/>
          <w:lang w:val="en-US" w:eastAsia="zh-CN"/>
        </w:rPr>
        <w:t>资格文件目录</w:t>
      </w:r>
    </w:p>
    <w:p>
      <w:pPr>
        <w:spacing w:line="360" w:lineRule="auto"/>
        <w:ind w:firstLine="422" w:firstLineChars="200"/>
        <w:rPr>
          <w:rFonts w:hint="eastAsia" w:asciiTheme="minorEastAsia" w:hAnsiTheme="minorEastAsia" w:eastAsiaTheme="minorEastAsia" w:cstheme="minorEastAsia"/>
          <w:b/>
          <w:bCs/>
          <w:color w:val="auto"/>
          <w:sz w:val="21"/>
          <w:szCs w:val="24"/>
          <w:highlight w:val="none"/>
        </w:rPr>
      </w:pPr>
      <w:r>
        <w:rPr>
          <w:rFonts w:hint="eastAsia" w:asciiTheme="minorEastAsia" w:hAnsiTheme="minorEastAsia" w:eastAsiaTheme="minorEastAsia" w:cstheme="minorEastAsia"/>
          <w:b/>
          <w:bCs/>
          <w:color w:val="auto"/>
          <w:sz w:val="21"/>
          <w:szCs w:val="24"/>
          <w:highlight w:val="none"/>
        </w:rPr>
        <w:t>1.投标声明书（格式附后）</w:t>
      </w:r>
    </w:p>
    <w:p>
      <w:pPr>
        <w:spacing w:line="360" w:lineRule="auto"/>
        <w:ind w:firstLine="422" w:firstLineChars="200"/>
        <w:rPr>
          <w:rFonts w:hint="eastAsia" w:asciiTheme="minorEastAsia" w:hAnsiTheme="minorEastAsia" w:eastAsiaTheme="minorEastAsia" w:cstheme="minorEastAsia"/>
          <w:b/>
          <w:bCs/>
          <w:color w:val="auto"/>
          <w:sz w:val="21"/>
          <w:szCs w:val="24"/>
          <w:highlight w:val="none"/>
        </w:rPr>
      </w:pPr>
      <w:r>
        <w:rPr>
          <w:rFonts w:hint="eastAsia" w:asciiTheme="minorEastAsia" w:hAnsiTheme="minorEastAsia" w:eastAsiaTheme="minorEastAsia" w:cstheme="minorEastAsia"/>
          <w:b/>
          <w:bCs/>
          <w:color w:val="auto"/>
          <w:sz w:val="21"/>
          <w:szCs w:val="24"/>
          <w:highlight w:val="none"/>
        </w:rPr>
        <w:t>2.资格承诺函（格式附后）</w:t>
      </w:r>
    </w:p>
    <w:p>
      <w:pPr>
        <w:spacing w:line="360" w:lineRule="auto"/>
        <w:ind w:firstLine="422" w:firstLineChars="200"/>
        <w:rPr>
          <w:rFonts w:hint="eastAsia"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bCs/>
          <w:color w:val="auto"/>
          <w:sz w:val="21"/>
          <w:szCs w:val="24"/>
          <w:highlight w:val="none"/>
        </w:rPr>
        <w:t>3.具有独立承担民事责任能力的说明材料：</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投标人须在投标文件中出具符合以下情况的说明材料复印件（五选一）：</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①如投标人是企业（包括合伙企业），提供在工商部门注册的有效“企业法人营业执照”或“营业执照”；</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②如投标人是事业单位，提供有效的“事业单位法人证书”；</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③如投标人是非企业专业服务机构的，提供执业许可证等说明文件；</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④如投标人是个体工商户，提供有效的“个体工商户营业执照”；</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⑤如投标人是自然人，提供有效的自然人身份说明（居民身份证正反面或公安机关出具的临时居民身份证正反面或港澳台胞证或护照）。</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pPr>
        <w:spacing w:line="360" w:lineRule="auto"/>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接受联合体投标的项目，投标供应商为联合体的，联合体各方均须提供。</w:t>
      </w:r>
    </w:p>
    <w:p>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b/>
          <w:bCs/>
          <w:color w:val="auto"/>
          <w:sz w:val="21"/>
          <w:szCs w:val="24"/>
          <w:highlight w:val="none"/>
          <w:lang w:val="en-US" w:eastAsia="zh-CN"/>
        </w:rPr>
        <w:t>4</w:t>
      </w:r>
      <w:r>
        <w:rPr>
          <w:rFonts w:hint="eastAsia" w:asciiTheme="minorEastAsia" w:hAnsiTheme="minorEastAsia" w:eastAsiaTheme="minorEastAsia" w:cstheme="minorEastAsia"/>
          <w:b/>
          <w:bCs/>
          <w:color w:val="auto"/>
          <w:sz w:val="21"/>
          <w:szCs w:val="24"/>
          <w:highlight w:val="none"/>
        </w:rPr>
        <w:t>.落实政府采购政策需满足的资格要求：</w:t>
      </w:r>
      <w:r>
        <w:rPr>
          <w:rFonts w:hint="eastAsia" w:asciiTheme="minorEastAsia" w:hAnsiTheme="minorEastAsia" w:eastAsiaTheme="minorEastAsia" w:cstheme="minorEastAsia"/>
          <w:color w:val="auto"/>
          <w:sz w:val="21"/>
          <w:szCs w:val="21"/>
          <w:highlight w:val="none"/>
        </w:rPr>
        <w:t>本项目专门面向中小企业采购，货物全部由符合政策要求的中小企业制造</w:t>
      </w:r>
      <w:r>
        <w:rPr>
          <w:rFonts w:hint="eastAsia" w:asciiTheme="minorEastAsia" w:hAnsiTheme="minorEastAsia" w:eastAsiaTheme="minorEastAsia" w:cstheme="minorEastAsia"/>
          <w:color w:val="auto"/>
          <w:kern w:val="0"/>
          <w:sz w:val="21"/>
          <w:szCs w:val="21"/>
          <w:highlight w:val="none"/>
          <w:lang w:val="en-US" w:eastAsia="zh-CN"/>
        </w:rPr>
        <w:t>。（本项目属于预留份额专门面向中小企业采购的项目，根据《关于印发中小企业划型标准规定的通知》（工信部联企业〔2011〕300 号）规定，本项目采购标的对应的中小企业划分标准</w:t>
      </w:r>
      <w:r>
        <w:rPr>
          <w:rFonts w:hint="eastAsia" w:asciiTheme="minorEastAsia" w:hAnsiTheme="minorEastAsia" w:eastAsiaTheme="minorEastAsia" w:cstheme="minorEastAsia"/>
          <w:b/>
          <w:bCs/>
          <w:color w:val="auto"/>
          <w:kern w:val="0"/>
          <w:sz w:val="21"/>
          <w:szCs w:val="21"/>
          <w:highlight w:val="none"/>
          <w:lang w:val="en-US" w:eastAsia="zh-CN"/>
        </w:rPr>
        <w:t>所属行业为</w:t>
      </w:r>
      <w:r>
        <w:rPr>
          <w:rFonts w:hint="eastAsia" w:asciiTheme="minorEastAsia" w:hAnsiTheme="minorEastAsia" w:eastAsiaTheme="minorEastAsia" w:cstheme="minorEastAsia"/>
          <w:b/>
          <w:bCs/>
          <w:color w:val="auto"/>
          <w:kern w:val="0"/>
          <w:sz w:val="21"/>
          <w:szCs w:val="21"/>
          <w:highlight w:val="none"/>
          <w:u w:val="single"/>
          <w:lang w:val="en-US" w:eastAsia="zh-CN"/>
        </w:rPr>
        <w:t>（二）工业。</w:t>
      </w:r>
      <w:r>
        <w:rPr>
          <w:rFonts w:hint="eastAsia" w:asciiTheme="minorEastAsia" w:hAnsiTheme="minorEastAsia" w:eastAsiaTheme="minorEastAsia" w:cstheme="minorEastAsia"/>
          <w:color w:val="auto"/>
          <w:kern w:val="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投标人须在投标文件中出具符合以下情况的说明材料复印件（三选一）：</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①投标人为中小企业的，投标文件中提供《中小企业声明函》（格式附后）；</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②投标人为残疾人福利单位的，在投标文件中提供《残疾人福利性单位声明函》（格式附后）；</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 xml:space="preserve">③投标人为监狱企业的，在投标文件中提供由省级以上监狱管理局、戒毒管理局（含新疆生产建设兵团）出具的属于监狱企业的说明文件（格式自拟）。 </w:t>
      </w:r>
    </w:p>
    <w:p>
      <w:pPr>
        <w:keepNext w:val="0"/>
        <w:keepLines w:val="0"/>
        <w:pageBreakBefore w:val="0"/>
        <w:widowControl w:val="0"/>
        <w:kinsoku/>
        <w:wordWrap/>
        <w:overflowPunct/>
        <w:topLinePunct w:val="0"/>
        <w:autoSpaceDE/>
        <w:autoSpaceDN/>
        <w:bidi w:val="0"/>
        <w:adjustRightInd/>
        <w:snapToGrid/>
        <w:spacing w:after="0" w:afterLines="0" w:line="336" w:lineRule="auto"/>
        <w:ind w:firstLine="422" w:firstLineChars="200"/>
        <w:jc w:val="both"/>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pPr>
        <w:keepNext w:val="0"/>
        <w:keepLines w:val="0"/>
        <w:pageBreakBefore w:val="0"/>
        <w:widowControl w:val="0"/>
        <w:kinsoku/>
        <w:wordWrap/>
        <w:overflowPunct/>
        <w:topLinePunct w:val="0"/>
        <w:autoSpaceDE/>
        <w:autoSpaceDN/>
        <w:bidi w:val="0"/>
        <w:adjustRightInd/>
        <w:snapToGrid/>
        <w:spacing w:after="0" w:afterLines="0" w:line="336" w:lineRule="auto"/>
        <w:ind w:firstLine="482" w:firstLineChars="200"/>
        <w:jc w:val="center"/>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u w:val="single"/>
          <w:lang w:val="en-US" w:eastAsia="zh-CN" w:bidi="ar-SA"/>
        </w:rPr>
        <w:t>附后无格式部分由投标人根据招标文件规定自行编制</w:t>
      </w:r>
    </w:p>
    <w:p>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pPr>
        <w:snapToGrid w:val="0"/>
        <w:spacing w:before="50" w:after="156" w:afterLines="50" w:line="360" w:lineRule="auto"/>
        <w:jc w:val="left"/>
        <w:rPr>
          <w:rFonts w:hint="eastAsia"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color w:val="auto"/>
          <w:sz w:val="24"/>
          <w:szCs w:val="24"/>
          <w:highlight w:val="none"/>
        </w:rPr>
        <w:t>投标声明书格式</w:t>
      </w:r>
      <w:r>
        <w:rPr>
          <w:rFonts w:hint="eastAsia" w:asciiTheme="minorEastAsia" w:hAnsiTheme="minorEastAsia" w:eastAsiaTheme="minorEastAsia" w:cstheme="minorEastAsia"/>
          <w:color w:val="auto"/>
          <w:sz w:val="24"/>
          <w:szCs w:val="24"/>
          <w:highlight w:val="none"/>
        </w:rPr>
        <w:t>：</w:t>
      </w:r>
    </w:p>
    <w:p>
      <w:pPr>
        <w:snapToGrid w:val="0"/>
        <w:spacing w:before="156" w:beforeLines="50" w:after="50" w:line="240" w:lineRule="auto"/>
        <w:jc w:val="center"/>
        <w:rPr>
          <w:rFonts w:hint="eastAsia" w:asciiTheme="minorEastAsia" w:hAnsiTheme="minorEastAsia" w:eastAsiaTheme="minorEastAsia" w:cstheme="minorEastAsia"/>
          <w:b/>
          <w:bCs/>
          <w:color w:val="auto"/>
          <w:sz w:val="24"/>
          <w:szCs w:val="20"/>
          <w:highlight w:val="none"/>
        </w:rPr>
      </w:pPr>
      <w:r>
        <w:rPr>
          <w:rFonts w:hint="eastAsia" w:asciiTheme="minorEastAsia" w:hAnsiTheme="minorEastAsia" w:eastAsiaTheme="minorEastAsia" w:cstheme="minorEastAsia"/>
          <w:b/>
          <w:bCs/>
          <w:color w:val="auto"/>
          <w:sz w:val="30"/>
          <w:szCs w:val="24"/>
          <w:highlight w:val="none"/>
        </w:rPr>
        <w:t>投标声明书</w:t>
      </w:r>
    </w:p>
    <w:p>
      <w:pPr>
        <w:snapToGrid w:val="0"/>
        <w:spacing w:before="156" w:beforeLines="50" w:after="50"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（采购单位）：</w:t>
      </w:r>
    </w:p>
    <w:p>
      <w:pPr>
        <w:snapToGrid w:val="0"/>
        <w:spacing w:before="156" w:beforeLines="50" w:after="50" w:line="24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（投标人名称）系中华人民共和国合法企业，经营地址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snapToGrid w:val="0"/>
        <w:spacing w:before="156" w:beforeLines="50" w:after="50" w:line="240" w:lineRule="auto"/>
        <w:ind w:firstLine="6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（姓名）系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（投标人名称）的法定代表人，我方愿意参加贵方组织的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项目的投标，为便于贵方公正、择优地确定中标人及其投标产品和服务，我方就本次投标有关事项郑重声明如下：</w:t>
      </w:r>
    </w:p>
    <w:p>
      <w:pPr>
        <w:snapToGrid w:val="0"/>
        <w:spacing w:line="24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我方向贵方提交的所有投标文件、资料都是准确的和真实的。我方在近三年内的经营活动中没有重大违法记录，且财务状况良好，并已依法按时缴纳税收和社会保障资金，具备履行本项目合同所必须的设备和专业技术能力。</w:t>
      </w:r>
    </w:p>
    <w:p>
      <w:pPr>
        <w:snapToGrid w:val="0"/>
        <w:spacing w:before="156" w:beforeLines="50" w:line="240" w:lineRule="auto"/>
        <w:ind w:firstLine="480" w:firstLineChars="20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2.我方不是采购人的附属机构；在获知本项目采购信息后，与采购人聘请的为此项目提供咨询服务的公司及其附属机构没有任何联系。</w:t>
      </w:r>
    </w:p>
    <w:p>
      <w:pPr>
        <w:snapToGrid w:val="0"/>
        <w:spacing w:before="156" w:beforeLines="50" w:line="240" w:lineRule="auto"/>
        <w:ind w:firstLine="480" w:firstLineChars="20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.我方诚意提请贵方关注：近期有关该型号产品的生产、供货、售后服务以及性能等方面的重大决策和事项有：</w:t>
      </w:r>
      <w:r>
        <w:rPr>
          <w:rFonts w:hint="eastAsia" w:asciiTheme="minorEastAsia" w:hAnsiTheme="minorEastAsia" w:eastAsiaTheme="minorEastAsia" w:cstheme="minorEastAsia"/>
          <w:color w:val="auto"/>
          <w:sz w:val="24"/>
          <w:szCs w:val="24"/>
          <w:highlight w:val="none"/>
          <w:u w:val="single"/>
        </w:rPr>
        <w:t>　　　　　　　　　　　　　　　　　　　　　　　　　　　</w:t>
      </w:r>
    </w:p>
    <w:p>
      <w:pPr>
        <w:snapToGrid w:val="0"/>
        <w:spacing w:line="240" w:lineRule="auto"/>
        <w:ind w:firstLine="464"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pacing w:val="-4"/>
          <w:sz w:val="24"/>
          <w:szCs w:val="20"/>
          <w:highlight w:val="none"/>
          <w:lang w:val="en-US" w:eastAsia="zh-CN"/>
        </w:rPr>
        <w:t>4</w:t>
      </w:r>
      <w:r>
        <w:rPr>
          <w:rFonts w:hint="eastAsia" w:asciiTheme="minorEastAsia" w:hAnsiTheme="minorEastAsia" w:eastAsiaTheme="minorEastAsia" w:cstheme="minorEastAsia"/>
          <w:color w:val="auto"/>
          <w:spacing w:val="-4"/>
          <w:sz w:val="24"/>
          <w:szCs w:val="20"/>
          <w:highlight w:val="none"/>
        </w:rPr>
        <w:t>.我方及由本人担任法定代表人的其他机构最近三年内被通报或者被处罚的违法行为有：</w:t>
      </w:r>
      <w:r>
        <w:rPr>
          <w:rFonts w:hint="eastAsia" w:asciiTheme="minorEastAsia" w:hAnsiTheme="minorEastAsia" w:eastAsiaTheme="minorEastAsia" w:cstheme="minorEastAsia"/>
          <w:color w:val="auto"/>
          <w:sz w:val="24"/>
          <w:szCs w:val="24"/>
          <w:highlight w:val="none"/>
          <w:u w:val="single"/>
        </w:rPr>
        <w:t>　　　　　　　　　　　　　　　　　　　　　　　　　　　</w:t>
      </w:r>
    </w:p>
    <w:p>
      <w:pPr>
        <w:spacing w:line="240" w:lineRule="auto"/>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0"/>
          <w:highlight w:val="none"/>
          <w:lang w:val="en-US" w:eastAsia="zh-CN"/>
        </w:rPr>
        <w:t>5</w:t>
      </w:r>
      <w:r>
        <w:rPr>
          <w:rFonts w:hint="eastAsia" w:asciiTheme="minorEastAsia" w:hAnsiTheme="minorEastAsia" w:eastAsiaTheme="minorEastAsia" w:cstheme="minorEastAsia"/>
          <w:color w:val="auto"/>
          <w:spacing w:val="-4"/>
          <w:sz w:val="24"/>
          <w:szCs w:val="20"/>
          <w:highlight w:val="none"/>
        </w:rPr>
        <w:t>.</w:t>
      </w:r>
      <w:r>
        <w:rPr>
          <w:rFonts w:hint="eastAsia" w:asciiTheme="minorEastAsia" w:hAnsiTheme="minorEastAsia" w:eastAsiaTheme="minorEastAsia" w:cstheme="minorEastAsia"/>
          <w:color w:val="auto"/>
          <w:spacing w:val="-4"/>
          <w:sz w:val="24"/>
          <w:szCs w:val="24"/>
          <w:highlight w:val="none"/>
        </w:rPr>
        <w:t>我们已详细审查全部招标文件及有关的澄清、修改文件（若有的话），我们完全理解并同意放弃对这方面提出任何异议的权利。保证遵守招标文件有关条款规定。</w:t>
      </w:r>
    </w:p>
    <w:p>
      <w:pPr>
        <w:spacing w:line="240" w:lineRule="auto"/>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6.</w:t>
      </w:r>
      <w:r>
        <w:rPr>
          <w:rFonts w:hint="eastAsia" w:asciiTheme="minorEastAsia" w:hAnsiTheme="minorEastAsia" w:eastAsiaTheme="minorEastAsia" w:cstheme="minorEastAsia"/>
          <w:color w:val="auto"/>
          <w:spacing w:val="-4"/>
          <w:sz w:val="24"/>
          <w:szCs w:val="24"/>
          <w:highlight w:val="none"/>
        </w:rPr>
        <w:t>保证在中标后忠实地执行与采购人所签署的合同，并承担合同规定的责任义务。保证在中标后按照招标文件的规定支付采购代理服务费。承诺按</w:t>
      </w:r>
      <w:r>
        <w:rPr>
          <w:rFonts w:hint="eastAsia" w:asciiTheme="minorEastAsia" w:hAnsiTheme="minorEastAsia" w:eastAsiaTheme="minorEastAsia" w:cstheme="minorEastAsia"/>
          <w:color w:val="auto"/>
          <w:spacing w:val="-4"/>
          <w:sz w:val="24"/>
          <w:szCs w:val="24"/>
          <w:highlight w:val="none"/>
          <w:lang w:eastAsia="zh-CN"/>
        </w:rPr>
        <w:t>采购人</w:t>
      </w:r>
      <w:r>
        <w:rPr>
          <w:rFonts w:hint="eastAsia" w:asciiTheme="minorEastAsia" w:hAnsiTheme="minorEastAsia" w:eastAsiaTheme="minorEastAsia" w:cstheme="minorEastAsia"/>
          <w:color w:val="auto"/>
          <w:spacing w:val="-4"/>
          <w:sz w:val="24"/>
          <w:szCs w:val="24"/>
          <w:highlight w:val="none"/>
        </w:rPr>
        <w:t>要求作好保密工作。</w:t>
      </w:r>
    </w:p>
    <w:p>
      <w:pPr>
        <w:spacing w:line="240" w:lineRule="auto"/>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7.</w:t>
      </w:r>
      <w:r>
        <w:rPr>
          <w:rFonts w:hint="eastAsia" w:asciiTheme="minorEastAsia" w:hAnsiTheme="minorEastAsia" w:eastAsiaTheme="minorEastAsia" w:cstheme="minorEastAsia"/>
          <w:color w:val="auto"/>
          <w:spacing w:val="-4"/>
          <w:sz w:val="24"/>
          <w:szCs w:val="24"/>
          <w:highlight w:val="none"/>
        </w:rPr>
        <w:t>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Theme="minorEastAsia" w:hAnsiTheme="minorEastAsia" w:eastAsiaTheme="minorEastAsia" w:cstheme="minorEastAsia"/>
          <w:color w:val="auto"/>
          <w:spacing w:val="-4"/>
          <w:sz w:val="24"/>
          <w:szCs w:val="20"/>
          <w:highlight w:val="none"/>
        </w:rPr>
        <w:t>并在人员、设备、技术、资金、售后服务等方面具有相应的服务能力</w:t>
      </w:r>
      <w:r>
        <w:rPr>
          <w:rFonts w:hint="eastAsia" w:asciiTheme="minorEastAsia" w:hAnsiTheme="minorEastAsia" w:eastAsiaTheme="minorEastAsia" w:cstheme="minorEastAsia"/>
          <w:color w:val="auto"/>
          <w:spacing w:val="-4"/>
          <w:sz w:val="24"/>
          <w:szCs w:val="24"/>
          <w:highlight w:val="none"/>
        </w:rPr>
        <w:t>。我公司</w:t>
      </w:r>
      <w:r>
        <w:rPr>
          <w:rFonts w:hint="eastAsia" w:asciiTheme="minorEastAsia" w:hAnsiTheme="minorEastAsia" w:eastAsiaTheme="minorEastAsia" w:cstheme="minorEastAsia"/>
          <w:color w:val="auto"/>
          <w:spacing w:val="-4"/>
          <w:sz w:val="24"/>
          <w:szCs w:val="20"/>
          <w:highlight w:val="none"/>
        </w:rPr>
        <w:t>未被列入失信被执行人名单、</w:t>
      </w:r>
      <w:r>
        <w:rPr>
          <w:rFonts w:hint="eastAsia" w:asciiTheme="minorEastAsia" w:hAnsiTheme="minorEastAsia" w:eastAsiaTheme="minorEastAsia" w:cstheme="minorEastAsia"/>
          <w:color w:val="auto"/>
          <w:spacing w:val="-4"/>
          <w:sz w:val="24"/>
          <w:szCs w:val="20"/>
          <w:highlight w:val="none"/>
          <w:lang w:eastAsia="zh-CN"/>
        </w:rPr>
        <w:t>重大税收违法失信主体</w:t>
      </w:r>
      <w:r>
        <w:rPr>
          <w:rFonts w:hint="eastAsia" w:asciiTheme="minorEastAsia" w:hAnsiTheme="minorEastAsia" w:eastAsiaTheme="minorEastAsia" w:cstheme="minorEastAsia"/>
          <w:color w:val="auto"/>
          <w:spacing w:val="-4"/>
          <w:sz w:val="24"/>
          <w:szCs w:val="20"/>
          <w:highlight w:val="none"/>
        </w:rPr>
        <w:t>、政府采购严重违法失信行为记录名单。</w:t>
      </w:r>
    </w:p>
    <w:p>
      <w:pPr>
        <w:snapToGrid w:val="0"/>
        <w:spacing w:line="240" w:lineRule="auto"/>
        <w:ind w:firstLine="480" w:firstLineChars="20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以上事项如有虚假或隐瞒，我方愿意承担一切后果，并不再寻求任何旨在减轻或免除法律责任的辩解。</w:t>
      </w:r>
    </w:p>
    <w:p>
      <w:pPr>
        <w:tabs>
          <w:tab w:val="left" w:pos="939"/>
        </w:tabs>
        <w:snapToGrid w:val="0"/>
        <w:spacing w:line="240" w:lineRule="auto"/>
        <w:ind w:left="773" w:leftChars="150" w:hanging="458" w:hangingChars="191"/>
        <w:rPr>
          <w:rFonts w:hint="eastAsia" w:asciiTheme="minorEastAsia" w:hAnsiTheme="minorEastAsia" w:eastAsiaTheme="minorEastAsia" w:cstheme="minorEastAsia"/>
          <w:color w:val="auto"/>
          <w:sz w:val="24"/>
          <w:szCs w:val="24"/>
          <w:highlight w:val="none"/>
        </w:rPr>
      </w:pPr>
    </w:p>
    <w:p>
      <w:pPr>
        <w:snapToGrid w:val="0"/>
        <w:spacing w:before="156" w:beforeLines="50" w:line="288" w:lineRule="auto"/>
        <w:rPr>
          <w:rFonts w:hint="eastAsia" w:asciiTheme="minorEastAsia" w:hAnsiTheme="minorEastAsia" w:eastAsiaTheme="minorEastAsia" w:cstheme="minorEastAsia"/>
          <w:color w:val="auto"/>
          <w:sz w:val="24"/>
          <w:szCs w:val="20"/>
          <w:highlight w:val="none"/>
          <w:u w:val="single"/>
        </w:rPr>
      </w:pPr>
      <w:r>
        <w:rPr>
          <w:rFonts w:hint="eastAsia" w:asciiTheme="minorEastAsia" w:hAnsiTheme="minorEastAsia" w:eastAsiaTheme="minorEastAsia" w:cstheme="minorEastAsia"/>
          <w:color w:val="auto"/>
          <w:sz w:val="24"/>
          <w:szCs w:val="24"/>
          <w:highlight w:val="none"/>
        </w:rPr>
        <w:t>法定代表人（签名或盖章）：</w:t>
      </w:r>
      <w:r>
        <w:rPr>
          <w:rFonts w:hint="eastAsia" w:asciiTheme="minorEastAsia" w:hAnsiTheme="minorEastAsia" w:eastAsiaTheme="minorEastAsia" w:cstheme="minorEastAsia"/>
          <w:color w:val="auto"/>
          <w:sz w:val="24"/>
          <w:szCs w:val="24"/>
          <w:highlight w:val="none"/>
          <w:u w:val="single"/>
        </w:rPr>
        <w:t xml:space="preserve">             </w:t>
      </w:r>
    </w:p>
    <w:p>
      <w:pPr>
        <w:snapToGrid w:val="0"/>
        <w:spacing w:before="156" w:beforeLines="50" w:after="50" w:line="28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pPr>
        <w:snapToGrid w:val="0"/>
        <w:spacing w:before="50" w:after="156" w:afterLines="50" w:line="288"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lang w:val="en-US" w:eastAsia="zh-CN"/>
        </w:rPr>
      </w:pPr>
    </w:p>
    <w:p>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lang w:val="en-US" w:eastAsia="zh-CN"/>
        </w:rPr>
      </w:pPr>
    </w:p>
    <w:p>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pPr>
        <w:spacing w:line="360" w:lineRule="auto"/>
        <w:rPr>
          <w:rFonts w:hint="eastAsia" w:asciiTheme="minorEastAsia" w:hAnsiTheme="minorEastAsia" w:eastAsiaTheme="minorEastAsia" w:cstheme="minorEastAsia"/>
          <w:b/>
          <w:color w:val="auto"/>
          <w:sz w:val="21"/>
          <w:szCs w:val="24"/>
          <w:highlight w:val="none"/>
        </w:rPr>
      </w:pPr>
      <w:r>
        <w:rPr>
          <w:rFonts w:hint="eastAsia" w:asciiTheme="minorEastAsia" w:hAnsiTheme="minorEastAsia" w:eastAsiaTheme="minorEastAsia" w:cstheme="minorEastAsia"/>
          <w:b/>
          <w:color w:val="auto"/>
          <w:sz w:val="21"/>
          <w:szCs w:val="24"/>
          <w:highlight w:val="none"/>
        </w:rPr>
        <w:t>资格承诺函格式：</w:t>
      </w:r>
    </w:p>
    <w:p>
      <w:pPr>
        <w:snapToGrid w:val="0"/>
        <w:spacing w:before="156" w:beforeLines="50" w:after="50" w:line="240" w:lineRule="auto"/>
        <w:jc w:val="center"/>
        <w:rPr>
          <w:rFonts w:hint="eastAsia"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bCs/>
          <w:color w:val="auto"/>
          <w:sz w:val="30"/>
          <w:szCs w:val="24"/>
          <w:highlight w:val="none"/>
        </w:rPr>
        <w:t>资格承诺函</w:t>
      </w:r>
    </w:p>
    <w:p>
      <w:pPr>
        <w:tabs>
          <w:tab w:val="left" w:pos="0"/>
        </w:tabs>
        <w:snapToGrid w:val="0"/>
        <w:spacing w:line="360" w:lineRule="auto"/>
        <w:ind w:firstLine="240" w:firstLineChars="1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采购人）、（采购代理机构）</w:t>
      </w:r>
      <w:r>
        <w:rPr>
          <w:rFonts w:hint="eastAsia" w:asciiTheme="minorEastAsia" w:hAnsiTheme="minorEastAsia" w:eastAsiaTheme="minorEastAsia" w:cstheme="minorEastAsia"/>
          <w:color w:val="auto"/>
          <w:kern w:val="0"/>
          <w:sz w:val="24"/>
          <w:szCs w:val="24"/>
          <w:highlight w:val="none"/>
        </w:rPr>
        <w:t>：</w:t>
      </w:r>
    </w:p>
    <w:p>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我方参与</w:t>
      </w:r>
      <w:r>
        <w:rPr>
          <w:rFonts w:hint="eastAsia" w:asciiTheme="minorEastAsia" w:hAnsiTheme="minorEastAsia" w:eastAsiaTheme="minorEastAsia" w:cstheme="minorEastAsia"/>
          <w:b/>
          <w:color w:val="auto"/>
          <w:kern w:val="0"/>
          <w:sz w:val="21"/>
          <w:szCs w:val="24"/>
          <w:highlight w:val="none"/>
          <w:u w:val="single"/>
        </w:rPr>
        <w:t xml:space="preserve">          </w:t>
      </w:r>
      <w:r>
        <w:rPr>
          <w:rFonts w:hint="eastAsia" w:asciiTheme="minorEastAsia" w:hAnsiTheme="minorEastAsia" w:eastAsiaTheme="minorEastAsia" w:cstheme="minorEastAsia"/>
          <w:b/>
          <w:color w:val="auto"/>
          <w:kern w:val="0"/>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b/>
          <w:color w:val="auto"/>
          <w:kern w:val="0"/>
          <w:sz w:val="24"/>
          <w:szCs w:val="24"/>
          <w:highlight w:val="none"/>
          <w:u w:val="single"/>
        </w:rPr>
        <w:t>（项目编号：    ）</w:t>
      </w:r>
      <w:r>
        <w:rPr>
          <w:rFonts w:hint="eastAsia" w:asciiTheme="minorEastAsia" w:hAnsiTheme="minorEastAsia" w:eastAsiaTheme="minorEastAsia" w:cstheme="minorEastAsia"/>
          <w:color w:val="auto"/>
          <w:kern w:val="0"/>
          <w:sz w:val="24"/>
          <w:szCs w:val="24"/>
          <w:highlight w:val="none"/>
        </w:rPr>
        <w:t>政府采购活动，郑重承诺：</w:t>
      </w:r>
    </w:p>
    <w:p>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（一）具备《中华人民共和国政府采购法》第二十二条第一款规定的条件：</w:t>
      </w:r>
    </w:p>
    <w:p>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具有独立承担民事责任的能力；</w:t>
      </w:r>
    </w:p>
    <w:p>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 xml:space="preserve">具有良好的商业信誉和健全的财务会计制度； </w:t>
      </w:r>
    </w:p>
    <w:p>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具有履行合同所必需的设备和专业技术能力；</w:t>
      </w:r>
    </w:p>
    <w:p>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有依法缴纳税收和社会保障资金的良好记录；</w:t>
      </w:r>
    </w:p>
    <w:p>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参加政府采购活动前三年内，在经营活动中没有重大违法记录；</w:t>
      </w:r>
    </w:p>
    <w:p>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具有法律、行政法规规定的其他条件。</w:t>
      </w:r>
    </w:p>
    <w:p>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（二）未被信用中国（www.creditchina.gov.cn)、中国政府采购网（www.ccgp.gov.cn）列入失信被执行人、</w:t>
      </w:r>
      <w:r>
        <w:rPr>
          <w:rFonts w:hint="eastAsia" w:asciiTheme="minorEastAsia" w:hAnsiTheme="minorEastAsia" w:eastAsiaTheme="minorEastAsia" w:cstheme="minorEastAsia"/>
          <w:color w:val="auto"/>
          <w:kern w:val="0"/>
          <w:sz w:val="24"/>
          <w:szCs w:val="24"/>
          <w:highlight w:val="none"/>
          <w:lang w:eastAsia="zh-CN"/>
        </w:rPr>
        <w:t>重大税收违法失信主体</w:t>
      </w:r>
      <w:r>
        <w:rPr>
          <w:rFonts w:hint="eastAsia" w:asciiTheme="minorEastAsia" w:hAnsiTheme="minorEastAsia" w:eastAsiaTheme="minorEastAsia" w:cstheme="minorEastAsia"/>
          <w:color w:val="auto"/>
          <w:kern w:val="0"/>
          <w:sz w:val="24"/>
          <w:szCs w:val="24"/>
          <w:highlight w:val="none"/>
        </w:rPr>
        <w:t>、政府采购严重违法失信行为记录名单。</w:t>
      </w:r>
    </w:p>
    <w:p>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（三）不存在以下情况：</w:t>
      </w:r>
    </w:p>
    <w:p>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单位负责人为同一人或者存在直接控股、管理关系的不同供应商参加同一合同项下的政府采购活动的；</w:t>
      </w:r>
    </w:p>
    <w:p>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为采购项目提供整体设计、规范编制或者项目管理、监理、检测等服务后再参加该采购项目的其他采购活动的。</w:t>
      </w:r>
    </w:p>
    <w:p>
      <w:pPr>
        <w:spacing w:line="360" w:lineRule="auto"/>
        <w:ind w:firstLine="422" w:firstLineChars="200"/>
        <w:rPr>
          <w:rFonts w:hint="eastAsia" w:asciiTheme="minorEastAsia" w:hAnsiTheme="minorEastAsia" w:eastAsiaTheme="minorEastAsia" w:cstheme="minorEastAsia"/>
          <w:b/>
          <w:color w:val="auto"/>
          <w:kern w:val="0"/>
          <w:sz w:val="21"/>
          <w:szCs w:val="24"/>
          <w:highlight w:val="none"/>
        </w:rPr>
      </w:pPr>
      <w:r>
        <w:rPr>
          <w:rFonts w:hint="eastAsia" w:asciiTheme="minorEastAsia" w:hAnsiTheme="minorEastAsia" w:eastAsiaTheme="minorEastAsia" w:cstheme="minorEastAsia"/>
          <w:b/>
          <w:color w:val="auto"/>
          <w:kern w:val="0"/>
          <w:sz w:val="21"/>
          <w:szCs w:val="24"/>
          <w:highlight w:val="none"/>
        </w:rPr>
        <w:t>以上承诺如有虚假或隐瞒，采购人可取消我方任何资格（投标/中标/签订合同），我方对此无任何异议，并愿意承担一切后果和责任。</w:t>
      </w:r>
    </w:p>
    <w:p>
      <w:pPr>
        <w:spacing w:line="360" w:lineRule="auto"/>
        <w:ind w:firstLine="420" w:firstLineChars="200"/>
        <w:rPr>
          <w:rFonts w:hint="eastAsia" w:asciiTheme="minorEastAsia" w:hAnsiTheme="minorEastAsia" w:eastAsiaTheme="minorEastAsia" w:cstheme="minorEastAsia"/>
          <w:color w:val="auto"/>
          <w:kern w:val="0"/>
          <w:sz w:val="21"/>
          <w:szCs w:val="24"/>
          <w:highlight w:val="none"/>
        </w:rPr>
      </w:pPr>
      <w:r>
        <w:rPr>
          <w:rFonts w:hint="eastAsia" w:asciiTheme="minorEastAsia" w:hAnsiTheme="minorEastAsia" w:eastAsiaTheme="minorEastAsia" w:cstheme="minorEastAsia"/>
          <w:color w:val="auto"/>
          <w:kern w:val="0"/>
          <w:sz w:val="21"/>
          <w:szCs w:val="24"/>
          <w:highlight w:val="none"/>
        </w:rPr>
        <w:t>特此承诺！</w:t>
      </w:r>
    </w:p>
    <w:p>
      <w:pPr>
        <w:spacing w:line="360" w:lineRule="auto"/>
        <w:ind w:firstLine="420" w:firstLineChars="200"/>
        <w:rPr>
          <w:rFonts w:hint="eastAsia" w:asciiTheme="minorEastAsia" w:hAnsiTheme="minorEastAsia" w:eastAsiaTheme="minorEastAsia" w:cstheme="minorEastAsia"/>
          <w:color w:val="auto"/>
          <w:sz w:val="21"/>
          <w:szCs w:val="24"/>
          <w:highlight w:val="none"/>
        </w:rPr>
      </w:pPr>
    </w:p>
    <w:p>
      <w:pPr>
        <w:spacing w:line="360" w:lineRule="auto"/>
        <w:ind w:firstLine="420" w:firstLineChars="200"/>
        <w:rPr>
          <w:rFonts w:hint="eastAsia" w:asciiTheme="minorEastAsia" w:hAnsiTheme="minorEastAsia" w:eastAsiaTheme="minorEastAsia" w:cstheme="minorEastAsia"/>
          <w:color w:val="auto"/>
          <w:kern w:val="0"/>
          <w:sz w:val="21"/>
          <w:szCs w:val="24"/>
          <w:highlight w:val="none"/>
        </w:rPr>
      </w:pPr>
      <w:r>
        <w:rPr>
          <w:rFonts w:hint="eastAsia" w:asciiTheme="minorEastAsia" w:hAnsiTheme="minorEastAsia" w:eastAsiaTheme="minorEastAsia" w:cstheme="minorEastAsia"/>
          <w:color w:val="auto"/>
          <w:sz w:val="21"/>
          <w:szCs w:val="24"/>
          <w:highlight w:val="none"/>
        </w:rPr>
        <w:t>投标人名称（电子签章）：</w:t>
      </w:r>
      <w:r>
        <w:rPr>
          <w:rFonts w:hint="eastAsia" w:asciiTheme="minorEastAsia" w:hAnsiTheme="minorEastAsia" w:eastAsiaTheme="minorEastAsia" w:cstheme="minorEastAsia"/>
          <w:color w:val="auto"/>
          <w:kern w:val="0"/>
          <w:sz w:val="21"/>
          <w:szCs w:val="24"/>
          <w:highlight w:val="none"/>
        </w:rPr>
        <w:t>__________________________________</w:t>
      </w:r>
    </w:p>
    <w:p>
      <w:pPr>
        <w:spacing w:line="360" w:lineRule="auto"/>
        <w:ind w:firstLine="420" w:firstLineChars="20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日期：________年____月____日</w:t>
      </w:r>
    </w:p>
    <w:p>
      <w:pPr>
        <w:spacing w:line="360" w:lineRule="auto"/>
        <w:rPr>
          <w:rFonts w:hint="eastAsia" w:asciiTheme="minorEastAsia" w:hAnsiTheme="minorEastAsia" w:eastAsiaTheme="minorEastAsia" w:cstheme="minorEastAsia"/>
          <w:b/>
          <w:color w:val="auto"/>
          <w:kern w:val="0"/>
          <w:sz w:val="21"/>
          <w:szCs w:val="24"/>
          <w:highlight w:val="none"/>
        </w:rPr>
      </w:pPr>
      <w:r>
        <w:rPr>
          <w:rFonts w:hint="eastAsia" w:asciiTheme="minorEastAsia" w:hAnsiTheme="minorEastAsia" w:eastAsiaTheme="minorEastAsia" w:cstheme="minorEastAsia"/>
          <w:b/>
          <w:color w:val="auto"/>
          <w:kern w:val="0"/>
          <w:sz w:val="21"/>
          <w:szCs w:val="24"/>
          <w:highlight w:val="none"/>
        </w:rPr>
        <w:t>编制说明：</w:t>
      </w:r>
      <w:r>
        <w:rPr>
          <w:rFonts w:hint="eastAsia" w:asciiTheme="minorEastAsia" w:hAnsiTheme="minorEastAsia" w:eastAsiaTheme="minorEastAsia" w:cstheme="minorEastAsia"/>
          <w:b/>
          <w:color w:val="auto"/>
          <w:kern w:val="0"/>
          <w:sz w:val="21"/>
          <w:szCs w:val="24"/>
          <w:highlight w:val="none"/>
          <w:u w:val="single"/>
        </w:rPr>
        <w:t>接受联合体投标的项目，投标供应商为联合体的，联合体各方均须提供本承诺函，否则投标无效。</w:t>
      </w:r>
    </w:p>
    <w:p>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pPr>
        <w:keepNext w:val="0"/>
        <w:keepLines w:val="0"/>
        <w:widowControl/>
        <w:suppressLineNumbers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中小企业声明函格式：</w:t>
      </w:r>
    </w:p>
    <w:p>
      <w:pPr>
        <w:autoSpaceDE w:val="0"/>
        <w:autoSpaceDN w:val="0"/>
        <w:adjustRightInd w:val="0"/>
        <w:spacing w:before="240" w:beforeLines="100" w:after="240" w:afterLines="100" w:line="360" w:lineRule="auto"/>
        <w:jc w:val="center"/>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中小企业声明函（货物</w:t>
      </w:r>
      <w:r>
        <w:rPr>
          <w:rFonts w:hint="eastAsia" w:asciiTheme="minorEastAsia" w:hAnsiTheme="minorEastAsia" w:eastAsiaTheme="minorEastAsia" w:cstheme="minorEastAsia"/>
          <w:b/>
          <w:bCs/>
          <w:color w:val="auto"/>
          <w:kern w:val="0"/>
          <w:sz w:val="30"/>
          <w:szCs w:val="30"/>
          <w:highlight w:val="none"/>
        </w:rPr>
        <w:t>）（如是）</w:t>
      </w:r>
    </w:p>
    <w:p>
      <w:pPr>
        <w:autoSpaceDE w:val="0"/>
        <w:autoSpaceDN w:val="0"/>
        <w:adjustRightInd w:val="0"/>
        <w:spacing w:line="360" w:lineRule="auto"/>
        <w:ind w:right="157" w:firstLine="64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本公司（联合体）郑重声明，根据《政府采购促进中小企业发展管理办法》（财库 ﹝2020﹞46号）的规定，本公司（联合体）参加</w:t>
      </w:r>
      <w:r>
        <w:rPr>
          <w:rFonts w:hint="eastAsia" w:asciiTheme="minorEastAsia" w:hAnsiTheme="minorEastAsia" w:eastAsiaTheme="minorEastAsia" w:cstheme="minorEastAsia"/>
          <w:b/>
          <w:bCs/>
          <w:color w:val="auto"/>
          <w:kern w:val="0"/>
          <w:sz w:val="24"/>
          <w:szCs w:val="24"/>
          <w:highlight w:val="none"/>
          <w:u w:val="single"/>
        </w:rPr>
        <w:t>浦江县住房和城乡建设局</w:t>
      </w:r>
      <w:r>
        <w:rPr>
          <w:rFonts w:hint="eastAsia" w:asciiTheme="minorEastAsia" w:hAnsiTheme="minorEastAsia" w:eastAsiaTheme="minorEastAsia" w:cstheme="minorEastAsia"/>
          <w:color w:val="auto"/>
          <w:kern w:val="0"/>
          <w:sz w:val="24"/>
          <w:szCs w:val="24"/>
          <w:highlight w:val="none"/>
          <w:u w:val="single"/>
        </w:rPr>
        <w:t>（单位名称）</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eastAsiaTheme="minorEastAsia" w:cstheme="minorEastAsia"/>
          <w:b/>
          <w:bCs/>
          <w:color w:val="auto"/>
          <w:kern w:val="0"/>
          <w:sz w:val="24"/>
          <w:szCs w:val="24"/>
          <w:highlight w:val="none"/>
          <w:u w:val="single"/>
          <w:lang w:eastAsia="zh-CN"/>
        </w:rPr>
        <w:t>2023年浦江县农村污水处理设施建设改造项目（第三批）仙华街道、郑家坞镇设备采购</w:t>
      </w:r>
      <w:r>
        <w:rPr>
          <w:rFonts w:hint="eastAsia" w:asciiTheme="minorEastAsia" w:hAnsiTheme="minorEastAsia" w:eastAsiaTheme="minorEastAsia" w:cstheme="minorEastAsia"/>
          <w:color w:val="auto"/>
          <w:kern w:val="0"/>
          <w:sz w:val="24"/>
          <w:szCs w:val="24"/>
          <w:highlight w:val="none"/>
          <w:u w:val="single"/>
        </w:rPr>
        <w:t>（项目名称）</w:t>
      </w:r>
      <w:r>
        <w:rPr>
          <w:rFonts w:hint="eastAsia" w:asciiTheme="minorEastAsia" w:hAnsiTheme="minorEastAsia" w:eastAsiaTheme="minorEastAsia" w:cstheme="minorEastAsia"/>
          <w:color w:val="auto"/>
          <w:kern w:val="0"/>
          <w:sz w:val="24"/>
          <w:szCs w:val="24"/>
          <w:highlight w:val="none"/>
        </w:rPr>
        <w:t xml:space="preserve">采购活动，提供的货物全部由符合政策要求的中小企业制造。相关企业（含联合体中的中小企业、签订分包意向协议的中小企业）的具体情况如下： </w:t>
      </w:r>
    </w:p>
    <w:tbl>
      <w:tblPr>
        <w:tblStyle w:val="23"/>
        <w:tblW w:w="9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9"/>
        <w:gridCol w:w="1777"/>
        <w:gridCol w:w="1275"/>
        <w:gridCol w:w="889"/>
        <w:gridCol w:w="1168"/>
        <w:gridCol w:w="1168"/>
        <w:gridCol w:w="1168"/>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exact"/>
          <w:jc w:val="center"/>
        </w:trPr>
        <w:tc>
          <w:tcPr>
            <w:tcW w:w="719" w:type="dxa"/>
            <w:vMerge w:val="restart"/>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序号</w:t>
            </w:r>
          </w:p>
        </w:tc>
        <w:tc>
          <w:tcPr>
            <w:tcW w:w="1777" w:type="dxa"/>
            <w:vMerge w:val="restart"/>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val="en-US" w:eastAsia="zh-CN"/>
              </w:rPr>
              <w:t>标的</w:t>
            </w:r>
            <w:r>
              <w:rPr>
                <w:rFonts w:hint="eastAsia" w:ascii="宋体" w:hAnsi="宋体" w:eastAsia="宋体" w:cs="宋体"/>
                <w:b w:val="0"/>
                <w:bCs w:val="0"/>
                <w:color w:val="auto"/>
                <w:sz w:val="24"/>
                <w:szCs w:val="24"/>
                <w:highlight w:val="none"/>
                <w:shd w:val="clear" w:color="auto" w:fill="auto"/>
                <w:lang w:eastAsia="zh-CN"/>
              </w:rPr>
              <w:t>名称</w:t>
            </w:r>
          </w:p>
        </w:tc>
        <w:tc>
          <w:tcPr>
            <w:tcW w:w="7083" w:type="dxa"/>
            <w:gridSpan w:val="6"/>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制造商</w:t>
            </w:r>
            <w:r>
              <w:rPr>
                <w:rFonts w:hint="eastAsia" w:ascii="宋体" w:hAnsi="宋体" w:eastAsia="宋体" w:cs="宋体"/>
                <w:b w:val="0"/>
                <w:bCs w:val="0"/>
                <w:color w:val="auto"/>
                <w:sz w:val="24"/>
                <w:szCs w:val="24"/>
                <w:highlight w:val="none"/>
                <w:shd w:val="clear" w:color="auto" w:fill="auto"/>
                <w:lang w:val="en-US" w:eastAsia="zh-CN"/>
              </w:rPr>
              <w:t>具体</w:t>
            </w:r>
            <w:r>
              <w:rPr>
                <w:rFonts w:hint="eastAsia" w:ascii="宋体" w:hAnsi="宋体" w:eastAsia="宋体" w:cs="宋体"/>
                <w:b w:val="0"/>
                <w:bCs w:val="0"/>
                <w:color w:val="auto"/>
                <w:sz w:val="24"/>
                <w:szCs w:val="24"/>
                <w:highlight w:val="none"/>
                <w:shd w:val="clear" w:color="auto" w:fill="auto"/>
                <w:lang w:eastAsia="zh-CN"/>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exact"/>
          <w:jc w:val="center"/>
        </w:trPr>
        <w:tc>
          <w:tcPr>
            <w:tcW w:w="719" w:type="dxa"/>
            <w:vMerge w:val="continue"/>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777" w:type="dxa"/>
            <w:vMerge w:val="continue"/>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27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制造商</w:t>
            </w:r>
          </w:p>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名称</w:t>
            </w:r>
          </w:p>
        </w:tc>
        <w:tc>
          <w:tcPr>
            <w:tcW w:w="889" w:type="dxa"/>
            <w:tcBorders>
              <w:top w:val="single" w:color="auto" w:sz="4" w:space="0"/>
            </w:tcBorders>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所属行业</w:t>
            </w:r>
          </w:p>
        </w:tc>
        <w:tc>
          <w:tcPr>
            <w:tcW w:w="1168" w:type="dxa"/>
            <w:tcBorders>
              <w:top w:val="single" w:color="auto" w:sz="4" w:space="0"/>
            </w:tcBorders>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从业人员数量（人）</w:t>
            </w:r>
          </w:p>
        </w:tc>
        <w:tc>
          <w:tcPr>
            <w:tcW w:w="1168" w:type="dxa"/>
            <w:tcBorders>
              <w:top w:val="single" w:color="auto" w:sz="4" w:space="0"/>
            </w:tcBorders>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营业收入（万元）</w:t>
            </w:r>
          </w:p>
        </w:tc>
        <w:tc>
          <w:tcPr>
            <w:tcW w:w="1168" w:type="dxa"/>
            <w:tcBorders>
              <w:top w:val="single" w:color="auto" w:sz="4" w:space="0"/>
            </w:tcBorders>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资产总额（万元）</w:t>
            </w:r>
          </w:p>
        </w:tc>
        <w:tc>
          <w:tcPr>
            <w:tcW w:w="1415" w:type="dxa"/>
            <w:tcBorders>
              <w:top w:val="single" w:color="auto" w:sz="4" w:space="0"/>
            </w:tcBorders>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属于（中型/小型/微型）企业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719"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b w:val="0"/>
                <w:bCs w:val="0"/>
                <w:color w:val="auto"/>
                <w:kern w:val="0"/>
                <w:sz w:val="24"/>
                <w:szCs w:val="24"/>
                <w:highlight w:val="none"/>
                <w:shd w:val="clear" w:color="auto" w:fill="auto"/>
                <w:lang w:val="en-US" w:eastAsia="zh-CN" w:bidi="zh-TW"/>
              </w:rPr>
              <w:t>1</w:t>
            </w:r>
          </w:p>
        </w:tc>
        <w:tc>
          <w:tcPr>
            <w:tcW w:w="1777" w:type="dxa"/>
            <w:noWrap w:val="0"/>
            <w:vAlign w:val="center"/>
          </w:tcPr>
          <w:p>
            <w:pPr>
              <w:pStyle w:val="52"/>
              <w:keepNext w:val="0"/>
              <w:keepLines w:val="0"/>
              <w:suppressLineNumbers w:val="0"/>
              <w:spacing w:before="0" w:beforeLines="0" w:beforeAutospacing="0" w:after="0" w:afterLines="0" w:afterAutospacing="0"/>
              <w:ind w:left="0" w:right="0" w:firstLine="0" w:firstLineChars="0"/>
              <w:rPr>
                <w:rFonts w:hint="eastAsia" w:ascii="宋体" w:hAnsi="宋体" w:eastAsia="宋体" w:cs="宋体"/>
                <w:b w:val="0"/>
                <w:bCs w:val="0"/>
                <w:i w:val="0"/>
                <w:iCs w:val="0"/>
                <w:color w:val="auto"/>
                <w:kern w:val="2"/>
                <w:sz w:val="24"/>
                <w:szCs w:val="24"/>
                <w:u w:val="none"/>
                <w:shd w:val="clear" w:color="auto" w:fill="auto"/>
                <w:lang w:val="en-US" w:eastAsia="zh-CN" w:bidi="ar-SA"/>
              </w:rPr>
            </w:pPr>
            <w:r>
              <w:rPr>
                <w:rFonts w:hint="eastAsia" w:ascii="宋体" w:hAnsi="宋体" w:eastAsia="宋体" w:cs="宋体"/>
                <w:color w:val="auto"/>
                <w:sz w:val="21"/>
                <w:szCs w:val="21"/>
              </w:rPr>
              <w:t>上叶北终端</w:t>
            </w:r>
          </w:p>
        </w:tc>
        <w:tc>
          <w:tcPr>
            <w:tcW w:w="127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restar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工业</w:t>
            </w:r>
          </w:p>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val="en-US" w:eastAsia="zh-CN"/>
              </w:rPr>
              <w:t>[不允许更改行业]</w:t>
            </w: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719"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b w:val="0"/>
                <w:bCs w:val="0"/>
                <w:color w:val="auto"/>
                <w:kern w:val="0"/>
                <w:sz w:val="24"/>
                <w:szCs w:val="24"/>
                <w:highlight w:val="none"/>
                <w:shd w:val="clear" w:color="auto" w:fill="auto"/>
                <w:lang w:val="en-US" w:eastAsia="zh-CN" w:bidi="zh-TW"/>
              </w:rPr>
              <w:t>2</w:t>
            </w:r>
          </w:p>
        </w:tc>
        <w:tc>
          <w:tcPr>
            <w:tcW w:w="1777" w:type="dxa"/>
            <w:noWrap w:val="0"/>
            <w:vAlign w:val="center"/>
          </w:tcPr>
          <w:p>
            <w:pPr>
              <w:pStyle w:val="52"/>
              <w:keepNext w:val="0"/>
              <w:keepLines w:val="0"/>
              <w:suppressLineNumbers w:val="0"/>
              <w:spacing w:before="0" w:beforeLines="0" w:beforeAutospacing="0" w:after="0" w:afterLines="0" w:afterAutospacing="0"/>
              <w:ind w:left="0" w:right="0" w:firstLine="0" w:firstLineChars="0"/>
              <w:rPr>
                <w:rFonts w:hint="eastAsia" w:ascii="宋体" w:hAnsi="宋体" w:eastAsia="宋体" w:cs="宋体"/>
                <w:b w:val="0"/>
                <w:bCs w:val="0"/>
                <w:i w:val="0"/>
                <w:iCs w:val="0"/>
                <w:color w:val="auto"/>
                <w:kern w:val="2"/>
                <w:sz w:val="24"/>
                <w:szCs w:val="24"/>
                <w:u w:val="none"/>
                <w:shd w:val="clear" w:color="auto" w:fill="auto"/>
                <w:lang w:val="en-US" w:eastAsia="zh-CN" w:bidi="ar-SA"/>
              </w:rPr>
            </w:pPr>
            <w:r>
              <w:rPr>
                <w:rFonts w:hint="eastAsia" w:ascii="宋体" w:hAnsi="宋体" w:eastAsia="宋体" w:cs="宋体"/>
                <w:color w:val="auto"/>
                <w:sz w:val="21"/>
                <w:szCs w:val="21"/>
              </w:rPr>
              <w:t>冯村上叶南终端</w:t>
            </w:r>
          </w:p>
        </w:tc>
        <w:tc>
          <w:tcPr>
            <w:tcW w:w="127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shd w:val="clear" w:color="auto" w:fill="auto"/>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719"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b w:val="0"/>
                <w:bCs w:val="0"/>
                <w:color w:val="auto"/>
                <w:kern w:val="0"/>
                <w:sz w:val="24"/>
                <w:szCs w:val="24"/>
                <w:highlight w:val="none"/>
                <w:shd w:val="clear" w:color="auto" w:fill="auto"/>
                <w:lang w:val="en-US" w:eastAsia="zh-CN" w:bidi="zh-TW"/>
              </w:rPr>
              <w:t>3</w:t>
            </w:r>
          </w:p>
        </w:tc>
        <w:tc>
          <w:tcPr>
            <w:tcW w:w="1777" w:type="dxa"/>
            <w:noWrap w:val="0"/>
            <w:vAlign w:val="center"/>
          </w:tcPr>
          <w:p>
            <w:pPr>
              <w:pStyle w:val="52"/>
              <w:keepNext w:val="0"/>
              <w:keepLines w:val="0"/>
              <w:suppressLineNumbers w:val="0"/>
              <w:spacing w:before="0" w:beforeLines="0" w:beforeAutospacing="0" w:after="0" w:afterLines="0" w:afterAutospacing="0"/>
              <w:ind w:left="0" w:right="0" w:firstLine="0" w:firstLineChars="0"/>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1"/>
                <w:szCs w:val="21"/>
              </w:rPr>
              <w:t>冯村终端</w:t>
            </w:r>
          </w:p>
        </w:tc>
        <w:tc>
          <w:tcPr>
            <w:tcW w:w="127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shd w:val="clear" w:color="auto" w:fill="auto"/>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hRule="atLeast"/>
          <w:jc w:val="center"/>
        </w:trPr>
        <w:tc>
          <w:tcPr>
            <w:tcW w:w="719"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b w:val="0"/>
                <w:bCs w:val="0"/>
                <w:color w:val="auto"/>
                <w:kern w:val="0"/>
                <w:sz w:val="24"/>
                <w:szCs w:val="24"/>
                <w:highlight w:val="none"/>
                <w:shd w:val="clear" w:color="auto" w:fill="auto"/>
                <w:lang w:val="en-US" w:eastAsia="zh-CN" w:bidi="zh-TW"/>
              </w:rPr>
              <w:t>4</w:t>
            </w:r>
          </w:p>
        </w:tc>
        <w:tc>
          <w:tcPr>
            <w:tcW w:w="1777" w:type="dxa"/>
            <w:noWrap w:val="0"/>
            <w:vAlign w:val="center"/>
          </w:tcPr>
          <w:p>
            <w:pPr>
              <w:pStyle w:val="52"/>
              <w:keepNext w:val="0"/>
              <w:keepLines w:val="0"/>
              <w:suppressLineNumbers w:val="0"/>
              <w:spacing w:before="0" w:beforeLines="0" w:beforeAutospacing="0" w:after="0" w:afterLines="0" w:afterAutospacing="0"/>
              <w:ind w:left="0" w:right="0" w:firstLine="0" w:firstLineChars="0"/>
              <w:rPr>
                <w:rFonts w:hint="eastAsia" w:ascii="宋体" w:hAnsi="宋体" w:eastAsia="宋体" w:cs="宋体"/>
                <w:color w:val="auto"/>
                <w:sz w:val="24"/>
                <w:szCs w:val="24"/>
                <w:shd w:val="clear" w:color="auto" w:fill="auto"/>
              </w:rPr>
            </w:pPr>
            <w:r>
              <w:rPr>
                <w:rFonts w:hint="eastAsia" w:ascii="宋体" w:hAnsi="宋体" w:eastAsia="宋体" w:cs="宋体"/>
                <w:color w:val="auto"/>
                <w:sz w:val="21"/>
                <w:szCs w:val="21"/>
              </w:rPr>
              <w:t>方门村终端</w:t>
            </w:r>
          </w:p>
        </w:tc>
        <w:tc>
          <w:tcPr>
            <w:tcW w:w="127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shd w:val="clear" w:color="auto" w:fill="auto"/>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719"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b w:val="0"/>
                <w:bCs w:val="0"/>
                <w:color w:val="auto"/>
                <w:kern w:val="0"/>
                <w:sz w:val="24"/>
                <w:szCs w:val="24"/>
                <w:highlight w:val="none"/>
                <w:shd w:val="clear" w:color="auto" w:fill="auto"/>
                <w:lang w:val="en-US" w:eastAsia="zh-CN" w:bidi="zh-TW"/>
              </w:rPr>
              <w:t>5</w:t>
            </w:r>
          </w:p>
        </w:tc>
        <w:tc>
          <w:tcPr>
            <w:tcW w:w="1777" w:type="dxa"/>
            <w:noWrap w:val="0"/>
            <w:vAlign w:val="center"/>
          </w:tcPr>
          <w:p>
            <w:pPr>
              <w:pStyle w:val="52"/>
              <w:keepNext w:val="0"/>
              <w:keepLines w:val="0"/>
              <w:suppressLineNumbers w:val="0"/>
              <w:spacing w:before="0" w:beforeLines="0" w:beforeAutospacing="0" w:after="0" w:afterLines="0" w:afterAutospacing="0"/>
              <w:ind w:left="0" w:right="0" w:firstLine="0" w:firstLineChars="0"/>
              <w:rPr>
                <w:rFonts w:hint="eastAsia" w:ascii="宋体" w:hAnsi="宋体" w:eastAsia="宋体" w:cs="宋体"/>
                <w:color w:val="auto"/>
                <w:sz w:val="24"/>
                <w:szCs w:val="24"/>
                <w:shd w:val="clear" w:color="auto" w:fill="auto"/>
              </w:rPr>
            </w:pPr>
            <w:r>
              <w:rPr>
                <w:rFonts w:hint="eastAsia" w:ascii="宋体" w:hAnsi="宋体" w:eastAsia="宋体" w:cs="宋体"/>
                <w:color w:val="auto"/>
                <w:sz w:val="21"/>
                <w:szCs w:val="21"/>
              </w:rPr>
              <w:t>岳塘下张村终端</w:t>
            </w:r>
          </w:p>
        </w:tc>
        <w:tc>
          <w:tcPr>
            <w:tcW w:w="127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shd w:val="clear" w:color="auto" w:fill="auto"/>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719"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b w:val="0"/>
                <w:bCs w:val="0"/>
                <w:color w:val="auto"/>
                <w:kern w:val="0"/>
                <w:sz w:val="24"/>
                <w:szCs w:val="24"/>
                <w:highlight w:val="none"/>
                <w:shd w:val="clear" w:color="auto" w:fill="auto"/>
                <w:lang w:val="en-US" w:eastAsia="zh-CN" w:bidi="zh-TW"/>
              </w:rPr>
              <w:t>6</w:t>
            </w:r>
          </w:p>
        </w:tc>
        <w:tc>
          <w:tcPr>
            <w:tcW w:w="1777" w:type="dxa"/>
            <w:noWrap w:val="0"/>
            <w:vAlign w:val="center"/>
          </w:tcPr>
          <w:p>
            <w:pPr>
              <w:pStyle w:val="52"/>
              <w:keepNext w:val="0"/>
              <w:keepLines w:val="0"/>
              <w:suppressLineNumbers w:val="0"/>
              <w:spacing w:before="0" w:beforeLines="0" w:beforeAutospacing="0" w:after="0" w:afterLines="0" w:afterAutospacing="0"/>
              <w:ind w:left="0" w:right="0" w:firstLine="0" w:firstLineChars="0"/>
              <w:rPr>
                <w:rFonts w:hint="eastAsia" w:ascii="宋体" w:hAnsi="宋体" w:eastAsia="宋体" w:cs="宋体"/>
                <w:color w:val="auto"/>
                <w:sz w:val="24"/>
                <w:szCs w:val="24"/>
                <w:shd w:val="clear" w:color="auto" w:fill="auto"/>
              </w:rPr>
            </w:pPr>
            <w:r>
              <w:rPr>
                <w:rFonts w:hint="eastAsia" w:ascii="宋体" w:hAnsi="宋体" w:eastAsia="宋体" w:cs="宋体"/>
                <w:color w:val="auto"/>
                <w:sz w:val="21"/>
                <w:szCs w:val="21"/>
              </w:rPr>
              <w:t>毛竹沿村终端</w:t>
            </w:r>
          </w:p>
        </w:tc>
        <w:tc>
          <w:tcPr>
            <w:tcW w:w="127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shd w:val="clear" w:color="auto" w:fill="auto"/>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719"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b w:val="0"/>
                <w:bCs w:val="0"/>
                <w:color w:val="auto"/>
                <w:kern w:val="0"/>
                <w:sz w:val="24"/>
                <w:szCs w:val="24"/>
                <w:highlight w:val="none"/>
                <w:shd w:val="clear" w:color="auto" w:fill="auto"/>
                <w:lang w:val="en-US" w:eastAsia="zh-CN" w:bidi="zh-TW"/>
              </w:rPr>
              <w:t>7</w:t>
            </w:r>
          </w:p>
        </w:tc>
        <w:tc>
          <w:tcPr>
            <w:tcW w:w="1777" w:type="dxa"/>
            <w:noWrap w:val="0"/>
            <w:vAlign w:val="center"/>
          </w:tcPr>
          <w:p>
            <w:pPr>
              <w:pStyle w:val="52"/>
              <w:keepNext w:val="0"/>
              <w:keepLines w:val="0"/>
              <w:suppressLineNumbers w:val="0"/>
              <w:spacing w:before="0" w:beforeLines="0" w:beforeAutospacing="0" w:after="0" w:afterLines="0" w:afterAutospacing="0"/>
              <w:ind w:left="0" w:right="0" w:firstLine="0" w:firstLineChars="0"/>
              <w:rPr>
                <w:rFonts w:hint="eastAsia" w:ascii="宋体" w:hAnsi="宋体" w:eastAsia="宋体" w:cs="宋体"/>
                <w:color w:val="auto"/>
                <w:sz w:val="24"/>
                <w:szCs w:val="24"/>
                <w:shd w:val="clear" w:color="auto" w:fill="auto"/>
              </w:rPr>
            </w:pPr>
            <w:r>
              <w:rPr>
                <w:rFonts w:hint="eastAsia" w:ascii="宋体" w:hAnsi="宋体" w:eastAsia="宋体" w:cs="宋体"/>
                <w:color w:val="auto"/>
                <w:sz w:val="21"/>
                <w:szCs w:val="21"/>
              </w:rPr>
              <w:t>朱路村上朱路终端</w:t>
            </w:r>
          </w:p>
        </w:tc>
        <w:tc>
          <w:tcPr>
            <w:tcW w:w="127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shd w:val="clear" w:color="auto" w:fill="auto"/>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719"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b w:val="0"/>
                <w:bCs w:val="0"/>
                <w:color w:val="auto"/>
                <w:kern w:val="0"/>
                <w:sz w:val="24"/>
                <w:szCs w:val="24"/>
                <w:highlight w:val="none"/>
                <w:shd w:val="clear" w:color="auto" w:fill="auto"/>
                <w:lang w:val="en-US" w:eastAsia="zh-CN" w:bidi="zh-TW"/>
              </w:rPr>
              <w:t>8</w:t>
            </w:r>
          </w:p>
        </w:tc>
        <w:tc>
          <w:tcPr>
            <w:tcW w:w="1777" w:type="dxa"/>
            <w:noWrap w:val="0"/>
            <w:vAlign w:val="center"/>
          </w:tcPr>
          <w:p>
            <w:pPr>
              <w:pStyle w:val="52"/>
              <w:keepNext w:val="0"/>
              <w:keepLines w:val="0"/>
              <w:suppressLineNumbers w:val="0"/>
              <w:spacing w:before="0" w:beforeLines="0" w:beforeAutospacing="0" w:after="0" w:afterLines="0" w:afterAutospacing="0"/>
              <w:ind w:left="0" w:right="0" w:firstLine="0" w:firstLineChars="0"/>
              <w:rPr>
                <w:rFonts w:hint="eastAsia" w:ascii="宋体" w:hAnsi="宋体" w:eastAsia="宋体" w:cs="宋体"/>
                <w:color w:val="auto"/>
                <w:sz w:val="24"/>
                <w:szCs w:val="24"/>
                <w:shd w:val="clear" w:color="auto" w:fill="auto"/>
              </w:rPr>
            </w:pPr>
            <w:r>
              <w:rPr>
                <w:rFonts w:hint="eastAsia" w:ascii="宋体" w:hAnsi="宋体" w:eastAsia="宋体" w:cs="宋体"/>
                <w:color w:val="auto"/>
                <w:sz w:val="21"/>
                <w:szCs w:val="21"/>
              </w:rPr>
              <w:t>朱路村大何街终端</w:t>
            </w:r>
          </w:p>
        </w:tc>
        <w:tc>
          <w:tcPr>
            <w:tcW w:w="127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shd w:val="clear" w:color="auto" w:fill="auto"/>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719"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b w:val="0"/>
                <w:bCs w:val="0"/>
                <w:color w:val="auto"/>
                <w:kern w:val="0"/>
                <w:sz w:val="24"/>
                <w:szCs w:val="24"/>
                <w:highlight w:val="none"/>
                <w:shd w:val="clear" w:color="auto" w:fill="auto"/>
                <w:lang w:val="en-US" w:eastAsia="zh-CN" w:bidi="zh-TW"/>
              </w:rPr>
              <w:t>9</w:t>
            </w:r>
          </w:p>
        </w:tc>
        <w:tc>
          <w:tcPr>
            <w:tcW w:w="1777" w:type="dxa"/>
            <w:noWrap w:val="0"/>
            <w:vAlign w:val="center"/>
          </w:tcPr>
          <w:p>
            <w:pPr>
              <w:pStyle w:val="52"/>
              <w:keepNext w:val="0"/>
              <w:keepLines w:val="0"/>
              <w:suppressLineNumbers w:val="0"/>
              <w:spacing w:before="0" w:beforeLines="0" w:beforeAutospacing="0" w:after="0" w:afterLines="0" w:afterAutospacing="0"/>
              <w:ind w:left="0" w:right="0" w:firstLine="0" w:firstLineChars="0"/>
              <w:rPr>
                <w:rFonts w:hint="eastAsia" w:ascii="宋体" w:hAnsi="宋体" w:eastAsia="宋体" w:cs="宋体"/>
                <w:color w:val="auto"/>
                <w:sz w:val="24"/>
                <w:szCs w:val="24"/>
                <w:shd w:val="clear" w:color="auto" w:fill="auto"/>
              </w:rPr>
            </w:pPr>
            <w:r>
              <w:rPr>
                <w:rFonts w:hint="eastAsia" w:ascii="宋体" w:hAnsi="宋体" w:eastAsia="宋体" w:cs="宋体"/>
                <w:color w:val="auto"/>
                <w:sz w:val="21"/>
                <w:szCs w:val="21"/>
              </w:rPr>
              <w:t>朱路村小何街终端</w:t>
            </w:r>
          </w:p>
        </w:tc>
        <w:tc>
          <w:tcPr>
            <w:tcW w:w="127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shd w:val="clear" w:color="auto" w:fill="auto"/>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719"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b w:val="0"/>
                <w:bCs w:val="0"/>
                <w:color w:val="auto"/>
                <w:kern w:val="0"/>
                <w:sz w:val="24"/>
                <w:szCs w:val="24"/>
                <w:highlight w:val="none"/>
                <w:shd w:val="clear" w:color="auto" w:fill="auto"/>
                <w:lang w:val="en-US" w:eastAsia="zh-CN" w:bidi="zh-TW"/>
              </w:rPr>
              <w:t>10</w:t>
            </w:r>
          </w:p>
        </w:tc>
        <w:tc>
          <w:tcPr>
            <w:tcW w:w="1777" w:type="dxa"/>
            <w:noWrap w:val="0"/>
            <w:vAlign w:val="center"/>
          </w:tcPr>
          <w:p>
            <w:pPr>
              <w:pStyle w:val="52"/>
              <w:keepNext w:val="0"/>
              <w:keepLines w:val="0"/>
              <w:suppressLineNumbers w:val="0"/>
              <w:spacing w:before="0" w:beforeLines="0" w:beforeAutospacing="0" w:after="0" w:afterLines="0" w:afterAutospacing="0"/>
              <w:ind w:left="0" w:right="0" w:firstLine="0" w:firstLineChars="0"/>
              <w:rPr>
                <w:rFonts w:hint="eastAsia" w:ascii="宋体" w:hAnsi="宋体" w:eastAsia="宋体" w:cs="宋体"/>
                <w:color w:val="auto"/>
                <w:sz w:val="24"/>
                <w:szCs w:val="24"/>
                <w:shd w:val="clear" w:color="auto" w:fill="auto"/>
              </w:rPr>
            </w:pPr>
            <w:r>
              <w:rPr>
                <w:rFonts w:hint="eastAsia" w:ascii="宋体" w:hAnsi="宋体" w:eastAsia="宋体" w:cs="宋体"/>
                <w:color w:val="auto"/>
                <w:sz w:val="21"/>
                <w:szCs w:val="21"/>
              </w:rPr>
              <w:t>朱路沼气池</w:t>
            </w:r>
          </w:p>
        </w:tc>
        <w:tc>
          <w:tcPr>
            <w:tcW w:w="127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shd w:val="clear" w:color="auto" w:fill="auto"/>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719"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b w:val="0"/>
                <w:bCs w:val="0"/>
                <w:color w:val="auto"/>
                <w:kern w:val="0"/>
                <w:sz w:val="24"/>
                <w:szCs w:val="24"/>
                <w:highlight w:val="none"/>
                <w:shd w:val="clear" w:color="auto" w:fill="auto"/>
                <w:lang w:val="en-US" w:eastAsia="zh-CN" w:bidi="zh-TW"/>
              </w:rPr>
              <w:t>11</w:t>
            </w:r>
          </w:p>
        </w:tc>
        <w:tc>
          <w:tcPr>
            <w:tcW w:w="1777" w:type="dxa"/>
            <w:noWrap w:val="0"/>
            <w:vAlign w:val="center"/>
          </w:tcPr>
          <w:p>
            <w:pPr>
              <w:pStyle w:val="52"/>
              <w:keepNext w:val="0"/>
              <w:keepLines w:val="0"/>
              <w:suppressLineNumbers w:val="0"/>
              <w:spacing w:before="0" w:beforeLines="0" w:beforeAutospacing="0" w:after="0" w:afterLines="0" w:afterAutospacing="0"/>
              <w:ind w:left="0" w:right="0" w:firstLine="0" w:firstLineChars="0"/>
              <w:rPr>
                <w:rFonts w:hint="eastAsia" w:ascii="宋体" w:hAnsi="宋体" w:eastAsia="宋体" w:cs="宋体"/>
                <w:color w:val="auto"/>
                <w:sz w:val="24"/>
                <w:szCs w:val="24"/>
                <w:shd w:val="clear" w:color="auto" w:fill="auto"/>
              </w:rPr>
            </w:pPr>
            <w:r>
              <w:rPr>
                <w:rFonts w:hint="eastAsia" w:ascii="宋体" w:hAnsi="宋体" w:eastAsia="宋体" w:cs="宋体"/>
                <w:color w:val="auto"/>
                <w:sz w:val="21"/>
                <w:szCs w:val="21"/>
              </w:rPr>
              <w:t>沈里村沈街终端</w:t>
            </w:r>
          </w:p>
        </w:tc>
        <w:tc>
          <w:tcPr>
            <w:tcW w:w="127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shd w:val="clear" w:color="auto" w:fill="auto"/>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719"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b w:val="0"/>
                <w:bCs w:val="0"/>
                <w:color w:val="auto"/>
                <w:kern w:val="0"/>
                <w:sz w:val="24"/>
                <w:szCs w:val="24"/>
                <w:highlight w:val="none"/>
                <w:shd w:val="clear" w:color="auto" w:fill="auto"/>
                <w:lang w:val="en-US" w:eastAsia="zh-CN" w:bidi="zh-TW"/>
              </w:rPr>
              <w:t>12</w:t>
            </w:r>
          </w:p>
        </w:tc>
        <w:tc>
          <w:tcPr>
            <w:tcW w:w="1777" w:type="dxa"/>
            <w:noWrap w:val="0"/>
            <w:vAlign w:val="center"/>
          </w:tcPr>
          <w:p>
            <w:pPr>
              <w:pStyle w:val="52"/>
              <w:keepNext w:val="0"/>
              <w:keepLines w:val="0"/>
              <w:suppressLineNumbers w:val="0"/>
              <w:spacing w:before="0" w:beforeLines="0" w:beforeAutospacing="0" w:after="0" w:afterLines="0" w:afterAutospacing="0"/>
              <w:ind w:left="0" w:right="0" w:firstLine="0" w:firstLineChars="0"/>
              <w:rPr>
                <w:rFonts w:hint="eastAsia" w:ascii="宋体" w:hAnsi="宋体" w:eastAsia="宋体" w:cs="宋体"/>
                <w:color w:val="auto"/>
                <w:sz w:val="24"/>
                <w:szCs w:val="24"/>
                <w:shd w:val="clear" w:color="auto" w:fill="auto"/>
              </w:rPr>
            </w:pPr>
            <w:r>
              <w:rPr>
                <w:rFonts w:hint="eastAsia" w:ascii="宋体" w:hAnsi="宋体" w:eastAsia="宋体" w:cs="宋体"/>
                <w:color w:val="auto"/>
                <w:sz w:val="21"/>
                <w:szCs w:val="21"/>
              </w:rPr>
              <w:t>溪东旧区终端</w:t>
            </w:r>
          </w:p>
        </w:tc>
        <w:tc>
          <w:tcPr>
            <w:tcW w:w="127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shd w:val="clear" w:color="auto" w:fill="auto"/>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719"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b w:val="0"/>
                <w:bCs w:val="0"/>
                <w:color w:val="auto"/>
                <w:kern w:val="0"/>
                <w:sz w:val="24"/>
                <w:szCs w:val="24"/>
                <w:highlight w:val="none"/>
                <w:shd w:val="clear" w:color="auto" w:fill="auto"/>
                <w:lang w:val="en-US" w:eastAsia="zh-CN" w:bidi="zh-TW"/>
              </w:rPr>
              <w:t>13</w:t>
            </w:r>
          </w:p>
        </w:tc>
        <w:tc>
          <w:tcPr>
            <w:tcW w:w="1777" w:type="dxa"/>
            <w:noWrap w:val="0"/>
            <w:vAlign w:val="center"/>
          </w:tcPr>
          <w:p>
            <w:pPr>
              <w:pStyle w:val="52"/>
              <w:keepNext w:val="0"/>
              <w:keepLines w:val="0"/>
              <w:suppressLineNumbers w:val="0"/>
              <w:spacing w:before="0" w:beforeLines="0" w:beforeAutospacing="0" w:after="0" w:afterLines="0" w:afterAutospacing="0"/>
              <w:ind w:left="0" w:right="0" w:firstLine="0" w:firstLineChars="0"/>
              <w:rPr>
                <w:rFonts w:hint="eastAsia" w:ascii="宋体" w:hAnsi="宋体" w:eastAsia="宋体" w:cs="宋体"/>
                <w:color w:val="auto"/>
                <w:sz w:val="24"/>
                <w:szCs w:val="24"/>
                <w:shd w:val="clear" w:color="auto" w:fill="auto"/>
              </w:rPr>
            </w:pPr>
            <w:r>
              <w:rPr>
                <w:rFonts w:hint="eastAsia" w:ascii="宋体" w:hAnsi="宋体" w:eastAsia="宋体" w:cs="宋体"/>
                <w:color w:val="auto"/>
                <w:sz w:val="21"/>
                <w:szCs w:val="21"/>
              </w:rPr>
              <w:t>余郭村终端</w:t>
            </w:r>
          </w:p>
        </w:tc>
        <w:tc>
          <w:tcPr>
            <w:tcW w:w="127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shd w:val="clear" w:color="auto" w:fill="auto"/>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719"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b w:val="0"/>
                <w:bCs w:val="0"/>
                <w:color w:val="auto"/>
                <w:kern w:val="0"/>
                <w:sz w:val="24"/>
                <w:szCs w:val="24"/>
                <w:highlight w:val="none"/>
                <w:shd w:val="clear" w:color="auto" w:fill="auto"/>
                <w:lang w:val="en-US" w:eastAsia="zh-CN" w:bidi="zh-TW"/>
              </w:rPr>
              <w:t>14</w:t>
            </w:r>
          </w:p>
        </w:tc>
        <w:tc>
          <w:tcPr>
            <w:tcW w:w="1777" w:type="dxa"/>
            <w:noWrap w:val="0"/>
            <w:vAlign w:val="center"/>
          </w:tcPr>
          <w:p>
            <w:pPr>
              <w:pStyle w:val="52"/>
              <w:keepNext w:val="0"/>
              <w:keepLines w:val="0"/>
              <w:suppressLineNumbers w:val="0"/>
              <w:spacing w:before="0" w:beforeLines="0" w:beforeAutospacing="0" w:after="0" w:afterLines="0" w:afterAutospacing="0"/>
              <w:ind w:left="0" w:right="0" w:firstLine="0" w:firstLineChars="0"/>
              <w:rPr>
                <w:rFonts w:hint="eastAsia" w:ascii="宋体" w:hAnsi="宋体" w:eastAsia="宋体" w:cs="宋体"/>
                <w:color w:val="auto"/>
                <w:sz w:val="24"/>
                <w:szCs w:val="24"/>
                <w:shd w:val="clear" w:color="auto" w:fill="auto"/>
              </w:rPr>
            </w:pPr>
            <w:r>
              <w:rPr>
                <w:rFonts w:hint="eastAsia" w:ascii="宋体" w:hAnsi="宋体" w:eastAsia="宋体" w:cs="宋体"/>
                <w:color w:val="auto"/>
                <w:sz w:val="21"/>
                <w:szCs w:val="21"/>
              </w:rPr>
              <w:t>吴大路终端</w:t>
            </w:r>
          </w:p>
        </w:tc>
        <w:tc>
          <w:tcPr>
            <w:tcW w:w="127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shd w:val="clear" w:color="auto" w:fill="auto"/>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8"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5" w:type="dxa"/>
            <w:noWrap w:val="0"/>
            <w:vAlign w:val="center"/>
          </w:tcPr>
          <w:p>
            <w:pPr>
              <w:pStyle w:val="56"/>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bl>
    <w:p>
      <w:pPr>
        <w:autoSpaceDE w:val="0"/>
        <w:autoSpaceDN w:val="0"/>
        <w:adjustRightInd w:val="0"/>
        <w:spacing w:line="360" w:lineRule="auto"/>
        <w:ind w:right="157"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以上企业，不属于大企业的分支机构，不存在控股股东为大企业的情形，也不存在与大企业的负责人为同一人的情形。</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本企业对上述声明内容的真实性负责。如有虚假，将依法承担相应责任。</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投标人名称（电子签章）：</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color w:val="auto"/>
          <w:kern w:val="2"/>
          <w:sz w:val="21"/>
          <w:szCs w:val="21"/>
          <w:highlight w:val="none"/>
          <w:shd w:val="clear" w:color="auto" w:fill="auto"/>
          <w:lang w:val="zh-TW" w:eastAsia="zh-TW" w:bidi="zh-TW"/>
        </w:rPr>
      </w:pP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bCs/>
          <w:color w:val="auto"/>
          <w:kern w:val="2"/>
          <w:sz w:val="21"/>
          <w:szCs w:val="21"/>
          <w:highlight w:val="none"/>
          <w:shd w:val="clear" w:color="auto" w:fill="auto"/>
          <w:lang w:val="zh-TW" w:eastAsia="zh-TW" w:bidi="zh-TW"/>
        </w:rPr>
        <w:t>填写要求：</w:t>
      </w:r>
      <w:r>
        <w:rPr>
          <w:rFonts w:hint="eastAsia" w:ascii="宋体" w:hAnsi="宋体" w:eastAsia="宋体" w:cs="宋体"/>
          <w:b w:val="0"/>
          <w:bCs w:val="0"/>
          <w:color w:val="auto"/>
          <w:kern w:val="2"/>
          <w:sz w:val="21"/>
          <w:szCs w:val="21"/>
          <w:highlight w:val="none"/>
          <w:shd w:val="clear" w:color="auto" w:fill="auto"/>
          <w:lang w:val="zh-TW" w:eastAsia="zh-TW" w:bidi="zh-TW"/>
        </w:rPr>
        <w:t>① “采购文件中明确的所属行业”依据</w:t>
      </w:r>
      <w:r>
        <w:rPr>
          <w:rFonts w:hint="eastAsia" w:ascii="宋体" w:hAnsi="宋体" w:eastAsia="宋体" w:cs="宋体"/>
          <w:b w:val="0"/>
          <w:bCs w:val="0"/>
          <w:color w:val="auto"/>
          <w:kern w:val="2"/>
          <w:sz w:val="21"/>
          <w:szCs w:val="21"/>
          <w:highlight w:val="none"/>
          <w:shd w:val="clear" w:color="auto" w:fill="auto"/>
          <w:lang w:val="zh-TW" w:eastAsia="zh-CN" w:bidi="zh-TW"/>
        </w:rPr>
        <w:t>采购</w:t>
      </w:r>
      <w:r>
        <w:rPr>
          <w:rFonts w:hint="eastAsia" w:ascii="宋体" w:hAnsi="宋体" w:eastAsia="宋体" w:cs="宋体"/>
          <w:b w:val="0"/>
          <w:bCs w:val="0"/>
          <w:color w:val="auto"/>
          <w:kern w:val="2"/>
          <w:sz w:val="21"/>
          <w:szCs w:val="21"/>
          <w:highlight w:val="none"/>
          <w:shd w:val="clear" w:color="auto" w:fill="auto"/>
          <w:lang w:val="zh-TW" w:eastAsia="zh-TW" w:bidi="zh-TW"/>
        </w:rPr>
        <w:t>文件</w:t>
      </w:r>
      <w:r>
        <w:rPr>
          <w:rFonts w:hint="eastAsia" w:ascii="宋体" w:hAnsi="宋体" w:eastAsia="宋体" w:cs="宋体"/>
          <w:b w:val="0"/>
          <w:bCs w:val="0"/>
          <w:color w:val="auto"/>
          <w:kern w:val="2"/>
          <w:sz w:val="21"/>
          <w:szCs w:val="21"/>
          <w:highlight w:val="none"/>
          <w:shd w:val="clear" w:color="auto" w:fill="auto"/>
          <w:lang w:val="zh-TW" w:eastAsia="zh-CN" w:bidi="zh-TW"/>
        </w:rPr>
        <w:t>资格要求中</w:t>
      </w:r>
      <w:r>
        <w:rPr>
          <w:rFonts w:hint="eastAsia" w:ascii="宋体" w:hAnsi="宋体" w:eastAsia="宋体" w:cs="宋体"/>
          <w:b w:val="0"/>
          <w:bCs w:val="0"/>
          <w:color w:val="auto"/>
          <w:kern w:val="2"/>
          <w:sz w:val="21"/>
          <w:szCs w:val="21"/>
          <w:highlight w:val="none"/>
          <w:shd w:val="clear" w:color="auto" w:fill="auto"/>
          <w:lang w:val="zh-TW" w:eastAsia="zh-TW" w:bidi="zh-TW"/>
        </w:rPr>
        <w:t>“本项目明确的所属行业类别”填写，</w:t>
      </w:r>
      <w:r>
        <w:rPr>
          <w:rFonts w:hint="eastAsia" w:ascii="宋体" w:hAnsi="宋体" w:eastAsia="宋体" w:cs="宋体"/>
          <w:b/>
          <w:bCs/>
          <w:color w:val="auto"/>
          <w:kern w:val="2"/>
          <w:sz w:val="21"/>
          <w:szCs w:val="21"/>
          <w:highlight w:val="none"/>
          <w:shd w:val="clear" w:color="auto" w:fill="auto"/>
          <w:lang w:val="zh-TW" w:eastAsia="zh-TW" w:bidi="zh-TW"/>
        </w:rPr>
        <w:t>不得缺漏</w:t>
      </w:r>
      <w:r>
        <w:rPr>
          <w:rFonts w:hint="eastAsia" w:ascii="宋体" w:hAnsi="宋体" w:eastAsia="宋体" w:cs="宋体"/>
          <w:b w:val="0"/>
          <w:bCs w:val="0"/>
          <w:color w:val="auto"/>
          <w:kern w:val="2"/>
          <w:sz w:val="21"/>
          <w:szCs w:val="21"/>
          <w:highlight w:val="none"/>
          <w:shd w:val="clear" w:color="auto" w:fill="auto"/>
          <w:lang w:val="zh-TW" w:eastAsia="zh-TW" w:bidi="zh-TW"/>
        </w:rPr>
        <w:t>；</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val="0"/>
          <w:bCs w:val="0"/>
          <w:color w:val="auto"/>
          <w:kern w:val="2"/>
          <w:sz w:val="21"/>
          <w:szCs w:val="21"/>
          <w:highlight w:val="none"/>
          <w:shd w:val="clear" w:color="auto" w:fill="auto"/>
          <w:lang w:val="zh-TW" w:eastAsia="zh-TW" w:bidi="zh-TW"/>
        </w:rPr>
        <w:t>②</w:t>
      </w:r>
      <w:r>
        <w:rPr>
          <w:rFonts w:hint="eastAsia" w:ascii="宋体" w:hAnsi="宋体" w:eastAsia="宋体" w:cs="宋体"/>
          <w:b/>
          <w:bCs/>
          <w:color w:val="auto"/>
          <w:kern w:val="2"/>
          <w:sz w:val="21"/>
          <w:szCs w:val="21"/>
          <w:highlight w:val="none"/>
          <w:shd w:val="clear" w:color="auto" w:fill="auto"/>
          <w:lang w:val="zh-TW" w:eastAsia="zh-TW" w:bidi="zh-TW"/>
        </w:rPr>
        <w:t>从业人员、营业收入、资产总额填报上一年度数据，无上一年度数据的新成立企业可不填报</w:t>
      </w:r>
      <w:r>
        <w:rPr>
          <w:rFonts w:hint="eastAsia" w:ascii="宋体" w:hAnsi="宋体" w:eastAsia="宋体" w:cs="宋体"/>
          <w:b w:val="0"/>
          <w:bCs w:val="0"/>
          <w:color w:val="auto"/>
          <w:kern w:val="2"/>
          <w:sz w:val="21"/>
          <w:szCs w:val="21"/>
          <w:highlight w:val="none"/>
          <w:shd w:val="clear" w:color="auto" w:fill="auto"/>
          <w:lang w:val="zh-TW" w:eastAsia="zh-TW" w:bidi="zh-TW"/>
        </w:rPr>
        <w:t>；</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val="0"/>
          <w:bCs w:val="0"/>
          <w:color w:val="auto"/>
          <w:kern w:val="2"/>
          <w:sz w:val="21"/>
          <w:szCs w:val="21"/>
          <w:highlight w:val="none"/>
          <w:shd w:val="clear" w:color="auto" w:fill="auto"/>
          <w:lang w:val="zh-TW" w:eastAsia="zh-TW" w:bidi="zh-TW"/>
        </w:rPr>
        <w:t>③中型企业、小型企业、微型企业等3种企业类型，结合以上数据，依据《中小企业划型标准规定》（</w:t>
      </w:r>
      <w:r>
        <w:rPr>
          <w:rFonts w:hint="eastAsia" w:ascii="宋体" w:hAnsi="宋体" w:eastAsia="宋体" w:cs="宋体"/>
          <w:b/>
          <w:bCs/>
          <w:color w:val="auto"/>
          <w:kern w:val="2"/>
          <w:sz w:val="21"/>
          <w:szCs w:val="21"/>
          <w:highlight w:val="none"/>
          <w:shd w:val="clear" w:color="auto" w:fill="auto"/>
          <w:lang w:val="zh-TW" w:eastAsia="zh-TW" w:bidi="zh-TW"/>
        </w:rPr>
        <w:t>工信部联企业〔2011〕300号</w:t>
      </w:r>
      <w:r>
        <w:rPr>
          <w:rFonts w:hint="eastAsia" w:ascii="宋体" w:hAnsi="宋体" w:eastAsia="宋体" w:cs="宋体"/>
          <w:b w:val="0"/>
          <w:bCs w:val="0"/>
          <w:color w:val="auto"/>
          <w:kern w:val="2"/>
          <w:sz w:val="21"/>
          <w:szCs w:val="21"/>
          <w:highlight w:val="none"/>
          <w:shd w:val="clear" w:color="auto" w:fill="auto"/>
          <w:lang w:val="zh-TW" w:eastAsia="zh-CN" w:bidi="zh-TW"/>
        </w:rPr>
        <w:t>）</w:t>
      </w:r>
      <w:r>
        <w:rPr>
          <w:rFonts w:hint="eastAsia" w:ascii="宋体" w:hAnsi="宋体" w:eastAsia="宋体" w:cs="宋体"/>
          <w:b w:val="0"/>
          <w:bCs w:val="0"/>
          <w:color w:val="auto"/>
          <w:kern w:val="2"/>
          <w:sz w:val="21"/>
          <w:szCs w:val="21"/>
          <w:highlight w:val="none"/>
          <w:shd w:val="clear" w:color="auto" w:fill="auto"/>
          <w:lang w:val="en-US" w:eastAsia="zh-CN" w:bidi="zh-TW"/>
        </w:rPr>
        <w:t>中的“</w:t>
      </w:r>
      <w:r>
        <w:rPr>
          <w:rFonts w:hint="eastAsia" w:ascii="宋体" w:hAnsi="宋体" w:eastAsia="宋体" w:cs="宋体"/>
          <w:b/>
          <w:bCs/>
          <w:color w:val="auto"/>
          <w:kern w:val="2"/>
          <w:sz w:val="21"/>
          <w:szCs w:val="21"/>
          <w:highlight w:val="none"/>
          <w:shd w:val="clear" w:color="auto" w:fill="auto"/>
          <w:lang w:val="en-US" w:eastAsia="zh-CN" w:bidi="zh-TW"/>
        </w:rPr>
        <w:t>（二）工业。</w:t>
      </w:r>
      <w:r>
        <w:rPr>
          <w:rFonts w:hint="eastAsia" w:ascii="宋体" w:hAnsi="宋体" w:eastAsia="宋体" w:cs="宋体"/>
          <w:b w:val="0"/>
          <w:bCs w:val="0"/>
          <w:color w:val="auto"/>
          <w:kern w:val="2"/>
          <w:sz w:val="21"/>
          <w:szCs w:val="21"/>
          <w:highlight w:val="none"/>
          <w:shd w:val="clear" w:color="auto" w:fill="auto"/>
          <w:lang w:val="en-US" w:eastAsia="zh-CN" w:bidi="zh-TW"/>
        </w:rPr>
        <w:t>从业人员1000人以下或营业收入40000万元以下的为中小微型企业。其中，从业人员300人及以上，且营业收入2000万元及以上的为</w:t>
      </w:r>
      <w:r>
        <w:rPr>
          <w:rFonts w:hint="eastAsia" w:ascii="宋体" w:hAnsi="宋体" w:eastAsia="宋体" w:cs="宋体"/>
          <w:b/>
          <w:bCs/>
          <w:color w:val="auto"/>
          <w:kern w:val="2"/>
          <w:sz w:val="21"/>
          <w:szCs w:val="21"/>
          <w:highlight w:val="none"/>
          <w:shd w:val="clear" w:color="auto" w:fill="auto"/>
          <w:lang w:val="en-US" w:eastAsia="zh-CN" w:bidi="zh-TW"/>
        </w:rPr>
        <w:t>中型企业</w:t>
      </w:r>
      <w:r>
        <w:rPr>
          <w:rFonts w:hint="eastAsia" w:ascii="宋体" w:hAnsi="宋体" w:eastAsia="宋体" w:cs="宋体"/>
          <w:b w:val="0"/>
          <w:bCs w:val="0"/>
          <w:color w:val="auto"/>
          <w:kern w:val="2"/>
          <w:sz w:val="21"/>
          <w:szCs w:val="21"/>
          <w:highlight w:val="none"/>
          <w:shd w:val="clear" w:color="auto" w:fill="auto"/>
          <w:lang w:val="en-US" w:eastAsia="zh-CN" w:bidi="zh-TW"/>
        </w:rPr>
        <w:t>；从业人员20人及以上，且营业收入300万元及以上的为</w:t>
      </w:r>
      <w:r>
        <w:rPr>
          <w:rFonts w:hint="eastAsia" w:ascii="宋体" w:hAnsi="宋体" w:eastAsia="宋体" w:cs="宋体"/>
          <w:b/>
          <w:bCs/>
          <w:color w:val="auto"/>
          <w:kern w:val="2"/>
          <w:sz w:val="21"/>
          <w:szCs w:val="21"/>
          <w:highlight w:val="none"/>
          <w:shd w:val="clear" w:color="auto" w:fill="auto"/>
          <w:lang w:val="en-US" w:eastAsia="zh-CN" w:bidi="zh-TW"/>
        </w:rPr>
        <w:t>小型企业</w:t>
      </w:r>
      <w:r>
        <w:rPr>
          <w:rFonts w:hint="eastAsia" w:ascii="宋体" w:hAnsi="宋体" w:eastAsia="宋体" w:cs="宋体"/>
          <w:b w:val="0"/>
          <w:bCs w:val="0"/>
          <w:color w:val="auto"/>
          <w:kern w:val="2"/>
          <w:sz w:val="21"/>
          <w:szCs w:val="21"/>
          <w:highlight w:val="none"/>
          <w:shd w:val="clear" w:color="auto" w:fill="auto"/>
          <w:lang w:val="en-US" w:eastAsia="zh-CN" w:bidi="zh-TW"/>
        </w:rPr>
        <w:t>；从业人员20人以下或营业收入300万元以下的为</w:t>
      </w:r>
      <w:r>
        <w:rPr>
          <w:rFonts w:hint="eastAsia" w:ascii="宋体" w:hAnsi="宋体" w:eastAsia="宋体" w:cs="宋体"/>
          <w:b/>
          <w:bCs/>
          <w:color w:val="auto"/>
          <w:kern w:val="2"/>
          <w:sz w:val="21"/>
          <w:szCs w:val="21"/>
          <w:highlight w:val="none"/>
          <w:shd w:val="clear" w:color="auto" w:fill="auto"/>
          <w:lang w:val="en-US" w:eastAsia="zh-CN" w:bidi="zh-TW"/>
        </w:rPr>
        <w:t>微型企业</w:t>
      </w:r>
      <w:r>
        <w:rPr>
          <w:rFonts w:hint="eastAsia" w:ascii="宋体" w:hAnsi="宋体" w:eastAsia="宋体" w:cs="宋体"/>
          <w:b w:val="0"/>
          <w:bCs w:val="0"/>
          <w:color w:val="auto"/>
          <w:kern w:val="2"/>
          <w:sz w:val="21"/>
          <w:szCs w:val="21"/>
          <w:highlight w:val="none"/>
          <w:shd w:val="clear" w:color="auto" w:fill="auto"/>
          <w:lang w:val="en-US" w:eastAsia="zh-CN" w:bidi="zh-TW"/>
        </w:rPr>
        <w:t>。”</w:t>
      </w:r>
      <w:r>
        <w:rPr>
          <w:rFonts w:hint="eastAsia" w:ascii="宋体" w:hAnsi="宋体" w:eastAsia="宋体" w:cs="宋体"/>
          <w:b w:val="0"/>
          <w:bCs w:val="0"/>
          <w:color w:val="auto"/>
          <w:kern w:val="2"/>
          <w:sz w:val="21"/>
          <w:szCs w:val="21"/>
          <w:highlight w:val="none"/>
          <w:shd w:val="clear" w:color="auto" w:fill="auto"/>
          <w:lang w:val="zh-TW" w:eastAsia="zh-TW" w:bidi="zh-TW"/>
        </w:rPr>
        <w:t>确定；</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val="0"/>
          <w:bCs w:val="0"/>
          <w:color w:val="auto"/>
          <w:kern w:val="2"/>
          <w:sz w:val="21"/>
          <w:szCs w:val="21"/>
          <w:highlight w:val="none"/>
          <w:shd w:val="clear" w:color="auto" w:fill="auto"/>
          <w:lang w:val="zh-TW" w:eastAsia="zh-TW" w:bidi="zh-TW"/>
        </w:rPr>
        <w:t>④</w:t>
      </w:r>
      <w:r>
        <w:rPr>
          <w:rFonts w:hint="eastAsia" w:ascii="宋体" w:hAnsi="宋体" w:eastAsia="宋体" w:cs="宋体"/>
          <w:b w:val="0"/>
          <w:bCs w:val="0"/>
          <w:color w:val="auto"/>
          <w:kern w:val="2"/>
          <w:sz w:val="21"/>
          <w:szCs w:val="21"/>
          <w:highlight w:val="none"/>
          <w:shd w:val="clear" w:color="auto" w:fill="auto"/>
          <w:lang w:val="zh-TW" w:eastAsia="zh-CN" w:bidi="zh-TW"/>
        </w:rPr>
        <w:t>供应商</w:t>
      </w:r>
      <w:r>
        <w:rPr>
          <w:rFonts w:hint="eastAsia" w:ascii="宋体" w:hAnsi="宋体" w:eastAsia="宋体" w:cs="宋体"/>
          <w:b w:val="0"/>
          <w:bCs w:val="0"/>
          <w:color w:val="auto"/>
          <w:kern w:val="2"/>
          <w:sz w:val="21"/>
          <w:szCs w:val="21"/>
          <w:highlight w:val="none"/>
          <w:shd w:val="clear" w:color="auto" w:fill="auto"/>
          <w:lang w:val="zh-TW" w:eastAsia="zh-TW" w:bidi="zh-TW"/>
        </w:rPr>
        <w:t>提供的《中小企业声明函》与实际情况不符的或者未按以上要求填写的，不享受中小企业扶持政策。声明内容不实的，属于提供虚假材料谋取中标、成交的，依法承担法律责任。</w:t>
      </w:r>
    </w:p>
    <w:p>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p>
    <w:p>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残疾人福利性单位声明函格式：</w:t>
      </w:r>
    </w:p>
    <w:p>
      <w:pPr>
        <w:spacing w:line="24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残疾人福利性单位声明函（如是）</w:t>
      </w:r>
    </w:p>
    <w:p>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      项目名称   </w:t>
      </w:r>
      <w:r>
        <w:rPr>
          <w:rFonts w:hint="eastAsia" w:asciiTheme="minorEastAsia" w:hAnsiTheme="minorEastAsia" w:eastAsiaTheme="minorEastAsia" w:cstheme="minorEastAsia"/>
          <w:color w:val="auto"/>
          <w:sz w:val="24"/>
          <w:szCs w:val="24"/>
          <w:highlight w:val="none"/>
        </w:rPr>
        <w:t>（项目编号）采购活动提供本单位制造的货物（由本单位承担工程/提供服务），或者提供其他残疾人福利性单位制造的货物（不包括使用非残疾人福利性单位注册商标的货物）。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pPr>
        <w:widowControl/>
        <w:spacing w:before="100" w:beforeAutospacing="1" w:after="100" w:afterAutospacing="1" w:line="48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投标人名称（电子签章）： </w:t>
      </w:r>
    </w:p>
    <w:p>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pPr>
        <w:pStyle w:val="8"/>
        <w:spacing w:line="360" w:lineRule="auto"/>
        <w:rPr>
          <w:rFonts w:hint="eastAsia" w:asciiTheme="minorEastAsia" w:hAnsiTheme="minorEastAsia" w:eastAsiaTheme="minorEastAsia" w:cstheme="minorEastAsia"/>
          <w:color w:val="auto"/>
          <w:highlight w:val="none"/>
        </w:rPr>
      </w:pPr>
    </w:p>
    <w:p>
      <w:pPr>
        <w:pStyle w:val="8"/>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备注：（1）残疾人福利性单位说明材料：残疾人福利性单位声明函。（2）如提供其他残疾人福利性单位制造的货物，还须同时提供该企业的残疾人福利性单位声明函。</w:t>
      </w:r>
    </w:p>
    <w:p>
      <w:pPr>
        <w:spacing w:line="360" w:lineRule="auto"/>
        <w:jc w:val="right"/>
        <w:rPr>
          <w:rFonts w:hint="eastAsia" w:asciiTheme="minorEastAsia" w:hAnsiTheme="minorEastAsia" w:eastAsiaTheme="minorEastAsia" w:cstheme="minorEastAsia"/>
          <w:color w:val="auto"/>
          <w:sz w:val="24"/>
          <w:szCs w:val="24"/>
          <w:highlight w:val="none"/>
        </w:rPr>
      </w:pPr>
    </w:p>
    <w:p>
      <w:pPr>
        <w:spacing w:line="360" w:lineRule="auto"/>
        <w:jc w:val="left"/>
        <w:rPr>
          <w:rFonts w:hint="eastAsia" w:asciiTheme="minorEastAsia" w:hAnsiTheme="minorEastAsia" w:eastAsiaTheme="minorEastAsia" w:cstheme="minorEastAsia"/>
          <w:b/>
          <w:bCs/>
          <w:color w:val="auto"/>
          <w:spacing w:val="-4"/>
          <w:sz w:val="24"/>
          <w:szCs w:val="24"/>
          <w:highlight w:val="none"/>
        </w:rPr>
      </w:pPr>
    </w:p>
    <w:p>
      <w:pPr>
        <w:spacing w:line="360" w:lineRule="auto"/>
        <w:jc w:val="left"/>
        <w:rPr>
          <w:rFonts w:hint="eastAsia" w:asciiTheme="minorEastAsia" w:hAnsiTheme="minorEastAsia" w:eastAsiaTheme="minorEastAsia" w:cstheme="minorEastAsia"/>
          <w:b/>
          <w:bCs/>
          <w:color w:val="auto"/>
          <w:spacing w:val="-4"/>
          <w:sz w:val="24"/>
          <w:szCs w:val="24"/>
          <w:highlight w:val="none"/>
        </w:rPr>
      </w:pPr>
    </w:p>
    <w:p>
      <w:pPr>
        <w:spacing w:line="360" w:lineRule="auto"/>
        <w:jc w:val="left"/>
        <w:rPr>
          <w:rFonts w:hint="eastAsia" w:asciiTheme="minorEastAsia" w:hAnsiTheme="minorEastAsia" w:eastAsiaTheme="minorEastAsia" w:cstheme="minorEastAsia"/>
          <w:b/>
          <w:bCs/>
          <w:color w:val="auto"/>
          <w:spacing w:val="-4"/>
          <w:sz w:val="24"/>
          <w:szCs w:val="24"/>
          <w:highlight w:val="none"/>
        </w:rPr>
      </w:pPr>
    </w:p>
    <w:p>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监狱企业声明文件：</w:t>
      </w:r>
    </w:p>
    <w:p>
      <w:pPr>
        <w:spacing w:line="360" w:lineRule="auto"/>
        <w:ind w:firstLine="2329" w:firstLineChars="10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pacing w:val="-4"/>
          <w:sz w:val="24"/>
          <w:szCs w:val="24"/>
          <w:highlight w:val="none"/>
        </w:rPr>
        <w:t>监狱企业声明文件</w:t>
      </w:r>
      <w:r>
        <w:rPr>
          <w:rFonts w:hint="eastAsia" w:asciiTheme="minorEastAsia" w:hAnsiTheme="minorEastAsia" w:eastAsiaTheme="minorEastAsia" w:cstheme="minorEastAsia"/>
          <w:color w:val="auto"/>
          <w:spacing w:val="-4"/>
          <w:sz w:val="24"/>
          <w:szCs w:val="24"/>
          <w:highlight w:val="none"/>
        </w:rPr>
        <w:t>(格式自拟）</w:t>
      </w:r>
      <w:r>
        <w:rPr>
          <w:rFonts w:hint="eastAsia" w:asciiTheme="minorEastAsia" w:hAnsiTheme="minorEastAsia" w:eastAsiaTheme="minorEastAsia" w:cstheme="minorEastAsia"/>
          <w:b/>
          <w:bCs/>
          <w:color w:val="auto"/>
          <w:spacing w:val="-4"/>
          <w:sz w:val="24"/>
          <w:szCs w:val="24"/>
          <w:highlight w:val="none"/>
          <w:lang w:eastAsia="zh-CN"/>
        </w:rPr>
        <w:t>（</w:t>
      </w:r>
      <w:r>
        <w:rPr>
          <w:rFonts w:hint="eastAsia" w:asciiTheme="minorEastAsia" w:hAnsiTheme="minorEastAsia" w:eastAsiaTheme="minorEastAsia" w:cstheme="minorEastAsia"/>
          <w:b/>
          <w:bCs/>
          <w:color w:val="auto"/>
          <w:spacing w:val="-4"/>
          <w:sz w:val="24"/>
          <w:szCs w:val="24"/>
          <w:highlight w:val="none"/>
          <w:lang w:val="en-US" w:eastAsia="zh-CN"/>
        </w:rPr>
        <w:t>如是</w:t>
      </w:r>
      <w:r>
        <w:rPr>
          <w:rFonts w:hint="eastAsia" w:asciiTheme="minorEastAsia" w:hAnsiTheme="minorEastAsia" w:eastAsiaTheme="minorEastAsia" w:cstheme="minorEastAsia"/>
          <w:b/>
          <w:bCs/>
          <w:color w:val="auto"/>
          <w:spacing w:val="-4"/>
          <w:sz w:val="24"/>
          <w:szCs w:val="24"/>
          <w:highlight w:val="none"/>
          <w:lang w:eastAsia="zh-CN"/>
        </w:rPr>
        <w:t>）</w:t>
      </w:r>
    </w:p>
    <w:p>
      <w:pPr>
        <w:widowControl w:val="0"/>
        <w:autoSpaceDE w:val="0"/>
        <w:autoSpaceDN w:val="0"/>
        <w:adjustRightInd w:val="0"/>
        <w:spacing w:after="120" w:line="240" w:lineRule="auto"/>
        <w:ind w:left="0" w:leftChars="0" w:firstLine="0" w:firstLineChars="0"/>
        <w:jc w:val="center"/>
        <w:textAlignment w:val="baseline"/>
        <w:rPr>
          <w:rFonts w:hint="eastAsia" w:asciiTheme="minorEastAsia" w:hAnsiTheme="minorEastAsia" w:eastAsiaTheme="minorEastAsia" w:cstheme="minorEastAsia"/>
          <w:b/>
          <w:color w:val="auto"/>
          <w:spacing w:val="0"/>
          <w:kern w:val="2"/>
          <w:sz w:val="36"/>
          <w:szCs w:val="20"/>
          <w:highlight w:val="none"/>
          <w:lang w:val="en-US" w:eastAsia="zh-CN" w:bidi="ar-SA"/>
        </w:rPr>
      </w:pPr>
    </w:p>
    <w:p>
      <w:pPr>
        <w:adjustRightInd w:val="0"/>
        <w:spacing w:line="360" w:lineRule="auto"/>
        <w:rPr>
          <w:rFonts w:hint="eastAsia" w:asciiTheme="minorEastAsia" w:hAnsiTheme="minorEastAsia" w:eastAsiaTheme="minorEastAsia" w:cstheme="minorEastAsia"/>
          <w:color w:val="auto"/>
          <w:sz w:val="24"/>
          <w:szCs w:val="24"/>
          <w:highlight w:val="none"/>
        </w:rPr>
      </w:pPr>
    </w:p>
    <w:p>
      <w:pPr>
        <w:keepNext w:val="0"/>
        <w:keepLines w:val="0"/>
        <w:widowControl/>
        <w:suppressLineNumbers w:val="0"/>
        <w:spacing w:line="240" w:lineRule="auto"/>
        <w:jc w:val="left"/>
        <w:rPr>
          <w:rFonts w:hint="eastAsia" w:asciiTheme="minorEastAsia" w:hAnsiTheme="minorEastAsia" w:eastAsiaTheme="minorEastAsia" w:cstheme="minorEastAsia"/>
          <w:b/>
          <w:bCs/>
          <w:color w:val="auto"/>
          <w:sz w:val="24"/>
          <w:szCs w:val="24"/>
          <w:highlight w:val="none"/>
          <w:lang w:val="en-US" w:eastAsia="zh-CN"/>
        </w:rPr>
      </w:pPr>
    </w:p>
    <w:p>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pPr>
        <w:spacing w:line="24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二、商务</w:t>
      </w:r>
      <w:r>
        <w:rPr>
          <w:rFonts w:hint="eastAsia" w:asciiTheme="minorEastAsia" w:hAnsiTheme="minorEastAsia" w:eastAsiaTheme="minorEastAsia" w:cstheme="minorEastAsia"/>
          <w:b/>
          <w:color w:val="auto"/>
          <w:sz w:val="28"/>
          <w:szCs w:val="28"/>
          <w:highlight w:val="none"/>
          <w:lang w:val="en-US" w:eastAsia="zh-CN"/>
        </w:rPr>
        <w:t>技术</w:t>
      </w:r>
      <w:r>
        <w:rPr>
          <w:rFonts w:hint="eastAsia" w:asciiTheme="minorEastAsia" w:hAnsiTheme="minorEastAsia" w:eastAsiaTheme="minorEastAsia" w:cstheme="minorEastAsia"/>
          <w:b/>
          <w:color w:val="auto"/>
          <w:sz w:val="28"/>
          <w:szCs w:val="28"/>
          <w:highlight w:val="none"/>
        </w:rPr>
        <w:t>文件封面格式</w:t>
      </w:r>
    </w:p>
    <w:p>
      <w:pPr>
        <w:spacing w:line="240" w:lineRule="auto"/>
        <w:rPr>
          <w:rFonts w:hint="eastAsia" w:asciiTheme="minorEastAsia" w:hAnsiTheme="minorEastAsia" w:eastAsiaTheme="minorEastAsia" w:cstheme="minorEastAsia"/>
          <w:b/>
          <w:bCs/>
          <w:color w:val="auto"/>
          <w:sz w:val="40"/>
          <w:szCs w:val="40"/>
          <w:highlight w:val="none"/>
        </w:rPr>
      </w:pPr>
    </w:p>
    <w:p>
      <w:pPr>
        <w:spacing w:line="240" w:lineRule="auto"/>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40"/>
          <w:szCs w:val="40"/>
          <w:highlight w:val="none"/>
          <w:lang w:eastAsia="zh-CN"/>
        </w:rPr>
        <w:t>2023年浦江县农村污水处理设施建设改造项目（第三批）仙华街道、郑家坞镇设备采购</w:t>
      </w:r>
    </w:p>
    <w:p>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p>
    <w:p>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bidi="th-TH"/>
        </w:rPr>
        <w:t>投 标 文 件</w:t>
      </w:r>
    </w:p>
    <w:p>
      <w:pPr>
        <w:spacing w:line="24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（商务</w:t>
      </w:r>
      <w:r>
        <w:rPr>
          <w:rFonts w:hint="eastAsia" w:asciiTheme="minorEastAsia" w:hAnsiTheme="minorEastAsia" w:eastAsiaTheme="minorEastAsia" w:cstheme="minorEastAsia"/>
          <w:b/>
          <w:bCs/>
          <w:color w:val="auto"/>
          <w:sz w:val="36"/>
          <w:szCs w:val="36"/>
          <w:highlight w:val="none"/>
          <w:lang w:val="en-US" w:eastAsia="zh-CN"/>
        </w:rPr>
        <w:t>技术</w:t>
      </w:r>
      <w:r>
        <w:rPr>
          <w:rFonts w:hint="eastAsia" w:asciiTheme="minorEastAsia" w:hAnsiTheme="minorEastAsia" w:eastAsiaTheme="minorEastAsia" w:cstheme="minorEastAsia"/>
          <w:b/>
          <w:bCs/>
          <w:color w:val="auto"/>
          <w:sz w:val="36"/>
          <w:szCs w:val="36"/>
          <w:highlight w:val="none"/>
        </w:rPr>
        <w:t>文件）</w:t>
      </w:r>
    </w:p>
    <w:p>
      <w:pPr>
        <w:spacing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pPr>
        <w:spacing w:line="240" w:lineRule="auto"/>
        <w:jc w:val="center"/>
        <w:rPr>
          <w:rFonts w:hint="eastAsia" w:asciiTheme="minorEastAsia" w:hAnsiTheme="minorEastAsia" w:eastAsiaTheme="minorEastAsia" w:cstheme="minorEastAsia"/>
          <w:b/>
          <w:bCs/>
          <w:color w:val="auto"/>
          <w:sz w:val="28"/>
          <w:szCs w:val="28"/>
          <w:highlight w:val="none"/>
        </w:rPr>
      </w:pP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pPr>
        <w:tabs>
          <w:tab w:val="left" w:pos="720"/>
        </w:tabs>
        <w:adjustRightInd w:val="0"/>
        <w:snapToGrid w:val="0"/>
        <w:spacing w:line="360" w:lineRule="auto"/>
        <w:ind w:left="420"/>
        <w:jc w:val="center"/>
        <w:rPr>
          <w:rFonts w:hint="eastAsia" w:asciiTheme="minorEastAsia" w:hAnsiTheme="minorEastAsia" w:eastAsiaTheme="minorEastAsia" w:cstheme="minorEastAsia"/>
          <w:b/>
          <w:snapToGrid w:val="0"/>
          <w:color w:val="auto"/>
          <w:kern w:val="0"/>
          <w:sz w:val="32"/>
          <w:szCs w:val="32"/>
          <w:highlight w:val="none"/>
        </w:rPr>
      </w:pPr>
    </w:p>
    <w:p>
      <w:pPr>
        <w:tabs>
          <w:tab w:val="left" w:pos="720"/>
        </w:tabs>
        <w:adjustRightInd w:val="0"/>
        <w:snapToGrid w:val="0"/>
        <w:spacing w:line="360" w:lineRule="auto"/>
        <w:ind w:left="420"/>
        <w:jc w:val="center"/>
        <w:rPr>
          <w:rFonts w:hint="eastAsia"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t>商务</w:t>
      </w:r>
      <w:r>
        <w:rPr>
          <w:rFonts w:hint="eastAsia" w:asciiTheme="minorEastAsia" w:hAnsiTheme="minorEastAsia" w:eastAsiaTheme="minorEastAsia" w:cstheme="minorEastAsia"/>
          <w:b/>
          <w:snapToGrid w:val="0"/>
          <w:color w:val="auto"/>
          <w:kern w:val="0"/>
          <w:sz w:val="32"/>
          <w:szCs w:val="32"/>
          <w:highlight w:val="none"/>
          <w:lang w:val="en-US" w:eastAsia="zh-CN"/>
        </w:rPr>
        <w:t>技术</w:t>
      </w:r>
      <w:r>
        <w:rPr>
          <w:rFonts w:hint="eastAsia" w:asciiTheme="minorEastAsia" w:hAnsiTheme="minorEastAsia" w:eastAsiaTheme="minorEastAsia" w:cstheme="minorEastAsia"/>
          <w:b/>
          <w:snapToGrid w:val="0"/>
          <w:color w:val="auto"/>
          <w:kern w:val="0"/>
          <w:sz w:val="32"/>
          <w:szCs w:val="32"/>
          <w:highlight w:val="none"/>
        </w:rPr>
        <w:t>文件目录</w:t>
      </w:r>
    </w:p>
    <w:p>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1.投标人基本情况表（格式见附件）———————页码</w:t>
      </w:r>
    </w:p>
    <w:p>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2.法定代表人资格说明书和法定代表人授权委托书（格式见附件）—————页码</w:t>
      </w:r>
    </w:p>
    <w:p>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3.商务响应表（格式见附件）———————页码</w:t>
      </w:r>
    </w:p>
    <w:p>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技术响应表（格式见附件）———————页码</w:t>
      </w:r>
    </w:p>
    <w:p>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产品配置清单表（格式见附件）———————页码</w:t>
      </w:r>
    </w:p>
    <w:p>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商务技术</w:t>
      </w:r>
      <w:r>
        <w:rPr>
          <w:rFonts w:hint="eastAsia" w:asciiTheme="minorEastAsia" w:hAnsiTheme="minorEastAsia" w:eastAsiaTheme="minorEastAsia" w:cstheme="minorEastAsia"/>
          <w:color w:val="auto"/>
          <w:sz w:val="24"/>
          <w:szCs w:val="24"/>
          <w:highlight w:val="none"/>
        </w:rPr>
        <w:t>分自评表（格式见附件）———————页码</w:t>
      </w:r>
    </w:p>
    <w:p>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6.1业绩———————页码</w:t>
      </w:r>
    </w:p>
    <w:p>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6.2企业实力———————页码</w:t>
      </w:r>
    </w:p>
    <w:p>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6.3投标货物的性能及技术指标———————页码</w:t>
      </w:r>
    </w:p>
    <w:p>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6.4项目现状、重点分析———————页码</w:t>
      </w:r>
    </w:p>
    <w:p>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6.5项目实施方案———————页码</w:t>
      </w:r>
    </w:p>
    <w:p>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6.6项目成员———————页码</w:t>
      </w:r>
    </w:p>
    <w:p>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6.7培训———————页码</w:t>
      </w:r>
    </w:p>
    <w:p>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6.8应急预案———————页码</w:t>
      </w:r>
    </w:p>
    <w:p>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6.9售后服务———————页码</w:t>
      </w:r>
    </w:p>
    <w:p>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6.10政策分</w:t>
      </w:r>
      <w:r>
        <w:rPr>
          <w:rFonts w:hint="eastAsia" w:asciiTheme="minorEastAsia" w:hAnsiTheme="minorEastAsia" w:eastAsiaTheme="minorEastAsia" w:cstheme="minorEastAsia"/>
          <w:color w:val="auto"/>
          <w:sz w:val="24"/>
          <w:szCs w:val="24"/>
          <w:highlight w:val="none"/>
        </w:rPr>
        <w:t>———————页码</w:t>
      </w:r>
    </w:p>
    <w:p>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投标人需要说明的其他资料（对照相应项目评分标准，由投标人自行考虑）———————页码。</w:t>
      </w:r>
    </w:p>
    <w:p>
      <w:pPr>
        <w:spacing w:line="460" w:lineRule="exact"/>
        <w:rPr>
          <w:rFonts w:hint="eastAsia" w:asciiTheme="minorEastAsia" w:hAnsiTheme="minorEastAsia" w:eastAsiaTheme="minorEastAsia" w:cstheme="minorEastAsia"/>
          <w:b/>
          <w:color w:val="auto"/>
          <w:sz w:val="24"/>
          <w:szCs w:val="24"/>
          <w:highlight w:val="none"/>
          <w:u w:val="none"/>
          <w:lang w:val="en-US" w:eastAsia="zh-CN"/>
        </w:rPr>
      </w:pPr>
      <w:r>
        <w:rPr>
          <w:rFonts w:hint="eastAsia" w:asciiTheme="minorEastAsia" w:hAnsiTheme="minorEastAsia" w:eastAsiaTheme="minorEastAsia" w:cstheme="minorEastAsia"/>
          <w:b/>
          <w:color w:val="auto"/>
          <w:sz w:val="24"/>
          <w:szCs w:val="24"/>
          <w:highlight w:val="none"/>
          <w:u w:val="none"/>
        </w:rPr>
        <w:t>注：</w:t>
      </w:r>
      <w:r>
        <w:rPr>
          <w:rFonts w:hint="eastAsia" w:asciiTheme="minorEastAsia" w:hAnsiTheme="minorEastAsia" w:eastAsiaTheme="minorEastAsia" w:cstheme="minorEastAsia"/>
          <w:b/>
          <w:color w:val="auto"/>
          <w:sz w:val="24"/>
          <w:szCs w:val="24"/>
          <w:highlight w:val="none"/>
          <w:u w:val="none"/>
          <w:lang w:val="en-US" w:eastAsia="zh-CN"/>
        </w:rPr>
        <w:t>1.投标人根据商务技术分评分细则附“商务技术分自评表”【格式见附件】</w:t>
      </w:r>
    </w:p>
    <w:p>
      <w:pPr>
        <w:spacing w:line="460" w:lineRule="exact"/>
        <w:ind w:firstLine="482" w:firstLineChars="200"/>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lang w:val="en-US" w:eastAsia="zh-CN"/>
        </w:rPr>
        <w:t>2.商务技术</w:t>
      </w:r>
      <w:r>
        <w:rPr>
          <w:rFonts w:hint="eastAsia" w:asciiTheme="minorEastAsia" w:hAnsiTheme="minorEastAsia" w:eastAsiaTheme="minorEastAsia" w:cstheme="minorEastAsia"/>
          <w:b/>
          <w:color w:val="auto"/>
          <w:sz w:val="24"/>
          <w:szCs w:val="24"/>
          <w:highlight w:val="none"/>
          <w:u w:val="none"/>
        </w:rPr>
        <w:t>文件的文字部分及其他未提供格式部分由各投标人根据招标文件要求、评分标准要求自行设置。</w:t>
      </w:r>
    </w:p>
    <w:p>
      <w:pPr>
        <w:snapToGrid w:val="0"/>
        <w:spacing w:before="295" w:after="295" w:line="240" w:lineRule="auto"/>
        <w:rPr>
          <w:rFonts w:hint="eastAsia" w:asciiTheme="minorEastAsia" w:hAnsiTheme="minorEastAsia" w:eastAsiaTheme="minorEastAsia" w:cstheme="minorEastAsia"/>
          <w:color w:val="auto"/>
          <w:sz w:val="24"/>
          <w:szCs w:val="24"/>
          <w:highlight w:val="none"/>
        </w:rPr>
      </w:pPr>
    </w:p>
    <w:p>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bookmarkStart w:id="12" w:name="_Toc479927873"/>
      <w:bookmarkStart w:id="13" w:name="_Toc110393361"/>
      <w:bookmarkStart w:id="14" w:name="_Toc225223761"/>
      <w:bookmarkStart w:id="15" w:name="_Toc14746861"/>
      <w:bookmarkStart w:id="16" w:name="_Toc483379796"/>
      <w:bookmarkStart w:id="17" w:name="_Toc488936100"/>
      <w:r>
        <w:rPr>
          <w:rFonts w:hint="eastAsia" w:asciiTheme="minorEastAsia" w:hAnsiTheme="minorEastAsia" w:eastAsiaTheme="minorEastAsia" w:cstheme="minorEastAsia"/>
          <w:b/>
          <w:color w:val="auto"/>
          <w:sz w:val="24"/>
          <w:szCs w:val="24"/>
          <w:highlight w:val="none"/>
        </w:rPr>
        <w:br w:type="page"/>
      </w:r>
      <w:r>
        <w:rPr>
          <w:rFonts w:hint="eastAsia" w:asciiTheme="minorEastAsia" w:hAnsiTheme="minorEastAsia" w:eastAsiaTheme="minorEastAsia" w:cstheme="minorEastAsia"/>
          <w:b/>
          <w:color w:val="auto"/>
          <w:sz w:val="24"/>
          <w:szCs w:val="24"/>
          <w:highlight w:val="none"/>
        </w:rPr>
        <w:t>1.投标人基本情况表格式：</w:t>
      </w:r>
    </w:p>
    <w:p>
      <w:pPr>
        <w:snapToGrid w:val="0"/>
        <w:spacing w:before="156" w:beforeLines="50" w:after="50" w:line="240" w:lineRule="auto"/>
        <w:jc w:val="center"/>
        <w:rPr>
          <w:rFonts w:hint="eastAsia"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bCs/>
          <w:color w:val="auto"/>
          <w:sz w:val="30"/>
          <w:szCs w:val="24"/>
          <w:highlight w:val="none"/>
        </w:rPr>
        <w:t>投标人基本情况表</w:t>
      </w:r>
      <w:bookmarkEnd w:id="12"/>
      <w:bookmarkEnd w:id="13"/>
      <w:bookmarkEnd w:id="14"/>
      <w:bookmarkEnd w:id="15"/>
      <w:bookmarkEnd w:id="16"/>
      <w:bookmarkEnd w:id="17"/>
    </w:p>
    <w:tbl>
      <w:tblPr>
        <w:tblStyle w:val="23"/>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w:t>
            </w:r>
          </w:p>
        </w:tc>
        <w:tc>
          <w:tcPr>
            <w:tcW w:w="2763"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组织机构代码</w:t>
            </w:r>
          </w:p>
        </w:tc>
        <w:tc>
          <w:tcPr>
            <w:tcW w:w="2322"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注册地址</w:t>
            </w:r>
          </w:p>
        </w:tc>
        <w:tc>
          <w:tcPr>
            <w:tcW w:w="2763"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注册登记号</w:t>
            </w:r>
          </w:p>
        </w:tc>
        <w:tc>
          <w:tcPr>
            <w:tcW w:w="2322"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经营地址</w:t>
            </w:r>
          </w:p>
        </w:tc>
        <w:tc>
          <w:tcPr>
            <w:tcW w:w="2763"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30"/>
                <w:sz w:val="24"/>
                <w:szCs w:val="24"/>
                <w:highlight w:val="none"/>
              </w:rPr>
            </w:pPr>
            <w:r>
              <w:rPr>
                <w:rFonts w:hint="eastAsia" w:asciiTheme="minorEastAsia" w:hAnsiTheme="minorEastAsia" w:eastAsiaTheme="minorEastAsia" w:cstheme="minorEastAsia"/>
                <w:color w:val="auto"/>
                <w:sz w:val="24"/>
                <w:szCs w:val="24"/>
                <w:highlight w:val="none"/>
              </w:rPr>
              <w:t>税务登记证号</w:t>
            </w:r>
          </w:p>
        </w:tc>
        <w:tc>
          <w:tcPr>
            <w:tcW w:w="2322"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单位性质</w:t>
            </w:r>
          </w:p>
        </w:tc>
        <w:tc>
          <w:tcPr>
            <w:tcW w:w="2763" w:type="dxa"/>
            <w:gridSpan w:val="3"/>
            <w:noWrap w:val="0"/>
            <w:vAlign w:val="center"/>
          </w:tcPr>
          <w:p>
            <w:pPr>
              <w:keepNext w:val="0"/>
              <w:keepLines w:val="0"/>
              <w:suppressLineNumbers w:val="0"/>
              <w:spacing w:before="0" w:beforeAutospacing="0" w:after="0" w:afterAutospacing="0" w:line="360" w:lineRule="auto"/>
              <w:ind w:left="2160" w:right="0" w:hanging="48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34"/>
                <w:sz w:val="24"/>
                <w:szCs w:val="24"/>
                <w:highlight w:val="none"/>
              </w:rPr>
            </w:pPr>
            <w:r>
              <w:rPr>
                <w:rFonts w:hint="eastAsia" w:asciiTheme="minorEastAsia" w:hAnsiTheme="minorEastAsia" w:eastAsiaTheme="minorEastAsia" w:cstheme="minorEastAsia"/>
                <w:color w:val="auto"/>
                <w:spacing w:val="34"/>
                <w:sz w:val="24"/>
                <w:szCs w:val="24"/>
                <w:highlight w:val="none"/>
              </w:rPr>
              <w:t>注册资本</w:t>
            </w:r>
          </w:p>
        </w:tc>
        <w:tc>
          <w:tcPr>
            <w:tcW w:w="2322"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经营范围</w:t>
            </w:r>
          </w:p>
        </w:tc>
        <w:tc>
          <w:tcPr>
            <w:tcW w:w="2763"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营业期限</w:t>
            </w:r>
          </w:p>
        </w:tc>
        <w:tc>
          <w:tcPr>
            <w:tcW w:w="2322"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资质情况</w:t>
            </w:r>
          </w:p>
        </w:tc>
        <w:tc>
          <w:tcPr>
            <w:tcW w:w="7453" w:type="dxa"/>
            <w:gridSpan w:val="5"/>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员工数量</w:t>
            </w:r>
          </w:p>
        </w:tc>
        <w:tc>
          <w:tcPr>
            <w:tcW w:w="7453" w:type="dxa"/>
            <w:gridSpan w:val="5"/>
            <w:noWrap w:val="0"/>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共</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人，其中，高级职称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人，中级职称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tc>
        <w:tc>
          <w:tcPr>
            <w:tcW w:w="2763"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tc>
        <w:tc>
          <w:tcPr>
            <w:tcW w:w="2322"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主要业绩</w:t>
            </w:r>
          </w:p>
        </w:tc>
        <w:tc>
          <w:tcPr>
            <w:tcW w:w="7453" w:type="dxa"/>
            <w:gridSpan w:val="5"/>
            <w:noWrap w:val="0"/>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  名</w:t>
            </w:r>
          </w:p>
        </w:tc>
        <w:tc>
          <w:tcPr>
            <w:tcW w:w="2763"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p>
        </w:tc>
        <w:tc>
          <w:tcPr>
            <w:tcW w:w="2322"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务</w:t>
            </w:r>
          </w:p>
        </w:tc>
        <w:tc>
          <w:tcPr>
            <w:tcW w:w="923"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称</w:t>
            </w:r>
          </w:p>
        </w:tc>
        <w:tc>
          <w:tcPr>
            <w:tcW w:w="770"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    历</w:t>
            </w:r>
          </w:p>
        </w:tc>
        <w:tc>
          <w:tcPr>
            <w:tcW w:w="2322"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noWrap w:val="0"/>
            <w:vAlign w:val="top"/>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bl>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rPr>
        <w:t>兹说明上述声明是真实、正确的，并提供了全部能提供的资料和数据，我们同意遵照贵方要求出示有关说明文件。</w:t>
      </w:r>
    </w:p>
    <w:p>
      <w:pPr>
        <w:spacing w:line="240" w:lineRule="auto"/>
        <w:rPr>
          <w:rFonts w:hint="eastAsia" w:asciiTheme="minorEastAsia" w:hAnsiTheme="minorEastAsia" w:eastAsiaTheme="minorEastAsia" w:cstheme="minorEastAsia"/>
          <w:b/>
          <w:color w:val="auto"/>
          <w:sz w:val="24"/>
          <w:szCs w:val="24"/>
          <w:highlight w:val="none"/>
        </w:rPr>
      </w:pPr>
    </w:p>
    <w:p>
      <w:pPr>
        <w:spacing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p>
    <w:p>
      <w:pPr>
        <w:spacing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法定代表人或授权代表（签字或盖章）:___________ </w:t>
      </w:r>
      <w:r>
        <w:rPr>
          <w:rFonts w:hint="eastAsia" w:asciiTheme="minorEastAsia" w:hAnsiTheme="minorEastAsia" w:eastAsiaTheme="minorEastAsia" w:cstheme="minorEastAsia"/>
          <w:b/>
          <w:color w:val="auto"/>
          <w:sz w:val="24"/>
          <w:szCs w:val="24"/>
          <w:highlight w:val="none"/>
        </w:rPr>
        <w:t xml:space="preserve">             </w:t>
      </w:r>
    </w:p>
    <w:p>
      <w:pPr>
        <w:snapToGrid w:val="0"/>
        <w:spacing w:before="50" w:after="156" w:afterLines="50"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p>
    <w:p>
      <w:pPr>
        <w:snapToGrid w:val="0"/>
        <w:spacing w:before="50" w:after="156" w:afterLines="50" w:line="360" w:lineRule="auto"/>
        <w:jc w:val="left"/>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color w:val="auto"/>
          <w:sz w:val="24"/>
          <w:szCs w:val="24"/>
          <w:highlight w:val="none"/>
        </w:rPr>
        <w:t>2.1法定代表人资格说明书格式：</w:t>
      </w:r>
    </w:p>
    <w:p>
      <w:pPr>
        <w:spacing w:line="240" w:lineRule="auto"/>
        <w:jc w:val="center"/>
        <w:rPr>
          <w:rFonts w:hint="eastAsia" w:asciiTheme="minorEastAsia" w:hAnsiTheme="minorEastAsia" w:eastAsiaTheme="minorEastAsia" w:cstheme="minorEastAsia"/>
          <w:b/>
          <w:bCs/>
          <w:snapToGrid w:val="0"/>
          <w:color w:val="auto"/>
          <w:kern w:val="0"/>
          <w:sz w:val="30"/>
          <w:szCs w:val="30"/>
          <w:highlight w:val="none"/>
        </w:rPr>
      </w:pPr>
      <w:r>
        <w:rPr>
          <w:rFonts w:hint="eastAsia" w:asciiTheme="minorEastAsia" w:hAnsiTheme="minorEastAsia" w:eastAsiaTheme="minorEastAsia" w:cstheme="minorEastAsia"/>
          <w:b/>
          <w:bCs/>
          <w:snapToGrid w:val="0"/>
          <w:color w:val="auto"/>
          <w:kern w:val="0"/>
          <w:sz w:val="30"/>
          <w:szCs w:val="30"/>
          <w:highlight w:val="none"/>
        </w:rPr>
        <w:t>法定代表人资格说明书</w:t>
      </w:r>
    </w:p>
    <w:p>
      <w:pPr>
        <w:adjustRightInd w:val="0"/>
        <w:spacing w:line="600" w:lineRule="exact"/>
        <w:ind w:firstLine="490"/>
        <w:jc w:val="left"/>
        <w:rPr>
          <w:rFonts w:hint="eastAsia" w:asciiTheme="minorEastAsia" w:hAnsiTheme="minorEastAsia" w:eastAsiaTheme="minorEastAsia" w:cstheme="minorEastAsia"/>
          <w:b/>
          <w:bCs/>
          <w:snapToGrid w:val="0"/>
          <w:color w:val="auto"/>
          <w:kern w:val="0"/>
          <w:sz w:val="36"/>
          <w:szCs w:val="20"/>
          <w:highlight w:val="none"/>
        </w:rPr>
      </w:pPr>
    </w:p>
    <w:p>
      <w:pPr>
        <w:adjustRightInd w:val="0"/>
        <w:spacing w:line="600" w:lineRule="exact"/>
        <w:ind w:firstLine="480" w:firstLineChars="2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u w:val="single"/>
        </w:rPr>
        <w:t xml:space="preserve">                （姓名）</w:t>
      </w:r>
      <w:r>
        <w:rPr>
          <w:rFonts w:hint="eastAsia" w:asciiTheme="minorEastAsia" w:hAnsiTheme="minorEastAsia" w:eastAsiaTheme="minorEastAsia" w:cstheme="minorEastAsia"/>
          <w:snapToGrid w:val="0"/>
          <w:color w:val="auto"/>
          <w:kern w:val="0"/>
          <w:sz w:val="24"/>
          <w:szCs w:val="24"/>
          <w:highlight w:val="none"/>
        </w:rPr>
        <w:t>系</w:t>
      </w:r>
      <w:r>
        <w:rPr>
          <w:rFonts w:hint="eastAsia" w:asciiTheme="minorEastAsia" w:hAnsiTheme="minorEastAsia" w:eastAsiaTheme="minorEastAsia" w:cstheme="minorEastAsia"/>
          <w:snapToGrid w:val="0"/>
          <w:color w:val="auto"/>
          <w:kern w:val="0"/>
          <w:sz w:val="24"/>
          <w:szCs w:val="24"/>
          <w:highlight w:val="none"/>
          <w:u w:val="single"/>
        </w:rPr>
        <w:t xml:space="preserve">                （投标人名称）</w:t>
      </w:r>
      <w:r>
        <w:rPr>
          <w:rFonts w:hint="eastAsia" w:asciiTheme="minorEastAsia" w:hAnsiTheme="minorEastAsia" w:eastAsiaTheme="minorEastAsia" w:cstheme="minorEastAsia"/>
          <w:snapToGrid w:val="0"/>
          <w:color w:val="auto"/>
          <w:kern w:val="0"/>
          <w:sz w:val="24"/>
          <w:szCs w:val="24"/>
          <w:highlight w:val="none"/>
        </w:rPr>
        <w:t>的法定代表人。身份证号：</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w:t>
      </w:r>
    </w:p>
    <w:p>
      <w:pPr>
        <w:adjustRightInd w:val="0"/>
        <w:spacing w:line="600" w:lineRule="exact"/>
        <w:ind w:firstLine="49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特此说明</w:t>
      </w:r>
    </w:p>
    <w:p>
      <w:pPr>
        <w:adjustRightInd w:val="0"/>
        <w:spacing w:line="600" w:lineRule="exact"/>
        <w:ind w:firstLine="49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p>
    <w:p>
      <w:pPr>
        <w:adjustRightInd w:val="0"/>
        <w:spacing w:line="600" w:lineRule="exact"/>
        <w:ind w:firstLine="49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pPr>
        <w:adjustRightInd w:val="0"/>
        <w:spacing w:line="360" w:lineRule="auto"/>
        <w:rPr>
          <w:rFonts w:hint="eastAsia" w:asciiTheme="minorEastAsia" w:hAnsiTheme="minorEastAsia" w:eastAsiaTheme="minorEastAsia" w:cstheme="minorEastAsia"/>
          <w:snapToGrid w:val="0"/>
          <w:color w:val="auto"/>
          <w:kern w:val="0"/>
          <w:sz w:val="24"/>
          <w:szCs w:val="24"/>
          <w:highlight w:val="none"/>
        </w:rPr>
      </w:pPr>
    </w:p>
    <w:p>
      <w:pPr>
        <w:adjustRightIn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注：须附法定代表人身份证扫描件（正反面）</w:t>
      </w:r>
    </w:p>
    <w:p>
      <w:pPr>
        <w:adjustRightInd w:val="0"/>
        <w:spacing w:line="360" w:lineRule="auto"/>
        <w:rPr>
          <w:rFonts w:hint="eastAsia" w:asciiTheme="minorEastAsia" w:hAnsiTheme="minorEastAsia" w:eastAsiaTheme="minorEastAsia" w:cstheme="minorEastAsia"/>
          <w:snapToGrid w:val="0"/>
          <w:color w:val="auto"/>
          <w:kern w:val="0"/>
          <w:sz w:val="21"/>
          <w:szCs w:val="21"/>
          <w:highlight w:val="none"/>
        </w:rPr>
      </w:pPr>
    </w:p>
    <w:p>
      <w:pPr>
        <w:snapToGrid w:val="0"/>
        <w:spacing w:before="156" w:beforeLines="50" w:after="50" w:line="240" w:lineRule="auto"/>
        <w:rPr>
          <w:rFonts w:hint="eastAsia" w:asciiTheme="minorEastAsia" w:hAnsiTheme="minorEastAsia" w:eastAsiaTheme="minorEastAsia" w:cstheme="minorEastAsia"/>
          <w:color w:val="auto"/>
          <w:sz w:val="24"/>
          <w:szCs w:val="24"/>
          <w:highlight w:val="none"/>
        </w:rPr>
      </w:pPr>
    </w:p>
    <w:p>
      <w:pPr>
        <w:spacing w:line="240" w:lineRule="auto"/>
        <w:rPr>
          <w:rFonts w:hint="eastAsia" w:asciiTheme="minorEastAsia" w:hAnsiTheme="minorEastAsia" w:eastAsiaTheme="minorEastAsia" w:cstheme="minorEastAsia"/>
          <w:color w:val="auto"/>
          <w:sz w:val="24"/>
          <w:szCs w:val="24"/>
          <w:highlight w:val="none"/>
        </w:rPr>
      </w:pPr>
    </w:p>
    <w:p>
      <w:pPr>
        <w:spacing w:line="240" w:lineRule="auto"/>
        <w:ind w:firstLine="420"/>
        <w:rPr>
          <w:rFonts w:hint="eastAsia" w:asciiTheme="minorEastAsia" w:hAnsiTheme="minorEastAsia" w:eastAsiaTheme="minorEastAsia" w:cstheme="minorEastAsia"/>
          <w:color w:val="auto"/>
          <w:sz w:val="21"/>
          <w:szCs w:val="20"/>
          <w:highlight w:val="none"/>
        </w:rPr>
      </w:pPr>
    </w:p>
    <w:p>
      <w:pPr>
        <w:spacing w:line="240" w:lineRule="auto"/>
        <w:rPr>
          <w:rFonts w:hint="eastAsia" w:asciiTheme="minorEastAsia" w:hAnsiTheme="minorEastAsia" w:eastAsiaTheme="minorEastAsia" w:cstheme="minorEastAsia"/>
          <w:color w:val="auto"/>
          <w:sz w:val="24"/>
          <w:szCs w:val="24"/>
          <w:highlight w:val="none"/>
        </w:rPr>
      </w:pPr>
    </w:p>
    <w:p>
      <w:pPr>
        <w:spacing w:line="240" w:lineRule="auto"/>
        <w:ind w:firstLine="420"/>
        <w:rPr>
          <w:rFonts w:hint="eastAsia" w:asciiTheme="minorEastAsia" w:hAnsiTheme="minorEastAsia" w:eastAsiaTheme="minorEastAsia" w:cstheme="minorEastAsia"/>
          <w:color w:val="auto"/>
          <w:sz w:val="24"/>
          <w:szCs w:val="20"/>
          <w:highlight w:val="none"/>
        </w:rPr>
      </w:pPr>
    </w:p>
    <w:p>
      <w:pPr>
        <w:spacing w:line="200" w:lineRule="exact"/>
        <w:ind w:firstLine="301"/>
        <w:rPr>
          <w:rFonts w:hint="eastAsia" w:asciiTheme="minorEastAsia" w:hAnsiTheme="minorEastAsia" w:eastAsiaTheme="minorEastAsia" w:cstheme="minorEastAsia"/>
          <w:color w:val="auto"/>
          <w:spacing w:val="-4"/>
          <w:sz w:val="18"/>
          <w:szCs w:val="20"/>
          <w:highlight w:val="none"/>
        </w:rPr>
      </w:pPr>
    </w:p>
    <w:p>
      <w:pPr>
        <w:spacing w:line="240" w:lineRule="auto"/>
        <w:rPr>
          <w:rFonts w:hint="eastAsia" w:asciiTheme="minorEastAsia" w:hAnsiTheme="minorEastAsia" w:eastAsiaTheme="minorEastAsia" w:cstheme="minorEastAsia"/>
          <w:color w:val="auto"/>
          <w:sz w:val="24"/>
          <w:szCs w:val="24"/>
          <w:highlight w:val="none"/>
        </w:rPr>
      </w:pPr>
    </w:p>
    <w:p>
      <w:pPr>
        <w:spacing w:line="240" w:lineRule="auto"/>
        <w:rPr>
          <w:rFonts w:hint="eastAsia" w:asciiTheme="minorEastAsia" w:hAnsiTheme="minorEastAsia" w:eastAsiaTheme="minorEastAsia" w:cstheme="minorEastAsia"/>
          <w:color w:val="auto"/>
          <w:sz w:val="24"/>
          <w:szCs w:val="24"/>
          <w:highlight w:val="none"/>
        </w:rPr>
      </w:pPr>
    </w:p>
    <w:p>
      <w:pPr>
        <w:spacing w:line="240" w:lineRule="auto"/>
        <w:rPr>
          <w:rFonts w:hint="eastAsia" w:asciiTheme="minorEastAsia" w:hAnsiTheme="minorEastAsia" w:eastAsiaTheme="minorEastAsia" w:cstheme="minorEastAsia"/>
          <w:color w:val="auto"/>
          <w:sz w:val="24"/>
          <w:szCs w:val="24"/>
          <w:highlight w:val="none"/>
        </w:rPr>
      </w:pPr>
    </w:p>
    <w:p>
      <w:pPr>
        <w:spacing w:line="240" w:lineRule="auto"/>
        <w:rPr>
          <w:rFonts w:hint="eastAsia" w:asciiTheme="minorEastAsia" w:hAnsiTheme="minorEastAsia" w:eastAsiaTheme="minorEastAsia" w:cstheme="minorEastAsia"/>
          <w:color w:val="auto"/>
          <w:sz w:val="24"/>
          <w:szCs w:val="24"/>
          <w:highlight w:val="none"/>
        </w:rPr>
      </w:pPr>
    </w:p>
    <w:p>
      <w:pPr>
        <w:spacing w:line="360" w:lineRule="auto"/>
        <w:jc w:val="center"/>
        <w:rPr>
          <w:rFonts w:hint="eastAsia" w:asciiTheme="minorEastAsia" w:hAnsiTheme="minorEastAsia" w:eastAsiaTheme="minorEastAsia" w:cstheme="minorEastAsia"/>
          <w:b/>
          <w:bCs/>
          <w:color w:val="auto"/>
          <w:sz w:val="30"/>
          <w:szCs w:val="30"/>
          <w:highlight w:val="none"/>
        </w:rPr>
      </w:pPr>
    </w:p>
    <w:p>
      <w:pPr>
        <w:spacing w:line="360" w:lineRule="auto"/>
        <w:jc w:val="center"/>
        <w:rPr>
          <w:rFonts w:hint="eastAsia" w:asciiTheme="minorEastAsia" w:hAnsiTheme="minorEastAsia" w:eastAsiaTheme="minorEastAsia" w:cstheme="minorEastAsia"/>
          <w:b/>
          <w:bCs/>
          <w:color w:val="auto"/>
          <w:sz w:val="30"/>
          <w:szCs w:val="30"/>
          <w:highlight w:val="none"/>
        </w:rPr>
      </w:pPr>
    </w:p>
    <w:p>
      <w:pPr>
        <w:spacing w:line="360" w:lineRule="auto"/>
        <w:jc w:val="center"/>
        <w:rPr>
          <w:rFonts w:hint="eastAsia" w:asciiTheme="minorEastAsia" w:hAnsiTheme="minorEastAsia" w:eastAsiaTheme="minorEastAsia" w:cstheme="minorEastAsia"/>
          <w:b/>
          <w:bCs/>
          <w:color w:val="auto"/>
          <w:sz w:val="30"/>
          <w:szCs w:val="30"/>
          <w:highlight w:val="none"/>
        </w:rPr>
      </w:pPr>
    </w:p>
    <w:p>
      <w:pPr>
        <w:spacing w:line="360" w:lineRule="auto"/>
        <w:jc w:val="center"/>
        <w:rPr>
          <w:rFonts w:hint="eastAsia" w:asciiTheme="minorEastAsia" w:hAnsiTheme="minorEastAsia" w:eastAsiaTheme="minorEastAsia" w:cstheme="minorEastAsia"/>
          <w:b/>
          <w:bCs/>
          <w:color w:val="auto"/>
          <w:sz w:val="30"/>
          <w:szCs w:val="30"/>
          <w:highlight w:val="none"/>
        </w:rPr>
      </w:pPr>
    </w:p>
    <w:p>
      <w:pPr>
        <w:spacing w:line="360" w:lineRule="auto"/>
        <w:rPr>
          <w:rFonts w:hint="eastAsia" w:asciiTheme="minorEastAsia" w:hAnsiTheme="minorEastAsia" w:eastAsiaTheme="minorEastAsia" w:cstheme="minorEastAsia"/>
          <w:b/>
          <w:bCs/>
          <w:color w:val="auto"/>
          <w:sz w:val="30"/>
          <w:szCs w:val="30"/>
          <w:highlight w:val="none"/>
        </w:rPr>
      </w:pPr>
    </w:p>
    <w:p>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p>
    <w:p>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pPr>
        <w:snapToGrid w:val="0"/>
        <w:spacing w:before="50" w:after="156" w:afterLines="50" w:line="360" w:lineRule="auto"/>
        <w:jc w:val="left"/>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color w:val="auto"/>
          <w:sz w:val="24"/>
          <w:szCs w:val="24"/>
          <w:highlight w:val="none"/>
        </w:rPr>
        <w:t>2.2法定代表人授权委托书格式：</w:t>
      </w:r>
    </w:p>
    <w:p>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法定代表人授权委托书</w:t>
      </w:r>
    </w:p>
    <w:p>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（采购单位）：</w:t>
      </w:r>
    </w:p>
    <w:p>
      <w:pPr>
        <w:snapToGrid w:val="0"/>
        <w:spacing w:before="156" w:beforeLines="50" w:after="50"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w:t>
      </w:r>
      <w:r>
        <w:rPr>
          <w:rFonts w:hint="eastAsia" w:asciiTheme="minorEastAsia" w:hAnsiTheme="minorEastAsia" w:eastAsiaTheme="minorEastAsia" w:cstheme="minorEastAsia"/>
          <w:color w:val="auto"/>
          <w:sz w:val="24"/>
          <w:szCs w:val="24"/>
          <w:highlight w:val="none"/>
          <w:u w:val="single"/>
        </w:rPr>
        <w:t xml:space="preserve">       （姓名）</w:t>
      </w: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rPr>
        <w:t xml:space="preserve">         （投标人名称）</w:t>
      </w:r>
      <w:r>
        <w:rPr>
          <w:rFonts w:hint="eastAsia" w:asciiTheme="minorEastAsia" w:hAnsiTheme="minorEastAsia" w:eastAsiaTheme="minorEastAsia" w:cstheme="minorEastAsia"/>
          <w:color w:val="auto"/>
          <w:sz w:val="24"/>
          <w:szCs w:val="24"/>
          <w:highlight w:val="none"/>
        </w:rPr>
        <w:t>的法定代表人，现授权委托本单位在职职工</w:t>
      </w:r>
      <w:r>
        <w:rPr>
          <w:rFonts w:hint="eastAsia" w:asciiTheme="minorEastAsia" w:hAnsiTheme="minorEastAsia" w:eastAsiaTheme="minorEastAsia" w:cstheme="minorEastAsia"/>
          <w:color w:val="auto"/>
          <w:sz w:val="24"/>
          <w:szCs w:val="24"/>
          <w:highlight w:val="none"/>
          <w:u w:val="single"/>
        </w:rPr>
        <w:t xml:space="preserve">          （姓名）</w:t>
      </w:r>
      <w:r>
        <w:rPr>
          <w:rFonts w:hint="eastAsia" w:asciiTheme="minorEastAsia" w:hAnsiTheme="minorEastAsia" w:eastAsiaTheme="minorEastAsia" w:cstheme="minorEastAsia"/>
          <w:color w:val="auto"/>
          <w:sz w:val="24"/>
          <w:szCs w:val="24"/>
          <w:highlight w:val="none"/>
        </w:rPr>
        <w:t>为授权代表，以我方的名义参加项目编号：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项目的投标活动，并代表我方全权办理针对上述项目的投标、开标、评标、签约等具体事务和签署相关文件。我方对授权代表的签名事项负全部责任。</w:t>
      </w:r>
    </w:p>
    <w:p>
      <w:pPr>
        <w:snapToGrid w:val="0"/>
        <w:spacing w:before="156" w:beforeLines="50" w:after="50"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授权代表无转委托权，特此委托。</w:t>
      </w:r>
    </w:p>
    <w:p>
      <w:pPr>
        <w:snapToGrid w:val="0"/>
        <w:spacing w:before="156" w:beforeLines="50" w:after="50" w:line="360" w:lineRule="auto"/>
        <w:ind w:firstLine="480"/>
        <w:rPr>
          <w:rFonts w:hint="eastAsia" w:asciiTheme="minorEastAsia" w:hAnsiTheme="minorEastAsia" w:eastAsiaTheme="minorEastAsia" w:cstheme="minorEastAsia"/>
          <w:color w:val="auto"/>
          <w:sz w:val="24"/>
          <w:szCs w:val="24"/>
          <w:highlight w:val="none"/>
        </w:rPr>
      </w:pPr>
    </w:p>
    <w:p>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p>
    <w:p>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授权代表（签字或盖章）：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授权代表身份证号码：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法定代表人（签字或盖章）：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职务：</w:t>
      </w:r>
      <w:r>
        <w:rPr>
          <w:rFonts w:hint="eastAsia" w:asciiTheme="minorEastAsia" w:hAnsiTheme="minorEastAsia" w:eastAsiaTheme="minorEastAsia" w:cstheme="minorEastAsia"/>
          <w:color w:val="auto"/>
          <w:sz w:val="24"/>
          <w:szCs w:val="24"/>
          <w:highlight w:val="none"/>
          <w:u w:val="single"/>
        </w:rPr>
        <w:t xml:space="preserve">              </w:t>
      </w:r>
    </w:p>
    <w:p>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法定代表人身份证号码：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snapToGrid w:val="0"/>
        <w:spacing w:before="156" w:beforeLines="50" w:after="50" w:line="360" w:lineRule="auto"/>
        <w:ind w:firstLine="4920" w:firstLineChars="2050"/>
        <w:rPr>
          <w:rFonts w:hint="eastAsia" w:asciiTheme="minorEastAsia" w:hAnsiTheme="minorEastAsia" w:eastAsiaTheme="minorEastAsia" w:cstheme="minorEastAsia"/>
          <w:color w:val="auto"/>
          <w:sz w:val="24"/>
          <w:szCs w:val="24"/>
          <w:highlight w:val="none"/>
        </w:rPr>
      </w:pPr>
    </w:p>
    <w:p>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pPr>
        <w:snapToGrid w:val="0"/>
        <w:spacing w:before="156" w:beforeLines="50" w:after="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pPr>
        <w:spacing w:line="360" w:lineRule="auto"/>
        <w:rPr>
          <w:rFonts w:hint="eastAsia" w:asciiTheme="minorEastAsia" w:hAnsiTheme="minorEastAsia" w:eastAsiaTheme="minorEastAsia" w:cstheme="minorEastAsia"/>
          <w:color w:val="auto"/>
          <w:sz w:val="24"/>
          <w:szCs w:val="24"/>
          <w:highlight w:val="none"/>
        </w:rPr>
      </w:pPr>
    </w:p>
    <w:p>
      <w:pPr>
        <w:spacing w:line="360" w:lineRule="auto"/>
        <w:jc w:val="center"/>
        <w:rPr>
          <w:rFonts w:hint="eastAsia" w:asciiTheme="minorEastAsia" w:hAnsiTheme="minorEastAsia" w:eastAsiaTheme="minorEastAsia" w:cstheme="minorEastAsia"/>
          <w:color w:val="auto"/>
          <w:sz w:val="24"/>
          <w:szCs w:val="24"/>
          <w:highlight w:val="none"/>
        </w:rPr>
      </w:pP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注：须附授权代表身份证扫描件（正反面）</w:t>
      </w:r>
    </w:p>
    <w:p>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p>
    <w:p>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3.商务响应表格式：</w:t>
      </w:r>
    </w:p>
    <w:p>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商务响应表</w:t>
      </w:r>
    </w:p>
    <w:tbl>
      <w:tblPr>
        <w:tblStyle w:val="23"/>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招标文件要求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43"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43" w:right="0"/>
              <w:rPr>
                <w:rFonts w:hint="eastAsia"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0"/>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5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bidi="ar"/>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lang w:bidi="ar"/>
              </w:rPr>
            </w:pPr>
          </w:p>
        </w:tc>
        <w:tc>
          <w:tcPr>
            <w:tcW w:w="195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bl>
    <w:p>
      <w:pPr>
        <w:snapToGrid w:val="0"/>
        <w:spacing w:before="156" w:beforeLines="50" w:line="24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注：如不填写，</w:t>
      </w:r>
      <w:r>
        <w:rPr>
          <w:rFonts w:hint="eastAsia" w:asciiTheme="minorEastAsia" w:hAnsiTheme="minorEastAsia" w:eastAsiaTheme="minorEastAsia" w:cstheme="minorEastAsia"/>
          <w:color w:val="auto"/>
          <w:sz w:val="24"/>
          <w:szCs w:val="20"/>
          <w:highlight w:val="none"/>
          <w:lang w:eastAsia="zh-CN"/>
        </w:rPr>
        <w:t>采购人</w:t>
      </w:r>
      <w:r>
        <w:rPr>
          <w:rFonts w:hint="eastAsia" w:asciiTheme="minorEastAsia" w:hAnsiTheme="minorEastAsia" w:eastAsiaTheme="minorEastAsia" w:cstheme="minorEastAsia"/>
          <w:color w:val="auto"/>
          <w:sz w:val="24"/>
          <w:szCs w:val="20"/>
          <w:highlight w:val="none"/>
        </w:rPr>
        <w:t>将视为 “无偏离”。</w:t>
      </w:r>
    </w:p>
    <w:p>
      <w:pPr>
        <w:snapToGrid w:val="0"/>
        <w:spacing w:line="360" w:lineRule="auto"/>
        <w:ind w:firstLine="4478" w:firstLineChars="1866"/>
        <w:jc w:val="right"/>
        <w:rPr>
          <w:rFonts w:hint="eastAsia" w:asciiTheme="minorEastAsia" w:hAnsiTheme="minorEastAsia" w:eastAsiaTheme="minorEastAsia" w:cstheme="minorEastAsia"/>
          <w:snapToGrid w:val="0"/>
          <w:color w:val="auto"/>
          <w:sz w:val="24"/>
          <w:szCs w:val="24"/>
          <w:highlight w:val="none"/>
        </w:rPr>
      </w:pPr>
    </w:p>
    <w:p>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投标人名称（电子签章）：</w:t>
      </w:r>
      <w:r>
        <w:rPr>
          <w:rFonts w:hint="eastAsia" w:asciiTheme="minorEastAsia" w:hAnsiTheme="minorEastAsia" w:eastAsiaTheme="minorEastAsia" w:cstheme="minorEastAsia"/>
          <w:snapToGrid w:val="0"/>
          <w:color w:val="auto"/>
          <w:sz w:val="24"/>
          <w:szCs w:val="24"/>
          <w:highlight w:val="none"/>
          <w:u w:val="single"/>
        </w:rPr>
        <w:t xml:space="preserve">                      </w:t>
      </w:r>
    </w:p>
    <w:p>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 xml:space="preserve">法定代表人或授权代表（签字或盖章）:___________                                   </w:t>
      </w:r>
    </w:p>
    <w:p>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pPr>
        <w:spacing w:line="240" w:lineRule="auto"/>
        <w:rPr>
          <w:rFonts w:hint="eastAsia" w:asciiTheme="minorEastAsia" w:hAnsiTheme="minorEastAsia" w:eastAsiaTheme="minorEastAsia" w:cstheme="minorEastAsia"/>
          <w:color w:val="auto"/>
          <w:sz w:val="32"/>
          <w:szCs w:val="20"/>
          <w:highlight w:val="none"/>
        </w:rPr>
      </w:pPr>
      <w:r>
        <w:rPr>
          <w:rFonts w:hint="eastAsia" w:asciiTheme="minorEastAsia" w:hAnsiTheme="minorEastAsia" w:eastAsiaTheme="minorEastAsia" w:cstheme="minorEastAsia"/>
          <w:snapToGrid w:val="0"/>
          <w:color w:val="auto"/>
          <w:sz w:val="24"/>
          <w:szCs w:val="24"/>
          <w:highlight w:val="none"/>
        </w:rPr>
        <w:t xml:space="preserve">                                    </w:t>
      </w:r>
    </w:p>
    <w:p>
      <w:pPr>
        <w:adjustRightInd w:val="0"/>
        <w:spacing w:line="318" w:lineRule="atLeast"/>
        <w:ind w:left="369" w:firstLine="369"/>
        <w:textAlignment w:val="baseline"/>
        <w:rPr>
          <w:rFonts w:hint="eastAsia" w:asciiTheme="minorEastAsia" w:hAnsiTheme="minorEastAsia" w:eastAsiaTheme="minorEastAsia" w:cstheme="minorEastAsia"/>
          <w:color w:val="auto"/>
          <w:sz w:val="32"/>
          <w:szCs w:val="20"/>
          <w:highlight w:val="none"/>
        </w:rPr>
      </w:pPr>
    </w:p>
    <w:p>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p>
    <w:p>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p>
    <w:p>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lang w:val="en-US" w:eastAsia="zh-CN"/>
        </w:rPr>
      </w:pPr>
    </w:p>
    <w:p>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.技术响应表格式：</w:t>
      </w:r>
    </w:p>
    <w:p>
      <w:pPr>
        <w:spacing w:line="360" w:lineRule="auto"/>
        <w:jc w:val="center"/>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b/>
          <w:bCs/>
          <w:color w:val="auto"/>
          <w:sz w:val="30"/>
          <w:szCs w:val="30"/>
          <w:highlight w:val="none"/>
        </w:rPr>
        <w:t xml:space="preserve"> 技术响应表</w:t>
      </w:r>
    </w:p>
    <w:tbl>
      <w:tblPr>
        <w:tblStyle w:val="23"/>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招标文件要求</w:t>
            </w:r>
          </w:p>
        </w:tc>
        <w:tc>
          <w:tcPr>
            <w:tcW w:w="378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投标文件响应</w:t>
            </w:r>
          </w:p>
        </w:tc>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要求</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1"/>
                <w:szCs w:val="21"/>
                <w:highlight w:val="none"/>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详见招标文件第三</w:t>
            </w:r>
            <w:r>
              <w:rPr>
                <w:rFonts w:hint="eastAsia" w:asciiTheme="minorEastAsia" w:hAnsiTheme="minorEastAsia" w:eastAsiaTheme="minorEastAsia" w:cstheme="minorEastAsia"/>
                <w:color w:val="auto"/>
                <w:sz w:val="24"/>
                <w:szCs w:val="24"/>
                <w:highlight w:val="none"/>
                <w:lang w:val="en-US" w:eastAsia="zh-CN"/>
              </w:rPr>
              <w:t>部分采购</w:t>
            </w:r>
            <w:r>
              <w:rPr>
                <w:rFonts w:hint="eastAsia" w:asciiTheme="minorEastAsia" w:hAnsiTheme="minorEastAsia" w:eastAsiaTheme="minorEastAsia" w:cstheme="minorEastAsia"/>
                <w:color w:val="auto"/>
                <w:sz w:val="24"/>
                <w:szCs w:val="24"/>
                <w:highlight w:val="none"/>
              </w:rPr>
              <w:t>需求</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rPr>
                <w:rFonts w:hint="eastAsia"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rPr>
                <w:rFonts w:hint="eastAsia"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rPr>
                <w:rFonts w:hint="eastAsia"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rPr>
                <w:rFonts w:hint="eastAsia" w:asciiTheme="minorEastAsia" w:hAnsiTheme="minorEastAsia" w:eastAsiaTheme="minorEastAsia" w:cstheme="minorEastAsia"/>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r>
    </w:tbl>
    <w:p>
      <w:pPr>
        <w:snapToGrid w:val="0"/>
        <w:spacing w:before="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1"/>
          <w:szCs w:val="24"/>
          <w:highlight w:val="none"/>
        </w:rPr>
        <w:t>注：</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列明招标文件的产品设备要求与投标文件对应响应，并说明偏离状况；</w:t>
      </w:r>
    </w:p>
    <w:p>
      <w:pPr>
        <w:snapToGrid w:val="0"/>
        <w:spacing w:before="50" w:after="50" w:line="360" w:lineRule="auto"/>
        <w:ind w:left="2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无偏离应在本表空白处醒目地注明“无偏离”的字样。</w:t>
      </w:r>
    </w:p>
    <w:p>
      <w:pPr>
        <w:snapToGrid w:val="0"/>
        <w:spacing w:before="50" w:after="50" w:line="360" w:lineRule="auto"/>
        <w:ind w:left="2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如不填写，</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将视为 “无偏离”。</w:t>
      </w:r>
    </w:p>
    <w:p>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投标人名称（电子签章）：</w:t>
      </w:r>
      <w:r>
        <w:rPr>
          <w:rFonts w:hint="eastAsia" w:asciiTheme="minorEastAsia" w:hAnsiTheme="minorEastAsia" w:eastAsiaTheme="minorEastAsia" w:cstheme="minorEastAsia"/>
          <w:snapToGrid w:val="0"/>
          <w:color w:val="auto"/>
          <w:sz w:val="24"/>
          <w:szCs w:val="24"/>
          <w:highlight w:val="none"/>
          <w:u w:val="single"/>
        </w:rPr>
        <w:t xml:space="preserve">                      </w:t>
      </w:r>
    </w:p>
    <w:p>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 xml:space="preserve">法定代表人或授权代表（签字或盖章）:___________                                   </w:t>
      </w:r>
    </w:p>
    <w:p>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pPr>
        <w:spacing w:line="360" w:lineRule="auto"/>
        <w:outlineLvl w:val="1"/>
        <w:rPr>
          <w:rFonts w:hint="eastAsia" w:asciiTheme="minorEastAsia" w:hAnsiTheme="minorEastAsia" w:eastAsiaTheme="minorEastAsia" w:cstheme="minorEastAsia"/>
          <w:b/>
          <w:bCs/>
          <w:color w:val="auto"/>
          <w:kern w:val="0"/>
          <w:sz w:val="24"/>
          <w:szCs w:val="24"/>
          <w:highlight w:val="none"/>
        </w:rPr>
      </w:pPr>
    </w:p>
    <w:p>
      <w:pPr>
        <w:spacing w:line="360" w:lineRule="auto"/>
        <w:outlineLvl w:val="1"/>
        <w:rPr>
          <w:rFonts w:hint="eastAsia" w:asciiTheme="minorEastAsia" w:hAnsiTheme="minorEastAsia" w:eastAsiaTheme="minorEastAsia" w:cstheme="minorEastAsia"/>
          <w:b/>
          <w:bCs/>
          <w:color w:val="auto"/>
          <w:kern w:val="0"/>
          <w:sz w:val="24"/>
          <w:szCs w:val="24"/>
          <w:highlight w:val="none"/>
        </w:rPr>
      </w:pPr>
    </w:p>
    <w:p>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p>
    <w:p>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rPr>
        <w:t>.产品配置清单表</w:t>
      </w:r>
    </w:p>
    <w:p>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产品配置清单表</w:t>
      </w:r>
    </w:p>
    <w:tbl>
      <w:tblPr>
        <w:tblStyle w:val="23"/>
        <w:tblW w:w="955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6"/>
        <w:gridCol w:w="1424"/>
        <w:gridCol w:w="707"/>
        <w:gridCol w:w="1048"/>
        <w:gridCol w:w="2151"/>
        <w:gridCol w:w="1307"/>
        <w:gridCol w:w="1289"/>
        <w:gridCol w:w="107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tblHeader/>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编号</w:t>
            </w: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设备（产品）名称</w:t>
            </w: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单位</w:t>
            </w: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数量</w:t>
            </w: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配置及技术参数说明</w:t>
            </w: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品牌、型号</w:t>
            </w:r>
          </w:p>
        </w:tc>
        <w:tc>
          <w:tcPr>
            <w:tcW w:w="1289"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制造商名称</w:t>
            </w: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w:t>
            </w: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w:t>
            </w: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w:t>
            </w: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9</w:t>
            </w: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w:t>
            </w: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w:t>
            </w: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424" w:type="dxa"/>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tcBorders>
              <w:bottom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bottom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42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其他</w:t>
            </w:r>
          </w:p>
        </w:tc>
        <w:tc>
          <w:tcPr>
            <w:tcW w:w="707"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bl>
    <w:p>
      <w:pPr>
        <w:snapToGrid w:val="0"/>
        <w:spacing w:before="50" w:after="156" w:afterLines="50"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b/>
          <w:bCs/>
          <w:color w:val="auto"/>
          <w:sz w:val="24"/>
          <w:szCs w:val="24"/>
          <w:highlight w:val="none"/>
        </w:rPr>
        <w:t>1.根据招标需求中“具体设备数量、配置及简要描述等”内容填写，并注明投标文件与招标文件上</w:t>
      </w:r>
      <w:r>
        <w:rPr>
          <w:rFonts w:hint="eastAsia" w:asciiTheme="minorEastAsia" w:hAnsiTheme="minorEastAsia" w:eastAsiaTheme="minorEastAsia" w:cstheme="minorEastAsia"/>
          <w:b/>
          <w:bCs/>
          <w:color w:val="auto"/>
          <w:kern w:val="0"/>
          <w:sz w:val="24"/>
          <w:szCs w:val="24"/>
          <w:highlight w:val="none"/>
        </w:rPr>
        <w:t>配置及技术参数</w:t>
      </w:r>
      <w:r>
        <w:rPr>
          <w:rFonts w:hint="eastAsia" w:asciiTheme="minorEastAsia" w:hAnsiTheme="minorEastAsia" w:eastAsiaTheme="minorEastAsia" w:cstheme="minorEastAsia"/>
          <w:b/>
          <w:bCs/>
          <w:color w:val="auto"/>
          <w:sz w:val="24"/>
          <w:szCs w:val="24"/>
          <w:highlight w:val="none"/>
        </w:rPr>
        <w:t>的差异</w:t>
      </w:r>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2.在填写时，如本表格不适合投标单位的实际情况，可根据本表格式自行划表填写。</w:t>
      </w:r>
    </w:p>
    <w:p>
      <w:pPr>
        <w:snapToGrid w:val="0"/>
        <w:spacing w:line="360" w:lineRule="auto"/>
        <w:rPr>
          <w:rFonts w:hint="eastAsia" w:asciiTheme="minorEastAsia" w:hAnsiTheme="minorEastAsia" w:eastAsiaTheme="minorEastAsia" w:cstheme="minorEastAsia"/>
          <w:snapToGrid w:val="0"/>
          <w:color w:val="auto"/>
          <w:sz w:val="24"/>
          <w:szCs w:val="24"/>
          <w:highlight w:val="none"/>
        </w:rPr>
      </w:pPr>
    </w:p>
    <w:p>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投标人名称（电子签章）：</w:t>
      </w:r>
      <w:r>
        <w:rPr>
          <w:rFonts w:hint="eastAsia" w:asciiTheme="minorEastAsia" w:hAnsiTheme="minorEastAsia" w:eastAsiaTheme="minorEastAsia" w:cstheme="minorEastAsia"/>
          <w:snapToGrid w:val="0"/>
          <w:color w:val="auto"/>
          <w:sz w:val="24"/>
          <w:szCs w:val="24"/>
          <w:highlight w:val="none"/>
          <w:u w:val="single"/>
        </w:rPr>
        <w:t xml:space="preserve">                      </w:t>
      </w:r>
    </w:p>
    <w:p>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 xml:space="preserve">法定代表人或授权代表（签字或盖章）:___________                                   </w:t>
      </w:r>
    </w:p>
    <w:p>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pPr>
        <w:widowControl w:val="0"/>
        <w:autoSpaceDE w:val="0"/>
        <w:autoSpaceDN w:val="0"/>
        <w:adjustRightInd w:val="0"/>
        <w:spacing w:after="120" w:line="240" w:lineRule="auto"/>
        <w:ind w:left="420" w:leftChars="200" w:firstLine="560" w:firstLineChars="200"/>
        <w:jc w:val="both"/>
        <w:textAlignment w:val="baseline"/>
        <w:rPr>
          <w:rFonts w:hint="eastAsia" w:asciiTheme="minorEastAsia" w:hAnsiTheme="minorEastAsia" w:eastAsiaTheme="minorEastAsia" w:cstheme="minorEastAsia"/>
          <w:color w:val="auto"/>
          <w:spacing w:val="0"/>
          <w:kern w:val="0"/>
          <w:sz w:val="28"/>
          <w:szCs w:val="20"/>
          <w:highlight w:val="none"/>
          <w:lang w:val="en-US" w:eastAsia="zh-CN" w:bidi="ar-SA"/>
        </w:rPr>
      </w:pPr>
    </w:p>
    <w:p>
      <w:pPr>
        <w:spacing w:line="360" w:lineRule="auto"/>
        <w:outlineLvl w:val="1"/>
        <w:rPr>
          <w:rFonts w:hint="eastAsia" w:asciiTheme="minorEastAsia" w:hAnsiTheme="minorEastAsia" w:eastAsiaTheme="minorEastAsia" w:cstheme="minorEastAsia"/>
          <w:b/>
          <w:bCs/>
          <w:color w:val="auto"/>
          <w:kern w:val="0"/>
          <w:sz w:val="24"/>
          <w:szCs w:val="24"/>
          <w:highlight w:val="none"/>
        </w:rPr>
      </w:pPr>
    </w:p>
    <w:p>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lang w:val="en-US" w:eastAsia="zh-CN"/>
        </w:rPr>
      </w:pPr>
    </w:p>
    <w:p>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shd w:val="clear" w:color="auto" w:fill="auto"/>
          <w:lang w:val="en-US" w:eastAsia="zh-CN"/>
        </w:rPr>
      </w:pPr>
      <w:r>
        <w:rPr>
          <w:rFonts w:hint="eastAsia" w:asciiTheme="minorEastAsia" w:hAnsiTheme="minorEastAsia" w:eastAsiaTheme="minorEastAsia" w:cstheme="minorEastAsia"/>
          <w:b/>
          <w:color w:val="auto"/>
          <w:sz w:val="24"/>
          <w:szCs w:val="24"/>
          <w:highlight w:val="none"/>
          <w:shd w:val="clear" w:color="auto" w:fill="auto"/>
          <w:lang w:val="en-US" w:eastAsia="zh-CN"/>
        </w:rPr>
        <w:t>6.商务技术分自评表</w:t>
      </w:r>
    </w:p>
    <w:p>
      <w:pPr>
        <w:spacing w:line="360" w:lineRule="auto"/>
        <w:jc w:val="center"/>
        <w:rPr>
          <w:rFonts w:hint="eastAsia" w:ascii="宋体" w:hAnsi="宋体" w:eastAsia="宋体" w:cs="宋体"/>
          <w:b/>
          <w:bCs/>
          <w:color w:val="auto"/>
          <w:sz w:val="30"/>
          <w:szCs w:val="30"/>
          <w:highlight w:val="none"/>
          <w:shd w:val="clear" w:color="auto" w:fill="auto"/>
          <w:lang w:val="en-US" w:eastAsia="zh-CN"/>
        </w:rPr>
      </w:pPr>
      <w:r>
        <w:rPr>
          <w:rFonts w:hint="eastAsia" w:ascii="宋体" w:hAnsi="宋体" w:eastAsia="宋体" w:cs="宋体"/>
          <w:b/>
          <w:bCs/>
          <w:color w:val="auto"/>
          <w:sz w:val="30"/>
          <w:szCs w:val="30"/>
          <w:highlight w:val="none"/>
          <w:shd w:val="clear" w:color="auto" w:fill="auto"/>
          <w:lang w:val="en-US" w:eastAsia="zh-CN"/>
        </w:rPr>
        <w:t>商务技术分自评表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序号</w:t>
            </w:r>
          </w:p>
        </w:tc>
        <w:tc>
          <w:tcPr>
            <w:tcW w:w="2064"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评审项目</w:t>
            </w:r>
          </w:p>
        </w:tc>
        <w:tc>
          <w:tcPr>
            <w:tcW w:w="3668"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评分内容</w:t>
            </w:r>
          </w:p>
        </w:tc>
        <w:tc>
          <w:tcPr>
            <w:tcW w:w="1481"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自评</w:t>
            </w:r>
          </w:p>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分值</w:t>
            </w:r>
          </w:p>
        </w:tc>
        <w:tc>
          <w:tcPr>
            <w:tcW w:w="1245"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对应</w:t>
            </w:r>
          </w:p>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bl>
    <w:p>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.1投标单位项目负责人简历、专业职称、业绩表（格式）（如有）</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30"/>
          <w:szCs w:val="30"/>
          <w:highlight w:val="none"/>
        </w:rPr>
        <w:t>项目负责人简历表</w:t>
      </w:r>
    </w:p>
    <w:tbl>
      <w:tblPr>
        <w:tblStyle w:val="23"/>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267"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6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29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03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927"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267"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6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拟担任本</w:t>
            </w:r>
          </w:p>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项目职务</w:t>
            </w:r>
          </w:p>
        </w:tc>
        <w:tc>
          <w:tcPr>
            <w:tcW w:w="129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038"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927"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参加工作时间</w:t>
            </w:r>
          </w:p>
        </w:tc>
        <w:tc>
          <w:tcPr>
            <w:tcW w:w="1267"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3894" w:type="dxa"/>
            <w:gridSpan w:val="5"/>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从事项目负责人</w:t>
            </w:r>
          </w:p>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年限    </w:t>
            </w:r>
          </w:p>
        </w:tc>
        <w:tc>
          <w:tcPr>
            <w:tcW w:w="1927" w:type="dxa"/>
            <w:noWrap w:val="0"/>
            <w:vAlign w:val="center"/>
          </w:tcPr>
          <w:p>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1"/>
                <w:szCs w:val="21"/>
                <w:highlight w:val="none"/>
              </w:rPr>
            </w:pPr>
          </w:p>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7088" w:type="dxa"/>
            <w:gridSpan w:val="7"/>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 完 成 项 目 情 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142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规模</w:t>
            </w:r>
          </w:p>
        </w:tc>
        <w:tc>
          <w:tcPr>
            <w:tcW w:w="1586"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开始完成日期</w:t>
            </w:r>
          </w:p>
        </w:tc>
        <w:tc>
          <w:tcPr>
            <w:tcW w:w="215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负担的技术</w:t>
            </w:r>
          </w:p>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927"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获奖情况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tc>
        <w:tc>
          <w:tcPr>
            <w:tcW w:w="142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42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42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42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42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bl>
    <w:p>
      <w:pPr>
        <w:snapToGrid w:val="0"/>
        <w:spacing w:before="50" w:after="156" w:afterLines="50" w:line="240" w:lineRule="auto"/>
        <w:jc w:val="lef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注：1.项目负责人应附身份证、职称证书、执业资格证书等复印件或扫描件（</w:t>
      </w:r>
      <w:r>
        <w:rPr>
          <w:rFonts w:hint="eastAsia" w:asciiTheme="minorEastAsia" w:hAnsiTheme="minorEastAsia" w:eastAsiaTheme="minorEastAsia" w:cstheme="minorEastAsia"/>
          <w:snapToGrid w:val="0"/>
          <w:color w:val="auto"/>
          <w:sz w:val="24"/>
          <w:szCs w:val="24"/>
          <w:highlight w:val="none"/>
          <w:lang w:val="en-US" w:eastAsia="zh-CN"/>
        </w:rPr>
        <w:t>具体</w:t>
      </w:r>
      <w:r>
        <w:rPr>
          <w:rFonts w:hint="eastAsia" w:asciiTheme="minorEastAsia" w:hAnsiTheme="minorEastAsia" w:eastAsiaTheme="minorEastAsia" w:cstheme="minorEastAsia"/>
          <w:snapToGrid w:val="0"/>
          <w:color w:val="auto"/>
          <w:sz w:val="24"/>
          <w:szCs w:val="24"/>
          <w:highlight w:val="none"/>
        </w:rPr>
        <w:t>按评标办法提供）。</w:t>
      </w:r>
    </w:p>
    <w:p>
      <w:pPr>
        <w:snapToGrid w:val="0"/>
        <w:spacing w:before="50" w:after="156" w:afterLines="50" w:line="24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2.在填写时，如本表格不适合投标单位的实际情况，可根据本表格式按评标办法要求自行划表填写并提供相关资料。</w:t>
      </w:r>
    </w:p>
    <w:p>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pPr>
        <w:snapToGrid w:val="0"/>
        <w:spacing w:line="360" w:lineRule="auto"/>
        <w:ind w:firstLine="413" w:firstLineChars="197"/>
        <w:rPr>
          <w:rFonts w:hint="eastAsia" w:asciiTheme="minorEastAsia" w:hAnsiTheme="minorEastAsia" w:eastAsiaTheme="minorEastAsia" w:cstheme="minorEastAsia"/>
          <w:snapToGrid w:val="0"/>
          <w:color w:val="auto"/>
          <w:sz w:val="21"/>
          <w:szCs w:val="21"/>
          <w:highlight w:val="none"/>
        </w:rPr>
      </w:pPr>
    </w:p>
    <w:p>
      <w:pPr>
        <w:spacing w:line="240" w:lineRule="auto"/>
        <w:ind w:right="-567"/>
        <w:jc w:val="left"/>
        <w:rPr>
          <w:rFonts w:hint="eastAsia" w:asciiTheme="minorEastAsia" w:hAnsiTheme="minorEastAsia" w:eastAsiaTheme="minorEastAsia" w:cstheme="minorEastAsia"/>
          <w:color w:val="auto"/>
          <w:sz w:val="21"/>
          <w:szCs w:val="24"/>
          <w:highlight w:val="none"/>
        </w:rPr>
      </w:pPr>
    </w:p>
    <w:p>
      <w:pPr>
        <w:rPr>
          <w:rFonts w:hint="eastAsia" w:asciiTheme="minorEastAsia" w:hAnsiTheme="minorEastAsia" w:eastAsiaTheme="minorEastAsia" w:cstheme="minorEastAsia"/>
          <w:b/>
          <w:color w:val="auto"/>
          <w:sz w:val="24"/>
          <w:szCs w:val="24"/>
          <w:highlight w:val="none"/>
        </w:rPr>
      </w:pPr>
      <w:bookmarkStart w:id="18" w:name="_Toc18715"/>
      <w:r>
        <w:rPr>
          <w:rFonts w:hint="eastAsia" w:asciiTheme="minorEastAsia" w:hAnsiTheme="minorEastAsia" w:eastAsiaTheme="minorEastAsia" w:cstheme="minorEastAsia"/>
          <w:b/>
          <w:color w:val="auto"/>
          <w:sz w:val="24"/>
          <w:szCs w:val="24"/>
          <w:highlight w:val="none"/>
        </w:rPr>
        <w:br w:type="page"/>
      </w:r>
    </w:p>
    <w:p>
      <w:pPr>
        <w:spacing w:line="240" w:lineRule="auto"/>
        <w:ind w:right="-567"/>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.2项目实施人员一览表格式</w:t>
      </w:r>
      <w:bookmarkEnd w:id="18"/>
      <w:r>
        <w:rPr>
          <w:rFonts w:hint="eastAsia" w:asciiTheme="minorEastAsia" w:hAnsiTheme="minorEastAsia" w:eastAsiaTheme="minorEastAsia" w:cstheme="minorEastAsia"/>
          <w:b/>
          <w:color w:val="auto"/>
          <w:sz w:val="24"/>
          <w:szCs w:val="24"/>
          <w:highlight w:val="none"/>
        </w:rPr>
        <w:t>（如有）</w:t>
      </w:r>
    </w:p>
    <w:p>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项目实施人员（主要从业人员及其技术资格）一览表</w:t>
      </w:r>
    </w:p>
    <w:p>
      <w:pPr>
        <w:tabs>
          <w:tab w:val="right" w:pos="8847"/>
        </w:tabs>
        <w:spacing w:line="360" w:lineRule="auto"/>
        <w:rPr>
          <w:rFonts w:hint="eastAsia" w:asciiTheme="minorEastAsia" w:hAnsiTheme="minorEastAsia" w:eastAsiaTheme="minorEastAsia" w:cstheme="minorEastAsia"/>
          <w:color w:val="auto"/>
          <w:spacing w:val="-4"/>
          <w:sz w:val="24"/>
          <w:szCs w:val="24"/>
          <w:highlight w:val="none"/>
          <w:u w:val="single"/>
        </w:rPr>
      </w:pPr>
      <w:r>
        <w:rPr>
          <w:rFonts w:hint="eastAsia" w:asciiTheme="minorEastAsia" w:hAnsiTheme="minorEastAsia" w:eastAsiaTheme="minorEastAsia" w:cstheme="minorEastAsia"/>
          <w:color w:val="auto"/>
          <w:spacing w:val="-4"/>
          <w:sz w:val="24"/>
          <w:szCs w:val="24"/>
          <w:highlight w:val="none"/>
        </w:rPr>
        <w:t>项目名称：</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项目编号：</w:t>
      </w:r>
      <w:r>
        <w:rPr>
          <w:rFonts w:hint="eastAsia" w:asciiTheme="minorEastAsia" w:hAnsiTheme="minorEastAsia" w:eastAsiaTheme="minorEastAsia" w:cstheme="minorEastAsia"/>
          <w:color w:val="auto"/>
          <w:spacing w:val="-4"/>
          <w:sz w:val="24"/>
          <w:szCs w:val="24"/>
          <w:highlight w:val="none"/>
          <w:u w:val="single"/>
        </w:rPr>
        <w:t xml:space="preserve">                </w:t>
      </w:r>
    </w:p>
    <w:p>
      <w:pPr>
        <w:spacing w:line="240" w:lineRule="auto"/>
        <w:ind w:firstLine="241"/>
        <w:rPr>
          <w:rFonts w:hint="eastAsia" w:asciiTheme="minorEastAsia" w:hAnsiTheme="minorEastAsia" w:eastAsiaTheme="minorEastAsia" w:cstheme="minorEastAsia"/>
          <w:b/>
          <w:color w:val="auto"/>
          <w:sz w:val="24"/>
          <w:szCs w:val="24"/>
          <w:highlight w:val="none"/>
        </w:rPr>
      </w:pPr>
    </w:p>
    <w:tbl>
      <w:tblPr>
        <w:tblStyle w:val="23"/>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拟在本项目担任的职务(岗位)</w:t>
            </w:r>
          </w:p>
        </w:tc>
        <w:tc>
          <w:tcPr>
            <w:tcW w:w="709" w:type="dxa"/>
            <w:vMerge w:val="restart"/>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710" w:type="dxa"/>
            <w:vMerge w:val="restart"/>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技术职称</w:t>
            </w:r>
          </w:p>
        </w:tc>
        <w:tc>
          <w:tcPr>
            <w:tcW w:w="5405" w:type="dxa"/>
            <w:gridSpan w:val="5"/>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执业或职业资格证件</w:t>
            </w:r>
          </w:p>
        </w:tc>
        <w:tc>
          <w:tcPr>
            <w:tcW w:w="1070" w:type="dxa"/>
            <w:vMerge w:val="restart"/>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noWrap w:val="0"/>
            <w:vAlign w:val="center"/>
          </w:tcPr>
          <w:p>
            <w:pPr>
              <w:keepNext w:val="0"/>
              <w:keepLines w:val="0"/>
              <w:suppressLineNumbers w:val="0"/>
              <w:spacing w:before="0" w:beforeAutospacing="0" w:after="0" w:afterAutospacing="0" w:line="240" w:lineRule="auto"/>
              <w:ind w:left="0" w:right="0" w:firstLine="240"/>
              <w:rPr>
                <w:rFonts w:hint="eastAsia" w:asciiTheme="minorEastAsia" w:hAnsiTheme="minorEastAsia" w:eastAsiaTheme="minorEastAsia" w:cstheme="minorEastAsia"/>
                <w:color w:val="auto"/>
                <w:sz w:val="24"/>
                <w:szCs w:val="24"/>
                <w:highlight w:val="none"/>
              </w:rPr>
            </w:pPr>
          </w:p>
        </w:tc>
        <w:tc>
          <w:tcPr>
            <w:tcW w:w="709" w:type="dxa"/>
            <w:vMerge w:val="continue"/>
            <w:noWrap w:val="0"/>
            <w:vAlign w:val="center"/>
          </w:tcPr>
          <w:p>
            <w:pPr>
              <w:keepNext w:val="0"/>
              <w:keepLines w:val="0"/>
              <w:suppressLineNumbers w:val="0"/>
              <w:spacing w:before="0" w:beforeAutospacing="0" w:after="0" w:afterAutospacing="0" w:line="240" w:lineRule="auto"/>
              <w:ind w:left="0" w:right="0" w:firstLine="240"/>
              <w:rPr>
                <w:rFonts w:hint="eastAsia" w:asciiTheme="minorEastAsia" w:hAnsiTheme="minorEastAsia" w:eastAsiaTheme="minorEastAsia" w:cstheme="minorEastAsia"/>
                <w:color w:val="auto"/>
                <w:sz w:val="24"/>
                <w:szCs w:val="24"/>
                <w:highlight w:val="none"/>
              </w:rPr>
            </w:pPr>
          </w:p>
        </w:tc>
        <w:tc>
          <w:tcPr>
            <w:tcW w:w="710" w:type="dxa"/>
            <w:vMerge w:val="continue"/>
            <w:noWrap w:val="0"/>
            <w:vAlign w:val="center"/>
          </w:tcPr>
          <w:p>
            <w:pPr>
              <w:keepNext w:val="0"/>
              <w:keepLines w:val="0"/>
              <w:suppressLineNumbers w:val="0"/>
              <w:spacing w:before="0" w:beforeAutospacing="0" w:after="0" w:afterAutospacing="0" w:line="240" w:lineRule="auto"/>
              <w:ind w:left="0" w:right="0" w:firstLine="240"/>
              <w:rPr>
                <w:rFonts w:hint="eastAsia" w:asciiTheme="minorEastAsia" w:hAnsiTheme="minorEastAsia" w:eastAsiaTheme="minorEastAsia" w:cstheme="minorEastAsia"/>
                <w:color w:val="auto"/>
                <w:sz w:val="24"/>
                <w:szCs w:val="24"/>
                <w:highlight w:val="none"/>
              </w:rPr>
            </w:pPr>
          </w:p>
        </w:tc>
        <w:tc>
          <w:tcPr>
            <w:tcW w:w="1136" w:type="dxa"/>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证书名称</w:t>
            </w:r>
          </w:p>
        </w:tc>
        <w:tc>
          <w:tcPr>
            <w:tcW w:w="852" w:type="dxa"/>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级别</w:t>
            </w: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证号</w:t>
            </w: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w:t>
            </w: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工作年限</w:t>
            </w:r>
          </w:p>
        </w:tc>
        <w:tc>
          <w:tcPr>
            <w:tcW w:w="1070" w:type="dxa"/>
            <w:vMerge w:val="continue"/>
            <w:noWrap w:val="0"/>
            <w:vAlign w:val="center"/>
          </w:tcPr>
          <w:p>
            <w:pPr>
              <w:keepNext w:val="0"/>
              <w:keepLines w:val="0"/>
              <w:suppressLineNumbers w:val="0"/>
              <w:spacing w:before="0" w:beforeAutospacing="0" w:after="0" w:afterAutospacing="0" w:line="240" w:lineRule="auto"/>
              <w:ind w:left="0" w:right="0" w:firstLine="240"/>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noWrap w:val="0"/>
            <w:vAlign w:val="center"/>
          </w:tcPr>
          <w:p>
            <w:pPr>
              <w:keepNext w:val="0"/>
              <w:keepLines w:val="0"/>
              <w:suppressLineNumbers w:val="0"/>
              <w:spacing w:before="0" w:beforeAutospacing="0" w:after="0" w:afterAutospacing="0" w:line="240" w:lineRule="auto"/>
              <w:ind w:left="0" w:right="0" w:firstLine="241"/>
              <w:jc w:val="center"/>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noWrap w:val="0"/>
            <w:vAlign w:val="center"/>
          </w:tcPr>
          <w:p>
            <w:pPr>
              <w:keepNext w:val="0"/>
              <w:keepLines w:val="0"/>
              <w:suppressLineNumbers w:val="0"/>
              <w:spacing w:before="0" w:beforeAutospacing="0" w:after="0" w:afterAutospacing="0" w:line="240" w:lineRule="auto"/>
              <w:ind w:left="0" w:right="0" w:firstLine="241"/>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…专业负责人</w:t>
            </w: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…专业负责人</w:t>
            </w: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技术人员</w:t>
            </w: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bl>
    <w:p>
      <w:pPr>
        <w:snapToGrid w:val="0"/>
        <w:spacing w:before="50" w:after="156" w:afterLines="50"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w:t>
      </w:r>
      <w:r>
        <w:rPr>
          <w:rFonts w:hint="eastAsia" w:asciiTheme="minorEastAsia" w:hAnsiTheme="minorEastAsia" w:eastAsiaTheme="minorEastAsia" w:cstheme="minorEastAsia"/>
          <w:snapToGrid w:val="0"/>
          <w:color w:val="auto"/>
          <w:sz w:val="24"/>
          <w:szCs w:val="24"/>
          <w:highlight w:val="none"/>
        </w:rPr>
        <w:t>项目组成人员应附职称证书、执业资格证书等复印件或扫描件（</w:t>
      </w:r>
      <w:r>
        <w:rPr>
          <w:rFonts w:hint="eastAsia" w:asciiTheme="minorEastAsia" w:hAnsiTheme="minorEastAsia" w:eastAsiaTheme="minorEastAsia" w:cstheme="minorEastAsia"/>
          <w:snapToGrid w:val="0"/>
          <w:color w:val="auto"/>
          <w:sz w:val="24"/>
          <w:szCs w:val="24"/>
          <w:highlight w:val="none"/>
          <w:lang w:val="en-US" w:eastAsia="zh-CN"/>
        </w:rPr>
        <w:t>具体</w:t>
      </w:r>
      <w:r>
        <w:rPr>
          <w:rFonts w:hint="eastAsia" w:asciiTheme="minorEastAsia" w:hAnsiTheme="minorEastAsia" w:eastAsiaTheme="minorEastAsia" w:cstheme="minorEastAsia"/>
          <w:snapToGrid w:val="0"/>
          <w:color w:val="auto"/>
          <w:sz w:val="24"/>
          <w:szCs w:val="24"/>
          <w:highlight w:val="none"/>
        </w:rPr>
        <w:t>按评标办法提供）。</w:t>
      </w:r>
    </w:p>
    <w:p>
      <w:pPr>
        <w:snapToGrid w:val="0"/>
        <w:spacing w:before="50" w:after="156" w:afterLines="50" w:line="240" w:lineRule="auto"/>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2.在填写时，如本表格不适合投标单位的实际情况，可根据本表格式按评标办法要求自行划表填写并提供相关资料。</w:t>
      </w:r>
    </w:p>
    <w:p>
      <w:pPr>
        <w:snapToGrid w:val="0"/>
        <w:spacing w:before="50" w:after="50" w:line="240" w:lineRule="auto"/>
        <w:rPr>
          <w:rFonts w:hint="eastAsia" w:asciiTheme="minorEastAsia" w:hAnsiTheme="minorEastAsia" w:eastAsiaTheme="minorEastAsia" w:cstheme="minorEastAsia"/>
          <w:color w:val="auto"/>
          <w:spacing w:val="20"/>
          <w:sz w:val="24"/>
          <w:szCs w:val="20"/>
          <w:highlight w:val="none"/>
          <w:u w:val="single"/>
        </w:rPr>
      </w:pPr>
    </w:p>
    <w:p>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法定代表人或授权代表（签字或盖章）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pPr>
        <w:adjustRightInd w:val="0"/>
        <w:spacing w:line="360" w:lineRule="auto"/>
        <w:jc w:val="left"/>
        <w:rPr>
          <w:rFonts w:hint="eastAsia" w:asciiTheme="minorEastAsia" w:hAnsiTheme="minorEastAsia" w:eastAsiaTheme="minorEastAsia" w:cstheme="minorEastAsia"/>
          <w:snapToGrid w:val="0"/>
          <w:color w:val="auto"/>
          <w:szCs w:val="21"/>
          <w:highlight w:val="none"/>
        </w:rPr>
        <w:sectPr>
          <w:headerReference r:id="rId5" w:type="default"/>
          <w:footerReference r:id="rId6" w:type="default"/>
          <w:pgSz w:w="11906" w:h="16838"/>
          <w:pgMar w:top="1701" w:right="1106" w:bottom="1217" w:left="1461" w:header="1077" w:footer="597" w:gutter="0"/>
          <w:lnNumType w:countBy="0" w:restart="continuous"/>
          <w:cols w:space="720" w:num="1"/>
          <w:docGrid w:type="lines" w:linePitch="312" w:charSpace="0"/>
        </w:sect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p>
    <w:p>
      <w:pPr>
        <w:keepNext/>
        <w:keepLines/>
        <w:widowControl w:val="0"/>
        <w:spacing w:before="0" w:after="0" w:line="240" w:lineRule="auto"/>
        <w:ind w:right="-58"/>
        <w:jc w:val="left"/>
        <w:outlineLvl w:val="2"/>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7.3供应商业绩说明文件（如有）：</w:t>
      </w:r>
    </w:p>
    <w:p>
      <w:pPr>
        <w:spacing w:line="288"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供应商业绩</w:t>
      </w:r>
    </w:p>
    <w:p>
      <w:pPr>
        <w:widowControl w:val="0"/>
        <w:snapToGrid w:val="0"/>
        <w:ind w:left="480" w:hanging="480" w:hangingChars="200"/>
        <w:jc w:val="both"/>
        <w:rPr>
          <w:rFonts w:hint="eastAsia" w:asciiTheme="minorEastAsia" w:hAnsiTheme="minorEastAsia" w:eastAsiaTheme="minorEastAsia" w:cstheme="minorEastAsia"/>
          <w:color w:val="auto"/>
          <w:kern w:val="2"/>
          <w:sz w:val="24"/>
          <w:szCs w:val="24"/>
          <w:highlight w:val="none"/>
          <w:lang w:val="en-US" w:eastAsia="zh-CN" w:bidi="ar-SA"/>
        </w:rPr>
      </w:pPr>
    </w:p>
    <w:p>
      <w:pPr>
        <w:widowControl w:val="0"/>
        <w:snapToGrid w:val="0"/>
        <w:ind w:left="480" w:hanging="480" w:hangingChars="20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供应商同类项目实施情况一览表格式：（供应商同类项目合同复印件、用户验收报告、用户评价意见格式自拟）</w:t>
      </w:r>
    </w:p>
    <w:tbl>
      <w:tblPr>
        <w:tblStyle w:val="23"/>
        <w:tblW w:w="136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69"/>
        <w:gridCol w:w="3342"/>
        <w:gridCol w:w="1057"/>
        <w:gridCol w:w="1057"/>
        <w:gridCol w:w="1406"/>
        <w:gridCol w:w="705"/>
        <w:gridCol w:w="705"/>
        <w:gridCol w:w="705"/>
        <w:gridCol w:w="21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56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采购单位名称</w:t>
            </w:r>
          </w:p>
        </w:tc>
        <w:tc>
          <w:tcPr>
            <w:tcW w:w="334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设备或项目名称</w:t>
            </w: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w:t>
            </w:r>
          </w:p>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w:t>
            </w:r>
          </w:p>
        </w:tc>
        <w:tc>
          <w:tcPr>
            <w:tcW w:w="140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w:t>
            </w:r>
          </w:p>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金额</w:t>
            </w:r>
          </w:p>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（万元）</w:t>
            </w:r>
          </w:p>
        </w:tc>
        <w:tc>
          <w:tcPr>
            <w:tcW w:w="211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附件页码</w:t>
            </w:r>
          </w:p>
        </w:tc>
        <w:tc>
          <w:tcPr>
            <w:tcW w:w="210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采购单位联系人及</w:t>
            </w:r>
          </w:p>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5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33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14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p>
        </w:tc>
        <w:tc>
          <w:tcPr>
            <w:tcW w:w="21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5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5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r>
    </w:tbl>
    <w:p>
      <w:pPr>
        <w:snapToGrid w:val="0"/>
        <w:spacing w:before="50" w:after="120" w:afterLines="50" w:line="240" w:lineRule="auto"/>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注：在填写时，如本表格不适合投标单位的实际情况，可根据本表格式自行划表填写。</w:t>
      </w:r>
    </w:p>
    <w:p>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法定代表人或授权代表（签字或盖章）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pPr>
        <w:snapToGrid w:val="0"/>
        <w:spacing w:before="50" w:after="120" w:afterLines="50"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投标人需要说明的其他文件和说明（格式自拟）(如有)</w:t>
      </w:r>
    </w:p>
    <w:p>
      <w:pPr>
        <w:snapToGrid w:val="0"/>
        <w:spacing w:before="50" w:after="120" w:afterLines="50" w:line="360" w:lineRule="auto"/>
        <w:jc w:val="left"/>
        <w:rPr>
          <w:rFonts w:hint="eastAsia" w:asciiTheme="minorEastAsia" w:hAnsiTheme="minorEastAsia" w:eastAsiaTheme="minorEastAsia" w:cstheme="minorEastAsia"/>
          <w:color w:val="auto"/>
          <w:sz w:val="24"/>
          <w:highlight w:val="none"/>
        </w:rPr>
        <w:sectPr>
          <w:pgSz w:w="16840" w:h="11907" w:orient="landscape"/>
          <w:pgMar w:top="1701" w:right="1247" w:bottom="1701" w:left="1304" w:header="284" w:footer="703" w:gutter="0"/>
          <w:cols w:space="720" w:num="1"/>
          <w:docGrid w:linePitch="286" w:charSpace="0"/>
        </w:sectPr>
      </w:pPr>
    </w:p>
    <w:p>
      <w:pPr>
        <w:spacing w:line="24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三、报价文件封面格式</w:t>
      </w:r>
    </w:p>
    <w:p>
      <w:pPr>
        <w:spacing w:line="240" w:lineRule="auto"/>
        <w:rPr>
          <w:rFonts w:hint="eastAsia" w:asciiTheme="minorEastAsia" w:hAnsiTheme="minorEastAsia" w:eastAsiaTheme="minorEastAsia" w:cstheme="minorEastAsia"/>
          <w:b/>
          <w:bCs/>
          <w:color w:val="auto"/>
          <w:sz w:val="40"/>
          <w:szCs w:val="40"/>
          <w:highlight w:val="none"/>
        </w:rPr>
      </w:pPr>
    </w:p>
    <w:p>
      <w:pPr>
        <w:spacing w:line="240" w:lineRule="auto"/>
        <w:jc w:val="center"/>
        <w:rPr>
          <w:rFonts w:hint="eastAsia" w:asciiTheme="minorEastAsia" w:hAnsiTheme="minorEastAsia" w:eastAsiaTheme="minorEastAsia" w:cstheme="minorEastAsia"/>
          <w:b/>
          <w:bCs/>
          <w:color w:val="auto"/>
          <w:sz w:val="40"/>
          <w:szCs w:val="40"/>
          <w:highlight w:val="none"/>
        </w:rPr>
      </w:pPr>
    </w:p>
    <w:p>
      <w:pPr>
        <w:spacing w:line="240" w:lineRule="auto"/>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40"/>
          <w:szCs w:val="40"/>
          <w:highlight w:val="none"/>
          <w:lang w:eastAsia="zh-CN"/>
        </w:rPr>
        <w:t>2023年浦江县农村污水处理设施建设改造项目（第三批）仙华街道、郑家坞镇设备采购</w:t>
      </w:r>
    </w:p>
    <w:p>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p>
    <w:p>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bidi="th-TH"/>
        </w:rPr>
        <w:t>投 标 文 件</w:t>
      </w:r>
    </w:p>
    <w:p>
      <w:pPr>
        <w:spacing w:line="24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（报价文件）</w:t>
      </w:r>
    </w:p>
    <w:p>
      <w:pPr>
        <w:spacing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pPr>
        <w:spacing w:line="240" w:lineRule="auto"/>
        <w:jc w:val="center"/>
        <w:rPr>
          <w:rFonts w:hint="eastAsia" w:asciiTheme="minorEastAsia" w:hAnsiTheme="minorEastAsia" w:eastAsiaTheme="minorEastAsia" w:cstheme="minorEastAsia"/>
          <w:b/>
          <w:bCs/>
          <w:color w:val="auto"/>
          <w:sz w:val="28"/>
          <w:szCs w:val="28"/>
          <w:highlight w:val="none"/>
        </w:rPr>
      </w:pP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pPr>
        <w:tabs>
          <w:tab w:val="left" w:pos="720"/>
        </w:tabs>
        <w:adjustRightInd w:val="0"/>
        <w:snapToGrid w:val="0"/>
        <w:spacing w:line="480" w:lineRule="auto"/>
        <w:jc w:val="both"/>
        <w:rPr>
          <w:rFonts w:hint="eastAsia" w:asciiTheme="minorEastAsia" w:hAnsiTheme="minorEastAsia" w:eastAsiaTheme="minorEastAsia" w:cstheme="minorEastAsia"/>
          <w:b/>
          <w:snapToGrid w:val="0"/>
          <w:color w:val="auto"/>
          <w:kern w:val="0"/>
          <w:sz w:val="32"/>
          <w:szCs w:val="32"/>
          <w:highlight w:val="none"/>
        </w:rPr>
      </w:pPr>
    </w:p>
    <w:p>
      <w:pPr>
        <w:pStyle w:val="21"/>
        <w:rPr>
          <w:rFonts w:hint="eastAsia" w:asciiTheme="minorEastAsia" w:hAnsiTheme="minorEastAsia" w:eastAsiaTheme="minorEastAsia" w:cstheme="minorEastAsia"/>
          <w:color w:val="auto"/>
          <w:highlight w:val="none"/>
        </w:rPr>
      </w:pPr>
    </w:p>
    <w:p>
      <w:pPr>
        <w:tabs>
          <w:tab w:val="left" w:pos="720"/>
        </w:tabs>
        <w:adjustRightInd w:val="0"/>
        <w:snapToGrid w:val="0"/>
        <w:spacing w:line="480" w:lineRule="auto"/>
        <w:ind w:left="420"/>
        <w:jc w:val="center"/>
        <w:rPr>
          <w:rFonts w:hint="eastAsia"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t>报价文件目录</w:t>
      </w:r>
    </w:p>
    <w:p>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1.投标函（格式见附件）———————页码 </w:t>
      </w:r>
    </w:p>
    <w:p>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2.开标一览表（格式见附件）———————页码</w:t>
      </w:r>
    </w:p>
    <w:p>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3.投标报价明细表（格式见附件）———————页码</w:t>
      </w:r>
    </w:p>
    <w:p>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4.投标人针对报价需要说明的其他文件和说明（格式自拟）—————页码</w:t>
      </w:r>
    </w:p>
    <w:p>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p>
    <w:p>
      <w:pPr>
        <w:snapToGrid w:val="0"/>
        <w:spacing w:line="480" w:lineRule="auto"/>
        <w:ind w:firstLine="420" w:firstLineChars="200"/>
        <w:jc w:val="left"/>
        <w:rPr>
          <w:rFonts w:hint="eastAsia" w:asciiTheme="minorEastAsia" w:hAnsiTheme="minorEastAsia" w:eastAsiaTheme="minorEastAsia" w:cstheme="minorEastAsia"/>
          <w:color w:val="auto"/>
          <w:sz w:val="21"/>
          <w:szCs w:val="24"/>
          <w:highlight w:val="none"/>
          <w:lang w:val="en-US" w:eastAsia="zh-CN"/>
        </w:rPr>
      </w:pPr>
    </w:p>
    <w:p>
      <w:pPr>
        <w:pStyle w:val="21"/>
        <w:ind w:left="0" w:leftChars="0" w:firstLine="0" w:firstLineChars="0"/>
        <w:jc w:val="both"/>
        <w:rPr>
          <w:rFonts w:hint="eastAsia" w:asciiTheme="minorEastAsia" w:hAnsiTheme="minorEastAsia" w:eastAsiaTheme="minorEastAsia" w:cstheme="minorEastAsia"/>
          <w:b/>
          <w:color w:val="auto"/>
          <w:spacing w:val="0"/>
          <w:kern w:val="2"/>
          <w:sz w:val="36"/>
          <w:szCs w:val="20"/>
          <w:highlight w:val="none"/>
          <w:lang w:val="en-US" w:eastAsia="zh-CN" w:bidi="ar-SA"/>
        </w:rPr>
      </w:pPr>
    </w:p>
    <w:p>
      <w:pPr>
        <w:pStyle w:val="21"/>
        <w:ind w:left="0" w:leftChars="0" w:firstLine="0" w:firstLineChars="0"/>
        <w:jc w:val="center"/>
        <w:rPr>
          <w:rFonts w:hint="eastAsia" w:asciiTheme="minorEastAsia" w:hAnsiTheme="minorEastAsia" w:eastAsiaTheme="minorEastAsia" w:cstheme="minorEastAsia"/>
          <w:b/>
          <w:color w:val="auto"/>
          <w:spacing w:val="0"/>
          <w:kern w:val="2"/>
          <w:sz w:val="36"/>
          <w:szCs w:val="20"/>
          <w:highlight w:val="none"/>
          <w:lang w:val="en-US" w:eastAsia="zh-CN" w:bidi="ar-SA"/>
        </w:rPr>
      </w:pP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pPr>
        <w:snapToGrid w:val="0"/>
        <w:spacing w:before="120" w:beforeLines="50" w:after="50" w:line="240" w:lineRule="auto"/>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4"/>
          <w:highlight w:val="none"/>
        </w:rPr>
        <w:t>投标函格式：</w:t>
      </w:r>
    </w:p>
    <w:p>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投标函</w:t>
      </w:r>
    </w:p>
    <w:p>
      <w:pPr>
        <w:spacing w:line="340" w:lineRule="exact"/>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致：</w:t>
      </w:r>
      <w:r>
        <w:rPr>
          <w:rFonts w:hint="eastAsia" w:asciiTheme="minorEastAsia" w:hAnsiTheme="minorEastAsia" w:eastAsiaTheme="minorEastAsia" w:cstheme="minorEastAsia"/>
          <w:color w:val="auto"/>
          <w:spacing w:val="-4"/>
          <w:sz w:val="24"/>
          <w:szCs w:val="24"/>
          <w:highlight w:val="none"/>
          <w:u w:val="single"/>
        </w:rPr>
        <w:t>浙江科信联合工程项目管理咨询有限公司</w:t>
      </w:r>
      <w:r>
        <w:rPr>
          <w:rFonts w:hint="eastAsia" w:asciiTheme="minorEastAsia" w:hAnsiTheme="minorEastAsia" w:eastAsiaTheme="minorEastAsia" w:cstheme="minorEastAsia"/>
          <w:color w:val="auto"/>
          <w:spacing w:val="-4"/>
          <w:sz w:val="24"/>
          <w:szCs w:val="24"/>
          <w:highlight w:val="none"/>
        </w:rPr>
        <w:t xml:space="preserve"> </w:t>
      </w:r>
    </w:p>
    <w:p>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u w:val="single"/>
        </w:rPr>
      </w:pPr>
      <w:r>
        <w:rPr>
          <w:rFonts w:hint="eastAsia" w:asciiTheme="minorEastAsia" w:hAnsiTheme="minorEastAsia" w:eastAsiaTheme="minorEastAsia" w:cstheme="minorEastAsia"/>
          <w:color w:val="auto"/>
          <w:spacing w:val="-4"/>
          <w:sz w:val="24"/>
          <w:szCs w:val="24"/>
          <w:highlight w:val="none"/>
          <w:u w:val="single"/>
        </w:rPr>
        <w:t xml:space="preserve">              （供应商全称）      </w:t>
      </w:r>
      <w:r>
        <w:rPr>
          <w:rFonts w:hint="eastAsia" w:asciiTheme="minorEastAsia" w:hAnsiTheme="minorEastAsia" w:eastAsiaTheme="minorEastAsia" w:cstheme="minorEastAsia"/>
          <w:color w:val="auto"/>
          <w:spacing w:val="-4"/>
          <w:sz w:val="24"/>
          <w:szCs w:val="24"/>
          <w:highlight w:val="none"/>
        </w:rPr>
        <w:t xml:space="preserve"> 授权</w:t>
      </w:r>
      <w:r>
        <w:rPr>
          <w:rFonts w:hint="eastAsia" w:asciiTheme="minorEastAsia" w:hAnsiTheme="minorEastAsia" w:eastAsiaTheme="minorEastAsia" w:cstheme="minorEastAsia"/>
          <w:color w:val="auto"/>
          <w:spacing w:val="-4"/>
          <w:sz w:val="24"/>
          <w:szCs w:val="24"/>
          <w:highlight w:val="none"/>
          <w:u w:val="single"/>
        </w:rPr>
        <w:t xml:space="preserve"> （全权代表姓名、职务）      </w:t>
      </w:r>
      <w:r>
        <w:rPr>
          <w:rFonts w:hint="eastAsia" w:asciiTheme="minorEastAsia" w:hAnsiTheme="minorEastAsia" w:eastAsiaTheme="minorEastAsia" w:cstheme="minorEastAsia"/>
          <w:color w:val="auto"/>
          <w:spacing w:val="-4"/>
          <w:sz w:val="24"/>
          <w:szCs w:val="24"/>
          <w:highlight w:val="none"/>
        </w:rPr>
        <w:t xml:space="preserve">为本公司合法代理人，参加贵方组织的 </w:t>
      </w:r>
      <w:r>
        <w:rPr>
          <w:rFonts w:hint="eastAsia" w:asciiTheme="minorEastAsia" w:hAnsiTheme="minorEastAsia" w:eastAsiaTheme="minorEastAsia" w:cstheme="minorEastAsia"/>
          <w:color w:val="auto"/>
          <w:spacing w:val="-4"/>
          <w:sz w:val="24"/>
          <w:szCs w:val="24"/>
          <w:highlight w:val="none"/>
          <w:u w:val="single"/>
        </w:rPr>
        <w:t xml:space="preserve">         （招标编号、招标项目名称）  </w:t>
      </w:r>
      <w:r>
        <w:rPr>
          <w:rFonts w:hint="eastAsia" w:asciiTheme="minorEastAsia" w:hAnsiTheme="minorEastAsia" w:eastAsiaTheme="minorEastAsia" w:cstheme="minorEastAsia"/>
          <w:color w:val="auto"/>
          <w:spacing w:val="-4"/>
          <w:sz w:val="24"/>
          <w:szCs w:val="24"/>
          <w:highlight w:val="none"/>
        </w:rPr>
        <w:t>招投标活动，代表本公司处理招投标活动中的一切事宜</w:t>
      </w:r>
      <w:r>
        <w:rPr>
          <w:rFonts w:hint="eastAsia" w:asciiTheme="minorEastAsia" w:hAnsiTheme="minorEastAsia" w:eastAsiaTheme="minorEastAsia" w:cstheme="minorEastAsia"/>
          <w:color w:val="auto"/>
          <w:spacing w:val="-4"/>
          <w:sz w:val="24"/>
          <w:szCs w:val="24"/>
          <w:highlight w:val="none"/>
          <w:lang w:eastAsia="zh-CN"/>
        </w:rPr>
        <w:t>，</w:t>
      </w:r>
      <w:r>
        <w:rPr>
          <w:rFonts w:hint="eastAsia" w:asciiTheme="minorEastAsia" w:hAnsiTheme="minorEastAsia" w:eastAsiaTheme="minorEastAsia" w:cstheme="minorEastAsia"/>
          <w:color w:val="auto"/>
          <w:spacing w:val="-4"/>
          <w:sz w:val="24"/>
          <w:szCs w:val="24"/>
          <w:highlight w:val="none"/>
        </w:rPr>
        <w:t>在此：</w:t>
      </w:r>
    </w:p>
    <w:p>
      <w:pPr>
        <w:numPr>
          <w:ilvl w:val="0"/>
          <w:numId w:val="1"/>
        </w:numPr>
        <w:tabs>
          <w:tab w:val="left" w:pos="426"/>
          <w:tab w:val="clear" w:pos="840"/>
        </w:tabs>
        <w:spacing w:line="340" w:lineRule="exact"/>
        <w:ind w:left="0"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提供招标文件中规定的全部投标文件。</w:t>
      </w:r>
    </w:p>
    <w:p>
      <w:pPr>
        <w:numPr>
          <w:ilvl w:val="0"/>
          <w:numId w:val="1"/>
        </w:numPr>
        <w:tabs>
          <w:tab w:val="left" w:pos="426"/>
          <w:tab w:val="clear" w:pos="840"/>
        </w:tabs>
        <w:spacing w:line="340" w:lineRule="exact"/>
        <w:ind w:left="0"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据此函，签字代表宣布并承诺如下：</w:t>
      </w:r>
    </w:p>
    <w:p>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 投标产品的投标总价为《开标一览表》所列金额。</w:t>
      </w:r>
    </w:p>
    <w:p>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本报价已经包含了所供产品应纳的税金及招标文件规定的报价方式应包含的其它费用。本报价在投标有效期内固定不变，并在合同有效期内不受利率、物价、政策等波动的影响。</w:t>
      </w:r>
    </w:p>
    <w:p>
      <w:pPr>
        <w:numPr>
          <w:ilvl w:val="0"/>
          <w:numId w:val="2"/>
        </w:num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本投标自开标之日起</w:t>
      </w:r>
      <w:r>
        <w:rPr>
          <w:rFonts w:hint="eastAsia" w:asciiTheme="minorEastAsia" w:hAnsiTheme="minorEastAsia" w:eastAsiaTheme="minorEastAsia" w:cstheme="minorEastAsia"/>
          <w:color w:val="auto"/>
          <w:spacing w:val="-4"/>
          <w:sz w:val="24"/>
          <w:szCs w:val="24"/>
          <w:highlight w:val="none"/>
          <w:u w:val="single"/>
          <w:lang w:val="en-US" w:eastAsia="zh-CN"/>
        </w:rPr>
        <w:t>120</w:t>
      </w:r>
      <w:r>
        <w:rPr>
          <w:rFonts w:hint="eastAsia" w:asciiTheme="minorEastAsia" w:hAnsiTheme="minorEastAsia" w:eastAsiaTheme="minorEastAsia" w:cstheme="minorEastAsia"/>
          <w:color w:val="auto"/>
          <w:spacing w:val="-4"/>
          <w:sz w:val="24"/>
          <w:szCs w:val="24"/>
          <w:highlight w:val="none"/>
        </w:rPr>
        <w:t>天内有效。</w:t>
      </w:r>
    </w:p>
    <w:p>
      <w:pPr>
        <w:numPr>
          <w:ilvl w:val="0"/>
          <w:numId w:val="2"/>
        </w:num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0"/>
          <w:highlight w:val="none"/>
        </w:rPr>
        <w:t>我方此次向贵方提供的项目名称为：</w:t>
      </w:r>
      <w:r>
        <w:rPr>
          <w:rFonts w:hint="eastAsia" w:asciiTheme="minorEastAsia" w:hAnsiTheme="minorEastAsia" w:eastAsiaTheme="minorEastAsia" w:cstheme="minorEastAsia"/>
          <w:color w:val="auto"/>
          <w:spacing w:val="-4"/>
          <w:sz w:val="24"/>
          <w:szCs w:val="20"/>
          <w:highlight w:val="none"/>
          <w:u w:val="single"/>
        </w:rPr>
        <w:t xml:space="preserve">  </w:t>
      </w:r>
      <w:r>
        <w:rPr>
          <w:rFonts w:hint="eastAsia" w:asciiTheme="minorEastAsia" w:hAnsiTheme="minorEastAsia" w:eastAsiaTheme="minorEastAsia" w:cstheme="minorEastAsia"/>
          <w:bCs/>
          <w:color w:val="auto"/>
          <w:spacing w:val="-4"/>
          <w:sz w:val="24"/>
          <w:szCs w:val="20"/>
          <w:highlight w:val="none"/>
          <w:u w:val="single"/>
        </w:rPr>
        <w:t xml:space="preserve">       </w:t>
      </w:r>
      <w:r>
        <w:rPr>
          <w:rFonts w:hint="eastAsia" w:asciiTheme="minorEastAsia" w:hAnsiTheme="minorEastAsia" w:eastAsiaTheme="minorEastAsia" w:cstheme="minorEastAsia"/>
          <w:color w:val="auto"/>
          <w:spacing w:val="-4"/>
          <w:sz w:val="24"/>
          <w:szCs w:val="20"/>
          <w:highlight w:val="none"/>
          <w:u w:val="single"/>
        </w:rPr>
        <w:t xml:space="preserve">   </w:t>
      </w:r>
      <w:r>
        <w:rPr>
          <w:rFonts w:hint="eastAsia" w:asciiTheme="minorEastAsia" w:hAnsiTheme="minorEastAsia" w:eastAsiaTheme="minorEastAsia" w:cstheme="minorEastAsia"/>
          <w:color w:val="auto"/>
          <w:spacing w:val="-4"/>
          <w:sz w:val="24"/>
          <w:szCs w:val="20"/>
          <w:highlight w:val="none"/>
        </w:rPr>
        <w:t>，该项目我方有能力完成。</w:t>
      </w:r>
    </w:p>
    <w:p>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 我们已详细审查全部招标文件及有关的澄清、修改文件（若有的话），我们完全理解并同意放弃对这方面提出任何异议的权利。保证遵守招标文件有关条款规定。</w:t>
      </w:r>
    </w:p>
    <w:p>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（5） 保证在中标后忠实地执行与采购人所签署的合同，并承担合同规定的责任义务。保证在中标后按照招标文件的规定支付采购代理服务费。</w:t>
      </w:r>
    </w:p>
    <w:p>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（6） 承诺应贵方要求提供任何与该项目投标有关的数据、情况和技术资料。</w:t>
      </w:r>
    </w:p>
    <w:p>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（7） 我们承诺，与为采购人采购本次招标的产品进行设计、编制规范和其他文件所委托的咨询公司或其附属机构无任何直接或间接的关联。</w:t>
      </w:r>
    </w:p>
    <w:p>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（8）</w:t>
      </w:r>
      <w:r>
        <w:rPr>
          <w:rFonts w:hint="eastAsia" w:asciiTheme="minorEastAsia" w:hAnsiTheme="minorEastAsia" w:eastAsiaTheme="minorEastAsia" w:cstheme="minorEastAsia"/>
          <w:color w:val="auto"/>
          <w:spacing w:val="-4"/>
          <w:sz w:val="24"/>
          <w:szCs w:val="20"/>
          <w:highlight w:val="none"/>
        </w:rPr>
        <w:t>我方向贵方提交的所有投标文件、资料都是准确的和真实的。若未中标，我单位同意</w:t>
      </w:r>
      <w:r>
        <w:rPr>
          <w:rFonts w:hint="eastAsia" w:asciiTheme="minorEastAsia" w:hAnsiTheme="minorEastAsia" w:eastAsiaTheme="minorEastAsia" w:cstheme="minorEastAsia"/>
          <w:color w:val="auto"/>
          <w:spacing w:val="-4"/>
          <w:sz w:val="24"/>
          <w:szCs w:val="20"/>
          <w:highlight w:val="none"/>
          <w:lang w:eastAsia="zh-CN"/>
        </w:rPr>
        <w:t>采购人</w:t>
      </w:r>
      <w:r>
        <w:rPr>
          <w:rFonts w:hint="eastAsia" w:asciiTheme="minorEastAsia" w:hAnsiTheme="minorEastAsia" w:eastAsiaTheme="minorEastAsia" w:cstheme="minorEastAsia"/>
          <w:color w:val="auto"/>
          <w:spacing w:val="-4"/>
          <w:sz w:val="24"/>
          <w:szCs w:val="20"/>
          <w:highlight w:val="none"/>
        </w:rPr>
        <w:t>免费采用我单位全部或部分方案。</w:t>
      </w:r>
    </w:p>
    <w:p>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Theme="minorEastAsia" w:hAnsiTheme="minorEastAsia" w:eastAsiaTheme="minorEastAsia" w:cstheme="minorEastAsia"/>
          <w:color w:val="auto"/>
          <w:spacing w:val="-4"/>
          <w:sz w:val="24"/>
          <w:szCs w:val="20"/>
          <w:highlight w:val="none"/>
        </w:rPr>
        <w:t>并在人员、设备、资金等方面具有相应的供货及安装能力</w:t>
      </w:r>
      <w:r>
        <w:rPr>
          <w:rFonts w:hint="eastAsia" w:asciiTheme="minorEastAsia" w:hAnsiTheme="minorEastAsia" w:eastAsiaTheme="minorEastAsia" w:cstheme="minorEastAsia"/>
          <w:color w:val="auto"/>
          <w:spacing w:val="-4"/>
          <w:sz w:val="24"/>
          <w:szCs w:val="24"/>
          <w:highlight w:val="none"/>
        </w:rPr>
        <w:t>。我公司</w:t>
      </w:r>
      <w:r>
        <w:rPr>
          <w:rFonts w:hint="eastAsia" w:asciiTheme="minorEastAsia" w:hAnsiTheme="minorEastAsia" w:eastAsiaTheme="minorEastAsia" w:cstheme="minorEastAsia"/>
          <w:color w:val="auto"/>
          <w:spacing w:val="-4"/>
          <w:sz w:val="24"/>
          <w:szCs w:val="20"/>
          <w:highlight w:val="none"/>
        </w:rPr>
        <w:t>未被列入失信被执行人名单、</w:t>
      </w:r>
      <w:r>
        <w:rPr>
          <w:rFonts w:hint="eastAsia" w:asciiTheme="minorEastAsia" w:hAnsiTheme="minorEastAsia" w:eastAsiaTheme="minorEastAsia" w:cstheme="minorEastAsia"/>
          <w:color w:val="auto"/>
          <w:spacing w:val="-4"/>
          <w:sz w:val="24"/>
          <w:szCs w:val="20"/>
          <w:highlight w:val="none"/>
          <w:lang w:eastAsia="zh-CN"/>
        </w:rPr>
        <w:t>重大税收违法失信主体</w:t>
      </w:r>
      <w:r>
        <w:rPr>
          <w:rFonts w:hint="eastAsia" w:asciiTheme="minorEastAsia" w:hAnsiTheme="minorEastAsia" w:eastAsiaTheme="minorEastAsia" w:cstheme="minorEastAsia"/>
          <w:color w:val="auto"/>
          <w:spacing w:val="-4"/>
          <w:sz w:val="24"/>
          <w:szCs w:val="20"/>
          <w:highlight w:val="none"/>
        </w:rPr>
        <w:t>、政府采购严重违法失信行为记录名单。</w:t>
      </w:r>
    </w:p>
    <w:p>
      <w:pPr>
        <w:numPr>
          <w:ilvl w:val="0"/>
          <w:numId w:val="1"/>
        </w:numPr>
        <w:tabs>
          <w:tab w:val="left" w:pos="426"/>
          <w:tab w:val="clear" w:pos="840"/>
        </w:tabs>
        <w:spacing w:line="340" w:lineRule="exact"/>
        <w:ind w:left="0"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与本投标有关的一切往来通讯请寄：</w:t>
      </w:r>
    </w:p>
    <w:p>
      <w:pPr>
        <w:snapToGrid w:val="0"/>
        <w:spacing w:line="36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邮编：__________   电话：______________</w:t>
      </w:r>
    </w:p>
    <w:p>
      <w:pPr>
        <w:snapToGrid w:val="0"/>
        <w:spacing w:line="36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传真：________________  电子邮箱：________________</w:t>
      </w:r>
    </w:p>
    <w:p>
      <w:pPr>
        <w:snapToGrid w:val="0"/>
        <w:spacing w:line="36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投标人名称（电子签章）:___________________</w:t>
      </w:r>
    </w:p>
    <w:p>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法定代表人（签字或盖章）:________________   </w:t>
      </w:r>
    </w:p>
    <w:p>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pPr>
        <w:spacing w:line="240" w:lineRule="auto"/>
        <w:ind w:right="-567"/>
        <w:jc w:val="left"/>
        <w:outlineLvl w:val="1"/>
        <w:rPr>
          <w:rFonts w:hint="eastAsia" w:asciiTheme="minorEastAsia" w:hAnsiTheme="minorEastAsia" w:eastAsiaTheme="minorEastAsia" w:cstheme="minorEastAsia"/>
          <w:b/>
          <w:color w:val="auto"/>
          <w:sz w:val="24"/>
          <w:szCs w:val="24"/>
          <w:highlight w:val="none"/>
        </w:rPr>
      </w:pPr>
    </w:p>
    <w:p>
      <w:pPr>
        <w:spacing w:line="240" w:lineRule="auto"/>
        <w:ind w:right="-567"/>
        <w:jc w:val="left"/>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开标一览表格式：</w:t>
      </w:r>
    </w:p>
    <w:p>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开标一览表</w:t>
      </w:r>
    </w:p>
    <w:p>
      <w:pPr>
        <w:spacing w:line="200" w:lineRule="exact"/>
        <w:rPr>
          <w:rFonts w:hint="eastAsia" w:asciiTheme="minorEastAsia" w:hAnsiTheme="minorEastAsia" w:eastAsiaTheme="minorEastAsia" w:cstheme="minorEastAsia"/>
          <w:color w:val="auto"/>
          <w:spacing w:val="-4"/>
          <w:sz w:val="24"/>
          <w:szCs w:val="24"/>
          <w:highlight w:val="none"/>
        </w:rPr>
      </w:pPr>
    </w:p>
    <w:p>
      <w:pPr>
        <w:tabs>
          <w:tab w:val="right" w:pos="8847"/>
        </w:tabs>
        <w:spacing w:line="360" w:lineRule="auto"/>
        <w:rPr>
          <w:rFonts w:hint="eastAsia" w:asciiTheme="minorEastAsia" w:hAnsiTheme="minorEastAsia" w:eastAsiaTheme="minorEastAsia" w:cstheme="minorEastAsia"/>
          <w:color w:val="auto"/>
          <w:spacing w:val="-4"/>
          <w:sz w:val="24"/>
          <w:szCs w:val="24"/>
          <w:highlight w:val="none"/>
          <w:u w:val="single"/>
        </w:rPr>
      </w:pPr>
      <w:r>
        <w:rPr>
          <w:rFonts w:hint="eastAsia" w:asciiTheme="minorEastAsia" w:hAnsiTheme="minorEastAsia" w:eastAsiaTheme="minorEastAsia" w:cstheme="minorEastAsia"/>
          <w:color w:val="auto"/>
          <w:spacing w:val="-4"/>
          <w:sz w:val="24"/>
          <w:szCs w:val="24"/>
          <w:highlight w:val="none"/>
        </w:rPr>
        <w:t>项目名称：</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项目编号：</w:t>
      </w:r>
      <w:r>
        <w:rPr>
          <w:rFonts w:hint="eastAsia" w:asciiTheme="minorEastAsia" w:hAnsiTheme="minorEastAsia" w:eastAsiaTheme="minorEastAsia" w:cstheme="minorEastAsia"/>
          <w:color w:val="auto"/>
          <w:spacing w:val="-4"/>
          <w:sz w:val="24"/>
          <w:szCs w:val="24"/>
          <w:highlight w:val="none"/>
          <w:u w:val="single"/>
        </w:rPr>
        <w:t xml:space="preserve">                      </w:t>
      </w:r>
    </w:p>
    <w:tbl>
      <w:tblPr>
        <w:tblStyle w:val="23"/>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1852"/>
        <w:gridCol w:w="918"/>
        <w:gridCol w:w="3690"/>
        <w:gridCol w:w="148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序号</w:t>
            </w:r>
          </w:p>
        </w:tc>
        <w:tc>
          <w:tcPr>
            <w:tcW w:w="1852" w:type="dxa"/>
            <w:tcBorders>
              <w:top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项目名称</w:t>
            </w:r>
          </w:p>
        </w:tc>
        <w:tc>
          <w:tcPr>
            <w:tcW w:w="918" w:type="dxa"/>
            <w:tcBorders>
              <w:top w:val="single" w:color="auto" w:sz="4" w:space="0"/>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3690" w:type="dxa"/>
            <w:tcBorders>
              <w:top w:val="single" w:color="auto" w:sz="4" w:space="0"/>
              <w:left w:val="single" w:color="auto" w:sz="4" w:space="0"/>
              <w:bottom w:val="single" w:color="auto" w:sz="4" w:space="0"/>
            </w:tcBorders>
            <w:noWrap w:val="0"/>
            <w:tcMar>
              <w:left w:w="0" w:type="dxa"/>
              <w:right w:w="0" w:type="dxa"/>
            </w:tcMar>
            <w:vAlign w:val="center"/>
          </w:tcPr>
          <w:p>
            <w:pPr>
              <w:keepNext w:val="0"/>
              <w:keepLines w:val="0"/>
              <w:suppressLineNumbers w:val="0"/>
              <w:snapToGrid w:val="0"/>
              <w:spacing w:before="50" w:beforeAutospacing="0" w:after="5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投标价（人民币元）</w:t>
            </w:r>
          </w:p>
        </w:tc>
        <w:tc>
          <w:tcPr>
            <w:tcW w:w="1482" w:type="dxa"/>
            <w:tcBorders>
              <w:top w:val="single" w:color="auto" w:sz="4" w:space="0"/>
              <w:bottom w:val="single" w:color="auto" w:sz="4" w:space="0"/>
            </w:tcBorders>
            <w:noWrap w:val="0"/>
            <w:tcMar>
              <w:left w:w="0" w:type="dxa"/>
              <w:right w:w="0" w:type="dxa"/>
            </w:tcMar>
            <w:vAlign w:val="center"/>
          </w:tcPr>
          <w:p>
            <w:pPr>
              <w:keepNext w:val="0"/>
              <w:keepLines w:val="0"/>
              <w:suppressLineNumbers w:val="0"/>
              <w:snapToGrid w:val="0"/>
              <w:spacing w:before="50" w:beforeAutospacing="0" w:after="5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1"/>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1</w:t>
            </w:r>
          </w:p>
        </w:tc>
        <w:tc>
          <w:tcPr>
            <w:tcW w:w="1852"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lang w:eastAsia="zh-CN"/>
              </w:rPr>
              <w:t>2023年浦江县农村污水处理设施建设改造项目（第三批）仙华街道、郑家坞镇设备采购</w:t>
            </w:r>
          </w:p>
        </w:tc>
        <w:tc>
          <w:tcPr>
            <w:tcW w:w="918" w:type="dxa"/>
            <w:tcBorders>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1项</w:t>
            </w:r>
          </w:p>
        </w:tc>
        <w:tc>
          <w:tcPr>
            <w:tcW w:w="3690" w:type="dxa"/>
            <w:tcBorders>
              <w:left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852"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918" w:type="dxa"/>
            <w:tcBorders>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420" w:right="0"/>
              <w:rPr>
                <w:rFonts w:hint="eastAsia" w:asciiTheme="minorEastAsia" w:hAnsiTheme="minorEastAsia" w:eastAsiaTheme="minorEastAsia" w:cstheme="minorEastAsia"/>
                <w:color w:val="auto"/>
                <w:spacing w:val="-4"/>
                <w:sz w:val="24"/>
                <w:szCs w:val="24"/>
                <w:highlight w:val="none"/>
              </w:rPr>
            </w:pPr>
          </w:p>
        </w:tc>
        <w:tc>
          <w:tcPr>
            <w:tcW w:w="3690" w:type="dxa"/>
            <w:tcBorders>
              <w:left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852"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918" w:type="dxa"/>
            <w:tcBorders>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420" w:right="0"/>
              <w:jc w:val="center"/>
              <w:rPr>
                <w:rFonts w:hint="eastAsia" w:asciiTheme="minorEastAsia" w:hAnsiTheme="minorEastAsia" w:eastAsiaTheme="minorEastAsia" w:cstheme="minorEastAsia"/>
                <w:color w:val="auto"/>
                <w:spacing w:val="-4"/>
                <w:sz w:val="24"/>
                <w:szCs w:val="24"/>
                <w:highlight w:val="none"/>
              </w:rPr>
            </w:pPr>
          </w:p>
        </w:tc>
        <w:tc>
          <w:tcPr>
            <w:tcW w:w="3690" w:type="dxa"/>
            <w:tcBorders>
              <w:left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852"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918" w:type="dxa"/>
            <w:tcBorders>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420" w:right="0"/>
              <w:jc w:val="center"/>
              <w:rPr>
                <w:rFonts w:hint="eastAsia" w:asciiTheme="minorEastAsia" w:hAnsiTheme="minorEastAsia" w:eastAsiaTheme="minorEastAsia" w:cstheme="minorEastAsia"/>
                <w:color w:val="auto"/>
                <w:spacing w:val="-4"/>
                <w:sz w:val="24"/>
                <w:szCs w:val="24"/>
                <w:highlight w:val="none"/>
              </w:rPr>
            </w:pPr>
          </w:p>
        </w:tc>
        <w:tc>
          <w:tcPr>
            <w:tcW w:w="3690" w:type="dxa"/>
            <w:tcBorders>
              <w:left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852"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918" w:type="dxa"/>
            <w:tcBorders>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420" w:right="0"/>
              <w:jc w:val="center"/>
              <w:rPr>
                <w:rFonts w:hint="eastAsia" w:asciiTheme="minorEastAsia" w:hAnsiTheme="minorEastAsia" w:eastAsiaTheme="minorEastAsia" w:cstheme="minorEastAsia"/>
                <w:color w:val="auto"/>
                <w:spacing w:val="-4"/>
                <w:sz w:val="24"/>
                <w:szCs w:val="24"/>
                <w:highlight w:val="none"/>
              </w:rPr>
            </w:pPr>
          </w:p>
        </w:tc>
        <w:tc>
          <w:tcPr>
            <w:tcW w:w="3690" w:type="dxa"/>
            <w:tcBorders>
              <w:left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79" w:hRule="atLeast"/>
        </w:trPr>
        <w:tc>
          <w:tcPr>
            <w:tcW w:w="2425" w:type="dxa"/>
            <w:gridSpan w:val="2"/>
            <w:tcBorders>
              <w:top w:val="single" w:color="auto" w:sz="4" w:space="0"/>
              <w:right w:val="single" w:color="auto" w:sz="2"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投标价总计</w:t>
            </w:r>
          </w:p>
        </w:tc>
        <w:tc>
          <w:tcPr>
            <w:tcW w:w="6090" w:type="dxa"/>
            <w:gridSpan w:val="3"/>
            <w:tcBorders>
              <w:top w:val="single" w:color="auto" w:sz="4" w:space="0"/>
              <w:left w:val="single" w:color="auto" w:sz="2" w:space="0"/>
              <w:bottom w:val="single" w:color="auto" w:sz="4" w:space="0"/>
            </w:tcBorders>
            <w:noWrap w:val="0"/>
            <w:vAlign w:val="center"/>
          </w:tcPr>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大写：</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元（小写）：</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投标声明</w:t>
            </w:r>
          </w:p>
        </w:tc>
        <w:tc>
          <w:tcPr>
            <w:tcW w:w="7942" w:type="dxa"/>
            <w:gridSpan w:val="4"/>
            <w:tcBorders>
              <w:top w:val="single" w:color="auto" w:sz="4" w:space="0"/>
            </w:tcBorders>
            <w:noWrap w:val="0"/>
            <w:tcMar>
              <w:left w:w="0" w:type="dxa"/>
              <w:right w:w="0" w:type="dxa"/>
            </w:tcMar>
            <w:vAlign w:val="center"/>
          </w:tcPr>
          <w:p>
            <w:pPr>
              <w:keepNext w:val="0"/>
              <w:keepLines w:val="0"/>
              <w:widowControl/>
              <w:suppressLineNumbers w:val="0"/>
              <w:spacing w:before="0" w:beforeAutospacing="0" w:after="0" w:afterAutospacing="0" w:line="0" w:lineRule="atLeast"/>
              <w:ind w:left="103" w:right="100"/>
              <w:rPr>
                <w:rFonts w:hint="eastAsia" w:asciiTheme="minorEastAsia" w:hAnsiTheme="minorEastAsia" w:eastAsiaTheme="minorEastAsia" w:cstheme="minorEastAsia"/>
                <w:color w:val="auto"/>
                <w:sz w:val="24"/>
                <w:szCs w:val="24"/>
                <w:highlight w:val="none"/>
              </w:rPr>
            </w:pPr>
          </w:p>
        </w:tc>
      </w:tr>
    </w:tbl>
    <w:p>
      <w:pPr>
        <w:spacing w:line="240" w:lineRule="auto"/>
        <w:rPr>
          <w:rFonts w:hint="eastAsia" w:asciiTheme="minorEastAsia" w:hAnsiTheme="minorEastAsia" w:eastAsiaTheme="minorEastAsia" w:cstheme="minorEastAsia"/>
          <w:color w:val="auto"/>
          <w:sz w:val="24"/>
          <w:szCs w:val="24"/>
          <w:highlight w:val="none"/>
        </w:rPr>
      </w:pPr>
    </w:p>
    <w:p>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注：1.报价一经涂改，应在涂改处加盖单位公章或者由法定代表人或授权代表签字或盖章，否则其投标作无效标处理。</w:t>
      </w:r>
    </w:p>
    <w:p>
      <w:pPr>
        <w:spacing w:before="100" w:after="100"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2.投标费用包括</w:t>
      </w:r>
      <w:r>
        <w:rPr>
          <w:rFonts w:hint="eastAsia" w:asciiTheme="minorEastAsia" w:hAnsiTheme="minorEastAsia" w:eastAsiaTheme="minorEastAsia" w:cstheme="minorEastAsia"/>
          <w:color w:val="auto"/>
          <w:sz w:val="24"/>
          <w:szCs w:val="24"/>
          <w:highlight w:val="none"/>
          <w:lang w:eastAsia="zh-CN"/>
        </w:rPr>
        <w:t>货款、标准附件、备品备件、专用工具、包装、运输、装卸、安装调试、管理费、利润、风险费、保险、税金、培训、技术指导、服务、专利费（著作权）、代理费、其他费用</w:t>
      </w:r>
      <w:r>
        <w:rPr>
          <w:rFonts w:hint="eastAsia" w:asciiTheme="minorEastAsia" w:hAnsiTheme="minorEastAsia" w:eastAsiaTheme="minorEastAsia" w:cstheme="minorEastAsia"/>
          <w:color w:val="auto"/>
          <w:sz w:val="24"/>
          <w:szCs w:val="24"/>
          <w:highlight w:val="none"/>
        </w:rPr>
        <w:t>等完成招标内容及要求所提供的货物及服务过程中涉及的一切费用。</w:t>
      </w:r>
    </w:p>
    <w:p>
      <w:pPr>
        <w:spacing w:line="360" w:lineRule="auto"/>
        <w:rPr>
          <w:rFonts w:hint="eastAsia" w:asciiTheme="minorEastAsia" w:hAnsiTheme="minorEastAsia" w:eastAsiaTheme="minorEastAsia" w:cstheme="minorEastAsia"/>
          <w:color w:val="auto"/>
          <w:sz w:val="24"/>
          <w:szCs w:val="24"/>
          <w:highlight w:val="none"/>
        </w:rPr>
      </w:pPr>
    </w:p>
    <w:p>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法定代表人或授权代表（签字或盖章）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pPr>
        <w:ind w:firstLine="0"/>
        <w:jc w:val="left"/>
        <w:outlineLvl w:val="1"/>
        <w:rPr>
          <w:rFonts w:hint="eastAsia" w:asciiTheme="minorEastAsia" w:hAnsiTheme="minorEastAsia" w:eastAsiaTheme="minorEastAsia" w:cstheme="minorEastAsia"/>
          <w:bCs/>
          <w:color w:val="auto"/>
          <w:sz w:val="24"/>
          <w:highlight w:val="none"/>
        </w:rPr>
        <w:sectPr>
          <w:pgSz w:w="11907" w:h="16840"/>
          <w:pgMar w:top="1247" w:right="1701" w:bottom="1304" w:left="1701" w:header="284" w:footer="703" w:gutter="0"/>
          <w:cols w:space="720" w:num="1"/>
          <w:docGrid w:linePitch="286" w:charSpace="0"/>
        </w:sectPr>
      </w:pPr>
    </w:p>
    <w:p>
      <w:pPr>
        <w:widowControl w:val="0"/>
        <w:ind w:firstLine="0"/>
        <w:jc w:val="left"/>
        <w:outlineLvl w:val="1"/>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投标报价明细表格式：</w:t>
      </w:r>
    </w:p>
    <w:p>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投标报价明细表</w:t>
      </w:r>
    </w:p>
    <w:p>
      <w:pPr>
        <w:spacing w:line="240" w:lineRule="auto"/>
        <w:rPr>
          <w:rFonts w:hint="eastAsia" w:asciiTheme="minorEastAsia" w:hAnsiTheme="minorEastAsia" w:eastAsiaTheme="minorEastAsia" w:cstheme="minorEastAsia"/>
          <w:color w:val="auto"/>
          <w:spacing w:val="-4"/>
          <w:sz w:val="24"/>
          <w:szCs w:val="24"/>
          <w:highlight w:val="none"/>
          <w:u w:val="single"/>
        </w:rPr>
      </w:pPr>
      <w:r>
        <w:rPr>
          <w:rFonts w:hint="eastAsia" w:asciiTheme="minorEastAsia" w:hAnsiTheme="minorEastAsia" w:eastAsiaTheme="minorEastAsia" w:cstheme="minorEastAsia"/>
          <w:color w:val="auto"/>
          <w:spacing w:val="-4"/>
          <w:sz w:val="24"/>
          <w:szCs w:val="24"/>
          <w:highlight w:val="none"/>
        </w:rPr>
        <w:t>项目名称：</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u w:val="single"/>
          <w:lang w:val="en-US" w:eastAsia="zh-CN"/>
        </w:rPr>
        <w:t xml:space="preserve">            </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项目编号：</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u w:val="single"/>
          <w:lang w:val="en-US" w:eastAsia="zh-CN"/>
        </w:rPr>
        <w:t xml:space="preserve">   </w:t>
      </w:r>
      <w:r>
        <w:rPr>
          <w:rFonts w:hint="eastAsia" w:asciiTheme="minorEastAsia" w:hAnsiTheme="minorEastAsia" w:eastAsiaTheme="minorEastAsia" w:cstheme="minorEastAsia"/>
          <w:color w:val="auto"/>
          <w:spacing w:val="-4"/>
          <w:sz w:val="24"/>
          <w:szCs w:val="24"/>
          <w:highlight w:val="none"/>
          <w:u w:val="single"/>
        </w:rPr>
        <w:t xml:space="preserve">      </w:t>
      </w:r>
    </w:p>
    <w:tbl>
      <w:tblPr>
        <w:tblStyle w:val="53"/>
        <w:tblW w:w="598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5"/>
        <w:gridCol w:w="1059"/>
        <w:gridCol w:w="864"/>
        <w:gridCol w:w="1820"/>
        <w:gridCol w:w="949"/>
        <w:gridCol w:w="895"/>
        <w:gridCol w:w="1090"/>
        <w:gridCol w:w="1030"/>
        <w:gridCol w:w="933"/>
        <w:gridCol w:w="9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jc w:val="center"/>
        </w:trPr>
        <w:tc>
          <w:tcPr>
            <w:tcW w:w="203" w:type="pct"/>
            <w:vMerge w:val="restart"/>
            <w:tcBorders>
              <w:bottom w:val="nil"/>
            </w:tcBorders>
            <w:vAlign w:val="center"/>
          </w:tcPr>
          <w:p>
            <w:pPr>
              <w:pStyle w:val="52"/>
              <w:spacing w:line="240" w:lineRule="auto"/>
              <w:rPr>
                <w:rFonts w:hint="eastAsia" w:asciiTheme="minorEastAsia" w:hAnsiTheme="minorEastAsia" w:eastAsiaTheme="minorEastAsia" w:cstheme="minorEastAsia"/>
                <w:snapToGrid/>
                <w:color w:val="auto"/>
                <w:sz w:val="21"/>
                <w:szCs w:val="21"/>
                <w:highlight w:val="none"/>
              </w:rPr>
            </w:pPr>
            <w:r>
              <w:rPr>
                <w:rFonts w:hint="eastAsia" w:asciiTheme="minorEastAsia" w:hAnsiTheme="minorEastAsia" w:eastAsiaTheme="minorEastAsia" w:cstheme="minorEastAsia"/>
                <w:snapToGrid/>
                <w:color w:val="auto"/>
                <w:sz w:val="21"/>
                <w:szCs w:val="21"/>
                <w:highlight w:val="none"/>
              </w:rPr>
              <w:t>序号</w:t>
            </w:r>
          </w:p>
        </w:tc>
        <w:tc>
          <w:tcPr>
            <w:tcW w:w="532" w:type="pct"/>
            <w:vMerge w:val="restart"/>
            <w:tcBorders>
              <w:bottom w:val="nil"/>
            </w:tcBorders>
            <w:vAlign w:val="center"/>
          </w:tcPr>
          <w:p>
            <w:pPr>
              <w:spacing w:before="42" w:line="240" w:lineRule="auto"/>
              <w:ind w:left="163" w:right="149" w:hanging="1"/>
              <w:jc w:val="center"/>
              <w:rPr>
                <w:rFonts w:hint="eastAsia" w:asciiTheme="minorEastAsia" w:hAnsiTheme="minorEastAsia" w:eastAsiaTheme="minorEastAsia" w:cstheme="minorEastAsia"/>
                <w:snapToGrid w:val="0"/>
                <w:color w:val="auto"/>
                <w:spacing w:val="5"/>
                <w:sz w:val="23"/>
                <w:szCs w:val="23"/>
                <w:highlight w:val="none"/>
              </w:rPr>
            </w:pPr>
            <w:r>
              <w:rPr>
                <w:rFonts w:hint="eastAsia" w:asciiTheme="minorEastAsia" w:hAnsiTheme="minorEastAsia" w:eastAsiaTheme="minorEastAsia" w:cstheme="minorEastAsia"/>
                <w:snapToGrid w:val="0"/>
                <w:color w:val="auto"/>
                <w:spacing w:val="5"/>
                <w:sz w:val="23"/>
                <w:szCs w:val="23"/>
                <w:highlight w:val="none"/>
              </w:rPr>
              <w:t>乡、镇(街道)</w:t>
            </w:r>
          </w:p>
        </w:tc>
        <w:tc>
          <w:tcPr>
            <w:tcW w:w="1348" w:type="pct"/>
            <w:gridSpan w:val="2"/>
            <w:vAlign w:val="center"/>
          </w:tcPr>
          <w:p>
            <w:pPr>
              <w:spacing w:before="42" w:line="240" w:lineRule="auto"/>
              <w:ind w:left="163" w:right="149" w:hanging="1"/>
              <w:jc w:val="center"/>
              <w:rPr>
                <w:rFonts w:hint="eastAsia" w:asciiTheme="minorEastAsia" w:hAnsiTheme="minorEastAsia" w:eastAsiaTheme="minorEastAsia" w:cstheme="minorEastAsia"/>
                <w:snapToGrid w:val="0"/>
                <w:color w:val="auto"/>
                <w:spacing w:val="5"/>
                <w:sz w:val="23"/>
                <w:szCs w:val="23"/>
                <w:highlight w:val="none"/>
              </w:rPr>
            </w:pPr>
            <w:r>
              <w:rPr>
                <w:rFonts w:hint="eastAsia" w:asciiTheme="minorEastAsia" w:hAnsiTheme="minorEastAsia" w:eastAsiaTheme="minorEastAsia" w:cstheme="minorEastAsia"/>
                <w:snapToGrid w:val="0"/>
                <w:color w:val="auto"/>
                <w:spacing w:val="5"/>
                <w:sz w:val="23"/>
                <w:szCs w:val="23"/>
                <w:highlight w:val="none"/>
              </w:rPr>
              <w:t>处理设施概况</w:t>
            </w:r>
          </w:p>
        </w:tc>
        <w:tc>
          <w:tcPr>
            <w:tcW w:w="476" w:type="pct"/>
            <w:vMerge w:val="restart"/>
            <w:tcBorders>
              <w:bottom w:val="nil"/>
            </w:tcBorders>
            <w:vAlign w:val="center"/>
          </w:tcPr>
          <w:p>
            <w:pPr>
              <w:spacing w:before="42" w:line="240" w:lineRule="auto"/>
              <w:ind w:left="163" w:right="149" w:hanging="1"/>
              <w:jc w:val="center"/>
              <w:rPr>
                <w:rFonts w:hint="eastAsia" w:asciiTheme="minorEastAsia" w:hAnsiTheme="minorEastAsia" w:eastAsiaTheme="minorEastAsia" w:cstheme="minorEastAsia"/>
                <w:snapToGrid w:val="0"/>
                <w:color w:val="auto"/>
                <w:spacing w:val="5"/>
                <w:sz w:val="23"/>
                <w:szCs w:val="23"/>
                <w:highlight w:val="none"/>
              </w:rPr>
            </w:pPr>
            <w:r>
              <w:rPr>
                <w:rFonts w:hint="eastAsia" w:asciiTheme="minorEastAsia" w:hAnsiTheme="minorEastAsia" w:eastAsiaTheme="minorEastAsia" w:cstheme="minorEastAsia"/>
                <w:snapToGrid w:val="0"/>
                <w:color w:val="auto"/>
                <w:spacing w:val="5"/>
                <w:sz w:val="23"/>
                <w:szCs w:val="23"/>
                <w:highlight w:val="none"/>
              </w:rPr>
              <w:t>设计日处理量(t/d)</w:t>
            </w:r>
          </w:p>
        </w:tc>
        <w:tc>
          <w:tcPr>
            <w:tcW w:w="449" w:type="pct"/>
            <w:vMerge w:val="restart"/>
            <w:vAlign w:val="center"/>
          </w:tcPr>
          <w:p>
            <w:pPr>
              <w:spacing w:before="42" w:line="240" w:lineRule="auto"/>
              <w:ind w:left="163" w:right="149" w:hanging="1"/>
              <w:jc w:val="center"/>
              <w:rPr>
                <w:rFonts w:hint="eastAsia" w:asciiTheme="minorEastAsia" w:hAnsiTheme="minorEastAsia" w:eastAsiaTheme="minorEastAsia" w:cstheme="minorEastAsia"/>
                <w:snapToGrid w:val="0"/>
                <w:color w:val="auto"/>
                <w:spacing w:val="5"/>
                <w:sz w:val="23"/>
                <w:szCs w:val="23"/>
                <w:highlight w:val="none"/>
                <w:lang w:val="en-US" w:eastAsia="zh-CN"/>
              </w:rPr>
            </w:pPr>
            <w:r>
              <w:rPr>
                <w:rFonts w:hint="eastAsia" w:asciiTheme="minorEastAsia" w:hAnsiTheme="minorEastAsia" w:eastAsiaTheme="minorEastAsia" w:cstheme="minorEastAsia"/>
                <w:snapToGrid w:val="0"/>
                <w:color w:val="auto"/>
                <w:spacing w:val="5"/>
                <w:sz w:val="23"/>
                <w:szCs w:val="23"/>
                <w:highlight w:val="none"/>
                <w:lang w:val="en-US" w:eastAsia="zh-CN"/>
              </w:rPr>
              <w:t>数量</w:t>
            </w:r>
          </w:p>
        </w:tc>
        <w:tc>
          <w:tcPr>
            <w:tcW w:w="547" w:type="pct"/>
            <w:vMerge w:val="restart"/>
            <w:vAlign w:val="center"/>
          </w:tcPr>
          <w:p>
            <w:pPr>
              <w:spacing w:before="42" w:line="240" w:lineRule="auto"/>
              <w:ind w:left="163" w:right="149" w:hanging="1"/>
              <w:jc w:val="center"/>
              <w:rPr>
                <w:rFonts w:hint="eastAsia" w:asciiTheme="minorEastAsia" w:hAnsiTheme="minorEastAsia" w:eastAsiaTheme="minorEastAsia" w:cstheme="minorEastAsia"/>
                <w:snapToGrid w:val="0"/>
                <w:color w:val="auto"/>
                <w:spacing w:val="5"/>
                <w:sz w:val="23"/>
                <w:szCs w:val="23"/>
                <w:highlight w:val="none"/>
                <w:lang w:eastAsia="zh-CN"/>
              </w:rPr>
            </w:pPr>
            <w:r>
              <w:rPr>
                <w:rFonts w:hint="eastAsia" w:asciiTheme="minorEastAsia" w:hAnsiTheme="minorEastAsia" w:eastAsiaTheme="minorEastAsia" w:cstheme="minorEastAsia"/>
                <w:snapToGrid w:val="0"/>
                <w:color w:val="auto"/>
                <w:spacing w:val="5"/>
                <w:sz w:val="23"/>
                <w:szCs w:val="23"/>
                <w:highlight w:val="none"/>
                <w:lang w:val="en-US" w:eastAsia="zh-CN"/>
              </w:rPr>
              <w:t>单价（元）</w:t>
            </w:r>
          </w:p>
        </w:tc>
        <w:tc>
          <w:tcPr>
            <w:tcW w:w="517" w:type="pct"/>
            <w:vMerge w:val="restart"/>
            <w:vAlign w:val="center"/>
          </w:tcPr>
          <w:p>
            <w:pPr>
              <w:spacing w:before="42" w:line="240" w:lineRule="auto"/>
              <w:ind w:left="163" w:right="149" w:hanging="1"/>
              <w:jc w:val="center"/>
              <w:rPr>
                <w:rFonts w:hint="eastAsia" w:asciiTheme="minorEastAsia" w:hAnsiTheme="minorEastAsia" w:eastAsiaTheme="minorEastAsia" w:cstheme="minorEastAsia"/>
                <w:snapToGrid w:val="0"/>
                <w:color w:val="auto"/>
                <w:spacing w:val="5"/>
                <w:sz w:val="23"/>
                <w:szCs w:val="23"/>
                <w:highlight w:val="none"/>
                <w:lang w:val="en-US" w:eastAsia="zh-CN"/>
              </w:rPr>
            </w:pPr>
            <w:r>
              <w:rPr>
                <w:rFonts w:hint="eastAsia" w:asciiTheme="minorEastAsia" w:hAnsiTheme="minorEastAsia" w:eastAsiaTheme="minorEastAsia" w:cstheme="minorEastAsia"/>
                <w:snapToGrid w:val="0"/>
                <w:color w:val="auto"/>
                <w:spacing w:val="5"/>
                <w:sz w:val="23"/>
                <w:szCs w:val="23"/>
                <w:highlight w:val="none"/>
                <w:lang w:val="en-US" w:eastAsia="zh-CN"/>
              </w:rPr>
              <w:t>合计（元）</w:t>
            </w:r>
          </w:p>
        </w:tc>
        <w:tc>
          <w:tcPr>
            <w:tcW w:w="468" w:type="pct"/>
            <w:vMerge w:val="restart"/>
            <w:vAlign w:val="center"/>
          </w:tcPr>
          <w:p>
            <w:pPr>
              <w:spacing w:before="42" w:line="356" w:lineRule="auto"/>
              <w:ind w:left="163" w:right="149" w:hanging="1"/>
              <w:jc w:val="center"/>
              <w:rPr>
                <w:rFonts w:hint="default" w:asciiTheme="minorEastAsia" w:hAnsiTheme="minorEastAsia" w:eastAsiaTheme="minorEastAsia" w:cstheme="minorEastAsia"/>
                <w:snapToGrid w:val="0"/>
                <w:color w:val="auto"/>
                <w:spacing w:val="5"/>
                <w:sz w:val="23"/>
                <w:szCs w:val="23"/>
                <w:highlight w:val="none"/>
                <w:lang w:val="en-US" w:eastAsia="zh-CN"/>
              </w:rPr>
            </w:pPr>
            <w:r>
              <w:rPr>
                <w:rFonts w:hint="eastAsia" w:asciiTheme="minorEastAsia" w:hAnsiTheme="minorEastAsia" w:eastAsiaTheme="minorEastAsia" w:cstheme="minorEastAsia"/>
                <w:snapToGrid w:val="0"/>
                <w:color w:val="auto"/>
                <w:spacing w:val="5"/>
                <w:sz w:val="23"/>
                <w:szCs w:val="23"/>
                <w:highlight w:val="none"/>
                <w:lang w:val="en-US" w:eastAsia="zh-CN"/>
              </w:rPr>
              <w:t>品牌</w:t>
            </w:r>
          </w:p>
        </w:tc>
        <w:tc>
          <w:tcPr>
            <w:tcW w:w="454" w:type="pct"/>
            <w:vMerge w:val="restart"/>
            <w:vAlign w:val="center"/>
          </w:tcPr>
          <w:p>
            <w:pPr>
              <w:spacing w:before="42" w:line="356" w:lineRule="auto"/>
              <w:ind w:left="163" w:right="149" w:hanging="1"/>
              <w:jc w:val="center"/>
              <w:rPr>
                <w:rFonts w:hint="eastAsia" w:asciiTheme="minorEastAsia" w:hAnsiTheme="minorEastAsia" w:eastAsiaTheme="minorEastAsia" w:cstheme="minorEastAsia"/>
                <w:snapToGrid w:val="0"/>
                <w:color w:val="auto"/>
                <w:spacing w:val="5"/>
                <w:sz w:val="23"/>
                <w:szCs w:val="23"/>
                <w:highlight w:val="none"/>
                <w:lang w:val="en-US" w:eastAsia="zh-CN"/>
              </w:rPr>
            </w:pPr>
            <w:r>
              <w:rPr>
                <w:rFonts w:hint="eastAsia" w:asciiTheme="minorEastAsia" w:hAnsiTheme="minorEastAsia" w:eastAsiaTheme="minorEastAsia" w:cstheme="minorEastAsia"/>
                <w:snapToGrid w:val="0"/>
                <w:color w:val="auto"/>
                <w:spacing w:val="5"/>
                <w:sz w:val="23"/>
                <w:szCs w:val="23"/>
                <w:highlight w:val="none"/>
                <w:lang w:val="en-US" w:eastAsia="zh-CN"/>
              </w:rPr>
              <w:t>型号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jc w:val="center"/>
        </w:trPr>
        <w:tc>
          <w:tcPr>
            <w:tcW w:w="203" w:type="pct"/>
            <w:vMerge w:val="continue"/>
            <w:tcBorders>
              <w:top w:val="nil"/>
            </w:tcBorders>
            <w:textDirection w:val="tbRlV"/>
            <w:vAlign w:val="center"/>
          </w:tcPr>
          <w:p>
            <w:pPr>
              <w:jc w:val="center"/>
              <w:rPr>
                <w:rFonts w:hint="eastAsia" w:asciiTheme="minorEastAsia" w:hAnsiTheme="minorEastAsia" w:eastAsiaTheme="minorEastAsia" w:cstheme="minorEastAsia"/>
                <w:snapToGrid w:val="0"/>
                <w:color w:val="auto"/>
                <w:szCs w:val="21"/>
                <w:highlight w:val="none"/>
              </w:rPr>
            </w:pPr>
          </w:p>
        </w:tc>
        <w:tc>
          <w:tcPr>
            <w:tcW w:w="532" w:type="pct"/>
            <w:vMerge w:val="continue"/>
            <w:tcBorders>
              <w:top w:val="nil"/>
            </w:tcBorders>
            <w:vAlign w:val="center"/>
          </w:tcPr>
          <w:p>
            <w:pPr>
              <w:spacing w:before="42" w:line="356" w:lineRule="auto"/>
              <w:ind w:left="163" w:right="149" w:hanging="1"/>
              <w:jc w:val="center"/>
              <w:rPr>
                <w:rFonts w:hint="eastAsia" w:asciiTheme="minorEastAsia" w:hAnsiTheme="minorEastAsia" w:eastAsiaTheme="minorEastAsia" w:cstheme="minorEastAsia"/>
                <w:snapToGrid w:val="0"/>
                <w:color w:val="auto"/>
                <w:spacing w:val="5"/>
                <w:sz w:val="23"/>
                <w:szCs w:val="23"/>
                <w:highlight w:val="none"/>
              </w:rPr>
            </w:pPr>
          </w:p>
        </w:tc>
        <w:tc>
          <w:tcPr>
            <w:tcW w:w="434" w:type="pct"/>
            <w:vAlign w:val="center"/>
          </w:tcPr>
          <w:p>
            <w:pPr>
              <w:spacing w:before="42" w:line="240" w:lineRule="auto"/>
              <w:ind w:left="163" w:right="149" w:hanging="1"/>
              <w:jc w:val="center"/>
              <w:rPr>
                <w:rFonts w:hint="eastAsia" w:asciiTheme="minorEastAsia" w:hAnsiTheme="minorEastAsia" w:eastAsiaTheme="minorEastAsia" w:cstheme="minorEastAsia"/>
                <w:snapToGrid w:val="0"/>
                <w:color w:val="auto"/>
                <w:spacing w:val="5"/>
                <w:sz w:val="23"/>
                <w:szCs w:val="23"/>
                <w:highlight w:val="none"/>
              </w:rPr>
            </w:pPr>
            <w:r>
              <w:rPr>
                <w:rFonts w:hint="eastAsia" w:asciiTheme="minorEastAsia" w:hAnsiTheme="minorEastAsia" w:eastAsiaTheme="minorEastAsia" w:cstheme="minorEastAsia"/>
                <w:snapToGrid w:val="0"/>
                <w:color w:val="auto"/>
                <w:spacing w:val="5"/>
                <w:sz w:val="23"/>
                <w:szCs w:val="23"/>
                <w:highlight w:val="none"/>
              </w:rPr>
              <w:t>行政村</w:t>
            </w:r>
          </w:p>
        </w:tc>
        <w:tc>
          <w:tcPr>
            <w:tcW w:w="914" w:type="pct"/>
            <w:vAlign w:val="center"/>
          </w:tcPr>
          <w:p>
            <w:pPr>
              <w:pStyle w:val="52"/>
              <w:spacing w:line="240" w:lineRule="auto"/>
              <w:rPr>
                <w:rFonts w:hint="eastAsia" w:asciiTheme="minorEastAsia" w:hAnsiTheme="minorEastAsia" w:eastAsiaTheme="minorEastAsia" w:cstheme="minorEastAsia"/>
                <w:snapToGrid/>
                <w:color w:val="auto"/>
                <w:sz w:val="21"/>
                <w:szCs w:val="21"/>
                <w:highlight w:val="none"/>
              </w:rPr>
            </w:pPr>
            <w:r>
              <w:rPr>
                <w:rFonts w:hint="eastAsia" w:asciiTheme="minorEastAsia" w:hAnsiTheme="minorEastAsia" w:eastAsiaTheme="minorEastAsia" w:cstheme="minorEastAsia"/>
                <w:snapToGrid/>
                <w:color w:val="auto"/>
                <w:sz w:val="21"/>
                <w:szCs w:val="21"/>
                <w:highlight w:val="none"/>
              </w:rPr>
              <w:t>设施</w:t>
            </w:r>
          </w:p>
        </w:tc>
        <w:tc>
          <w:tcPr>
            <w:tcW w:w="476" w:type="pct"/>
            <w:vMerge w:val="continue"/>
            <w:tcBorders>
              <w:top w:val="nil"/>
            </w:tcBorders>
            <w:vAlign w:val="center"/>
          </w:tcPr>
          <w:p>
            <w:pPr>
              <w:jc w:val="center"/>
              <w:rPr>
                <w:rFonts w:hint="eastAsia" w:asciiTheme="minorEastAsia" w:hAnsiTheme="minorEastAsia" w:eastAsiaTheme="minorEastAsia" w:cstheme="minorEastAsia"/>
                <w:snapToGrid w:val="0"/>
                <w:color w:val="auto"/>
                <w:szCs w:val="21"/>
                <w:highlight w:val="none"/>
              </w:rPr>
            </w:pPr>
          </w:p>
        </w:tc>
        <w:tc>
          <w:tcPr>
            <w:tcW w:w="449" w:type="pct"/>
            <w:vMerge w:val="continue"/>
          </w:tcPr>
          <w:p>
            <w:pPr>
              <w:jc w:val="center"/>
              <w:rPr>
                <w:rFonts w:hint="eastAsia" w:asciiTheme="minorEastAsia" w:hAnsiTheme="minorEastAsia" w:eastAsiaTheme="minorEastAsia" w:cstheme="minorEastAsia"/>
                <w:snapToGrid w:val="0"/>
                <w:color w:val="auto"/>
                <w:szCs w:val="21"/>
                <w:highlight w:val="none"/>
              </w:rPr>
            </w:pPr>
          </w:p>
        </w:tc>
        <w:tc>
          <w:tcPr>
            <w:tcW w:w="547" w:type="pct"/>
            <w:vMerge w:val="continue"/>
          </w:tcPr>
          <w:p>
            <w:pPr>
              <w:jc w:val="center"/>
              <w:rPr>
                <w:rFonts w:hint="eastAsia" w:asciiTheme="minorEastAsia" w:hAnsiTheme="minorEastAsia" w:eastAsiaTheme="minorEastAsia" w:cstheme="minorEastAsia"/>
                <w:snapToGrid w:val="0"/>
                <w:color w:val="auto"/>
                <w:szCs w:val="21"/>
                <w:highlight w:val="none"/>
              </w:rPr>
            </w:pPr>
          </w:p>
        </w:tc>
        <w:tc>
          <w:tcPr>
            <w:tcW w:w="517" w:type="pct"/>
            <w:vMerge w:val="continue"/>
          </w:tcPr>
          <w:p>
            <w:pPr>
              <w:jc w:val="center"/>
              <w:rPr>
                <w:rFonts w:hint="eastAsia" w:asciiTheme="minorEastAsia" w:hAnsiTheme="minorEastAsia" w:eastAsiaTheme="minorEastAsia" w:cstheme="minorEastAsia"/>
                <w:snapToGrid w:val="0"/>
                <w:color w:val="auto"/>
                <w:szCs w:val="21"/>
                <w:highlight w:val="none"/>
              </w:rPr>
            </w:pPr>
          </w:p>
        </w:tc>
        <w:tc>
          <w:tcPr>
            <w:tcW w:w="468" w:type="pct"/>
            <w:vMerge w:val="continue"/>
          </w:tcPr>
          <w:p>
            <w:pPr>
              <w:jc w:val="center"/>
              <w:rPr>
                <w:rFonts w:hint="eastAsia" w:asciiTheme="minorEastAsia" w:hAnsiTheme="minorEastAsia" w:eastAsiaTheme="minorEastAsia" w:cstheme="minorEastAsia"/>
                <w:snapToGrid w:val="0"/>
                <w:color w:val="auto"/>
                <w:szCs w:val="21"/>
                <w:highlight w:val="none"/>
              </w:rPr>
            </w:pPr>
          </w:p>
        </w:tc>
        <w:tc>
          <w:tcPr>
            <w:tcW w:w="454" w:type="pct"/>
            <w:vMerge w:val="continue"/>
          </w:tcPr>
          <w:p>
            <w:pPr>
              <w:jc w:val="center"/>
              <w:rPr>
                <w:rFonts w:hint="eastAsia" w:asciiTheme="minorEastAsia" w:hAnsiTheme="minorEastAsia" w:eastAsiaTheme="minorEastAsia" w:cstheme="minorEastAsia"/>
                <w:snapToGrid w:val="0"/>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203" w:type="pct"/>
            <w:vAlign w:val="center"/>
          </w:tcPr>
          <w:p>
            <w:pPr>
              <w:pStyle w:val="52"/>
              <w:jc w:val="center"/>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1</w:t>
            </w:r>
          </w:p>
        </w:tc>
        <w:tc>
          <w:tcPr>
            <w:tcW w:w="532"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仙华街道</w:t>
            </w:r>
          </w:p>
        </w:tc>
        <w:tc>
          <w:tcPr>
            <w:tcW w:w="43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冯村</w:t>
            </w:r>
          </w:p>
        </w:tc>
        <w:tc>
          <w:tcPr>
            <w:tcW w:w="91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lang w:eastAsia="zh-CN"/>
              </w:rPr>
            </w:pPr>
            <w:r>
              <w:rPr>
                <w:rFonts w:hint="eastAsia" w:ascii="宋体" w:hAnsi="宋体" w:eastAsia="宋体" w:cs="宋体"/>
                <w:snapToGrid w:val="0"/>
                <w:color w:val="auto"/>
                <w:sz w:val="21"/>
                <w:szCs w:val="21"/>
              </w:rPr>
              <w:t>上叶北终端</w:t>
            </w:r>
          </w:p>
        </w:tc>
        <w:tc>
          <w:tcPr>
            <w:tcW w:w="476"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30</w:t>
            </w:r>
          </w:p>
        </w:tc>
        <w:tc>
          <w:tcPr>
            <w:tcW w:w="449" w:type="pct"/>
            <w:vAlign w:val="center"/>
          </w:tcPr>
          <w:p>
            <w:pPr>
              <w:pStyle w:val="52"/>
              <w:spacing w:beforeLines="0" w:afterLines="0"/>
              <w:ind w:firstLine="0" w:firstLineChars="0"/>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1"/>
                <w:szCs w:val="21"/>
              </w:rPr>
              <w:t>1套</w:t>
            </w:r>
          </w:p>
        </w:tc>
        <w:tc>
          <w:tcPr>
            <w:tcW w:w="547" w:type="pct"/>
          </w:tcPr>
          <w:p>
            <w:pPr>
              <w:pStyle w:val="52"/>
              <w:rPr>
                <w:rFonts w:hint="eastAsia" w:ascii="宋体" w:hAnsi="宋体" w:eastAsia="宋体" w:cs="宋体"/>
                <w:snapToGrid w:val="0"/>
                <w:color w:val="auto"/>
                <w:sz w:val="24"/>
                <w:szCs w:val="24"/>
                <w:highlight w:val="none"/>
              </w:rPr>
            </w:pPr>
          </w:p>
        </w:tc>
        <w:tc>
          <w:tcPr>
            <w:tcW w:w="517" w:type="pct"/>
          </w:tcPr>
          <w:p>
            <w:pPr>
              <w:pStyle w:val="52"/>
              <w:rPr>
                <w:rFonts w:hint="eastAsia" w:ascii="宋体" w:hAnsi="宋体" w:eastAsia="宋体" w:cs="宋体"/>
                <w:snapToGrid w:val="0"/>
                <w:color w:val="auto"/>
                <w:sz w:val="24"/>
                <w:szCs w:val="24"/>
                <w:highlight w:val="none"/>
              </w:rPr>
            </w:pPr>
          </w:p>
        </w:tc>
        <w:tc>
          <w:tcPr>
            <w:tcW w:w="468" w:type="pct"/>
          </w:tcPr>
          <w:p>
            <w:pPr>
              <w:pStyle w:val="52"/>
              <w:rPr>
                <w:rFonts w:hint="eastAsia" w:ascii="宋体" w:hAnsi="宋体" w:eastAsia="宋体" w:cs="宋体"/>
                <w:snapToGrid w:val="0"/>
                <w:color w:val="auto"/>
                <w:sz w:val="24"/>
                <w:szCs w:val="24"/>
                <w:highlight w:val="none"/>
              </w:rPr>
            </w:pPr>
          </w:p>
        </w:tc>
        <w:tc>
          <w:tcPr>
            <w:tcW w:w="454" w:type="pct"/>
          </w:tcPr>
          <w:p>
            <w:pPr>
              <w:pStyle w:val="52"/>
              <w:rPr>
                <w:rFonts w:hint="eastAsia" w:ascii="宋体" w:hAnsi="宋体" w:eastAsia="宋体" w:cs="宋体"/>
                <w:snapToGrid w:val="0"/>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203" w:type="pct"/>
            <w:vAlign w:val="center"/>
          </w:tcPr>
          <w:p>
            <w:pPr>
              <w:pStyle w:val="52"/>
              <w:jc w:val="center"/>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2</w:t>
            </w:r>
          </w:p>
        </w:tc>
        <w:tc>
          <w:tcPr>
            <w:tcW w:w="532"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仙华街道</w:t>
            </w:r>
          </w:p>
        </w:tc>
        <w:tc>
          <w:tcPr>
            <w:tcW w:w="43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冯村</w:t>
            </w:r>
          </w:p>
        </w:tc>
        <w:tc>
          <w:tcPr>
            <w:tcW w:w="91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lang w:eastAsia="zh-CN"/>
              </w:rPr>
            </w:pPr>
            <w:r>
              <w:rPr>
                <w:rFonts w:hint="eastAsia" w:ascii="宋体" w:hAnsi="宋体" w:eastAsia="宋体" w:cs="宋体"/>
                <w:snapToGrid w:val="0"/>
                <w:color w:val="auto"/>
                <w:sz w:val="21"/>
                <w:szCs w:val="21"/>
              </w:rPr>
              <w:t>冯村上叶南终端</w:t>
            </w:r>
          </w:p>
        </w:tc>
        <w:tc>
          <w:tcPr>
            <w:tcW w:w="476"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30</w:t>
            </w:r>
          </w:p>
        </w:tc>
        <w:tc>
          <w:tcPr>
            <w:tcW w:w="449" w:type="pct"/>
            <w:vAlign w:val="center"/>
          </w:tcPr>
          <w:p>
            <w:pPr>
              <w:pStyle w:val="52"/>
              <w:spacing w:beforeLines="0" w:afterLines="0"/>
              <w:ind w:firstLine="0" w:firstLineChars="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1"/>
                <w:szCs w:val="21"/>
              </w:rPr>
              <w:t>1套</w:t>
            </w:r>
          </w:p>
        </w:tc>
        <w:tc>
          <w:tcPr>
            <w:tcW w:w="547" w:type="pct"/>
          </w:tcPr>
          <w:p>
            <w:pPr>
              <w:pStyle w:val="52"/>
              <w:rPr>
                <w:rFonts w:hint="eastAsia" w:ascii="宋体" w:hAnsi="宋体" w:eastAsia="宋体" w:cs="宋体"/>
                <w:snapToGrid w:val="0"/>
                <w:color w:val="auto"/>
                <w:sz w:val="24"/>
                <w:szCs w:val="24"/>
                <w:highlight w:val="none"/>
              </w:rPr>
            </w:pPr>
          </w:p>
        </w:tc>
        <w:tc>
          <w:tcPr>
            <w:tcW w:w="517" w:type="pct"/>
          </w:tcPr>
          <w:p>
            <w:pPr>
              <w:pStyle w:val="52"/>
              <w:rPr>
                <w:rFonts w:hint="eastAsia" w:ascii="宋体" w:hAnsi="宋体" w:eastAsia="宋体" w:cs="宋体"/>
                <w:snapToGrid w:val="0"/>
                <w:color w:val="auto"/>
                <w:sz w:val="24"/>
                <w:szCs w:val="24"/>
                <w:highlight w:val="none"/>
              </w:rPr>
            </w:pPr>
          </w:p>
        </w:tc>
        <w:tc>
          <w:tcPr>
            <w:tcW w:w="468" w:type="pct"/>
          </w:tcPr>
          <w:p>
            <w:pPr>
              <w:pStyle w:val="52"/>
              <w:rPr>
                <w:rFonts w:hint="eastAsia" w:ascii="宋体" w:hAnsi="宋体" w:eastAsia="宋体" w:cs="宋体"/>
                <w:snapToGrid w:val="0"/>
                <w:color w:val="auto"/>
                <w:sz w:val="24"/>
                <w:szCs w:val="24"/>
                <w:highlight w:val="none"/>
              </w:rPr>
            </w:pPr>
          </w:p>
        </w:tc>
        <w:tc>
          <w:tcPr>
            <w:tcW w:w="454" w:type="pct"/>
          </w:tcPr>
          <w:p>
            <w:pPr>
              <w:pStyle w:val="52"/>
              <w:rPr>
                <w:rFonts w:hint="eastAsia" w:ascii="宋体" w:hAnsi="宋体" w:eastAsia="宋体" w:cs="宋体"/>
                <w:snapToGrid w:val="0"/>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203" w:type="pct"/>
            <w:vAlign w:val="center"/>
          </w:tcPr>
          <w:p>
            <w:pPr>
              <w:pStyle w:val="52"/>
              <w:jc w:val="center"/>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3</w:t>
            </w:r>
          </w:p>
        </w:tc>
        <w:tc>
          <w:tcPr>
            <w:tcW w:w="532"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仙华街道</w:t>
            </w:r>
          </w:p>
        </w:tc>
        <w:tc>
          <w:tcPr>
            <w:tcW w:w="43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冯村</w:t>
            </w:r>
          </w:p>
        </w:tc>
        <w:tc>
          <w:tcPr>
            <w:tcW w:w="91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lang w:eastAsia="zh-CN"/>
              </w:rPr>
            </w:pPr>
            <w:r>
              <w:rPr>
                <w:rFonts w:hint="eastAsia" w:ascii="宋体" w:hAnsi="宋体" w:eastAsia="宋体" w:cs="宋体"/>
                <w:snapToGrid w:val="0"/>
                <w:color w:val="auto"/>
                <w:sz w:val="21"/>
                <w:szCs w:val="21"/>
              </w:rPr>
              <w:t>冯村终端</w:t>
            </w:r>
          </w:p>
        </w:tc>
        <w:tc>
          <w:tcPr>
            <w:tcW w:w="476"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120</w:t>
            </w:r>
          </w:p>
        </w:tc>
        <w:tc>
          <w:tcPr>
            <w:tcW w:w="449" w:type="pct"/>
            <w:vAlign w:val="center"/>
          </w:tcPr>
          <w:p>
            <w:pPr>
              <w:pStyle w:val="52"/>
              <w:spacing w:beforeLines="0" w:afterLines="0"/>
              <w:ind w:firstLine="0" w:firstLineChars="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1"/>
                <w:szCs w:val="21"/>
              </w:rPr>
              <w:t>2套60t/d</w:t>
            </w:r>
          </w:p>
        </w:tc>
        <w:tc>
          <w:tcPr>
            <w:tcW w:w="547" w:type="pct"/>
          </w:tcPr>
          <w:p>
            <w:pPr>
              <w:pStyle w:val="52"/>
              <w:rPr>
                <w:rFonts w:hint="eastAsia" w:ascii="宋体" w:hAnsi="宋体" w:eastAsia="宋体" w:cs="宋体"/>
                <w:snapToGrid w:val="0"/>
                <w:color w:val="auto"/>
                <w:sz w:val="24"/>
                <w:szCs w:val="24"/>
                <w:highlight w:val="none"/>
              </w:rPr>
            </w:pPr>
          </w:p>
        </w:tc>
        <w:tc>
          <w:tcPr>
            <w:tcW w:w="517" w:type="pct"/>
          </w:tcPr>
          <w:p>
            <w:pPr>
              <w:pStyle w:val="52"/>
              <w:rPr>
                <w:rFonts w:hint="eastAsia" w:ascii="宋体" w:hAnsi="宋体" w:eastAsia="宋体" w:cs="宋体"/>
                <w:snapToGrid w:val="0"/>
                <w:color w:val="auto"/>
                <w:sz w:val="24"/>
                <w:szCs w:val="24"/>
                <w:highlight w:val="none"/>
              </w:rPr>
            </w:pPr>
          </w:p>
        </w:tc>
        <w:tc>
          <w:tcPr>
            <w:tcW w:w="468" w:type="pct"/>
          </w:tcPr>
          <w:p>
            <w:pPr>
              <w:pStyle w:val="52"/>
              <w:rPr>
                <w:rFonts w:hint="eastAsia" w:ascii="宋体" w:hAnsi="宋体" w:eastAsia="宋体" w:cs="宋体"/>
                <w:snapToGrid w:val="0"/>
                <w:color w:val="auto"/>
                <w:sz w:val="24"/>
                <w:szCs w:val="24"/>
                <w:highlight w:val="none"/>
              </w:rPr>
            </w:pPr>
          </w:p>
        </w:tc>
        <w:tc>
          <w:tcPr>
            <w:tcW w:w="454" w:type="pct"/>
          </w:tcPr>
          <w:p>
            <w:pPr>
              <w:pStyle w:val="52"/>
              <w:rPr>
                <w:rFonts w:hint="eastAsia" w:ascii="宋体" w:hAnsi="宋体" w:eastAsia="宋体" w:cs="宋体"/>
                <w:snapToGrid w:val="0"/>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203" w:type="pct"/>
            <w:vAlign w:val="center"/>
          </w:tcPr>
          <w:p>
            <w:pPr>
              <w:pStyle w:val="52"/>
              <w:jc w:val="center"/>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4</w:t>
            </w:r>
          </w:p>
        </w:tc>
        <w:tc>
          <w:tcPr>
            <w:tcW w:w="532"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仙华街道</w:t>
            </w:r>
          </w:p>
        </w:tc>
        <w:tc>
          <w:tcPr>
            <w:tcW w:w="43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冯村</w:t>
            </w:r>
          </w:p>
        </w:tc>
        <w:tc>
          <w:tcPr>
            <w:tcW w:w="91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lang w:eastAsia="zh-CN"/>
              </w:rPr>
            </w:pPr>
            <w:r>
              <w:rPr>
                <w:rFonts w:hint="eastAsia" w:ascii="宋体" w:hAnsi="宋体" w:eastAsia="宋体" w:cs="宋体"/>
                <w:snapToGrid w:val="0"/>
                <w:color w:val="auto"/>
                <w:sz w:val="21"/>
                <w:szCs w:val="21"/>
              </w:rPr>
              <w:t>方门村终端</w:t>
            </w:r>
          </w:p>
        </w:tc>
        <w:tc>
          <w:tcPr>
            <w:tcW w:w="476"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50</w:t>
            </w:r>
          </w:p>
        </w:tc>
        <w:tc>
          <w:tcPr>
            <w:tcW w:w="449" w:type="pct"/>
            <w:vAlign w:val="center"/>
          </w:tcPr>
          <w:p>
            <w:pPr>
              <w:pStyle w:val="52"/>
              <w:spacing w:beforeLines="0" w:afterLines="0"/>
              <w:ind w:firstLine="0" w:firstLineChars="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1"/>
                <w:szCs w:val="21"/>
              </w:rPr>
              <w:t>1套</w:t>
            </w:r>
          </w:p>
        </w:tc>
        <w:tc>
          <w:tcPr>
            <w:tcW w:w="547" w:type="pct"/>
          </w:tcPr>
          <w:p>
            <w:pPr>
              <w:pStyle w:val="52"/>
              <w:rPr>
                <w:rFonts w:hint="eastAsia" w:ascii="宋体" w:hAnsi="宋体" w:eastAsia="宋体" w:cs="宋体"/>
                <w:snapToGrid w:val="0"/>
                <w:color w:val="auto"/>
                <w:sz w:val="24"/>
                <w:szCs w:val="24"/>
                <w:highlight w:val="none"/>
              </w:rPr>
            </w:pPr>
          </w:p>
        </w:tc>
        <w:tc>
          <w:tcPr>
            <w:tcW w:w="517" w:type="pct"/>
          </w:tcPr>
          <w:p>
            <w:pPr>
              <w:pStyle w:val="52"/>
              <w:rPr>
                <w:rFonts w:hint="eastAsia" w:ascii="宋体" w:hAnsi="宋体" w:eastAsia="宋体" w:cs="宋体"/>
                <w:snapToGrid w:val="0"/>
                <w:color w:val="auto"/>
                <w:sz w:val="24"/>
                <w:szCs w:val="24"/>
                <w:highlight w:val="none"/>
              </w:rPr>
            </w:pPr>
          </w:p>
        </w:tc>
        <w:tc>
          <w:tcPr>
            <w:tcW w:w="468" w:type="pct"/>
          </w:tcPr>
          <w:p>
            <w:pPr>
              <w:pStyle w:val="52"/>
              <w:rPr>
                <w:rFonts w:hint="eastAsia" w:ascii="宋体" w:hAnsi="宋体" w:eastAsia="宋体" w:cs="宋体"/>
                <w:snapToGrid w:val="0"/>
                <w:color w:val="auto"/>
                <w:sz w:val="24"/>
                <w:szCs w:val="24"/>
                <w:highlight w:val="none"/>
              </w:rPr>
            </w:pPr>
          </w:p>
        </w:tc>
        <w:tc>
          <w:tcPr>
            <w:tcW w:w="454" w:type="pct"/>
          </w:tcPr>
          <w:p>
            <w:pPr>
              <w:pStyle w:val="52"/>
              <w:rPr>
                <w:rFonts w:hint="eastAsia" w:ascii="宋体" w:hAnsi="宋体" w:eastAsia="宋体" w:cs="宋体"/>
                <w:snapToGrid w:val="0"/>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203" w:type="pct"/>
            <w:vAlign w:val="center"/>
          </w:tcPr>
          <w:p>
            <w:pPr>
              <w:pStyle w:val="52"/>
              <w:jc w:val="center"/>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5</w:t>
            </w:r>
          </w:p>
        </w:tc>
        <w:tc>
          <w:tcPr>
            <w:tcW w:w="532"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仙华街道</w:t>
            </w:r>
          </w:p>
        </w:tc>
        <w:tc>
          <w:tcPr>
            <w:tcW w:w="43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冯村</w:t>
            </w:r>
          </w:p>
        </w:tc>
        <w:tc>
          <w:tcPr>
            <w:tcW w:w="91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lang w:eastAsia="zh-CN"/>
              </w:rPr>
            </w:pPr>
            <w:r>
              <w:rPr>
                <w:rFonts w:hint="eastAsia" w:ascii="宋体" w:hAnsi="宋体" w:eastAsia="宋体" w:cs="宋体"/>
                <w:snapToGrid w:val="0"/>
                <w:color w:val="auto"/>
                <w:sz w:val="21"/>
                <w:szCs w:val="21"/>
              </w:rPr>
              <w:t>岳塘下张村终端</w:t>
            </w:r>
          </w:p>
        </w:tc>
        <w:tc>
          <w:tcPr>
            <w:tcW w:w="476"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80</w:t>
            </w:r>
          </w:p>
        </w:tc>
        <w:tc>
          <w:tcPr>
            <w:tcW w:w="449" w:type="pct"/>
            <w:vAlign w:val="center"/>
          </w:tcPr>
          <w:p>
            <w:pPr>
              <w:pStyle w:val="52"/>
              <w:spacing w:beforeLines="0" w:afterLines="0"/>
              <w:ind w:firstLine="0" w:firstLineChars="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1"/>
                <w:szCs w:val="21"/>
              </w:rPr>
              <w:t>1套</w:t>
            </w:r>
          </w:p>
        </w:tc>
        <w:tc>
          <w:tcPr>
            <w:tcW w:w="547" w:type="pct"/>
          </w:tcPr>
          <w:p>
            <w:pPr>
              <w:pStyle w:val="52"/>
              <w:rPr>
                <w:rFonts w:hint="eastAsia" w:ascii="宋体" w:hAnsi="宋体" w:eastAsia="宋体" w:cs="宋体"/>
                <w:snapToGrid w:val="0"/>
                <w:color w:val="auto"/>
                <w:sz w:val="24"/>
                <w:szCs w:val="24"/>
                <w:highlight w:val="none"/>
              </w:rPr>
            </w:pPr>
          </w:p>
        </w:tc>
        <w:tc>
          <w:tcPr>
            <w:tcW w:w="517" w:type="pct"/>
          </w:tcPr>
          <w:p>
            <w:pPr>
              <w:pStyle w:val="52"/>
              <w:rPr>
                <w:rFonts w:hint="eastAsia" w:ascii="宋体" w:hAnsi="宋体" w:eastAsia="宋体" w:cs="宋体"/>
                <w:snapToGrid w:val="0"/>
                <w:color w:val="auto"/>
                <w:sz w:val="24"/>
                <w:szCs w:val="24"/>
                <w:highlight w:val="none"/>
              </w:rPr>
            </w:pPr>
          </w:p>
        </w:tc>
        <w:tc>
          <w:tcPr>
            <w:tcW w:w="468" w:type="pct"/>
          </w:tcPr>
          <w:p>
            <w:pPr>
              <w:pStyle w:val="52"/>
              <w:rPr>
                <w:rFonts w:hint="eastAsia" w:ascii="宋体" w:hAnsi="宋体" w:eastAsia="宋体" w:cs="宋体"/>
                <w:snapToGrid w:val="0"/>
                <w:color w:val="auto"/>
                <w:sz w:val="24"/>
                <w:szCs w:val="24"/>
                <w:highlight w:val="none"/>
              </w:rPr>
            </w:pPr>
          </w:p>
        </w:tc>
        <w:tc>
          <w:tcPr>
            <w:tcW w:w="454" w:type="pct"/>
          </w:tcPr>
          <w:p>
            <w:pPr>
              <w:pStyle w:val="52"/>
              <w:rPr>
                <w:rFonts w:hint="eastAsia" w:ascii="宋体" w:hAnsi="宋体" w:eastAsia="宋体" w:cs="宋体"/>
                <w:snapToGrid w:val="0"/>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203" w:type="pct"/>
            <w:vAlign w:val="center"/>
          </w:tcPr>
          <w:p>
            <w:pPr>
              <w:pStyle w:val="52"/>
              <w:jc w:val="center"/>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6</w:t>
            </w:r>
          </w:p>
        </w:tc>
        <w:tc>
          <w:tcPr>
            <w:tcW w:w="532"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仙华街道</w:t>
            </w:r>
          </w:p>
        </w:tc>
        <w:tc>
          <w:tcPr>
            <w:tcW w:w="43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道光村</w:t>
            </w:r>
          </w:p>
        </w:tc>
        <w:tc>
          <w:tcPr>
            <w:tcW w:w="91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lang w:eastAsia="zh-CN"/>
              </w:rPr>
            </w:pPr>
            <w:r>
              <w:rPr>
                <w:rFonts w:hint="eastAsia" w:ascii="宋体" w:hAnsi="宋体" w:eastAsia="宋体" w:cs="宋体"/>
                <w:snapToGrid w:val="0"/>
                <w:color w:val="auto"/>
                <w:sz w:val="21"/>
                <w:szCs w:val="21"/>
              </w:rPr>
              <w:t>毛竹沿村终端</w:t>
            </w:r>
          </w:p>
        </w:tc>
        <w:tc>
          <w:tcPr>
            <w:tcW w:w="476"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80</w:t>
            </w:r>
          </w:p>
        </w:tc>
        <w:tc>
          <w:tcPr>
            <w:tcW w:w="449" w:type="pct"/>
            <w:vAlign w:val="center"/>
          </w:tcPr>
          <w:p>
            <w:pPr>
              <w:pStyle w:val="52"/>
              <w:spacing w:beforeLines="0" w:afterLines="0"/>
              <w:ind w:firstLine="0" w:firstLineChars="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1"/>
                <w:szCs w:val="21"/>
              </w:rPr>
              <w:t>1套</w:t>
            </w:r>
          </w:p>
        </w:tc>
        <w:tc>
          <w:tcPr>
            <w:tcW w:w="547" w:type="pct"/>
          </w:tcPr>
          <w:p>
            <w:pPr>
              <w:pStyle w:val="52"/>
              <w:rPr>
                <w:rFonts w:hint="eastAsia" w:ascii="宋体" w:hAnsi="宋体" w:eastAsia="宋体" w:cs="宋体"/>
                <w:snapToGrid w:val="0"/>
                <w:color w:val="auto"/>
                <w:sz w:val="24"/>
                <w:szCs w:val="24"/>
                <w:highlight w:val="none"/>
              </w:rPr>
            </w:pPr>
          </w:p>
        </w:tc>
        <w:tc>
          <w:tcPr>
            <w:tcW w:w="517" w:type="pct"/>
          </w:tcPr>
          <w:p>
            <w:pPr>
              <w:pStyle w:val="52"/>
              <w:rPr>
                <w:rFonts w:hint="eastAsia" w:ascii="宋体" w:hAnsi="宋体" w:eastAsia="宋体" w:cs="宋体"/>
                <w:snapToGrid w:val="0"/>
                <w:color w:val="auto"/>
                <w:sz w:val="24"/>
                <w:szCs w:val="24"/>
                <w:highlight w:val="none"/>
              </w:rPr>
            </w:pPr>
          </w:p>
        </w:tc>
        <w:tc>
          <w:tcPr>
            <w:tcW w:w="468" w:type="pct"/>
          </w:tcPr>
          <w:p>
            <w:pPr>
              <w:pStyle w:val="52"/>
              <w:rPr>
                <w:rFonts w:hint="eastAsia" w:ascii="宋体" w:hAnsi="宋体" w:eastAsia="宋体" w:cs="宋体"/>
                <w:snapToGrid w:val="0"/>
                <w:color w:val="auto"/>
                <w:sz w:val="24"/>
                <w:szCs w:val="24"/>
                <w:highlight w:val="none"/>
              </w:rPr>
            </w:pPr>
          </w:p>
        </w:tc>
        <w:tc>
          <w:tcPr>
            <w:tcW w:w="454" w:type="pct"/>
          </w:tcPr>
          <w:p>
            <w:pPr>
              <w:pStyle w:val="52"/>
              <w:rPr>
                <w:rFonts w:hint="eastAsia" w:ascii="宋体" w:hAnsi="宋体" w:eastAsia="宋体" w:cs="宋体"/>
                <w:snapToGrid w:val="0"/>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203" w:type="pct"/>
            <w:vAlign w:val="center"/>
          </w:tcPr>
          <w:p>
            <w:pPr>
              <w:pStyle w:val="52"/>
              <w:jc w:val="center"/>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7</w:t>
            </w:r>
          </w:p>
        </w:tc>
        <w:tc>
          <w:tcPr>
            <w:tcW w:w="532"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郑家坞镇</w:t>
            </w:r>
          </w:p>
        </w:tc>
        <w:tc>
          <w:tcPr>
            <w:tcW w:w="43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朱路村</w:t>
            </w:r>
          </w:p>
        </w:tc>
        <w:tc>
          <w:tcPr>
            <w:tcW w:w="91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lang w:eastAsia="zh-CN"/>
              </w:rPr>
            </w:pPr>
            <w:r>
              <w:rPr>
                <w:rFonts w:hint="eastAsia" w:ascii="宋体" w:hAnsi="宋体" w:eastAsia="宋体" w:cs="宋体"/>
                <w:snapToGrid w:val="0"/>
                <w:color w:val="auto"/>
                <w:sz w:val="21"/>
                <w:szCs w:val="21"/>
              </w:rPr>
              <w:t>朱路村上朱路终端</w:t>
            </w:r>
          </w:p>
        </w:tc>
        <w:tc>
          <w:tcPr>
            <w:tcW w:w="476"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40</w:t>
            </w:r>
          </w:p>
        </w:tc>
        <w:tc>
          <w:tcPr>
            <w:tcW w:w="449" w:type="pct"/>
            <w:vAlign w:val="center"/>
          </w:tcPr>
          <w:p>
            <w:pPr>
              <w:pStyle w:val="52"/>
              <w:spacing w:beforeLines="0" w:afterLines="0"/>
              <w:ind w:firstLine="0" w:firstLineChars="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1"/>
                <w:szCs w:val="21"/>
              </w:rPr>
              <w:t>1套</w:t>
            </w:r>
          </w:p>
        </w:tc>
        <w:tc>
          <w:tcPr>
            <w:tcW w:w="547" w:type="pct"/>
          </w:tcPr>
          <w:p>
            <w:pPr>
              <w:pStyle w:val="52"/>
              <w:rPr>
                <w:rFonts w:hint="eastAsia" w:ascii="宋体" w:hAnsi="宋体" w:eastAsia="宋体" w:cs="宋体"/>
                <w:snapToGrid w:val="0"/>
                <w:color w:val="auto"/>
                <w:sz w:val="24"/>
                <w:szCs w:val="24"/>
                <w:highlight w:val="none"/>
              </w:rPr>
            </w:pPr>
          </w:p>
        </w:tc>
        <w:tc>
          <w:tcPr>
            <w:tcW w:w="517" w:type="pct"/>
          </w:tcPr>
          <w:p>
            <w:pPr>
              <w:pStyle w:val="52"/>
              <w:rPr>
                <w:rFonts w:hint="eastAsia" w:ascii="宋体" w:hAnsi="宋体" w:eastAsia="宋体" w:cs="宋体"/>
                <w:snapToGrid w:val="0"/>
                <w:color w:val="auto"/>
                <w:sz w:val="24"/>
                <w:szCs w:val="24"/>
                <w:highlight w:val="none"/>
              </w:rPr>
            </w:pPr>
          </w:p>
        </w:tc>
        <w:tc>
          <w:tcPr>
            <w:tcW w:w="468" w:type="pct"/>
          </w:tcPr>
          <w:p>
            <w:pPr>
              <w:pStyle w:val="52"/>
              <w:rPr>
                <w:rFonts w:hint="eastAsia" w:ascii="宋体" w:hAnsi="宋体" w:eastAsia="宋体" w:cs="宋体"/>
                <w:snapToGrid w:val="0"/>
                <w:color w:val="auto"/>
                <w:sz w:val="24"/>
                <w:szCs w:val="24"/>
                <w:highlight w:val="none"/>
              </w:rPr>
            </w:pPr>
          </w:p>
        </w:tc>
        <w:tc>
          <w:tcPr>
            <w:tcW w:w="454" w:type="pct"/>
          </w:tcPr>
          <w:p>
            <w:pPr>
              <w:pStyle w:val="52"/>
              <w:rPr>
                <w:rFonts w:hint="eastAsia" w:ascii="宋体" w:hAnsi="宋体" w:eastAsia="宋体" w:cs="宋体"/>
                <w:snapToGrid w:val="0"/>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203" w:type="pct"/>
            <w:vAlign w:val="center"/>
          </w:tcPr>
          <w:p>
            <w:pPr>
              <w:pStyle w:val="52"/>
              <w:jc w:val="center"/>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8</w:t>
            </w:r>
          </w:p>
        </w:tc>
        <w:tc>
          <w:tcPr>
            <w:tcW w:w="532"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郑家坞镇</w:t>
            </w:r>
          </w:p>
        </w:tc>
        <w:tc>
          <w:tcPr>
            <w:tcW w:w="43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朱路村</w:t>
            </w:r>
          </w:p>
        </w:tc>
        <w:tc>
          <w:tcPr>
            <w:tcW w:w="91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lang w:eastAsia="zh-CN"/>
              </w:rPr>
            </w:pPr>
            <w:r>
              <w:rPr>
                <w:rFonts w:hint="eastAsia" w:ascii="宋体" w:hAnsi="宋体" w:eastAsia="宋体" w:cs="宋体"/>
                <w:snapToGrid w:val="0"/>
                <w:color w:val="auto"/>
                <w:sz w:val="21"/>
                <w:szCs w:val="21"/>
              </w:rPr>
              <w:t>朱路村大何街终端</w:t>
            </w:r>
          </w:p>
        </w:tc>
        <w:tc>
          <w:tcPr>
            <w:tcW w:w="476"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20</w:t>
            </w:r>
          </w:p>
        </w:tc>
        <w:tc>
          <w:tcPr>
            <w:tcW w:w="449" w:type="pct"/>
            <w:vAlign w:val="center"/>
          </w:tcPr>
          <w:p>
            <w:pPr>
              <w:pStyle w:val="52"/>
              <w:spacing w:beforeLines="0" w:afterLines="0"/>
              <w:ind w:firstLine="0" w:firstLineChars="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1"/>
                <w:szCs w:val="21"/>
              </w:rPr>
              <w:t>1套</w:t>
            </w:r>
          </w:p>
        </w:tc>
        <w:tc>
          <w:tcPr>
            <w:tcW w:w="547" w:type="pct"/>
          </w:tcPr>
          <w:p>
            <w:pPr>
              <w:pStyle w:val="52"/>
              <w:rPr>
                <w:rFonts w:hint="eastAsia" w:ascii="宋体" w:hAnsi="宋体" w:eastAsia="宋体" w:cs="宋体"/>
                <w:snapToGrid w:val="0"/>
                <w:color w:val="auto"/>
                <w:sz w:val="24"/>
                <w:szCs w:val="24"/>
                <w:highlight w:val="none"/>
              </w:rPr>
            </w:pPr>
          </w:p>
        </w:tc>
        <w:tc>
          <w:tcPr>
            <w:tcW w:w="517" w:type="pct"/>
          </w:tcPr>
          <w:p>
            <w:pPr>
              <w:pStyle w:val="52"/>
              <w:rPr>
                <w:rFonts w:hint="eastAsia" w:ascii="宋体" w:hAnsi="宋体" w:eastAsia="宋体" w:cs="宋体"/>
                <w:snapToGrid w:val="0"/>
                <w:color w:val="auto"/>
                <w:sz w:val="24"/>
                <w:szCs w:val="24"/>
                <w:highlight w:val="none"/>
              </w:rPr>
            </w:pPr>
          </w:p>
        </w:tc>
        <w:tc>
          <w:tcPr>
            <w:tcW w:w="468" w:type="pct"/>
          </w:tcPr>
          <w:p>
            <w:pPr>
              <w:pStyle w:val="52"/>
              <w:rPr>
                <w:rFonts w:hint="eastAsia" w:ascii="宋体" w:hAnsi="宋体" w:eastAsia="宋体" w:cs="宋体"/>
                <w:snapToGrid w:val="0"/>
                <w:color w:val="auto"/>
                <w:sz w:val="24"/>
                <w:szCs w:val="24"/>
                <w:highlight w:val="none"/>
              </w:rPr>
            </w:pPr>
          </w:p>
        </w:tc>
        <w:tc>
          <w:tcPr>
            <w:tcW w:w="454" w:type="pct"/>
          </w:tcPr>
          <w:p>
            <w:pPr>
              <w:pStyle w:val="52"/>
              <w:rPr>
                <w:rFonts w:hint="eastAsia" w:ascii="宋体" w:hAnsi="宋体" w:eastAsia="宋体" w:cs="宋体"/>
                <w:snapToGrid w:val="0"/>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203" w:type="pct"/>
            <w:vAlign w:val="center"/>
          </w:tcPr>
          <w:p>
            <w:pPr>
              <w:pStyle w:val="52"/>
              <w:jc w:val="center"/>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9</w:t>
            </w:r>
          </w:p>
        </w:tc>
        <w:tc>
          <w:tcPr>
            <w:tcW w:w="532"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郑家坞镇</w:t>
            </w:r>
          </w:p>
        </w:tc>
        <w:tc>
          <w:tcPr>
            <w:tcW w:w="43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朱路村</w:t>
            </w:r>
          </w:p>
        </w:tc>
        <w:tc>
          <w:tcPr>
            <w:tcW w:w="91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lang w:eastAsia="zh-CN"/>
              </w:rPr>
            </w:pPr>
            <w:r>
              <w:rPr>
                <w:rFonts w:hint="eastAsia" w:ascii="宋体" w:hAnsi="宋体" w:eastAsia="宋体" w:cs="宋体"/>
                <w:snapToGrid w:val="0"/>
                <w:color w:val="auto"/>
                <w:sz w:val="21"/>
                <w:szCs w:val="21"/>
              </w:rPr>
              <w:t>朱路村小何街终端</w:t>
            </w:r>
          </w:p>
        </w:tc>
        <w:tc>
          <w:tcPr>
            <w:tcW w:w="476"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10</w:t>
            </w:r>
          </w:p>
        </w:tc>
        <w:tc>
          <w:tcPr>
            <w:tcW w:w="449" w:type="pct"/>
            <w:vAlign w:val="center"/>
          </w:tcPr>
          <w:p>
            <w:pPr>
              <w:pStyle w:val="52"/>
              <w:spacing w:beforeLines="0" w:afterLines="0"/>
              <w:ind w:firstLine="0" w:firstLineChars="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1"/>
                <w:szCs w:val="21"/>
              </w:rPr>
              <w:t>1套</w:t>
            </w:r>
          </w:p>
        </w:tc>
        <w:tc>
          <w:tcPr>
            <w:tcW w:w="547" w:type="pct"/>
          </w:tcPr>
          <w:p>
            <w:pPr>
              <w:pStyle w:val="52"/>
              <w:rPr>
                <w:rFonts w:hint="eastAsia" w:ascii="宋体" w:hAnsi="宋体" w:eastAsia="宋体" w:cs="宋体"/>
                <w:snapToGrid w:val="0"/>
                <w:color w:val="auto"/>
                <w:sz w:val="24"/>
                <w:szCs w:val="24"/>
                <w:highlight w:val="none"/>
              </w:rPr>
            </w:pPr>
          </w:p>
        </w:tc>
        <w:tc>
          <w:tcPr>
            <w:tcW w:w="517" w:type="pct"/>
          </w:tcPr>
          <w:p>
            <w:pPr>
              <w:pStyle w:val="52"/>
              <w:rPr>
                <w:rFonts w:hint="eastAsia" w:ascii="宋体" w:hAnsi="宋体" w:eastAsia="宋体" w:cs="宋体"/>
                <w:snapToGrid w:val="0"/>
                <w:color w:val="auto"/>
                <w:sz w:val="24"/>
                <w:szCs w:val="24"/>
                <w:highlight w:val="none"/>
              </w:rPr>
            </w:pPr>
          </w:p>
        </w:tc>
        <w:tc>
          <w:tcPr>
            <w:tcW w:w="468" w:type="pct"/>
          </w:tcPr>
          <w:p>
            <w:pPr>
              <w:pStyle w:val="52"/>
              <w:rPr>
                <w:rFonts w:hint="eastAsia" w:ascii="宋体" w:hAnsi="宋体" w:eastAsia="宋体" w:cs="宋体"/>
                <w:snapToGrid w:val="0"/>
                <w:color w:val="auto"/>
                <w:sz w:val="24"/>
                <w:szCs w:val="24"/>
                <w:highlight w:val="none"/>
              </w:rPr>
            </w:pPr>
          </w:p>
        </w:tc>
        <w:tc>
          <w:tcPr>
            <w:tcW w:w="454" w:type="pct"/>
          </w:tcPr>
          <w:p>
            <w:pPr>
              <w:pStyle w:val="52"/>
              <w:rPr>
                <w:rFonts w:hint="eastAsia" w:ascii="宋体" w:hAnsi="宋体" w:eastAsia="宋体" w:cs="宋体"/>
                <w:snapToGrid w:val="0"/>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203" w:type="pct"/>
            <w:vAlign w:val="center"/>
          </w:tcPr>
          <w:p>
            <w:pPr>
              <w:pStyle w:val="52"/>
              <w:jc w:val="center"/>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10</w:t>
            </w:r>
          </w:p>
        </w:tc>
        <w:tc>
          <w:tcPr>
            <w:tcW w:w="532"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郑家坞镇</w:t>
            </w:r>
          </w:p>
        </w:tc>
        <w:tc>
          <w:tcPr>
            <w:tcW w:w="43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朱路村</w:t>
            </w:r>
          </w:p>
        </w:tc>
        <w:tc>
          <w:tcPr>
            <w:tcW w:w="91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lang w:eastAsia="zh-CN"/>
              </w:rPr>
            </w:pPr>
            <w:r>
              <w:rPr>
                <w:rFonts w:hint="eastAsia" w:ascii="宋体" w:hAnsi="宋体" w:eastAsia="宋体" w:cs="宋体"/>
                <w:snapToGrid w:val="0"/>
                <w:color w:val="auto"/>
                <w:sz w:val="21"/>
                <w:szCs w:val="21"/>
              </w:rPr>
              <w:t>朱路沼气池</w:t>
            </w:r>
          </w:p>
        </w:tc>
        <w:tc>
          <w:tcPr>
            <w:tcW w:w="476"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40</w:t>
            </w:r>
          </w:p>
        </w:tc>
        <w:tc>
          <w:tcPr>
            <w:tcW w:w="449" w:type="pct"/>
            <w:vAlign w:val="center"/>
          </w:tcPr>
          <w:p>
            <w:pPr>
              <w:pStyle w:val="52"/>
              <w:spacing w:beforeLines="0" w:afterLines="0"/>
              <w:ind w:firstLine="0" w:firstLineChars="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1"/>
                <w:szCs w:val="21"/>
              </w:rPr>
              <w:t>1套</w:t>
            </w:r>
          </w:p>
        </w:tc>
        <w:tc>
          <w:tcPr>
            <w:tcW w:w="547" w:type="pct"/>
          </w:tcPr>
          <w:p>
            <w:pPr>
              <w:pStyle w:val="52"/>
              <w:rPr>
                <w:rFonts w:hint="eastAsia" w:ascii="宋体" w:hAnsi="宋体" w:eastAsia="宋体" w:cs="宋体"/>
                <w:snapToGrid w:val="0"/>
                <w:color w:val="auto"/>
                <w:sz w:val="24"/>
                <w:szCs w:val="24"/>
                <w:highlight w:val="none"/>
              </w:rPr>
            </w:pPr>
          </w:p>
        </w:tc>
        <w:tc>
          <w:tcPr>
            <w:tcW w:w="517" w:type="pct"/>
          </w:tcPr>
          <w:p>
            <w:pPr>
              <w:pStyle w:val="52"/>
              <w:rPr>
                <w:rFonts w:hint="eastAsia" w:ascii="宋体" w:hAnsi="宋体" w:eastAsia="宋体" w:cs="宋体"/>
                <w:snapToGrid w:val="0"/>
                <w:color w:val="auto"/>
                <w:sz w:val="24"/>
                <w:szCs w:val="24"/>
                <w:highlight w:val="none"/>
              </w:rPr>
            </w:pPr>
          </w:p>
        </w:tc>
        <w:tc>
          <w:tcPr>
            <w:tcW w:w="468" w:type="pct"/>
          </w:tcPr>
          <w:p>
            <w:pPr>
              <w:pStyle w:val="52"/>
              <w:rPr>
                <w:rFonts w:hint="eastAsia" w:ascii="宋体" w:hAnsi="宋体" w:eastAsia="宋体" w:cs="宋体"/>
                <w:snapToGrid w:val="0"/>
                <w:color w:val="auto"/>
                <w:sz w:val="24"/>
                <w:szCs w:val="24"/>
                <w:highlight w:val="none"/>
              </w:rPr>
            </w:pPr>
          </w:p>
        </w:tc>
        <w:tc>
          <w:tcPr>
            <w:tcW w:w="454" w:type="pct"/>
          </w:tcPr>
          <w:p>
            <w:pPr>
              <w:pStyle w:val="52"/>
              <w:rPr>
                <w:rFonts w:hint="eastAsia" w:ascii="宋体" w:hAnsi="宋体" w:eastAsia="宋体" w:cs="宋体"/>
                <w:snapToGrid w:val="0"/>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203" w:type="pct"/>
            <w:vAlign w:val="center"/>
          </w:tcPr>
          <w:p>
            <w:pPr>
              <w:pStyle w:val="52"/>
              <w:jc w:val="center"/>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11</w:t>
            </w:r>
          </w:p>
        </w:tc>
        <w:tc>
          <w:tcPr>
            <w:tcW w:w="532"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郑家坞镇</w:t>
            </w:r>
          </w:p>
        </w:tc>
        <w:tc>
          <w:tcPr>
            <w:tcW w:w="43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沈里村</w:t>
            </w:r>
          </w:p>
        </w:tc>
        <w:tc>
          <w:tcPr>
            <w:tcW w:w="91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lang w:eastAsia="zh-CN"/>
              </w:rPr>
            </w:pPr>
            <w:r>
              <w:rPr>
                <w:rFonts w:hint="eastAsia" w:ascii="宋体" w:hAnsi="宋体" w:eastAsia="宋体" w:cs="宋体"/>
                <w:snapToGrid w:val="0"/>
                <w:color w:val="auto"/>
                <w:sz w:val="21"/>
                <w:szCs w:val="21"/>
              </w:rPr>
              <w:t>沈里村沈街终端</w:t>
            </w:r>
          </w:p>
        </w:tc>
        <w:tc>
          <w:tcPr>
            <w:tcW w:w="476"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100</w:t>
            </w:r>
          </w:p>
        </w:tc>
        <w:tc>
          <w:tcPr>
            <w:tcW w:w="449" w:type="pct"/>
            <w:vAlign w:val="center"/>
          </w:tcPr>
          <w:p>
            <w:pPr>
              <w:pStyle w:val="52"/>
              <w:spacing w:beforeLines="0" w:afterLines="0"/>
              <w:ind w:firstLine="0" w:firstLineChars="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1"/>
                <w:szCs w:val="21"/>
              </w:rPr>
              <w:t>1套</w:t>
            </w:r>
          </w:p>
        </w:tc>
        <w:tc>
          <w:tcPr>
            <w:tcW w:w="547" w:type="pct"/>
          </w:tcPr>
          <w:p>
            <w:pPr>
              <w:pStyle w:val="52"/>
              <w:rPr>
                <w:rFonts w:hint="eastAsia" w:ascii="宋体" w:hAnsi="宋体" w:eastAsia="宋体" w:cs="宋体"/>
                <w:snapToGrid w:val="0"/>
                <w:color w:val="auto"/>
                <w:sz w:val="24"/>
                <w:szCs w:val="24"/>
                <w:highlight w:val="none"/>
              </w:rPr>
            </w:pPr>
          </w:p>
        </w:tc>
        <w:tc>
          <w:tcPr>
            <w:tcW w:w="517" w:type="pct"/>
          </w:tcPr>
          <w:p>
            <w:pPr>
              <w:pStyle w:val="52"/>
              <w:rPr>
                <w:rFonts w:hint="eastAsia" w:ascii="宋体" w:hAnsi="宋体" w:eastAsia="宋体" w:cs="宋体"/>
                <w:snapToGrid w:val="0"/>
                <w:color w:val="auto"/>
                <w:sz w:val="24"/>
                <w:szCs w:val="24"/>
                <w:highlight w:val="none"/>
              </w:rPr>
            </w:pPr>
          </w:p>
        </w:tc>
        <w:tc>
          <w:tcPr>
            <w:tcW w:w="468" w:type="pct"/>
          </w:tcPr>
          <w:p>
            <w:pPr>
              <w:pStyle w:val="52"/>
              <w:rPr>
                <w:rFonts w:hint="eastAsia" w:ascii="宋体" w:hAnsi="宋体" w:eastAsia="宋体" w:cs="宋体"/>
                <w:snapToGrid w:val="0"/>
                <w:color w:val="auto"/>
                <w:sz w:val="24"/>
                <w:szCs w:val="24"/>
                <w:highlight w:val="none"/>
              </w:rPr>
            </w:pPr>
          </w:p>
        </w:tc>
        <w:tc>
          <w:tcPr>
            <w:tcW w:w="454" w:type="pct"/>
          </w:tcPr>
          <w:p>
            <w:pPr>
              <w:pStyle w:val="52"/>
              <w:rPr>
                <w:rFonts w:hint="eastAsia" w:ascii="宋体" w:hAnsi="宋体" w:eastAsia="宋体" w:cs="宋体"/>
                <w:snapToGrid w:val="0"/>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203" w:type="pct"/>
            <w:vAlign w:val="center"/>
          </w:tcPr>
          <w:p>
            <w:pPr>
              <w:pStyle w:val="52"/>
              <w:jc w:val="center"/>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12</w:t>
            </w:r>
          </w:p>
        </w:tc>
        <w:tc>
          <w:tcPr>
            <w:tcW w:w="532"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郑家坞镇</w:t>
            </w:r>
          </w:p>
        </w:tc>
        <w:tc>
          <w:tcPr>
            <w:tcW w:w="43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江东村</w:t>
            </w:r>
          </w:p>
        </w:tc>
        <w:tc>
          <w:tcPr>
            <w:tcW w:w="91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lang w:eastAsia="zh-CN"/>
              </w:rPr>
            </w:pPr>
            <w:r>
              <w:rPr>
                <w:rFonts w:hint="eastAsia" w:ascii="宋体" w:hAnsi="宋体" w:eastAsia="宋体" w:cs="宋体"/>
                <w:snapToGrid w:val="0"/>
                <w:color w:val="auto"/>
                <w:sz w:val="21"/>
                <w:szCs w:val="21"/>
              </w:rPr>
              <w:t>溪东旧区终端</w:t>
            </w:r>
          </w:p>
        </w:tc>
        <w:tc>
          <w:tcPr>
            <w:tcW w:w="476"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50</w:t>
            </w:r>
          </w:p>
        </w:tc>
        <w:tc>
          <w:tcPr>
            <w:tcW w:w="449" w:type="pct"/>
            <w:vAlign w:val="center"/>
          </w:tcPr>
          <w:p>
            <w:pPr>
              <w:pStyle w:val="52"/>
              <w:spacing w:beforeLines="0" w:afterLines="0"/>
              <w:ind w:firstLine="0" w:firstLineChars="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1"/>
                <w:szCs w:val="21"/>
              </w:rPr>
              <w:t>1套</w:t>
            </w:r>
          </w:p>
        </w:tc>
        <w:tc>
          <w:tcPr>
            <w:tcW w:w="547" w:type="pct"/>
          </w:tcPr>
          <w:p>
            <w:pPr>
              <w:pStyle w:val="52"/>
              <w:rPr>
                <w:rFonts w:hint="eastAsia" w:ascii="宋体" w:hAnsi="宋体" w:eastAsia="宋体" w:cs="宋体"/>
                <w:snapToGrid w:val="0"/>
                <w:color w:val="auto"/>
                <w:sz w:val="24"/>
                <w:szCs w:val="24"/>
                <w:highlight w:val="none"/>
              </w:rPr>
            </w:pPr>
          </w:p>
        </w:tc>
        <w:tc>
          <w:tcPr>
            <w:tcW w:w="517" w:type="pct"/>
          </w:tcPr>
          <w:p>
            <w:pPr>
              <w:pStyle w:val="52"/>
              <w:rPr>
                <w:rFonts w:hint="eastAsia" w:ascii="宋体" w:hAnsi="宋体" w:eastAsia="宋体" w:cs="宋体"/>
                <w:snapToGrid w:val="0"/>
                <w:color w:val="auto"/>
                <w:sz w:val="24"/>
                <w:szCs w:val="24"/>
                <w:highlight w:val="none"/>
              </w:rPr>
            </w:pPr>
          </w:p>
        </w:tc>
        <w:tc>
          <w:tcPr>
            <w:tcW w:w="468" w:type="pct"/>
          </w:tcPr>
          <w:p>
            <w:pPr>
              <w:pStyle w:val="52"/>
              <w:rPr>
                <w:rFonts w:hint="eastAsia" w:ascii="宋体" w:hAnsi="宋体" w:eastAsia="宋体" w:cs="宋体"/>
                <w:snapToGrid w:val="0"/>
                <w:color w:val="auto"/>
                <w:sz w:val="24"/>
                <w:szCs w:val="24"/>
                <w:highlight w:val="none"/>
              </w:rPr>
            </w:pPr>
          </w:p>
        </w:tc>
        <w:tc>
          <w:tcPr>
            <w:tcW w:w="454" w:type="pct"/>
          </w:tcPr>
          <w:p>
            <w:pPr>
              <w:pStyle w:val="52"/>
              <w:rPr>
                <w:rFonts w:hint="eastAsia" w:ascii="宋体" w:hAnsi="宋体" w:eastAsia="宋体" w:cs="宋体"/>
                <w:snapToGrid w:val="0"/>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203" w:type="pct"/>
            <w:vAlign w:val="center"/>
          </w:tcPr>
          <w:p>
            <w:pPr>
              <w:pStyle w:val="52"/>
              <w:jc w:val="center"/>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13</w:t>
            </w:r>
          </w:p>
        </w:tc>
        <w:tc>
          <w:tcPr>
            <w:tcW w:w="532"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郑家坞镇</w:t>
            </w:r>
          </w:p>
        </w:tc>
        <w:tc>
          <w:tcPr>
            <w:tcW w:w="43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云溪村</w:t>
            </w:r>
          </w:p>
        </w:tc>
        <w:tc>
          <w:tcPr>
            <w:tcW w:w="91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lang w:eastAsia="zh-CN"/>
              </w:rPr>
            </w:pPr>
            <w:r>
              <w:rPr>
                <w:rFonts w:hint="eastAsia" w:ascii="宋体" w:hAnsi="宋体" w:eastAsia="宋体" w:cs="宋体"/>
                <w:snapToGrid w:val="0"/>
                <w:color w:val="auto"/>
                <w:sz w:val="21"/>
                <w:szCs w:val="21"/>
              </w:rPr>
              <w:t>余郭村终端</w:t>
            </w:r>
          </w:p>
        </w:tc>
        <w:tc>
          <w:tcPr>
            <w:tcW w:w="476"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40</w:t>
            </w:r>
          </w:p>
        </w:tc>
        <w:tc>
          <w:tcPr>
            <w:tcW w:w="449" w:type="pct"/>
            <w:vAlign w:val="center"/>
          </w:tcPr>
          <w:p>
            <w:pPr>
              <w:pStyle w:val="52"/>
              <w:spacing w:beforeLines="0" w:afterLines="0"/>
              <w:ind w:firstLine="0" w:firstLineChars="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1"/>
                <w:szCs w:val="21"/>
              </w:rPr>
              <w:t>1套</w:t>
            </w:r>
          </w:p>
        </w:tc>
        <w:tc>
          <w:tcPr>
            <w:tcW w:w="547" w:type="pct"/>
          </w:tcPr>
          <w:p>
            <w:pPr>
              <w:pStyle w:val="52"/>
              <w:rPr>
                <w:rFonts w:hint="eastAsia" w:ascii="宋体" w:hAnsi="宋体" w:eastAsia="宋体" w:cs="宋体"/>
                <w:snapToGrid w:val="0"/>
                <w:color w:val="auto"/>
                <w:sz w:val="24"/>
                <w:szCs w:val="24"/>
                <w:highlight w:val="none"/>
              </w:rPr>
            </w:pPr>
          </w:p>
        </w:tc>
        <w:tc>
          <w:tcPr>
            <w:tcW w:w="517" w:type="pct"/>
          </w:tcPr>
          <w:p>
            <w:pPr>
              <w:pStyle w:val="52"/>
              <w:rPr>
                <w:rFonts w:hint="eastAsia" w:ascii="宋体" w:hAnsi="宋体" w:eastAsia="宋体" w:cs="宋体"/>
                <w:snapToGrid w:val="0"/>
                <w:color w:val="auto"/>
                <w:sz w:val="24"/>
                <w:szCs w:val="24"/>
                <w:highlight w:val="none"/>
              </w:rPr>
            </w:pPr>
          </w:p>
        </w:tc>
        <w:tc>
          <w:tcPr>
            <w:tcW w:w="468" w:type="pct"/>
          </w:tcPr>
          <w:p>
            <w:pPr>
              <w:pStyle w:val="52"/>
              <w:rPr>
                <w:rFonts w:hint="eastAsia" w:ascii="宋体" w:hAnsi="宋体" w:eastAsia="宋体" w:cs="宋体"/>
                <w:snapToGrid w:val="0"/>
                <w:color w:val="auto"/>
                <w:sz w:val="24"/>
                <w:szCs w:val="24"/>
                <w:highlight w:val="none"/>
              </w:rPr>
            </w:pPr>
          </w:p>
        </w:tc>
        <w:tc>
          <w:tcPr>
            <w:tcW w:w="454" w:type="pct"/>
          </w:tcPr>
          <w:p>
            <w:pPr>
              <w:pStyle w:val="52"/>
              <w:rPr>
                <w:rFonts w:hint="eastAsia" w:ascii="宋体" w:hAnsi="宋体" w:eastAsia="宋体" w:cs="宋体"/>
                <w:snapToGrid w:val="0"/>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203" w:type="pct"/>
            <w:vAlign w:val="center"/>
          </w:tcPr>
          <w:p>
            <w:pPr>
              <w:pStyle w:val="52"/>
              <w:jc w:val="center"/>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14</w:t>
            </w:r>
          </w:p>
        </w:tc>
        <w:tc>
          <w:tcPr>
            <w:tcW w:w="532"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郑家坞镇</w:t>
            </w:r>
          </w:p>
        </w:tc>
        <w:tc>
          <w:tcPr>
            <w:tcW w:w="43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吴大路村</w:t>
            </w:r>
          </w:p>
        </w:tc>
        <w:tc>
          <w:tcPr>
            <w:tcW w:w="914"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lang w:eastAsia="zh-CN"/>
              </w:rPr>
            </w:pPr>
            <w:r>
              <w:rPr>
                <w:rFonts w:hint="eastAsia" w:ascii="宋体" w:hAnsi="宋体" w:eastAsia="宋体" w:cs="宋体"/>
                <w:snapToGrid w:val="0"/>
                <w:color w:val="auto"/>
                <w:sz w:val="21"/>
                <w:szCs w:val="21"/>
              </w:rPr>
              <w:t>吴大路终端</w:t>
            </w:r>
          </w:p>
        </w:tc>
        <w:tc>
          <w:tcPr>
            <w:tcW w:w="476" w:type="pct"/>
            <w:vAlign w:val="center"/>
          </w:tcPr>
          <w:p>
            <w:pPr>
              <w:pStyle w:val="52"/>
              <w:spacing w:beforeLines="0" w:afterLines="0"/>
              <w:ind w:firstLine="0" w:firstLineChars="0"/>
              <w:rPr>
                <w:rFonts w:hint="eastAsia" w:ascii="宋体" w:hAnsi="宋体" w:eastAsia="宋体" w:cs="宋体"/>
                <w:snapToGrid/>
                <w:color w:val="auto"/>
                <w:sz w:val="24"/>
                <w:szCs w:val="24"/>
                <w:highlight w:val="none"/>
              </w:rPr>
            </w:pPr>
            <w:r>
              <w:rPr>
                <w:rFonts w:hint="eastAsia" w:ascii="宋体" w:hAnsi="宋体" w:eastAsia="宋体" w:cs="宋体"/>
                <w:snapToGrid w:val="0"/>
                <w:color w:val="auto"/>
                <w:sz w:val="21"/>
                <w:szCs w:val="21"/>
              </w:rPr>
              <w:t>190</w:t>
            </w:r>
          </w:p>
        </w:tc>
        <w:tc>
          <w:tcPr>
            <w:tcW w:w="449" w:type="pct"/>
            <w:vAlign w:val="center"/>
          </w:tcPr>
          <w:p>
            <w:pPr>
              <w:pStyle w:val="52"/>
              <w:spacing w:beforeLines="0" w:afterLines="0"/>
              <w:ind w:firstLine="0" w:firstLineChars="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1"/>
                <w:szCs w:val="21"/>
              </w:rPr>
              <w:t>2套100t/d</w:t>
            </w:r>
          </w:p>
        </w:tc>
        <w:tc>
          <w:tcPr>
            <w:tcW w:w="547" w:type="pct"/>
          </w:tcPr>
          <w:p>
            <w:pPr>
              <w:pStyle w:val="52"/>
              <w:rPr>
                <w:rFonts w:hint="eastAsia" w:ascii="宋体" w:hAnsi="宋体" w:eastAsia="宋体" w:cs="宋体"/>
                <w:snapToGrid w:val="0"/>
                <w:color w:val="auto"/>
                <w:sz w:val="24"/>
                <w:szCs w:val="24"/>
                <w:highlight w:val="none"/>
              </w:rPr>
            </w:pPr>
          </w:p>
        </w:tc>
        <w:tc>
          <w:tcPr>
            <w:tcW w:w="517" w:type="pct"/>
          </w:tcPr>
          <w:p>
            <w:pPr>
              <w:pStyle w:val="52"/>
              <w:rPr>
                <w:rFonts w:hint="eastAsia" w:ascii="宋体" w:hAnsi="宋体" w:eastAsia="宋体" w:cs="宋体"/>
                <w:snapToGrid w:val="0"/>
                <w:color w:val="auto"/>
                <w:sz w:val="24"/>
                <w:szCs w:val="24"/>
                <w:highlight w:val="none"/>
              </w:rPr>
            </w:pPr>
          </w:p>
        </w:tc>
        <w:tc>
          <w:tcPr>
            <w:tcW w:w="468" w:type="pct"/>
          </w:tcPr>
          <w:p>
            <w:pPr>
              <w:pStyle w:val="52"/>
              <w:rPr>
                <w:rFonts w:hint="eastAsia" w:ascii="宋体" w:hAnsi="宋体" w:eastAsia="宋体" w:cs="宋体"/>
                <w:snapToGrid w:val="0"/>
                <w:color w:val="auto"/>
                <w:sz w:val="24"/>
                <w:szCs w:val="24"/>
                <w:highlight w:val="none"/>
              </w:rPr>
            </w:pPr>
          </w:p>
        </w:tc>
        <w:tc>
          <w:tcPr>
            <w:tcW w:w="454" w:type="pct"/>
          </w:tcPr>
          <w:p>
            <w:pPr>
              <w:pStyle w:val="52"/>
              <w:rPr>
                <w:rFonts w:hint="eastAsia" w:ascii="宋体" w:hAnsi="宋体" w:eastAsia="宋体" w:cs="宋体"/>
                <w:snapToGrid w:val="0"/>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jc w:val="center"/>
        </w:trPr>
        <w:tc>
          <w:tcPr>
            <w:tcW w:w="1169" w:type="pct"/>
            <w:gridSpan w:val="3"/>
            <w:vAlign w:val="center"/>
          </w:tcPr>
          <w:p>
            <w:pPr>
              <w:pStyle w:val="52"/>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投标价总计</w:t>
            </w:r>
          </w:p>
        </w:tc>
        <w:tc>
          <w:tcPr>
            <w:tcW w:w="3830" w:type="pct"/>
            <w:gridSpan w:val="7"/>
            <w:vAlign w:val="center"/>
          </w:tcPr>
          <w:p>
            <w:pPr>
              <w:pStyle w:val="52"/>
              <w:widowControl w:val="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大写：</w:t>
            </w:r>
            <w:r>
              <w:rPr>
                <w:rFonts w:hint="eastAsia" w:asciiTheme="minorEastAsia" w:hAnsiTheme="minorEastAsia" w:eastAsiaTheme="minorEastAsia" w:cstheme="minorEastAsia"/>
                <w:snapToGrid w:val="0"/>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snapToGrid w:val="0"/>
                <w:color w:val="auto"/>
                <w:kern w:val="2"/>
                <w:sz w:val="24"/>
                <w:szCs w:val="24"/>
                <w:highlight w:val="none"/>
                <w:lang w:val="en-US" w:eastAsia="zh-CN" w:bidi="ar-SA"/>
              </w:rPr>
              <w:t>元，</w:t>
            </w:r>
          </w:p>
          <w:p>
            <w:pPr>
              <w:pStyle w:val="52"/>
              <w:jc w:val="both"/>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kern w:val="2"/>
                <w:sz w:val="24"/>
                <w:szCs w:val="24"/>
                <w:highlight w:val="none"/>
                <w:lang w:val="en-US" w:eastAsia="zh-CN" w:bidi="ar-SA"/>
              </w:rPr>
              <w:t>小写：</w:t>
            </w:r>
            <w:r>
              <w:rPr>
                <w:rFonts w:hint="eastAsia" w:asciiTheme="minorEastAsia" w:hAnsiTheme="minorEastAsia" w:eastAsiaTheme="minorEastAsia" w:cstheme="minorEastAsia"/>
                <w:snapToGrid w:val="0"/>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snapToGrid w:val="0"/>
                <w:color w:val="auto"/>
                <w:kern w:val="2"/>
                <w:sz w:val="24"/>
                <w:szCs w:val="24"/>
                <w:highlight w:val="none"/>
                <w:lang w:val="en-US" w:eastAsia="zh-CN" w:bidi="ar-SA"/>
              </w:rPr>
              <w:t>元。</w:t>
            </w:r>
          </w:p>
        </w:tc>
      </w:tr>
    </w:tbl>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注：1.报价一经涂改，应在涂改处加盖单位公章或者由法定代表人或授权代表签字或盖章，否则其投标作无效标处理。</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2.本表“投标价总计”应与“开标一览表”中“投标价</w:t>
      </w:r>
      <w:r>
        <w:rPr>
          <w:rFonts w:hint="eastAsia" w:asciiTheme="minorEastAsia" w:hAnsiTheme="minorEastAsia" w:eastAsiaTheme="minorEastAsia" w:cstheme="minorEastAsia"/>
          <w:color w:val="auto"/>
          <w:sz w:val="24"/>
          <w:szCs w:val="24"/>
          <w:highlight w:val="none"/>
          <w:lang w:val="en-US" w:eastAsia="zh-CN"/>
        </w:rPr>
        <w:t>总</w:t>
      </w:r>
      <w:r>
        <w:rPr>
          <w:rFonts w:hint="eastAsia" w:asciiTheme="minorEastAsia" w:hAnsiTheme="minorEastAsia" w:eastAsiaTheme="minorEastAsia" w:cstheme="minorEastAsia"/>
          <w:color w:val="auto"/>
          <w:sz w:val="24"/>
          <w:szCs w:val="24"/>
          <w:highlight w:val="none"/>
        </w:rPr>
        <w:t>计”相应一致。</w:t>
      </w:r>
    </w:p>
    <w:p>
      <w:pPr>
        <w:spacing w:before="100" w:after="100"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投标费用包括</w:t>
      </w:r>
      <w:r>
        <w:rPr>
          <w:rFonts w:hint="eastAsia" w:asciiTheme="minorEastAsia" w:hAnsiTheme="minorEastAsia" w:eastAsiaTheme="minorEastAsia" w:cstheme="minorEastAsia"/>
          <w:color w:val="auto"/>
          <w:sz w:val="24"/>
          <w:szCs w:val="24"/>
          <w:highlight w:val="none"/>
          <w:lang w:eastAsia="zh-CN"/>
        </w:rPr>
        <w:t>货款、标准附件、备品备件、专用工具、包装、运输、装卸、安装调试、管理费、利润、风险费、保险、税金、培训、技术指导、服务、专利费（著作权）、代理费、其他费用</w:t>
      </w:r>
      <w:r>
        <w:rPr>
          <w:rFonts w:hint="eastAsia" w:asciiTheme="minorEastAsia" w:hAnsiTheme="minorEastAsia" w:eastAsiaTheme="minorEastAsia" w:cstheme="minorEastAsia"/>
          <w:color w:val="auto"/>
          <w:sz w:val="24"/>
          <w:szCs w:val="24"/>
          <w:highlight w:val="none"/>
        </w:rPr>
        <w:t>等完成招标内容及要求所提供的货物及服务过程中涉及的一切费用。</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pPr>
        <w:spacing w:line="36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pPr>
        <w:pStyle w:val="40"/>
        <w:widowControl w:val="0"/>
        <w:snapToGrid w:val="0"/>
        <w:spacing w:after="156" w:afterLines="50" w:line="312" w:lineRule="auto"/>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pP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br w:type="page"/>
      </w:r>
    </w:p>
    <w:p>
      <w:pPr>
        <w:pStyle w:val="40"/>
        <w:widowControl w:val="0"/>
        <w:snapToGrid w:val="0"/>
        <w:spacing w:after="156" w:afterLines="50" w:line="312"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2"/>
          <w:sz w:val="36"/>
          <w:szCs w:val="20"/>
          <w:highlight w:val="none"/>
          <w:lang w:val="en-US" w:eastAsia="zh-CN" w:bidi="ar-SA"/>
        </w:rPr>
        <w:t>第七部分 其他</w:t>
      </w:r>
    </w:p>
    <w:p>
      <w:pPr>
        <w:pStyle w:val="40"/>
        <w:widowControl w:val="0"/>
        <w:snapToGrid w:val="0"/>
        <w:spacing w:after="156" w:afterLines="50" w:line="312"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t>政府采购活动现场确认声明书</w:t>
      </w:r>
    </w:p>
    <w:p>
      <w:pPr>
        <w:pStyle w:val="40"/>
        <w:widowControl w:val="0"/>
        <w:snapToGrid w:val="0"/>
        <w:spacing w:line="312" w:lineRule="auto"/>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u w:val="single"/>
        </w:rPr>
        <w:t>浙江科信联合工程项目管理咨询有限公司</w:t>
      </w:r>
      <w:r>
        <w:rPr>
          <w:rFonts w:hint="eastAsia" w:asciiTheme="minorEastAsia" w:hAnsiTheme="minorEastAsia" w:eastAsiaTheme="minorEastAsia" w:cstheme="minorEastAsia"/>
          <w:color w:val="auto"/>
          <w:kern w:val="0"/>
          <w:sz w:val="24"/>
          <w:szCs w:val="24"/>
          <w:highlight w:val="none"/>
        </w:rPr>
        <w:t>（采购组织机构名称）：</w:t>
      </w:r>
    </w:p>
    <w:p>
      <w:pPr>
        <w:pStyle w:val="40"/>
        <w:widowControl w:val="0"/>
        <w:snapToGrid w:val="0"/>
        <w:spacing w:line="312" w:lineRule="auto"/>
        <w:ind w:firstLine="504" w:firstLineChars="200"/>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本人经由</w:t>
      </w:r>
      <w:r>
        <w:rPr>
          <w:rFonts w:hint="eastAsia" w:asciiTheme="minorEastAsia" w:hAnsiTheme="minorEastAsia" w:eastAsiaTheme="minorEastAsia" w:cstheme="minorEastAsia"/>
          <w:color w:val="auto"/>
          <w:spacing w:val="6"/>
          <w:sz w:val="24"/>
          <w:szCs w:val="24"/>
          <w:highlight w:val="none"/>
          <w:u w:val="single"/>
        </w:rPr>
        <w:t xml:space="preserve">                        （单位）</w:t>
      </w:r>
      <w:r>
        <w:rPr>
          <w:rFonts w:hint="eastAsia" w:asciiTheme="minorEastAsia" w:hAnsiTheme="minorEastAsia" w:eastAsiaTheme="minorEastAsia" w:cstheme="minorEastAsia"/>
          <w:color w:val="auto"/>
          <w:spacing w:val="6"/>
          <w:sz w:val="24"/>
          <w:szCs w:val="24"/>
          <w:highlight w:val="none"/>
        </w:rPr>
        <w:t>负责人</w:t>
      </w:r>
      <w:r>
        <w:rPr>
          <w:rFonts w:hint="eastAsia" w:asciiTheme="minorEastAsia" w:hAnsiTheme="minorEastAsia" w:eastAsiaTheme="minorEastAsia" w:cstheme="minorEastAsia"/>
          <w:color w:val="auto"/>
          <w:spacing w:val="6"/>
          <w:sz w:val="24"/>
          <w:szCs w:val="24"/>
          <w:highlight w:val="none"/>
          <w:u w:val="single"/>
        </w:rPr>
        <w:t xml:space="preserve">        （姓名）</w:t>
      </w:r>
      <w:r>
        <w:rPr>
          <w:rFonts w:hint="eastAsia" w:asciiTheme="minorEastAsia" w:hAnsiTheme="minorEastAsia" w:eastAsiaTheme="minorEastAsia" w:cstheme="minorEastAsia"/>
          <w:color w:val="auto"/>
          <w:spacing w:val="6"/>
          <w:sz w:val="24"/>
          <w:szCs w:val="24"/>
          <w:highlight w:val="none"/>
        </w:rPr>
        <w:t>合法授权参加</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政府采购项目（编号：</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eastAsiaTheme="minorEastAsia" w:cstheme="minorEastAsia"/>
          <w:color w:val="auto"/>
          <w:spacing w:val="6"/>
          <w:sz w:val="24"/>
          <w:szCs w:val="24"/>
          <w:highlight w:val="none"/>
        </w:rPr>
        <w:t xml:space="preserve">政府采购活动，经与本单位法人代表（负责人）联系确认，现就有关公平竞争事项郑重声明如下： </w:t>
      </w:r>
    </w:p>
    <w:p>
      <w:pPr>
        <w:pStyle w:val="41"/>
        <w:widowControl/>
        <w:numPr>
          <w:ilvl w:val="0"/>
          <w:numId w:val="3"/>
        </w:numPr>
        <w:snapToGrid w:val="0"/>
        <w:spacing w:line="312" w:lineRule="auto"/>
        <w:ind w:firstLine="453" w:firstLineChars="18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本单位与采购人之间 □不存在利害关系 □存在下列利害关系</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pPr>
        <w:pStyle w:val="41"/>
        <w:widowControl/>
        <w:snapToGrid w:val="0"/>
        <w:spacing w:line="312"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A.投资关系    B.行政隶属关系    C.业务指导关系</w:t>
      </w:r>
    </w:p>
    <w:p>
      <w:pPr>
        <w:pStyle w:val="41"/>
        <w:widowControl/>
        <w:snapToGrid w:val="0"/>
        <w:spacing w:line="312"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D.其他可能</w:t>
      </w:r>
      <w:r>
        <w:rPr>
          <w:rFonts w:hint="eastAsia" w:asciiTheme="minorEastAsia" w:hAnsiTheme="minorEastAsia" w:eastAsiaTheme="minorEastAsia" w:cstheme="minorEastAsia"/>
          <w:color w:val="auto"/>
          <w:sz w:val="24"/>
          <w:szCs w:val="24"/>
          <w:highlight w:val="none"/>
        </w:rPr>
        <w:t>影响采购公正的</w:t>
      </w:r>
      <w:r>
        <w:rPr>
          <w:rFonts w:hint="eastAsia" w:asciiTheme="minorEastAsia" w:hAnsiTheme="minorEastAsia" w:eastAsiaTheme="minorEastAsia" w:cstheme="minorEastAsia"/>
          <w:color w:val="auto"/>
          <w:kern w:val="0"/>
          <w:sz w:val="24"/>
          <w:szCs w:val="24"/>
          <w:highlight w:val="none"/>
        </w:rPr>
        <w:t>利害关系</w:t>
      </w:r>
      <w:r>
        <w:rPr>
          <w:rFonts w:hint="eastAsia" w:asciiTheme="minorEastAsia" w:hAnsiTheme="minorEastAsia" w:eastAsiaTheme="minorEastAsia" w:cstheme="minorEastAsia"/>
          <w:color w:val="auto"/>
          <w:kern w:val="0"/>
          <w:sz w:val="24"/>
          <w:szCs w:val="24"/>
          <w:highlight w:val="none"/>
          <w:u w:val="single"/>
        </w:rPr>
        <w:t xml:space="preserve">（如有，请如实说明）                 </w:t>
      </w:r>
      <w:r>
        <w:rPr>
          <w:rFonts w:hint="eastAsia" w:asciiTheme="minorEastAsia" w:hAnsiTheme="minorEastAsia" w:eastAsiaTheme="minorEastAsia" w:cstheme="minorEastAsia"/>
          <w:color w:val="auto"/>
          <w:kern w:val="0"/>
          <w:sz w:val="24"/>
          <w:szCs w:val="24"/>
          <w:highlight w:val="none"/>
        </w:rPr>
        <w:t>。</w:t>
      </w:r>
    </w:p>
    <w:p>
      <w:pPr>
        <w:pStyle w:val="41"/>
        <w:widowControl/>
        <w:snapToGrid w:val="0"/>
        <w:spacing w:line="312"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  二、</w:t>
      </w:r>
      <w:r>
        <w:rPr>
          <w:rFonts w:hint="eastAsia" w:asciiTheme="minorEastAsia" w:hAnsiTheme="minorEastAsia" w:eastAsiaTheme="minorEastAsia" w:cstheme="minorEastAsia"/>
          <w:color w:val="auto"/>
          <w:kern w:val="0"/>
          <w:sz w:val="24"/>
          <w:szCs w:val="24"/>
          <w:highlight w:val="none"/>
        </w:rPr>
        <w:t>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color w:val="auto"/>
          <w:kern w:val="0"/>
          <w:sz w:val="24"/>
          <w:szCs w:val="24"/>
          <w:highlight w:val="none"/>
          <w:u w:val="single"/>
        </w:rPr>
        <w:t xml:space="preserve">           （供应商名称）</w:t>
      </w:r>
      <w:r>
        <w:rPr>
          <w:rFonts w:hint="eastAsia" w:asciiTheme="minorEastAsia" w:hAnsiTheme="minorEastAsia" w:eastAsiaTheme="minorEastAsia" w:cstheme="minorEastAsia"/>
          <w:color w:val="auto"/>
          <w:kern w:val="0"/>
          <w:sz w:val="24"/>
          <w:szCs w:val="24"/>
          <w:highlight w:val="none"/>
        </w:rPr>
        <w:t>之间存在下列利害关系</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pPr>
        <w:pStyle w:val="40"/>
        <w:widowControl w:val="0"/>
        <w:snapToGrid w:val="0"/>
        <w:spacing w:line="312" w:lineRule="auto"/>
        <w:jc w:val="both"/>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A.法定代表人或负责人或实际控制人是同一人</w:t>
      </w:r>
    </w:p>
    <w:p>
      <w:pPr>
        <w:pStyle w:val="40"/>
        <w:widowControl w:val="0"/>
        <w:snapToGrid w:val="0"/>
        <w:spacing w:line="312" w:lineRule="auto"/>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B.法定代表人或负责人或实际控制人是夫妻关系</w:t>
      </w:r>
    </w:p>
    <w:p>
      <w:pPr>
        <w:pStyle w:val="40"/>
        <w:widowControl w:val="0"/>
        <w:snapToGrid w:val="0"/>
        <w:spacing w:line="312" w:lineRule="auto"/>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C.法定代表人或负责人或实际控制人是直系血亲关系</w:t>
      </w:r>
    </w:p>
    <w:p>
      <w:pPr>
        <w:pStyle w:val="40"/>
        <w:widowControl w:val="0"/>
        <w:snapToGrid w:val="0"/>
        <w:spacing w:line="312" w:lineRule="auto"/>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D.法定代表人或负责人或实际控制人存在三代以内旁系血亲关系</w:t>
      </w:r>
    </w:p>
    <w:p>
      <w:pPr>
        <w:pStyle w:val="40"/>
        <w:widowControl w:val="0"/>
        <w:snapToGrid w:val="0"/>
        <w:spacing w:line="312" w:lineRule="auto"/>
        <w:jc w:val="both"/>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E.法定代表人或负责人或实际控制人存在近姻亲关系</w:t>
      </w:r>
    </w:p>
    <w:p>
      <w:pPr>
        <w:pStyle w:val="40"/>
        <w:widowControl w:val="0"/>
        <w:snapToGrid w:val="0"/>
        <w:spacing w:line="312" w:lineRule="auto"/>
        <w:jc w:val="both"/>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F.法定代表人或负责人或实际控制人存在股份控制或实际控制关系</w:t>
      </w:r>
    </w:p>
    <w:p>
      <w:pPr>
        <w:pStyle w:val="40"/>
        <w:widowControl w:val="0"/>
        <w:snapToGrid w:val="0"/>
        <w:spacing w:line="312" w:lineRule="auto"/>
        <w:jc w:val="both"/>
        <w:outlineLvl w:val="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G.存在共同直接或间接投资设立子公司、联营企业和合营企业情况</w:t>
      </w:r>
    </w:p>
    <w:p>
      <w:pPr>
        <w:pStyle w:val="40"/>
        <w:widowControl w:val="0"/>
        <w:snapToGrid w:val="0"/>
        <w:spacing w:line="312"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H.存在分级代理或代销关系、同一生产制造商关系、</w:t>
      </w:r>
      <w:r>
        <w:rPr>
          <w:rFonts w:hint="eastAsia" w:asciiTheme="minorEastAsia" w:hAnsiTheme="minorEastAsia" w:eastAsiaTheme="minorEastAsia" w:cstheme="minorEastAsia"/>
          <w:color w:val="auto"/>
          <w:sz w:val="24"/>
          <w:szCs w:val="24"/>
          <w:highlight w:val="none"/>
        </w:rPr>
        <w:t>管理关系、重要业务（占主营业务收入50%以上）或重要财务往来关系（如融资）等其他实质性控制关系</w:t>
      </w:r>
    </w:p>
    <w:p>
      <w:pPr>
        <w:pStyle w:val="40"/>
        <w:widowControl w:val="0"/>
        <w:snapToGrid w:val="0"/>
        <w:spacing w:line="312" w:lineRule="auto"/>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I</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其他利害关系情况</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pPr>
        <w:pStyle w:val="41"/>
        <w:widowControl/>
        <w:numPr>
          <w:ilvl w:val="0"/>
          <w:numId w:val="4"/>
        </w:numPr>
        <w:snapToGrid w:val="0"/>
        <w:spacing w:line="312" w:lineRule="auto"/>
        <w:ind w:firstLine="453" w:firstLineChars="18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现已清楚知道并</w:t>
      </w:r>
      <w:r>
        <w:rPr>
          <w:rFonts w:hint="eastAsia" w:asciiTheme="minorEastAsia" w:hAnsiTheme="minorEastAsia" w:eastAsiaTheme="minorEastAsia" w:cstheme="minorEastAsia"/>
          <w:color w:val="auto"/>
          <w:kern w:val="0"/>
          <w:sz w:val="24"/>
          <w:szCs w:val="24"/>
          <w:highlight w:val="none"/>
        </w:rPr>
        <w:t>严格遵守政府采购法律法规和现场纪律。</w:t>
      </w:r>
    </w:p>
    <w:p>
      <w:pPr>
        <w:pStyle w:val="41"/>
        <w:widowControl/>
        <w:numPr>
          <w:ilvl w:val="0"/>
          <w:numId w:val="4"/>
        </w:numPr>
        <w:snapToGrid w:val="0"/>
        <w:spacing w:line="312" w:lineRule="auto"/>
        <w:ind w:firstLine="453" w:firstLineChars="18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我发现</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供应商之间存在或可能存在上述第二条第</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项利害关系。</w:t>
      </w:r>
    </w:p>
    <w:p>
      <w:pPr>
        <w:pStyle w:val="40"/>
        <w:widowControl w:val="0"/>
        <w:snapToGrid w:val="0"/>
        <w:spacing w:line="312"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（供应商代表签名）：</w:t>
      </w:r>
    </w:p>
    <w:p>
      <w:pPr>
        <w:pStyle w:val="40"/>
        <w:widowControl w:val="0"/>
        <w:snapToGrid w:val="0"/>
        <w:spacing w:line="312" w:lineRule="auto"/>
        <w:ind w:firstLine="480" w:firstLineChars="2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pStyle w:val="40"/>
        <w:widowControl w:val="0"/>
        <w:snapToGrid w:val="0"/>
        <w:spacing w:line="312"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auto"/>
          <w:sz w:val="24"/>
          <w:szCs w:val="24"/>
          <w:highlight w:val="none"/>
          <w:lang w:val="en-US" w:eastAsia="zh-CN"/>
        </w:rPr>
        <w:t>514383378</w:t>
      </w:r>
      <w:r>
        <w:rPr>
          <w:rFonts w:hint="eastAsia" w:asciiTheme="minorEastAsia" w:hAnsiTheme="minorEastAsia" w:eastAsiaTheme="minorEastAsia" w:cstheme="minorEastAsia"/>
          <w:b/>
          <w:bCs/>
          <w:color w:val="auto"/>
          <w:sz w:val="24"/>
          <w:szCs w:val="24"/>
          <w:highlight w:val="none"/>
        </w:rPr>
        <w:t>@qq.com，联系人：</w:t>
      </w:r>
      <w:r>
        <w:rPr>
          <w:rFonts w:hint="eastAsia" w:asciiTheme="minorEastAsia" w:hAnsiTheme="minorEastAsia" w:eastAsiaTheme="minorEastAsia" w:cstheme="minorEastAsia"/>
          <w:b/>
          <w:bCs/>
          <w:color w:val="auto"/>
          <w:sz w:val="24"/>
          <w:szCs w:val="24"/>
          <w:highlight w:val="none"/>
          <w:lang w:val="en-US" w:eastAsia="zh-CN"/>
        </w:rPr>
        <w:t>金女士</w:t>
      </w:r>
      <w:r>
        <w:rPr>
          <w:rFonts w:hint="eastAsia" w:asciiTheme="minorEastAsia" w:hAnsiTheme="minorEastAsia" w:eastAsiaTheme="minorEastAsia" w:cstheme="minorEastAsia"/>
          <w:b/>
          <w:bCs/>
          <w:color w:val="auto"/>
          <w:sz w:val="24"/>
          <w:szCs w:val="24"/>
          <w:highlight w:val="none"/>
        </w:rPr>
        <w:t>，电话：0579-84123833、</w:t>
      </w:r>
      <w:r>
        <w:rPr>
          <w:rFonts w:hint="eastAsia" w:asciiTheme="minorEastAsia" w:hAnsiTheme="minorEastAsia" w:eastAsiaTheme="minorEastAsia" w:cstheme="minorEastAsia"/>
          <w:b/>
          <w:bCs/>
          <w:color w:val="auto"/>
          <w:sz w:val="24"/>
          <w:szCs w:val="24"/>
          <w:highlight w:val="none"/>
          <w:lang w:eastAsia="zh-CN"/>
        </w:rPr>
        <w:t>13456323069</w:t>
      </w:r>
      <w:r>
        <w:rPr>
          <w:rFonts w:hint="eastAsia" w:asciiTheme="minorEastAsia" w:hAnsiTheme="minorEastAsia" w:eastAsiaTheme="minorEastAsia" w:cstheme="minorEastAsia"/>
          <w:b/>
          <w:bCs/>
          <w:color w:val="auto"/>
          <w:sz w:val="24"/>
          <w:szCs w:val="24"/>
          <w:highlight w:val="none"/>
        </w:rPr>
        <w:t>。未按规定发送的，视为无异议，后果由投标人承担。</w:t>
      </w:r>
    </w:p>
    <w:p>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lang w:val="en-US" w:eastAsia="zh-CN"/>
        </w:rPr>
        <w:t>附件：</w:t>
      </w:r>
      <w:r>
        <w:rPr>
          <w:rFonts w:hint="eastAsia" w:asciiTheme="minorEastAsia" w:hAnsiTheme="minorEastAsia" w:eastAsiaTheme="minorEastAsia" w:cstheme="minorEastAsia"/>
          <w:b/>
          <w:color w:val="auto"/>
          <w:spacing w:val="6"/>
          <w:sz w:val="24"/>
          <w:szCs w:val="24"/>
          <w:highlight w:val="none"/>
        </w:rPr>
        <w:t>质疑函范本及制作说明</w:t>
      </w:r>
    </w:p>
    <w:p>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质疑函范本</w:t>
      </w:r>
    </w:p>
    <w:p>
      <w:pPr>
        <w:adjustRightInd w:val="0"/>
        <w:snapToGrid w:val="0"/>
        <w:spacing w:before="240" w:beforeLines="100"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一、质疑供应商基本信息</w:t>
      </w:r>
    </w:p>
    <w:p>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质疑供应商：</w:t>
      </w: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二、质疑项目基本情况</w:t>
      </w:r>
    </w:p>
    <w:p>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质疑项目的名称：</w:t>
      </w: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采购文件获取日期：</w:t>
      </w: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三、质疑事项具体内容</w:t>
      </w:r>
    </w:p>
    <w:p>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质疑事项1：</w:t>
      </w: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质疑事项2</w:t>
      </w:r>
    </w:p>
    <w:p>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四、与质疑事项相关的质疑请求</w:t>
      </w:r>
    </w:p>
    <w:p>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pPr>
        <w:adjustRightInd w:val="0"/>
        <w:spacing w:line="360" w:lineRule="auto"/>
        <w:jc w:val="center"/>
        <w:rPr>
          <w:rFonts w:hint="eastAsia" w:asciiTheme="minorEastAsia" w:hAnsiTheme="minorEastAsia" w:eastAsiaTheme="minorEastAsia" w:cstheme="minorEastAsia"/>
          <w:b/>
          <w:bCs/>
          <w:color w:val="auto"/>
          <w:sz w:val="24"/>
          <w:szCs w:val="24"/>
          <w:highlight w:val="none"/>
        </w:rPr>
      </w:pPr>
    </w:p>
    <w:p>
      <w:pPr>
        <w:adjustRightInd w:val="0"/>
        <w:spacing w:line="360" w:lineRule="auto"/>
        <w:rPr>
          <w:rFonts w:hint="eastAsia" w:asciiTheme="minorEastAsia" w:hAnsiTheme="minorEastAsia" w:eastAsiaTheme="minorEastAsia" w:cstheme="minorEastAsia"/>
          <w:b/>
          <w:color w:val="auto"/>
          <w:sz w:val="24"/>
          <w:szCs w:val="24"/>
          <w:highlight w:val="none"/>
        </w:rPr>
      </w:pPr>
    </w:p>
    <w:p>
      <w:pPr>
        <w:adjustRightInd w:val="0"/>
        <w:spacing w:line="360" w:lineRule="auto"/>
        <w:rPr>
          <w:rFonts w:hint="eastAsia" w:asciiTheme="minorEastAsia" w:hAnsiTheme="minorEastAsia" w:eastAsiaTheme="minorEastAsia" w:cstheme="minorEastAsia"/>
          <w:b/>
          <w:color w:val="auto"/>
          <w:sz w:val="24"/>
          <w:szCs w:val="24"/>
          <w:highlight w:val="none"/>
        </w:rPr>
      </w:pPr>
    </w:p>
    <w:p>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质疑函制作说明：</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1.供应商提出质疑时，应提交质疑函和必要的证明材料。</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highlight w:val="none"/>
        </w:rPr>
        <w:t>供应商签署的授权委托书。授权委托书应载明代理人的姓名或者名称、代理事项、具体权限、期限和相关事项。</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3.质疑供应商若对项目的某一分包进行质疑，质疑函中应列明具体分包号。</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4.质疑函的质疑事项应具体、明确，并有必要的事实依据和法律依据。</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5.质疑函的质疑请求应与质疑事项相关。</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p>
    <w:p>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附件：投诉书范本及制作说明</w:t>
      </w:r>
    </w:p>
    <w:p>
      <w:pPr>
        <w:adjustRightInd w:val="0"/>
        <w:spacing w:line="360" w:lineRule="auto"/>
        <w:jc w:val="center"/>
        <w:rPr>
          <w:rFonts w:hint="eastAsia" w:asciiTheme="minorEastAsia" w:hAnsiTheme="minorEastAsia" w:eastAsiaTheme="minorEastAsia" w:cstheme="minorEastAsia"/>
          <w:b/>
          <w:color w:val="auto"/>
          <w:sz w:val="24"/>
          <w:szCs w:val="24"/>
          <w:highlight w:val="none"/>
        </w:rPr>
      </w:pPr>
    </w:p>
    <w:p>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投诉书范本</w:t>
      </w:r>
    </w:p>
    <w:p>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一、投诉相关主体基本情况</w:t>
      </w:r>
    </w:p>
    <w:p>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w:t>
      </w:r>
      <w:r>
        <w:rPr>
          <w:rFonts w:hint="eastAsia" w:asciiTheme="minorEastAsia" w:hAnsiTheme="minorEastAsia" w:eastAsiaTheme="minorEastAsia" w:cstheme="minorEastAsia"/>
          <w:color w:val="auto"/>
          <w:sz w:val="24"/>
          <w:szCs w:val="24"/>
          <w:highlight w:val="none"/>
          <w:u w:val="dotted"/>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pPr>
        <w:tabs>
          <w:tab w:val="left" w:pos="6510"/>
        </w:tabs>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法定代表人/主要负责人：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pPr>
        <w:tabs>
          <w:tab w:val="left" w:pos="6510"/>
        </w:tabs>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dotted"/>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被投诉人1：</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被投诉人2</w:t>
      </w:r>
    </w:p>
    <w:p>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相关供应商：</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二、投诉项目基本情况</w:t>
      </w:r>
    </w:p>
    <w:p>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采购项目名称：</w:t>
      </w:r>
      <w:r>
        <w:rPr>
          <w:rFonts w:hint="eastAsia" w:asciiTheme="minorEastAsia" w:hAnsiTheme="minorEastAsia" w:eastAsiaTheme="minorEastAsia" w:cstheme="minorEastAsia"/>
          <w:color w:val="auto"/>
          <w:sz w:val="24"/>
          <w:szCs w:val="24"/>
          <w:highlight w:val="none"/>
          <w:u w:val="dotted"/>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采购项目编号：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代理机构名称：</w:t>
      </w:r>
      <w:r>
        <w:rPr>
          <w:rFonts w:hint="eastAsia" w:asciiTheme="minorEastAsia" w:hAnsiTheme="minorEastAsia" w:eastAsiaTheme="minorEastAsia" w:cstheme="minorEastAsia"/>
          <w:color w:val="auto"/>
          <w:sz w:val="24"/>
          <w:szCs w:val="24"/>
          <w:highlight w:val="none"/>
          <w:u w:val="dotted"/>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采购文件公告:</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采购结果公告:</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三、质疑基本情况</w:t>
      </w:r>
    </w:p>
    <w:p>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日,向</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提出质疑，质疑事项为：</w:t>
      </w:r>
      <w:r>
        <w:rPr>
          <w:rFonts w:hint="eastAsia" w:asciiTheme="minorEastAsia" w:hAnsiTheme="minorEastAsia" w:eastAsiaTheme="minorEastAsia" w:cstheme="minorEastAsia"/>
          <w:color w:val="auto"/>
          <w:sz w:val="24"/>
          <w:szCs w:val="24"/>
          <w:highlight w:val="none"/>
          <w:u w:val="dotted"/>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pPr>
        <w:adjustRightIn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采购人/代理机构</w:t>
      </w:r>
      <w:r>
        <w:rPr>
          <w:rFonts w:hint="eastAsia" w:asciiTheme="minorEastAsia" w:hAnsiTheme="minorEastAsia" w:eastAsiaTheme="minorEastAsia" w:cstheme="minorEastAsia"/>
          <w:color w:val="auto"/>
          <w:sz w:val="24"/>
          <w:szCs w:val="24"/>
          <w:highlight w:val="none"/>
        </w:rPr>
        <w:t>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日,就质疑事项作出了答复/没有在法定期限内作出答复。</w:t>
      </w:r>
    </w:p>
    <w:p>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四、投诉事项具体内容</w:t>
      </w:r>
    </w:p>
    <w:p>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投诉事项 1：</w:t>
      </w:r>
      <w:r>
        <w:rPr>
          <w:rFonts w:hint="eastAsia" w:asciiTheme="minorEastAsia" w:hAnsiTheme="minorEastAsia" w:eastAsiaTheme="minorEastAsia" w:cstheme="minorEastAsia"/>
          <w:color w:val="auto"/>
          <w:sz w:val="24"/>
          <w:szCs w:val="24"/>
          <w:highlight w:val="none"/>
          <w:u w:val="dotted"/>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投诉事项2</w:t>
      </w:r>
    </w:p>
    <w:p>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五、与投诉事项相关的投诉请求</w:t>
      </w:r>
    </w:p>
    <w:p>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w:t>
      </w:r>
    </w:p>
    <w:p>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pPr>
        <w:adjustRightInd w:val="0"/>
        <w:spacing w:line="360" w:lineRule="auto"/>
        <w:rPr>
          <w:rFonts w:hint="eastAsia" w:asciiTheme="minorEastAsia" w:hAnsiTheme="minorEastAsia" w:eastAsiaTheme="minorEastAsia" w:cstheme="minorEastAsia"/>
          <w:b/>
          <w:color w:val="auto"/>
          <w:sz w:val="24"/>
          <w:szCs w:val="24"/>
          <w:highlight w:val="none"/>
        </w:rPr>
      </w:pPr>
    </w:p>
    <w:p>
      <w:pPr>
        <w:adjustRightInd w:val="0"/>
        <w:spacing w:line="360" w:lineRule="auto"/>
        <w:rPr>
          <w:rFonts w:hint="eastAsia" w:asciiTheme="minorEastAsia" w:hAnsiTheme="minorEastAsia" w:eastAsiaTheme="minorEastAsia" w:cstheme="minorEastAsia"/>
          <w:b/>
          <w:color w:val="auto"/>
          <w:sz w:val="24"/>
          <w:szCs w:val="24"/>
          <w:highlight w:val="none"/>
        </w:rPr>
      </w:pPr>
    </w:p>
    <w:p>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投诉书制作说明：</w:t>
      </w:r>
    </w:p>
    <w:p>
      <w:pPr>
        <w:widowControl/>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1.投诉人提起投诉时，应当提交投诉书和必要的证明材料，并按照被投诉人和与投诉事项有关的供应商数量提供投诉书副本。</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highlight w:val="none"/>
        </w:rPr>
        <w:t>投诉人签署的授权委托书。授权委托书应当载明代理人的姓名或者名称、代理事项、具体权限、期限和相关事项。</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3.投诉人若对项目的某一分包进行投诉，投诉书应列明具体分包号。</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4.投诉书应简要列明质疑事项，质疑函、质疑答复等作为附件材料提供。</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5.投诉书的投诉事项应具体、明确，并有必要的事实依据和法律依据。</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6.投诉书的投诉请求应与投诉事项相关。</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adjustRightInd w:val="0"/>
        <w:spacing w:line="240" w:lineRule="auto"/>
        <w:jc w:val="both"/>
        <w:rPr>
          <w:rFonts w:hint="eastAsia" w:asciiTheme="minorEastAsia" w:hAnsiTheme="minorEastAsia" w:eastAsiaTheme="minorEastAsia" w:cstheme="minorEastAsia"/>
          <w:b/>
          <w:color w:val="auto"/>
          <w:spacing w:val="6"/>
          <w:sz w:val="24"/>
          <w:szCs w:val="24"/>
          <w:highlight w:val="none"/>
        </w:rPr>
      </w:pPr>
    </w:p>
    <w:p>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附件</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业务专用章使用说明函</w:t>
      </w:r>
    </w:p>
    <w:p>
      <w:pPr>
        <w:adjustRightInd w:val="0"/>
        <w:spacing w:line="360" w:lineRule="auto"/>
        <w:rPr>
          <w:rFonts w:hint="eastAsia" w:asciiTheme="minorEastAsia" w:hAnsiTheme="minorEastAsia" w:eastAsiaTheme="minorEastAsia" w:cstheme="minorEastAsia"/>
          <w:color w:val="auto"/>
          <w:sz w:val="24"/>
          <w:szCs w:val="24"/>
          <w:highlight w:val="none"/>
          <w:u w:val="single"/>
        </w:rPr>
      </w:pPr>
    </w:p>
    <w:p>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（采购人）、（采购代理机构）</w:t>
      </w:r>
    </w:p>
    <w:p>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我方</w:t>
      </w:r>
      <w:r>
        <w:rPr>
          <w:rFonts w:hint="eastAsia" w:asciiTheme="minorEastAsia" w:hAnsiTheme="minorEastAsia" w:eastAsiaTheme="minorEastAsia" w:cstheme="minorEastAsia"/>
          <w:color w:val="auto"/>
          <w:kern w:val="0"/>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rPr>
        <w:t>(投标人全称)是中华人民共和国依法登记注册的合法企业，</w:t>
      </w:r>
      <w:r>
        <w:rPr>
          <w:rFonts w:hint="eastAsia" w:asciiTheme="minorEastAsia" w:hAnsiTheme="minorEastAsia" w:eastAsiaTheme="minorEastAsia" w:cstheme="minorEastAsia"/>
          <w:bCs/>
          <w:color w:val="auto"/>
          <w:sz w:val="24"/>
          <w:szCs w:val="24"/>
          <w:highlight w:val="none"/>
        </w:rPr>
        <w:t>在参加</w:t>
      </w:r>
      <w:r>
        <w:rPr>
          <w:rFonts w:hint="eastAsia" w:asciiTheme="minorEastAsia" w:hAnsiTheme="minorEastAsia" w:eastAsiaTheme="minorEastAsia" w:cstheme="minorEastAsia"/>
          <w:color w:val="auto"/>
          <w:sz w:val="24"/>
          <w:szCs w:val="24"/>
          <w:highlight w:val="none"/>
        </w:rPr>
        <w:t>你方组织的（项目名称）项目【招标编号：（采购编号）】</w:t>
      </w:r>
      <w:r>
        <w:rPr>
          <w:rFonts w:hint="eastAsia" w:asciiTheme="minorEastAsia" w:hAnsiTheme="minorEastAsia" w:eastAsiaTheme="minorEastAsia" w:cstheme="minorEastAsia"/>
          <w:bCs/>
          <w:color w:val="auto"/>
          <w:sz w:val="24"/>
          <w:szCs w:val="24"/>
          <w:highlight w:val="none"/>
        </w:rPr>
        <w:t>投标活动中作如下说明：</w:t>
      </w:r>
      <w:r>
        <w:rPr>
          <w:rFonts w:hint="eastAsia" w:asciiTheme="minorEastAsia" w:hAnsiTheme="minorEastAsia" w:eastAsiaTheme="minorEastAsia" w:cstheme="minorEastAsia"/>
          <w:color w:val="auto"/>
          <w:sz w:val="24"/>
          <w:szCs w:val="24"/>
          <w:highlight w:val="none"/>
        </w:rPr>
        <w:t xml:space="preserve">我方所使用的“XX专用章”与法定名称章具有同等的法律效力，对使用“XX专用章”的行为予以完全承认，并愿意承担相应责任。   </w:t>
      </w:r>
    </w:p>
    <w:p>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特此说明。</w:t>
      </w:r>
    </w:p>
    <w:p>
      <w:pPr>
        <w:adjustRightInd w:val="0"/>
        <w:spacing w:line="360" w:lineRule="auto"/>
        <w:ind w:firstLine="494"/>
        <w:rPr>
          <w:rFonts w:hint="eastAsia" w:asciiTheme="minorEastAsia" w:hAnsiTheme="minorEastAsia" w:eastAsiaTheme="minorEastAsia" w:cstheme="minorEastAsia"/>
          <w:color w:val="auto"/>
          <w:sz w:val="24"/>
          <w:szCs w:val="24"/>
          <w:highlight w:val="none"/>
        </w:rPr>
      </w:pPr>
    </w:p>
    <w:p>
      <w:pPr>
        <w:adjustRightInd w:val="0"/>
        <w:spacing w:line="360" w:lineRule="auto"/>
        <w:rPr>
          <w:rFonts w:hint="eastAsia" w:asciiTheme="minorEastAsia" w:hAnsiTheme="minorEastAsia" w:eastAsiaTheme="minorEastAsia" w:cstheme="minorEastAsia"/>
          <w:color w:val="auto"/>
          <w:sz w:val="24"/>
          <w:szCs w:val="24"/>
          <w:highlight w:val="none"/>
        </w:rPr>
      </w:pPr>
    </w:p>
    <w:p>
      <w:pPr>
        <w:adjustRightInd w:val="0"/>
        <w:spacing w:line="360" w:lineRule="auto"/>
        <w:ind w:firstLine="494"/>
        <w:rPr>
          <w:rFonts w:hint="eastAsia" w:asciiTheme="minorEastAsia" w:hAnsiTheme="minorEastAsia" w:eastAsiaTheme="minorEastAsia" w:cstheme="minorEastAsia"/>
          <w:color w:val="auto"/>
          <w:sz w:val="24"/>
          <w:szCs w:val="24"/>
          <w:highlight w:val="none"/>
        </w:rPr>
      </w:pPr>
    </w:p>
    <w:p>
      <w:pPr>
        <w:adjustRightInd w:val="0"/>
        <w:spacing w:line="360" w:lineRule="auto"/>
        <w:ind w:right="480" w:firstLine="4080" w:firstLineChars="1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投标单位（法定名称章）：</w:t>
      </w:r>
    </w:p>
    <w:p>
      <w:pPr>
        <w:adjustRightInd w:val="0"/>
        <w:spacing w:line="240" w:lineRule="auto"/>
        <w:ind w:right="1440" w:firstLine="49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日期：       年     月     日</w:t>
      </w:r>
    </w:p>
    <w:p>
      <w:pPr>
        <w:adjustRightInd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附：</w:t>
      </w:r>
    </w:p>
    <w:p>
      <w:pPr>
        <w:adjustRightIn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szCs w:val="24"/>
          <w:highlight w:val="none"/>
        </w:rPr>
        <w:t>投标单位法定名称章（印模）                投标单位“XX专用章”（印模）</w:t>
      </w:r>
    </w:p>
    <w:p>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32"/>
          <w:szCs w:val="32"/>
          <w:highlight w:val="none"/>
        </w:rPr>
      </w:pPr>
    </w:p>
    <w:p>
      <w:pPr>
        <w:rPr>
          <w:rFonts w:hint="eastAsia" w:asciiTheme="minorEastAsia" w:hAnsiTheme="minorEastAsia" w:eastAsiaTheme="minorEastAsia" w:cstheme="minorEastAsia"/>
          <w:color w:val="auto"/>
          <w:highlight w:val="none"/>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jc w:val="center"/>
      <w:rPr>
        <w:rFonts w:ascii="Calibri" w:hAnsi="Calibri" w:eastAsia="黑体"/>
        <w:snapToGrid w:val="0"/>
        <w:kern w:val="0"/>
        <w:sz w:val="18"/>
        <w:szCs w:val="18"/>
      </w:rPr>
    </w:pPr>
  </w:p>
  <w:p>
    <w:pPr>
      <w:snapToGrid w:val="0"/>
      <w:spacing w:line="240" w:lineRule="auto"/>
      <w:jc w:val="center"/>
      <w:rPr>
        <w:rFonts w:ascii="Calibri" w:hAnsi="Calibri" w:eastAsia="黑体"/>
        <w:snapToGrid w:val="0"/>
        <w:kern w:val="0"/>
        <w:sz w:val="18"/>
        <w:szCs w:val="18"/>
      </w:rPr>
    </w:pPr>
    <w:r>
      <w:rPr>
        <w:rFonts w:ascii="Calibri" w:hAnsi="Calibri" w:eastAsia="黑体"/>
        <w:snapToGrid w:val="0"/>
        <w:kern w:val="0"/>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4384;mso-width-relative:page;mso-height-relative:page;" filled="f" stroked="f" coordsize="21600,21600" o:gfxdata="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BGSRtYAAAAGAQAADwAAAAAAAAABACAA&#10;AAAiAAAAZHJzL2Rvd25yZXYueG1sUEsBAhQAFAAAAAgAh07iQKHk7unWAQAAswMAAA4AAAAAAAAA&#10;AQAgAAAAJQEAAGRycy9lMm9Eb2MueG1sUEsFBgAAAAAGAAYAWQEAAG0FAAAAAA==&#10;">
              <v:fill on="f" focussize="0,0"/>
              <v:stroke on="f" weight="1.25pt"/>
              <v:imagedata o:title=""/>
              <o:lock v:ext="edit" aspectratio="f"/>
              <v:textbox inset="0mm,0mm,0mm,0mm" style="mso-fit-shape-to-text:t;">
                <w:txbxContent>
                  <w:p>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v:textbox>
            </v:shape>
          </w:pict>
        </mc:Fallback>
      </mc:AlternateContent>
    </w:r>
  </w:p>
  <w:p>
    <w:pPr>
      <w:snapToGrid w:val="0"/>
      <w:spacing w:line="240" w:lineRule="auto"/>
      <w:jc w:val="left"/>
      <w:rPr>
        <w:rFonts w:ascii="Calibri" w:hAnsi="Calibri" w:eastAsia="黑体"/>
        <w:snapToGrid w:val="0"/>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rFonts w:ascii="Calibri" w:hAnsi="Calibri" w:eastAsia="宋体"/>
        <w:sz w:val="20"/>
        <w:szCs w:val="20"/>
      </w:rPr>
    </w:pPr>
    <w:r>
      <w:rPr>
        <w:rFonts w:ascii="Calibri" w:hAnsi="Calibri" w:eastAsia="宋体"/>
        <w:sz w:val="21"/>
        <w:szCs w:val="24"/>
      </w:rPr>
      <mc:AlternateContent>
        <mc:Choice Requires="wps">
          <w:drawing>
            <wp:anchor distT="0" distB="0" distL="114300" distR="114300" simplePos="0" relativeHeight="251661312"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pPr>
                            <w:spacing w:line="240" w:lineRule="auto"/>
                            <w:rPr>
                              <w:rFonts w:ascii="Calibri" w:hAnsi="Calibri" w:eastAsia="宋体"/>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5168;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EEYCQy5AQAAgAMAAA4AAAAAAAAAAQAgAAAAJwEAAGRycy9lMm9Eb2MueG1sUEsF&#10;BgAAAAAGAAYAWQEAAFIFAAAAAA==&#10;">
              <v:fill on="f" focussize="0,0"/>
              <v:stroke on="f"/>
              <v:imagedata o:title=""/>
              <o:lock v:ext="edit" aspectratio="f"/>
              <v:textbox inset="0mm,0mm,0mm,0mm">
                <w:txbxContent>
                  <w:p>
                    <w:pPr>
                      <w:spacing w:line="240" w:lineRule="auto"/>
                      <w:rPr>
                        <w:rFonts w:ascii="Calibri" w:hAnsi="Calibri" w:eastAsia="宋体"/>
                        <w:sz w:val="21"/>
                        <w:szCs w:val="24"/>
                      </w:rPr>
                    </w:pPr>
                  </w:p>
                </w:txbxContent>
              </v:textbox>
            </v:shape>
          </w:pict>
        </mc:Fallback>
      </mc:AlternateContent>
    </w:r>
    <w:r>
      <w:rPr>
        <w:rFonts w:ascii="Calibri" w:hAnsi="Calibri" w:eastAsia="宋体"/>
        <w:sz w:val="21"/>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0OqF4vwEAAIADAAAOAAAAAAAAAAEAIAAAACgBAABkcnMvZTJvRG9j&#10;LnhtbFBLBQYAAAAABgAGAFkBAABZBQAAAAA=&#10;">
              <v:fill on="f" focussize="0,0"/>
              <v:stroke on="f"/>
              <v:imagedata o:title=""/>
              <o:lock v:ext="edit" aspectratio="f"/>
              <v:textbox inset="0mm,0mm,0mm,0mm">
                <w:txbxContent>
                  <w:p>
                    <w:pPr>
                      <w:spacing w:line="214" w:lineRule="exact"/>
                      <w:jc w:val="left"/>
                      <w:rPr>
                        <w:rFonts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abstractNum w:abstractNumId="2">
    <w:nsid w:val="59AA2600"/>
    <w:multiLevelType w:val="singleLevel"/>
    <w:tmpl w:val="59AA2600"/>
    <w:lvl w:ilvl="0" w:tentative="0">
      <w:start w:val="2"/>
      <w:numFmt w:val="decimal"/>
      <w:suff w:val="space"/>
      <w:lvlText w:val="（%1）"/>
      <w:lvlJc w:val="left"/>
    </w:lvl>
  </w:abstractNum>
  <w:abstractNum w:abstractNumId="3">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Nzk0MjY1MTFkMmI4MmY1YTI1ZmJhYjY5ZDAzOWEifQ=="/>
    <w:docVar w:name="KSO_WPS_MARK_KEY" w:val="1bb9916d-925d-4e2b-9724-3343c71f8a7a"/>
  </w:docVars>
  <w:rsids>
    <w:rsidRoot w:val="00172A27"/>
    <w:rsid w:val="00022D4D"/>
    <w:rsid w:val="000E3650"/>
    <w:rsid w:val="001E63EA"/>
    <w:rsid w:val="004A3A51"/>
    <w:rsid w:val="004B65B3"/>
    <w:rsid w:val="006D5437"/>
    <w:rsid w:val="00816193"/>
    <w:rsid w:val="009C4E76"/>
    <w:rsid w:val="00A364B9"/>
    <w:rsid w:val="00F0090F"/>
    <w:rsid w:val="01266240"/>
    <w:rsid w:val="013251AC"/>
    <w:rsid w:val="01430838"/>
    <w:rsid w:val="0146794B"/>
    <w:rsid w:val="01514167"/>
    <w:rsid w:val="016D1EEA"/>
    <w:rsid w:val="01785B98"/>
    <w:rsid w:val="01963151"/>
    <w:rsid w:val="01A95AA3"/>
    <w:rsid w:val="01D84888"/>
    <w:rsid w:val="01DA0D45"/>
    <w:rsid w:val="01F33470"/>
    <w:rsid w:val="02102EE8"/>
    <w:rsid w:val="021F0E47"/>
    <w:rsid w:val="022F6B7C"/>
    <w:rsid w:val="025C1016"/>
    <w:rsid w:val="026D4B89"/>
    <w:rsid w:val="027559A5"/>
    <w:rsid w:val="02980763"/>
    <w:rsid w:val="02BF7F6B"/>
    <w:rsid w:val="02C66818"/>
    <w:rsid w:val="02DD18B6"/>
    <w:rsid w:val="02F523A5"/>
    <w:rsid w:val="02FF592B"/>
    <w:rsid w:val="030F42DA"/>
    <w:rsid w:val="03195159"/>
    <w:rsid w:val="03687BD5"/>
    <w:rsid w:val="03840F4D"/>
    <w:rsid w:val="039D55F6"/>
    <w:rsid w:val="03AE3AF3"/>
    <w:rsid w:val="040E161C"/>
    <w:rsid w:val="04111670"/>
    <w:rsid w:val="04906AFB"/>
    <w:rsid w:val="04B84620"/>
    <w:rsid w:val="04C86E57"/>
    <w:rsid w:val="04D37B9E"/>
    <w:rsid w:val="04D942E4"/>
    <w:rsid w:val="04E3055C"/>
    <w:rsid w:val="04ED6048"/>
    <w:rsid w:val="04F27A0F"/>
    <w:rsid w:val="05087233"/>
    <w:rsid w:val="050A6C0A"/>
    <w:rsid w:val="05205135"/>
    <w:rsid w:val="05270898"/>
    <w:rsid w:val="053A13B6"/>
    <w:rsid w:val="054E42B3"/>
    <w:rsid w:val="056B3129"/>
    <w:rsid w:val="057E6D61"/>
    <w:rsid w:val="05D459D3"/>
    <w:rsid w:val="05D6094B"/>
    <w:rsid w:val="05D81EC4"/>
    <w:rsid w:val="05DC524B"/>
    <w:rsid w:val="05F56F81"/>
    <w:rsid w:val="06045AA9"/>
    <w:rsid w:val="06071298"/>
    <w:rsid w:val="06163B39"/>
    <w:rsid w:val="061C75DF"/>
    <w:rsid w:val="062777F1"/>
    <w:rsid w:val="062B6229"/>
    <w:rsid w:val="06345443"/>
    <w:rsid w:val="0653338F"/>
    <w:rsid w:val="06581AF4"/>
    <w:rsid w:val="066C0621"/>
    <w:rsid w:val="069C0489"/>
    <w:rsid w:val="06A0349B"/>
    <w:rsid w:val="06AF3B34"/>
    <w:rsid w:val="06C02D18"/>
    <w:rsid w:val="06E027E8"/>
    <w:rsid w:val="06F01445"/>
    <w:rsid w:val="07195727"/>
    <w:rsid w:val="07283BBC"/>
    <w:rsid w:val="075D2619"/>
    <w:rsid w:val="0777782E"/>
    <w:rsid w:val="077E558A"/>
    <w:rsid w:val="077F6846"/>
    <w:rsid w:val="07C67B74"/>
    <w:rsid w:val="07C96E31"/>
    <w:rsid w:val="07CB4548"/>
    <w:rsid w:val="07E27A1E"/>
    <w:rsid w:val="080A5AE0"/>
    <w:rsid w:val="08105E4A"/>
    <w:rsid w:val="08236132"/>
    <w:rsid w:val="082C4FE6"/>
    <w:rsid w:val="0858227F"/>
    <w:rsid w:val="08625F30"/>
    <w:rsid w:val="08A34C53"/>
    <w:rsid w:val="08D65F4B"/>
    <w:rsid w:val="08D72CFC"/>
    <w:rsid w:val="08F875BE"/>
    <w:rsid w:val="09023951"/>
    <w:rsid w:val="092D0DA0"/>
    <w:rsid w:val="092E7F7A"/>
    <w:rsid w:val="09320F75"/>
    <w:rsid w:val="096F4D95"/>
    <w:rsid w:val="097053A7"/>
    <w:rsid w:val="097F33FA"/>
    <w:rsid w:val="098A005C"/>
    <w:rsid w:val="09A454D4"/>
    <w:rsid w:val="09AC7F67"/>
    <w:rsid w:val="09B45767"/>
    <w:rsid w:val="09B90AFC"/>
    <w:rsid w:val="09D662AB"/>
    <w:rsid w:val="09D75426"/>
    <w:rsid w:val="09E55D95"/>
    <w:rsid w:val="09EA5159"/>
    <w:rsid w:val="09EE4D5A"/>
    <w:rsid w:val="0A097E1C"/>
    <w:rsid w:val="0A323DCB"/>
    <w:rsid w:val="0A330A9D"/>
    <w:rsid w:val="0A3629AD"/>
    <w:rsid w:val="0A3C7C8C"/>
    <w:rsid w:val="0A474359"/>
    <w:rsid w:val="0ACA0AE6"/>
    <w:rsid w:val="0AEE0C79"/>
    <w:rsid w:val="0AF33435"/>
    <w:rsid w:val="0B092197"/>
    <w:rsid w:val="0B183F48"/>
    <w:rsid w:val="0B250200"/>
    <w:rsid w:val="0B4B7E79"/>
    <w:rsid w:val="0B5B6DBA"/>
    <w:rsid w:val="0B7A048B"/>
    <w:rsid w:val="0B8D04E6"/>
    <w:rsid w:val="0BE2469C"/>
    <w:rsid w:val="0BFA0312"/>
    <w:rsid w:val="0C1A12BC"/>
    <w:rsid w:val="0C474AE5"/>
    <w:rsid w:val="0CAE4620"/>
    <w:rsid w:val="0CB101B0"/>
    <w:rsid w:val="0CB26A0C"/>
    <w:rsid w:val="0CD12600"/>
    <w:rsid w:val="0CE50AA7"/>
    <w:rsid w:val="0CEC568C"/>
    <w:rsid w:val="0D237D3D"/>
    <w:rsid w:val="0D4C577C"/>
    <w:rsid w:val="0D6C6B30"/>
    <w:rsid w:val="0D71793F"/>
    <w:rsid w:val="0D84798A"/>
    <w:rsid w:val="0DAA021A"/>
    <w:rsid w:val="0DAB4BFF"/>
    <w:rsid w:val="0DC66F3D"/>
    <w:rsid w:val="0E3310C6"/>
    <w:rsid w:val="0E4532A6"/>
    <w:rsid w:val="0E453979"/>
    <w:rsid w:val="0E5F6E06"/>
    <w:rsid w:val="0E673936"/>
    <w:rsid w:val="0E68551B"/>
    <w:rsid w:val="0E686A3B"/>
    <w:rsid w:val="0E6B6937"/>
    <w:rsid w:val="0E705A43"/>
    <w:rsid w:val="0E7B0A75"/>
    <w:rsid w:val="0E9E6834"/>
    <w:rsid w:val="0EA93835"/>
    <w:rsid w:val="0EB13B2F"/>
    <w:rsid w:val="0EBB70C4"/>
    <w:rsid w:val="0EE37B71"/>
    <w:rsid w:val="0EF95E3E"/>
    <w:rsid w:val="0F073315"/>
    <w:rsid w:val="0F1C7457"/>
    <w:rsid w:val="0F1F58A5"/>
    <w:rsid w:val="0F2B55F6"/>
    <w:rsid w:val="0F466D20"/>
    <w:rsid w:val="0F5A6277"/>
    <w:rsid w:val="0F975858"/>
    <w:rsid w:val="0FBE0A70"/>
    <w:rsid w:val="0FD146C5"/>
    <w:rsid w:val="0FDA69F6"/>
    <w:rsid w:val="102201FD"/>
    <w:rsid w:val="102E1B18"/>
    <w:rsid w:val="104565D7"/>
    <w:rsid w:val="10493D7B"/>
    <w:rsid w:val="10507CE0"/>
    <w:rsid w:val="105E0CDE"/>
    <w:rsid w:val="10646D28"/>
    <w:rsid w:val="10A30D98"/>
    <w:rsid w:val="10C009C2"/>
    <w:rsid w:val="10D80401"/>
    <w:rsid w:val="10E01064"/>
    <w:rsid w:val="10E459A9"/>
    <w:rsid w:val="10F13271"/>
    <w:rsid w:val="110C6F27"/>
    <w:rsid w:val="11205904"/>
    <w:rsid w:val="11546651"/>
    <w:rsid w:val="11845E93"/>
    <w:rsid w:val="11877E6D"/>
    <w:rsid w:val="11B60016"/>
    <w:rsid w:val="11D432F6"/>
    <w:rsid w:val="11DD7458"/>
    <w:rsid w:val="11EE745B"/>
    <w:rsid w:val="12015736"/>
    <w:rsid w:val="120D0CBE"/>
    <w:rsid w:val="1223709E"/>
    <w:rsid w:val="1253154F"/>
    <w:rsid w:val="12550BC4"/>
    <w:rsid w:val="125E1F16"/>
    <w:rsid w:val="12887C05"/>
    <w:rsid w:val="128E58B4"/>
    <w:rsid w:val="12942106"/>
    <w:rsid w:val="12A0411B"/>
    <w:rsid w:val="12A10CC7"/>
    <w:rsid w:val="12C83C5B"/>
    <w:rsid w:val="12CF72F0"/>
    <w:rsid w:val="12E90D0E"/>
    <w:rsid w:val="12F646BF"/>
    <w:rsid w:val="131427AB"/>
    <w:rsid w:val="13160D6D"/>
    <w:rsid w:val="131D034D"/>
    <w:rsid w:val="132F1E2E"/>
    <w:rsid w:val="132F6F6F"/>
    <w:rsid w:val="13561816"/>
    <w:rsid w:val="1356385F"/>
    <w:rsid w:val="136D548D"/>
    <w:rsid w:val="13BA0DB6"/>
    <w:rsid w:val="13C73F1E"/>
    <w:rsid w:val="13ED2B6A"/>
    <w:rsid w:val="14003F77"/>
    <w:rsid w:val="140B52A1"/>
    <w:rsid w:val="14302302"/>
    <w:rsid w:val="14315F33"/>
    <w:rsid w:val="143F42F3"/>
    <w:rsid w:val="14691D6D"/>
    <w:rsid w:val="146B158C"/>
    <w:rsid w:val="146C1B33"/>
    <w:rsid w:val="14744FF2"/>
    <w:rsid w:val="14832432"/>
    <w:rsid w:val="149068D0"/>
    <w:rsid w:val="14FB36CC"/>
    <w:rsid w:val="14FE77F3"/>
    <w:rsid w:val="150B7FF3"/>
    <w:rsid w:val="153C5E15"/>
    <w:rsid w:val="154B38B6"/>
    <w:rsid w:val="154E0711"/>
    <w:rsid w:val="15516E89"/>
    <w:rsid w:val="155A2007"/>
    <w:rsid w:val="155C5E11"/>
    <w:rsid w:val="157B1B29"/>
    <w:rsid w:val="15C41F6F"/>
    <w:rsid w:val="15E6668D"/>
    <w:rsid w:val="161146FA"/>
    <w:rsid w:val="16394EC0"/>
    <w:rsid w:val="16421E79"/>
    <w:rsid w:val="164521C2"/>
    <w:rsid w:val="166D4C9E"/>
    <w:rsid w:val="168101D2"/>
    <w:rsid w:val="168B4C39"/>
    <w:rsid w:val="16DC407B"/>
    <w:rsid w:val="16F33848"/>
    <w:rsid w:val="170B1DD8"/>
    <w:rsid w:val="17142A15"/>
    <w:rsid w:val="1725731E"/>
    <w:rsid w:val="17572B9C"/>
    <w:rsid w:val="17C370BB"/>
    <w:rsid w:val="17D52EA1"/>
    <w:rsid w:val="17FE0021"/>
    <w:rsid w:val="18134CAA"/>
    <w:rsid w:val="18250CCB"/>
    <w:rsid w:val="1844012A"/>
    <w:rsid w:val="184C6518"/>
    <w:rsid w:val="188906B7"/>
    <w:rsid w:val="18893D8F"/>
    <w:rsid w:val="189E637B"/>
    <w:rsid w:val="18AB6CAC"/>
    <w:rsid w:val="18D474AB"/>
    <w:rsid w:val="18DA370C"/>
    <w:rsid w:val="18F31102"/>
    <w:rsid w:val="19002914"/>
    <w:rsid w:val="19063631"/>
    <w:rsid w:val="1935586F"/>
    <w:rsid w:val="19831126"/>
    <w:rsid w:val="19990039"/>
    <w:rsid w:val="19B250D3"/>
    <w:rsid w:val="1A345F7C"/>
    <w:rsid w:val="1A413514"/>
    <w:rsid w:val="1A431D69"/>
    <w:rsid w:val="1A692698"/>
    <w:rsid w:val="1A6C20A0"/>
    <w:rsid w:val="1A8769F4"/>
    <w:rsid w:val="1A8B7005"/>
    <w:rsid w:val="1A8C0104"/>
    <w:rsid w:val="1B1A1616"/>
    <w:rsid w:val="1B2D1349"/>
    <w:rsid w:val="1B630C86"/>
    <w:rsid w:val="1B6D7AC9"/>
    <w:rsid w:val="1B7370E9"/>
    <w:rsid w:val="1B742AD4"/>
    <w:rsid w:val="1B823818"/>
    <w:rsid w:val="1B953F7D"/>
    <w:rsid w:val="1BB21D96"/>
    <w:rsid w:val="1BC54B1A"/>
    <w:rsid w:val="1BC60097"/>
    <w:rsid w:val="1BCA5074"/>
    <w:rsid w:val="1BCF2374"/>
    <w:rsid w:val="1BCF6D07"/>
    <w:rsid w:val="1BD33F1D"/>
    <w:rsid w:val="1BD96DDB"/>
    <w:rsid w:val="1C59115B"/>
    <w:rsid w:val="1C7134B8"/>
    <w:rsid w:val="1C817464"/>
    <w:rsid w:val="1C97097C"/>
    <w:rsid w:val="1CB9400D"/>
    <w:rsid w:val="1CCC4063"/>
    <w:rsid w:val="1CDA364E"/>
    <w:rsid w:val="1CE47BC2"/>
    <w:rsid w:val="1CEC486D"/>
    <w:rsid w:val="1D3F5649"/>
    <w:rsid w:val="1D4B1F5B"/>
    <w:rsid w:val="1D5B213A"/>
    <w:rsid w:val="1D7414B2"/>
    <w:rsid w:val="1D84721B"/>
    <w:rsid w:val="1D862F93"/>
    <w:rsid w:val="1DA022A7"/>
    <w:rsid w:val="1DA653E3"/>
    <w:rsid w:val="1DE17F63"/>
    <w:rsid w:val="1DF63C75"/>
    <w:rsid w:val="1DFF2E17"/>
    <w:rsid w:val="1E043956"/>
    <w:rsid w:val="1E1D2544"/>
    <w:rsid w:val="1E271A9B"/>
    <w:rsid w:val="1E3D22C1"/>
    <w:rsid w:val="1E4A2212"/>
    <w:rsid w:val="1E4E1D03"/>
    <w:rsid w:val="1E566E09"/>
    <w:rsid w:val="1E63672A"/>
    <w:rsid w:val="1E686B6B"/>
    <w:rsid w:val="1E936522"/>
    <w:rsid w:val="1E952B6A"/>
    <w:rsid w:val="1EA266C0"/>
    <w:rsid w:val="1EAA018A"/>
    <w:rsid w:val="1EAC1325"/>
    <w:rsid w:val="1EBB6C6C"/>
    <w:rsid w:val="1EBD0C36"/>
    <w:rsid w:val="1EBF1AE5"/>
    <w:rsid w:val="1EBF49AE"/>
    <w:rsid w:val="1EE35596"/>
    <w:rsid w:val="1EEB49C3"/>
    <w:rsid w:val="1F4D7718"/>
    <w:rsid w:val="1F6115C2"/>
    <w:rsid w:val="1F6C6BE1"/>
    <w:rsid w:val="1F7312F5"/>
    <w:rsid w:val="1F822D28"/>
    <w:rsid w:val="1FA80624"/>
    <w:rsid w:val="1FAA11BB"/>
    <w:rsid w:val="1FB13C8F"/>
    <w:rsid w:val="1FB3239F"/>
    <w:rsid w:val="1FB335F7"/>
    <w:rsid w:val="1FC97167"/>
    <w:rsid w:val="1FF04E80"/>
    <w:rsid w:val="1FF51CDF"/>
    <w:rsid w:val="1FF7772D"/>
    <w:rsid w:val="201B5C14"/>
    <w:rsid w:val="201B64C7"/>
    <w:rsid w:val="201F2406"/>
    <w:rsid w:val="203171E6"/>
    <w:rsid w:val="204F69D2"/>
    <w:rsid w:val="20520C59"/>
    <w:rsid w:val="206257A1"/>
    <w:rsid w:val="20707B18"/>
    <w:rsid w:val="20843875"/>
    <w:rsid w:val="209F6845"/>
    <w:rsid w:val="20B50DA4"/>
    <w:rsid w:val="20B83463"/>
    <w:rsid w:val="20D22EE3"/>
    <w:rsid w:val="20DB5810"/>
    <w:rsid w:val="20F70D43"/>
    <w:rsid w:val="210E0EEE"/>
    <w:rsid w:val="21181624"/>
    <w:rsid w:val="212E20EC"/>
    <w:rsid w:val="2137517C"/>
    <w:rsid w:val="215C64E4"/>
    <w:rsid w:val="21934799"/>
    <w:rsid w:val="219D1F1A"/>
    <w:rsid w:val="21F901D7"/>
    <w:rsid w:val="22001566"/>
    <w:rsid w:val="22044B7A"/>
    <w:rsid w:val="220B7F0B"/>
    <w:rsid w:val="222F1E4B"/>
    <w:rsid w:val="222F1EDF"/>
    <w:rsid w:val="226745E1"/>
    <w:rsid w:val="2269608B"/>
    <w:rsid w:val="2272003C"/>
    <w:rsid w:val="227D743D"/>
    <w:rsid w:val="22827E15"/>
    <w:rsid w:val="228512B8"/>
    <w:rsid w:val="22995516"/>
    <w:rsid w:val="22CC1274"/>
    <w:rsid w:val="22F866E1"/>
    <w:rsid w:val="22F97F47"/>
    <w:rsid w:val="230C5CE8"/>
    <w:rsid w:val="232505E0"/>
    <w:rsid w:val="23264FFC"/>
    <w:rsid w:val="2361764F"/>
    <w:rsid w:val="239F4DAE"/>
    <w:rsid w:val="23B20B88"/>
    <w:rsid w:val="23DA5DE6"/>
    <w:rsid w:val="23DD1433"/>
    <w:rsid w:val="23ED7304"/>
    <w:rsid w:val="23FD7BD8"/>
    <w:rsid w:val="243F7F59"/>
    <w:rsid w:val="24747FE9"/>
    <w:rsid w:val="247E5533"/>
    <w:rsid w:val="2492046F"/>
    <w:rsid w:val="249D7540"/>
    <w:rsid w:val="24AF7171"/>
    <w:rsid w:val="24C85C3F"/>
    <w:rsid w:val="24F1062F"/>
    <w:rsid w:val="25062104"/>
    <w:rsid w:val="251D73FB"/>
    <w:rsid w:val="253F0DC9"/>
    <w:rsid w:val="2540611D"/>
    <w:rsid w:val="25573F6E"/>
    <w:rsid w:val="257A3908"/>
    <w:rsid w:val="25900E53"/>
    <w:rsid w:val="25B96178"/>
    <w:rsid w:val="25C654E9"/>
    <w:rsid w:val="25CF0E14"/>
    <w:rsid w:val="25EC5E97"/>
    <w:rsid w:val="25F25669"/>
    <w:rsid w:val="25F47331"/>
    <w:rsid w:val="26000FFC"/>
    <w:rsid w:val="261E6923"/>
    <w:rsid w:val="264C2EC3"/>
    <w:rsid w:val="2674607E"/>
    <w:rsid w:val="26904E87"/>
    <w:rsid w:val="26926505"/>
    <w:rsid w:val="27247AA4"/>
    <w:rsid w:val="273B4DEE"/>
    <w:rsid w:val="27531BDA"/>
    <w:rsid w:val="2769195B"/>
    <w:rsid w:val="278301EA"/>
    <w:rsid w:val="279938C3"/>
    <w:rsid w:val="27B73209"/>
    <w:rsid w:val="27BB1632"/>
    <w:rsid w:val="27CB6172"/>
    <w:rsid w:val="280B7BC3"/>
    <w:rsid w:val="280E0EF6"/>
    <w:rsid w:val="28213FE4"/>
    <w:rsid w:val="28486AB3"/>
    <w:rsid w:val="284D6D1F"/>
    <w:rsid w:val="28635958"/>
    <w:rsid w:val="286B1703"/>
    <w:rsid w:val="286C4031"/>
    <w:rsid w:val="287265EE"/>
    <w:rsid w:val="28837CAE"/>
    <w:rsid w:val="28B40580"/>
    <w:rsid w:val="28D2408A"/>
    <w:rsid w:val="2909272D"/>
    <w:rsid w:val="290F02E0"/>
    <w:rsid w:val="292A6EC8"/>
    <w:rsid w:val="293A2527"/>
    <w:rsid w:val="293E2974"/>
    <w:rsid w:val="29453CC8"/>
    <w:rsid w:val="29712D49"/>
    <w:rsid w:val="2973261D"/>
    <w:rsid w:val="29736FE5"/>
    <w:rsid w:val="298D3A07"/>
    <w:rsid w:val="29954C89"/>
    <w:rsid w:val="299A0DCF"/>
    <w:rsid w:val="29F37C02"/>
    <w:rsid w:val="2A375D41"/>
    <w:rsid w:val="2A7C1C44"/>
    <w:rsid w:val="2A881ACC"/>
    <w:rsid w:val="2A8E573C"/>
    <w:rsid w:val="2A9867EC"/>
    <w:rsid w:val="2A994305"/>
    <w:rsid w:val="2ACF7D27"/>
    <w:rsid w:val="2AE6153A"/>
    <w:rsid w:val="2AE70C2A"/>
    <w:rsid w:val="2AFE23BA"/>
    <w:rsid w:val="2B2636BF"/>
    <w:rsid w:val="2B277B63"/>
    <w:rsid w:val="2B540338"/>
    <w:rsid w:val="2B9351F9"/>
    <w:rsid w:val="2BFC07F2"/>
    <w:rsid w:val="2BFD143A"/>
    <w:rsid w:val="2C030E8A"/>
    <w:rsid w:val="2C1616D2"/>
    <w:rsid w:val="2C4B5AD3"/>
    <w:rsid w:val="2C581F9E"/>
    <w:rsid w:val="2C5E2AE6"/>
    <w:rsid w:val="2C615151"/>
    <w:rsid w:val="2C952E29"/>
    <w:rsid w:val="2CB02F40"/>
    <w:rsid w:val="2CD535EF"/>
    <w:rsid w:val="2CD979CA"/>
    <w:rsid w:val="2CEC4B80"/>
    <w:rsid w:val="2CEC6B9E"/>
    <w:rsid w:val="2D2C05A7"/>
    <w:rsid w:val="2D3A44A6"/>
    <w:rsid w:val="2D465E11"/>
    <w:rsid w:val="2D536E7A"/>
    <w:rsid w:val="2D997E41"/>
    <w:rsid w:val="2DAF2B71"/>
    <w:rsid w:val="2DB33930"/>
    <w:rsid w:val="2DB41456"/>
    <w:rsid w:val="2DB62480"/>
    <w:rsid w:val="2DEA78B6"/>
    <w:rsid w:val="2DFA155E"/>
    <w:rsid w:val="2E007628"/>
    <w:rsid w:val="2E1C279B"/>
    <w:rsid w:val="2E2760CC"/>
    <w:rsid w:val="2E3B530B"/>
    <w:rsid w:val="2E4459F4"/>
    <w:rsid w:val="2E7110F5"/>
    <w:rsid w:val="2E81758A"/>
    <w:rsid w:val="2E8D0030"/>
    <w:rsid w:val="2EDB3428"/>
    <w:rsid w:val="2EFF232D"/>
    <w:rsid w:val="2F0876B5"/>
    <w:rsid w:val="2F776BDF"/>
    <w:rsid w:val="2F827A5E"/>
    <w:rsid w:val="2FA322D7"/>
    <w:rsid w:val="2FA65EC1"/>
    <w:rsid w:val="2FB248B0"/>
    <w:rsid w:val="2FBA5F25"/>
    <w:rsid w:val="2FCD5D5B"/>
    <w:rsid w:val="2FDB378B"/>
    <w:rsid w:val="2FDC6A42"/>
    <w:rsid w:val="2FE204FD"/>
    <w:rsid w:val="30025F37"/>
    <w:rsid w:val="30091F65"/>
    <w:rsid w:val="300D27B6"/>
    <w:rsid w:val="30324007"/>
    <w:rsid w:val="303E7CF5"/>
    <w:rsid w:val="30410E15"/>
    <w:rsid w:val="304707A2"/>
    <w:rsid w:val="304B7410"/>
    <w:rsid w:val="304F45B6"/>
    <w:rsid w:val="305A130B"/>
    <w:rsid w:val="306C426A"/>
    <w:rsid w:val="30817D16"/>
    <w:rsid w:val="30881BCD"/>
    <w:rsid w:val="30B75EDA"/>
    <w:rsid w:val="30E5709D"/>
    <w:rsid w:val="30EA7294"/>
    <w:rsid w:val="30F22C18"/>
    <w:rsid w:val="31305298"/>
    <w:rsid w:val="313A6116"/>
    <w:rsid w:val="31794069"/>
    <w:rsid w:val="31A041CB"/>
    <w:rsid w:val="31A16195"/>
    <w:rsid w:val="31D40319"/>
    <w:rsid w:val="31D433CA"/>
    <w:rsid w:val="3208683C"/>
    <w:rsid w:val="32180206"/>
    <w:rsid w:val="32364B30"/>
    <w:rsid w:val="3250281F"/>
    <w:rsid w:val="32686A38"/>
    <w:rsid w:val="32743D5D"/>
    <w:rsid w:val="32AC7DB5"/>
    <w:rsid w:val="32C72D60"/>
    <w:rsid w:val="32D327C9"/>
    <w:rsid w:val="32FF13C6"/>
    <w:rsid w:val="331D6C5F"/>
    <w:rsid w:val="33302999"/>
    <w:rsid w:val="333D2F8E"/>
    <w:rsid w:val="336851BD"/>
    <w:rsid w:val="336A2CE3"/>
    <w:rsid w:val="338D64EF"/>
    <w:rsid w:val="33B50C25"/>
    <w:rsid w:val="33CF2B46"/>
    <w:rsid w:val="33DB2E25"/>
    <w:rsid w:val="33E74334"/>
    <w:rsid w:val="33EF77E5"/>
    <w:rsid w:val="34053C0C"/>
    <w:rsid w:val="341713FC"/>
    <w:rsid w:val="3417585B"/>
    <w:rsid w:val="346C2A8B"/>
    <w:rsid w:val="34767465"/>
    <w:rsid w:val="348F6779"/>
    <w:rsid w:val="3494763A"/>
    <w:rsid w:val="349974E7"/>
    <w:rsid w:val="34C36335"/>
    <w:rsid w:val="34C42847"/>
    <w:rsid w:val="34C77CC1"/>
    <w:rsid w:val="34D93120"/>
    <w:rsid w:val="34E56493"/>
    <w:rsid w:val="34EB0CD0"/>
    <w:rsid w:val="34FC1B12"/>
    <w:rsid w:val="35112B4A"/>
    <w:rsid w:val="35425726"/>
    <w:rsid w:val="35433C75"/>
    <w:rsid w:val="355C3010"/>
    <w:rsid w:val="358374A1"/>
    <w:rsid w:val="35C13550"/>
    <w:rsid w:val="35CE3765"/>
    <w:rsid w:val="36062A6B"/>
    <w:rsid w:val="360B41F6"/>
    <w:rsid w:val="36237179"/>
    <w:rsid w:val="36356EAC"/>
    <w:rsid w:val="36380E96"/>
    <w:rsid w:val="365F6841"/>
    <w:rsid w:val="36BA5F52"/>
    <w:rsid w:val="36CA265A"/>
    <w:rsid w:val="36F23C0E"/>
    <w:rsid w:val="36FF4C2D"/>
    <w:rsid w:val="370A0339"/>
    <w:rsid w:val="37205599"/>
    <w:rsid w:val="372C2D34"/>
    <w:rsid w:val="374E3303"/>
    <w:rsid w:val="37597384"/>
    <w:rsid w:val="375F68D7"/>
    <w:rsid w:val="37781747"/>
    <w:rsid w:val="377E5277"/>
    <w:rsid w:val="37823111"/>
    <w:rsid w:val="378D3F39"/>
    <w:rsid w:val="379B1D56"/>
    <w:rsid w:val="37B26A07"/>
    <w:rsid w:val="37B565B2"/>
    <w:rsid w:val="37C4673A"/>
    <w:rsid w:val="37D01583"/>
    <w:rsid w:val="37F16B54"/>
    <w:rsid w:val="37F45765"/>
    <w:rsid w:val="37F665FF"/>
    <w:rsid w:val="37F75AC9"/>
    <w:rsid w:val="38050FA6"/>
    <w:rsid w:val="38137719"/>
    <w:rsid w:val="381C47C8"/>
    <w:rsid w:val="38284F1B"/>
    <w:rsid w:val="384B0C09"/>
    <w:rsid w:val="38561184"/>
    <w:rsid w:val="3861141D"/>
    <w:rsid w:val="38683569"/>
    <w:rsid w:val="3881462B"/>
    <w:rsid w:val="38B14F10"/>
    <w:rsid w:val="38BE13DB"/>
    <w:rsid w:val="390E2362"/>
    <w:rsid w:val="390E4110"/>
    <w:rsid w:val="393F251C"/>
    <w:rsid w:val="39922F2D"/>
    <w:rsid w:val="399B6AA3"/>
    <w:rsid w:val="39A03D29"/>
    <w:rsid w:val="39A700C1"/>
    <w:rsid w:val="39AE31FE"/>
    <w:rsid w:val="39BD1729"/>
    <w:rsid w:val="39DB3B05"/>
    <w:rsid w:val="39FF6D7E"/>
    <w:rsid w:val="3A002A5F"/>
    <w:rsid w:val="3A170D7D"/>
    <w:rsid w:val="3A30455A"/>
    <w:rsid w:val="3A3375EC"/>
    <w:rsid w:val="3A3C6A5B"/>
    <w:rsid w:val="3A487A68"/>
    <w:rsid w:val="3A4A561C"/>
    <w:rsid w:val="3A524C0D"/>
    <w:rsid w:val="3A6230F7"/>
    <w:rsid w:val="3A661D2A"/>
    <w:rsid w:val="3AB67A36"/>
    <w:rsid w:val="3AD24D52"/>
    <w:rsid w:val="3AE13040"/>
    <w:rsid w:val="3B011F11"/>
    <w:rsid w:val="3B04160B"/>
    <w:rsid w:val="3B085506"/>
    <w:rsid w:val="3B184749"/>
    <w:rsid w:val="3B4419E7"/>
    <w:rsid w:val="3B6A0B25"/>
    <w:rsid w:val="3B8A2AB9"/>
    <w:rsid w:val="3B9C1EA7"/>
    <w:rsid w:val="3BB9547E"/>
    <w:rsid w:val="3BC211E2"/>
    <w:rsid w:val="3BF32EFD"/>
    <w:rsid w:val="3C097EF0"/>
    <w:rsid w:val="3C664263"/>
    <w:rsid w:val="3C722D7D"/>
    <w:rsid w:val="3C973023"/>
    <w:rsid w:val="3CAD762D"/>
    <w:rsid w:val="3CB21257"/>
    <w:rsid w:val="3CBF5D5A"/>
    <w:rsid w:val="3CEA6B01"/>
    <w:rsid w:val="3D40752D"/>
    <w:rsid w:val="3D4D0ABF"/>
    <w:rsid w:val="3D6E1622"/>
    <w:rsid w:val="3D733BDF"/>
    <w:rsid w:val="3D801355"/>
    <w:rsid w:val="3D834F26"/>
    <w:rsid w:val="3D924F47"/>
    <w:rsid w:val="3DB470BD"/>
    <w:rsid w:val="3DBD6105"/>
    <w:rsid w:val="3DD31B91"/>
    <w:rsid w:val="3DD60F75"/>
    <w:rsid w:val="3DF504B9"/>
    <w:rsid w:val="3E0E4666"/>
    <w:rsid w:val="3E334A2F"/>
    <w:rsid w:val="3E396BE6"/>
    <w:rsid w:val="3E7A2248"/>
    <w:rsid w:val="3E8A4813"/>
    <w:rsid w:val="3E8B2FC1"/>
    <w:rsid w:val="3E8D3D29"/>
    <w:rsid w:val="3E9D5D4C"/>
    <w:rsid w:val="3EAA058E"/>
    <w:rsid w:val="3EB05C6A"/>
    <w:rsid w:val="3EC34DC2"/>
    <w:rsid w:val="3EDF6309"/>
    <w:rsid w:val="3EF83866"/>
    <w:rsid w:val="3F253F62"/>
    <w:rsid w:val="3F32185C"/>
    <w:rsid w:val="3F357796"/>
    <w:rsid w:val="3F395C5F"/>
    <w:rsid w:val="3F424B14"/>
    <w:rsid w:val="3F473ED8"/>
    <w:rsid w:val="3F6C1F92"/>
    <w:rsid w:val="3FB253FB"/>
    <w:rsid w:val="3FB96C6E"/>
    <w:rsid w:val="3FBA6DA0"/>
    <w:rsid w:val="3FE456AC"/>
    <w:rsid w:val="3FEE07F8"/>
    <w:rsid w:val="3FEE25A6"/>
    <w:rsid w:val="3FF61771"/>
    <w:rsid w:val="3FFA03CE"/>
    <w:rsid w:val="40175FA1"/>
    <w:rsid w:val="40354679"/>
    <w:rsid w:val="403D7CE3"/>
    <w:rsid w:val="405326C2"/>
    <w:rsid w:val="407D1B7C"/>
    <w:rsid w:val="40B414F2"/>
    <w:rsid w:val="40B82BB4"/>
    <w:rsid w:val="40C41559"/>
    <w:rsid w:val="40F0234E"/>
    <w:rsid w:val="40F46CAF"/>
    <w:rsid w:val="40FC5196"/>
    <w:rsid w:val="41061B71"/>
    <w:rsid w:val="41263FC1"/>
    <w:rsid w:val="41271071"/>
    <w:rsid w:val="413B181B"/>
    <w:rsid w:val="41553397"/>
    <w:rsid w:val="41822C66"/>
    <w:rsid w:val="41A33F03"/>
    <w:rsid w:val="41A84C6F"/>
    <w:rsid w:val="41A96E8D"/>
    <w:rsid w:val="41BA5704"/>
    <w:rsid w:val="41DD4D60"/>
    <w:rsid w:val="41E81277"/>
    <w:rsid w:val="41F610A8"/>
    <w:rsid w:val="41FD2F74"/>
    <w:rsid w:val="421C0F3D"/>
    <w:rsid w:val="424D29C3"/>
    <w:rsid w:val="4283791D"/>
    <w:rsid w:val="42862F6A"/>
    <w:rsid w:val="42A31D6D"/>
    <w:rsid w:val="42CA1AE2"/>
    <w:rsid w:val="42D24401"/>
    <w:rsid w:val="43257FF0"/>
    <w:rsid w:val="43462185"/>
    <w:rsid w:val="434756D5"/>
    <w:rsid w:val="4360092E"/>
    <w:rsid w:val="439C7CC8"/>
    <w:rsid w:val="439E25D4"/>
    <w:rsid w:val="43A35D9D"/>
    <w:rsid w:val="43BB2F90"/>
    <w:rsid w:val="43BE7955"/>
    <w:rsid w:val="43D1290A"/>
    <w:rsid w:val="43D30430"/>
    <w:rsid w:val="441445A5"/>
    <w:rsid w:val="441647C1"/>
    <w:rsid w:val="444C67F0"/>
    <w:rsid w:val="444D2FEC"/>
    <w:rsid w:val="446948F1"/>
    <w:rsid w:val="449C4CC6"/>
    <w:rsid w:val="44B9748D"/>
    <w:rsid w:val="44CB1108"/>
    <w:rsid w:val="44D24738"/>
    <w:rsid w:val="450B59A8"/>
    <w:rsid w:val="451C752A"/>
    <w:rsid w:val="453E6F8C"/>
    <w:rsid w:val="455235D7"/>
    <w:rsid w:val="45796DB6"/>
    <w:rsid w:val="457B2B2E"/>
    <w:rsid w:val="458115B6"/>
    <w:rsid w:val="458F2067"/>
    <w:rsid w:val="45937951"/>
    <w:rsid w:val="459B6D2C"/>
    <w:rsid w:val="45C629D3"/>
    <w:rsid w:val="45EB1C9A"/>
    <w:rsid w:val="46003033"/>
    <w:rsid w:val="460F61CE"/>
    <w:rsid w:val="461478C6"/>
    <w:rsid w:val="461D3BE5"/>
    <w:rsid w:val="462103E3"/>
    <w:rsid w:val="4622162B"/>
    <w:rsid w:val="46234537"/>
    <w:rsid w:val="46297266"/>
    <w:rsid w:val="462E5E0E"/>
    <w:rsid w:val="4631230E"/>
    <w:rsid w:val="46411E1E"/>
    <w:rsid w:val="465758BB"/>
    <w:rsid w:val="46665A96"/>
    <w:rsid w:val="467005E1"/>
    <w:rsid w:val="46841EB6"/>
    <w:rsid w:val="46845473"/>
    <w:rsid w:val="46D40211"/>
    <w:rsid w:val="47482DC2"/>
    <w:rsid w:val="475B77EB"/>
    <w:rsid w:val="478C7274"/>
    <w:rsid w:val="47AB4406"/>
    <w:rsid w:val="47C12D39"/>
    <w:rsid w:val="47C87B80"/>
    <w:rsid w:val="47E81FD1"/>
    <w:rsid w:val="47EF6643"/>
    <w:rsid w:val="480F4E7E"/>
    <w:rsid w:val="483E609B"/>
    <w:rsid w:val="48523A6E"/>
    <w:rsid w:val="48627FD5"/>
    <w:rsid w:val="48731B3C"/>
    <w:rsid w:val="48755B39"/>
    <w:rsid w:val="487A1F98"/>
    <w:rsid w:val="48825F81"/>
    <w:rsid w:val="488B6D72"/>
    <w:rsid w:val="488F0E1B"/>
    <w:rsid w:val="48A2598E"/>
    <w:rsid w:val="48AB50B7"/>
    <w:rsid w:val="48AB62AA"/>
    <w:rsid w:val="48AC74A2"/>
    <w:rsid w:val="48BB1493"/>
    <w:rsid w:val="48F20B2A"/>
    <w:rsid w:val="48F86243"/>
    <w:rsid w:val="48F93F0D"/>
    <w:rsid w:val="49320E3E"/>
    <w:rsid w:val="49465201"/>
    <w:rsid w:val="49484B80"/>
    <w:rsid w:val="4961203A"/>
    <w:rsid w:val="49795470"/>
    <w:rsid w:val="498B70B7"/>
    <w:rsid w:val="49B821E1"/>
    <w:rsid w:val="49C66341"/>
    <w:rsid w:val="49CB1BAA"/>
    <w:rsid w:val="49DF2CCE"/>
    <w:rsid w:val="49E33967"/>
    <w:rsid w:val="4A1505F1"/>
    <w:rsid w:val="4A18679F"/>
    <w:rsid w:val="4A197060"/>
    <w:rsid w:val="4A3634C7"/>
    <w:rsid w:val="4A4F003F"/>
    <w:rsid w:val="4A694970"/>
    <w:rsid w:val="4A7B2D08"/>
    <w:rsid w:val="4AB60164"/>
    <w:rsid w:val="4B0215FB"/>
    <w:rsid w:val="4B6B6E2B"/>
    <w:rsid w:val="4B9E79B0"/>
    <w:rsid w:val="4C0522E6"/>
    <w:rsid w:val="4C4719BC"/>
    <w:rsid w:val="4C484FC2"/>
    <w:rsid w:val="4C5A410E"/>
    <w:rsid w:val="4C8F3716"/>
    <w:rsid w:val="4C924C68"/>
    <w:rsid w:val="4CFD68CF"/>
    <w:rsid w:val="4D4A33A3"/>
    <w:rsid w:val="4D751A55"/>
    <w:rsid w:val="4DA31884"/>
    <w:rsid w:val="4DC55756"/>
    <w:rsid w:val="4DD52664"/>
    <w:rsid w:val="4DDA223F"/>
    <w:rsid w:val="4DE4323A"/>
    <w:rsid w:val="4E2128C4"/>
    <w:rsid w:val="4E2E5285"/>
    <w:rsid w:val="4E305B24"/>
    <w:rsid w:val="4E3C6D19"/>
    <w:rsid w:val="4E5640DA"/>
    <w:rsid w:val="4E714A94"/>
    <w:rsid w:val="4E7B3203"/>
    <w:rsid w:val="4E9D1D67"/>
    <w:rsid w:val="4EBD2E1B"/>
    <w:rsid w:val="4EEF4BB3"/>
    <w:rsid w:val="4EF57C70"/>
    <w:rsid w:val="4F027D72"/>
    <w:rsid w:val="4F334479"/>
    <w:rsid w:val="4F3855EC"/>
    <w:rsid w:val="4F4C087D"/>
    <w:rsid w:val="4F701229"/>
    <w:rsid w:val="4F8C6490"/>
    <w:rsid w:val="4F917C16"/>
    <w:rsid w:val="4FB27FC3"/>
    <w:rsid w:val="4FCA4635"/>
    <w:rsid w:val="50016325"/>
    <w:rsid w:val="5019541D"/>
    <w:rsid w:val="508A77AF"/>
    <w:rsid w:val="508B0331"/>
    <w:rsid w:val="508F3931"/>
    <w:rsid w:val="50B05655"/>
    <w:rsid w:val="50B2693C"/>
    <w:rsid w:val="50DB3513"/>
    <w:rsid w:val="50DF4CBB"/>
    <w:rsid w:val="50E84DEF"/>
    <w:rsid w:val="50EB434C"/>
    <w:rsid w:val="50EE296F"/>
    <w:rsid w:val="50F9524E"/>
    <w:rsid w:val="51064A9D"/>
    <w:rsid w:val="51204076"/>
    <w:rsid w:val="51224A8E"/>
    <w:rsid w:val="512272B5"/>
    <w:rsid w:val="5130404F"/>
    <w:rsid w:val="513F7105"/>
    <w:rsid w:val="51532BB1"/>
    <w:rsid w:val="5155600C"/>
    <w:rsid w:val="515E5F9C"/>
    <w:rsid w:val="51735001"/>
    <w:rsid w:val="51770685"/>
    <w:rsid w:val="517A638F"/>
    <w:rsid w:val="51A11B6E"/>
    <w:rsid w:val="51C25640"/>
    <w:rsid w:val="51EE640D"/>
    <w:rsid w:val="523F3135"/>
    <w:rsid w:val="524231FA"/>
    <w:rsid w:val="52464727"/>
    <w:rsid w:val="524C5CDC"/>
    <w:rsid w:val="524E537D"/>
    <w:rsid w:val="52554706"/>
    <w:rsid w:val="52A22B41"/>
    <w:rsid w:val="52AD009F"/>
    <w:rsid w:val="52B618F7"/>
    <w:rsid w:val="52D12EEC"/>
    <w:rsid w:val="52DF615E"/>
    <w:rsid w:val="52FF06CE"/>
    <w:rsid w:val="5306406B"/>
    <w:rsid w:val="530E71FE"/>
    <w:rsid w:val="531719BC"/>
    <w:rsid w:val="531B1FA6"/>
    <w:rsid w:val="535C74C1"/>
    <w:rsid w:val="536F6BAF"/>
    <w:rsid w:val="5385101B"/>
    <w:rsid w:val="538E1256"/>
    <w:rsid w:val="53A246D7"/>
    <w:rsid w:val="53BF0089"/>
    <w:rsid w:val="53C81568"/>
    <w:rsid w:val="53F8242E"/>
    <w:rsid w:val="540B7773"/>
    <w:rsid w:val="54290552"/>
    <w:rsid w:val="54507A48"/>
    <w:rsid w:val="54557A52"/>
    <w:rsid w:val="546E1AAF"/>
    <w:rsid w:val="54703A7A"/>
    <w:rsid w:val="54773FDF"/>
    <w:rsid w:val="549E786E"/>
    <w:rsid w:val="54A379AB"/>
    <w:rsid w:val="54C4758E"/>
    <w:rsid w:val="54D43DB6"/>
    <w:rsid w:val="55090BE3"/>
    <w:rsid w:val="55164621"/>
    <w:rsid w:val="55241393"/>
    <w:rsid w:val="552F656B"/>
    <w:rsid w:val="5535102C"/>
    <w:rsid w:val="55396965"/>
    <w:rsid w:val="5540221E"/>
    <w:rsid w:val="55485423"/>
    <w:rsid w:val="55663F5B"/>
    <w:rsid w:val="55A21A11"/>
    <w:rsid w:val="55A35789"/>
    <w:rsid w:val="55C53951"/>
    <w:rsid w:val="55E22755"/>
    <w:rsid w:val="5628031A"/>
    <w:rsid w:val="564E438D"/>
    <w:rsid w:val="565811D3"/>
    <w:rsid w:val="56682C5A"/>
    <w:rsid w:val="566A389C"/>
    <w:rsid w:val="56847368"/>
    <w:rsid w:val="568774F1"/>
    <w:rsid w:val="5688302E"/>
    <w:rsid w:val="569E3B91"/>
    <w:rsid w:val="56BC6B02"/>
    <w:rsid w:val="56E11ADD"/>
    <w:rsid w:val="5713358E"/>
    <w:rsid w:val="571903F8"/>
    <w:rsid w:val="57407B94"/>
    <w:rsid w:val="574F43DF"/>
    <w:rsid w:val="57527466"/>
    <w:rsid w:val="57821531"/>
    <w:rsid w:val="578E4942"/>
    <w:rsid w:val="57A203EE"/>
    <w:rsid w:val="57B30C6D"/>
    <w:rsid w:val="57BA03C5"/>
    <w:rsid w:val="57C774EE"/>
    <w:rsid w:val="57C83143"/>
    <w:rsid w:val="57D759A1"/>
    <w:rsid w:val="57FB18AC"/>
    <w:rsid w:val="5817300F"/>
    <w:rsid w:val="58296419"/>
    <w:rsid w:val="58315236"/>
    <w:rsid w:val="584F474D"/>
    <w:rsid w:val="58981F2D"/>
    <w:rsid w:val="58AA3909"/>
    <w:rsid w:val="58AD1A3C"/>
    <w:rsid w:val="58B22DC4"/>
    <w:rsid w:val="591303CD"/>
    <w:rsid w:val="5937763B"/>
    <w:rsid w:val="59413C36"/>
    <w:rsid w:val="59516D4F"/>
    <w:rsid w:val="59570D64"/>
    <w:rsid w:val="59611BE3"/>
    <w:rsid w:val="597160E4"/>
    <w:rsid w:val="597B2102"/>
    <w:rsid w:val="598F6750"/>
    <w:rsid w:val="59A65848"/>
    <w:rsid w:val="59C357D7"/>
    <w:rsid w:val="59E75CE1"/>
    <w:rsid w:val="59E76183"/>
    <w:rsid w:val="59F64A21"/>
    <w:rsid w:val="59FC4325"/>
    <w:rsid w:val="5A0F7AEB"/>
    <w:rsid w:val="5A290A8F"/>
    <w:rsid w:val="5A490FF5"/>
    <w:rsid w:val="5AA1498D"/>
    <w:rsid w:val="5AA1673B"/>
    <w:rsid w:val="5AB741B0"/>
    <w:rsid w:val="5AD9394C"/>
    <w:rsid w:val="5AEE0D7F"/>
    <w:rsid w:val="5B104A15"/>
    <w:rsid w:val="5B197F3A"/>
    <w:rsid w:val="5B687515"/>
    <w:rsid w:val="5BD7447A"/>
    <w:rsid w:val="5BDE39BF"/>
    <w:rsid w:val="5BE70B36"/>
    <w:rsid w:val="5C0056E3"/>
    <w:rsid w:val="5C007491"/>
    <w:rsid w:val="5C101EC9"/>
    <w:rsid w:val="5C317F92"/>
    <w:rsid w:val="5C3E7BC8"/>
    <w:rsid w:val="5C45126F"/>
    <w:rsid w:val="5C766189"/>
    <w:rsid w:val="5C893F80"/>
    <w:rsid w:val="5C8E2CEF"/>
    <w:rsid w:val="5C910A31"/>
    <w:rsid w:val="5CA471A4"/>
    <w:rsid w:val="5CA85348"/>
    <w:rsid w:val="5CC91F79"/>
    <w:rsid w:val="5CD512A6"/>
    <w:rsid w:val="5CDD6822"/>
    <w:rsid w:val="5CEC51D4"/>
    <w:rsid w:val="5D264C88"/>
    <w:rsid w:val="5D3970FE"/>
    <w:rsid w:val="5D444B3F"/>
    <w:rsid w:val="5D4B6E32"/>
    <w:rsid w:val="5D501056"/>
    <w:rsid w:val="5D6C7562"/>
    <w:rsid w:val="5D7719D5"/>
    <w:rsid w:val="5D7B6683"/>
    <w:rsid w:val="5D86286D"/>
    <w:rsid w:val="5D8D60AF"/>
    <w:rsid w:val="5D962635"/>
    <w:rsid w:val="5D9A56C3"/>
    <w:rsid w:val="5DC6077B"/>
    <w:rsid w:val="5DD12DA4"/>
    <w:rsid w:val="5DDB6408"/>
    <w:rsid w:val="5DEF0B4A"/>
    <w:rsid w:val="5E2F671E"/>
    <w:rsid w:val="5E4D0A45"/>
    <w:rsid w:val="5E961869"/>
    <w:rsid w:val="5EB246B7"/>
    <w:rsid w:val="5EB427B5"/>
    <w:rsid w:val="5ECC4572"/>
    <w:rsid w:val="5ECF75EF"/>
    <w:rsid w:val="5EDA046D"/>
    <w:rsid w:val="5EFF7ED4"/>
    <w:rsid w:val="5F037C1C"/>
    <w:rsid w:val="5F1917F3"/>
    <w:rsid w:val="5F521D57"/>
    <w:rsid w:val="5F697A43"/>
    <w:rsid w:val="5F8421A1"/>
    <w:rsid w:val="5F901CEA"/>
    <w:rsid w:val="5F9F5213"/>
    <w:rsid w:val="5FA01F9D"/>
    <w:rsid w:val="5FA75D2C"/>
    <w:rsid w:val="5FB7097E"/>
    <w:rsid w:val="5FF05E47"/>
    <w:rsid w:val="5FF84D4A"/>
    <w:rsid w:val="5FF938B2"/>
    <w:rsid w:val="5FFB68ED"/>
    <w:rsid w:val="601A6D55"/>
    <w:rsid w:val="602D06DA"/>
    <w:rsid w:val="602D090F"/>
    <w:rsid w:val="60336BFF"/>
    <w:rsid w:val="603A1091"/>
    <w:rsid w:val="6064638C"/>
    <w:rsid w:val="60756DE7"/>
    <w:rsid w:val="608E3487"/>
    <w:rsid w:val="60924A0D"/>
    <w:rsid w:val="60CF3282"/>
    <w:rsid w:val="60D81297"/>
    <w:rsid w:val="60FE708C"/>
    <w:rsid w:val="6124695C"/>
    <w:rsid w:val="61341E69"/>
    <w:rsid w:val="613C71BD"/>
    <w:rsid w:val="616B1851"/>
    <w:rsid w:val="616B7AA3"/>
    <w:rsid w:val="61852EC9"/>
    <w:rsid w:val="618C17C7"/>
    <w:rsid w:val="61B27517"/>
    <w:rsid w:val="61B34FA6"/>
    <w:rsid w:val="61B52ACC"/>
    <w:rsid w:val="61D47D29"/>
    <w:rsid w:val="61E363A5"/>
    <w:rsid w:val="62153F99"/>
    <w:rsid w:val="623A0982"/>
    <w:rsid w:val="624F2F20"/>
    <w:rsid w:val="6256462F"/>
    <w:rsid w:val="6260512D"/>
    <w:rsid w:val="626214CA"/>
    <w:rsid w:val="627D7A8D"/>
    <w:rsid w:val="628810BE"/>
    <w:rsid w:val="62916733"/>
    <w:rsid w:val="62A4473C"/>
    <w:rsid w:val="62C311D4"/>
    <w:rsid w:val="6300421A"/>
    <w:rsid w:val="63114E07"/>
    <w:rsid w:val="63292486"/>
    <w:rsid w:val="6348499B"/>
    <w:rsid w:val="63526AAF"/>
    <w:rsid w:val="63533FB2"/>
    <w:rsid w:val="635F7193"/>
    <w:rsid w:val="6378787D"/>
    <w:rsid w:val="638116C4"/>
    <w:rsid w:val="6388493C"/>
    <w:rsid w:val="63C37C63"/>
    <w:rsid w:val="63F20007"/>
    <w:rsid w:val="64032214"/>
    <w:rsid w:val="64103DA1"/>
    <w:rsid w:val="64240A08"/>
    <w:rsid w:val="64520AA6"/>
    <w:rsid w:val="645C1924"/>
    <w:rsid w:val="645C36D2"/>
    <w:rsid w:val="64690037"/>
    <w:rsid w:val="647307E7"/>
    <w:rsid w:val="64735E58"/>
    <w:rsid w:val="647C1FA9"/>
    <w:rsid w:val="648669A1"/>
    <w:rsid w:val="64A31C67"/>
    <w:rsid w:val="64A612C0"/>
    <w:rsid w:val="64D377DC"/>
    <w:rsid w:val="64E306E7"/>
    <w:rsid w:val="64E45B17"/>
    <w:rsid w:val="652040F8"/>
    <w:rsid w:val="65456C72"/>
    <w:rsid w:val="65554CF2"/>
    <w:rsid w:val="65575CDF"/>
    <w:rsid w:val="655A2039"/>
    <w:rsid w:val="655C5B9D"/>
    <w:rsid w:val="65613406"/>
    <w:rsid w:val="656E5DB3"/>
    <w:rsid w:val="6591448F"/>
    <w:rsid w:val="65964ABA"/>
    <w:rsid w:val="65AD4D35"/>
    <w:rsid w:val="65BD2964"/>
    <w:rsid w:val="65DF3A1E"/>
    <w:rsid w:val="65E9543A"/>
    <w:rsid w:val="66012F2B"/>
    <w:rsid w:val="660A654B"/>
    <w:rsid w:val="660D18A1"/>
    <w:rsid w:val="66756CCD"/>
    <w:rsid w:val="66810989"/>
    <w:rsid w:val="66970D63"/>
    <w:rsid w:val="66B5531C"/>
    <w:rsid w:val="66CD1051"/>
    <w:rsid w:val="67235885"/>
    <w:rsid w:val="672F50CE"/>
    <w:rsid w:val="673B1CC5"/>
    <w:rsid w:val="673F7ABB"/>
    <w:rsid w:val="67466777"/>
    <w:rsid w:val="67780C00"/>
    <w:rsid w:val="67997252"/>
    <w:rsid w:val="679B01F2"/>
    <w:rsid w:val="67CA4DF7"/>
    <w:rsid w:val="67F26434"/>
    <w:rsid w:val="67F60DFC"/>
    <w:rsid w:val="68000819"/>
    <w:rsid w:val="6821710D"/>
    <w:rsid w:val="684B336F"/>
    <w:rsid w:val="68514806"/>
    <w:rsid w:val="6861654E"/>
    <w:rsid w:val="68634A40"/>
    <w:rsid w:val="687C2595"/>
    <w:rsid w:val="687C4343"/>
    <w:rsid w:val="687D09EC"/>
    <w:rsid w:val="688811AC"/>
    <w:rsid w:val="688B4586"/>
    <w:rsid w:val="68924ABB"/>
    <w:rsid w:val="68BF0103"/>
    <w:rsid w:val="68EA606B"/>
    <w:rsid w:val="68F44821"/>
    <w:rsid w:val="68FB6C36"/>
    <w:rsid w:val="694C01B1"/>
    <w:rsid w:val="698D1E1C"/>
    <w:rsid w:val="69987B6E"/>
    <w:rsid w:val="699C68A6"/>
    <w:rsid w:val="69FB04DB"/>
    <w:rsid w:val="69FC398E"/>
    <w:rsid w:val="6A1C54F7"/>
    <w:rsid w:val="6A2124C5"/>
    <w:rsid w:val="6A3511FF"/>
    <w:rsid w:val="6A462C62"/>
    <w:rsid w:val="6A4A185E"/>
    <w:rsid w:val="6A5F5CCB"/>
    <w:rsid w:val="6A616079"/>
    <w:rsid w:val="6A8B1493"/>
    <w:rsid w:val="6AA61F40"/>
    <w:rsid w:val="6ACB3360"/>
    <w:rsid w:val="6ADA17F5"/>
    <w:rsid w:val="6AE3108D"/>
    <w:rsid w:val="6AE44D6F"/>
    <w:rsid w:val="6AE968C6"/>
    <w:rsid w:val="6B205318"/>
    <w:rsid w:val="6B2D401B"/>
    <w:rsid w:val="6B4355EC"/>
    <w:rsid w:val="6B494065"/>
    <w:rsid w:val="6B4B1D11"/>
    <w:rsid w:val="6B4C1CCC"/>
    <w:rsid w:val="6B4F5BCB"/>
    <w:rsid w:val="6B78541D"/>
    <w:rsid w:val="6B912876"/>
    <w:rsid w:val="6B9478B5"/>
    <w:rsid w:val="6BBB58D5"/>
    <w:rsid w:val="6BEC7A32"/>
    <w:rsid w:val="6C0D39C5"/>
    <w:rsid w:val="6C305B70"/>
    <w:rsid w:val="6C5F6456"/>
    <w:rsid w:val="6C623A98"/>
    <w:rsid w:val="6C641928"/>
    <w:rsid w:val="6C7C6837"/>
    <w:rsid w:val="6C845E40"/>
    <w:rsid w:val="6CA55C4C"/>
    <w:rsid w:val="6CB45AC7"/>
    <w:rsid w:val="6CDD0F7C"/>
    <w:rsid w:val="6CE4695B"/>
    <w:rsid w:val="6CE73B8C"/>
    <w:rsid w:val="6D082649"/>
    <w:rsid w:val="6D14188E"/>
    <w:rsid w:val="6DA5433C"/>
    <w:rsid w:val="6DE22516"/>
    <w:rsid w:val="6DE73EA1"/>
    <w:rsid w:val="6E153270"/>
    <w:rsid w:val="6E1B76B9"/>
    <w:rsid w:val="6E740E0F"/>
    <w:rsid w:val="6E7A7A9D"/>
    <w:rsid w:val="6EAE7189"/>
    <w:rsid w:val="6EAE7221"/>
    <w:rsid w:val="6ED773C9"/>
    <w:rsid w:val="6EEF7CDF"/>
    <w:rsid w:val="6EFE0743"/>
    <w:rsid w:val="6F114299"/>
    <w:rsid w:val="6F1C6901"/>
    <w:rsid w:val="6F20011E"/>
    <w:rsid w:val="6F546189"/>
    <w:rsid w:val="6F876EC6"/>
    <w:rsid w:val="6FBB2BF0"/>
    <w:rsid w:val="6FBD3BBF"/>
    <w:rsid w:val="6FE50A8A"/>
    <w:rsid w:val="6FF44FCD"/>
    <w:rsid w:val="7004359C"/>
    <w:rsid w:val="70111815"/>
    <w:rsid w:val="70184287"/>
    <w:rsid w:val="7064228D"/>
    <w:rsid w:val="70A408DB"/>
    <w:rsid w:val="70D64AC3"/>
    <w:rsid w:val="70E10D25"/>
    <w:rsid w:val="70F46326"/>
    <w:rsid w:val="71035C4A"/>
    <w:rsid w:val="71324139"/>
    <w:rsid w:val="715012CA"/>
    <w:rsid w:val="71B73BE8"/>
    <w:rsid w:val="71DF68F4"/>
    <w:rsid w:val="71E31155"/>
    <w:rsid w:val="720A4EA2"/>
    <w:rsid w:val="720F297F"/>
    <w:rsid w:val="72414680"/>
    <w:rsid w:val="725715D2"/>
    <w:rsid w:val="725758FB"/>
    <w:rsid w:val="726063F0"/>
    <w:rsid w:val="72607451"/>
    <w:rsid w:val="72641A80"/>
    <w:rsid w:val="72780308"/>
    <w:rsid w:val="727F4668"/>
    <w:rsid w:val="729C3F60"/>
    <w:rsid w:val="72A050D2"/>
    <w:rsid w:val="72C61182"/>
    <w:rsid w:val="72DE3278"/>
    <w:rsid w:val="72E47ECE"/>
    <w:rsid w:val="72F378F8"/>
    <w:rsid w:val="73610AEF"/>
    <w:rsid w:val="73666139"/>
    <w:rsid w:val="73830C7C"/>
    <w:rsid w:val="73852C46"/>
    <w:rsid w:val="73947C88"/>
    <w:rsid w:val="739B2D6D"/>
    <w:rsid w:val="73A92E79"/>
    <w:rsid w:val="73E334C8"/>
    <w:rsid w:val="73F25CD2"/>
    <w:rsid w:val="74143FCA"/>
    <w:rsid w:val="74461E78"/>
    <w:rsid w:val="746F6706"/>
    <w:rsid w:val="74733422"/>
    <w:rsid w:val="747F00A4"/>
    <w:rsid w:val="74817B6B"/>
    <w:rsid w:val="74842EFD"/>
    <w:rsid w:val="748E6A91"/>
    <w:rsid w:val="749B7E7E"/>
    <w:rsid w:val="74B1183C"/>
    <w:rsid w:val="74C96B62"/>
    <w:rsid w:val="74D245A1"/>
    <w:rsid w:val="74E0132E"/>
    <w:rsid w:val="74F82FA3"/>
    <w:rsid w:val="74FD0266"/>
    <w:rsid w:val="7516192A"/>
    <w:rsid w:val="7517361A"/>
    <w:rsid w:val="75194C26"/>
    <w:rsid w:val="75216E5D"/>
    <w:rsid w:val="752E4C17"/>
    <w:rsid w:val="755D72B0"/>
    <w:rsid w:val="756D0CC6"/>
    <w:rsid w:val="756D4B19"/>
    <w:rsid w:val="757765BE"/>
    <w:rsid w:val="7582790C"/>
    <w:rsid w:val="75937CC4"/>
    <w:rsid w:val="75CB2679"/>
    <w:rsid w:val="75CD3A2D"/>
    <w:rsid w:val="762C1090"/>
    <w:rsid w:val="763811E8"/>
    <w:rsid w:val="763D7808"/>
    <w:rsid w:val="764315A7"/>
    <w:rsid w:val="764C0E19"/>
    <w:rsid w:val="764F0EE4"/>
    <w:rsid w:val="76500BBB"/>
    <w:rsid w:val="76684159"/>
    <w:rsid w:val="768B6CC6"/>
    <w:rsid w:val="76E03668"/>
    <w:rsid w:val="7719504D"/>
    <w:rsid w:val="772147DD"/>
    <w:rsid w:val="7724681C"/>
    <w:rsid w:val="77380D8A"/>
    <w:rsid w:val="775C510E"/>
    <w:rsid w:val="775D1479"/>
    <w:rsid w:val="77764E98"/>
    <w:rsid w:val="777C666B"/>
    <w:rsid w:val="77892265"/>
    <w:rsid w:val="77AF359F"/>
    <w:rsid w:val="77D01FB6"/>
    <w:rsid w:val="77F31A1E"/>
    <w:rsid w:val="78341A4E"/>
    <w:rsid w:val="784D4BDF"/>
    <w:rsid w:val="785C7CED"/>
    <w:rsid w:val="78793335"/>
    <w:rsid w:val="78A2146F"/>
    <w:rsid w:val="78D358E9"/>
    <w:rsid w:val="78DE3D73"/>
    <w:rsid w:val="78F14E59"/>
    <w:rsid w:val="791A5BDE"/>
    <w:rsid w:val="79266883"/>
    <w:rsid w:val="793B7903"/>
    <w:rsid w:val="79517126"/>
    <w:rsid w:val="796E7171"/>
    <w:rsid w:val="79832B1E"/>
    <w:rsid w:val="79B52ADC"/>
    <w:rsid w:val="79D07C49"/>
    <w:rsid w:val="79E35006"/>
    <w:rsid w:val="79FC3536"/>
    <w:rsid w:val="7A0B7864"/>
    <w:rsid w:val="7A0C4B28"/>
    <w:rsid w:val="7A0F0131"/>
    <w:rsid w:val="7A15027D"/>
    <w:rsid w:val="7A230BC5"/>
    <w:rsid w:val="7A2465E9"/>
    <w:rsid w:val="7A394769"/>
    <w:rsid w:val="7A505630"/>
    <w:rsid w:val="7A683453"/>
    <w:rsid w:val="7A88273F"/>
    <w:rsid w:val="7ABB6F4D"/>
    <w:rsid w:val="7AC57DCC"/>
    <w:rsid w:val="7ACF6A42"/>
    <w:rsid w:val="7AD206B8"/>
    <w:rsid w:val="7ADB6D79"/>
    <w:rsid w:val="7AE54183"/>
    <w:rsid w:val="7AF2415B"/>
    <w:rsid w:val="7AFA6FFD"/>
    <w:rsid w:val="7AFE3D7E"/>
    <w:rsid w:val="7B0C00A5"/>
    <w:rsid w:val="7B4038F6"/>
    <w:rsid w:val="7B547823"/>
    <w:rsid w:val="7B642A48"/>
    <w:rsid w:val="7B7D3FA1"/>
    <w:rsid w:val="7B7F441F"/>
    <w:rsid w:val="7B9A6B62"/>
    <w:rsid w:val="7BB06386"/>
    <w:rsid w:val="7BC6441E"/>
    <w:rsid w:val="7BED1E41"/>
    <w:rsid w:val="7C0A2657"/>
    <w:rsid w:val="7C1167C1"/>
    <w:rsid w:val="7C1456CD"/>
    <w:rsid w:val="7C276F98"/>
    <w:rsid w:val="7C2F7F12"/>
    <w:rsid w:val="7C374CF9"/>
    <w:rsid w:val="7C3866D8"/>
    <w:rsid w:val="7C397787"/>
    <w:rsid w:val="7C683E07"/>
    <w:rsid w:val="7CB515A4"/>
    <w:rsid w:val="7CDA20DD"/>
    <w:rsid w:val="7D2B4568"/>
    <w:rsid w:val="7D374F29"/>
    <w:rsid w:val="7D445F0E"/>
    <w:rsid w:val="7D797974"/>
    <w:rsid w:val="7D871368"/>
    <w:rsid w:val="7D893333"/>
    <w:rsid w:val="7D9074D5"/>
    <w:rsid w:val="7D95525E"/>
    <w:rsid w:val="7DC20ABD"/>
    <w:rsid w:val="7DDA357B"/>
    <w:rsid w:val="7E16608C"/>
    <w:rsid w:val="7E362383"/>
    <w:rsid w:val="7E3C3B5E"/>
    <w:rsid w:val="7E444D47"/>
    <w:rsid w:val="7E56399B"/>
    <w:rsid w:val="7E7C69F3"/>
    <w:rsid w:val="7E8C0464"/>
    <w:rsid w:val="7ECD4B5B"/>
    <w:rsid w:val="7EDE76AE"/>
    <w:rsid w:val="7F08297D"/>
    <w:rsid w:val="7F222168"/>
    <w:rsid w:val="7F2869A1"/>
    <w:rsid w:val="7F732964"/>
    <w:rsid w:val="7F7A1B59"/>
    <w:rsid w:val="7F9D4E73"/>
    <w:rsid w:val="7FAE52D2"/>
    <w:rsid w:val="7FB126CD"/>
    <w:rsid w:val="7FB5625E"/>
    <w:rsid w:val="7FBD5515"/>
    <w:rsid w:val="7FCA378E"/>
    <w:rsid w:val="7FD10FC1"/>
    <w:rsid w:val="7FD21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3">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6"/>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6">
    <w:name w:val="Body Text Indent"/>
    <w:basedOn w:val="1"/>
    <w:next w:val="5"/>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7">
    <w:name w:val="Body Text"/>
    <w:basedOn w:val="1"/>
    <w:next w:val="8"/>
    <w:qFormat/>
    <w:uiPriority w:val="0"/>
    <w:pPr>
      <w:spacing w:after="120" w:afterLines="0" w:afterAutospacing="0"/>
    </w:pPr>
  </w:style>
  <w:style w:type="paragraph" w:customStyle="1" w:styleId="8">
    <w:name w:val="Default"/>
    <w:next w:val="9"/>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9">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next w:val="8"/>
    <w:qFormat/>
    <w:uiPriority w:val="0"/>
    <w:pPr>
      <w:widowControl w:val="0"/>
      <w:jc w:val="both"/>
    </w:pPr>
    <w:rPr>
      <w:rFonts w:ascii="宋体" w:hAnsi="Courier New" w:eastAsia="宋体" w:cs="Times New Roman"/>
      <w:kern w:val="2"/>
      <w:sz w:val="21"/>
      <w:szCs w:val="20"/>
      <w:lang w:val="en-US" w:eastAsia="zh-CN" w:bidi="ar-SA"/>
    </w:rPr>
  </w:style>
  <w:style w:type="paragraph" w:styleId="11">
    <w:name w:val="Date"/>
    <w:basedOn w:val="1"/>
    <w:next w:val="1"/>
    <w:qFormat/>
    <w:uiPriority w:val="0"/>
    <w:pPr>
      <w:ind w:leftChars="2500"/>
    </w:pPr>
    <w:rPr>
      <w:rFonts w:hint="eastAsia" w:ascii="宋体" w:hAnsi="宋体"/>
      <w:snapToGrid/>
      <w:kern w:val="2"/>
      <w:sz w:val="24"/>
    </w:rPr>
  </w:style>
  <w:style w:type="paragraph" w:styleId="12">
    <w:name w:val="Body Text Indent 2"/>
    <w:next w:val="13"/>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3">
    <w:name w:val="toc 1"/>
    <w:next w:val="1"/>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List"/>
    <w:basedOn w:val="1"/>
    <w:qFormat/>
    <w:uiPriority w:val="0"/>
    <w:pPr>
      <w:ind w:left="200" w:hanging="200" w:hangingChars="200"/>
    </w:pPr>
    <w:rPr>
      <w:sz w:val="28"/>
    </w:rPr>
  </w:style>
  <w:style w:type="paragraph" w:styleId="17">
    <w:name w:val="toc 6"/>
    <w:basedOn w:val="1"/>
    <w:next w:val="1"/>
    <w:unhideWhenUsed/>
    <w:qFormat/>
    <w:uiPriority w:val="39"/>
    <w:pPr>
      <w:ind w:left="2100" w:leftChars="1000"/>
    </w:pPr>
    <w:rPr>
      <w:rFonts w:ascii="Calibri" w:hAnsi="Calibri"/>
      <w:szCs w:val="22"/>
    </w:rPr>
  </w:style>
  <w:style w:type="paragraph" w:styleId="18">
    <w:name w:val="Body Text Indent 3"/>
    <w:basedOn w:val="1"/>
    <w:qFormat/>
    <w:uiPriority w:val="0"/>
    <w:pPr>
      <w:snapToGrid w:val="0"/>
      <w:ind w:firstLine="480" w:firstLineChars="200"/>
      <w:jc w:val="left"/>
    </w:pPr>
    <w:rPr>
      <w:rFonts w:ascii="仿宋_GB2312" w:hAnsi="宋体" w:eastAsia="仿宋_GB2312"/>
      <w:color w:val="000000"/>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Body Text First Indent"/>
    <w:basedOn w:val="7"/>
    <w:next w:val="17"/>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paragraph" w:styleId="21">
    <w:name w:val="Body Text First Indent 2"/>
    <w:basedOn w:val="6"/>
    <w:next w:val="22"/>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paragraph" w:customStyle="1" w:styleId="22">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table" w:styleId="24">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Hyperlink"/>
    <w:basedOn w:val="25"/>
    <w:qFormat/>
    <w:uiPriority w:val="0"/>
    <w:rPr>
      <w:color w:val="0000FF"/>
      <w:u w:val="single"/>
    </w:rPr>
  </w:style>
  <w:style w:type="character" w:styleId="28">
    <w:name w:val="annotation reference"/>
    <w:basedOn w:val="25"/>
    <w:qFormat/>
    <w:uiPriority w:val="99"/>
    <w:rPr>
      <w:sz w:val="21"/>
      <w:szCs w:val="21"/>
    </w:rPr>
  </w:style>
  <w:style w:type="paragraph" w:customStyle="1" w:styleId="29">
    <w:name w:val="[Normal]"/>
    <w:qFormat/>
    <w:uiPriority w:val="0"/>
    <w:rPr>
      <w:rFonts w:ascii="宋体" w:hAnsi="宋体" w:eastAsia="宋体" w:cs="Times New Roman"/>
      <w:sz w:val="24"/>
      <w:szCs w:val="22"/>
      <w:lang w:val="zh-CN" w:eastAsia="zh-CN" w:bidi="ar-SA"/>
    </w:rPr>
  </w:style>
  <w:style w:type="paragraph" w:customStyle="1" w:styleId="30">
    <w:name w:val="章正文"/>
    <w:basedOn w:val="1"/>
    <w:qFormat/>
    <w:locked/>
    <w:uiPriority w:val="0"/>
    <w:pPr>
      <w:spacing w:beforeLines="50" w:after="120" w:line="300" w:lineRule="auto"/>
      <w:ind w:firstLine="480"/>
    </w:pPr>
    <w:rPr>
      <w:rFonts w:ascii="Helvetica" w:hAnsi="Helvetica"/>
      <w:kern w:val="0"/>
    </w:rPr>
  </w:style>
  <w:style w:type="paragraph" w:customStyle="1" w:styleId="31">
    <w:name w:val="正文缩进1"/>
    <w:qFormat/>
    <w:uiPriority w:val="0"/>
    <w:pPr>
      <w:widowControl w:val="0"/>
      <w:autoSpaceDE/>
      <w:autoSpaceDN/>
      <w:adjustRightInd/>
      <w:spacing w:line="324" w:lineRule="auto"/>
      <w:ind w:firstLine="420" w:firstLineChars="200"/>
      <w:jc w:val="both"/>
      <w:textAlignment w:val="auto"/>
    </w:pPr>
    <w:rPr>
      <w:rFonts w:hint="eastAsia" w:ascii="Times New Roman" w:hAnsi="等线" w:eastAsia="等线" w:cs="Times New Roman"/>
      <w:kern w:val="2"/>
      <w:sz w:val="21"/>
      <w:szCs w:val="22"/>
      <w:lang w:val="en-US" w:eastAsia="zh-CN" w:bidi="ar-SA"/>
    </w:rPr>
  </w:style>
  <w:style w:type="paragraph" w:customStyle="1" w:styleId="32">
    <w:name w:val="Plain Text"/>
    <w:basedOn w:val="33"/>
    <w:qFormat/>
    <w:uiPriority w:val="0"/>
    <w:pPr>
      <w:snapToGrid w:val="0"/>
      <w:jc w:val="left"/>
    </w:pPr>
    <w:rPr>
      <w:rFonts w:ascii="Century Gothic" w:hAnsi="楷体_GB2312" w:eastAsia="Century Gothic"/>
      <w:snapToGrid/>
      <w:kern w:val="2"/>
    </w:rPr>
  </w:style>
  <w:style w:type="paragraph" w:customStyle="1" w:styleId="33">
    <w:name w:val="Normal"/>
    <w:qFormat/>
    <w:uiPriority w:val="0"/>
    <w:pPr>
      <w:widowControl w:val="0"/>
      <w:jc w:val="both"/>
    </w:pPr>
    <w:rPr>
      <w:rFonts w:hint="eastAsia" w:ascii="等线" w:hAnsi="等线" w:eastAsia="等线" w:cs="Times New Roman"/>
      <w:kern w:val="2"/>
      <w:sz w:val="21"/>
      <w:lang w:val="en-US" w:eastAsia="zh-CN" w:bidi="ar-SA"/>
    </w:rPr>
  </w:style>
  <w:style w:type="paragraph" w:customStyle="1" w:styleId="34">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styleId="35">
    <w:name w:val="List Paragraph"/>
    <w:basedOn w:val="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36">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37">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38">
    <w:name w:val="默认段落字体 Para Char Char Char Char Char Char Char Char Char1 Char Char Char Char"/>
    <w:qFormat/>
    <w:uiPriority w:val="0"/>
    <w:pPr>
      <w:widowControl w:val="0"/>
      <w:jc w:val="both"/>
    </w:pPr>
    <w:rPr>
      <w:rFonts w:ascii="Tahoma" w:hAnsi="Tahoma" w:eastAsia="宋体" w:cs="Times New Roman"/>
      <w:kern w:val="2"/>
      <w:sz w:val="24"/>
      <w:szCs w:val="20"/>
      <w:lang w:val="en-US" w:eastAsia="zh-CN" w:bidi="ar-SA"/>
    </w:rPr>
  </w:style>
  <w:style w:type="paragraph" w:customStyle="1" w:styleId="39">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40">
    <w:name w:val="纯文本2"/>
    <w:qFormat/>
    <w:uiPriority w:val="0"/>
    <w:rPr>
      <w:rFonts w:hint="eastAsia" w:ascii="宋体" w:hAnsi="Courier New" w:eastAsia="宋体" w:cs="Times New Roman"/>
      <w:kern w:val="2"/>
      <w:sz w:val="21"/>
      <w:szCs w:val="22"/>
      <w:lang w:val="en-US" w:eastAsia="zh-CN" w:bidi="ar-SA"/>
    </w:rPr>
  </w:style>
  <w:style w:type="paragraph" w:customStyle="1" w:styleId="41">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4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
    <w:name w:val="正文2"/>
    <w:basedOn w:val="1"/>
    <w:qFormat/>
    <w:uiPriority w:val="0"/>
    <w:pPr>
      <w:spacing w:before="156" w:line="360" w:lineRule="auto"/>
      <w:ind w:firstLine="510" w:firstLineChars="200"/>
    </w:pPr>
    <w:rPr>
      <w:sz w:val="24"/>
      <w:szCs w:val="20"/>
    </w:rPr>
  </w:style>
  <w:style w:type="paragraph" w:customStyle="1" w:styleId="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5">
    <w:name w:val="列表段落1"/>
    <w:basedOn w:val="1"/>
    <w:qFormat/>
    <w:uiPriority w:val="99"/>
    <w:pPr>
      <w:ind w:firstLine="420" w:firstLineChars="200"/>
    </w:pPr>
    <w:rPr>
      <w:rFonts w:ascii="Calibri" w:hAnsi="Calibri"/>
      <w:szCs w:val="22"/>
    </w:rPr>
  </w:style>
  <w:style w:type="character" w:customStyle="1" w:styleId="46">
    <w:name w:val="font01"/>
    <w:basedOn w:val="25"/>
    <w:qFormat/>
    <w:uiPriority w:val="0"/>
    <w:rPr>
      <w:rFonts w:hint="eastAsia" w:ascii="宋体" w:hAnsi="宋体" w:eastAsia="宋体" w:cs="宋体"/>
      <w:color w:val="000000"/>
      <w:kern w:val="2"/>
      <w:sz w:val="24"/>
      <w:szCs w:val="24"/>
      <w:u w:val="none"/>
    </w:rPr>
  </w:style>
  <w:style w:type="paragraph" w:customStyle="1" w:styleId="47">
    <w:name w:val="*正文"/>
    <w:basedOn w:val="1"/>
    <w:qFormat/>
    <w:uiPriority w:val="0"/>
    <w:pPr>
      <w:spacing w:line="360" w:lineRule="auto"/>
      <w:ind w:firstLine="482" w:firstLineChars="200"/>
    </w:pPr>
    <w:rPr>
      <w:rFonts w:ascii="宋体" w:hAnsi="宋体"/>
      <w:kern w:val="0"/>
      <w:sz w:val="24"/>
      <w:szCs w:val="20"/>
    </w:rPr>
  </w:style>
  <w:style w:type="paragraph" w:customStyle="1" w:styleId="48">
    <w:name w:val="样式 (符号) 宋体"/>
    <w:basedOn w:val="1"/>
    <w:qFormat/>
    <w:uiPriority w:val="0"/>
    <w:pPr>
      <w:ind w:firstLine="420"/>
    </w:pPr>
    <w:rPr>
      <w:rFonts w:ascii="Times New Roman" w:hAnsi="Times New Roman" w:eastAsia="宋体" w:cs="Times New Roman"/>
      <w:color w:val="000000"/>
      <w:kern w:val="1"/>
      <w:szCs w:val="20"/>
    </w:rPr>
  </w:style>
  <w:style w:type="character" w:customStyle="1" w:styleId="49">
    <w:name w:val="font61"/>
    <w:basedOn w:val="25"/>
    <w:qFormat/>
    <w:uiPriority w:val="0"/>
    <w:rPr>
      <w:rFonts w:hint="eastAsia" w:ascii="宋体" w:hAnsi="宋体" w:eastAsia="宋体" w:cs="宋体"/>
      <w:color w:val="000000"/>
      <w:sz w:val="21"/>
      <w:szCs w:val="21"/>
      <w:u w:val="none"/>
    </w:rPr>
  </w:style>
  <w:style w:type="character" w:customStyle="1" w:styleId="50">
    <w:name w:val="font41"/>
    <w:basedOn w:val="25"/>
    <w:qFormat/>
    <w:uiPriority w:val="0"/>
    <w:rPr>
      <w:rFonts w:ascii="微软雅黑" w:hAnsi="微软雅黑" w:eastAsia="微软雅黑" w:cs="微软雅黑"/>
      <w:color w:val="000000"/>
      <w:sz w:val="24"/>
      <w:szCs w:val="24"/>
      <w:u w:val="none"/>
    </w:rPr>
  </w:style>
  <w:style w:type="character" w:customStyle="1" w:styleId="51">
    <w:name w:val="font11"/>
    <w:basedOn w:val="25"/>
    <w:qFormat/>
    <w:uiPriority w:val="0"/>
    <w:rPr>
      <w:rFonts w:hint="eastAsia" w:ascii="宋体" w:hAnsi="宋体" w:eastAsia="宋体" w:cs="宋体"/>
      <w:color w:val="000000"/>
      <w:sz w:val="24"/>
      <w:szCs w:val="24"/>
      <w:u w:val="none"/>
    </w:rPr>
  </w:style>
  <w:style w:type="paragraph" w:customStyle="1" w:styleId="52">
    <w:name w:val="表格"/>
    <w:basedOn w:val="35"/>
    <w:next w:val="1"/>
    <w:qFormat/>
    <w:uiPriority w:val="0"/>
    <w:pPr>
      <w:spacing w:line="240" w:lineRule="auto"/>
      <w:ind w:firstLine="0" w:firstLineChars="0"/>
      <w:jc w:val="center"/>
    </w:pPr>
    <w:rPr>
      <w:rFonts w:ascii="Times New Roman" w:hAnsi="Times New Roman" w:eastAsia="仿宋"/>
      <w:sz w:val="24"/>
    </w:rPr>
  </w:style>
  <w:style w:type="table" w:customStyle="1" w:styleId="53">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54">
    <w:name w:val="_Style 3"/>
    <w:basedOn w:val="1"/>
    <w:qFormat/>
    <w:uiPriority w:val="0"/>
    <w:pPr>
      <w:ind w:firstLine="420" w:firstLineChars="200"/>
    </w:pPr>
    <w:rPr>
      <w:sz w:val="21"/>
    </w:rPr>
  </w:style>
  <w:style w:type="paragraph" w:customStyle="1" w:styleId="5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6">
    <w:name w:val="Body text|1"/>
    <w:qFormat/>
    <w:uiPriority w:val="0"/>
    <w:pPr>
      <w:widowControl w:val="0"/>
      <w:spacing w:line="401" w:lineRule="auto"/>
      <w:ind w:firstLine="400"/>
      <w:jc w:val="left"/>
    </w:pPr>
    <w:rPr>
      <w:rFonts w:ascii="宋体" w:hAnsi="宋体" w:eastAsia="宋体" w:cs="宋体"/>
      <w:kern w:val="0"/>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47192</Words>
  <Characters>51468</Characters>
  <Lines>1</Lines>
  <Paragraphs>1</Paragraphs>
  <TotalTime>130</TotalTime>
  <ScaleCrop>false</ScaleCrop>
  <LinksUpToDate>false</LinksUpToDate>
  <CharactersWithSpaces>56477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小印</cp:lastModifiedBy>
  <cp:lastPrinted>2023-09-18T03:21:00Z</cp:lastPrinted>
  <dcterms:modified xsi:type="dcterms:W3CDTF">2023-09-18T08:35:59Z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547A743001D44E41885810408C26BD17</vt:lpwstr>
  </property>
</Properties>
</file>