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color w:val="auto"/>
          <w:sz w:val="32"/>
          <w:szCs w:val="32"/>
        </w:rPr>
      </w:pPr>
      <w:r>
        <w:rPr>
          <w:color w:val="auto"/>
          <w:sz w:val="32"/>
          <w:szCs w:val="32"/>
        </w:rPr>
        <w:t xml:space="preserve">  </w:t>
      </w:r>
    </w:p>
    <w:p>
      <w:pPr>
        <w:spacing w:line="600" w:lineRule="exact"/>
        <w:jc w:val="center"/>
        <w:rPr>
          <w:color w:val="auto"/>
          <w:sz w:val="32"/>
          <w:szCs w:val="32"/>
        </w:rPr>
      </w:pPr>
    </w:p>
    <w:p>
      <w:pPr>
        <w:spacing w:line="600" w:lineRule="exact"/>
        <w:jc w:val="center"/>
        <w:rPr>
          <w:color w:val="auto"/>
          <w:sz w:val="32"/>
          <w:szCs w:val="32"/>
        </w:rPr>
      </w:pPr>
    </w:p>
    <w:p>
      <w:pPr>
        <w:spacing w:before="120" w:beforeLines="50"/>
        <w:jc w:val="center"/>
        <w:rPr>
          <w:color w:val="auto"/>
          <w:sz w:val="52"/>
          <w:szCs w:val="52"/>
        </w:rPr>
      </w:pPr>
      <w:r>
        <w:rPr>
          <w:color w:val="auto"/>
          <w:sz w:val="72"/>
          <w:szCs w:val="72"/>
        </w:rPr>
        <w:t>公开招标采购文件</w:t>
      </w:r>
    </w:p>
    <w:p>
      <w:pPr>
        <w:snapToGrid w:val="0"/>
        <w:spacing w:before="120" w:beforeLines="50" w:line="360" w:lineRule="auto"/>
        <w:rPr>
          <w:color w:val="auto"/>
          <w:sz w:val="30"/>
          <w:szCs w:val="72"/>
        </w:rPr>
      </w:pPr>
    </w:p>
    <w:p>
      <w:pPr>
        <w:pStyle w:val="25"/>
        <w:snapToGrid w:val="0"/>
        <w:spacing w:before="120" w:beforeLines="0" w:after="120" w:afterLines="0" w:line="360" w:lineRule="auto"/>
        <w:rPr>
          <w:rFonts w:ascii="Times New Roman" w:hAnsi="Times New Roman"/>
          <w:b/>
          <w:color w:val="auto"/>
          <w:sz w:val="30"/>
          <w:szCs w:val="48"/>
        </w:rPr>
      </w:pPr>
    </w:p>
    <w:p>
      <w:pPr>
        <w:pStyle w:val="25"/>
        <w:snapToGrid w:val="0"/>
        <w:spacing w:before="120" w:beforeLines="0" w:after="120" w:afterLines="0" w:line="360" w:lineRule="auto"/>
        <w:rPr>
          <w:rFonts w:ascii="Times New Roman" w:hAnsi="Times New Roman"/>
          <w:b/>
          <w:color w:val="auto"/>
          <w:sz w:val="30"/>
          <w:szCs w:val="48"/>
        </w:rPr>
      </w:pPr>
    </w:p>
    <w:p>
      <w:pPr>
        <w:pStyle w:val="25"/>
        <w:snapToGrid w:val="0"/>
        <w:spacing w:before="120" w:beforeLines="0" w:after="120" w:afterLines="0" w:line="360" w:lineRule="auto"/>
        <w:rPr>
          <w:rFonts w:ascii="Times New Roman" w:hAnsi="Times New Roman"/>
          <w:b/>
          <w:color w:val="auto"/>
          <w:sz w:val="30"/>
          <w:szCs w:val="48"/>
        </w:rPr>
      </w:pPr>
    </w:p>
    <w:p>
      <w:pPr>
        <w:pStyle w:val="16"/>
        <w:rPr>
          <w:b/>
          <w:color w:val="auto"/>
          <w:sz w:val="30"/>
          <w:szCs w:val="48"/>
        </w:rPr>
      </w:pPr>
    </w:p>
    <w:p>
      <w:pPr>
        <w:pStyle w:val="17"/>
        <w:ind w:firstLine="210"/>
        <w:rPr>
          <w:color w:val="auto"/>
        </w:rPr>
      </w:pPr>
    </w:p>
    <w:p>
      <w:pPr>
        <w:pStyle w:val="25"/>
        <w:snapToGrid w:val="0"/>
        <w:spacing w:before="120" w:beforeLines="0" w:after="120" w:afterLines="0" w:line="360" w:lineRule="auto"/>
        <w:rPr>
          <w:rFonts w:ascii="Times New Roman" w:hAnsi="Times New Roman"/>
          <w:b/>
          <w:color w:val="auto"/>
          <w:sz w:val="30"/>
          <w:szCs w:val="48"/>
        </w:rPr>
      </w:pPr>
    </w:p>
    <w:p>
      <w:pPr>
        <w:pStyle w:val="25"/>
        <w:snapToGrid w:val="0"/>
        <w:spacing w:before="120" w:beforeLines="0" w:after="120" w:afterLines="0" w:line="360" w:lineRule="auto"/>
        <w:rPr>
          <w:rFonts w:ascii="Times New Roman" w:hAnsi="Times New Roman"/>
          <w:b/>
          <w:color w:val="auto"/>
          <w:sz w:val="30"/>
          <w:szCs w:val="48"/>
        </w:rPr>
      </w:pPr>
    </w:p>
    <w:p>
      <w:pPr>
        <w:pStyle w:val="16"/>
        <w:rPr>
          <w:color w:val="auto"/>
        </w:rPr>
      </w:pPr>
    </w:p>
    <w:p>
      <w:pPr>
        <w:pStyle w:val="25"/>
        <w:snapToGrid w:val="0"/>
        <w:spacing w:before="300" w:beforeLines="0" w:after="300" w:afterLines="0" w:line="360" w:lineRule="auto"/>
        <w:rPr>
          <w:rFonts w:ascii="Times New Roman" w:hAnsi="Times New Roman"/>
          <w:b/>
          <w:color w:val="auto"/>
        </w:rPr>
      </w:pPr>
      <w:r>
        <w:rPr>
          <w:rFonts w:ascii="Times New Roman" w:hAnsi="Times New Roman"/>
          <w:b/>
          <w:color w:val="auto"/>
        </w:rPr>
        <w:t>项目编号：</w:t>
      </w:r>
      <w:r>
        <w:rPr>
          <w:rFonts w:hint="eastAsia" w:ascii="Times New Roman" w:hAnsi="Times New Roman"/>
          <w:b/>
          <w:color w:val="auto"/>
        </w:rPr>
        <w:t>科信建代字[2023]100072号</w:t>
      </w:r>
      <w:r>
        <w:rPr>
          <w:rFonts w:ascii="Times New Roman" w:hAnsi="Times New Roman"/>
          <w:b/>
          <w:color w:val="auto"/>
        </w:rPr>
        <w:t xml:space="preserve"> </w:t>
      </w:r>
    </w:p>
    <w:p>
      <w:pPr>
        <w:pStyle w:val="25"/>
        <w:snapToGrid w:val="0"/>
        <w:spacing w:before="300" w:beforeLines="0" w:after="300" w:afterLines="0" w:line="360" w:lineRule="auto"/>
        <w:rPr>
          <w:rFonts w:ascii="Times New Roman" w:hAnsi="Times New Roman"/>
          <w:b/>
          <w:color w:val="auto"/>
          <w:spacing w:val="-6"/>
        </w:rPr>
      </w:pPr>
      <w:r>
        <w:rPr>
          <w:rFonts w:ascii="Times New Roman" w:hAnsi="Times New Roman"/>
          <w:b/>
          <w:color w:val="auto"/>
        </w:rPr>
        <w:t>项目名称：余姚市智安小区建设项目</w:t>
      </w:r>
    </w:p>
    <w:p>
      <w:pPr>
        <w:pStyle w:val="25"/>
        <w:snapToGrid w:val="0"/>
        <w:spacing w:before="300" w:beforeLines="0" w:after="300" w:afterLines="0" w:line="360" w:lineRule="auto"/>
        <w:rPr>
          <w:rFonts w:ascii="Times New Roman" w:hAnsi="Times New Roman"/>
          <w:b/>
          <w:color w:val="auto"/>
        </w:rPr>
      </w:pPr>
      <w:r>
        <w:rPr>
          <w:rFonts w:ascii="Times New Roman" w:hAnsi="Times New Roman"/>
          <w:b/>
          <w:color w:val="auto"/>
        </w:rPr>
        <w:t>采 购 人：余姚舜智投资发展有限公司</w:t>
      </w:r>
    </w:p>
    <w:p>
      <w:pPr>
        <w:pStyle w:val="25"/>
        <w:snapToGrid w:val="0"/>
        <w:spacing w:before="300" w:beforeLines="0" w:after="300" w:afterLines="0" w:line="360" w:lineRule="auto"/>
        <w:rPr>
          <w:rFonts w:ascii="Times New Roman" w:hAnsi="Times New Roman"/>
          <w:b/>
          <w:color w:val="auto"/>
        </w:rPr>
      </w:pPr>
      <w:r>
        <w:rPr>
          <w:rFonts w:ascii="Times New Roman" w:hAnsi="Times New Roman"/>
          <w:b/>
          <w:color w:val="auto"/>
        </w:rPr>
        <w:t>代理机构：浙江科信联合工程项目管理咨询有限公司</w:t>
      </w:r>
    </w:p>
    <w:p>
      <w:pPr>
        <w:pStyle w:val="16"/>
        <w:rPr>
          <w:color w:val="auto"/>
        </w:rPr>
      </w:pPr>
    </w:p>
    <w:p>
      <w:pPr>
        <w:snapToGrid w:val="0"/>
        <w:spacing w:before="120" w:beforeLines="50" w:line="360" w:lineRule="auto"/>
        <w:jc w:val="center"/>
        <w:rPr>
          <w:color w:val="auto"/>
          <w:sz w:val="30"/>
          <w:szCs w:val="20"/>
        </w:rPr>
      </w:pPr>
      <w:r>
        <w:rPr>
          <w:b/>
          <w:bCs/>
          <w:color w:val="auto"/>
          <w:sz w:val="30"/>
          <w:szCs w:val="30"/>
        </w:rPr>
        <w:t>202</w:t>
      </w:r>
      <w:r>
        <w:rPr>
          <w:rFonts w:hint="eastAsia"/>
          <w:b/>
          <w:bCs/>
          <w:color w:val="auto"/>
          <w:sz w:val="30"/>
          <w:szCs w:val="30"/>
        </w:rPr>
        <w:t>3</w:t>
      </w:r>
      <w:r>
        <w:rPr>
          <w:b/>
          <w:bCs/>
          <w:color w:val="auto"/>
          <w:sz w:val="30"/>
          <w:szCs w:val="30"/>
        </w:rPr>
        <w:t>年</w:t>
      </w:r>
      <w:r>
        <w:rPr>
          <w:rFonts w:hint="eastAsia"/>
          <w:b/>
          <w:bCs/>
          <w:color w:val="auto"/>
          <w:sz w:val="30"/>
          <w:szCs w:val="30"/>
        </w:rPr>
        <w:t>2</w:t>
      </w:r>
      <w:r>
        <w:rPr>
          <w:b/>
          <w:bCs/>
          <w:color w:val="auto"/>
          <w:sz w:val="30"/>
          <w:szCs w:val="30"/>
        </w:rPr>
        <w:t>月</w:t>
      </w: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b/>
          <w:bCs/>
          <w:color w:val="auto"/>
          <w:sz w:val="44"/>
          <w:szCs w:val="44"/>
        </w:rPr>
        <w:sectPr>
          <w:headerReference r:id="rId3" w:type="default"/>
          <w:footerReference r:id="rId4" w:type="default"/>
          <w:pgSz w:w="11906" w:h="16838"/>
          <w:pgMar w:top="1440" w:right="1803" w:bottom="1440" w:left="1803" w:header="851" w:footer="850" w:gutter="0"/>
          <w:pgNumType w:start="1"/>
          <w:cols w:space="720" w:num="1"/>
          <w:docGrid w:linePitch="312" w:charSpace="0"/>
        </w:sectPr>
      </w:pPr>
    </w:p>
    <w:p>
      <w:pPr>
        <w:jc w:val="center"/>
        <w:rPr>
          <w:color w:val="auto"/>
          <w:sz w:val="28"/>
          <w:szCs w:val="32"/>
        </w:rPr>
      </w:pPr>
      <w:r>
        <w:rPr>
          <w:b/>
          <w:bCs/>
          <w:color w:val="auto"/>
          <w:sz w:val="44"/>
          <w:szCs w:val="44"/>
        </w:rPr>
        <w:t>目 录</w:t>
      </w:r>
    </w:p>
    <w:p>
      <w:pPr>
        <w:pStyle w:val="39"/>
        <w:ind w:firstLine="344"/>
        <w:rPr>
          <w:color w:val="auto"/>
        </w:rPr>
      </w:pPr>
    </w:p>
    <w:p>
      <w:pPr>
        <w:pStyle w:val="31"/>
        <w:tabs>
          <w:tab w:val="right" w:leader="dot" w:pos="8300"/>
        </w:tabs>
        <w:spacing w:line="480" w:lineRule="auto"/>
        <w:rPr>
          <w:b/>
          <w:bCs/>
          <w:color w:val="auto"/>
          <w:sz w:val="22"/>
          <w:szCs w:val="28"/>
        </w:rPr>
      </w:pPr>
      <w:r>
        <w:rPr>
          <w:b/>
          <w:bCs/>
          <w:color w:val="auto"/>
          <w:sz w:val="22"/>
          <w:szCs w:val="28"/>
        </w:rPr>
        <w:fldChar w:fldCharType="begin"/>
      </w:r>
      <w:r>
        <w:rPr>
          <w:b/>
          <w:bCs/>
          <w:color w:val="auto"/>
          <w:sz w:val="22"/>
          <w:szCs w:val="28"/>
        </w:rPr>
        <w:instrText xml:space="preserve">TOC \o "1-3" \h \u </w:instrText>
      </w:r>
      <w:r>
        <w:rPr>
          <w:b/>
          <w:bCs/>
          <w:color w:val="auto"/>
          <w:sz w:val="22"/>
          <w:szCs w:val="28"/>
        </w:rPr>
        <w:fldChar w:fldCharType="separate"/>
      </w:r>
      <w:r>
        <w:rPr>
          <w:color w:val="auto"/>
        </w:rPr>
        <w:fldChar w:fldCharType="begin"/>
      </w:r>
      <w:r>
        <w:rPr>
          <w:color w:val="auto"/>
        </w:rPr>
        <w:instrText xml:space="preserve"> HYPERLINK \l "_Toc29018" </w:instrText>
      </w:r>
      <w:r>
        <w:rPr>
          <w:color w:val="auto"/>
        </w:rPr>
        <w:fldChar w:fldCharType="separate"/>
      </w:r>
      <w:r>
        <w:rPr>
          <w:b/>
          <w:bCs/>
          <w:color w:val="auto"/>
          <w:sz w:val="22"/>
          <w:szCs w:val="28"/>
        </w:rPr>
        <w:t>第一章 公开招标采购公告</w:t>
      </w:r>
      <w:r>
        <w:rPr>
          <w:b/>
          <w:bCs/>
          <w:color w:val="auto"/>
          <w:sz w:val="22"/>
          <w:szCs w:val="28"/>
        </w:rPr>
        <w:tab/>
      </w:r>
      <w:r>
        <w:rPr>
          <w:b/>
          <w:bCs/>
          <w:color w:val="auto"/>
          <w:sz w:val="22"/>
          <w:szCs w:val="28"/>
        </w:rPr>
        <w:fldChar w:fldCharType="begin"/>
      </w:r>
      <w:r>
        <w:rPr>
          <w:b/>
          <w:bCs/>
          <w:color w:val="auto"/>
          <w:sz w:val="22"/>
          <w:szCs w:val="28"/>
        </w:rPr>
        <w:instrText xml:space="preserve"> PAGEREF _Toc29018 \h </w:instrText>
      </w:r>
      <w:r>
        <w:rPr>
          <w:b/>
          <w:bCs/>
          <w:color w:val="auto"/>
          <w:sz w:val="22"/>
          <w:szCs w:val="28"/>
        </w:rPr>
        <w:fldChar w:fldCharType="separate"/>
      </w:r>
      <w:r>
        <w:rPr>
          <w:b/>
          <w:bCs/>
          <w:color w:val="auto"/>
          <w:sz w:val="22"/>
          <w:szCs w:val="28"/>
        </w:rPr>
        <w:t>1</w:t>
      </w:r>
      <w:r>
        <w:rPr>
          <w:b/>
          <w:bCs/>
          <w:color w:val="auto"/>
          <w:sz w:val="22"/>
          <w:szCs w:val="28"/>
        </w:rPr>
        <w:fldChar w:fldCharType="end"/>
      </w:r>
      <w:r>
        <w:rPr>
          <w:b/>
          <w:bCs/>
          <w:color w:val="auto"/>
          <w:sz w:val="22"/>
          <w:szCs w:val="28"/>
        </w:rPr>
        <w:fldChar w:fldCharType="end"/>
      </w:r>
    </w:p>
    <w:p>
      <w:pPr>
        <w:pStyle w:val="31"/>
        <w:tabs>
          <w:tab w:val="right" w:leader="dot" w:pos="8300"/>
        </w:tabs>
        <w:spacing w:line="480" w:lineRule="auto"/>
        <w:rPr>
          <w:b/>
          <w:bCs/>
          <w:color w:val="auto"/>
          <w:sz w:val="22"/>
          <w:szCs w:val="28"/>
        </w:rPr>
      </w:pPr>
      <w:r>
        <w:rPr>
          <w:color w:val="auto"/>
        </w:rPr>
        <w:fldChar w:fldCharType="begin"/>
      </w:r>
      <w:r>
        <w:rPr>
          <w:color w:val="auto"/>
        </w:rPr>
        <w:instrText xml:space="preserve"> HYPERLINK \l "_Toc24048" </w:instrText>
      </w:r>
      <w:r>
        <w:rPr>
          <w:color w:val="auto"/>
        </w:rPr>
        <w:fldChar w:fldCharType="separate"/>
      </w:r>
      <w:r>
        <w:rPr>
          <w:b/>
          <w:bCs/>
          <w:color w:val="auto"/>
          <w:sz w:val="22"/>
          <w:szCs w:val="28"/>
        </w:rPr>
        <w:t>第二章 招标需求</w:t>
      </w:r>
      <w:r>
        <w:rPr>
          <w:b/>
          <w:bCs/>
          <w:color w:val="auto"/>
          <w:sz w:val="22"/>
          <w:szCs w:val="28"/>
        </w:rPr>
        <w:tab/>
      </w:r>
      <w:r>
        <w:rPr>
          <w:b/>
          <w:bCs/>
          <w:color w:val="auto"/>
          <w:sz w:val="22"/>
          <w:szCs w:val="28"/>
        </w:rPr>
        <w:fldChar w:fldCharType="begin"/>
      </w:r>
      <w:r>
        <w:rPr>
          <w:b/>
          <w:bCs/>
          <w:color w:val="auto"/>
          <w:sz w:val="22"/>
          <w:szCs w:val="28"/>
        </w:rPr>
        <w:instrText xml:space="preserve"> PAGEREF _Toc24048 \h </w:instrText>
      </w:r>
      <w:r>
        <w:rPr>
          <w:b/>
          <w:bCs/>
          <w:color w:val="auto"/>
          <w:sz w:val="22"/>
          <w:szCs w:val="28"/>
        </w:rPr>
        <w:fldChar w:fldCharType="separate"/>
      </w:r>
      <w:r>
        <w:rPr>
          <w:b/>
          <w:bCs/>
          <w:color w:val="auto"/>
          <w:sz w:val="22"/>
          <w:szCs w:val="28"/>
        </w:rPr>
        <w:t>4</w:t>
      </w:r>
      <w:r>
        <w:rPr>
          <w:b/>
          <w:bCs/>
          <w:color w:val="auto"/>
          <w:sz w:val="22"/>
          <w:szCs w:val="28"/>
        </w:rPr>
        <w:fldChar w:fldCharType="end"/>
      </w:r>
      <w:r>
        <w:rPr>
          <w:b/>
          <w:bCs/>
          <w:color w:val="auto"/>
          <w:sz w:val="22"/>
          <w:szCs w:val="28"/>
        </w:rPr>
        <w:fldChar w:fldCharType="end"/>
      </w:r>
    </w:p>
    <w:p>
      <w:pPr>
        <w:pStyle w:val="31"/>
        <w:tabs>
          <w:tab w:val="right" w:leader="dot" w:pos="8300"/>
        </w:tabs>
        <w:spacing w:line="480" w:lineRule="auto"/>
        <w:rPr>
          <w:b/>
          <w:bCs/>
          <w:color w:val="auto"/>
          <w:sz w:val="22"/>
          <w:szCs w:val="28"/>
        </w:rPr>
      </w:pPr>
      <w:r>
        <w:rPr>
          <w:color w:val="auto"/>
        </w:rPr>
        <w:fldChar w:fldCharType="begin"/>
      </w:r>
      <w:r>
        <w:rPr>
          <w:color w:val="auto"/>
        </w:rPr>
        <w:instrText xml:space="preserve"> HYPERLINK \l "_Toc30344" </w:instrText>
      </w:r>
      <w:r>
        <w:rPr>
          <w:color w:val="auto"/>
        </w:rPr>
        <w:fldChar w:fldCharType="separate"/>
      </w:r>
      <w:r>
        <w:rPr>
          <w:b/>
          <w:bCs/>
          <w:color w:val="auto"/>
          <w:sz w:val="22"/>
          <w:szCs w:val="28"/>
        </w:rPr>
        <w:t>第三章 投标人须知</w:t>
      </w:r>
      <w:r>
        <w:rPr>
          <w:b/>
          <w:bCs/>
          <w:color w:val="auto"/>
          <w:sz w:val="22"/>
          <w:szCs w:val="28"/>
        </w:rPr>
        <w:tab/>
      </w:r>
      <w:r>
        <w:rPr>
          <w:b/>
          <w:bCs/>
          <w:color w:val="auto"/>
          <w:sz w:val="22"/>
          <w:szCs w:val="28"/>
        </w:rPr>
        <w:fldChar w:fldCharType="begin"/>
      </w:r>
      <w:r>
        <w:rPr>
          <w:b/>
          <w:bCs/>
          <w:color w:val="auto"/>
          <w:sz w:val="22"/>
          <w:szCs w:val="28"/>
        </w:rPr>
        <w:instrText xml:space="preserve"> PAGEREF _Toc30344 \h </w:instrText>
      </w:r>
      <w:r>
        <w:rPr>
          <w:b/>
          <w:bCs/>
          <w:color w:val="auto"/>
          <w:sz w:val="22"/>
          <w:szCs w:val="28"/>
        </w:rPr>
        <w:fldChar w:fldCharType="separate"/>
      </w:r>
      <w:r>
        <w:rPr>
          <w:b/>
          <w:bCs/>
          <w:color w:val="auto"/>
          <w:sz w:val="22"/>
          <w:szCs w:val="28"/>
        </w:rPr>
        <w:t>56</w:t>
      </w:r>
      <w:r>
        <w:rPr>
          <w:b/>
          <w:bCs/>
          <w:color w:val="auto"/>
          <w:sz w:val="22"/>
          <w:szCs w:val="28"/>
        </w:rPr>
        <w:fldChar w:fldCharType="end"/>
      </w:r>
      <w:r>
        <w:rPr>
          <w:b/>
          <w:bCs/>
          <w:color w:val="auto"/>
          <w:sz w:val="22"/>
          <w:szCs w:val="28"/>
        </w:rPr>
        <w:fldChar w:fldCharType="end"/>
      </w:r>
    </w:p>
    <w:p>
      <w:pPr>
        <w:pStyle w:val="31"/>
        <w:tabs>
          <w:tab w:val="right" w:leader="dot" w:pos="8300"/>
        </w:tabs>
        <w:spacing w:line="480" w:lineRule="auto"/>
        <w:rPr>
          <w:b/>
          <w:bCs/>
          <w:color w:val="auto"/>
          <w:sz w:val="22"/>
          <w:szCs w:val="28"/>
        </w:rPr>
      </w:pPr>
      <w:r>
        <w:rPr>
          <w:color w:val="auto"/>
        </w:rPr>
        <w:fldChar w:fldCharType="begin"/>
      </w:r>
      <w:r>
        <w:rPr>
          <w:color w:val="auto"/>
        </w:rPr>
        <w:instrText xml:space="preserve"> HYPERLINK \l "_Toc1873" </w:instrText>
      </w:r>
      <w:r>
        <w:rPr>
          <w:color w:val="auto"/>
        </w:rPr>
        <w:fldChar w:fldCharType="separate"/>
      </w:r>
      <w:r>
        <w:rPr>
          <w:b/>
          <w:bCs/>
          <w:color w:val="auto"/>
          <w:sz w:val="22"/>
          <w:szCs w:val="28"/>
        </w:rPr>
        <w:t>第四章 评标办法及评分标准</w:t>
      </w:r>
      <w:r>
        <w:rPr>
          <w:b/>
          <w:bCs/>
          <w:color w:val="auto"/>
          <w:sz w:val="22"/>
          <w:szCs w:val="28"/>
        </w:rPr>
        <w:tab/>
      </w:r>
      <w:r>
        <w:rPr>
          <w:b/>
          <w:bCs/>
          <w:color w:val="auto"/>
          <w:sz w:val="22"/>
          <w:szCs w:val="28"/>
        </w:rPr>
        <w:fldChar w:fldCharType="begin"/>
      </w:r>
      <w:r>
        <w:rPr>
          <w:b/>
          <w:bCs/>
          <w:color w:val="auto"/>
          <w:sz w:val="22"/>
          <w:szCs w:val="28"/>
        </w:rPr>
        <w:instrText xml:space="preserve"> PAGEREF _Toc1873 \h </w:instrText>
      </w:r>
      <w:r>
        <w:rPr>
          <w:b/>
          <w:bCs/>
          <w:color w:val="auto"/>
          <w:sz w:val="22"/>
          <w:szCs w:val="28"/>
        </w:rPr>
        <w:fldChar w:fldCharType="separate"/>
      </w:r>
      <w:r>
        <w:rPr>
          <w:b/>
          <w:bCs/>
          <w:color w:val="auto"/>
          <w:sz w:val="22"/>
          <w:szCs w:val="28"/>
        </w:rPr>
        <w:t>69</w:t>
      </w:r>
      <w:r>
        <w:rPr>
          <w:b/>
          <w:bCs/>
          <w:color w:val="auto"/>
          <w:sz w:val="22"/>
          <w:szCs w:val="28"/>
        </w:rPr>
        <w:fldChar w:fldCharType="end"/>
      </w:r>
      <w:r>
        <w:rPr>
          <w:b/>
          <w:bCs/>
          <w:color w:val="auto"/>
          <w:sz w:val="22"/>
          <w:szCs w:val="28"/>
        </w:rPr>
        <w:fldChar w:fldCharType="end"/>
      </w:r>
    </w:p>
    <w:p>
      <w:pPr>
        <w:pStyle w:val="31"/>
        <w:tabs>
          <w:tab w:val="right" w:leader="dot" w:pos="8300"/>
        </w:tabs>
        <w:spacing w:line="480" w:lineRule="auto"/>
        <w:rPr>
          <w:b/>
          <w:bCs/>
          <w:color w:val="auto"/>
          <w:sz w:val="22"/>
          <w:szCs w:val="28"/>
        </w:rPr>
      </w:pPr>
      <w:r>
        <w:rPr>
          <w:color w:val="auto"/>
        </w:rPr>
        <w:fldChar w:fldCharType="begin"/>
      </w:r>
      <w:r>
        <w:rPr>
          <w:color w:val="auto"/>
        </w:rPr>
        <w:instrText xml:space="preserve"> HYPERLINK \l "_Toc28623" </w:instrText>
      </w:r>
      <w:r>
        <w:rPr>
          <w:color w:val="auto"/>
        </w:rPr>
        <w:fldChar w:fldCharType="separate"/>
      </w:r>
      <w:r>
        <w:rPr>
          <w:b/>
          <w:bCs/>
          <w:color w:val="auto"/>
          <w:sz w:val="22"/>
          <w:szCs w:val="28"/>
        </w:rPr>
        <w:t>第五章 政府采购合同主要条款</w:t>
      </w:r>
      <w:r>
        <w:rPr>
          <w:b/>
          <w:bCs/>
          <w:color w:val="auto"/>
          <w:sz w:val="22"/>
          <w:szCs w:val="28"/>
        </w:rPr>
        <w:tab/>
      </w:r>
      <w:r>
        <w:rPr>
          <w:b/>
          <w:bCs/>
          <w:color w:val="auto"/>
          <w:sz w:val="22"/>
          <w:szCs w:val="28"/>
        </w:rPr>
        <w:fldChar w:fldCharType="begin"/>
      </w:r>
      <w:r>
        <w:rPr>
          <w:b/>
          <w:bCs/>
          <w:color w:val="auto"/>
          <w:sz w:val="22"/>
          <w:szCs w:val="28"/>
        </w:rPr>
        <w:instrText xml:space="preserve"> PAGEREF _Toc28623 \h </w:instrText>
      </w:r>
      <w:r>
        <w:rPr>
          <w:b/>
          <w:bCs/>
          <w:color w:val="auto"/>
          <w:sz w:val="22"/>
          <w:szCs w:val="28"/>
        </w:rPr>
        <w:fldChar w:fldCharType="separate"/>
      </w:r>
      <w:r>
        <w:rPr>
          <w:b/>
          <w:bCs/>
          <w:color w:val="auto"/>
          <w:sz w:val="22"/>
          <w:szCs w:val="28"/>
        </w:rPr>
        <w:t>75</w:t>
      </w:r>
      <w:r>
        <w:rPr>
          <w:b/>
          <w:bCs/>
          <w:color w:val="auto"/>
          <w:sz w:val="22"/>
          <w:szCs w:val="28"/>
        </w:rPr>
        <w:fldChar w:fldCharType="end"/>
      </w:r>
      <w:r>
        <w:rPr>
          <w:b/>
          <w:bCs/>
          <w:color w:val="auto"/>
          <w:sz w:val="22"/>
          <w:szCs w:val="28"/>
        </w:rPr>
        <w:fldChar w:fldCharType="end"/>
      </w:r>
    </w:p>
    <w:p>
      <w:pPr>
        <w:pStyle w:val="31"/>
        <w:tabs>
          <w:tab w:val="right" w:leader="dot" w:pos="8300"/>
        </w:tabs>
        <w:spacing w:line="480" w:lineRule="auto"/>
        <w:rPr>
          <w:b/>
          <w:bCs/>
          <w:color w:val="auto"/>
          <w:sz w:val="22"/>
          <w:szCs w:val="28"/>
        </w:rPr>
      </w:pPr>
      <w:r>
        <w:rPr>
          <w:color w:val="auto"/>
        </w:rPr>
        <w:fldChar w:fldCharType="begin"/>
      </w:r>
      <w:r>
        <w:rPr>
          <w:color w:val="auto"/>
        </w:rPr>
        <w:instrText xml:space="preserve"> HYPERLINK \l "_Toc29243" </w:instrText>
      </w:r>
      <w:r>
        <w:rPr>
          <w:color w:val="auto"/>
        </w:rPr>
        <w:fldChar w:fldCharType="separate"/>
      </w:r>
      <w:r>
        <w:rPr>
          <w:b/>
          <w:bCs/>
          <w:color w:val="auto"/>
          <w:sz w:val="22"/>
          <w:szCs w:val="28"/>
        </w:rPr>
        <w:t>第六章 投标文件格式</w:t>
      </w:r>
      <w:r>
        <w:rPr>
          <w:b/>
          <w:bCs/>
          <w:color w:val="auto"/>
          <w:sz w:val="22"/>
          <w:szCs w:val="28"/>
        </w:rPr>
        <w:tab/>
      </w:r>
      <w:r>
        <w:rPr>
          <w:b/>
          <w:bCs/>
          <w:color w:val="auto"/>
          <w:sz w:val="22"/>
          <w:szCs w:val="28"/>
        </w:rPr>
        <w:fldChar w:fldCharType="begin"/>
      </w:r>
      <w:r>
        <w:rPr>
          <w:b/>
          <w:bCs/>
          <w:color w:val="auto"/>
          <w:sz w:val="22"/>
          <w:szCs w:val="28"/>
        </w:rPr>
        <w:instrText xml:space="preserve"> PAGEREF _Toc29243 \h </w:instrText>
      </w:r>
      <w:r>
        <w:rPr>
          <w:b/>
          <w:bCs/>
          <w:color w:val="auto"/>
          <w:sz w:val="22"/>
          <w:szCs w:val="28"/>
        </w:rPr>
        <w:fldChar w:fldCharType="separate"/>
      </w:r>
      <w:r>
        <w:rPr>
          <w:b/>
          <w:bCs/>
          <w:color w:val="auto"/>
          <w:sz w:val="22"/>
          <w:szCs w:val="28"/>
        </w:rPr>
        <w:t>81</w:t>
      </w:r>
      <w:r>
        <w:rPr>
          <w:b/>
          <w:bCs/>
          <w:color w:val="auto"/>
          <w:sz w:val="22"/>
          <w:szCs w:val="28"/>
        </w:rPr>
        <w:fldChar w:fldCharType="end"/>
      </w:r>
      <w:r>
        <w:rPr>
          <w:b/>
          <w:bCs/>
          <w:color w:val="auto"/>
          <w:sz w:val="22"/>
          <w:szCs w:val="28"/>
        </w:rPr>
        <w:fldChar w:fldCharType="end"/>
      </w:r>
    </w:p>
    <w:p>
      <w:pPr>
        <w:pStyle w:val="39"/>
        <w:spacing w:line="480" w:lineRule="auto"/>
        <w:ind w:firstLine="402"/>
        <w:rPr>
          <w:color w:val="auto"/>
        </w:rPr>
      </w:pPr>
      <w:r>
        <w:rPr>
          <w:b/>
          <w:bCs/>
          <w:color w:val="auto"/>
          <w:sz w:val="20"/>
          <w:szCs w:val="21"/>
        </w:rPr>
        <w:fldChar w:fldCharType="end"/>
      </w:r>
    </w:p>
    <w:p>
      <w:pPr>
        <w:pStyle w:val="25"/>
        <w:snapToGrid w:val="0"/>
        <w:spacing w:before="120" w:beforeLines="0" w:after="120" w:afterLines="0" w:line="360" w:lineRule="auto"/>
        <w:jc w:val="center"/>
        <w:rPr>
          <w:rFonts w:ascii="Times New Roman" w:hAnsi="Times New Roman"/>
          <w:b/>
          <w:color w:val="auto"/>
          <w:sz w:val="30"/>
          <w:szCs w:val="30"/>
        </w:rPr>
      </w:pPr>
    </w:p>
    <w:p>
      <w:pPr>
        <w:pStyle w:val="25"/>
        <w:snapToGrid w:val="0"/>
        <w:spacing w:before="120" w:beforeLines="0" w:after="120" w:afterLines="0" w:line="360" w:lineRule="auto"/>
        <w:jc w:val="center"/>
        <w:rPr>
          <w:rFonts w:ascii="Times New Roman" w:hAnsi="Times New Roman"/>
          <w:b/>
          <w:color w:val="auto"/>
          <w:sz w:val="30"/>
          <w:szCs w:val="30"/>
        </w:rPr>
      </w:pPr>
    </w:p>
    <w:p>
      <w:pPr>
        <w:pStyle w:val="25"/>
        <w:snapToGrid w:val="0"/>
        <w:spacing w:before="120" w:beforeLines="0" w:after="120" w:afterLines="0" w:line="360" w:lineRule="auto"/>
        <w:jc w:val="center"/>
        <w:rPr>
          <w:rFonts w:ascii="Times New Roman" w:hAnsi="Times New Roman"/>
          <w:b/>
          <w:color w:val="auto"/>
          <w:sz w:val="30"/>
          <w:szCs w:val="30"/>
        </w:rPr>
      </w:pPr>
    </w:p>
    <w:p>
      <w:pPr>
        <w:pStyle w:val="25"/>
        <w:snapToGrid w:val="0"/>
        <w:spacing w:before="120" w:beforeLines="0" w:after="120" w:afterLines="0" w:line="360" w:lineRule="auto"/>
        <w:jc w:val="center"/>
        <w:rPr>
          <w:rFonts w:ascii="Times New Roman" w:hAnsi="Times New Roman"/>
          <w:b/>
          <w:color w:val="auto"/>
          <w:sz w:val="30"/>
          <w:szCs w:val="30"/>
        </w:rPr>
      </w:pPr>
    </w:p>
    <w:p>
      <w:pPr>
        <w:pStyle w:val="25"/>
        <w:snapToGrid w:val="0"/>
        <w:spacing w:before="120" w:beforeLines="0" w:after="120" w:afterLines="0" w:line="360" w:lineRule="auto"/>
        <w:jc w:val="center"/>
        <w:rPr>
          <w:rFonts w:ascii="Times New Roman" w:hAnsi="Times New Roman"/>
          <w:b/>
          <w:color w:val="auto"/>
        </w:rPr>
        <w:sectPr>
          <w:pgSz w:w="11906" w:h="16838"/>
          <w:pgMar w:top="1440" w:right="1803" w:bottom="1440" w:left="1803" w:header="851" w:footer="850" w:gutter="0"/>
          <w:pgNumType w:start="1"/>
          <w:cols w:space="720" w:num="1"/>
          <w:docGrid w:linePitch="312" w:charSpace="0"/>
        </w:sectPr>
      </w:pPr>
    </w:p>
    <w:p>
      <w:pPr>
        <w:keepNext/>
        <w:keepLines/>
        <w:spacing w:line="360" w:lineRule="auto"/>
        <w:jc w:val="center"/>
        <w:rPr>
          <w:b/>
          <w:bCs/>
          <w:color w:val="auto"/>
          <w:sz w:val="24"/>
        </w:rPr>
      </w:pPr>
      <w:bookmarkStart w:id="0" w:name="_Toc12189"/>
      <w:bookmarkStart w:id="1" w:name="_Toc23819"/>
      <w:bookmarkStart w:id="2" w:name="_Toc27726"/>
      <w:bookmarkStart w:id="3" w:name="_Toc27329"/>
      <w:bookmarkStart w:id="4" w:name="_Toc10866_WPSOffice_Level1"/>
      <w:bookmarkStart w:id="5" w:name="_Toc27661"/>
      <w:bookmarkStart w:id="6" w:name="_Toc29018"/>
      <w:r>
        <w:rPr>
          <w:b/>
          <w:bCs/>
          <w:color w:val="auto"/>
          <w:sz w:val="24"/>
        </w:rPr>
        <w:t>说 明</w:t>
      </w:r>
    </w:p>
    <w:p>
      <w:pPr>
        <w:spacing w:line="360" w:lineRule="auto"/>
        <w:ind w:firstLine="420" w:firstLineChars="200"/>
        <w:rPr>
          <w:color w:val="auto"/>
          <w:szCs w:val="21"/>
        </w:rPr>
        <w:sectPr>
          <w:footerReference r:id="rId5" w:type="default"/>
          <w:footnotePr>
            <w:numFmt w:val="decimalEnclosedCircleChinese"/>
          </w:footnotePr>
          <w:pgSz w:w="11905" w:h="16838"/>
          <w:pgMar w:top="1701" w:right="1134" w:bottom="1304" w:left="1134" w:header="964" w:footer="567" w:gutter="567"/>
          <w:pgNumType w:start="1"/>
          <w:cols w:space="720" w:num="1"/>
          <w:docGrid w:type="lines" w:linePitch="384" w:charSpace="0"/>
        </w:sectPr>
      </w:pPr>
      <w:r>
        <w:rPr>
          <w:color w:val="auto"/>
          <w:szCs w:val="21"/>
        </w:rPr>
        <w:t>本项目为国企采购，采购文件中有涉及政府采购内容及相关政策等，本项目均参照执行。</w:t>
      </w:r>
      <w:r>
        <w:rPr>
          <w:rFonts w:hint="eastAsia"/>
          <w:color w:val="auto"/>
          <w:szCs w:val="21"/>
        </w:rPr>
        <w:t>本文件中“政采云平台”均指“乐采云平台”。</w:t>
      </w:r>
    </w:p>
    <w:p>
      <w:pPr>
        <w:pStyle w:val="25"/>
        <w:snapToGrid w:val="0"/>
        <w:spacing w:before="120" w:beforeLines="0" w:after="120" w:afterLines="0" w:line="360" w:lineRule="auto"/>
        <w:jc w:val="center"/>
        <w:outlineLvl w:val="0"/>
        <w:rPr>
          <w:rFonts w:ascii="Times New Roman" w:hAnsi="Times New Roman"/>
          <w:b/>
          <w:color w:val="auto"/>
        </w:rPr>
      </w:pPr>
      <w:r>
        <w:rPr>
          <w:rFonts w:ascii="Times New Roman" w:hAnsi="Times New Roman"/>
          <w:b/>
          <w:color w:val="auto"/>
        </w:rPr>
        <w:t>第一章 公开招标采购公告</w:t>
      </w:r>
      <w:bookmarkEnd w:id="0"/>
      <w:bookmarkEnd w:id="1"/>
      <w:bookmarkEnd w:id="2"/>
      <w:bookmarkEnd w:id="3"/>
      <w:bookmarkEnd w:id="4"/>
      <w:bookmarkEnd w:id="5"/>
      <w:bookmarkEnd w:id="6"/>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8528" w:type="dxa"/>
          </w:tcPr>
          <w:p>
            <w:pPr>
              <w:widowControl/>
              <w:spacing w:line="360" w:lineRule="auto"/>
              <w:jc w:val="left"/>
              <w:textAlignment w:val="baseline"/>
              <w:rPr>
                <w:b/>
                <w:bCs/>
                <w:color w:val="auto"/>
                <w:szCs w:val="21"/>
              </w:rPr>
            </w:pPr>
            <w:bookmarkStart w:id="7" w:name="_Toc7417_WPSOffice_Level1"/>
            <w:r>
              <w:rPr>
                <w:b/>
                <w:bCs/>
                <w:color w:val="auto"/>
                <w:szCs w:val="21"/>
              </w:rPr>
              <w:t>项目概况</w:t>
            </w:r>
          </w:p>
          <w:p>
            <w:pPr>
              <w:snapToGrid w:val="0"/>
              <w:spacing w:line="360" w:lineRule="auto"/>
              <w:ind w:firstLine="420" w:firstLineChars="200"/>
              <w:rPr>
                <w:color w:val="auto"/>
                <w:szCs w:val="21"/>
              </w:rPr>
            </w:pPr>
            <w:r>
              <w:rPr>
                <w:color w:val="auto"/>
                <w:szCs w:val="21"/>
                <w:u w:val="single"/>
                <w:shd w:val="clear" w:color="auto" w:fill="FFFFFF"/>
              </w:rPr>
              <w:t>余姚市智安小区建设项目</w:t>
            </w:r>
            <w:r>
              <w:rPr>
                <w:color w:val="auto"/>
                <w:szCs w:val="21"/>
                <w:shd w:val="clear" w:color="auto" w:fill="FFFFFF"/>
              </w:rPr>
              <w:t>招标项目的潜在投标人应在</w:t>
            </w:r>
            <w:r>
              <w:rPr>
                <w:color w:val="auto"/>
                <w:szCs w:val="21"/>
                <w:u w:val="single"/>
                <w:shd w:val="clear" w:color="auto" w:fill="FFFFFF"/>
              </w:rPr>
              <w:t>政采云平台（</w:t>
            </w:r>
            <w:r>
              <w:rPr>
                <w:color w:val="auto"/>
              </w:rPr>
              <w:fldChar w:fldCharType="begin"/>
            </w:r>
            <w:r>
              <w:rPr>
                <w:color w:val="auto"/>
              </w:rPr>
              <w:instrText xml:space="preserve"> HYPERLINK "http://www.zcygov.cn）获取（下载）招标文件，并于20" </w:instrText>
            </w:r>
            <w:r>
              <w:rPr>
                <w:color w:val="auto"/>
              </w:rPr>
              <w:fldChar w:fldCharType="separate"/>
            </w:r>
            <w:r>
              <w:rPr>
                <w:rStyle w:val="52"/>
                <w:color w:val="auto"/>
                <w:szCs w:val="21"/>
              </w:rPr>
              <w:t>www.zcygov.cn</w:t>
            </w:r>
            <w:r>
              <w:rPr>
                <w:rStyle w:val="52"/>
                <w:color w:val="auto"/>
                <w:szCs w:val="21"/>
                <w:shd w:val="clear" w:color="auto" w:fill="FFFFFF"/>
              </w:rPr>
              <w:t>）获取（下载）招标文件，并于</w:t>
            </w:r>
            <w:r>
              <w:rPr>
                <w:rStyle w:val="52"/>
                <w:color w:val="auto"/>
                <w:szCs w:val="21"/>
                <w:u w:val="single"/>
                <w:shd w:val="clear" w:color="auto" w:fill="FFFFFF"/>
              </w:rPr>
              <w:t>20</w:t>
            </w:r>
            <w:r>
              <w:rPr>
                <w:rStyle w:val="52"/>
                <w:color w:val="auto"/>
                <w:szCs w:val="21"/>
                <w:shd w:val="clear" w:color="auto" w:fill="FFFFFF"/>
              </w:rPr>
              <w:fldChar w:fldCharType="end"/>
            </w:r>
            <w:r>
              <w:rPr>
                <w:rFonts w:hint="eastAsia"/>
                <w:color w:val="auto"/>
                <w:szCs w:val="21"/>
                <w:u w:val="single"/>
                <w:shd w:val="clear" w:color="auto" w:fill="FFFFFF"/>
                <w:lang w:val="en-US" w:eastAsia="zh-CN"/>
              </w:rPr>
              <w:t>23</w:t>
            </w:r>
            <w:r>
              <w:rPr>
                <w:color w:val="auto"/>
                <w:szCs w:val="21"/>
                <w:u w:val="single"/>
                <w:shd w:val="clear" w:color="auto" w:fill="FFFFFF"/>
              </w:rPr>
              <w:t>年</w:t>
            </w:r>
            <w:r>
              <w:rPr>
                <w:rFonts w:hint="eastAsia"/>
                <w:color w:val="auto"/>
                <w:szCs w:val="21"/>
                <w:u w:val="single"/>
                <w:shd w:val="clear" w:color="auto" w:fill="FFFFFF"/>
                <w:lang w:val="en-US" w:eastAsia="zh-CN"/>
              </w:rPr>
              <w:t>3</w:t>
            </w:r>
            <w:r>
              <w:rPr>
                <w:color w:val="auto"/>
                <w:szCs w:val="21"/>
                <w:u w:val="single"/>
                <w:shd w:val="clear" w:color="auto" w:fill="FFFFFF"/>
              </w:rPr>
              <w:t>月</w:t>
            </w:r>
            <w:r>
              <w:rPr>
                <w:rFonts w:hint="eastAsia"/>
                <w:color w:val="auto"/>
                <w:szCs w:val="21"/>
                <w:u w:val="single"/>
                <w:shd w:val="clear" w:color="auto" w:fill="FFFFFF"/>
                <w:lang w:val="en-US" w:eastAsia="zh-CN"/>
              </w:rPr>
              <w:t>22</w:t>
            </w:r>
            <w:r>
              <w:rPr>
                <w:color w:val="auto"/>
                <w:szCs w:val="21"/>
                <w:u w:val="single"/>
                <w:shd w:val="clear" w:color="auto" w:fill="FFFFFF"/>
              </w:rPr>
              <w:t>日</w:t>
            </w:r>
            <w:r>
              <w:rPr>
                <w:rFonts w:hint="eastAsia"/>
                <w:color w:val="auto"/>
                <w:szCs w:val="21"/>
                <w:u w:val="single"/>
                <w:shd w:val="clear" w:color="auto" w:fill="FFFFFF"/>
                <w:lang w:val="en-US" w:eastAsia="zh-CN"/>
              </w:rPr>
              <w:t>9</w:t>
            </w:r>
            <w:r>
              <w:rPr>
                <w:color w:val="auto"/>
                <w:szCs w:val="21"/>
                <w:u w:val="single"/>
                <w:shd w:val="clear" w:color="auto" w:fill="FFFFFF"/>
              </w:rPr>
              <w:t>：</w:t>
            </w:r>
            <w:r>
              <w:rPr>
                <w:rFonts w:hint="eastAsia"/>
                <w:color w:val="auto"/>
                <w:szCs w:val="21"/>
                <w:u w:val="single"/>
                <w:shd w:val="clear" w:color="auto" w:fill="FFFFFF"/>
                <w:lang w:val="en-US" w:eastAsia="zh-CN"/>
              </w:rPr>
              <w:t>0</w:t>
            </w:r>
            <w:r>
              <w:rPr>
                <w:color w:val="auto"/>
                <w:szCs w:val="21"/>
                <w:u w:val="single"/>
                <w:shd w:val="clear" w:color="auto" w:fill="FFFFFF"/>
              </w:rPr>
              <w:t>0</w:t>
            </w:r>
            <w:r>
              <w:rPr>
                <w:color w:val="auto"/>
                <w:szCs w:val="21"/>
                <w:shd w:val="clear" w:color="auto" w:fill="FFFFFF"/>
              </w:rPr>
              <w:t>（北京时间，下同）前递交（上传）投标文件</w:t>
            </w:r>
            <w:r>
              <w:rPr>
                <w:color w:val="auto"/>
                <w:szCs w:val="21"/>
              </w:rPr>
              <w:t>。</w:t>
            </w:r>
            <w:bookmarkStart w:id="138" w:name="_GoBack"/>
            <w:bookmarkEnd w:id="138"/>
          </w:p>
        </w:tc>
      </w:tr>
    </w:tbl>
    <w:p>
      <w:pPr>
        <w:spacing w:line="360" w:lineRule="auto"/>
        <w:rPr>
          <w:b/>
          <w:bCs/>
          <w:color w:val="auto"/>
          <w:szCs w:val="21"/>
        </w:rPr>
      </w:pPr>
      <w:r>
        <w:rPr>
          <w:b/>
          <w:bCs/>
          <w:color w:val="auto"/>
          <w:szCs w:val="21"/>
        </w:rPr>
        <w:t>一、项目基本情况</w:t>
      </w:r>
    </w:p>
    <w:p>
      <w:pPr>
        <w:spacing w:line="360" w:lineRule="auto"/>
        <w:ind w:firstLine="420" w:firstLineChars="200"/>
        <w:rPr>
          <w:color w:val="auto"/>
          <w:szCs w:val="21"/>
        </w:rPr>
      </w:pPr>
      <w:r>
        <w:rPr>
          <w:color w:val="auto"/>
          <w:szCs w:val="21"/>
        </w:rPr>
        <w:t>项目编号：</w:t>
      </w:r>
      <w:r>
        <w:rPr>
          <w:rFonts w:hint="eastAsia"/>
          <w:color w:val="auto"/>
          <w:szCs w:val="21"/>
        </w:rPr>
        <w:t>科信建代字[2023]100072号</w:t>
      </w:r>
    </w:p>
    <w:p>
      <w:pPr>
        <w:spacing w:line="360" w:lineRule="auto"/>
        <w:ind w:firstLine="420" w:firstLineChars="200"/>
        <w:rPr>
          <w:color w:val="auto"/>
          <w:szCs w:val="21"/>
        </w:rPr>
      </w:pPr>
      <w:r>
        <w:rPr>
          <w:color w:val="auto"/>
          <w:szCs w:val="21"/>
        </w:rPr>
        <w:t>项目名称：余姚市智安小区建设项目</w:t>
      </w:r>
    </w:p>
    <w:p>
      <w:pPr>
        <w:spacing w:line="360" w:lineRule="auto"/>
        <w:ind w:firstLine="420" w:firstLineChars="200"/>
        <w:rPr>
          <w:color w:val="auto"/>
          <w:szCs w:val="21"/>
        </w:rPr>
      </w:pPr>
      <w:r>
        <w:rPr>
          <w:color w:val="auto"/>
          <w:szCs w:val="21"/>
        </w:rPr>
        <w:t>预算金额（元）：</w:t>
      </w:r>
      <w:r>
        <w:rPr>
          <w:rFonts w:hint="eastAsia"/>
          <w:color w:val="auto"/>
          <w:szCs w:val="21"/>
        </w:rPr>
        <w:t>47839000元</w:t>
      </w:r>
    </w:p>
    <w:p>
      <w:pPr>
        <w:spacing w:line="360" w:lineRule="auto"/>
        <w:ind w:firstLine="420" w:firstLineChars="200"/>
        <w:rPr>
          <w:color w:val="auto"/>
          <w:szCs w:val="21"/>
        </w:rPr>
      </w:pPr>
      <w:r>
        <w:rPr>
          <w:color w:val="auto"/>
          <w:szCs w:val="21"/>
        </w:rPr>
        <w:t>最高限价（元）：45840901</w:t>
      </w:r>
      <w:r>
        <w:rPr>
          <w:rFonts w:hint="eastAsia"/>
          <w:color w:val="auto"/>
          <w:szCs w:val="21"/>
        </w:rPr>
        <w:t>元</w:t>
      </w:r>
    </w:p>
    <w:p>
      <w:pPr>
        <w:spacing w:line="360" w:lineRule="auto"/>
        <w:ind w:firstLine="420" w:firstLineChars="200"/>
        <w:rPr>
          <w:color w:val="auto"/>
          <w:szCs w:val="21"/>
        </w:rPr>
      </w:pPr>
      <w:r>
        <w:rPr>
          <w:color w:val="auto"/>
          <w:szCs w:val="21"/>
        </w:rPr>
        <w:t>采购需求：</w:t>
      </w:r>
    </w:p>
    <w:p>
      <w:pPr>
        <w:spacing w:line="360" w:lineRule="auto"/>
        <w:ind w:firstLine="420" w:firstLineChars="200"/>
        <w:rPr>
          <w:color w:val="auto"/>
          <w:szCs w:val="21"/>
        </w:rPr>
      </w:pPr>
      <w:r>
        <w:rPr>
          <w:color w:val="auto"/>
          <w:szCs w:val="21"/>
        </w:rPr>
        <w:t>标项名称：余姚市智安小区建设项目</w:t>
      </w:r>
    </w:p>
    <w:p>
      <w:pPr>
        <w:spacing w:line="360" w:lineRule="auto"/>
        <w:ind w:firstLine="420" w:firstLineChars="200"/>
        <w:rPr>
          <w:color w:val="auto"/>
          <w:szCs w:val="21"/>
        </w:rPr>
      </w:pPr>
      <w:r>
        <w:rPr>
          <w:color w:val="auto"/>
          <w:szCs w:val="21"/>
        </w:rPr>
        <w:t xml:space="preserve">数量：1  </w:t>
      </w:r>
    </w:p>
    <w:p>
      <w:pPr>
        <w:spacing w:line="360" w:lineRule="auto"/>
        <w:ind w:firstLine="420" w:firstLineChars="200"/>
        <w:rPr>
          <w:color w:val="auto"/>
          <w:szCs w:val="21"/>
        </w:rPr>
      </w:pPr>
      <w:r>
        <w:rPr>
          <w:color w:val="auto"/>
          <w:szCs w:val="21"/>
        </w:rPr>
        <w:t>预算金额（元）：</w:t>
      </w:r>
      <w:r>
        <w:rPr>
          <w:rFonts w:hint="eastAsia"/>
          <w:color w:val="auto"/>
          <w:szCs w:val="21"/>
        </w:rPr>
        <w:t>47839000元</w:t>
      </w:r>
    </w:p>
    <w:p>
      <w:pPr>
        <w:spacing w:line="360" w:lineRule="auto"/>
        <w:ind w:firstLine="420" w:firstLineChars="200"/>
        <w:rPr>
          <w:color w:val="auto"/>
          <w:szCs w:val="21"/>
        </w:rPr>
      </w:pPr>
      <w:r>
        <w:rPr>
          <w:color w:val="auto"/>
          <w:szCs w:val="21"/>
        </w:rPr>
        <w:t>简要规格描述或项目基本概况介绍、用途：</w:t>
      </w:r>
      <w:r>
        <w:rPr>
          <w:rFonts w:hint="eastAsia" w:ascii="宋体" w:hAnsi="宋体" w:cs="宋体"/>
          <w:color w:val="auto"/>
          <w:szCs w:val="21"/>
        </w:rPr>
        <w:t>余姚市智安小区建设项目建设内容主要包括以下内容：小区侧前端点位感知及安防设施、传输网络、网络安全、视频存储、平台应用和相关配套工程建设，详见第二章招标需求</w:t>
      </w:r>
      <w:r>
        <w:rPr>
          <w:color w:val="auto"/>
          <w:szCs w:val="21"/>
        </w:rPr>
        <w:t>。</w:t>
      </w:r>
    </w:p>
    <w:p>
      <w:pPr>
        <w:spacing w:line="360" w:lineRule="auto"/>
        <w:ind w:firstLine="420" w:firstLineChars="200"/>
        <w:rPr>
          <w:color w:val="auto"/>
          <w:szCs w:val="21"/>
        </w:rPr>
      </w:pPr>
      <w:r>
        <w:rPr>
          <w:color w:val="auto"/>
          <w:szCs w:val="21"/>
        </w:rPr>
        <w:t>备注：</w:t>
      </w:r>
      <w:r>
        <w:rPr>
          <w:rFonts w:hint="eastAsia"/>
          <w:color w:val="auto"/>
          <w:szCs w:val="21"/>
        </w:rPr>
        <w:t>/</w:t>
      </w:r>
    </w:p>
    <w:p>
      <w:pPr>
        <w:spacing w:line="360" w:lineRule="auto"/>
        <w:ind w:firstLine="420" w:firstLineChars="200"/>
        <w:rPr>
          <w:i/>
          <w:iCs/>
          <w:color w:val="auto"/>
          <w:szCs w:val="21"/>
        </w:rPr>
      </w:pPr>
      <w:r>
        <w:rPr>
          <w:color w:val="auto"/>
          <w:szCs w:val="21"/>
        </w:rPr>
        <w:t>合同履行期限：</w:t>
      </w:r>
      <w:r>
        <w:rPr>
          <w:rFonts w:hint="eastAsia" w:ascii="宋体" w:hAnsi="宋体" w:cs="宋体"/>
          <w:color w:val="auto"/>
          <w:szCs w:val="21"/>
        </w:rPr>
        <w:t xml:space="preserve"> </w:t>
      </w:r>
      <w:r>
        <w:rPr>
          <w:color w:val="auto"/>
          <w:szCs w:val="21"/>
        </w:rPr>
        <w:t>合同签订后至2023年8月30日前完成设备安装并投入试运行，试运行期满且稳定后</w:t>
      </w:r>
      <w:r>
        <w:rPr>
          <w:rFonts w:hint="eastAsia"/>
          <w:color w:val="auto"/>
          <w:szCs w:val="21"/>
        </w:rPr>
        <w:t>于2023年</w:t>
      </w:r>
      <w:r>
        <w:rPr>
          <w:color w:val="auto"/>
          <w:szCs w:val="21"/>
        </w:rPr>
        <w:t>11</w:t>
      </w:r>
      <w:r>
        <w:rPr>
          <w:rFonts w:hint="eastAsia"/>
          <w:color w:val="auto"/>
          <w:szCs w:val="21"/>
        </w:rPr>
        <w:t>月30日前</w:t>
      </w:r>
      <w:r>
        <w:rPr>
          <w:color w:val="auto"/>
          <w:szCs w:val="21"/>
        </w:rPr>
        <w:t>完成验收。</w:t>
      </w:r>
    </w:p>
    <w:p>
      <w:pPr>
        <w:spacing w:line="360" w:lineRule="auto"/>
        <w:ind w:firstLine="420" w:firstLineChars="200"/>
        <w:rPr>
          <w:color w:val="auto"/>
          <w:szCs w:val="21"/>
        </w:rPr>
      </w:pPr>
      <w:r>
        <w:rPr>
          <w:rFonts w:hint="eastAsia" w:ascii="宋体" w:hAnsi="宋体" w:cs="宋体"/>
          <w:color w:val="auto"/>
          <w:szCs w:val="21"/>
        </w:rPr>
        <w:t>本项目（是）接受联合体投标。</w:t>
      </w:r>
    </w:p>
    <w:p>
      <w:pPr>
        <w:spacing w:line="360" w:lineRule="auto"/>
        <w:rPr>
          <w:b/>
          <w:bCs/>
          <w:color w:val="auto"/>
          <w:szCs w:val="21"/>
        </w:rPr>
      </w:pPr>
      <w:r>
        <w:rPr>
          <w:b/>
          <w:bCs/>
          <w:color w:val="auto"/>
          <w:szCs w:val="21"/>
        </w:rPr>
        <w:t>二、申请人的资格要求</w:t>
      </w:r>
    </w:p>
    <w:p>
      <w:pPr>
        <w:spacing w:line="360" w:lineRule="auto"/>
        <w:ind w:firstLine="420" w:firstLineChars="200"/>
        <w:rPr>
          <w:color w:val="auto"/>
          <w:szCs w:val="21"/>
        </w:rPr>
      </w:pPr>
      <w:r>
        <w:rPr>
          <w:color w:val="auto"/>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20" w:firstLineChars="200"/>
        <w:rPr>
          <w:color w:val="auto"/>
          <w:szCs w:val="21"/>
        </w:rPr>
      </w:pPr>
      <w:r>
        <w:rPr>
          <w:color w:val="auto"/>
          <w:szCs w:val="21"/>
        </w:rPr>
        <w:t>2、落实政府采购政策需满足的资格要求：无。</w:t>
      </w:r>
    </w:p>
    <w:p>
      <w:pPr>
        <w:spacing w:line="360" w:lineRule="auto"/>
        <w:ind w:firstLine="420" w:firstLineChars="200"/>
        <w:rPr>
          <w:color w:val="auto"/>
          <w:szCs w:val="21"/>
        </w:rPr>
      </w:pPr>
      <w:r>
        <w:rPr>
          <w:color w:val="auto"/>
          <w:szCs w:val="21"/>
        </w:rPr>
        <w:t>3、本项目的特定资格要求：无。</w:t>
      </w:r>
    </w:p>
    <w:p>
      <w:pPr>
        <w:spacing w:line="360" w:lineRule="auto"/>
        <w:rPr>
          <w:b/>
          <w:bCs/>
          <w:color w:val="auto"/>
          <w:szCs w:val="21"/>
        </w:rPr>
      </w:pPr>
      <w:r>
        <w:rPr>
          <w:b/>
          <w:bCs/>
          <w:color w:val="auto"/>
          <w:szCs w:val="21"/>
        </w:rPr>
        <w:t>三、获取招标文件</w:t>
      </w:r>
    </w:p>
    <w:p>
      <w:pPr>
        <w:spacing w:line="360" w:lineRule="auto"/>
        <w:ind w:firstLine="420" w:firstLineChars="200"/>
        <w:rPr>
          <w:color w:val="auto"/>
          <w:szCs w:val="21"/>
        </w:rPr>
      </w:pPr>
      <w:r>
        <w:rPr>
          <w:color w:val="auto"/>
          <w:szCs w:val="21"/>
        </w:rPr>
        <w:t>时间：20</w:t>
      </w:r>
      <w:r>
        <w:rPr>
          <w:rFonts w:hint="eastAsia"/>
          <w:color w:val="auto"/>
          <w:szCs w:val="21"/>
          <w:lang w:val="en-US" w:eastAsia="zh-CN"/>
        </w:rPr>
        <w:t>23</w:t>
      </w:r>
      <w:r>
        <w:rPr>
          <w:color w:val="auto"/>
          <w:szCs w:val="21"/>
        </w:rPr>
        <w:t>年</w:t>
      </w:r>
      <w:r>
        <w:rPr>
          <w:rFonts w:hint="eastAsia"/>
          <w:color w:val="auto"/>
          <w:szCs w:val="21"/>
          <w:lang w:val="en-US" w:eastAsia="zh-CN"/>
        </w:rPr>
        <w:t>2</w:t>
      </w:r>
      <w:r>
        <w:rPr>
          <w:color w:val="auto"/>
          <w:szCs w:val="21"/>
        </w:rPr>
        <w:t>月</w:t>
      </w:r>
      <w:r>
        <w:rPr>
          <w:rFonts w:hint="eastAsia"/>
          <w:color w:val="auto"/>
          <w:szCs w:val="21"/>
          <w:lang w:val="en-US" w:eastAsia="zh-CN"/>
        </w:rPr>
        <w:t>28</w:t>
      </w:r>
      <w:r>
        <w:rPr>
          <w:color w:val="auto"/>
          <w:szCs w:val="21"/>
        </w:rPr>
        <w:t>日至20</w:t>
      </w:r>
      <w:r>
        <w:rPr>
          <w:rFonts w:hint="eastAsia"/>
          <w:color w:val="auto"/>
          <w:szCs w:val="21"/>
          <w:lang w:val="en-US" w:eastAsia="zh-CN"/>
        </w:rPr>
        <w:t>23</w:t>
      </w:r>
      <w:r>
        <w:rPr>
          <w:color w:val="auto"/>
          <w:szCs w:val="21"/>
        </w:rPr>
        <w:t>年</w:t>
      </w:r>
      <w:r>
        <w:rPr>
          <w:rFonts w:hint="eastAsia"/>
          <w:color w:val="auto"/>
          <w:szCs w:val="21"/>
          <w:lang w:val="en-US" w:eastAsia="zh-CN"/>
        </w:rPr>
        <w:t>3月7</w:t>
      </w:r>
      <w:r>
        <w:rPr>
          <w:color w:val="auto"/>
          <w:szCs w:val="21"/>
        </w:rPr>
        <w:t>日，每天上午00:00至12:00，下午12:00至23:59（北京时间，线上获取法定节假日均可，线下获取文件法定节假日除外）</w:t>
      </w:r>
    </w:p>
    <w:p>
      <w:pPr>
        <w:spacing w:line="360" w:lineRule="auto"/>
        <w:ind w:firstLine="420" w:firstLineChars="200"/>
        <w:rPr>
          <w:color w:val="auto"/>
          <w:szCs w:val="21"/>
        </w:rPr>
      </w:pPr>
      <w:r>
        <w:rPr>
          <w:color w:val="auto"/>
          <w:szCs w:val="21"/>
        </w:rPr>
        <w:t>地点（网址）：政采云平台（www.zcygov.cn）。</w:t>
      </w:r>
    </w:p>
    <w:p>
      <w:pPr>
        <w:spacing w:line="360" w:lineRule="auto"/>
        <w:ind w:firstLine="420" w:firstLineChars="200"/>
        <w:rPr>
          <w:color w:val="auto"/>
          <w:szCs w:val="21"/>
        </w:rPr>
      </w:pPr>
      <w:r>
        <w:rPr>
          <w:color w:val="auto"/>
          <w:szCs w:val="21"/>
        </w:rPr>
        <w:t xml:space="preserve">方式：本项目招标文件实行“政府采购云平台”在线获取，不提供招标文件纸质版。供应商获取招标文件前应先完成“政府采购云平台”的账号注册；潜在供应商登陆政采云平台，在线申请获取招标文件（进入“项目采购”应用，在获取招标文件菜单中选择项目，申请获取招标文件；仅需浏览招标文件的供应商可点击“游客，浏览招标文件”直接下载招标文件浏览）；招标公告附件内的招标文件仅供阅览使用，投标人只有在“政府采购云平台”完成获取招标文件申请并下载了招标文件后才视作依法获取招标文件（法律法规所指的供应商获取招标文件时间以供应商完成获取招标文件申请后下载招标文件的时间为准）。 </w:t>
      </w:r>
    </w:p>
    <w:p>
      <w:pPr>
        <w:spacing w:line="360" w:lineRule="auto"/>
        <w:ind w:firstLine="422" w:firstLineChars="200"/>
        <w:rPr>
          <w:color w:val="auto"/>
          <w:szCs w:val="21"/>
        </w:rPr>
      </w:pPr>
      <w:r>
        <w:rPr>
          <w:b/>
          <w:bCs/>
          <w:color w:val="auto"/>
          <w:szCs w:val="21"/>
        </w:rPr>
        <w:t>注：请投标人按上述要求获取招标文件，如未在“政采云”系统内完成相关流程，引起的投标无效责任自负。</w:t>
      </w:r>
    </w:p>
    <w:p>
      <w:pPr>
        <w:spacing w:line="360" w:lineRule="auto"/>
        <w:ind w:firstLine="420" w:firstLineChars="200"/>
        <w:rPr>
          <w:color w:val="auto"/>
          <w:szCs w:val="21"/>
        </w:rPr>
      </w:pPr>
      <w:r>
        <w:rPr>
          <w:color w:val="auto"/>
          <w:szCs w:val="21"/>
        </w:rPr>
        <w:t xml:space="preserve">售价（元）：0。 </w:t>
      </w:r>
    </w:p>
    <w:p>
      <w:pPr>
        <w:spacing w:line="360" w:lineRule="auto"/>
        <w:rPr>
          <w:b/>
          <w:bCs/>
          <w:color w:val="auto"/>
          <w:szCs w:val="21"/>
        </w:rPr>
      </w:pPr>
      <w:r>
        <w:rPr>
          <w:b/>
          <w:bCs/>
          <w:color w:val="auto"/>
          <w:szCs w:val="21"/>
        </w:rPr>
        <w:t>四、提交投标文件截止时间、开标时间和地点</w:t>
      </w:r>
    </w:p>
    <w:p>
      <w:pPr>
        <w:spacing w:line="360" w:lineRule="auto"/>
        <w:ind w:firstLine="420" w:firstLineChars="200"/>
        <w:rPr>
          <w:color w:val="auto"/>
          <w:szCs w:val="21"/>
        </w:rPr>
      </w:pPr>
      <w:r>
        <w:rPr>
          <w:color w:val="auto"/>
          <w:szCs w:val="21"/>
        </w:rPr>
        <w:t>提交投标文件截止时间：</w:t>
      </w:r>
      <w:r>
        <w:rPr>
          <w:color w:val="auto"/>
          <w:szCs w:val="21"/>
          <w:u w:val="single"/>
          <w:shd w:val="clear" w:color="auto" w:fill="FFFFFF"/>
        </w:rPr>
        <w:t>20</w:t>
      </w:r>
      <w:r>
        <w:rPr>
          <w:rFonts w:hint="eastAsia"/>
          <w:color w:val="auto"/>
          <w:szCs w:val="21"/>
          <w:u w:val="single"/>
          <w:shd w:val="clear" w:color="auto" w:fill="FFFFFF"/>
          <w:lang w:val="en-US" w:eastAsia="zh-CN"/>
        </w:rPr>
        <w:t>23</w:t>
      </w:r>
      <w:r>
        <w:rPr>
          <w:color w:val="auto"/>
          <w:szCs w:val="21"/>
          <w:u w:val="single"/>
          <w:shd w:val="clear" w:color="auto" w:fill="FFFFFF"/>
        </w:rPr>
        <w:t>年</w:t>
      </w:r>
      <w:r>
        <w:rPr>
          <w:rFonts w:hint="eastAsia"/>
          <w:color w:val="auto"/>
          <w:szCs w:val="21"/>
          <w:u w:val="single"/>
          <w:shd w:val="clear" w:color="auto" w:fill="FFFFFF"/>
          <w:lang w:val="en-US" w:eastAsia="zh-CN"/>
        </w:rPr>
        <w:t>3</w:t>
      </w:r>
      <w:r>
        <w:rPr>
          <w:color w:val="auto"/>
          <w:szCs w:val="21"/>
          <w:u w:val="single"/>
          <w:shd w:val="clear" w:color="auto" w:fill="FFFFFF"/>
        </w:rPr>
        <w:t>月</w:t>
      </w:r>
      <w:r>
        <w:rPr>
          <w:rFonts w:hint="eastAsia"/>
          <w:color w:val="auto"/>
          <w:szCs w:val="21"/>
          <w:u w:val="single"/>
          <w:shd w:val="clear" w:color="auto" w:fill="FFFFFF"/>
          <w:lang w:val="en-US" w:eastAsia="zh-CN"/>
        </w:rPr>
        <w:t>22</w:t>
      </w:r>
      <w:r>
        <w:rPr>
          <w:color w:val="auto"/>
          <w:szCs w:val="21"/>
          <w:u w:val="single"/>
          <w:shd w:val="clear" w:color="auto" w:fill="FFFFFF"/>
        </w:rPr>
        <w:t>日</w:t>
      </w:r>
      <w:r>
        <w:rPr>
          <w:rFonts w:hint="eastAsia"/>
          <w:color w:val="auto"/>
          <w:szCs w:val="21"/>
          <w:u w:val="single"/>
          <w:shd w:val="clear" w:color="auto" w:fill="FFFFFF"/>
          <w:lang w:val="en-US" w:eastAsia="zh-CN"/>
        </w:rPr>
        <w:t>9</w:t>
      </w:r>
      <w:r>
        <w:rPr>
          <w:color w:val="auto"/>
          <w:szCs w:val="21"/>
          <w:u w:val="single"/>
          <w:shd w:val="clear" w:color="auto" w:fill="FFFFFF"/>
        </w:rPr>
        <w:t>：</w:t>
      </w:r>
      <w:r>
        <w:rPr>
          <w:rFonts w:hint="eastAsia"/>
          <w:color w:val="auto"/>
          <w:szCs w:val="21"/>
          <w:u w:val="single"/>
          <w:shd w:val="clear" w:color="auto" w:fill="FFFFFF"/>
          <w:lang w:val="en-US" w:eastAsia="zh-CN"/>
        </w:rPr>
        <w:t>0</w:t>
      </w:r>
      <w:r>
        <w:rPr>
          <w:color w:val="auto"/>
          <w:szCs w:val="21"/>
          <w:u w:val="single"/>
          <w:shd w:val="clear" w:color="auto" w:fill="FFFFFF"/>
        </w:rPr>
        <w:t>0</w:t>
      </w:r>
      <w:r>
        <w:rPr>
          <w:color w:val="auto"/>
          <w:szCs w:val="21"/>
          <w:shd w:val="clear" w:color="auto" w:fill="FFFFFF"/>
        </w:rPr>
        <w:t>（北京时间）</w:t>
      </w:r>
    </w:p>
    <w:p>
      <w:pPr>
        <w:spacing w:line="360" w:lineRule="auto"/>
        <w:ind w:firstLine="420" w:firstLineChars="200"/>
        <w:rPr>
          <w:color w:val="auto"/>
          <w:szCs w:val="21"/>
        </w:rPr>
      </w:pPr>
      <w:r>
        <w:rPr>
          <w:color w:val="auto"/>
          <w:szCs w:val="21"/>
        </w:rPr>
        <w:t>投标地点：</w:t>
      </w:r>
      <w:r>
        <w:rPr>
          <w:b/>
          <w:bCs/>
          <w:color w:val="auto"/>
          <w:szCs w:val="21"/>
        </w:rPr>
        <w:t>在政采云平台（http://www.zcygov.cn）上开启投标文件，供应商应按采购文件规定的方式和时间在线解密。</w:t>
      </w:r>
    </w:p>
    <w:p>
      <w:pPr>
        <w:spacing w:line="360" w:lineRule="auto"/>
        <w:ind w:firstLine="420" w:firstLineChars="200"/>
        <w:rPr>
          <w:color w:val="auto"/>
          <w:szCs w:val="21"/>
        </w:rPr>
      </w:pPr>
      <w:r>
        <w:rPr>
          <w:color w:val="auto"/>
          <w:szCs w:val="21"/>
        </w:rPr>
        <w:t>开标时间：</w:t>
      </w:r>
      <w:r>
        <w:rPr>
          <w:color w:val="auto"/>
          <w:szCs w:val="21"/>
          <w:u w:val="single"/>
          <w:shd w:val="clear" w:color="auto" w:fill="FFFFFF"/>
        </w:rPr>
        <w:t>20</w:t>
      </w:r>
      <w:r>
        <w:rPr>
          <w:rFonts w:hint="eastAsia"/>
          <w:color w:val="auto"/>
          <w:szCs w:val="21"/>
          <w:u w:val="single"/>
          <w:shd w:val="clear" w:color="auto" w:fill="FFFFFF"/>
          <w:lang w:val="en-US" w:eastAsia="zh-CN"/>
        </w:rPr>
        <w:t>23</w:t>
      </w:r>
      <w:r>
        <w:rPr>
          <w:color w:val="auto"/>
          <w:szCs w:val="21"/>
          <w:u w:val="single"/>
          <w:shd w:val="clear" w:color="auto" w:fill="FFFFFF"/>
        </w:rPr>
        <w:t>年</w:t>
      </w:r>
      <w:r>
        <w:rPr>
          <w:rFonts w:hint="eastAsia"/>
          <w:color w:val="auto"/>
          <w:szCs w:val="21"/>
          <w:u w:val="single"/>
          <w:shd w:val="clear" w:color="auto" w:fill="FFFFFF"/>
          <w:lang w:val="en-US" w:eastAsia="zh-CN"/>
        </w:rPr>
        <w:t>3</w:t>
      </w:r>
      <w:r>
        <w:rPr>
          <w:color w:val="auto"/>
          <w:szCs w:val="21"/>
          <w:u w:val="single"/>
          <w:shd w:val="clear" w:color="auto" w:fill="FFFFFF"/>
        </w:rPr>
        <w:t>月</w:t>
      </w:r>
      <w:r>
        <w:rPr>
          <w:rFonts w:hint="eastAsia"/>
          <w:color w:val="auto"/>
          <w:szCs w:val="21"/>
          <w:u w:val="single"/>
          <w:shd w:val="clear" w:color="auto" w:fill="FFFFFF"/>
          <w:lang w:val="en-US" w:eastAsia="zh-CN"/>
        </w:rPr>
        <w:t>22</w:t>
      </w:r>
      <w:r>
        <w:rPr>
          <w:color w:val="auto"/>
          <w:szCs w:val="21"/>
          <w:u w:val="single"/>
          <w:shd w:val="clear" w:color="auto" w:fill="FFFFFF"/>
        </w:rPr>
        <w:t>日</w:t>
      </w:r>
      <w:r>
        <w:rPr>
          <w:rFonts w:hint="eastAsia"/>
          <w:color w:val="auto"/>
          <w:szCs w:val="21"/>
          <w:u w:val="single"/>
          <w:shd w:val="clear" w:color="auto" w:fill="FFFFFF"/>
          <w:lang w:val="en-US" w:eastAsia="zh-CN"/>
        </w:rPr>
        <w:t>9</w:t>
      </w:r>
      <w:r>
        <w:rPr>
          <w:color w:val="auto"/>
          <w:szCs w:val="21"/>
          <w:u w:val="single"/>
          <w:shd w:val="clear" w:color="auto" w:fill="FFFFFF"/>
        </w:rPr>
        <w:t>：</w:t>
      </w:r>
      <w:r>
        <w:rPr>
          <w:rFonts w:hint="eastAsia"/>
          <w:color w:val="auto"/>
          <w:szCs w:val="21"/>
          <w:u w:val="single"/>
          <w:shd w:val="clear" w:color="auto" w:fill="FFFFFF"/>
          <w:lang w:val="en-US" w:eastAsia="zh-CN"/>
        </w:rPr>
        <w:t>0</w:t>
      </w:r>
      <w:r>
        <w:rPr>
          <w:color w:val="auto"/>
          <w:szCs w:val="21"/>
          <w:u w:val="single"/>
          <w:shd w:val="clear" w:color="auto" w:fill="FFFFFF"/>
        </w:rPr>
        <w:t>0</w:t>
      </w:r>
      <w:r>
        <w:rPr>
          <w:color w:val="auto"/>
          <w:szCs w:val="21"/>
          <w:shd w:val="clear" w:color="auto" w:fill="FFFFFF"/>
        </w:rPr>
        <w:t>（北京时间）</w:t>
      </w:r>
    </w:p>
    <w:p>
      <w:pPr>
        <w:spacing w:line="360" w:lineRule="auto"/>
        <w:ind w:firstLine="420" w:firstLineChars="200"/>
        <w:rPr>
          <w:b/>
          <w:bCs/>
          <w:color w:val="auto"/>
          <w:szCs w:val="21"/>
        </w:rPr>
      </w:pPr>
      <w:r>
        <w:rPr>
          <w:color w:val="auto"/>
          <w:szCs w:val="21"/>
        </w:rPr>
        <w:t>开标地点：</w:t>
      </w:r>
      <w:r>
        <w:rPr>
          <w:b/>
          <w:bCs/>
          <w:color w:val="auto"/>
          <w:szCs w:val="21"/>
        </w:rPr>
        <w:t>政采云平台（http://www.zcygov.cn），本项目实行电子招投标，无须投标人到现场。 </w:t>
      </w:r>
    </w:p>
    <w:p>
      <w:pPr>
        <w:spacing w:line="360" w:lineRule="auto"/>
        <w:rPr>
          <w:b/>
          <w:bCs/>
          <w:color w:val="auto"/>
          <w:szCs w:val="21"/>
        </w:rPr>
      </w:pPr>
      <w:r>
        <w:rPr>
          <w:b/>
          <w:bCs/>
          <w:color w:val="auto"/>
          <w:szCs w:val="21"/>
        </w:rPr>
        <w:t>五、公告期限</w:t>
      </w:r>
    </w:p>
    <w:p>
      <w:pPr>
        <w:spacing w:line="360" w:lineRule="auto"/>
        <w:ind w:firstLine="420" w:firstLineChars="200"/>
        <w:rPr>
          <w:color w:val="auto"/>
          <w:szCs w:val="21"/>
        </w:rPr>
      </w:pPr>
      <w:r>
        <w:rPr>
          <w:color w:val="auto"/>
          <w:szCs w:val="21"/>
        </w:rPr>
        <w:t>自本公告发布之日起5个工作日。</w:t>
      </w:r>
    </w:p>
    <w:p>
      <w:pPr>
        <w:spacing w:line="360" w:lineRule="auto"/>
        <w:rPr>
          <w:b/>
          <w:bCs/>
          <w:color w:val="auto"/>
          <w:szCs w:val="21"/>
        </w:rPr>
      </w:pPr>
      <w:r>
        <w:rPr>
          <w:b/>
          <w:bCs/>
          <w:color w:val="auto"/>
          <w:szCs w:val="21"/>
        </w:rPr>
        <w:t>六、其他补充事宜</w:t>
      </w:r>
    </w:p>
    <w:p>
      <w:pPr>
        <w:spacing w:line="360" w:lineRule="auto"/>
        <w:ind w:firstLine="420" w:firstLineChars="200"/>
        <w:rPr>
          <w:color w:val="auto"/>
          <w:szCs w:val="21"/>
        </w:rPr>
      </w:pPr>
      <w:bookmarkStart w:id="8" w:name="_Toc460857891"/>
      <w:bookmarkStart w:id="9" w:name="_Toc460416585"/>
      <w:bookmarkStart w:id="10" w:name="_Toc509831390"/>
      <w:bookmarkStart w:id="11" w:name="_Toc14051"/>
      <w:bookmarkStart w:id="12" w:name="_Toc1766"/>
      <w:r>
        <w:rPr>
          <w:color w:val="auto"/>
          <w:szCs w:val="21"/>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color w:val="auto"/>
          <w:szCs w:val="21"/>
        </w:rPr>
      </w:pPr>
      <w:r>
        <w:rPr>
          <w:color w:val="auto"/>
          <w:szCs w:val="21"/>
        </w:rPr>
        <w:t>2.其他事项：</w:t>
      </w:r>
    </w:p>
    <w:p>
      <w:pPr>
        <w:spacing w:line="360" w:lineRule="auto"/>
        <w:ind w:firstLine="420" w:firstLineChars="200"/>
        <w:rPr>
          <w:color w:val="auto"/>
          <w:szCs w:val="21"/>
        </w:rPr>
      </w:pPr>
      <w:r>
        <w:rPr>
          <w:color w:val="auto"/>
          <w:szCs w:val="21"/>
        </w:rPr>
        <w:t>2.1本次政府采购活动有关信息在浙江政府采购网公布，视同送达所有潜在投标人。</w:t>
      </w:r>
    </w:p>
    <w:p>
      <w:pPr>
        <w:spacing w:line="360" w:lineRule="auto"/>
        <w:ind w:firstLine="420" w:firstLineChars="200"/>
        <w:rPr>
          <w:color w:val="auto"/>
          <w:szCs w:val="21"/>
        </w:rPr>
      </w:pPr>
      <w:r>
        <w:rPr>
          <w:color w:val="auto"/>
          <w:szCs w:val="21"/>
        </w:rPr>
        <w:t>2.2本项目实行网上投标，采用电子投标文件。若供应商参与投标，自行承担投标一切费用。</w:t>
      </w:r>
    </w:p>
    <w:p>
      <w:pPr>
        <w:spacing w:line="360" w:lineRule="auto"/>
        <w:ind w:firstLine="420" w:firstLineChars="200"/>
        <w:rPr>
          <w:color w:val="auto"/>
          <w:szCs w:val="21"/>
        </w:rPr>
      </w:pPr>
      <w:r>
        <w:rPr>
          <w:color w:val="auto"/>
          <w:szCs w:val="21"/>
        </w:rPr>
        <w:t>2.3标前准备：各供应商应在开标前应确保成为浙江省政府采购网正式注册入库供应商，并完成CA数字证书办理（供应商CA申领操作指南详见政采云平台（www.zcygov.cn），完成CA数字证书办理预计二周左右，请供应商自行把握时间）。因未注册入库、未办理CA数字证书等原因造成无法获取采购文件、无法投标或投标失败等后果由供应商自行承担。</w:t>
      </w:r>
    </w:p>
    <w:p>
      <w:pPr>
        <w:spacing w:line="360" w:lineRule="auto"/>
        <w:ind w:firstLine="420" w:firstLineChars="200"/>
        <w:rPr>
          <w:color w:val="auto"/>
          <w:szCs w:val="21"/>
        </w:rPr>
      </w:pPr>
      <w:r>
        <w:rPr>
          <w:color w:val="auto"/>
          <w:szCs w:val="21"/>
        </w:rPr>
        <w:t>2.4投标文件制作：</w:t>
      </w:r>
    </w:p>
    <w:p>
      <w:pPr>
        <w:spacing w:line="360" w:lineRule="auto"/>
        <w:ind w:firstLine="420" w:firstLineChars="200"/>
        <w:rPr>
          <w:color w:val="auto"/>
          <w:szCs w:val="21"/>
        </w:rPr>
      </w:pPr>
      <w:r>
        <w:rPr>
          <w:color w:val="auto"/>
          <w:szCs w:val="21"/>
        </w:rPr>
        <w:t>2.4.1应按照本项目招标文件和政采云平台的要求编制、加密并递交投标文件。供应商在使用系统进行投标的过程中遇到涉及平台使用的任何问题，可致电政采云平台技术支持热线咨询，联系方式：400-881-7190。</w:t>
      </w:r>
    </w:p>
    <w:p>
      <w:pPr>
        <w:spacing w:line="360" w:lineRule="auto"/>
        <w:ind w:firstLine="420" w:firstLineChars="200"/>
        <w:rPr>
          <w:color w:val="auto"/>
          <w:szCs w:val="21"/>
        </w:rPr>
      </w:pPr>
      <w:r>
        <w:rPr>
          <w:color w:val="auto"/>
          <w:szCs w:val="21"/>
        </w:rPr>
        <w:t>2.4.2供应商通过“政采云”平台电子投标工具制作投标文件，电子投标工具请供应商自行前往浙江省政府采购网下载并安装。</w:t>
      </w:r>
    </w:p>
    <w:p>
      <w:pPr>
        <w:spacing w:line="360" w:lineRule="auto"/>
        <w:ind w:firstLine="420" w:firstLineChars="200"/>
        <w:rPr>
          <w:color w:val="auto"/>
          <w:szCs w:val="21"/>
        </w:rPr>
      </w:pPr>
      <w:r>
        <w:rPr>
          <w:rFonts w:hint="eastAsia"/>
          <w:color w:val="auto"/>
          <w:szCs w:val="21"/>
        </w:rPr>
        <w:t>2.5</w:t>
      </w:r>
      <w:r>
        <w:rPr>
          <w:color w:val="auto"/>
          <w:szCs w:val="21"/>
        </w:rPr>
        <w:t>采购项目需要落实的政府采购政策：1）对小微企业的产品给予价格优惠（监狱企业、残疾人福利性单位视同小微企业；残疾人福利性单位属于小型、微型企业的，不重复享受政策）。2）优先采购节能环保产品（注：所采购的货物在政府采购节能产品、环境标志产品实施品目清单范围内，且具有国家确定的认证机构出具的、处于有效期之内的节能产品、环境标志产品认证证书）。3）</w:t>
      </w:r>
      <w:r>
        <w:rPr>
          <w:color w:val="auto"/>
        </w:rPr>
        <w:t>扶持</w:t>
      </w:r>
      <w:r>
        <w:rPr>
          <w:color w:val="auto"/>
          <w:szCs w:val="21"/>
        </w:rPr>
        <w:t xml:space="preserve">少数民族地区或不发达地区政策。 </w:t>
      </w:r>
    </w:p>
    <w:p>
      <w:pPr>
        <w:spacing w:line="360" w:lineRule="auto"/>
        <w:ind w:firstLine="420" w:firstLineChars="200"/>
        <w:rPr>
          <w:b/>
          <w:bCs/>
          <w:color w:val="auto"/>
          <w:szCs w:val="21"/>
        </w:rPr>
      </w:pPr>
      <w:r>
        <w:rPr>
          <w:color w:val="auto"/>
          <w:szCs w:val="21"/>
        </w:rPr>
        <w:t>2.6本公告中二、申请人的资格要求：第1条中的“重大税收违法案件当事人名单”即为“重大税收违法失信主体”。</w:t>
      </w:r>
    </w:p>
    <w:p>
      <w:pPr>
        <w:spacing w:line="360" w:lineRule="auto"/>
        <w:rPr>
          <w:b/>
          <w:bCs/>
          <w:color w:val="auto"/>
          <w:szCs w:val="21"/>
        </w:rPr>
      </w:pPr>
      <w:r>
        <w:rPr>
          <w:b/>
          <w:bCs/>
          <w:color w:val="auto"/>
          <w:szCs w:val="21"/>
        </w:rPr>
        <w:t>七、对本次招标提出询问，请按以下方式联系。</w:t>
      </w:r>
    </w:p>
    <w:p>
      <w:pPr>
        <w:spacing w:line="360" w:lineRule="auto"/>
        <w:ind w:firstLine="420" w:firstLineChars="200"/>
        <w:rPr>
          <w:color w:val="auto"/>
          <w:szCs w:val="21"/>
        </w:rPr>
      </w:pPr>
      <w:r>
        <w:rPr>
          <w:color w:val="auto"/>
          <w:szCs w:val="21"/>
        </w:rPr>
        <w:t>1.采购人信息</w:t>
      </w:r>
    </w:p>
    <w:p>
      <w:pPr>
        <w:spacing w:line="360" w:lineRule="auto"/>
        <w:ind w:firstLine="420" w:firstLineChars="200"/>
        <w:rPr>
          <w:color w:val="auto"/>
          <w:szCs w:val="21"/>
        </w:rPr>
      </w:pPr>
      <w:r>
        <w:rPr>
          <w:color w:val="auto"/>
          <w:szCs w:val="21"/>
        </w:rPr>
        <w:t>名称：</w:t>
      </w:r>
      <w:r>
        <w:rPr>
          <w:rFonts w:hint="eastAsia"/>
          <w:color w:val="auto"/>
          <w:szCs w:val="21"/>
        </w:rPr>
        <w:t>余姚舜智投资发展有限公司</w:t>
      </w:r>
      <w:r>
        <w:rPr>
          <w:color w:val="auto"/>
          <w:szCs w:val="21"/>
        </w:rPr>
        <w:t> </w:t>
      </w:r>
    </w:p>
    <w:p>
      <w:pPr>
        <w:spacing w:line="360" w:lineRule="auto"/>
        <w:ind w:firstLine="420" w:firstLineChars="200"/>
        <w:rPr>
          <w:color w:val="auto"/>
          <w:szCs w:val="21"/>
        </w:rPr>
      </w:pPr>
      <w:r>
        <w:rPr>
          <w:color w:val="auto"/>
          <w:szCs w:val="21"/>
        </w:rPr>
        <w:t>地址：</w:t>
      </w:r>
      <w:r>
        <w:rPr>
          <w:rFonts w:hint="eastAsia"/>
          <w:color w:val="auto"/>
          <w:kern w:val="0"/>
          <w:szCs w:val="21"/>
        </w:rPr>
        <w:t>浙江省余姚市谭家岭东路2号南雷大厦十七楼</w:t>
      </w:r>
    </w:p>
    <w:p>
      <w:pPr>
        <w:spacing w:line="360" w:lineRule="auto"/>
        <w:ind w:firstLine="420" w:firstLineChars="200"/>
        <w:rPr>
          <w:color w:val="auto"/>
          <w:szCs w:val="21"/>
        </w:rPr>
      </w:pPr>
      <w:r>
        <w:rPr>
          <w:color w:val="auto"/>
          <w:szCs w:val="21"/>
        </w:rPr>
        <w:t>传真：/</w:t>
      </w:r>
    </w:p>
    <w:p>
      <w:pPr>
        <w:widowControl/>
        <w:spacing w:line="360" w:lineRule="auto"/>
        <w:ind w:firstLine="420" w:firstLineChars="200"/>
        <w:rPr>
          <w:rFonts w:hint="eastAsia" w:eastAsia="宋体"/>
          <w:color w:val="auto"/>
          <w:kern w:val="0"/>
          <w:szCs w:val="21"/>
          <w:lang w:eastAsia="zh-CN"/>
        </w:rPr>
      </w:pPr>
      <w:r>
        <w:rPr>
          <w:color w:val="auto"/>
          <w:kern w:val="0"/>
          <w:szCs w:val="21"/>
        </w:rPr>
        <w:t>项目联系人（询问）：</w:t>
      </w:r>
      <w:r>
        <w:rPr>
          <w:rFonts w:hint="eastAsia"/>
          <w:color w:val="auto"/>
          <w:kern w:val="0"/>
          <w:szCs w:val="21"/>
        </w:rPr>
        <w:t>龚</w:t>
      </w:r>
      <w:r>
        <w:rPr>
          <w:rFonts w:hint="eastAsia"/>
          <w:color w:val="auto"/>
          <w:kern w:val="0"/>
          <w:szCs w:val="21"/>
          <w:lang w:val="en-US" w:eastAsia="zh-CN"/>
        </w:rPr>
        <w:t>总监</w:t>
      </w:r>
    </w:p>
    <w:p>
      <w:pPr>
        <w:widowControl/>
        <w:spacing w:line="360" w:lineRule="auto"/>
        <w:ind w:firstLine="420" w:firstLineChars="200"/>
        <w:rPr>
          <w:color w:val="auto"/>
          <w:kern w:val="0"/>
          <w:szCs w:val="21"/>
        </w:rPr>
      </w:pPr>
      <w:r>
        <w:rPr>
          <w:color w:val="auto"/>
          <w:kern w:val="0"/>
          <w:szCs w:val="21"/>
        </w:rPr>
        <w:t>项目联系方式（询问）</w:t>
      </w:r>
      <w:r>
        <w:rPr>
          <w:rFonts w:ascii="宋体" w:hAnsi="宋体" w:cs="宋体"/>
          <w:color w:val="auto"/>
          <w:kern w:val="0"/>
          <w:szCs w:val="21"/>
        </w:rPr>
        <w:t>：</w:t>
      </w:r>
      <w:r>
        <w:rPr>
          <w:rFonts w:hint="eastAsia" w:ascii="宋体" w:hAnsi="宋体" w:cs="宋体"/>
          <w:color w:val="auto"/>
          <w:kern w:val="0"/>
          <w:szCs w:val="21"/>
        </w:rPr>
        <w:t>0574-62751903</w:t>
      </w:r>
    </w:p>
    <w:p>
      <w:pPr>
        <w:spacing w:line="360" w:lineRule="auto"/>
        <w:ind w:firstLine="420" w:firstLineChars="200"/>
        <w:rPr>
          <w:color w:val="auto"/>
          <w:szCs w:val="21"/>
        </w:rPr>
      </w:pPr>
    </w:p>
    <w:p>
      <w:pPr>
        <w:spacing w:line="360" w:lineRule="auto"/>
        <w:ind w:firstLine="420" w:firstLineChars="200"/>
        <w:rPr>
          <w:color w:val="auto"/>
          <w:szCs w:val="21"/>
        </w:rPr>
      </w:pPr>
      <w:r>
        <w:rPr>
          <w:color w:val="auto"/>
          <w:szCs w:val="21"/>
        </w:rPr>
        <w:t>2.采购代理机构信息</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名称：浙江科信联合工程项目管理咨询有限公司</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地址：宁波市江南路598号九五商务大厦A座9楼934室</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传真：/</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项目联系人（询问）：岳旷怡</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项目联系方式（询问）：0574-87360849</w:t>
      </w:r>
    </w:p>
    <w:p>
      <w:pPr>
        <w:spacing w:line="360" w:lineRule="auto"/>
        <w:ind w:firstLine="420" w:firstLineChars="200"/>
        <w:rPr>
          <w:color w:val="auto"/>
          <w:szCs w:val="21"/>
        </w:rPr>
      </w:pPr>
    </w:p>
    <w:p>
      <w:pPr>
        <w:spacing w:line="360" w:lineRule="auto"/>
        <w:ind w:firstLine="422" w:firstLineChars="200"/>
        <w:rPr>
          <w:b/>
          <w:bCs/>
          <w:color w:val="auto"/>
          <w:szCs w:val="21"/>
        </w:rPr>
      </w:pPr>
      <w:r>
        <w:rPr>
          <w:b/>
          <w:bCs/>
          <w:color w:val="auto"/>
          <w:szCs w:val="21"/>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22" w:firstLineChars="200"/>
        <w:rPr>
          <w:b/>
          <w:bCs/>
          <w:color w:val="auto"/>
          <w:szCs w:val="21"/>
        </w:rPr>
      </w:pPr>
      <w:r>
        <w:rPr>
          <w:b/>
          <w:bCs/>
          <w:color w:val="auto"/>
          <w:szCs w:val="21"/>
        </w:rPr>
        <w:t>CA问题联系电话（人工）：汇信CA 400-888-4636；天谷CA 400-087-8198。</w:t>
      </w:r>
    </w:p>
    <w:p>
      <w:pPr>
        <w:pStyle w:val="25"/>
        <w:snapToGrid w:val="0"/>
        <w:spacing w:before="120" w:beforeLines="0" w:after="120" w:afterLines="0" w:line="360" w:lineRule="auto"/>
        <w:jc w:val="center"/>
        <w:outlineLvl w:val="0"/>
        <w:rPr>
          <w:rFonts w:ascii="Times New Roman" w:hAnsi="Times New Roman"/>
          <w:b/>
          <w:color w:val="auto"/>
        </w:rPr>
        <w:sectPr>
          <w:footerReference r:id="rId6" w:type="default"/>
          <w:pgSz w:w="11906" w:h="16838"/>
          <w:pgMar w:top="1440" w:right="1803" w:bottom="1440" w:left="1803" w:header="851" w:footer="850" w:gutter="0"/>
          <w:pgNumType w:start="1"/>
          <w:cols w:space="720" w:num="1"/>
          <w:docGrid w:linePitch="312" w:charSpace="0"/>
        </w:sectPr>
      </w:pPr>
    </w:p>
    <w:p>
      <w:pPr>
        <w:pStyle w:val="25"/>
        <w:snapToGrid w:val="0"/>
        <w:spacing w:before="120" w:beforeLines="0" w:after="120" w:afterLines="0" w:line="360" w:lineRule="auto"/>
        <w:jc w:val="center"/>
        <w:outlineLvl w:val="0"/>
        <w:rPr>
          <w:rFonts w:ascii="Times New Roman" w:hAnsi="Times New Roman"/>
          <w:b/>
          <w:color w:val="auto"/>
        </w:rPr>
      </w:pPr>
      <w:bookmarkStart w:id="13" w:name="_Toc678"/>
      <w:bookmarkStart w:id="14" w:name="_Toc24048"/>
      <w:bookmarkStart w:id="15" w:name="_Toc18767"/>
      <w:bookmarkStart w:id="16" w:name="_Toc14811"/>
      <w:r>
        <w:rPr>
          <w:rFonts w:ascii="Times New Roman" w:hAnsi="Times New Roman"/>
          <w:b/>
          <w:color w:val="auto"/>
        </w:rPr>
        <w:t>第二章 招标需求</w:t>
      </w:r>
      <w:bookmarkEnd w:id="8"/>
      <w:bookmarkEnd w:id="9"/>
      <w:bookmarkEnd w:id="10"/>
      <w:bookmarkEnd w:id="11"/>
      <w:bookmarkEnd w:id="12"/>
      <w:bookmarkEnd w:id="13"/>
      <w:bookmarkEnd w:id="14"/>
      <w:bookmarkEnd w:id="15"/>
      <w:bookmarkEnd w:id="16"/>
    </w:p>
    <w:p>
      <w:pPr>
        <w:spacing w:line="360" w:lineRule="auto"/>
        <w:jc w:val="center"/>
        <w:rPr>
          <w:b/>
          <w:bCs/>
          <w:color w:val="auto"/>
          <w:szCs w:val="21"/>
        </w:rPr>
      </w:pPr>
      <w:bookmarkStart w:id="17" w:name="_Toc509831391"/>
      <w:bookmarkStart w:id="18" w:name="_Toc317685546"/>
      <w:bookmarkStart w:id="19" w:name="_Toc460857892"/>
      <w:bookmarkStart w:id="20" w:name="_Toc460416586"/>
      <w:bookmarkStart w:id="21" w:name="_Toc460416635"/>
      <w:bookmarkStart w:id="22" w:name="_Toc460416331"/>
      <w:bookmarkStart w:id="23" w:name="_Toc304292160"/>
      <w:r>
        <w:rPr>
          <w:b/>
          <w:bCs/>
          <w:color w:val="auto"/>
          <w:szCs w:val="21"/>
        </w:rPr>
        <w:t>前附表</w:t>
      </w:r>
      <w:bookmarkEnd w:id="17"/>
    </w:p>
    <w:bookmarkEnd w:id="18"/>
    <w:bookmarkEnd w:id="19"/>
    <w:bookmarkEnd w:id="20"/>
    <w:bookmarkEnd w:id="21"/>
    <w:bookmarkEnd w:id="22"/>
    <w:bookmarkEnd w:id="23"/>
    <w:tbl>
      <w:tblPr>
        <w:tblStyle w:val="4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840"/>
        <w:gridCol w:w="44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spacing w:line="400" w:lineRule="exact"/>
              <w:jc w:val="center"/>
              <w:outlineLvl w:val="1"/>
              <w:rPr>
                <w:b/>
                <w:color w:val="auto"/>
                <w:szCs w:val="28"/>
              </w:rPr>
            </w:pPr>
            <w:bookmarkStart w:id="24" w:name="_Toc14971"/>
            <w:bookmarkStart w:id="25" w:name="_Toc1911"/>
            <w:bookmarkStart w:id="26" w:name="_Toc460416593"/>
            <w:bookmarkStart w:id="27" w:name="_Toc460416642"/>
            <w:bookmarkStart w:id="28" w:name="_Toc460416338"/>
            <w:r>
              <w:rPr>
                <w:b/>
                <w:color w:val="auto"/>
                <w:szCs w:val="28"/>
              </w:rPr>
              <w:t>序号</w:t>
            </w:r>
            <w:bookmarkEnd w:id="24"/>
            <w:bookmarkEnd w:id="25"/>
          </w:p>
        </w:tc>
        <w:tc>
          <w:tcPr>
            <w:tcW w:w="3840" w:type="dxa"/>
            <w:vAlign w:val="center"/>
          </w:tcPr>
          <w:p>
            <w:pPr>
              <w:spacing w:line="400" w:lineRule="exact"/>
              <w:jc w:val="center"/>
              <w:outlineLvl w:val="1"/>
              <w:rPr>
                <w:b/>
                <w:color w:val="auto"/>
                <w:szCs w:val="28"/>
              </w:rPr>
            </w:pPr>
            <w:bookmarkStart w:id="29" w:name="_Toc23754"/>
            <w:bookmarkStart w:id="30" w:name="_Toc31522"/>
            <w:r>
              <w:rPr>
                <w:b/>
                <w:color w:val="auto"/>
                <w:szCs w:val="28"/>
              </w:rPr>
              <w:t>子项</w:t>
            </w:r>
            <w:bookmarkEnd w:id="29"/>
            <w:bookmarkEnd w:id="30"/>
          </w:p>
        </w:tc>
        <w:tc>
          <w:tcPr>
            <w:tcW w:w="4425" w:type="dxa"/>
            <w:vAlign w:val="center"/>
          </w:tcPr>
          <w:p>
            <w:pPr>
              <w:spacing w:line="400" w:lineRule="exact"/>
              <w:jc w:val="center"/>
              <w:outlineLvl w:val="1"/>
              <w:rPr>
                <w:b/>
                <w:color w:val="auto"/>
                <w:szCs w:val="28"/>
              </w:rPr>
            </w:pPr>
            <w:bookmarkStart w:id="31" w:name="_Toc16071"/>
            <w:bookmarkStart w:id="32" w:name="_Toc16271"/>
            <w:r>
              <w:rPr>
                <w:b/>
                <w:color w:val="auto"/>
                <w:szCs w:val="28"/>
              </w:rPr>
              <w:t>招标需求</w:t>
            </w:r>
            <w:bookmarkEnd w:id="31"/>
            <w:bookmarkEnd w:id="3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Merge w:val="restart"/>
            <w:vAlign w:val="center"/>
          </w:tcPr>
          <w:p>
            <w:pPr>
              <w:spacing w:line="400" w:lineRule="exact"/>
              <w:jc w:val="center"/>
              <w:outlineLvl w:val="1"/>
              <w:rPr>
                <w:b/>
                <w:color w:val="auto"/>
                <w:szCs w:val="28"/>
              </w:rPr>
            </w:pPr>
            <w:bookmarkStart w:id="33" w:name="_Toc2490"/>
            <w:bookmarkStart w:id="34" w:name="_Toc22387"/>
            <w:r>
              <w:rPr>
                <w:b/>
                <w:color w:val="auto"/>
                <w:szCs w:val="28"/>
              </w:rPr>
              <w:t>一</w:t>
            </w:r>
            <w:bookmarkEnd w:id="33"/>
            <w:bookmarkEnd w:id="34"/>
          </w:p>
        </w:tc>
        <w:tc>
          <w:tcPr>
            <w:tcW w:w="3840" w:type="dxa"/>
            <w:vAlign w:val="center"/>
          </w:tcPr>
          <w:p>
            <w:pPr>
              <w:spacing w:line="400" w:lineRule="exact"/>
              <w:outlineLvl w:val="1"/>
              <w:rPr>
                <w:bCs/>
                <w:color w:val="auto"/>
                <w:szCs w:val="28"/>
              </w:rPr>
            </w:pPr>
            <w:bookmarkStart w:id="35" w:name="_Toc21985"/>
            <w:bookmarkStart w:id="36" w:name="_Toc13099"/>
            <w:r>
              <w:rPr>
                <w:bCs/>
                <w:color w:val="auto"/>
                <w:szCs w:val="28"/>
              </w:rPr>
              <w:t>采购标的需实现的功能或者目标</w:t>
            </w:r>
            <w:bookmarkEnd w:id="35"/>
            <w:bookmarkEnd w:id="36"/>
          </w:p>
        </w:tc>
        <w:tc>
          <w:tcPr>
            <w:tcW w:w="4425" w:type="dxa"/>
            <w:vAlign w:val="center"/>
          </w:tcPr>
          <w:p>
            <w:pPr>
              <w:spacing w:line="400" w:lineRule="exact"/>
              <w:outlineLvl w:val="1"/>
              <w:rPr>
                <w:b/>
                <w:color w:val="auto"/>
                <w:szCs w:val="28"/>
              </w:rPr>
            </w:pPr>
            <w:bookmarkStart w:id="37" w:name="_Toc13367"/>
            <w:bookmarkStart w:id="38" w:name="_Toc29739"/>
            <w:r>
              <w:rPr>
                <w:bCs/>
                <w:color w:val="auto"/>
                <w:szCs w:val="28"/>
              </w:rPr>
              <w:t>详见后款第二条。</w:t>
            </w:r>
            <w:bookmarkEnd w:id="37"/>
            <w:bookmarkEnd w:id="3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Merge w:val="continue"/>
            <w:vAlign w:val="center"/>
          </w:tcPr>
          <w:p>
            <w:pPr>
              <w:spacing w:line="400" w:lineRule="exact"/>
              <w:jc w:val="center"/>
              <w:outlineLvl w:val="1"/>
              <w:rPr>
                <w:b/>
                <w:color w:val="auto"/>
                <w:szCs w:val="28"/>
              </w:rPr>
            </w:pPr>
          </w:p>
        </w:tc>
        <w:tc>
          <w:tcPr>
            <w:tcW w:w="3840" w:type="dxa"/>
            <w:vAlign w:val="center"/>
          </w:tcPr>
          <w:p>
            <w:pPr>
              <w:spacing w:line="400" w:lineRule="exact"/>
              <w:outlineLvl w:val="1"/>
              <w:rPr>
                <w:bCs/>
                <w:color w:val="auto"/>
                <w:szCs w:val="28"/>
              </w:rPr>
            </w:pPr>
            <w:bookmarkStart w:id="39" w:name="_Toc9377"/>
            <w:bookmarkStart w:id="40" w:name="_Toc18562"/>
            <w:r>
              <w:rPr>
                <w:bCs/>
                <w:color w:val="auto"/>
                <w:szCs w:val="28"/>
              </w:rPr>
              <w:t>为落实政府采购需满足的要求</w:t>
            </w:r>
            <w:bookmarkEnd w:id="39"/>
            <w:bookmarkEnd w:id="40"/>
          </w:p>
        </w:tc>
        <w:tc>
          <w:tcPr>
            <w:tcW w:w="4425" w:type="dxa"/>
            <w:vAlign w:val="center"/>
          </w:tcPr>
          <w:p>
            <w:pPr>
              <w:spacing w:line="400" w:lineRule="exact"/>
              <w:outlineLvl w:val="1"/>
              <w:rPr>
                <w:b/>
                <w:color w:val="auto"/>
                <w:szCs w:val="28"/>
              </w:rPr>
            </w:pPr>
            <w:bookmarkStart w:id="41" w:name="_Toc2349"/>
            <w:bookmarkStart w:id="42" w:name="_Toc30355"/>
            <w:r>
              <w:rPr>
                <w:bCs/>
                <w:color w:val="auto"/>
                <w:szCs w:val="28"/>
              </w:rPr>
              <w:t>详见后款第二条。</w:t>
            </w:r>
            <w:bookmarkEnd w:id="41"/>
            <w:bookmarkEnd w:id="4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720" w:type="dxa"/>
            <w:vAlign w:val="center"/>
          </w:tcPr>
          <w:p>
            <w:pPr>
              <w:spacing w:line="400" w:lineRule="exact"/>
              <w:jc w:val="center"/>
              <w:outlineLvl w:val="1"/>
              <w:rPr>
                <w:b/>
                <w:color w:val="auto"/>
                <w:szCs w:val="28"/>
              </w:rPr>
            </w:pPr>
            <w:bookmarkStart w:id="43" w:name="_Toc27704"/>
            <w:bookmarkStart w:id="44" w:name="_Toc23983"/>
            <w:r>
              <w:rPr>
                <w:b/>
                <w:color w:val="auto"/>
                <w:szCs w:val="28"/>
              </w:rPr>
              <w:t>二</w:t>
            </w:r>
            <w:bookmarkEnd w:id="43"/>
            <w:bookmarkEnd w:id="44"/>
          </w:p>
        </w:tc>
        <w:tc>
          <w:tcPr>
            <w:tcW w:w="3840" w:type="dxa"/>
            <w:vAlign w:val="center"/>
          </w:tcPr>
          <w:p>
            <w:pPr>
              <w:spacing w:line="400" w:lineRule="exact"/>
              <w:outlineLvl w:val="1"/>
              <w:rPr>
                <w:bCs/>
                <w:color w:val="auto"/>
                <w:szCs w:val="28"/>
              </w:rPr>
            </w:pPr>
            <w:bookmarkStart w:id="45" w:name="_Toc15074"/>
            <w:bookmarkStart w:id="46" w:name="_Toc15543"/>
            <w:r>
              <w:rPr>
                <w:bCs/>
                <w:color w:val="auto"/>
                <w:szCs w:val="28"/>
              </w:rPr>
              <w:t>采购标的需执行的国家相关标准、行业标准、地方标准或者其他标准规范</w:t>
            </w:r>
            <w:bookmarkEnd w:id="45"/>
            <w:bookmarkEnd w:id="46"/>
          </w:p>
        </w:tc>
        <w:tc>
          <w:tcPr>
            <w:tcW w:w="4425" w:type="dxa"/>
            <w:vAlign w:val="center"/>
          </w:tcPr>
          <w:p>
            <w:pPr>
              <w:spacing w:line="400" w:lineRule="exact"/>
              <w:outlineLvl w:val="1"/>
              <w:rPr>
                <w:b/>
                <w:color w:val="auto"/>
                <w:szCs w:val="28"/>
              </w:rPr>
            </w:pPr>
            <w:bookmarkStart w:id="47" w:name="_Toc29369"/>
            <w:bookmarkStart w:id="48" w:name="_Toc8441"/>
            <w:r>
              <w:rPr>
                <w:bCs/>
                <w:color w:val="auto"/>
                <w:szCs w:val="28"/>
              </w:rPr>
              <w:t>详见后款第二条。</w:t>
            </w:r>
            <w:bookmarkEnd w:id="47"/>
            <w:bookmarkEnd w:id="4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spacing w:line="400" w:lineRule="exact"/>
              <w:jc w:val="center"/>
              <w:outlineLvl w:val="1"/>
              <w:rPr>
                <w:b/>
                <w:color w:val="auto"/>
                <w:szCs w:val="28"/>
              </w:rPr>
            </w:pPr>
            <w:bookmarkStart w:id="49" w:name="_Toc32292"/>
            <w:bookmarkStart w:id="50" w:name="_Toc29910"/>
            <w:r>
              <w:rPr>
                <w:b/>
                <w:color w:val="auto"/>
                <w:szCs w:val="28"/>
              </w:rPr>
              <w:t>三</w:t>
            </w:r>
            <w:bookmarkEnd w:id="49"/>
            <w:bookmarkEnd w:id="50"/>
          </w:p>
        </w:tc>
        <w:tc>
          <w:tcPr>
            <w:tcW w:w="3840" w:type="dxa"/>
            <w:vAlign w:val="center"/>
          </w:tcPr>
          <w:p>
            <w:pPr>
              <w:spacing w:line="400" w:lineRule="exact"/>
              <w:outlineLvl w:val="1"/>
              <w:rPr>
                <w:bCs/>
                <w:color w:val="auto"/>
                <w:szCs w:val="28"/>
              </w:rPr>
            </w:pPr>
            <w:bookmarkStart w:id="51" w:name="_Toc10562"/>
            <w:bookmarkStart w:id="52" w:name="_Toc10174"/>
            <w:r>
              <w:rPr>
                <w:bCs/>
                <w:color w:val="auto"/>
                <w:szCs w:val="28"/>
              </w:rPr>
              <w:t>采购标的需满足的质量、安全、技术规格、物理特性等要求</w:t>
            </w:r>
            <w:bookmarkEnd w:id="51"/>
            <w:bookmarkEnd w:id="52"/>
          </w:p>
        </w:tc>
        <w:tc>
          <w:tcPr>
            <w:tcW w:w="4425" w:type="dxa"/>
            <w:vAlign w:val="center"/>
          </w:tcPr>
          <w:p>
            <w:pPr>
              <w:spacing w:line="400" w:lineRule="exact"/>
              <w:outlineLvl w:val="1"/>
              <w:rPr>
                <w:b/>
                <w:color w:val="auto"/>
                <w:szCs w:val="28"/>
              </w:rPr>
            </w:pPr>
            <w:bookmarkStart w:id="53" w:name="_Toc9761"/>
            <w:bookmarkStart w:id="54" w:name="_Toc22862"/>
            <w:r>
              <w:rPr>
                <w:bCs/>
                <w:color w:val="auto"/>
                <w:szCs w:val="28"/>
              </w:rPr>
              <w:t>详见后款第二条。</w:t>
            </w:r>
            <w:bookmarkEnd w:id="53"/>
            <w:bookmarkEnd w:id="5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spacing w:line="400" w:lineRule="exact"/>
              <w:jc w:val="center"/>
              <w:outlineLvl w:val="1"/>
              <w:rPr>
                <w:bCs/>
                <w:color w:val="auto"/>
                <w:szCs w:val="28"/>
              </w:rPr>
            </w:pPr>
            <w:bookmarkStart w:id="55" w:name="_Toc8847"/>
            <w:bookmarkStart w:id="56" w:name="_Toc17335"/>
            <w:r>
              <w:rPr>
                <w:bCs/>
                <w:color w:val="auto"/>
                <w:szCs w:val="28"/>
              </w:rPr>
              <w:t>四</w:t>
            </w:r>
            <w:bookmarkEnd w:id="55"/>
            <w:bookmarkEnd w:id="56"/>
          </w:p>
        </w:tc>
        <w:tc>
          <w:tcPr>
            <w:tcW w:w="3840" w:type="dxa"/>
            <w:vAlign w:val="center"/>
          </w:tcPr>
          <w:p>
            <w:pPr>
              <w:spacing w:line="400" w:lineRule="exact"/>
              <w:outlineLvl w:val="1"/>
              <w:rPr>
                <w:bCs/>
                <w:color w:val="auto"/>
                <w:szCs w:val="28"/>
              </w:rPr>
            </w:pPr>
            <w:bookmarkStart w:id="57" w:name="_Toc20436"/>
            <w:bookmarkStart w:id="58" w:name="_Toc10400"/>
            <w:r>
              <w:rPr>
                <w:bCs/>
                <w:color w:val="auto"/>
                <w:szCs w:val="28"/>
              </w:rPr>
              <w:t>采购标的的数量、采购项目交付或者实施的时间和地点</w:t>
            </w:r>
            <w:bookmarkEnd w:id="57"/>
            <w:bookmarkEnd w:id="58"/>
          </w:p>
        </w:tc>
        <w:tc>
          <w:tcPr>
            <w:tcW w:w="4425" w:type="dxa"/>
            <w:vAlign w:val="center"/>
          </w:tcPr>
          <w:p>
            <w:pPr>
              <w:spacing w:line="400" w:lineRule="exact"/>
              <w:outlineLvl w:val="1"/>
              <w:rPr>
                <w:b/>
                <w:color w:val="auto"/>
                <w:szCs w:val="28"/>
              </w:rPr>
            </w:pPr>
            <w:bookmarkStart w:id="59" w:name="_Toc11594"/>
            <w:bookmarkStart w:id="60" w:name="_Toc26922"/>
            <w:r>
              <w:rPr>
                <w:bCs/>
                <w:color w:val="auto"/>
                <w:szCs w:val="28"/>
              </w:rPr>
              <w:t>详见后款第二条。</w:t>
            </w:r>
            <w:bookmarkEnd w:id="59"/>
            <w:bookmarkEnd w:id="6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spacing w:line="400" w:lineRule="exact"/>
              <w:jc w:val="center"/>
              <w:outlineLvl w:val="1"/>
              <w:rPr>
                <w:bCs/>
                <w:color w:val="auto"/>
                <w:szCs w:val="28"/>
              </w:rPr>
            </w:pPr>
            <w:bookmarkStart w:id="61" w:name="_Toc15944"/>
            <w:bookmarkStart w:id="62" w:name="_Toc1707"/>
            <w:r>
              <w:rPr>
                <w:bCs/>
                <w:color w:val="auto"/>
                <w:szCs w:val="28"/>
              </w:rPr>
              <w:t>五</w:t>
            </w:r>
            <w:bookmarkEnd w:id="61"/>
            <w:bookmarkEnd w:id="62"/>
          </w:p>
        </w:tc>
        <w:tc>
          <w:tcPr>
            <w:tcW w:w="3840" w:type="dxa"/>
            <w:vAlign w:val="center"/>
          </w:tcPr>
          <w:p>
            <w:pPr>
              <w:spacing w:line="400" w:lineRule="exact"/>
              <w:outlineLvl w:val="1"/>
              <w:rPr>
                <w:bCs/>
                <w:color w:val="auto"/>
                <w:szCs w:val="28"/>
              </w:rPr>
            </w:pPr>
            <w:bookmarkStart w:id="63" w:name="_Toc18946"/>
            <w:bookmarkStart w:id="64" w:name="_Toc17304"/>
            <w:r>
              <w:rPr>
                <w:bCs/>
                <w:color w:val="auto"/>
                <w:szCs w:val="28"/>
              </w:rPr>
              <w:t>采购标的需满足的服务标准、期限、效率等要求</w:t>
            </w:r>
            <w:bookmarkEnd w:id="63"/>
            <w:bookmarkEnd w:id="64"/>
          </w:p>
        </w:tc>
        <w:tc>
          <w:tcPr>
            <w:tcW w:w="4425" w:type="dxa"/>
            <w:vAlign w:val="center"/>
          </w:tcPr>
          <w:p>
            <w:pPr>
              <w:spacing w:line="400" w:lineRule="exact"/>
              <w:outlineLvl w:val="1"/>
              <w:rPr>
                <w:b/>
                <w:color w:val="auto"/>
                <w:szCs w:val="28"/>
              </w:rPr>
            </w:pPr>
            <w:bookmarkStart w:id="65" w:name="_Toc16605"/>
            <w:bookmarkStart w:id="66" w:name="_Toc11646"/>
            <w:r>
              <w:rPr>
                <w:bCs/>
                <w:color w:val="auto"/>
                <w:szCs w:val="28"/>
              </w:rPr>
              <w:t>详见后款第二条。</w:t>
            </w:r>
            <w:bookmarkEnd w:id="65"/>
            <w:bookmarkEnd w:id="6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spacing w:line="400" w:lineRule="exact"/>
              <w:jc w:val="center"/>
              <w:outlineLvl w:val="1"/>
              <w:rPr>
                <w:bCs/>
                <w:color w:val="auto"/>
                <w:szCs w:val="28"/>
              </w:rPr>
            </w:pPr>
            <w:bookmarkStart w:id="67" w:name="_Toc7255"/>
            <w:bookmarkStart w:id="68" w:name="_Toc23099"/>
            <w:r>
              <w:rPr>
                <w:bCs/>
                <w:color w:val="auto"/>
                <w:szCs w:val="28"/>
              </w:rPr>
              <w:t>六</w:t>
            </w:r>
            <w:bookmarkEnd w:id="67"/>
            <w:bookmarkEnd w:id="68"/>
          </w:p>
        </w:tc>
        <w:tc>
          <w:tcPr>
            <w:tcW w:w="3840" w:type="dxa"/>
            <w:vAlign w:val="center"/>
          </w:tcPr>
          <w:p>
            <w:pPr>
              <w:spacing w:line="400" w:lineRule="exact"/>
              <w:outlineLvl w:val="1"/>
              <w:rPr>
                <w:bCs/>
                <w:color w:val="auto"/>
                <w:szCs w:val="28"/>
              </w:rPr>
            </w:pPr>
            <w:bookmarkStart w:id="69" w:name="_Toc19683"/>
            <w:bookmarkStart w:id="70" w:name="_Toc434"/>
            <w:r>
              <w:rPr>
                <w:bCs/>
                <w:color w:val="auto"/>
                <w:szCs w:val="28"/>
              </w:rPr>
              <w:t>采购标的的验收标准</w:t>
            </w:r>
            <w:bookmarkEnd w:id="69"/>
            <w:bookmarkEnd w:id="70"/>
          </w:p>
        </w:tc>
        <w:tc>
          <w:tcPr>
            <w:tcW w:w="4425" w:type="dxa"/>
            <w:vAlign w:val="center"/>
          </w:tcPr>
          <w:p>
            <w:pPr>
              <w:spacing w:line="400" w:lineRule="exact"/>
              <w:outlineLvl w:val="1"/>
              <w:rPr>
                <w:bCs/>
                <w:color w:val="auto"/>
                <w:szCs w:val="28"/>
              </w:rPr>
            </w:pPr>
            <w:bookmarkStart w:id="71" w:name="_Toc8638"/>
            <w:bookmarkStart w:id="72" w:name="_Toc633"/>
            <w:r>
              <w:rPr>
                <w:bCs/>
                <w:color w:val="auto"/>
                <w:szCs w:val="21"/>
              </w:rPr>
              <w:t>按照招标文件和中标人提供的投标文件及中标人和采购人签订的政府采购合同为标准进行验收。</w:t>
            </w:r>
            <w:bookmarkEnd w:id="71"/>
            <w:bookmarkEnd w:id="7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jc w:val="center"/>
              <w:outlineLvl w:val="1"/>
              <w:rPr>
                <w:bCs/>
                <w:color w:val="auto"/>
                <w:szCs w:val="28"/>
              </w:rPr>
            </w:pPr>
            <w:bookmarkStart w:id="73" w:name="_Toc5733"/>
            <w:bookmarkStart w:id="74" w:name="_Toc25871"/>
            <w:r>
              <w:rPr>
                <w:bCs/>
                <w:color w:val="auto"/>
                <w:szCs w:val="28"/>
              </w:rPr>
              <w:t>七</w:t>
            </w:r>
            <w:bookmarkEnd w:id="73"/>
            <w:bookmarkEnd w:id="74"/>
          </w:p>
        </w:tc>
        <w:tc>
          <w:tcPr>
            <w:tcW w:w="3840" w:type="dxa"/>
            <w:vAlign w:val="center"/>
          </w:tcPr>
          <w:p>
            <w:pPr>
              <w:outlineLvl w:val="1"/>
              <w:rPr>
                <w:bCs/>
                <w:color w:val="auto"/>
                <w:szCs w:val="28"/>
              </w:rPr>
            </w:pPr>
            <w:bookmarkStart w:id="75" w:name="_Toc26686"/>
            <w:bookmarkStart w:id="76" w:name="_Toc12729"/>
            <w:r>
              <w:rPr>
                <w:bCs/>
                <w:color w:val="auto"/>
                <w:szCs w:val="28"/>
              </w:rPr>
              <w:t>采购标的的其他技术、服务等要求</w:t>
            </w:r>
            <w:bookmarkEnd w:id="75"/>
            <w:bookmarkEnd w:id="76"/>
          </w:p>
        </w:tc>
        <w:tc>
          <w:tcPr>
            <w:tcW w:w="4425" w:type="dxa"/>
            <w:vAlign w:val="center"/>
          </w:tcPr>
          <w:p>
            <w:pPr>
              <w:outlineLvl w:val="1"/>
              <w:rPr>
                <w:bCs/>
                <w:color w:val="auto"/>
                <w:szCs w:val="28"/>
              </w:rPr>
            </w:pPr>
            <w:bookmarkStart w:id="77" w:name="_Toc15125"/>
            <w:bookmarkStart w:id="78" w:name="_Toc4305"/>
            <w:r>
              <w:rPr>
                <w:bCs/>
                <w:color w:val="auto"/>
                <w:szCs w:val="28"/>
              </w:rPr>
              <w:t>无。</w:t>
            </w:r>
            <w:bookmarkEnd w:id="77"/>
            <w:bookmarkEnd w:id="7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jc w:val="center"/>
              <w:outlineLvl w:val="1"/>
              <w:rPr>
                <w:bCs/>
                <w:color w:val="auto"/>
                <w:szCs w:val="28"/>
              </w:rPr>
            </w:pPr>
            <w:bookmarkStart w:id="79" w:name="_Toc30569"/>
            <w:bookmarkStart w:id="80" w:name="_Toc10216"/>
            <w:r>
              <w:rPr>
                <w:bCs/>
                <w:color w:val="auto"/>
                <w:szCs w:val="28"/>
              </w:rPr>
              <w:t>八</w:t>
            </w:r>
            <w:bookmarkEnd w:id="79"/>
            <w:bookmarkEnd w:id="80"/>
          </w:p>
        </w:tc>
        <w:tc>
          <w:tcPr>
            <w:tcW w:w="3840" w:type="dxa"/>
            <w:vAlign w:val="center"/>
          </w:tcPr>
          <w:p>
            <w:pPr>
              <w:outlineLvl w:val="1"/>
              <w:rPr>
                <w:bCs/>
                <w:color w:val="auto"/>
                <w:szCs w:val="28"/>
              </w:rPr>
            </w:pPr>
            <w:bookmarkStart w:id="81" w:name="_Toc14821"/>
            <w:bookmarkStart w:id="82" w:name="_Toc31394"/>
            <w:r>
              <w:rPr>
                <w:bCs/>
                <w:color w:val="auto"/>
                <w:szCs w:val="28"/>
              </w:rPr>
              <w:t>核心产品</w:t>
            </w:r>
            <w:bookmarkEnd w:id="81"/>
            <w:bookmarkEnd w:id="82"/>
          </w:p>
        </w:tc>
        <w:tc>
          <w:tcPr>
            <w:tcW w:w="4425" w:type="dxa"/>
            <w:vAlign w:val="center"/>
          </w:tcPr>
          <w:p>
            <w:pPr>
              <w:outlineLvl w:val="1"/>
              <w:rPr>
                <w:bCs/>
                <w:color w:val="auto"/>
                <w:szCs w:val="28"/>
              </w:rPr>
            </w:pPr>
            <w:bookmarkStart w:id="83" w:name="_Toc6946"/>
            <w:bookmarkStart w:id="84" w:name="_Toc18941"/>
            <w:r>
              <w:rPr>
                <w:bCs/>
                <w:color w:val="auto"/>
                <w:szCs w:val="28"/>
              </w:rPr>
              <w:t>无。</w:t>
            </w:r>
            <w:bookmarkEnd w:id="83"/>
            <w:bookmarkEnd w:id="8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720" w:type="dxa"/>
            <w:vAlign w:val="center"/>
          </w:tcPr>
          <w:p>
            <w:pPr>
              <w:jc w:val="center"/>
              <w:outlineLvl w:val="1"/>
              <w:rPr>
                <w:bCs/>
                <w:color w:val="auto"/>
                <w:szCs w:val="28"/>
              </w:rPr>
            </w:pPr>
            <w:bookmarkStart w:id="85" w:name="_Toc6466"/>
            <w:bookmarkStart w:id="86" w:name="_Toc3464"/>
            <w:r>
              <w:rPr>
                <w:bCs/>
                <w:color w:val="auto"/>
                <w:szCs w:val="28"/>
              </w:rPr>
              <w:t>九</w:t>
            </w:r>
            <w:bookmarkEnd w:id="85"/>
            <w:bookmarkEnd w:id="86"/>
          </w:p>
        </w:tc>
        <w:tc>
          <w:tcPr>
            <w:tcW w:w="3840" w:type="dxa"/>
            <w:vAlign w:val="center"/>
          </w:tcPr>
          <w:p>
            <w:pPr>
              <w:outlineLvl w:val="1"/>
              <w:rPr>
                <w:bCs/>
                <w:color w:val="auto"/>
                <w:szCs w:val="28"/>
              </w:rPr>
            </w:pPr>
            <w:bookmarkStart w:id="87" w:name="_Toc8410"/>
            <w:bookmarkStart w:id="88" w:name="_Toc23101"/>
            <w:r>
              <w:rPr>
                <w:color w:val="auto"/>
              </w:rPr>
              <w:t>现场踏勘</w:t>
            </w:r>
            <w:bookmarkEnd w:id="87"/>
            <w:bookmarkEnd w:id="88"/>
          </w:p>
        </w:tc>
        <w:tc>
          <w:tcPr>
            <w:tcW w:w="4425" w:type="dxa"/>
            <w:vAlign w:val="center"/>
          </w:tcPr>
          <w:p>
            <w:pPr>
              <w:outlineLvl w:val="1"/>
              <w:rPr>
                <w:bCs/>
                <w:color w:val="auto"/>
                <w:szCs w:val="28"/>
              </w:rPr>
            </w:pPr>
            <w:bookmarkStart w:id="89" w:name="_Toc17052"/>
            <w:bookmarkStart w:id="90" w:name="_Toc13510"/>
            <w:r>
              <w:rPr>
                <w:bCs/>
                <w:color w:val="auto"/>
                <w:szCs w:val="28"/>
              </w:rPr>
              <w:t>无。</w:t>
            </w:r>
            <w:bookmarkEnd w:id="89"/>
            <w:bookmarkEnd w:id="9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jc w:val="center"/>
              <w:outlineLvl w:val="1"/>
              <w:rPr>
                <w:bCs/>
                <w:color w:val="auto"/>
                <w:szCs w:val="28"/>
              </w:rPr>
            </w:pPr>
            <w:bookmarkStart w:id="91" w:name="_Toc9994"/>
            <w:bookmarkStart w:id="92" w:name="_Toc8313"/>
            <w:r>
              <w:rPr>
                <w:bCs/>
                <w:color w:val="auto"/>
                <w:szCs w:val="28"/>
              </w:rPr>
              <w:t>十</w:t>
            </w:r>
            <w:bookmarkEnd w:id="91"/>
            <w:bookmarkEnd w:id="92"/>
          </w:p>
        </w:tc>
        <w:tc>
          <w:tcPr>
            <w:tcW w:w="3840" w:type="dxa"/>
            <w:vAlign w:val="center"/>
          </w:tcPr>
          <w:p>
            <w:pPr>
              <w:outlineLvl w:val="1"/>
              <w:rPr>
                <w:color w:val="auto"/>
              </w:rPr>
            </w:pPr>
            <w:bookmarkStart w:id="93" w:name="_Toc14112"/>
            <w:bookmarkStart w:id="94" w:name="_Toc16147"/>
            <w:r>
              <w:rPr>
                <w:color w:val="auto"/>
              </w:rPr>
              <w:t>样品要求</w:t>
            </w:r>
            <w:bookmarkEnd w:id="93"/>
            <w:bookmarkEnd w:id="94"/>
          </w:p>
        </w:tc>
        <w:tc>
          <w:tcPr>
            <w:tcW w:w="4425" w:type="dxa"/>
            <w:vAlign w:val="center"/>
          </w:tcPr>
          <w:p>
            <w:pPr>
              <w:outlineLvl w:val="1"/>
              <w:rPr>
                <w:bCs/>
                <w:color w:val="auto"/>
                <w:szCs w:val="28"/>
              </w:rPr>
            </w:pPr>
            <w:bookmarkStart w:id="95" w:name="_Toc17124"/>
            <w:bookmarkStart w:id="96" w:name="_Toc32686"/>
            <w:r>
              <w:rPr>
                <w:bCs/>
                <w:color w:val="auto"/>
                <w:szCs w:val="28"/>
              </w:rPr>
              <w:t>无。</w:t>
            </w:r>
            <w:bookmarkEnd w:id="95"/>
            <w:bookmarkEnd w:id="96"/>
          </w:p>
        </w:tc>
      </w:tr>
    </w:tbl>
    <w:p>
      <w:pPr>
        <w:rPr>
          <w:color w:val="auto"/>
          <w:kern w:val="44"/>
        </w:rPr>
      </w:pPr>
    </w:p>
    <w:bookmarkEnd w:id="26"/>
    <w:bookmarkEnd w:id="27"/>
    <w:bookmarkEnd w:id="28"/>
    <w:tbl>
      <w:tblPr>
        <w:tblStyle w:val="41"/>
        <w:tblW w:w="901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36"/>
        <w:gridCol w:w="66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336" w:type="dxa"/>
            <w:vAlign w:val="center"/>
          </w:tcPr>
          <w:p>
            <w:pPr>
              <w:spacing w:line="360" w:lineRule="auto"/>
              <w:jc w:val="center"/>
              <w:rPr>
                <w:b/>
                <w:color w:val="auto"/>
                <w:szCs w:val="21"/>
              </w:rPr>
            </w:pPr>
            <w:r>
              <w:rPr>
                <w:b/>
                <w:color w:val="auto"/>
                <w:szCs w:val="21"/>
              </w:rPr>
              <w:t>项目</w:t>
            </w:r>
          </w:p>
        </w:tc>
        <w:tc>
          <w:tcPr>
            <w:tcW w:w="6675" w:type="dxa"/>
            <w:vAlign w:val="center"/>
          </w:tcPr>
          <w:p>
            <w:pPr>
              <w:spacing w:line="360" w:lineRule="auto"/>
              <w:jc w:val="center"/>
              <w:rPr>
                <w:b/>
                <w:color w:val="auto"/>
                <w:szCs w:val="21"/>
              </w:rPr>
            </w:pPr>
            <w:r>
              <w:rPr>
                <w:b/>
                <w:color w:val="auto"/>
                <w:szCs w:val="21"/>
              </w:rPr>
              <w:t>商务要求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vAlign w:val="center"/>
          </w:tcPr>
          <w:p>
            <w:pPr>
              <w:spacing w:line="400" w:lineRule="exact"/>
              <w:jc w:val="center"/>
              <w:outlineLvl w:val="1"/>
              <w:rPr>
                <w:bCs/>
                <w:color w:val="auto"/>
                <w:szCs w:val="21"/>
              </w:rPr>
            </w:pPr>
            <w:r>
              <w:rPr>
                <w:bCs/>
                <w:color w:val="auto"/>
                <w:szCs w:val="21"/>
              </w:rPr>
              <w:t>*服务期限</w:t>
            </w:r>
          </w:p>
        </w:tc>
        <w:tc>
          <w:tcPr>
            <w:tcW w:w="6675" w:type="dxa"/>
            <w:vAlign w:val="center"/>
          </w:tcPr>
          <w:p>
            <w:pPr>
              <w:spacing w:line="400" w:lineRule="exact"/>
              <w:outlineLvl w:val="1"/>
              <w:rPr>
                <w:bCs/>
                <w:color w:val="auto"/>
                <w:szCs w:val="21"/>
              </w:rPr>
            </w:pPr>
            <w:r>
              <w:rPr>
                <w:rFonts w:hint="eastAsia"/>
                <w:bCs/>
                <w:color w:val="auto"/>
                <w:szCs w:val="21"/>
              </w:rPr>
              <w:t>合同签订后至2023年</w:t>
            </w:r>
            <w:r>
              <w:rPr>
                <w:bCs/>
                <w:color w:val="auto"/>
                <w:szCs w:val="21"/>
              </w:rPr>
              <w:t>8</w:t>
            </w:r>
            <w:r>
              <w:rPr>
                <w:rFonts w:hint="eastAsia"/>
                <w:bCs/>
                <w:color w:val="auto"/>
                <w:szCs w:val="21"/>
              </w:rPr>
              <w:t>月30日前完成设备安装并投入试运行，试运行期满且稳定后于2023年</w:t>
            </w:r>
            <w:r>
              <w:rPr>
                <w:bCs/>
                <w:color w:val="auto"/>
                <w:szCs w:val="21"/>
              </w:rPr>
              <w:t>11</w:t>
            </w:r>
            <w:r>
              <w:rPr>
                <w:rFonts w:hint="eastAsia"/>
                <w:bCs/>
                <w:color w:val="auto"/>
                <w:szCs w:val="21"/>
              </w:rPr>
              <w:t>月30日前完成验收。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vAlign w:val="center"/>
          </w:tcPr>
          <w:p>
            <w:pPr>
              <w:spacing w:line="400" w:lineRule="exact"/>
              <w:jc w:val="center"/>
              <w:outlineLvl w:val="1"/>
              <w:rPr>
                <w:bCs/>
                <w:color w:val="auto"/>
                <w:szCs w:val="21"/>
              </w:rPr>
            </w:pPr>
            <w:r>
              <w:rPr>
                <w:bCs/>
                <w:color w:val="auto"/>
                <w:szCs w:val="21"/>
              </w:rPr>
              <w:t>服务地点/服务现场</w:t>
            </w:r>
          </w:p>
        </w:tc>
        <w:tc>
          <w:tcPr>
            <w:tcW w:w="6675" w:type="dxa"/>
            <w:vAlign w:val="center"/>
          </w:tcPr>
          <w:p>
            <w:pPr>
              <w:spacing w:line="400" w:lineRule="exact"/>
              <w:outlineLvl w:val="1"/>
              <w:rPr>
                <w:bCs/>
                <w:color w:val="auto"/>
                <w:szCs w:val="21"/>
              </w:rPr>
            </w:pPr>
            <w:r>
              <w:rPr>
                <w:rFonts w:hint="eastAsia"/>
                <w:bCs/>
                <w:color w:val="auto"/>
                <w:szCs w:val="21"/>
              </w:rPr>
              <w:t>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336" w:type="dxa"/>
            <w:vAlign w:val="center"/>
          </w:tcPr>
          <w:p>
            <w:pPr>
              <w:pStyle w:val="155"/>
              <w:spacing w:line="360" w:lineRule="auto"/>
              <w:ind w:left="-210" w:right="-105" w:firstLine="210"/>
              <w:jc w:val="center"/>
              <w:rPr>
                <w:bCs/>
                <w:color w:val="auto"/>
                <w:kern w:val="2"/>
              </w:rPr>
            </w:pPr>
            <w:r>
              <w:rPr>
                <w:bCs/>
                <w:color w:val="auto"/>
                <w:kern w:val="2"/>
              </w:rPr>
              <w:t>*履约保证金</w:t>
            </w:r>
          </w:p>
        </w:tc>
        <w:tc>
          <w:tcPr>
            <w:tcW w:w="6675" w:type="dxa"/>
            <w:vAlign w:val="center"/>
          </w:tcPr>
          <w:p>
            <w:pPr>
              <w:spacing w:line="400" w:lineRule="exact"/>
              <w:outlineLvl w:val="1"/>
              <w:rPr>
                <w:bCs/>
                <w:color w:val="auto"/>
                <w:szCs w:val="21"/>
              </w:rPr>
            </w:pPr>
            <w:r>
              <w:rPr>
                <w:rFonts w:hint="eastAsia"/>
                <w:bCs/>
                <w:color w:val="auto"/>
                <w:szCs w:val="21"/>
              </w:rPr>
              <w:t>履约保证金金额：合同金额的3%；</w:t>
            </w:r>
          </w:p>
          <w:p>
            <w:pPr>
              <w:spacing w:line="400" w:lineRule="exact"/>
              <w:outlineLvl w:val="1"/>
              <w:rPr>
                <w:bCs/>
                <w:color w:val="auto"/>
                <w:szCs w:val="21"/>
              </w:rPr>
            </w:pPr>
            <w:r>
              <w:rPr>
                <w:rFonts w:hint="eastAsia"/>
                <w:bCs/>
                <w:color w:val="auto"/>
                <w:szCs w:val="21"/>
              </w:rPr>
              <w:t>履约保证金形式：以银行或保险公司出具的保函形式或其他非现金形式递交至采购人；</w:t>
            </w:r>
          </w:p>
          <w:p>
            <w:pPr>
              <w:spacing w:line="400" w:lineRule="exact"/>
              <w:outlineLvl w:val="1"/>
              <w:rPr>
                <w:bCs/>
                <w:color w:val="auto"/>
                <w:szCs w:val="21"/>
              </w:rPr>
            </w:pPr>
            <w:r>
              <w:rPr>
                <w:rFonts w:hint="eastAsia"/>
                <w:bCs/>
                <w:color w:val="auto"/>
                <w:szCs w:val="21"/>
              </w:rPr>
              <w:t>履约保证金提交时间：合同签订后15日内；</w:t>
            </w:r>
          </w:p>
          <w:p>
            <w:pPr>
              <w:spacing w:line="400" w:lineRule="exact"/>
              <w:outlineLvl w:val="1"/>
              <w:rPr>
                <w:bCs/>
                <w:color w:val="auto"/>
                <w:szCs w:val="21"/>
              </w:rPr>
            </w:pPr>
            <w:r>
              <w:rPr>
                <w:rFonts w:hint="eastAsia"/>
                <w:bCs/>
                <w:color w:val="auto"/>
                <w:szCs w:val="21"/>
              </w:rPr>
              <w:t>履约保证金的有效期：履约保证金在中标人履行合同规定义务期间必须保持有效；</w:t>
            </w:r>
          </w:p>
          <w:p>
            <w:pPr>
              <w:spacing w:line="400" w:lineRule="exact"/>
              <w:outlineLvl w:val="1"/>
              <w:rPr>
                <w:bCs/>
                <w:color w:val="auto"/>
                <w:szCs w:val="21"/>
              </w:rPr>
            </w:pPr>
            <w:r>
              <w:rPr>
                <w:rFonts w:hint="eastAsia"/>
                <w:bCs/>
                <w:color w:val="auto"/>
                <w:szCs w:val="21"/>
              </w:rPr>
              <w:t>履约保证金的退还：采购人在中标人完成所有工作并经采购人验收通过后退还（退还履约保证金时中标人应向采购人发起退款申请，采购人在收到中标人的退还履约保证金申请后10日内一次性无息退还）；中标人未按要求履行义务的，采购人有权扣罚其履约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8" w:hRule="atLeast"/>
          <w:jc w:val="center"/>
        </w:trPr>
        <w:tc>
          <w:tcPr>
            <w:tcW w:w="2336" w:type="dxa"/>
            <w:vAlign w:val="center"/>
          </w:tcPr>
          <w:p>
            <w:pPr>
              <w:spacing w:line="400" w:lineRule="exact"/>
              <w:jc w:val="center"/>
              <w:outlineLvl w:val="1"/>
              <w:rPr>
                <w:bCs/>
                <w:color w:val="auto"/>
                <w:szCs w:val="21"/>
              </w:rPr>
            </w:pPr>
            <w:r>
              <w:rPr>
                <w:bCs/>
                <w:color w:val="auto"/>
                <w:szCs w:val="21"/>
              </w:rPr>
              <w:t>付款方式</w:t>
            </w:r>
          </w:p>
        </w:tc>
        <w:tc>
          <w:tcPr>
            <w:tcW w:w="6675" w:type="dxa"/>
            <w:vAlign w:val="center"/>
          </w:tcPr>
          <w:p>
            <w:pPr>
              <w:spacing w:line="400" w:lineRule="exact"/>
              <w:outlineLvl w:val="1"/>
              <w:rPr>
                <w:bCs/>
                <w:color w:val="auto"/>
                <w:szCs w:val="21"/>
              </w:rPr>
            </w:pPr>
            <w:r>
              <w:rPr>
                <w:rFonts w:hint="eastAsia"/>
                <w:bCs/>
                <w:color w:val="auto"/>
                <w:szCs w:val="21"/>
              </w:rPr>
              <w:t>1、项目合同生效以及具备实施条件后7个工作日内，采购人向中标人支付合同总金额的15%作为预付款；</w:t>
            </w:r>
          </w:p>
          <w:p>
            <w:pPr>
              <w:spacing w:line="400" w:lineRule="exact"/>
              <w:outlineLvl w:val="1"/>
              <w:rPr>
                <w:bCs/>
                <w:color w:val="auto"/>
                <w:szCs w:val="21"/>
              </w:rPr>
            </w:pPr>
            <w:r>
              <w:rPr>
                <w:rFonts w:hint="eastAsia"/>
                <w:bCs/>
                <w:color w:val="auto"/>
                <w:szCs w:val="21"/>
              </w:rPr>
              <w:t>2、本项目进度款按月结算，在收到监理工程师审核的月结账单，当完成的工程量达到工程总量的30%时，经采购人审批后付至实际完成工程量的75</w:t>
            </w:r>
            <w:r>
              <w:rPr>
                <w:bCs/>
                <w:color w:val="auto"/>
                <w:szCs w:val="21"/>
              </w:rPr>
              <w:t>%</w:t>
            </w:r>
            <w:r>
              <w:rPr>
                <w:rFonts w:hint="eastAsia"/>
                <w:bCs/>
                <w:color w:val="auto"/>
                <w:szCs w:val="21"/>
              </w:rPr>
              <w:t>（累计支付不超过合同总金额的75%）；</w:t>
            </w:r>
          </w:p>
          <w:p>
            <w:pPr>
              <w:spacing w:line="400" w:lineRule="exact"/>
              <w:outlineLvl w:val="1"/>
              <w:rPr>
                <w:bCs/>
                <w:color w:val="auto"/>
                <w:szCs w:val="21"/>
              </w:rPr>
            </w:pPr>
            <w:r>
              <w:rPr>
                <w:rFonts w:hint="eastAsia"/>
                <w:bCs/>
                <w:color w:val="auto"/>
                <w:szCs w:val="21"/>
              </w:rPr>
              <w:t>3、项目竣工验收合格并移交完整竣工资料给相关部门后7个工作日内，采购人向中标人支付至合同总金额的80%；</w:t>
            </w:r>
          </w:p>
          <w:p>
            <w:pPr>
              <w:spacing w:line="400" w:lineRule="exact"/>
              <w:outlineLvl w:val="1"/>
              <w:rPr>
                <w:bCs/>
                <w:color w:val="auto"/>
                <w:szCs w:val="21"/>
              </w:rPr>
            </w:pPr>
            <w:r>
              <w:rPr>
                <w:rFonts w:hint="eastAsia"/>
                <w:bCs/>
                <w:color w:val="auto"/>
                <w:szCs w:val="21"/>
              </w:rPr>
              <w:t>4、项目完成最终审计并出具审计报告，且经采购人确认后7个工作日内，采购人向中标人支付至</w:t>
            </w:r>
            <w:r>
              <w:rPr>
                <w:rFonts w:hint="eastAsia" w:ascii="宋体" w:hAnsi="宋体" w:cs="宋体"/>
                <w:color w:val="auto"/>
                <w:szCs w:val="21"/>
              </w:rPr>
              <w:t>最终</w:t>
            </w:r>
            <w:r>
              <w:rPr>
                <w:rFonts w:hint="eastAsia"/>
                <w:bCs/>
                <w:color w:val="auto"/>
                <w:szCs w:val="21"/>
              </w:rPr>
              <w:t>结算价的90%；</w:t>
            </w:r>
          </w:p>
          <w:p>
            <w:pPr>
              <w:spacing w:line="400" w:lineRule="exact"/>
              <w:outlineLvl w:val="1"/>
              <w:rPr>
                <w:bCs/>
                <w:color w:val="auto"/>
                <w:szCs w:val="21"/>
              </w:rPr>
            </w:pPr>
            <w:r>
              <w:rPr>
                <w:rFonts w:hint="eastAsia"/>
                <w:bCs/>
                <w:color w:val="auto"/>
                <w:szCs w:val="21"/>
              </w:rPr>
              <w:t>5、项目运维期满三年，经采购人确认后7个工作日内，采购人向中标人一次性付清余款（含质量保证金）。</w:t>
            </w:r>
          </w:p>
          <w:p>
            <w:pPr>
              <w:spacing w:line="400" w:lineRule="exact"/>
              <w:outlineLvl w:val="1"/>
              <w:rPr>
                <w:bCs/>
                <w:color w:val="auto"/>
                <w:szCs w:val="21"/>
              </w:rPr>
            </w:pPr>
            <w:r>
              <w:rPr>
                <w:rFonts w:hint="eastAsia"/>
                <w:bCs/>
                <w:color w:val="auto"/>
                <w:szCs w:val="21"/>
              </w:rPr>
              <w:t>注：采购人向中标人付款时，中标人须向采购人提供相当于采购人付款金额合法有效发票，否则采购人有权拒绝付款。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vAlign w:val="center"/>
          </w:tcPr>
          <w:p>
            <w:pPr>
              <w:spacing w:line="400" w:lineRule="exact"/>
              <w:jc w:val="center"/>
              <w:outlineLvl w:val="1"/>
              <w:rPr>
                <w:bCs/>
                <w:color w:val="auto"/>
                <w:szCs w:val="21"/>
              </w:rPr>
            </w:pPr>
            <w:r>
              <w:rPr>
                <w:bCs/>
                <w:color w:val="auto"/>
                <w:szCs w:val="21"/>
              </w:rPr>
              <w:t>质量标准</w:t>
            </w:r>
          </w:p>
        </w:tc>
        <w:tc>
          <w:tcPr>
            <w:tcW w:w="6675" w:type="dxa"/>
            <w:vAlign w:val="center"/>
          </w:tcPr>
          <w:p>
            <w:pPr>
              <w:spacing w:line="400" w:lineRule="exact"/>
              <w:outlineLvl w:val="1"/>
              <w:rPr>
                <w:bCs/>
                <w:color w:val="auto"/>
                <w:szCs w:val="21"/>
              </w:rPr>
            </w:pPr>
            <w:r>
              <w:rPr>
                <w:bCs/>
                <w:color w:val="auto"/>
                <w:szCs w:val="21"/>
              </w:rPr>
              <w:t>必须符合中华人民共和国、地方及行业有关技术标准（按高标准执行）。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vAlign w:val="center"/>
          </w:tcPr>
          <w:p>
            <w:pPr>
              <w:spacing w:line="400" w:lineRule="exact"/>
              <w:jc w:val="center"/>
              <w:outlineLvl w:val="1"/>
              <w:rPr>
                <w:bCs/>
                <w:color w:val="auto"/>
                <w:szCs w:val="21"/>
              </w:rPr>
            </w:pPr>
            <w:r>
              <w:rPr>
                <w:bCs/>
                <w:color w:val="auto"/>
                <w:szCs w:val="21"/>
              </w:rPr>
              <w:t>验收</w:t>
            </w:r>
          </w:p>
        </w:tc>
        <w:tc>
          <w:tcPr>
            <w:tcW w:w="6675" w:type="dxa"/>
            <w:vAlign w:val="center"/>
          </w:tcPr>
          <w:p>
            <w:pPr>
              <w:spacing w:line="400" w:lineRule="exact"/>
              <w:outlineLvl w:val="1"/>
              <w:rPr>
                <w:bCs/>
                <w:color w:val="auto"/>
                <w:szCs w:val="21"/>
              </w:rPr>
            </w:pPr>
            <w:r>
              <w:rPr>
                <w:bCs/>
                <w:color w:val="auto"/>
                <w:szCs w:val="21"/>
              </w:rPr>
              <w:t>项目建设完成后，中标</w:t>
            </w:r>
            <w:r>
              <w:rPr>
                <w:rFonts w:hint="eastAsia"/>
                <w:bCs/>
                <w:color w:val="auto"/>
                <w:szCs w:val="21"/>
              </w:rPr>
              <w:t>人</w:t>
            </w:r>
            <w:r>
              <w:rPr>
                <w:bCs/>
                <w:color w:val="auto"/>
                <w:szCs w:val="21"/>
              </w:rPr>
              <w:t>向</w:t>
            </w:r>
            <w:r>
              <w:rPr>
                <w:rFonts w:hint="eastAsia"/>
                <w:bCs/>
                <w:color w:val="auto"/>
                <w:szCs w:val="21"/>
              </w:rPr>
              <w:t>采购人</w:t>
            </w:r>
            <w:r>
              <w:rPr>
                <w:bCs/>
                <w:color w:val="auto"/>
                <w:szCs w:val="21"/>
              </w:rPr>
              <w:t>提出终验申请，采购人组织相关单位进行项目终验。项目终验通过，进入正式运行阶段。项目终验收合格的条件必须至少满足以下三个要求：</w:t>
            </w:r>
          </w:p>
          <w:p>
            <w:pPr>
              <w:spacing w:line="400" w:lineRule="exact"/>
              <w:outlineLvl w:val="1"/>
              <w:rPr>
                <w:bCs/>
                <w:color w:val="auto"/>
                <w:szCs w:val="21"/>
              </w:rPr>
            </w:pPr>
            <w:r>
              <w:rPr>
                <w:bCs/>
                <w:color w:val="auto"/>
                <w:szCs w:val="21"/>
              </w:rPr>
              <w:t>1、已提供了合同要求的全部软件和资料；</w:t>
            </w:r>
          </w:p>
          <w:p>
            <w:pPr>
              <w:spacing w:line="400" w:lineRule="exact"/>
              <w:outlineLvl w:val="1"/>
              <w:rPr>
                <w:bCs/>
                <w:color w:val="auto"/>
                <w:szCs w:val="21"/>
              </w:rPr>
            </w:pPr>
            <w:r>
              <w:rPr>
                <w:bCs/>
                <w:color w:val="auto"/>
                <w:szCs w:val="21"/>
              </w:rPr>
              <w:t>2、试运行时性能满足合同要求，稳定试运行满3个月；</w:t>
            </w:r>
          </w:p>
          <w:p>
            <w:pPr>
              <w:spacing w:line="400" w:lineRule="exact"/>
              <w:outlineLvl w:val="1"/>
              <w:rPr>
                <w:bCs/>
                <w:color w:val="auto"/>
                <w:szCs w:val="21"/>
              </w:rPr>
            </w:pPr>
            <w:r>
              <w:rPr>
                <w:bCs/>
                <w:color w:val="auto"/>
                <w:szCs w:val="21"/>
              </w:rPr>
              <w:t>3、性能测试和试运行时出现的问题已被解决。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vAlign w:val="center"/>
          </w:tcPr>
          <w:p>
            <w:pPr>
              <w:spacing w:line="400" w:lineRule="exact"/>
              <w:jc w:val="center"/>
              <w:outlineLvl w:val="1"/>
              <w:rPr>
                <w:bCs/>
                <w:color w:val="auto"/>
                <w:szCs w:val="21"/>
              </w:rPr>
            </w:pPr>
            <w:r>
              <w:rPr>
                <w:bCs/>
                <w:color w:val="auto"/>
                <w:szCs w:val="21"/>
              </w:rPr>
              <w:t>售后服务要求</w:t>
            </w:r>
          </w:p>
        </w:tc>
        <w:tc>
          <w:tcPr>
            <w:tcW w:w="6675" w:type="dxa"/>
            <w:vAlign w:val="center"/>
          </w:tcPr>
          <w:p>
            <w:pPr>
              <w:spacing w:line="400" w:lineRule="exact"/>
              <w:outlineLvl w:val="1"/>
              <w:rPr>
                <w:bCs/>
                <w:color w:val="auto"/>
                <w:szCs w:val="21"/>
              </w:rPr>
            </w:pPr>
            <w:r>
              <w:rPr>
                <w:rFonts w:hint="eastAsia"/>
                <w:bCs/>
                <w:color w:val="auto"/>
                <w:szCs w:val="21"/>
              </w:rPr>
              <w:t>1、项目三年运维期内，</w:t>
            </w:r>
            <w:r>
              <w:rPr>
                <w:bCs/>
                <w:color w:val="auto"/>
                <w:szCs w:val="21"/>
              </w:rPr>
              <w:t>中标人</w:t>
            </w:r>
            <w:r>
              <w:rPr>
                <w:rFonts w:hint="eastAsia"/>
                <w:bCs/>
                <w:color w:val="auto"/>
                <w:szCs w:val="21"/>
              </w:rPr>
              <w:t>应提供2名专职驻场运维人员，确保</w:t>
            </w:r>
            <w:r>
              <w:rPr>
                <w:bCs/>
                <w:color w:val="auto"/>
                <w:szCs w:val="21"/>
              </w:rPr>
              <w:t>在项目所在地</w:t>
            </w:r>
            <w:r>
              <w:rPr>
                <w:rFonts w:hint="eastAsia"/>
                <w:bCs/>
                <w:color w:val="auto"/>
                <w:szCs w:val="21"/>
              </w:rPr>
              <w:t>应能</w:t>
            </w:r>
            <w:r>
              <w:rPr>
                <w:bCs/>
                <w:color w:val="auto"/>
                <w:szCs w:val="21"/>
              </w:rPr>
              <w:t>提供长期售后服务配套设施。</w:t>
            </w:r>
          </w:p>
          <w:p>
            <w:pPr>
              <w:spacing w:line="400" w:lineRule="exact"/>
              <w:outlineLvl w:val="1"/>
              <w:rPr>
                <w:bCs/>
                <w:color w:val="auto"/>
                <w:szCs w:val="21"/>
              </w:rPr>
            </w:pPr>
            <w:r>
              <w:rPr>
                <w:rFonts w:hint="eastAsia"/>
                <w:bCs/>
                <w:color w:val="auto"/>
                <w:szCs w:val="21"/>
              </w:rPr>
              <w:t>2、</w:t>
            </w:r>
            <w:r>
              <w:rPr>
                <w:bCs/>
                <w:color w:val="auto"/>
                <w:szCs w:val="21"/>
              </w:rPr>
              <w:t>运行维护服务期内免费提供设备软件升级服务，在网络和设备扩容及软件升级时，中标人需派技术人员到场免费实施或指导。</w:t>
            </w:r>
          </w:p>
          <w:p>
            <w:pPr>
              <w:spacing w:line="400" w:lineRule="exact"/>
              <w:outlineLvl w:val="1"/>
              <w:rPr>
                <w:bCs/>
                <w:color w:val="auto"/>
                <w:szCs w:val="21"/>
              </w:rPr>
            </w:pPr>
            <w:r>
              <w:rPr>
                <w:rFonts w:hint="eastAsia"/>
                <w:bCs/>
                <w:color w:val="auto"/>
                <w:szCs w:val="21"/>
              </w:rPr>
              <w:t>3、</w:t>
            </w:r>
            <w:r>
              <w:rPr>
                <w:bCs/>
                <w:color w:val="auto"/>
                <w:szCs w:val="21"/>
              </w:rPr>
              <w:t>在系统验收时，中标人为采购人提供详细的建设文档、设备操作使用指南和维护手册、以及详细的安装调试文档，并提供文档更新服务。</w:t>
            </w:r>
          </w:p>
          <w:p>
            <w:pPr>
              <w:spacing w:line="400" w:lineRule="exact"/>
              <w:outlineLvl w:val="1"/>
              <w:rPr>
                <w:bCs/>
                <w:color w:val="auto"/>
                <w:szCs w:val="21"/>
              </w:rPr>
            </w:pPr>
            <w:r>
              <w:rPr>
                <w:rFonts w:hint="eastAsia"/>
                <w:bCs/>
                <w:color w:val="auto"/>
                <w:szCs w:val="21"/>
              </w:rPr>
              <w:t>4、</w:t>
            </w:r>
            <w:r>
              <w:rPr>
                <w:bCs/>
                <w:color w:val="auto"/>
                <w:szCs w:val="21"/>
              </w:rPr>
              <w:t>设备安装、调试结束后，中标人应立即派有经验的工程师对业主单位人员进行操作和日常管理的培训，并确保采购人参与培训的人员能独立、熟练地进行操作。</w:t>
            </w:r>
          </w:p>
          <w:p>
            <w:pPr>
              <w:spacing w:line="400" w:lineRule="exact"/>
              <w:outlineLvl w:val="1"/>
              <w:rPr>
                <w:bCs/>
                <w:color w:val="auto"/>
                <w:szCs w:val="21"/>
              </w:rPr>
            </w:pPr>
            <w:r>
              <w:rPr>
                <w:rFonts w:hint="eastAsia"/>
                <w:bCs/>
                <w:color w:val="auto"/>
                <w:szCs w:val="21"/>
              </w:rPr>
              <w:t>5、</w:t>
            </w:r>
            <w:r>
              <w:rPr>
                <w:bCs/>
                <w:color w:val="auto"/>
                <w:szCs w:val="21"/>
              </w:rPr>
              <w:t>中标人必须有可靠的售后服务保障，当发生故障时，中标人在接到采购单位通知后，4小时内派人赴现场处理设备质量问题。24小时内不能修复的，则无偿提供备机或备用零件供采购单位使用。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vAlign w:val="center"/>
          </w:tcPr>
          <w:p>
            <w:pPr>
              <w:spacing w:line="400" w:lineRule="exact"/>
              <w:jc w:val="center"/>
              <w:outlineLvl w:val="1"/>
              <w:rPr>
                <w:bCs/>
                <w:color w:val="auto"/>
                <w:szCs w:val="21"/>
              </w:rPr>
            </w:pPr>
            <w:r>
              <w:rPr>
                <w:bCs/>
                <w:color w:val="auto"/>
                <w:szCs w:val="21"/>
              </w:rPr>
              <w:t>*质保期</w:t>
            </w:r>
          </w:p>
        </w:tc>
        <w:tc>
          <w:tcPr>
            <w:tcW w:w="6675" w:type="dxa"/>
            <w:vAlign w:val="center"/>
          </w:tcPr>
          <w:p>
            <w:pPr>
              <w:spacing w:line="400" w:lineRule="exact"/>
              <w:outlineLvl w:val="1"/>
              <w:rPr>
                <w:bCs/>
                <w:color w:val="auto"/>
                <w:szCs w:val="21"/>
              </w:rPr>
            </w:pPr>
            <w:r>
              <w:rPr>
                <w:bCs/>
                <w:color w:val="auto"/>
                <w:szCs w:val="21"/>
              </w:rPr>
              <w:t>质保期：质保期不少于3年，时间从采购人验收合格之日起计算。若原厂质保期超过3年的以原厂质保期为准。</w:t>
            </w:r>
          </w:p>
          <w:p>
            <w:pPr>
              <w:spacing w:line="400" w:lineRule="exact"/>
              <w:outlineLvl w:val="1"/>
              <w:rPr>
                <w:bCs/>
                <w:color w:val="auto"/>
                <w:szCs w:val="21"/>
              </w:rPr>
            </w:pPr>
            <w:r>
              <w:rPr>
                <w:bCs/>
                <w:color w:val="auto"/>
                <w:szCs w:val="21"/>
              </w:rPr>
              <w:t>质保期内供应商须免费负责修理和替换任何由于配件自身的质量问题造成的损坏。配件更换后的质保期仍为不少于3年。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vAlign w:val="center"/>
          </w:tcPr>
          <w:p>
            <w:pPr>
              <w:spacing w:line="400" w:lineRule="exact"/>
              <w:jc w:val="center"/>
              <w:outlineLvl w:val="1"/>
              <w:rPr>
                <w:bCs/>
                <w:color w:val="auto"/>
                <w:szCs w:val="21"/>
              </w:rPr>
            </w:pPr>
            <w:r>
              <w:rPr>
                <w:bCs/>
                <w:color w:val="auto"/>
                <w:szCs w:val="21"/>
              </w:rPr>
              <w:t>技术资料</w:t>
            </w:r>
          </w:p>
        </w:tc>
        <w:tc>
          <w:tcPr>
            <w:tcW w:w="6675" w:type="dxa"/>
            <w:vAlign w:val="center"/>
          </w:tcPr>
          <w:p>
            <w:pPr>
              <w:spacing w:line="400" w:lineRule="exact"/>
              <w:outlineLvl w:val="1"/>
              <w:rPr>
                <w:bCs/>
                <w:color w:val="auto"/>
                <w:szCs w:val="21"/>
              </w:rPr>
            </w:pPr>
            <w:r>
              <w:rPr>
                <w:bCs/>
                <w:color w:val="auto"/>
                <w:szCs w:val="21"/>
              </w:rPr>
              <w:t>提供所有设备和材料的技术资料，费用包含在投标报价中。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vAlign w:val="center"/>
          </w:tcPr>
          <w:p>
            <w:pPr>
              <w:spacing w:line="400" w:lineRule="exact"/>
              <w:jc w:val="center"/>
              <w:outlineLvl w:val="1"/>
              <w:rPr>
                <w:bCs/>
                <w:color w:val="auto"/>
                <w:szCs w:val="21"/>
              </w:rPr>
            </w:pPr>
            <w:r>
              <w:rPr>
                <w:bCs/>
                <w:color w:val="auto"/>
                <w:szCs w:val="21"/>
              </w:rPr>
              <w:t>培训</w:t>
            </w:r>
          </w:p>
        </w:tc>
        <w:tc>
          <w:tcPr>
            <w:tcW w:w="6675" w:type="dxa"/>
            <w:vAlign w:val="center"/>
          </w:tcPr>
          <w:p>
            <w:pPr>
              <w:spacing w:line="400" w:lineRule="exact"/>
              <w:outlineLvl w:val="1"/>
              <w:rPr>
                <w:bCs/>
                <w:color w:val="auto"/>
                <w:szCs w:val="21"/>
              </w:rPr>
            </w:pPr>
            <w:r>
              <w:rPr>
                <w:rFonts w:hint="eastAsia"/>
                <w:bCs/>
                <w:color w:val="auto"/>
                <w:szCs w:val="21"/>
              </w:rPr>
              <w:t>1、</w:t>
            </w:r>
            <w:r>
              <w:rPr>
                <w:bCs/>
                <w:color w:val="auto"/>
                <w:szCs w:val="21"/>
              </w:rPr>
              <w:t>中标人有义务对采购人本次采购软件及设备的正常使用和维护提供必要的培训；</w:t>
            </w:r>
          </w:p>
          <w:p>
            <w:pPr>
              <w:spacing w:line="400" w:lineRule="exact"/>
              <w:outlineLvl w:val="1"/>
              <w:rPr>
                <w:bCs/>
                <w:color w:val="auto"/>
                <w:szCs w:val="21"/>
              </w:rPr>
            </w:pPr>
            <w:r>
              <w:rPr>
                <w:rFonts w:hint="eastAsia"/>
                <w:bCs/>
                <w:color w:val="auto"/>
                <w:szCs w:val="21"/>
              </w:rPr>
              <w:t>2、</w:t>
            </w:r>
            <w:r>
              <w:rPr>
                <w:bCs/>
                <w:color w:val="auto"/>
                <w:szCs w:val="21"/>
              </w:rPr>
              <w:t>培训对象包括本系统的全体用户；</w:t>
            </w:r>
          </w:p>
          <w:p>
            <w:pPr>
              <w:spacing w:line="400" w:lineRule="exact"/>
              <w:outlineLvl w:val="1"/>
              <w:rPr>
                <w:bCs/>
                <w:color w:val="auto"/>
                <w:szCs w:val="21"/>
              </w:rPr>
            </w:pPr>
            <w:r>
              <w:rPr>
                <w:rFonts w:hint="eastAsia"/>
                <w:bCs/>
                <w:color w:val="auto"/>
                <w:szCs w:val="21"/>
              </w:rPr>
              <w:t>3、</w:t>
            </w:r>
            <w:r>
              <w:rPr>
                <w:bCs/>
                <w:color w:val="auto"/>
                <w:szCs w:val="21"/>
              </w:rPr>
              <w:t>培训内容包含主要设备和软件的安装、使用、配置管理、性能优化以及相关基本维护知识培训，需针对不同用户对象设计培训课程。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vAlign w:val="center"/>
          </w:tcPr>
          <w:p>
            <w:pPr>
              <w:spacing w:line="400" w:lineRule="exact"/>
              <w:jc w:val="center"/>
              <w:outlineLvl w:val="1"/>
              <w:rPr>
                <w:bCs/>
                <w:color w:val="auto"/>
                <w:szCs w:val="21"/>
              </w:rPr>
            </w:pPr>
            <w:r>
              <w:rPr>
                <w:bCs/>
                <w:color w:val="auto"/>
                <w:szCs w:val="21"/>
              </w:rPr>
              <w:t>合同签订时间</w:t>
            </w:r>
          </w:p>
        </w:tc>
        <w:tc>
          <w:tcPr>
            <w:tcW w:w="6675" w:type="dxa"/>
            <w:vAlign w:val="center"/>
          </w:tcPr>
          <w:p>
            <w:pPr>
              <w:spacing w:line="400" w:lineRule="exact"/>
              <w:outlineLvl w:val="1"/>
              <w:rPr>
                <w:bCs/>
                <w:color w:val="auto"/>
                <w:szCs w:val="21"/>
              </w:rPr>
            </w:pPr>
            <w:r>
              <w:rPr>
                <w:bCs/>
                <w:color w:val="auto"/>
                <w:szCs w:val="21"/>
              </w:rPr>
              <w:t>中标通知书发出之日起30天内签订合同。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vAlign w:val="center"/>
          </w:tcPr>
          <w:p>
            <w:pPr>
              <w:spacing w:line="400" w:lineRule="exact"/>
              <w:jc w:val="center"/>
              <w:outlineLvl w:val="1"/>
              <w:rPr>
                <w:bCs/>
                <w:color w:val="auto"/>
                <w:szCs w:val="21"/>
              </w:rPr>
            </w:pPr>
            <w:r>
              <w:rPr>
                <w:bCs/>
                <w:color w:val="auto"/>
                <w:szCs w:val="21"/>
              </w:rPr>
              <w:t>其他要求</w:t>
            </w:r>
          </w:p>
        </w:tc>
        <w:tc>
          <w:tcPr>
            <w:tcW w:w="6675" w:type="dxa"/>
            <w:vAlign w:val="center"/>
          </w:tcPr>
          <w:p>
            <w:pPr>
              <w:spacing w:line="400" w:lineRule="exact"/>
              <w:outlineLvl w:val="1"/>
              <w:rPr>
                <w:bCs/>
                <w:color w:val="auto"/>
                <w:szCs w:val="21"/>
              </w:rPr>
            </w:pPr>
            <w:r>
              <w:rPr>
                <w:bCs/>
                <w:color w:val="auto"/>
                <w:szCs w:val="21"/>
              </w:rPr>
              <w:t>详见第五章政府采购合同主要条款。</w:t>
            </w:r>
          </w:p>
        </w:tc>
      </w:tr>
    </w:tbl>
    <w:p>
      <w:pPr>
        <w:spacing w:line="360" w:lineRule="auto"/>
        <w:jc w:val="left"/>
        <w:outlineLvl w:val="1"/>
        <w:rPr>
          <w:b/>
          <w:color w:val="auto"/>
          <w:szCs w:val="21"/>
        </w:rPr>
      </w:pPr>
      <w:r>
        <w:rPr>
          <w:color w:val="auto"/>
          <w:szCs w:val="21"/>
        </w:rPr>
        <w:br w:type="page"/>
      </w:r>
      <w:bookmarkStart w:id="97" w:name="_Toc17012"/>
      <w:bookmarkStart w:id="98" w:name="_Toc32703"/>
      <w:r>
        <w:rPr>
          <w:color w:val="auto"/>
          <w:szCs w:val="21"/>
        </w:rPr>
        <w:t>二、</w:t>
      </w:r>
      <w:r>
        <w:rPr>
          <w:b/>
          <w:bCs/>
          <w:color w:val="auto"/>
          <w:szCs w:val="21"/>
        </w:rPr>
        <w:t>详细采购需求</w:t>
      </w:r>
      <w:bookmarkEnd w:id="7"/>
      <w:bookmarkEnd w:id="97"/>
      <w:bookmarkEnd w:id="98"/>
      <w:bookmarkStart w:id="99" w:name="_Toc23436"/>
      <w:bookmarkStart w:id="100" w:name="_Toc21022_WPSOffice_Level1"/>
      <w:bookmarkStart w:id="101" w:name="_Toc6718"/>
    </w:p>
    <w:p>
      <w:pPr>
        <w:pStyle w:val="5"/>
        <w:spacing w:line="360" w:lineRule="auto"/>
        <w:rPr>
          <w:rFonts w:ascii="宋体" w:hAnsi="宋体"/>
          <w:color w:val="auto"/>
          <w:sz w:val="21"/>
          <w:szCs w:val="21"/>
        </w:rPr>
      </w:pPr>
      <w:r>
        <w:rPr>
          <w:rFonts w:hint="eastAsia" w:ascii="宋体" w:hAnsi="宋体"/>
          <w:color w:val="auto"/>
          <w:sz w:val="21"/>
          <w:szCs w:val="21"/>
        </w:rPr>
        <w:t>（一）项目概况</w:t>
      </w:r>
    </w:p>
    <w:p>
      <w:pPr>
        <w:pStyle w:val="7"/>
        <w:numPr>
          <w:ilvl w:val="2"/>
          <w:numId w:val="0"/>
        </w:numPr>
        <w:spacing w:line="360" w:lineRule="auto"/>
        <w:rPr>
          <w:rFonts w:ascii="宋体" w:hAnsi="宋体" w:eastAsia="宋体"/>
          <w:color w:val="auto"/>
          <w:sz w:val="21"/>
          <w:szCs w:val="21"/>
        </w:rPr>
      </w:pPr>
      <w:r>
        <w:rPr>
          <w:rFonts w:ascii="宋体" w:hAnsi="宋体" w:eastAsia="宋体"/>
          <w:color w:val="auto"/>
          <w:sz w:val="21"/>
          <w:szCs w:val="21"/>
        </w:rPr>
        <w:t>1</w:t>
      </w:r>
      <w:r>
        <w:rPr>
          <w:rFonts w:hint="eastAsia" w:ascii="宋体" w:hAnsi="宋体" w:eastAsia="宋体"/>
          <w:color w:val="auto"/>
          <w:sz w:val="21"/>
          <w:szCs w:val="21"/>
        </w:rPr>
        <w:t>、项目背景</w:t>
      </w:r>
    </w:p>
    <w:p>
      <w:pPr>
        <w:spacing w:line="360" w:lineRule="auto"/>
        <w:ind w:firstLine="420" w:firstLineChars="200"/>
        <w:rPr>
          <w:rFonts w:ascii="宋体" w:hAnsi="宋体"/>
          <w:color w:val="auto"/>
          <w:szCs w:val="21"/>
        </w:rPr>
      </w:pPr>
      <w:r>
        <w:rPr>
          <w:rFonts w:hint="eastAsia" w:ascii="宋体" w:hAnsi="宋体"/>
          <w:color w:val="auto"/>
          <w:szCs w:val="21"/>
        </w:rPr>
        <w:t>中共中央办公厅、国务院办公厅印发《关于加强社会治安防控体系建设的意见》（中办发[2014]69号），提出网格化管理和社会化服务，在做好治安防控的同时服务好人民群众。2021年，浙江省公安厅下达《中共浙江省委政法委员会 浙江省公安厅 浙江省住房和城乡建设厅关于加快推进全省“智安小区”建设的指导意见》，要求到2035年，全省“智安小区”全面建成，可防性案件持续下降，“刑事零发案”小区达到50%以上，人民群众获得感、幸福感和安全感持续增强，基层基础建设得到有力支撑，预警预测预防各类风险的能力提升，真正实现预防为主、防控优先的智慧安防目标。</w:t>
      </w:r>
    </w:p>
    <w:p>
      <w:pPr>
        <w:spacing w:line="360" w:lineRule="auto"/>
        <w:ind w:firstLine="420" w:firstLineChars="200"/>
        <w:rPr>
          <w:rFonts w:ascii="宋体" w:hAnsi="宋体"/>
          <w:color w:val="auto"/>
          <w:szCs w:val="21"/>
        </w:rPr>
      </w:pPr>
      <w:r>
        <w:rPr>
          <w:rFonts w:hint="eastAsia" w:ascii="宋体" w:hAnsi="宋体"/>
          <w:color w:val="auto"/>
          <w:szCs w:val="21"/>
        </w:rPr>
        <w:t>为贯彻落实国家、浙江省及宁波市相关文件精神，切实提升全市小区安全防范能力，提高居民安全感、获得感以及幸福感，余姚市将"智安小区"建设作为平安余姚的"基础工程"以及满足人民群众新期待的"民生工程"来抓，同步印发了《余姚市“智安小区”建设实施方案》，提出到2023年6月底前，基本实现全市居民住宅小区智慧安防建设全覆盖。</w:t>
      </w:r>
    </w:p>
    <w:p>
      <w:pPr>
        <w:pStyle w:val="7"/>
        <w:numPr>
          <w:ilvl w:val="2"/>
          <w:numId w:val="0"/>
        </w:numPr>
        <w:spacing w:line="360" w:lineRule="auto"/>
        <w:rPr>
          <w:rFonts w:ascii="宋体" w:hAnsi="宋体" w:eastAsia="宋体"/>
          <w:color w:val="auto"/>
          <w:sz w:val="21"/>
          <w:szCs w:val="21"/>
        </w:rPr>
      </w:pPr>
      <w:r>
        <w:rPr>
          <w:rFonts w:ascii="宋体" w:hAnsi="宋体" w:eastAsia="宋体"/>
          <w:color w:val="auto"/>
          <w:sz w:val="21"/>
          <w:szCs w:val="21"/>
        </w:rPr>
        <w:t>2</w:t>
      </w:r>
      <w:r>
        <w:rPr>
          <w:rFonts w:hint="eastAsia" w:ascii="宋体" w:hAnsi="宋体" w:eastAsia="宋体"/>
          <w:color w:val="auto"/>
          <w:sz w:val="21"/>
          <w:szCs w:val="21"/>
        </w:rPr>
        <w:t>、建设目标</w:t>
      </w:r>
    </w:p>
    <w:p>
      <w:pPr>
        <w:pStyle w:val="180"/>
        <w:ind w:firstLine="420"/>
        <w:rPr>
          <w:rFonts w:ascii="宋体" w:hAnsi="宋体"/>
          <w:b/>
          <w:color w:val="auto"/>
          <w:sz w:val="21"/>
          <w:szCs w:val="21"/>
        </w:rPr>
      </w:pPr>
      <w:r>
        <w:rPr>
          <w:rFonts w:hint="eastAsia" w:ascii="宋体" w:hAnsi="宋体"/>
          <w:color w:val="auto"/>
          <w:sz w:val="21"/>
          <w:szCs w:val="21"/>
        </w:rPr>
        <w:t>本项目通过建设智安小区，提高余姚市社会安全治理水平，从而提高城市的综合管理能力，是构建和谐社会和平安社会的重要组成部分。根据各小区实际情况选择“基本型”、“通用型”、“优选型”三种模式开展建设，至今年底前全市所有小区建设覆盖率达</w:t>
      </w:r>
      <w:r>
        <w:rPr>
          <w:rFonts w:ascii="宋体" w:hAnsi="宋体"/>
          <w:color w:val="auto"/>
          <w:sz w:val="21"/>
          <w:szCs w:val="21"/>
        </w:rPr>
        <w:t>7</w:t>
      </w:r>
      <w:r>
        <w:rPr>
          <w:rFonts w:hint="eastAsia" w:ascii="宋体" w:hAnsi="宋体"/>
          <w:color w:val="auto"/>
          <w:sz w:val="21"/>
          <w:szCs w:val="21"/>
        </w:rPr>
        <w:t>0%以上，2023年6月底前要基本实现全市居民住宅小区智慧安防建设全覆盖。通过推进智安小区建设，进一步提高基础设施的集约化和智能化水平，促进和扩大政务信息共享范围，增强行政运行效能，促进社区治理体系的现代化；实现基层减负，提升社区服务和管理能力；保障基础公共服务均等化，以高质量的公共服务满足人民群众对美好生活的需求，增强人民群众的安全感、获得感、幸福感。</w:t>
      </w:r>
    </w:p>
    <w:p>
      <w:pPr>
        <w:pStyle w:val="7"/>
        <w:numPr>
          <w:ilvl w:val="2"/>
          <w:numId w:val="0"/>
        </w:numPr>
        <w:spacing w:line="360" w:lineRule="auto"/>
        <w:rPr>
          <w:rFonts w:ascii="宋体" w:hAnsi="宋体" w:eastAsia="宋体"/>
          <w:color w:val="auto"/>
          <w:sz w:val="21"/>
          <w:szCs w:val="21"/>
        </w:rPr>
      </w:pPr>
      <w:r>
        <w:rPr>
          <w:rFonts w:ascii="宋体" w:hAnsi="宋体" w:eastAsia="宋体"/>
          <w:color w:val="auto"/>
          <w:sz w:val="21"/>
          <w:szCs w:val="21"/>
        </w:rPr>
        <w:t>3</w:t>
      </w:r>
      <w:r>
        <w:rPr>
          <w:rFonts w:hint="eastAsia" w:ascii="宋体" w:hAnsi="宋体" w:eastAsia="宋体"/>
          <w:color w:val="auto"/>
          <w:sz w:val="21"/>
          <w:szCs w:val="21"/>
        </w:rPr>
        <w:t>、建设规模</w:t>
      </w:r>
    </w:p>
    <w:p>
      <w:pPr>
        <w:pStyle w:val="180"/>
        <w:numPr>
          <w:ilvl w:val="2"/>
          <w:numId w:val="0"/>
        </w:numPr>
        <w:ind w:firstLine="420"/>
        <w:rPr>
          <w:rFonts w:ascii="宋体" w:hAnsi="宋体"/>
          <w:color w:val="auto"/>
          <w:sz w:val="21"/>
          <w:szCs w:val="21"/>
        </w:rPr>
      </w:pPr>
      <w:r>
        <w:rPr>
          <w:rFonts w:hint="eastAsia" w:ascii="宋体" w:hAnsi="宋体"/>
          <w:color w:val="auto"/>
          <w:sz w:val="21"/>
          <w:szCs w:val="21"/>
        </w:rPr>
        <w:t>本期项目建设主要包括小区侧前端点位感知及安防设施、传输网络、网络安全、视频存储、平台应用和相关配套工程建设。项目涵盖 18 个乡镇街道 407 个小区，建设先进型小区 60 个，通用型小区 205 个，基础型小区 142 个。</w:t>
      </w:r>
    </w:p>
    <w:p>
      <w:pPr>
        <w:pStyle w:val="180"/>
        <w:numPr>
          <w:ilvl w:val="2"/>
          <w:numId w:val="0"/>
        </w:numPr>
        <w:ind w:firstLine="420"/>
        <w:rPr>
          <w:rFonts w:ascii="宋体" w:hAnsi="宋体"/>
          <w:color w:val="auto"/>
          <w:sz w:val="21"/>
          <w:szCs w:val="21"/>
        </w:rPr>
      </w:pPr>
    </w:p>
    <w:p>
      <w:pPr>
        <w:pStyle w:val="7"/>
        <w:numPr>
          <w:ilvl w:val="2"/>
          <w:numId w:val="0"/>
        </w:numPr>
        <w:spacing w:line="360" w:lineRule="auto"/>
        <w:rPr>
          <w:rFonts w:ascii="宋体" w:hAnsi="宋体" w:eastAsia="宋体"/>
          <w:color w:val="auto"/>
          <w:sz w:val="21"/>
          <w:szCs w:val="21"/>
        </w:rPr>
      </w:pPr>
      <w:r>
        <w:rPr>
          <w:rFonts w:hint="eastAsia" w:ascii="宋体" w:hAnsi="宋体" w:eastAsia="宋体"/>
          <w:color w:val="auto"/>
          <w:sz w:val="21"/>
          <w:szCs w:val="21"/>
        </w:rPr>
        <w:t>4、建设期和资金来源</w:t>
      </w:r>
    </w:p>
    <w:p>
      <w:pPr>
        <w:pStyle w:val="180"/>
        <w:numPr>
          <w:ilvl w:val="2"/>
          <w:numId w:val="0"/>
        </w:numPr>
        <w:ind w:firstLine="420"/>
        <w:rPr>
          <w:rFonts w:ascii="宋体" w:hAnsi="宋体"/>
          <w:color w:val="auto"/>
          <w:sz w:val="21"/>
          <w:szCs w:val="21"/>
        </w:rPr>
      </w:pPr>
      <w:r>
        <w:rPr>
          <w:rFonts w:hint="eastAsia" w:ascii="宋体" w:hAnsi="宋体"/>
          <w:color w:val="auto"/>
          <w:sz w:val="21"/>
          <w:szCs w:val="21"/>
        </w:rPr>
        <w:t>本项目计划于2</w:t>
      </w:r>
      <w:r>
        <w:rPr>
          <w:rFonts w:ascii="宋体" w:hAnsi="宋体"/>
          <w:color w:val="auto"/>
          <w:sz w:val="21"/>
          <w:szCs w:val="21"/>
        </w:rPr>
        <w:t>023</w:t>
      </w:r>
      <w:r>
        <w:rPr>
          <w:rFonts w:hint="eastAsia" w:ascii="宋体" w:hAnsi="宋体"/>
          <w:color w:val="auto"/>
          <w:sz w:val="21"/>
          <w:szCs w:val="21"/>
        </w:rPr>
        <w:t>年</w:t>
      </w:r>
      <w:r>
        <w:rPr>
          <w:rFonts w:ascii="宋体" w:hAnsi="宋体"/>
          <w:color w:val="auto"/>
          <w:sz w:val="21"/>
          <w:szCs w:val="21"/>
        </w:rPr>
        <w:t>3</w:t>
      </w:r>
      <w:r>
        <w:rPr>
          <w:rFonts w:hint="eastAsia" w:ascii="宋体" w:hAnsi="宋体"/>
          <w:color w:val="auto"/>
          <w:sz w:val="21"/>
          <w:szCs w:val="21"/>
        </w:rPr>
        <w:t>月开始建设，2</w:t>
      </w:r>
      <w:r>
        <w:rPr>
          <w:rFonts w:ascii="宋体" w:hAnsi="宋体"/>
          <w:color w:val="auto"/>
          <w:sz w:val="21"/>
          <w:szCs w:val="21"/>
        </w:rPr>
        <w:t>023</w:t>
      </w:r>
      <w:r>
        <w:rPr>
          <w:rFonts w:hint="eastAsia" w:ascii="宋体" w:hAnsi="宋体"/>
          <w:color w:val="auto"/>
          <w:sz w:val="21"/>
          <w:szCs w:val="21"/>
        </w:rPr>
        <w:t>年</w:t>
      </w:r>
      <w:r>
        <w:rPr>
          <w:rFonts w:ascii="宋体" w:hAnsi="宋体"/>
          <w:color w:val="auto"/>
          <w:sz w:val="21"/>
          <w:szCs w:val="21"/>
        </w:rPr>
        <w:t>8</w:t>
      </w:r>
      <w:r>
        <w:rPr>
          <w:rFonts w:hint="eastAsia" w:ascii="宋体" w:hAnsi="宋体"/>
          <w:color w:val="auto"/>
          <w:sz w:val="21"/>
          <w:szCs w:val="21"/>
        </w:rPr>
        <w:t>月份完成初验进入试运行，试运行三个月后于</w:t>
      </w:r>
      <w:r>
        <w:rPr>
          <w:rFonts w:ascii="宋体" w:hAnsi="宋体"/>
          <w:color w:val="auto"/>
          <w:sz w:val="21"/>
          <w:szCs w:val="21"/>
        </w:rPr>
        <w:t>11</w:t>
      </w:r>
      <w:r>
        <w:rPr>
          <w:rFonts w:hint="eastAsia" w:ascii="宋体" w:hAnsi="宋体"/>
          <w:color w:val="auto"/>
          <w:sz w:val="21"/>
          <w:szCs w:val="21"/>
        </w:rPr>
        <w:t>月底完成项目竣工验收。余姚市智安小区建设项目总投资预算为47839000元，项目建设资金来源为余姚舜智投资发展有限公司自有资金。</w:t>
      </w:r>
    </w:p>
    <w:p>
      <w:pPr>
        <w:pStyle w:val="7"/>
        <w:numPr>
          <w:ilvl w:val="2"/>
          <w:numId w:val="0"/>
        </w:numPr>
        <w:spacing w:line="360" w:lineRule="auto"/>
        <w:rPr>
          <w:rFonts w:ascii="宋体" w:hAnsi="宋体" w:eastAsia="宋体"/>
          <w:color w:val="auto"/>
          <w:sz w:val="21"/>
          <w:szCs w:val="21"/>
        </w:rPr>
      </w:pPr>
      <w:r>
        <w:rPr>
          <w:rFonts w:ascii="宋体" w:hAnsi="宋体" w:eastAsia="宋体"/>
          <w:color w:val="auto"/>
          <w:sz w:val="21"/>
          <w:szCs w:val="21"/>
        </w:rPr>
        <w:t>5</w:t>
      </w:r>
      <w:r>
        <w:rPr>
          <w:rFonts w:hint="eastAsia" w:ascii="宋体" w:hAnsi="宋体" w:eastAsia="宋体"/>
          <w:color w:val="auto"/>
          <w:sz w:val="21"/>
          <w:szCs w:val="21"/>
        </w:rPr>
        <w:t>、建设依据</w:t>
      </w:r>
    </w:p>
    <w:p>
      <w:pPr>
        <w:pStyle w:val="180"/>
        <w:ind w:firstLine="422"/>
        <w:rPr>
          <w:rFonts w:ascii="宋体" w:hAnsi="宋体"/>
          <w:b/>
          <w:color w:val="auto"/>
          <w:sz w:val="21"/>
          <w:szCs w:val="21"/>
        </w:rPr>
      </w:pPr>
      <w:r>
        <w:rPr>
          <w:rFonts w:hint="eastAsia" w:ascii="宋体" w:hAnsi="宋体"/>
          <w:b/>
          <w:color w:val="auto"/>
          <w:sz w:val="21"/>
          <w:szCs w:val="21"/>
        </w:rPr>
        <w:t>（1）国家/部委文件</w:t>
      </w:r>
    </w:p>
    <w:p>
      <w:pPr>
        <w:pStyle w:val="180"/>
        <w:numPr>
          <w:ilvl w:val="0"/>
          <w:numId w:val="5"/>
        </w:numPr>
        <w:ind w:firstLineChars="0"/>
        <w:rPr>
          <w:rFonts w:ascii="宋体" w:hAnsi="宋体"/>
          <w:color w:val="auto"/>
          <w:sz w:val="21"/>
          <w:szCs w:val="21"/>
        </w:rPr>
      </w:pPr>
      <w:r>
        <w:rPr>
          <w:rFonts w:ascii="宋体" w:hAnsi="宋体"/>
          <w:color w:val="auto"/>
          <w:sz w:val="21"/>
          <w:szCs w:val="21"/>
        </w:rPr>
        <w:t>《关于加强基层治理体系和治理能力现代化建设的意见》</w:t>
      </w:r>
      <w:r>
        <w:rPr>
          <w:rFonts w:hint="eastAsia" w:ascii="宋体" w:hAnsi="宋体"/>
          <w:color w:val="auto"/>
          <w:sz w:val="21"/>
          <w:szCs w:val="21"/>
        </w:rPr>
        <w:t>（中发〔2021〕16号）</w:t>
      </w:r>
    </w:p>
    <w:p>
      <w:pPr>
        <w:pStyle w:val="180"/>
        <w:numPr>
          <w:ilvl w:val="0"/>
          <w:numId w:val="5"/>
        </w:numPr>
        <w:ind w:firstLineChars="0"/>
        <w:rPr>
          <w:rFonts w:ascii="宋体" w:hAnsi="宋体"/>
          <w:color w:val="auto"/>
          <w:sz w:val="21"/>
          <w:szCs w:val="21"/>
        </w:rPr>
      </w:pPr>
      <w:r>
        <w:rPr>
          <w:rFonts w:ascii="宋体" w:hAnsi="宋体"/>
          <w:color w:val="auto"/>
          <w:sz w:val="21"/>
          <w:szCs w:val="21"/>
        </w:rPr>
        <w:t>《国务院办公厅关于建立健全政务数据共享协调机制加快推进数据有序共享的意见》（国办发</w:t>
      </w:r>
      <w:r>
        <w:rPr>
          <w:rFonts w:hint="eastAsia" w:ascii="宋体" w:hAnsi="宋体"/>
          <w:color w:val="auto"/>
          <w:sz w:val="21"/>
          <w:szCs w:val="21"/>
        </w:rPr>
        <w:t>〔</w:t>
      </w:r>
      <w:r>
        <w:rPr>
          <w:rFonts w:ascii="宋体" w:hAnsi="宋体"/>
          <w:color w:val="auto"/>
          <w:sz w:val="21"/>
          <w:szCs w:val="21"/>
        </w:rPr>
        <w:t>2021</w:t>
      </w:r>
      <w:r>
        <w:rPr>
          <w:rFonts w:hint="eastAsia" w:ascii="宋体" w:hAnsi="宋体"/>
          <w:color w:val="auto"/>
          <w:sz w:val="21"/>
          <w:szCs w:val="21"/>
        </w:rPr>
        <w:t>〕</w:t>
      </w:r>
      <w:r>
        <w:rPr>
          <w:rFonts w:ascii="宋体" w:hAnsi="宋体"/>
          <w:color w:val="auto"/>
          <w:sz w:val="21"/>
          <w:szCs w:val="21"/>
        </w:rPr>
        <w:t>6号）</w:t>
      </w:r>
    </w:p>
    <w:p>
      <w:pPr>
        <w:pStyle w:val="180"/>
        <w:numPr>
          <w:ilvl w:val="0"/>
          <w:numId w:val="5"/>
        </w:numPr>
        <w:ind w:firstLineChars="0"/>
        <w:rPr>
          <w:rFonts w:ascii="宋体" w:hAnsi="宋体"/>
          <w:color w:val="auto"/>
          <w:sz w:val="21"/>
          <w:szCs w:val="21"/>
        </w:rPr>
      </w:pPr>
      <w:r>
        <w:rPr>
          <w:rFonts w:ascii="宋体" w:hAnsi="宋体"/>
          <w:color w:val="auto"/>
          <w:sz w:val="21"/>
          <w:szCs w:val="21"/>
        </w:rPr>
        <w:t>《中华人民共和国国民经济和社会发展第十四个五年规划和2035年远景目标纲要》</w:t>
      </w:r>
    </w:p>
    <w:p>
      <w:pPr>
        <w:pStyle w:val="180"/>
        <w:numPr>
          <w:ilvl w:val="0"/>
          <w:numId w:val="5"/>
        </w:numPr>
        <w:ind w:firstLineChars="0"/>
        <w:rPr>
          <w:rFonts w:ascii="宋体" w:hAnsi="宋体"/>
          <w:color w:val="auto"/>
          <w:sz w:val="21"/>
          <w:szCs w:val="21"/>
        </w:rPr>
      </w:pPr>
      <w:r>
        <w:rPr>
          <w:rFonts w:ascii="宋体" w:hAnsi="宋体"/>
          <w:color w:val="auto"/>
          <w:sz w:val="21"/>
          <w:szCs w:val="21"/>
        </w:rPr>
        <w:t>《全国公安机关社会治安防控体系建设指南（试行）》</w:t>
      </w:r>
      <w:r>
        <w:rPr>
          <w:rFonts w:hint="eastAsia" w:ascii="宋体" w:hAnsi="宋体"/>
          <w:color w:val="auto"/>
          <w:sz w:val="21"/>
          <w:szCs w:val="21"/>
        </w:rPr>
        <w:t>（公治安</w:t>
      </w:r>
      <w:r>
        <w:rPr>
          <w:rFonts w:ascii="宋体" w:hAnsi="宋体"/>
          <w:color w:val="auto"/>
          <w:sz w:val="21"/>
          <w:szCs w:val="21"/>
        </w:rPr>
        <w:t>〔</w:t>
      </w:r>
      <w:r>
        <w:rPr>
          <w:rFonts w:hint="eastAsia" w:ascii="宋体" w:hAnsi="宋体"/>
          <w:color w:val="auto"/>
          <w:sz w:val="21"/>
          <w:szCs w:val="21"/>
        </w:rPr>
        <w:t>2019</w:t>
      </w:r>
      <w:r>
        <w:rPr>
          <w:rFonts w:ascii="宋体" w:hAnsi="宋体"/>
          <w:color w:val="auto"/>
          <w:sz w:val="21"/>
          <w:szCs w:val="21"/>
        </w:rPr>
        <w:t>〕</w:t>
      </w:r>
      <w:r>
        <w:rPr>
          <w:rFonts w:hint="eastAsia" w:ascii="宋体" w:hAnsi="宋体"/>
          <w:color w:val="auto"/>
          <w:sz w:val="21"/>
          <w:szCs w:val="21"/>
        </w:rPr>
        <w:t>963号）</w:t>
      </w:r>
    </w:p>
    <w:p>
      <w:pPr>
        <w:pStyle w:val="180"/>
        <w:numPr>
          <w:ilvl w:val="0"/>
          <w:numId w:val="5"/>
        </w:numPr>
        <w:ind w:firstLineChars="0"/>
        <w:rPr>
          <w:rFonts w:ascii="宋体" w:hAnsi="宋体"/>
          <w:color w:val="auto"/>
          <w:sz w:val="21"/>
          <w:szCs w:val="21"/>
        </w:rPr>
      </w:pPr>
      <w:r>
        <w:rPr>
          <w:rFonts w:ascii="宋体" w:hAnsi="宋体"/>
          <w:color w:val="auto"/>
          <w:sz w:val="21"/>
          <w:szCs w:val="21"/>
        </w:rPr>
        <w:t>《全国公安机关加快社会治安防控体系建设行动计划》（公通字〔2019〕14号）</w:t>
      </w:r>
    </w:p>
    <w:p>
      <w:pPr>
        <w:pStyle w:val="180"/>
        <w:numPr>
          <w:ilvl w:val="0"/>
          <w:numId w:val="5"/>
        </w:numPr>
        <w:ind w:firstLineChars="0"/>
        <w:rPr>
          <w:rFonts w:ascii="宋体" w:hAnsi="宋体"/>
          <w:color w:val="auto"/>
          <w:sz w:val="21"/>
          <w:szCs w:val="21"/>
        </w:rPr>
      </w:pPr>
      <w:r>
        <w:rPr>
          <w:rFonts w:ascii="宋体" w:hAnsi="宋体"/>
          <w:color w:val="auto"/>
          <w:sz w:val="21"/>
          <w:szCs w:val="21"/>
        </w:rPr>
        <w:t>《中华人民共和国网络安全法》（</w:t>
      </w:r>
      <w:r>
        <w:rPr>
          <w:rFonts w:hint="eastAsia" w:ascii="宋体" w:hAnsi="宋体"/>
          <w:color w:val="auto"/>
          <w:sz w:val="21"/>
          <w:szCs w:val="21"/>
        </w:rPr>
        <w:t>中华人民共和国主席令〔</w:t>
      </w:r>
      <w:r>
        <w:rPr>
          <w:rFonts w:ascii="宋体" w:hAnsi="宋体"/>
          <w:color w:val="auto"/>
          <w:sz w:val="21"/>
          <w:szCs w:val="21"/>
        </w:rPr>
        <w:t>2017</w:t>
      </w:r>
      <w:r>
        <w:rPr>
          <w:rFonts w:hint="eastAsia" w:ascii="宋体" w:hAnsi="宋体"/>
          <w:color w:val="auto"/>
          <w:sz w:val="21"/>
          <w:szCs w:val="21"/>
        </w:rPr>
        <w:t>〕5</w:t>
      </w:r>
      <w:r>
        <w:rPr>
          <w:rFonts w:ascii="宋体" w:hAnsi="宋体"/>
          <w:color w:val="auto"/>
          <w:sz w:val="21"/>
          <w:szCs w:val="21"/>
        </w:rPr>
        <w:t>3</w:t>
      </w:r>
      <w:r>
        <w:rPr>
          <w:rFonts w:hint="eastAsia" w:ascii="宋体" w:hAnsi="宋体"/>
          <w:color w:val="auto"/>
          <w:sz w:val="21"/>
          <w:szCs w:val="21"/>
        </w:rPr>
        <w:t>号</w:t>
      </w:r>
      <w:r>
        <w:rPr>
          <w:rFonts w:ascii="宋体" w:hAnsi="宋体"/>
          <w:color w:val="auto"/>
          <w:sz w:val="21"/>
          <w:szCs w:val="21"/>
        </w:rPr>
        <w:t>）</w:t>
      </w:r>
    </w:p>
    <w:p>
      <w:pPr>
        <w:pStyle w:val="180"/>
        <w:numPr>
          <w:ilvl w:val="0"/>
          <w:numId w:val="5"/>
        </w:numPr>
        <w:ind w:firstLineChars="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中共中央国务院</w:t>
      </w:r>
      <w:r>
        <w:rPr>
          <w:rFonts w:ascii="宋体" w:hAnsi="宋体"/>
          <w:color w:val="auto"/>
          <w:sz w:val="21"/>
          <w:szCs w:val="21"/>
        </w:rPr>
        <w:t>关于加强和完善城乡小区治理的意见》</w:t>
      </w:r>
      <w:r>
        <w:rPr>
          <w:rFonts w:hint="eastAsia" w:ascii="宋体" w:hAnsi="宋体"/>
          <w:color w:val="auto"/>
          <w:sz w:val="21"/>
          <w:szCs w:val="21"/>
        </w:rPr>
        <w:t>（中发</w:t>
      </w:r>
      <w:r>
        <w:rPr>
          <w:rFonts w:ascii="宋体" w:hAnsi="宋体"/>
          <w:color w:val="auto"/>
          <w:sz w:val="21"/>
          <w:szCs w:val="21"/>
        </w:rPr>
        <w:t>〔2017〕</w:t>
      </w:r>
      <w:r>
        <w:rPr>
          <w:rFonts w:hint="eastAsia" w:ascii="宋体" w:hAnsi="宋体"/>
          <w:color w:val="auto"/>
          <w:sz w:val="21"/>
          <w:szCs w:val="21"/>
        </w:rPr>
        <w:t>13号）</w:t>
      </w:r>
    </w:p>
    <w:p>
      <w:pPr>
        <w:pStyle w:val="180"/>
        <w:numPr>
          <w:ilvl w:val="0"/>
          <w:numId w:val="5"/>
        </w:numPr>
        <w:ind w:firstLineChars="0"/>
        <w:rPr>
          <w:rFonts w:ascii="宋体" w:hAnsi="宋体"/>
          <w:color w:val="auto"/>
          <w:sz w:val="21"/>
          <w:szCs w:val="21"/>
        </w:rPr>
      </w:pPr>
      <w:r>
        <w:rPr>
          <w:rFonts w:ascii="宋体" w:hAnsi="宋体"/>
          <w:color w:val="auto"/>
          <w:sz w:val="21"/>
          <w:szCs w:val="21"/>
        </w:rPr>
        <w:t>《关于加强公共安全视频监控建设联网应用工作的若干意见》（发改高技〔2015〕996号）</w:t>
      </w:r>
    </w:p>
    <w:p>
      <w:pPr>
        <w:pStyle w:val="180"/>
        <w:ind w:firstLine="422"/>
        <w:rPr>
          <w:rFonts w:ascii="宋体" w:hAnsi="宋体"/>
          <w:b/>
          <w:color w:val="auto"/>
          <w:sz w:val="21"/>
          <w:szCs w:val="21"/>
        </w:rPr>
      </w:pPr>
      <w:r>
        <w:rPr>
          <w:rFonts w:hint="eastAsia" w:ascii="宋体" w:hAnsi="宋体"/>
          <w:b/>
          <w:color w:val="auto"/>
          <w:sz w:val="21"/>
          <w:szCs w:val="21"/>
        </w:rPr>
        <w:t>（2）浙江省/省厅文件</w:t>
      </w:r>
    </w:p>
    <w:p>
      <w:pPr>
        <w:pStyle w:val="180"/>
        <w:numPr>
          <w:ilvl w:val="0"/>
          <w:numId w:val="5"/>
        </w:numPr>
        <w:ind w:firstLineChars="0"/>
        <w:rPr>
          <w:rFonts w:ascii="宋体" w:hAnsi="宋体"/>
          <w:color w:val="auto"/>
          <w:sz w:val="21"/>
          <w:szCs w:val="21"/>
        </w:rPr>
      </w:pPr>
      <w:r>
        <w:rPr>
          <w:rFonts w:hint="eastAsia" w:ascii="宋体" w:hAnsi="宋体"/>
          <w:color w:val="auto"/>
          <w:sz w:val="21"/>
          <w:szCs w:val="21"/>
        </w:rPr>
        <w:t>《关于加强推进全省“智安小区”建设的指导意见》（浙公通字〔2021〕49号）</w:t>
      </w:r>
    </w:p>
    <w:p>
      <w:pPr>
        <w:pStyle w:val="180"/>
        <w:numPr>
          <w:ilvl w:val="0"/>
          <w:numId w:val="5"/>
        </w:numPr>
        <w:ind w:firstLineChars="0"/>
        <w:rPr>
          <w:rFonts w:ascii="宋体" w:hAnsi="宋体"/>
          <w:color w:val="auto"/>
          <w:sz w:val="21"/>
          <w:szCs w:val="21"/>
        </w:rPr>
      </w:pPr>
      <w:r>
        <w:rPr>
          <w:rFonts w:hint="eastAsia" w:ascii="宋体" w:hAnsi="宋体"/>
          <w:color w:val="auto"/>
          <w:sz w:val="21"/>
          <w:szCs w:val="21"/>
        </w:rPr>
        <w:t>《浙江省国民经济和社会发展第十四个五年规划和二〇三五年远景目标纲要》</w:t>
      </w:r>
    </w:p>
    <w:p>
      <w:pPr>
        <w:pStyle w:val="180"/>
        <w:numPr>
          <w:ilvl w:val="0"/>
          <w:numId w:val="5"/>
        </w:numPr>
        <w:ind w:firstLineChars="0"/>
        <w:rPr>
          <w:rFonts w:ascii="宋体" w:hAnsi="宋体"/>
          <w:color w:val="auto"/>
          <w:sz w:val="21"/>
          <w:szCs w:val="21"/>
        </w:rPr>
      </w:pPr>
      <w:r>
        <w:rPr>
          <w:rFonts w:hint="eastAsia" w:ascii="宋体" w:hAnsi="宋体"/>
          <w:color w:val="auto"/>
          <w:sz w:val="21"/>
          <w:szCs w:val="21"/>
        </w:rPr>
        <w:t>中共浙江省委全面深化改革委员会关于印发《浙江省数字化改革总体方案》的通知（浙委改发〔2021〕2号）</w:t>
      </w:r>
    </w:p>
    <w:p>
      <w:pPr>
        <w:pStyle w:val="180"/>
        <w:ind w:firstLine="422"/>
        <w:rPr>
          <w:rFonts w:ascii="宋体" w:hAnsi="宋体" w:cs="宋体"/>
          <w:b/>
          <w:color w:val="auto"/>
          <w:sz w:val="21"/>
          <w:szCs w:val="21"/>
        </w:rPr>
      </w:pPr>
      <w:r>
        <w:rPr>
          <w:rFonts w:hint="eastAsia" w:ascii="宋体" w:hAnsi="宋体"/>
          <w:b/>
          <w:color w:val="auto"/>
          <w:sz w:val="21"/>
          <w:szCs w:val="21"/>
        </w:rPr>
        <w:t>（3）宁波市、余姚市文件</w:t>
      </w:r>
    </w:p>
    <w:p>
      <w:pPr>
        <w:pStyle w:val="180"/>
        <w:numPr>
          <w:ilvl w:val="0"/>
          <w:numId w:val="5"/>
        </w:numPr>
        <w:ind w:firstLineChars="0"/>
        <w:rPr>
          <w:rFonts w:ascii="宋体" w:hAnsi="宋体"/>
          <w:color w:val="auto"/>
          <w:sz w:val="21"/>
          <w:szCs w:val="21"/>
        </w:rPr>
      </w:pPr>
      <w:r>
        <w:rPr>
          <w:rFonts w:hint="eastAsia" w:ascii="宋体" w:hAnsi="宋体"/>
          <w:color w:val="auto"/>
          <w:sz w:val="21"/>
          <w:szCs w:val="21"/>
        </w:rPr>
        <w:t>《宁波市国民经济和社会发展第十四个五年规划和二〇三五年远景目标纲要》</w:t>
      </w:r>
    </w:p>
    <w:p>
      <w:pPr>
        <w:pStyle w:val="180"/>
        <w:numPr>
          <w:ilvl w:val="0"/>
          <w:numId w:val="5"/>
        </w:numPr>
        <w:ind w:firstLineChars="0"/>
        <w:rPr>
          <w:rFonts w:ascii="宋体" w:hAnsi="宋体"/>
          <w:color w:val="auto"/>
          <w:sz w:val="21"/>
          <w:szCs w:val="21"/>
        </w:rPr>
      </w:pPr>
      <w:r>
        <w:rPr>
          <w:rFonts w:hint="eastAsia" w:ascii="宋体" w:hAnsi="宋体"/>
          <w:color w:val="auto"/>
          <w:sz w:val="21"/>
          <w:szCs w:val="21"/>
        </w:rPr>
        <w:t>《宁波市数字化改革总体行动方案》的通知（甬党改〔2021〕1号）</w:t>
      </w:r>
    </w:p>
    <w:p>
      <w:pPr>
        <w:pStyle w:val="180"/>
        <w:numPr>
          <w:ilvl w:val="0"/>
          <w:numId w:val="5"/>
        </w:numPr>
        <w:ind w:firstLineChars="0"/>
        <w:rPr>
          <w:rFonts w:ascii="宋体" w:hAnsi="宋体"/>
          <w:color w:val="auto"/>
          <w:sz w:val="21"/>
          <w:szCs w:val="21"/>
        </w:rPr>
      </w:pPr>
      <w:r>
        <w:rPr>
          <w:rFonts w:hint="eastAsia" w:ascii="宋体" w:hAnsi="宋体"/>
          <w:color w:val="auto"/>
          <w:sz w:val="21"/>
          <w:szCs w:val="21"/>
        </w:rPr>
        <w:t>《宁波市政务信息化项目建设管理办法》（甬政办发〔2020〕59号）</w:t>
      </w:r>
    </w:p>
    <w:p>
      <w:pPr>
        <w:pStyle w:val="180"/>
        <w:numPr>
          <w:ilvl w:val="0"/>
          <w:numId w:val="5"/>
        </w:numPr>
        <w:ind w:firstLineChars="0"/>
        <w:rPr>
          <w:rFonts w:ascii="宋体" w:hAnsi="宋体"/>
          <w:color w:val="auto"/>
          <w:sz w:val="21"/>
          <w:szCs w:val="21"/>
        </w:rPr>
      </w:pPr>
      <w:r>
        <w:rPr>
          <w:rFonts w:hint="eastAsia" w:ascii="宋体" w:hAnsi="宋体"/>
          <w:color w:val="auto"/>
          <w:sz w:val="21"/>
          <w:szCs w:val="21"/>
        </w:rPr>
        <w:t>《数字宁波建设规划（2018-2022年）》（甬政办发〔2019〕34号）</w:t>
      </w:r>
    </w:p>
    <w:p>
      <w:pPr>
        <w:pStyle w:val="180"/>
        <w:numPr>
          <w:ilvl w:val="0"/>
          <w:numId w:val="5"/>
        </w:numPr>
        <w:ind w:firstLineChars="0"/>
        <w:rPr>
          <w:rFonts w:ascii="宋体" w:hAnsi="宋体"/>
          <w:color w:val="auto"/>
          <w:sz w:val="21"/>
          <w:szCs w:val="21"/>
        </w:rPr>
      </w:pPr>
      <w:r>
        <w:rPr>
          <w:rFonts w:hint="eastAsia" w:ascii="宋体" w:hAnsi="宋体"/>
          <w:color w:val="auto"/>
          <w:sz w:val="21"/>
          <w:szCs w:val="21"/>
        </w:rPr>
        <w:t>《数字宁波建设三年行动计划（2018-2022年）》（甬政办发〔2019〕43号）</w:t>
      </w:r>
    </w:p>
    <w:p>
      <w:pPr>
        <w:pStyle w:val="180"/>
        <w:numPr>
          <w:ilvl w:val="0"/>
          <w:numId w:val="5"/>
        </w:numPr>
        <w:ind w:firstLineChars="0"/>
        <w:rPr>
          <w:rFonts w:ascii="宋体" w:hAnsi="宋体"/>
          <w:color w:val="auto"/>
          <w:sz w:val="21"/>
          <w:szCs w:val="21"/>
        </w:rPr>
      </w:pPr>
      <w:r>
        <w:rPr>
          <w:rFonts w:hint="eastAsia" w:ascii="宋体" w:hAnsi="宋体"/>
          <w:color w:val="auto"/>
          <w:sz w:val="21"/>
          <w:szCs w:val="21"/>
        </w:rPr>
        <w:t>《关于深入推进全市智慧安防小区建设工作的指导意见》（甬政法发(2019)38号）</w:t>
      </w:r>
    </w:p>
    <w:p>
      <w:pPr>
        <w:pStyle w:val="180"/>
        <w:numPr>
          <w:ilvl w:val="0"/>
          <w:numId w:val="5"/>
        </w:numPr>
        <w:ind w:firstLineChars="0"/>
        <w:rPr>
          <w:rFonts w:ascii="宋体" w:hAnsi="宋体"/>
          <w:color w:val="auto"/>
          <w:sz w:val="21"/>
          <w:szCs w:val="21"/>
        </w:rPr>
      </w:pPr>
      <w:r>
        <w:rPr>
          <w:rFonts w:hint="eastAsia" w:ascii="宋体" w:hAnsi="宋体"/>
          <w:color w:val="auto"/>
          <w:sz w:val="21"/>
          <w:szCs w:val="21"/>
        </w:rPr>
        <w:t>余政办发〔2022〕62号 关于印发余姚市“智安小区”建设实施方案的通知</w:t>
      </w:r>
    </w:p>
    <w:p>
      <w:pPr>
        <w:pStyle w:val="7"/>
        <w:numPr>
          <w:ilvl w:val="2"/>
          <w:numId w:val="0"/>
        </w:numPr>
        <w:spacing w:line="360" w:lineRule="auto"/>
        <w:rPr>
          <w:rFonts w:ascii="宋体" w:hAnsi="宋体" w:eastAsia="宋体"/>
          <w:color w:val="auto"/>
          <w:sz w:val="21"/>
          <w:szCs w:val="21"/>
        </w:rPr>
      </w:pPr>
      <w:r>
        <w:rPr>
          <w:rFonts w:ascii="宋体" w:hAnsi="宋体" w:eastAsia="宋体"/>
          <w:color w:val="auto"/>
          <w:sz w:val="21"/>
          <w:szCs w:val="21"/>
        </w:rPr>
        <w:t>6</w:t>
      </w:r>
      <w:r>
        <w:rPr>
          <w:rFonts w:hint="eastAsia" w:ascii="宋体" w:hAnsi="宋体" w:eastAsia="宋体"/>
          <w:color w:val="auto"/>
          <w:sz w:val="21"/>
          <w:szCs w:val="21"/>
        </w:rPr>
        <w:t>、建设内容</w:t>
      </w:r>
    </w:p>
    <w:p>
      <w:pPr>
        <w:spacing w:line="360" w:lineRule="auto"/>
        <w:rPr>
          <w:rFonts w:ascii="宋体" w:hAnsi="宋体"/>
          <w:b/>
          <w:color w:val="auto"/>
          <w:szCs w:val="21"/>
        </w:rPr>
      </w:pPr>
      <w:r>
        <w:rPr>
          <w:rFonts w:hint="eastAsia" w:ascii="宋体" w:hAnsi="宋体"/>
          <w:b/>
          <w:color w:val="auto"/>
          <w:szCs w:val="21"/>
        </w:rPr>
        <w:t>（1）总体框架</w:t>
      </w:r>
    </w:p>
    <w:p>
      <w:pPr>
        <w:pStyle w:val="39"/>
        <w:spacing w:line="360" w:lineRule="auto"/>
        <w:ind w:left="45" w:leftChars="-171" w:hanging="404" w:hangingChars="200"/>
        <w:rPr>
          <w:rFonts w:ascii="宋体" w:hAnsi="宋体"/>
          <w:color w:val="auto"/>
          <w:sz w:val="21"/>
          <w:szCs w:val="21"/>
        </w:rPr>
      </w:pPr>
      <w:r>
        <w:rPr>
          <w:rFonts w:ascii="宋体" w:hAnsi="宋体"/>
          <w:color w:val="auto"/>
          <w:sz w:val="21"/>
          <w:szCs w:val="21"/>
          <w:lang w:val="en-US"/>
        </w:rPr>
        <w:drawing>
          <wp:anchor distT="0" distB="0" distL="114300" distR="114300" simplePos="0" relativeHeight="251659264" behindDoc="0" locked="0" layoutInCell="1" allowOverlap="1">
            <wp:simplePos x="0" y="0"/>
            <wp:positionH relativeFrom="column">
              <wp:posOffset>180340</wp:posOffset>
            </wp:positionH>
            <wp:positionV relativeFrom="paragraph">
              <wp:posOffset>37465</wp:posOffset>
            </wp:positionV>
            <wp:extent cx="5542915" cy="3209290"/>
            <wp:effectExtent l="0" t="0" r="635" b="635"/>
            <wp:wrapSquare wrapText="bothSides"/>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16"/>
                    <a:stretch>
                      <a:fillRect/>
                    </a:stretch>
                  </pic:blipFill>
                  <pic:spPr>
                    <a:xfrm>
                      <a:off x="0" y="0"/>
                      <a:ext cx="5542915" cy="3209290"/>
                    </a:xfrm>
                    <a:prstGeom prst="rect">
                      <a:avLst/>
                    </a:prstGeom>
                    <a:noFill/>
                    <a:ln>
                      <a:noFill/>
                    </a:ln>
                  </pic:spPr>
                </pic:pic>
              </a:graphicData>
            </a:graphic>
          </wp:anchor>
        </w:drawing>
      </w:r>
    </w:p>
    <w:p>
      <w:pPr>
        <w:pStyle w:val="180"/>
        <w:ind w:firstLine="420"/>
        <w:rPr>
          <w:rFonts w:ascii="宋体" w:hAnsi="宋体"/>
          <w:color w:val="auto"/>
          <w:sz w:val="21"/>
          <w:szCs w:val="21"/>
        </w:rPr>
      </w:pPr>
      <w:r>
        <w:rPr>
          <w:rFonts w:hint="eastAsia" w:ascii="宋体" w:hAnsi="宋体"/>
          <w:color w:val="auto"/>
          <w:sz w:val="21"/>
          <w:szCs w:val="21"/>
        </w:rPr>
        <w:t>根据余姚市智安小区建设技术规范要求，结合本项目信息化建设需求，项目总体架构包含“四横四纵”8大体系，其中，“四横”是基础设施体系、数据资源体系、应用支撑体系和业务应用体系；“四纵”分别是政策制度体系、标准规范体系、组织保障体系、网络安全体系。</w:t>
      </w:r>
    </w:p>
    <w:p>
      <w:pPr>
        <w:spacing w:line="360" w:lineRule="auto"/>
        <w:ind w:firstLine="482"/>
        <w:rPr>
          <w:rFonts w:ascii="宋体" w:hAnsi="宋体"/>
          <w:b/>
          <w:color w:val="auto"/>
          <w:szCs w:val="21"/>
        </w:rPr>
      </w:pPr>
      <w:r>
        <w:rPr>
          <w:rFonts w:hint="eastAsia" w:ascii="宋体" w:hAnsi="宋体"/>
          <w:b/>
          <w:color w:val="auto"/>
          <w:szCs w:val="21"/>
        </w:rPr>
        <w:t>（2）采购内容</w:t>
      </w:r>
    </w:p>
    <w:p>
      <w:pPr>
        <w:spacing w:line="360" w:lineRule="auto"/>
        <w:ind w:firstLine="420" w:firstLineChars="200"/>
        <w:rPr>
          <w:rFonts w:ascii="宋体" w:hAnsi="宋体"/>
          <w:color w:val="auto"/>
          <w:szCs w:val="21"/>
        </w:rPr>
      </w:pPr>
      <w:r>
        <w:rPr>
          <w:rFonts w:hint="eastAsia" w:ascii="宋体" w:hAnsi="宋体"/>
          <w:color w:val="auto"/>
          <w:szCs w:val="21"/>
        </w:rPr>
        <w:t>参照《余姚市“智安小区”建设技术规范》，本期“智安小区”项目建设内容主要包括以下内容。</w:t>
      </w:r>
    </w:p>
    <w:p>
      <w:pPr>
        <w:spacing w:line="360" w:lineRule="auto"/>
        <w:ind w:firstLine="420" w:firstLineChars="200"/>
        <w:rPr>
          <w:rFonts w:ascii="宋体" w:hAnsi="宋体"/>
          <w:color w:val="auto"/>
          <w:szCs w:val="21"/>
        </w:rPr>
      </w:pPr>
      <w:r>
        <w:rPr>
          <w:rFonts w:hint="eastAsia" w:ascii="宋体" w:hAnsi="宋体"/>
          <w:color w:val="auto"/>
          <w:szCs w:val="21"/>
        </w:rPr>
        <w:t>1)前端系统建设</w:t>
      </w:r>
    </w:p>
    <w:p>
      <w:pPr>
        <w:pStyle w:val="180"/>
        <w:ind w:firstLine="420"/>
        <w:rPr>
          <w:rFonts w:ascii="宋体" w:hAnsi="宋体"/>
          <w:color w:val="auto"/>
          <w:sz w:val="21"/>
          <w:szCs w:val="21"/>
        </w:rPr>
      </w:pPr>
      <w:r>
        <w:rPr>
          <w:rFonts w:hint="eastAsia" w:ascii="宋体" w:hAnsi="宋体"/>
          <w:color w:val="auto"/>
          <w:sz w:val="21"/>
          <w:szCs w:val="21"/>
        </w:rPr>
        <w:t>全市共计4</w:t>
      </w:r>
      <w:r>
        <w:rPr>
          <w:rFonts w:ascii="宋体" w:hAnsi="宋体"/>
          <w:color w:val="auto"/>
          <w:sz w:val="21"/>
          <w:szCs w:val="21"/>
        </w:rPr>
        <w:t>07</w:t>
      </w:r>
      <w:r>
        <w:rPr>
          <w:rFonts w:hint="eastAsia" w:ascii="宋体" w:hAnsi="宋体"/>
          <w:color w:val="auto"/>
          <w:sz w:val="21"/>
          <w:szCs w:val="21"/>
        </w:rPr>
        <w:t>个小区，针对不同类型小区，本着充分利旧提档升级原则进行规划建设，包括先进型、通用型及基本型三种类型。在各类小区出入口布建人脸识别设备、机动车（车辆）识别设备；另外针对小区人员相对密集区域，利旧原有视频监控设备或新建视频监控设备；在小区易发高空抛物区域建设高空抛物像机；在消防登高点、关键消防通道等区域建设消防通道占用预警像机；在电动自行车棚附件建设热成像监测像机；在小区易攀爬区域建设周界警戒像机；在有条件小区监控室建设前端录像存储设备；最后统一接入智安小区运行管理平台。</w:t>
      </w:r>
    </w:p>
    <w:p>
      <w:pPr>
        <w:pStyle w:val="180"/>
        <w:ind w:firstLine="420"/>
        <w:rPr>
          <w:rFonts w:ascii="宋体" w:hAnsi="宋体"/>
          <w:color w:val="auto"/>
          <w:sz w:val="21"/>
          <w:szCs w:val="21"/>
        </w:rPr>
      </w:pPr>
      <w:r>
        <w:rPr>
          <w:rFonts w:hint="eastAsia" w:ascii="宋体" w:hAnsi="宋体"/>
          <w:color w:val="auto"/>
          <w:sz w:val="21"/>
          <w:szCs w:val="21"/>
        </w:rPr>
        <w:t>前端感知设备新建类型主要包括人脸抓拍摄像机601台、车辆抓拍摄像机544台、400万全结构化抓拍摄像机347台，400万高空抛物相机429台、200万周界告警相机16台、400万电动车棚热成像机106台、400万消防通道占用相机271台、200万视频枪机551台、200万视频球机143台、200万半球45台等。</w:t>
      </w:r>
    </w:p>
    <w:p>
      <w:pPr>
        <w:pStyle w:val="180"/>
        <w:ind w:firstLine="420"/>
        <w:rPr>
          <w:rFonts w:ascii="宋体" w:hAnsi="宋体"/>
          <w:color w:val="auto"/>
          <w:sz w:val="21"/>
          <w:szCs w:val="21"/>
        </w:rPr>
      </w:pPr>
      <w:r>
        <w:rPr>
          <w:rFonts w:hint="eastAsia" w:ascii="宋体" w:hAnsi="宋体"/>
          <w:color w:val="auto"/>
          <w:sz w:val="21"/>
          <w:szCs w:val="21"/>
        </w:rPr>
        <w:t>前端监控点的立杆按实际情况而定，立杆的设计原则符合《浙江省社会治安动态视频监控系统技术规范》（DB33/T502-2018）和《宁波市社会治安动态视频监控系统技术要求》等要求，结合余姚本地各小区的实际情况，同时要在各监控点立杆上设立监控区域明显标志。</w:t>
      </w:r>
    </w:p>
    <w:p>
      <w:pPr>
        <w:pStyle w:val="180"/>
        <w:ind w:firstLine="420"/>
        <w:rPr>
          <w:rFonts w:ascii="宋体" w:hAnsi="宋体"/>
          <w:color w:val="auto"/>
          <w:sz w:val="21"/>
          <w:szCs w:val="21"/>
        </w:rPr>
      </w:pPr>
      <w:r>
        <w:rPr>
          <w:rFonts w:hint="eastAsia" w:ascii="宋体" w:hAnsi="宋体"/>
          <w:color w:val="auto"/>
          <w:sz w:val="21"/>
          <w:szCs w:val="21"/>
        </w:rPr>
        <w:t>摄像机的安装可采用根据环境不同的方式，可利用建筑物墙体、借杆或选用立杆安装的方式进行安装。采用立杆安装方式时，应考虑立杆和周围环境的协调，能借杆的尽量借杆，合适点位的杆件应同时满足出入口人行和非车行的抓拍需求。</w:t>
      </w:r>
    </w:p>
    <w:p>
      <w:pPr>
        <w:pStyle w:val="180"/>
        <w:ind w:firstLine="420"/>
        <w:rPr>
          <w:rFonts w:ascii="宋体" w:hAnsi="宋体"/>
          <w:color w:val="auto"/>
          <w:sz w:val="21"/>
          <w:szCs w:val="21"/>
        </w:rPr>
      </w:pPr>
      <w:r>
        <w:rPr>
          <w:rFonts w:hint="eastAsia" w:ascii="宋体" w:hAnsi="宋体"/>
          <w:color w:val="auto"/>
          <w:sz w:val="21"/>
          <w:szCs w:val="21"/>
        </w:rPr>
        <w:t>立杆杆件采用热轧钢板（国标Q235-B钢材），弯曲后热镀锌，表面电喷；镀锌厚度平均值不应小于70μm，且最薄处不应小于55μm；立杆底部螺栓、螺丝应使用防腐高强度材料。</w:t>
      </w:r>
    </w:p>
    <w:p>
      <w:pPr>
        <w:pStyle w:val="180"/>
        <w:ind w:firstLine="420"/>
        <w:rPr>
          <w:rFonts w:ascii="宋体" w:hAnsi="宋体"/>
          <w:color w:val="auto"/>
          <w:sz w:val="21"/>
          <w:szCs w:val="21"/>
        </w:rPr>
      </w:pPr>
      <w:r>
        <w:rPr>
          <w:rFonts w:hint="eastAsia" w:ascii="宋体" w:hAnsi="宋体"/>
          <w:color w:val="auto"/>
          <w:sz w:val="21"/>
          <w:szCs w:val="21"/>
        </w:rPr>
        <w:t>根据《安全防范工程技术标准》（GB50348-2018）规定，安装在室外前端设备的接地电阻不应大于10Ω的要求，本工程在前端监控立杆和前端监控箱统一接地，每个监控点做一套独立接地系统，接地电阻≤10Ω。</w:t>
      </w:r>
    </w:p>
    <w:p>
      <w:pPr>
        <w:pStyle w:val="180"/>
        <w:ind w:firstLine="420"/>
        <w:rPr>
          <w:rFonts w:ascii="宋体" w:hAnsi="宋体"/>
          <w:color w:val="auto"/>
          <w:sz w:val="21"/>
          <w:szCs w:val="21"/>
        </w:rPr>
      </w:pPr>
      <w:r>
        <w:rPr>
          <w:rFonts w:hint="eastAsia" w:ascii="宋体" w:hAnsi="宋体"/>
          <w:color w:val="auto"/>
          <w:sz w:val="21"/>
          <w:szCs w:val="21"/>
        </w:rPr>
        <w:t>基础完工保养期过后，应及时进行接地电阻的检测。接地电阻达不到要求时，逐根增加接地补桩，联结基础接地引线，用4×40镀锌扁钢延长接地装置，一根补桩还达不到接地电阻的要求时，继续增加补桩，直到满足要求。</w:t>
      </w:r>
    </w:p>
    <w:p>
      <w:pPr>
        <w:pStyle w:val="180"/>
        <w:ind w:firstLine="420"/>
        <w:rPr>
          <w:rFonts w:ascii="宋体" w:hAnsi="宋体"/>
          <w:color w:val="auto"/>
          <w:sz w:val="21"/>
          <w:szCs w:val="21"/>
        </w:rPr>
      </w:pPr>
      <w:r>
        <w:rPr>
          <w:rFonts w:hint="eastAsia" w:ascii="宋体" w:hAnsi="宋体"/>
          <w:color w:val="auto"/>
          <w:sz w:val="21"/>
          <w:szCs w:val="21"/>
        </w:rPr>
        <w:t>前端设备的供电包括各类型摄像机供电、前端设备供电（工业交换机、光电转换器等）。</w:t>
      </w:r>
    </w:p>
    <w:p>
      <w:pPr>
        <w:pStyle w:val="180"/>
        <w:ind w:firstLine="420"/>
        <w:rPr>
          <w:rFonts w:ascii="宋体" w:hAnsi="宋体"/>
          <w:color w:val="auto"/>
          <w:sz w:val="21"/>
          <w:szCs w:val="21"/>
        </w:rPr>
      </w:pPr>
      <w:r>
        <w:rPr>
          <w:rFonts w:hint="eastAsia" w:ascii="宋体" w:hAnsi="宋体"/>
          <w:color w:val="auto"/>
          <w:sz w:val="21"/>
          <w:szCs w:val="21"/>
        </w:rPr>
        <w:t>本次建设的监控点采用就近取电的方式（根据</w:t>
      </w:r>
      <w:r>
        <w:rPr>
          <w:rFonts w:ascii="宋体" w:hAnsi="宋体"/>
          <w:color w:val="auto"/>
          <w:sz w:val="21"/>
          <w:szCs w:val="21"/>
        </w:rPr>
        <w:t>实际情况可挂电表</w:t>
      </w:r>
      <w:r>
        <w:rPr>
          <w:rFonts w:hint="eastAsia" w:ascii="宋体" w:hAnsi="宋体"/>
          <w:color w:val="auto"/>
          <w:sz w:val="21"/>
          <w:szCs w:val="21"/>
        </w:rPr>
        <w:t>），供电回路稳定可靠，供电电压：交流AC 220V；频率：50Hz；功率不小于0.5kW；全天候24小时确保前端设备的供电；采用室外供电电缆敷设；走地下标准强电管道；整个供电满足稳定可靠、扩展方便、可维护管理等特点。</w:t>
      </w:r>
    </w:p>
    <w:p>
      <w:pPr>
        <w:spacing w:line="360" w:lineRule="auto"/>
        <w:ind w:firstLine="422" w:firstLineChars="200"/>
        <w:rPr>
          <w:rFonts w:ascii="宋体" w:hAnsi="宋体"/>
          <w:b/>
          <w:color w:val="auto"/>
          <w:szCs w:val="21"/>
        </w:rPr>
      </w:pPr>
      <w:r>
        <w:rPr>
          <w:rFonts w:hint="eastAsia" w:ascii="宋体" w:hAnsi="宋体"/>
          <w:b/>
          <w:color w:val="auto"/>
          <w:szCs w:val="21"/>
        </w:rPr>
        <w:t>2）链路租赁需求</w:t>
      </w:r>
    </w:p>
    <w:p>
      <w:pPr>
        <w:spacing w:line="360" w:lineRule="auto"/>
        <w:ind w:firstLine="420" w:firstLineChars="200"/>
        <w:rPr>
          <w:rFonts w:ascii="宋体" w:hAnsi="宋体"/>
          <w:color w:val="auto"/>
          <w:szCs w:val="21"/>
        </w:rPr>
      </w:pPr>
      <w:r>
        <w:rPr>
          <w:rFonts w:hint="eastAsia" w:ascii="宋体" w:hAnsi="宋体"/>
          <w:color w:val="auto"/>
          <w:szCs w:val="21"/>
        </w:rPr>
        <w:t>小区侧网络传输根据各小区具体情况分别建设。对于建设设备数量少分布广的小区分别就近通过VPN链路直接接入运营商汇聚点；对于建设设备数量多且分布集中则可采用小区内部局域网组网后通过VPN链路统一接入运营商汇聚点的方式。</w:t>
      </w:r>
    </w:p>
    <w:p>
      <w:pPr>
        <w:spacing w:line="360" w:lineRule="auto"/>
        <w:ind w:firstLine="420" w:firstLineChars="200"/>
        <w:rPr>
          <w:rFonts w:ascii="宋体" w:hAnsi="宋体"/>
          <w:color w:val="auto"/>
          <w:szCs w:val="21"/>
        </w:rPr>
      </w:pPr>
      <w:r>
        <w:rPr>
          <w:rFonts w:hint="eastAsia" w:ascii="宋体" w:hAnsi="宋体"/>
          <w:color w:val="auto"/>
          <w:szCs w:val="21"/>
        </w:rPr>
        <w:t>投标人需提供不少于</w:t>
      </w:r>
      <w:r>
        <w:rPr>
          <w:rFonts w:ascii="宋体" w:hAnsi="宋体"/>
          <w:color w:val="auto"/>
          <w:szCs w:val="21"/>
        </w:rPr>
        <w:t>551</w:t>
      </w:r>
      <w:r>
        <w:rPr>
          <w:rFonts w:hint="eastAsia" w:ascii="宋体" w:hAnsi="宋体"/>
          <w:color w:val="auto"/>
          <w:szCs w:val="21"/>
        </w:rPr>
        <w:t>条</w:t>
      </w:r>
      <w:r>
        <w:rPr>
          <w:rFonts w:ascii="宋体" w:hAnsi="宋体"/>
          <w:color w:val="auto"/>
          <w:szCs w:val="21"/>
        </w:rPr>
        <w:t>VPN</w:t>
      </w:r>
      <w:r>
        <w:rPr>
          <w:rFonts w:hint="eastAsia" w:ascii="宋体" w:hAnsi="宋体"/>
          <w:color w:val="auto"/>
          <w:szCs w:val="21"/>
        </w:rPr>
        <w:t>专线链路每个小区上联专线三年期的链路服务，解决各小区至租赁机房的数据传输需求。</w:t>
      </w:r>
    </w:p>
    <w:p>
      <w:pPr>
        <w:spacing w:line="360" w:lineRule="auto"/>
        <w:ind w:firstLine="420" w:firstLineChars="200"/>
        <w:rPr>
          <w:rFonts w:ascii="宋体" w:hAnsi="宋体"/>
          <w:color w:val="auto"/>
          <w:szCs w:val="21"/>
        </w:rPr>
      </w:pPr>
      <w:r>
        <w:rPr>
          <w:rFonts w:hint="eastAsia" w:ascii="宋体" w:hAnsi="宋体"/>
          <w:color w:val="auto"/>
          <w:szCs w:val="21"/>
        </w:rPr>
        <w:t>投标人需提供不少于</w:t>
      </w:r>
      <w:r>
        <w:rPr>
          <w:rFonts w:ascii="宋体" w:hAnsi="宋体"/>
          <w:color w:val="auto"/>
          <w:szCs w:val="21"/>
        </w:rPr>
        <w:t>18</w:t>
      </w:r>
      <w:r>
        <w:rPr>
          <w:rFonts w:hint="eastAsia" w:ascii="宋体" w:hAnsi="宋体"/>
          <w:color w:val="auto"/>
          <w:szCs w:val="21"/>
        </w:rPr>
        <w:t>条V</w:t>
      </w:r>
      <w:r>
        <w:rPr>
          <w:rFonts w:ascii="宋体" w:hAnsi="宋体"/>
          <w:color w:val="auto"/>
          <w:szCs w:val="21"/>
        </w:rPr>
        <w:t>PN</w:t>
      </w:r>
      <w:r>
        <w:rPr>
          <w:rFonts w:hint="eastAsia" w:ascii="宋体" w:hAnsi="宋体"/>
          <w:color w:val="auto"/>
          <w:szCs w:val="21"/>
        </w:rPr>
        <w:t>专线链路租赁机房至乡镇（街道）三年期的链路服务，解决各乡镇（街道）至租赁机房的数据传输需求。</w:t>
      </w:r>
    </w:p>
    <w:p>
      <w:pPr>
        <w:spacing w:line="360" w:lineRule="auto"/>
        <w:ind w:firstLine="420" w:firstLineChars="200"/>
        <w:rPr>
          <w:rFonts w:ascii="宋体" w:hAnsi="宋体"/>
          <w:color w:val="auto"/>
          <w:szCs w:val="21"/>
        </w:rPr>
      </w:pPr>
      <w:r>
        <w:rPr>
          <w:rFonts w:hint="eastAsia" w:ascii="宋体" w:hAnsi="宋体"/>
          <w:color w:val="auto"/>
          <w:szCs w:val="21"/>
        </w:rPr>
        <w:t>投标人需提供不少于</w:t>
      </w:r>
      <w:r>
        <w:rPr>
          <w:rFonts w:ascii="宋体" w:hAnsi="宋体"/>
          <w:color w:val="auto"/>
          <w:szCs w:val="21"/>
        </w:rPr>
        <w:t>2</w:t>
      </w:r>
      <w:r>
        <w:rPr>
          <w:rFonts w:hint="eastAsia" w:ascii="宋体" w:hAnsi="宋体"/>
          <w:color w:val="auto"/>
          <w:szCs w:val="21"/>
        </w:rPr>
        <w:t>条1</w:t>
      </w:r>
      <w:r>
        <w:rPr>
          <w:rFonts w:ascii="宋体" w:hAnsi="宋体"/>
          <w:color w:val="auto"/>
          <w:szCs w:val="21"/>
        </w:rPr>
        <w:t>000M</w:t>
      </w:r>
      <w:r>
        <w:rPr>
          <w:rFonts w:hint="eastAsia" w:ascii="宋体" w:hAnsi="宋体"/>
          <w:color w:val="auto"/>
          <w:szCs w:val="21"/>
        </w:rPr>
        <w:t>裸光纤专线链路租赁机房至市公安局机房三年期的链路服务，解决租赁机房至市公安局的数据传输需求。</w:t>
      </w:r>
    </w:p>
    <w:p>
      <w:pPr>
        <w:spacing w:line="360" w:lineRule="auto"/>
        <w:ind w:firstLine="420" w:firstLineChars="200"/>
        <w:rPr>
          <w:rFonts w:ascii="宋体" w:hAnsi="宋体"/>
          <w:color w:val="auto"/>
          <w:szCs w:val="21"/>
        </w:rPr>
      </w:pPr>
      <w:r>
        <w:rPr>
          <w:rFonts w:hint="eastAsia" w:ascii="宋体" w:hAnsi="宋体"/>
          <w:color w:val="auto"/>
          <w:szCs w:val="21"/>
        </w:rPr>
        <w:t>投标人需提供不少于</w:t>
      </w:r>
      <w:r>
        <w:rPr>
          <w:rFonts w:ascii="宋体" w:hAnsi="宋体"/>
          <w:color w:val="auto"/>
          <w:szCs w:val="21"/>
        </w:rPr>
        <w:t>53</w:t>
      </w:r>
      <w:r>
        <w:rPr>
          <w:rFonts w:hint="eastAsia" w:ascii="宋体" w:hAnsi="宋体"/>
          <w:color w:val="auto"/>
          <w:szCs w:val="21"/>
        </w:rPr>
        <w:t>张</w:t>
      </w:r>
      <w:r>
        <w:rPr>
          <w:rFonts w:ascii="宋体" w:hAnsi="宋体"/>
          <w:color w:val="auto"/>
          <w:szCs w:val="21"/>
        </w:rPr>
        <w:t>4G</w:t>
      </w:r>
      <w:r>
        <w:rPr>
          <w:rFonts w:hint="eastAsia" w:ascii="宋体" w:hAnsi="宋体"/>
          <w:color w:val="auto"/>
          <w:szCs w:val="21"/>
        </w:rPr>
        <w:t>流量卡出口服务，提供专网映射互联网，面向居民和物业提供互联网服务。</w:t>
      </w:r>
    </w:p>
    <w:p>
      <w:pPr>
        <w:spacing w:line="360" w:lineRule="auto"/>
        <w:ind w:firstLine="422" w:firstLineChars="200"/>
        <w:rPr>
          <w:rFonts w:ascii="宋体" w:hAnsi="宋体"/>
          <w:b/>
          <w:color w:val="auto"/>
          <w:szCs w:val="21"/>
        </w:rPr>
      </w:pPr>
      <w:r>
        <w:rPr>
          <w:rFonts w:hint="eastAsia" w:ascii="宋体" w:hAnsi="宋体"/>
          <w:b/>
          <w:color w:val="auto"/>
          <w:szCs w:val="21"/>
        </w:rPr>
        <w:t>3）网络建设需求</w:t>
      </w:r>
    </w:p>
    <w:p>
      <w:pPr>
        <w:spacing w:line="360" w:lineRule="auto"/>
        <w:ind w:firstLine="420" w:firstLineChars="200"/>
        <w:rPr>
          <w:rFonts w:ascii="宋体" w:hAnsi="宋体"/>
          <w:color w:val="auto"/>
          <w:szCs w:val="21"/>
        </w:rPr>
      </w:pPr>
      <w:r>
        <w:rPr>
          <w:rFonts w:hint="eastAsia" w:ascii="宋体" w:hAnsi="宋体"/>
          <w:color w:val="auto"/>
          <w:szCs w:val="21"/>
        </w:rPr>
        <w:t>本期项目需新建智安小区汇聚专网，满足各小区前端各类视频监控设备的接入、存储和应用。智安小区汇聚专网中心侧新增</w:t>
      </w:r>
      <w:r>
        <w:rPr>
          <w:rFonts w:ascii="宋体" w:hAnsi="宋体"/>
          <w:color w:val="auto"/>
          <w:szCs w:val="21"/>
        </w:rPr>
        <w:t>2</w:t>
      </w:r>
      <w:r>
        <w:rPr>
          <w:rFonts w:hint="eastAsia" w:ascii="宋体" w:hAnsi="宋体"/>
          <w:color w:val="auto"/>
          <w:szCs w:val="21"/>
        </w:rPr>
        <w:t>台核心交换机，满足核心交换的需求。在智安小区汇聚专网新增</w:t>
      </w:r>
      <w:r>
        <w:rPr>
          <w:rFonts w:ascii="宋体" w:hAnsi="宋体"/>
          <w:color w:val="auto"/>
          <w:szCs w:val="21"/>
        </w:rPr>
        <w:t>3</w:t>
      </w:r>
      <w:r>
        <w:rPr>
          <w:rFonts w:hint="eastAsia" w:ascii="宋体" w:hAnsi="宋体"/>
          <w:color w:val="auto"/>
          <w:szCs w:val="21"/>
        </w:rPr>
        <w:t>台</w:t>
      </w:r>
      <w:r>
        <w:rPr>
          <w:rFonts w:ascii="宋体" w:hAnsi="宋体"/>
          <w:color w:val="auto"/>
          <w:szCs w:val="21"/>
        </w:rPr>
        <w:t>48</w:t>
      </w:r>
      <w:r>
        <w:rPr>
          <w:rFonts w:hint="eastAsia" w:ascii="宋体" w:hAnsi="宋体"/>
          <w:color w:val="auto"/>
          <w:szCs w:val="21"/>
        </w:rPr>
        <w:t>口千兆电口交换机，满足前端摄像机接入、后端服务器接入的需求。</w:t>
      </w:r>
    </w:p>
    <w:p>
      <w:pPr>
        <w:spacing w:line="360" w:lineRule="auto"/>
        <w:ind w:firstLine="422" w:firstLineChars="200"/>
        <w:rPr>
          <w:rFonts w:ascii="宋体" w:hAnsi="宋体"/>
          <w:b/>
          <w:color w:val="auto"/>
          <w:szCs w:val="21"/>
        </w:rPr>
      </w:pPr>
      <w:r>
        <w:rPr>
          <w:rFonts w:hint="eastAsia" w:ascii="宋体" w:hAnsi="宋体"/>
          <w:b/>
          <w:color w:val="auto"/>
          <w:szCs w:val="21"/>
        </w:rPr>
        <w:t>4）安全建设需求</w:t>
      </w:r>
    </w:p>
    <w:p>
      <w:pPr>
        <w:spacing w:line="360" w:lineRule="auto"/>
        <w:ind w:firstLine="420" w:firstLineChars="200"/>
        <w:rPr>
          <w:rFonts w:ascii="宋体" w:hAnsi="宋体"/>
          <w:color w:val="auto"/>
          <w:szCs w:val="21"/>
        </w:rPr>
      </w:pPr>
      <w:r>
        <w:rPr>
          <w:rFonts w:hint="eastAsia" w:ascii="宋体" w:hAnsi="宋体"/>
          <w:color w:val="auto"/>
          <w:szCs w:val="21"/>
        </w:rPr>
        <w:t>投标人需提供基于等保合规的安全建设能力，包括但不限于防火墙、日志审计、数据库审计、堡垒机、威胁感知系统等安全服务，以保证用户的计算环境、区域边界、通信网络等满足等保二级要求。</w:t>
      </w:r>
    </w:p>
    <w:p>
      <w:pPr>
        <w:spacing w:line="360" w:lineRule="auto"/>
        <w:ind w:firstLine="420" w:firstLineChars="200"/>
        <w:rPr>
          <w:rFonts w:ascii="宋体" w:hAnsi="宋体"/>
          <w:color w:val="auto"/>
          <w:szCs w:val="21"/>
        </w:rPr>
      </w:pPr>
      <w:r>
        <w:rPr>
          <w:rFonts w:hint="eastAsia" w:ascii="宋体" w:hAnsi="宋体"/>
          <w:color w:val="auto"/>
          <w:szCs w:val="21"/>
        </w:rPr>
        <w:t>智安小区汇聚专网需通过等保二级测评，投标人应承诺其投标报价中包含智安小区汇聚专网通过等保二级测评所需的软硬件设备及等保二级测评费。</w:t>
      </w:r>
    </w:p>
    <w:p>
      <w:pPr>
        <w:spacing w:line="360" w:lineRule="auto"/>
        <w:ind w:firstLine="420" w:firstLineChars="200"/>
        <w:rPr>
          <w:rFonts w:ascii="宋体" w:hAnsi="宋体"/>
          <w:color w:val="auto"/>
          <w:szCs w:val="21"/>
        </w:rPr>
      </w:pPr>
      <w:r>
        <w:rPr>
          <w:rFonts w:hint="eastAsia" w:ascii="宋体" w:hAnsi="宋体"/>
          <w:color w:val="auto"/>
          <w:szCs w:val="21"/>
        </w:rPr>
        <w:t>在智安小区汇聚专网和社会面资源汇聚专网之间部署1台下一代防火墙；在智安小区汇聚专网和互联网之间部署1台下一代防火墙；在智安小区汇聚专网与电子政务外网之间部署1台下一代防火墙；在智安小区汇聚专网部署1台下一代防火墙，用于小区视频资源汇聚接入安全隔离。在智安小区汇聚专网部署日志审计、数据库审计、堡垒机及威胁感知系统等安全设备。</w:t>
      </w:r>
    </w:p>
    <w:p>
      <w:pPr>
        <w:spacing w:line="360" w:lineRule="auto"/>
        <w:ind w:firstLine="420" w:firstLineChars="200"/>
        <w:rPr>
          <w:rFonts w:ascii="宋体" w:hAnsi="宋体"/>
          <w:color w:val="auto"/>
          <w:szCs w:val="21"/>
        </w:rPr>
      </w:pPr>
      <w:r>
        <w:rPr>
          <w:rFonts w:hint="eastAsia" w:ascii="宋体" w:hAnsi="宋体"/>
          <w:color w:val="auto"/>
          <w:szCs w:val="21"/>
        </w:rPr>
        <w:t>按“三同步”原则执行信息安全等级保护要求，本项目需落实数据安全技术防护和系统安评密评要求，新建一套零信任身份认证系统，数据加密、脱敏、水印溯源系统，确保系统最终通过安全测评、密码测评等相关测评。</w:t>
      </w:r>
    </w:p>
    <w:p>
      <w:pPr>
        <w:spacing w:line="360" w:lineRule="auto"/>
        <w:ind w:firstLine="422" w:firstLineChars="200"/>
        <w:rPr>
          <w:rFonts w:ascii="宋体" w:hAnsi="宋体"/>
          <w:b/>
          <w:color w:val="auto"/>
          <w:szCs w:val="21"/>
        </w:rPr>
      </w:pPr>
      <w:r>
        <w:rPr>
          <w:rFonts w:hint="eastAsia" w:ascii="宋体" w:hAnsi="宋体"/>
          <w:b/>
          <w:color w:val="auto"/>
          <w:szCs w:val="21"/>
        </w:rPr>
        <w:t>5）存储建设需求</w:t>
      </w:r>
    </w:p>
    <w:p>
      <w:pPr>
        <w:spacing w:line="360" w:lineRule="auto"/>
        <w:ind w:firstLine="420" w:firstLineChars="200"/>
        <w:rPr>
          <w:rFonts w:ascii="宋体" w:hAnsi="宋体"/>
          <w:color w:val="auto"/>
          <w:szCs w:val="21"/>
        </w:rPr>
      </w:pPr>
      <w:r>
        <w:rPr>
          <w:rFonts w:hint="eastAsia" w:ascii="宋体" w:hAnsi="宋体"/>
          <w:color w:val="auto"/>
          <w:szCs w:val="21"/>
        </w:rPr>
        <w:t>本次项目智安小区汇聚专网建设中心端视频存储系统一套，用于存储小区侧只汇聚不存储的视频监控资源，存储周期不低于30天，视频路数不低于1066路，投标人应根据存储时长要求及甲方实际需求计算存储容量。建设硬盘录像机的小区，按照存储周期不低于30天存储视频监控资源，按照不同小区建设视频路数单独计算。</w:t>
      </w:r>
    </w:p>
    <w:p>
      <w:pPr>
        <w:spacing w:line="360" w:lineRule="auto"/>
        <w:ind w:firstLine="420" w:firstLineChars="200"/>
        <w:rPr>
          <w:rFonts w:ascii="宋体" w:hAnsi="宋体"/>
          <w:color w:val="auto"/>
          <w:szCs w:val="21"/>
        </w:rPr>
      </w:pPr>
      <w:r>
        <w:rPr>
          <w:rFonts w:hint="eastAsia" w:ascii="宋体" w:hAnsi="宋体"/>
          <w:color w:val="auto"/>
          <w:szCs w:val="21"/>
        </w:rPr>
        <w:t>小区出入口新建人脸抓拍像机、车辆抓拍像机及全结构化抓拍像机的抓拍数据要求直接存储在公安视频专网，人脸图片存储周期为不低于6个月、车辆卡口图片存储周期为不低于6个月，在公安视频专网原有云存储系统上扩容，设置3</w:t>
      </w:r>
      <w:r>
        <w:rPr>
          <w:rFonts w:ascii="宋体" w:hAnsi="宋体"/>
          <w:color w:val="auto"/>
          <w:szCs w:val="21"/>
        </w:rPr>
        <w:t>6</w:t>
      </w:r>
      <w:r>
        <w:rPr>
          <w:rFonts w:hint="eastAsia" w:ascii="宋体" w:hAnsi="宋体"/>
          <w:color w:val="auto"/>
          <w:szCs w:val="21"/>
        </w:rPr>
        <w:t>盘位云存储节点，满配1</w:t>
      </w:r>
      <w:r>
        <w:rPr>
          <w:rFonts w:ascii="宋体" w:hAnsi="宋体"/>
          <w:color w:val="auto"/>
          <w:szCs w:val="21"/>
        </w:rPr>
        <w:t>6T</w:t>
      </w:r>
      <w:r>
        <w:rPr>
          <w:rFonts w:hint="eastAsia" w:ascii="宋体" w:hAnsi="宋体"/>
          <w:color w:val="auto"/>
          <w:szCs w:val="21"/>
        </w:rPr>
        <w:t>硬盘。</w:t>
      </w:r>
    </w:p>
    <w:p>
      <w:pPr>
        <w:spacing w:line="360" w:lineRule="auto"/>
        <w:ind w:firstLine="422" w:firstLineChars="200"/>
        <w:rPr>
          <w:rFonts w:ascii="宋体" w:hAnsi="宋体"/>
          <w:b/>
          <w:color w:val="auto"/>
          <w:szCs w:val="21"/>
        </w:rPr>
      </w:pPr>
      <w:r>
        <w:rPr>
          <w:rFonts w:hint="eastAsia" w:ascii="宋体" w:hAnsi="宋体"/>
          <w:b/>
          <w:color w:val="auto"/>
          <w:szCs w:val="21"/>
        </w:rPr>
        <w:t>6）平台建设需求</w:t>
      </w:r>
    </w:p>
    <w:p>
      <w:pPr>
        <w:spacing w:line="360" w:lineRule="auto"/>
        <w:ind w:firstLine="420" w:firstLineChars="200"/>
        <w:rPr>
          <w:rFonts w:ascii="宋体" w:hAnsi="宋体"/>
          <w:color w:val="auto"/>
          <w:szCs w:val="21"/>
        </w:rPr>
      </w:pPr>
      <w:r>
        <w:rPr>
          <w:rFonts w:hint="eastAsia" w:ascii="宋体" w:hAnsi="宋体"/>
          <w:color w:val="auto"/>
          <w:szCs w:val="21"/>
        </w:rPr>
        <w:t>本项目新建一套余姚市智安小区综合运行管理平台，基于“统一软件技术架构”先进理念设计，采用业务组件化技术，由统一应用门户、智感安防态势、智能安防管理和运行维护管理等有机组合集成。提供开放、灵活、即插即用的智能物联能力，负责物联设备数据接入和传递，为智安小区数字化赋能。平台物联感知接入能力不少于1万路，200路4Mbps并发流媒体能力，平台在线用户数管理至少407个，平台用户并发不低于50个。</w:t>
      </w:r>
    </w:p>
    <w:p>
      <w:pPr>
        <w:spacing w:line="360" w:lineRule="auto"/>
        <w:ind w:left="480"/>
        <w:rPr>
          <w:rFonts w:ascii="宋体" w:hAnsi="宋体"/>
          <w:color w:val="auto"/>
          <w:szCs w:val="21"/>
        </w:rPr>
      </w:pPr>
      <w:r>
        <w:rPr>
          <w:rFonts w:hint="eastAsia" w:ascii="宋体" w:hAnsi="宋体"/>
          <w:color w:val="auto"/>
          <w:szCs w:val="21"/>
        </w:rPr>
        <w:t>A统一门户</w:t>
      </w:r>
    </w:p>
    <w:p>
      <w:pPr>
        <w:spacing w:line="360" w:lineRule="auto"/>
        <w:ind w:firstLine="420" w:firstLineChars="200"/>
        <w:rPr>
          <w:rFonts w:ascii="宋体" w:hAnsi="宋体"/>
          <w:color w:val="auto"/>
          <w:szCs w:val="21"/>
        </w:rPr>
      </w:pPr>
      <w:r>
        <w:rPr>
          <w:rFonts w:hint="eastAsia" w:ascii="宋体" w:hAnsi="宋体"/>
          <w:color w:val="auto"/>
          <w:szCs w:val="21"/>
        </w:rPr>
        <w:t>根据不同的用户级别提供个性化订制功能，为系统提供信息统一发布平台，支持根据角色自定义功能界面，集成所有应用功能及常用办公管理工具，提供统一入口功能，支持向导式导航功能。</w:t>
      </w:r>
    </w:p>
    <w:p>
      <w:pPr>
        <w:spacing w:line="360" w:lineRule="auto"/>
        <w:ind w:firstLine="420" w:firstLineChars="200"/>
        <w:rPr>
          <w:rFonts w:ascii="宋体" w:hAnsi="宋体"/>
          <w:color w:val="auto"/>
          <w:szCs w:val="21"/>
        </w:rPr>
      </w:pPr>
      <w:r>
        <w:rPr>
          <w:rFonts w:hint="eastAsia" w:ascii="宋体" w:hAnsi="宋体"/>
          <w:color w:val="auto"/>
          <w:szCs w:val="21"/>
        </w:rPr>
        <w:t>B智感安防态势</w:t>
      </w:r>
    </w:p>
    <w:p>
      <w:pPr>
        <w:spacing w:line="360" w:lineRule="auto"/>
        <w:ind w:firstLine="420" w:firstLineChars="200"/>
        <w:rPr>
          <w:rFonts w:ascii="宋体" w:hAnsi="宋体"/>
          <w:color w:val="auto"/>
          <w:szCs w:val="21"/>
        </w:rPr>
      </w:pPr>
      <w:r>
        <w:rPr>
          <w:rFonts w:hint="eastAsia" w:ascii="宋体" w:hAnsi="宋体"/>
          <w:color w:val="auto"/>
          <w:szCs w:val="21"/>
        </w:rPr>
        <w:t>智感安防态势主要包括公安智感安防态势驾驶舱和镇街智感安防态势驾驶舱。其中，公安侧主要面向对象为治安大队领导层和指挥人员，供用户从高视角、高站位和全局统筹了解余姚市智安小区运行情况，进而做出关键性、指导性决策，系统部署在公安信息网，充分利旧“一网感知”项目领导驾驶舱大屏；镇街侧主要面向镇街领导，供镇街领导宏观了解所属镇街智安小区总体态势，系统部署在智安小区汇聚专网，供各街镇使用。智感安防态势驾驶舱建设应优先考虑使用应用工厂工具车间低代码开发并接入城市大脑驾驶舱（具备条件下），并做好 IRS 组件超市强制组件电子地图、浙政钉组织架构和用户体系等组件使用。</w:t>
      </w:r>
    </w:p>
    <w:p>
      <w:pPr>
        <w:spacing w:line="360" w:lineRule="auto"/>
        <w:ind w:firstLine="420" w:firstLineChars="200"/>
        <w:rPr>
          <w:rFonts w:ascii="宋体" w:hAnsi="宋体"/>
          <w:color w:val="auto"/>
          <w:szCs w:val="21"/>
        </w:rPr>
      </w:pPr>
      <w:r>
        <w:rPr>
          <w:rFonts w:hint="eastAsia" w:ascii="宋体" w:hAnsi="宋体"/>
          <w:color w:val="auto"/>
          <w:szCs w:val="21"/>
        </w:rPr>
        <w:t>C智能安防管理</w:t>
      </w:r>
    </w:p>
    <w:p>
      <w:pPr>
        <w:spacing w:line="360" w:lineRule="auto"/>
        <w:ind w:firstLine="420" w:firstLineChars="200"/>
        <w:rPr>
          <w:rFonts w:ascii="宋体" w:hAnsi="宋体"/>
          <w:color w:val="auto"/>
          <w:szCs w:val="21"/>
        </w:rPr>
      </w:pPr>
      <w:r>
        <w:rPr>
          <w:rFonts w:hint="eastAsia" w:ascii="宋体" w:hAnsi="宋体"/>
          <w:color w:val="auto"/>
          <w:szCs w:val="21"/>
        </w:rPr>
        <w:t>智能安防管理主要围绕小区安全、管理和服务三大主题，由基础管理、视频应用、人员出入管理、车辆出入管理、事件告警处置和AR全景应用等六大模块组成，与本项目新建设的十余种感知前端和业务场景深度融合，赋能小区精细化治理。基于小区感知数据统一接入及传输标准要求，实现感知数据的标准接入、统一汇聚，实现人脸车辆等信息全采集。智安小区采集的视图数据推送公安系统，为余姚市公安智能防控平台提供鲜活数据；智安小区采集的视频数据推送城市融合赋能平台，完成小区事件解析推送至各局委办业务应用平台，满足各局委办关注的小区业务应用需求。</w:t>
      </w:r>
    </w:p>
    <w:p>
      <w:pPr>
        <w:spacing w:line="360" w:lineRule="auto"/>
        <w:ind w:firstLine="420" w:firstLineChars="200"/>
        <w:rPr>
          <w:rFonts w:ascii="宋体" w:hAnsi="宋体"/>
          <w:color w:val="auto"/>
          <w:szCs w:val="21"/>
        </w:rPr>
      </w:pPr>
      <w:r>
        <w:rPr>
          <w:rFonts w:hint="eastAsia" w:ascii="宋体" w:hAnsi="宋体"/>
          <w:color w:val="auto"/>
          <w:szCs w:val="21"/>
        </w:rPr>
        <w:t>D运行维护管理</w:t>
      </w:r>
    </w:p>
    <w:p>
      <w:pPr>
        <w:spacing w:line="360" w:lineRule="auto"/>
        <w:ind w:firstLine="404" w:firstLineChars="200"/>
        <w:rPr>
          <w:rFonts w:ascii="宋体" w:hAnsi="宋体"/>
          <w:color w:val="auto"/>
          <w:szCs w:val="21"/>
        </w:rPr>
      </w:pPr>
      <w:r>
        <w:rPr>
          <w:rFonts w:hint="eastAsia" w:ascii="宋体" w:hAnsi="宋体"/>
          <w:color w:val="auto"/>
          <w:spacing w:val="-4"/>
          <w:szCs w:val="21"/>
          <w:lang w:val="zh-CN"/>
        </w:rPr>
        <w:t>运行维护管理主要围绕运维和运行两大内容，由运维管理和运行管理两部分组成。运维管理对接入平台的视频设备、门禁设备和道闸设备进行在线巡检，及时发现故障设备和掉线设备，并且生成视频运维统计报表，包含区域综合排名统计、录像完整性统计、录像存储达标统计、在线状态统计、离线时长统计报表等，使运维工作更加高效和便利；运行管理则围绕本次项目规划建设的充电桩展开，便民服务的同时探索运营增值服务，为平台的长久化运行提供支撑。</w:t>
      </w:r>
    </w:p>
    <w:p>
      <w:pPr>
        <w:spacing w:line="360" w:lineRule="auto"/>
        <w:ind w:firstLine="420" w:firstLineChars="200"/>
        <w:rPr>
          <w:rFonts w:ascii="宋体" w:hAnsi="宋体"/>
          <w:color w:val="auto"/>
          <w:szCs w:val="21"/>
        </w:rPr>
      </w:pPr>
      <w:r>
        <w:rPr>
          <w:rFonts w:hint="eastAsia" w:ascii="宋体" w:hAnsi="宋体"/>
          <w:color w:val="auto"/>
          <w:szCs w:val="21"/>
        </w:rPr>
        <w:t>E浙里办应用</w:t>
      </w:r>
    </w:p>
    <w:p>
      <w:pPr>
        <w:spacing w:line="360" w:lineRule="auto"/>
        <w:ind w:firstLine="404" w:firstLineChars="200"/>
        <w:rPr>
          <w:rFonts w:ascii="宋体" w:hAnsi="宋体"/>
          <w:color w:val="auto"/>
          <w:szCs w:val="21"/>
        </w:rPr>
      </w:pPr>
      <w:r>
        <w:rPr>
          <w:rFonts w:hint="eastAsia" w:ascii="宋体" w:hAnsi="宋体"/>
          <w:color w:val="auto"/>
          <w:spacing w:val="-4"/>
          <w:szCs w:val="21"/>
        </w:rPr>
        <w:t>依托浙里办配套建设移动端应用，</w:t>
      </w:r>
      <w:r>
        <w:rPr>
          <w:rFonts w:hint="eastAsia" w:ascii="宋体" w:hAnsi="宋体"/>
          <w:color w:val="auto"/>
          <w:spacing w:val="-4"/>
          <w:szCs w:val="21"/>
          <w:lang w:val="zh-CN"/>
        </w:rPr>
        <w:t xml:space="preserve">可实现对小区前端摄像机、硬盘录像机、网络球机等设备的实时预览、录像回放和云台控制，并且支持小区居民基本信息录入和报警推送等功能，为小区居住提供系列民生便民服务。 </w:t>
      </w:r>
    </w:p>
    <w:p>
      <w:pPr>
        <w:spacing w:line="360" w:lineRule="auto"/>
        <w:rPr>
          <w:rFonts w:ascii="宋体" w:hAnsi="宋体"/>
          <w:color w:val="auto"/>
          <w:szCs w:val="21"/>
        </w:rPr>
      </w:pPr>
      <w:r>
        <w:rPr>
          <w:rFonts w:hint="eastAsia" w:ascii="宋体" w:hAnsi="宋体"/>
          <w:b/>
          <w:color w:val="auto"/>
          <w:szCs w:val="21"/>
        </w:rPr>
        <w:t>7、机房租赁需求</w:t>
      </w:r>
    </w:p>
    <w:p>
      <w:pPr>
        <w:pStyle w:val="180"/>
        <w:ind w:firstLine="420"/>
        <w:rPr>
          <w:rFonts w:ascii="宋体" w:hAnsi="宋体"/>
          <w:color w:val="auto"/>
          <w:sz w:val="21"/>
          <w:szCs w:val="21"/>
        </w:rPr>
      </w:pPr>
      <w:r>
        <w:rPr>
          <w:rFonts w:hint="eastAsia" w:ascii="宋体" w:hAnsi="宋体"/>
          <w:color w:val="auto"/>
          <w:sz w:val="21"/>
          <w:szCs w:val="21"/>
        </w:rPr>
        <w:t>本项目拟采用机房租赁租赁方式，投标人提供的租赁专业机房需位于余姚市行政区境内，该机房需具备满足项目中心端全部设备使用的UPS电源系统以及双路供电系统，具备满足项目中心端设备正常运转的机房专用空调，温湿度调节设备，机房安全监控设备等设施。</w:t>
      </w:r>
    </w:p>
    <w:p>
      <w:pPr>
        <w:pStyle w:val="180"/>
        <w:ind w:firstLine="420"/>
        <w:rPr>
          <w:rFonts w:ascii="宋体" w:hAnsi="宋体"/>
          <w:color w:val="auto"/>
          <w:sz w:val="21"/>
          <w:szCs w:val="21"/>
        </w:rPr>
      </w:pPr>
      <w:r>
        <w:rPr>
          <w:rFonts w:hint="eastAsia" w:ascii="宋体" w:hAnsi="宋体"/>
          <w:color w:val="auto"/>
          <w:sz w:val="21"/>
          <w:szCs w:val="21"/>
        </w:rPr>
        <w:t>投标人需提供不少于</w:t>
      </w:r>
      <w:r>
        <w:rPr>
          <w:rFonts w:ascii="宋体" w:hAnsi="宋体"/>
          <w:color w:val="auto"/>
          <w:sz w:val="21"/>
          <w:szCs w:val="21"/>
        </w:rPr>
        <w:t>4</w:t>
      </w:r>
      <w:r>
        <w:rPr>
          <w:rFonts w:hint="eastAsia" w:ascii="宋体" w:hAnsi="宋体"/>
          <w:color w:val="auto"/>
          <w:sz w:val="21"/>
          <w:szCs w:val="21"/>
        </w:rPr>
        <w:t>个5000W 42U标准机柜三年期租赁服务（含三年设备电费），本项目机柜属公安项目专用机柜，需单独进行放置并与机房内其他机柜隔离区分。确保人脸、车辆等敏感数据在租赁机房不做本地留存。</w:t>
      </w:r>
    </w:p>
    <w:p>
      <w:pPr>
        <w:pStyle w:val="180"/>
        <w:ind w:firstLine="0" w:firstLineChars="0"/>
        <w:rPr>
          <w:rFonts w:ascii="宋体" w:hAnsi="宋体"/>
          <w:b/>
          <w:color w:val="auto"/>
          <w:sz w:val="21"/>
          <w:szCs w:val="21"/>
        </w:rPr>
      </w:pPr>
      <w:r>
        <w:rPr>
          <w:rFonts w:hint="eastAsia" w:ascii="宋体" w:hAnsi="宋体"/>
          <w:b/>
          <w:color w:val="auto"/>
          <w:sz w:val="21"/>
          <w:szCs w:val="21"/>
        </w:rPr>
        <w:t>8、整合接入需求</w:t>
      </w:r>
    </w:p>
    <w:p>
      <w:pPr>
        <w:pStyle w:val="180"/>
        <w:ind w:firstLine="420"/>
        <w:rPr>
          <w:rFonts w:ascii="宋体" w:hAnsi="宋体"/>
          <w:color w:val="auto"/>
          <w:sz w:val="21"/>
          <w:szCs w:val="21"/>
        </w:rPr>
      </w:pPr>
      <w:r>
        <w:rPr>
          <w:rFonts w:hint="eastAsia" w:ascii="宋体" w:hAnsi="宋体"/>
          <w:color w:val="auto"/>
          <w:sz w:val="21"/>
          <w:szCs w:val="21"/>
        </w:rPr>
        <w:t>（1）新建监控点位接入</w:t>
      </w:r>
    </w:p>
    <w:p>
      <w:pPr>
        <w:pStyle w:val="180"/>
        <w:ind w:firstLine="420"/>
        <w:rPr>
          <w:rFonts w:ascii="宋体" w:hAnsi="宋体"/>
          <w:color w:val="auto"/>
          <w:sz w:val="21"/>
          <w:szCs w:val="21"/>
        </w:rPr>
      </w:pPr>
      <w:r>
        <w:rPr>
          <w:rFonts w:hint="eastAsia" w:ascii="宋体" w:hAnsi="宋体"/>
          <w:color w:val="auto"/>
          <w:sz w:val="21"/>
          <w:szCs w:val="21"/>
        </w:rPr>
        <w:t>新建人脸抓拍像机、车辆抓拍像机、全结构化抓拍像机的抓拍数据接入公安视频专网智能防控平台，满足对人脸图片、车辆图片的智能解析和应用。</w:t>
      </w:r>
    </w:p>
    <w:p>
      <w:pPr>
        <w:pStyle w:val="180"/>
        <w:ind w:firstLine="420"/>
        <w:rPr>
          <w:rFonts w:ascii="宋体" w:hAnsi="宋体"/>
          <w:color w:val="auto"/>
          <w:sz w:val="21"/>
          <w:szCs w:val="21"/>
        </w:rPr>
      </w:pPr>
      <w:r>
        <w:rPr>
          <w:rFonts w:hint="eastAsia" w:ascii="宋体" w:hAnsi="宋体"/>
          <w:color w:val="auto"/>
          <w:sz w:val="21"/>
          <w:szCs w:val="21"/>
        </w:rPr>
        <w:t>新建治安监控枪机、治安监控球机、热成像像机、高空抛物像机等接入智安小区汇聚专网的智安小区综合运行管理平台，满足视频图像调阅、各类告警信息推送等。</w:t>
      </w:r>
    </w:p>
    <w:p>
      <w:pPr>
        <w:pStyle w:val="180"/>
        <w:ind w:firstLine="420"/>
        <w:rPr>
          <w:rFonts w:ascii="宋体" w:hAnsi="宋体"/>
          <w:color w:val="auto"/>
          <w:sz w:val="21"/>
          <w:szCs w:val="21"/>
        </w:rPr>
      </w:pPr>
      <w:r>
        <w:rPr>
          <w:rFonts w:hint="eastAsia" w:ascii="宋体" w:hAnsi="宋体"/>
          <w:color w:val="auto"/>
          <w:sz w:val="21"/>
          <w:szCs w:val="21"/>
        </w:rPr>
        <w:t>（2）已建监控点位接入</w:t>
      </w:r>
    </w:p>
    <w:p>
      <w:pPr>
        <w:pStyle w:val="180"/>
        <w:ind w:firstLine="420"/>
        <w:rPr>
          <w:rFonts w:ascii="宋体" w:hAnsi="宋体"/>
          <w:color w:val="auto"/>
          <w:sz w:val="21"/>
          <w:szCs w:val="21"/>
        </w:rPr>
      </w:pPr>
      <w:r>
        <w:rPr>
          <w:rFonts w:hint="eastAsia" w:ascii="宋体" w:hAnsi="宋体"/>
          <w:color w:val="auto"/>
          <w:sz w:val="21"/>
          <w:szCs w:val="21"/>
        </w:rPr>
        <w:t>对于天网二期中在各小区出入口已建人脸抓拍像机及车辆抓拍像机，本项目考虑利旧。</w:t>
      </w:r>
    </w:p>
    <w:p>
      <w:pPr>
        <w:pStyle w:val="180"/>
        <w:ind w:firstLine="420"/>
        <w:rPr>
          <w:rFonts w:ascii="宋体" w:hAnsi="宋体"/>
          <w:color w:val="auto"/>
          <w:sz w:val="21"/>
          <w:szCs w:val="21"/>
        </w:rPr>
      </w:pPr>
      <w:r>
        <w:rPr>
          <w:rFonts w:hint="eastAsia" w:ascii="宋体" w:hAnsi="宋体"/>
          <w:color w:val="auto"/>
          <w:sz w:val="21"/>
          <w:szCs w:val="21"/>
        </w:rPr>
        <w:t>（3）小区自建监控接入</w:t>
      </w:r>
    </w:p>
    <w:p>
      <w:pPr>
        <w:pStyle w:val="180"/>
        <w:ind w:firstLine="420"/>
        <w:rPr>
          <w:rFonts w:ascii="宋体" w:hAnsi="宋体"/>
          <w:color w:val="auto"/>
          <w:sz w:val="21"/>
          <w:szCs w:val="21"/>
        </w:rPr>
      </w:pPr>
      <w:r>
        <w:rPr>
          <w:rFonts w:hint="eastAsia" w:ascii="宋体" w:hAnsi="宋体"/>
          <w:color w:val="auto"/>
          <w:sz w:val="21"/>
          <w:szCs w:val="21"/>
        </w:rPr>
        <w:t>1）接入要求</w:t>
      </w:r>
    </w:p>
    <w:p>
      <w:pPr>
        <w:pStyle w:val="180"/>
        <w:ind w:firstLine="420"/>
        <w:rPr>
          <w:rFonts w:ascii="宋体" w:hAnsi="宋体"/>
          <w:color w:val="auto"/>
          <w:sz w:val="21"/>
          <w:szCs w:val="21"/>
        </w:rPr>
      </w:pPr>
      <w:r>
        <w:rPr>
          <w:rFonts w:hint="eastAsia" w:ascii="宋体" w:hAnsi="宋体"/>
          <w:color w:val="auto"/>
          <w:sz w:val="21"/>
          <w:szCs w:val="21"/>
        </w:rPr>
        <w:t>视频监控设备接入，是指接入小区视频监控系统的IPC（网络摄像机）和NVR（网络录像机）等数字视频编码设备和存储设备。</w:t>
      </w:r>
    </w:p>
    <w:p>
      <w:pPr>
        <w:pStyle w:val="180"/>
        <w:ind w:firstLine="420"/>
        <w:rPr>
          <w:rFonts w:ascii="宋体" w:hAnsi="宋体"/>
          <w:color w:val="auto"/>
          <w:sz w:val="21"/>
          <w:szCs w:val="21"/>
        </w:rPr>
      </w:pPr>
      <w:r>
        <w:rPr>
          <w:rFonts w:ascii="宋体" w:hAnsi="宋体"/>
          <w:color w:val="auto"/>
          <w:sz w:val="21"/>
          <w:szCs w:val="21"/>
        </w:rPr>
        <w:t>2</w:t>
      </w:r>
      <w:r>
        <w:rPr>
          <w:rFonts w:hint="eastAsia" w:ascii="宋体" w:hAnsi="宋体"/>
          <w:color w:val="auto"/>
          <w:sz w:val="21"/>
          <w:szCs w:val="21"/>
        </w:rPr>
        <w:t>）接入情况统计</w:t>
      </w:r>
    </w:p>
    <w:p>
      <w:pPr>
        <w:pStyle w:val="180"/>
        <w:ind w:firstLine="420"/>
        <w:rPr>
          <w:rFonts w:ascii="宋体" w:hAnsi="宋体"/>
          <w:color w:val="auto"/>
          <w:sz w:val="21"/>
          <w:szCs w:val="21"/>
        </w:rPr>
      </w:pPr>
      <w:r>
        <w:rPr>
          <w:rFonts w:hint="eastAsia" w:ascii="宋体" w:hAnsi="宋体"/>
          <w:color w:val="auto"/>
          <w:sz w:val="21"/>
          <w:szCs w:val="21"/>
        </w:rPr>
        <w:t>本项目需将原小区自建视频监控情况较好的小区监控接入智安小区综合运行管理平台，根据“一小区一方案”调研问卷对各小区自建监控系统的排摸统计，并对其进行现场勘察，对其中约</w:t>
      </w:r>
      <w:r>
        <w:rPr>
          <w:rFonts w:ascii="宋体" w:hAnsi="宋体"/>
          <w:color w:val="auto"/>
          <w:sz w:val="21"/>
          <w:szCs w:val="21"/>
        </w:rPr>
        <w:t>277</w:t>
      </w:r>
      <w:r>
        <w:rPr>
          <w:rFonts w:hint="eastAsia" w:ascii="宋体" w:hAnsi="宋体"/>
          <w:color w:val="auto"/>
          <w:sz w:val="21"/>
          <w:szCs w:val="21"/>
        </w:rPr>
        <w:t>个小区符合接入条件的小区自建监控进行接入。具体条件是指：</w:t>
      </w:r>
    </w:p>
    <w:p>
      <w:pPr>
        <w:pStyle w:val="180"/>
        <w:ind w:firstLine="420"/>
        <w:rPr>
          <w:rFonts w:ascii="宋体" w:hAnsi="宋体"/>
          <w:color w:val="auto"/>
          <w:sz w:val="21"/>
          <w:szCs w:val="21"/>
        </w:rPr>
      </w:pPr>
      <w:r>
        <w:rPr>
          <w:rFonts w:hint="eastAsia" w:ascii="宋体" w:hAnsi="宋体"/>
          <w:color w:val="auto"/>
          <w:sz w:val="21"/>
          <w:szCs w:val="21"/>
        </w:rPr>
        <w:t>监控符合国标标准，采用NVR 进行存储；</w:t>
      </w:r>
    </w:p>
    <w:p>
      <w:pPr>
        <w:pStyle w:val="180"/>
        <w:ind w:firstLine="420"/>
        <w:rPr>
          <w:rFonts w:ascii="宋体" w:hAnsi="宋体"/>
          <w:color w:val="auto"/>
          <w:sz w:val="21"/>
          <w:szCs w:val="21"/>
        </w:rPr>
      </w:pPr>
      <w:r>
        <w:rPr>
          <w:rFonts w:hint="eastAsia" w:ascii="宋体" w:hAnsi="宋体"/>
          <w:color w:val="auto"/>
          <w:sz w:val="21"/>
          <w:szCs w:val="21"/>
        </w:rPr>
        <w:t>监控摄像机采用网络型摄像机，摄像机图像质量较好；</w:t>
      </w:r>
    </w:p>
    <w:p>
      <w:pPr>
        <w:pStyle w:val="180"/>
        <w:ind w:firstLine="420"/>
        <w:rPr>
          <w:rFonts w:ascii="宋体" w:hAnsi="宋体"/>
          <w:color w:val="auto"/>
          <w:sz w:val="21"/>
          <w:szCs w:val="21"/>
        </w:rPr>
      </w:pPr>
      <w:r>
        <w:rPr>
          <w:rFonts w:hint="eastAsia" w:ascii="宋体" w:hAnsi="宋体"/>
          <w:color w:val="auto"/>
          <w:sz w:val="21"/>
          <w:szCs w:val="21"/>
        </w:rPr>
        <w:t>3）接入方式</w:t>
      </w:r>
    </w:p>
    <w:p>
      <w:pPr>
        <w:pStyle w:val="180"/>
        <w:ind w:firstLine="420"/>
        <w:rPr>
          <w:rFonts w:ascii="宋体" w:hAnsi="宋体"/>
          <w:color w:val="auto"/>
          <w:sz w:val="21"/>
          <w:szCs w:val="21"/>
        </w:rPr>
      </w:pPr>
      <w:r>
        <w:rPr>
          <w:rFonts w:hint="eastAsia" w:ascii="宋体" w:hAnsi="宋体"/>
          <w:color w:val="auto"/>
          <w:sz w:val="21"/>
          <w:szCs w:val="21"/>
        </w:rPr>
        <w:t>对于前端接入点原有NVR 具有双网口且符合国标要求的点位，可直接接入。双网口NVR一个网口为LAN 口（接入智安小区汇聚专网），另一个网口用于管理交换机网口（接入IPC），两个网口可以实现双网隔离。对于原有N</w:t>
      </w:r>
      <w:r>
        <w:rPr>
          <w:rFonts w:ascii="宋体" w:hAnsi="宋体"/>
          <w:color w:val="auto"/>
          <w:sz w:val="21"/>
          <w:szCs w:val="21"/>
        </w:rPr>
        <w:t>VR</w:t>
      </w:r>
      <w:r>
        <w:rPr>
          <w:rFonts w:hint="eastAsia" w:ascii="宋体" w:hAnsi="宋体"/>
          <w:color w:val="auto"/>
          <w:sz w:val="21"/>
          <w:szCs w:val="21"/>
        </w:rPr>
        <w:t>为单网口的可通过安全接入网关进行接入。</w:t>
      </w:r>
    </w:p>
    <w:p>
      <w:pPr>
        <w:pStyle w:val="180"/>
        <w:ind w:firstLine="420"/>
        <w:rPr>
          <w:rFonts w:ascii="宋体" w:hAnsi="宋体"/>
          <w:color w:val="auto"/>
          <w:sz w:val="21"/>
          <w:szCs w:val="21"/>
        </w:rPr>
      </w:pPr>
      <w:r>
        <w:rPr>
          <w:rFonts w:hint="eastAsia" w:ascii="宋体" w:hAnsi="宋体"/>
          <w:color w:val="auto"/>
          <w:sz w:val="21"/>
          <w:szCs w:val="21"/>
        </w:rPr>
        <w:t>（4）门禁系统接入</w:t>
      </w:r>
    </w:p>
    <w:p>
      <w:pPr>
        <w:pStyle w:val="180"/>
        <w:ind w:firstLine="420"/>
        <w:rPr>
          <w:rFonts w:ascii="宋体" w:hAnsi="宋体"/>
          <w:color w:val="auto"/>
          <w:sz w:val="21"/>
          <w:szCs w:val="21"/>
        </w:rPr>
      </w:pPr>
      <w:r>
        <w:rPr>
          <w:rFonts w:hint="eastAsia" w:ascii="宋体" w:hAnsi="宋体"/>
          <w:color w:val="auto"/>
          <w:sz w:val="21"/>
          <w:szCs w:val="21"/>
        </w:rPr>
        <w:t>本项目需将原小区自建门禁系统情况较好的小区监控接入智安小区综合运行管理平台，根据“一小区一方案”调研问卷对各小区自建门禁系统的排摸统计，并对其进行现场勘察，对其中约</w:t>
      </w:r>
      <w:r>
        <w:rPr>
          <w:rFonts w:ascii="宋体" w:hAnsi="宋体"/>
          <w:color w:val="auto"/>
          <w:sz w:val="21"/>
          <w:szCs w:val="21"/>
        </w:rPr>
        <w:t>60</w:t>
      </w:r>
      <w:r>
        <w:rPr>
          <w:rFonts w:hint="eastAsia" w:ascii="宋体" w:hAnsi="宋体"/>
          <w:color w:val="auto"/>
          <w:sz w:val="21"/>
          <w:szCs w:val="21"/>
        </w:rPr>
        <w:t>个小区符合接入条件的小区自建门禁系统进行接入。</w:t>
      </w:r>
    </w:p>
    <w:p>
      <w:pPr>
        <w:pStyle w:val="180"/>
        <w:ind w:firstLine="420"/>
        <w:rPr>
          <w:rFonts w:ascii="宋体" w:hAnsi="宋体"/>
          <w:color w:val="auto"/>
          <w:sz w:val="21"/>
          <w:szCs w:val="21"/>
        </w:rPr>
      </w:pPr>
      <w:r>
        <w:rPr>
          <w:rFonts w:hint="eastAsia" w:ascii="宋体" w:hAnsi="宋体"/>
          <w:color w:val="auto"/>
          <w:sz w:val="21"/>
          <w:szCs w:val="21"/>
        </w:rPr>
        <w:t>（5）其他系统对接</w:t>
      </w:r>
    </w:p>
    <w:p>
      <w:pPr>
        <w:pStyle w:val="180"/>
        <w:ind w:firstLine="420"/>
        <w:rPr>
          <w:rFonts w:ascii="宋体" w:hAnsi="宋体"/>
          <w:color w:val="auto"/>
          <w:sz w:val="21"/>
          <w:szCs w:val="21"/>
        </w:rPr>
      </w:pPr>
      <w:r>
        <w:rPr>
          <w:rFonts w:ascii="宋体" w:hAnsi="宋体"/>
          <w:color w:val="auto"/>
          <w:sz w:val="21"/>
          <w:szCs w:val="21"/>
        </w:rPr>
        <w:t>依托公安、住建等部门，充分共享“一网感知”“雪亮平台”已建资源，对接全域未来社区智慧服务平台。</w:t>
      </w:r>
    </w:p>
    <w:p>
      <w:pPr>
        <w:pStyle w:val="180"/>
        <w:ind w:firstLine="420"/>
        <w:rPr>
          <w:rFonts w:ascii="宋体" w:hAnsi="宋体"/>
          <w:color w:val="auto"/>
          <w:sz w:val="21"/>
          <w:szCs w:val="21"/>
        </w:rPr>
      </w:pPr>
      <w:r>
        <w:rPr>
          <w:rFonts w:ascii="宋体" w:hAnsi="宋体"/>
          <w:color w:val="auto"/>
          <w:sz w:val="21"/>
          <w:szCs w:val="21"/>
        </w:rPr>
        <w:t>统一应用门户的物联中心需要与市级城市物联赋能平台对接要求，及IRS组件超市强制组件电子地图等组件使用要求</w:t>
      </w:r>
      <w:r>
        <w:rPr>
          <w:rFonts w:hint="eastAsia" w:ascii="宋体" w:hAnsi="宋体"/>
          <w:color w:val="auto"/>
          <w:sz w:val="21"/>
          <w:szCs w:val="21"/>
        </w:rPr>
        <w:t>。对接停车场车辆道闸，将道闸数据推送至宁波市智能公共数据平台余姚分平台（余姚数仓），并同步至余姚市域物联融合赋能平台，对车辆高频数据进行分析。</w:t>
      </w:r>
    </w:p>
    <w:p>
      <w:pPr>
        <w:pStyle w:val="180"/>
        <w:ind w:firstLine="420"/>
        <w:rPr>
          <w:rFonts w:ascii="宋体" w:hAnsi="宋体"/>
          <w:color w:val="auto"/>
          <w:sz w:val="21"/>
          <w:szCs w:val="21"/>
        </w:rPr>
      </w:pPr>
      <w:r>
        <w:rPr>
          <w:rFonts w:hint="eastAsia" w:ascii="宋体" w:hAnsi="宋体"/>
          <w:color w:val="auto"/>
          <w:sz w:val="21"/>
          <w:szCs w:val="21"/>
        </w:rPr>
        <w:t>将小区内人、房、物、门禁、道闸及各类告警信息等推送至宁波市智能公共数据平台余姚分平台（余姚数仓），为该平台提供更多的数据，探索城市管理新场景以及城市运营新模型。</w:t>
      </w:r>
    </w:p>
    <w:p>
      <w:pPr>
        <w:pStyle w:val="180"/>
        <w:ind w:firstLine="420"/>
        <w:rPr>
          <w:rFonts w:ascii="宋体" w:hAnsi="宋体"/>
          <w:color w:val="auto"/>
          <w:sz w:val="21"/>
          <w:szCs w:val="21"/>
        </w:rPr>
      </w:pPr>
      <w:r>
        <w:rPr>
          <w:rFonts w:hint="eastAsia" w:ascii="宋体" w:hAnsi="宋体"/>
          <w:color w:val="auto"/>
          <w:sz w:val="21"/>
          <w:szCs w:val="21"/>
        </w:rPr>
        <w:t>小区侧新建以及原有的物联感知设备经智安小区汇聚专网平台汇聚后，通过网关将视频、人脸和车辆抓拍数据、门禁道闸数据推送至余姚市社会面视图汇聚平台（雪亮平台），由余姚市社会面汇聚平台将数据推送至余姚市公安视频专网的智能防控平台和城市视频专网的城市级视频融合赋能平台，赋能公安业务应用和其他局委办应用。</w:t>
      </w:r>
    </w:p>
    <w:p>
      <w:pPr>
        <w:rPr>
          <w:rFonts w:ascii="宋体" w:hAnsi="宋体"/>
          <w:color w:val="auto"/>
          <w:szCs w:val="21"/>
        </w:rPr>
      </w:pPr>
      <w:r>
        <w:rPr>
          <w:rFonts w:hint="eastAsia" w:ascii="宋体" w:hAnsi="宋体"/>
          <w:color w:val="auto"/>
          <w:szCs w:val="21"/>
        </w:rPr>
        <w:br w:type="page"/>
      </w:r>
      <w:r>
        <w:rPr>
          <w:rFonts w:hint="eastAsia" w:ascii="宋体" w:hAnsi="宋体"/>
          <w:color w:val="auto"/>
          <w:szCs w:val="21"/>
        </w:rPr>
        <w:tab/>
      </w:r>
      <w:r>
        <w:rPr>
          <w:rFonts w:hint="eastAsia" w:ascii="宋体" w:hAnsi="宋体"/>
          <w:color w:val="auto"/>
          <w:szCs w:val="21"/>
        </w:rPr>
        <w:t>二、采购</w:t>
      </w:r>
      <w:r>
        <w:rPr>
          <w:rFonts w:ascii="宋体" w:hAnsi="宋体"/>
          <w:color w:val="auto"/>
          <w:szCs w:val="21"/>
        </w:rPr>
        <w:t>清单</w:t>
      </w:r>
    </w:p>
    <w:tbl>
      <w:tblPr>
        <w:tblStyle w:val="41"/>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7"/>
        <w:gridCol w:w="2355"/>
        <w:gridCol w:w="2355"/>
        <w:gridCol w:w="567"/>
        <w:gridCol w:w="567"/>
        <w:gridCol w:w="2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0" w:type="auto"/>
            <w:tcBorders>
              <w:tl2br w:val="nil"/>
              <w:tr2bl w:val="nil"/>
            </w:tcBorders>
            <w:shd w:val="clear" w:color="auto" w:fill="auto"/>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序号</w:t>
            </w:r>
          </w:p>
        </w:tc>
        <w:tc>
          <w:tcPr>
            <w:tcW w:w="0" w:type="auto"/>
            <w:gridSpan w:val="2"/>
            <w:tcBorders>
              <w:tl2br w:val="nil"/>
              <w:tr2bl w:val="nil"/>
            </w:tcBorders>
            <w:shd w:val="clear" w:color="auto" w:fill="auto"/>
            <w:vAlign w:val="center"/>
          </w:tcPr>
          <w:p>
            <w:pPr>
              <w:widowControl/>
              <w:jc w:val="left"/>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系统名称</w:t>
            </w:r>
          </w:p>
        </w:tc>
        <w:tc>
          <w:tcPr>
            <w:tcW w:w="0" w:type="auto"/>
            <w:tcBorders>
              <w:tl2br w:val="nil"/>
              <w:tr2bl w:val="nil"/>
            </w:tcBorders>
            <w:shd w:val="clear" w:color="auto" w:fill="auto"/>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数量</w:t>
            </w:r>
          </w:p>
        </w:tc>
        <w:tc>
          <w:tcPr>
            <w:tcW w:w="0" w:type="auto"/>
            <w:tcBorders>
              <w:tl2br w:val="nil"/>
              <w:tr2bl w:val="nil"/>
            </w:tcBorders>
            <w:shd w:val="clear" w:color="auto" w:fill="auto"/>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单位</w:t>
            </w:r>
          </w:p>
        </w:tc>
        <w:tc>
          <w:tcPr>
            <w:tcW w:w="0" w:type="auto"/>
            <w:tcBorders>
              <w:tl2br w:val="nil"/>
              <w:tr2bl w:val="nil"/>
            </w:tcBorders>
            <w:shd w:val="clear" w:color="auto" w:fill="auto"/>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0" w:type="auto"/>
            <w:vMerge w:val="restart"/>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0" w:type="auto"/>
            <w:vMerge w:val="restart"/>
            <w:tcBorders>
              <w:tl2br w:val="nil"/>
              <w:tr2bl w:val="nil"/>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前端感知系统建设</w:t>
            </w:r>
          </w:p>
        </w:tc>
        <w:tc>
          <w:tcPr>
            <w:tcW w:w="0" w:type="auto"/>
            <w:tcBorders>
              <w:tl2br w:val="nil"/>
              <w:tr2bl w:val="nil"/>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前端设备建设</w:t>
            </w:r>
          </w:p>
        </w:tc>
        <w:tc>
          <w:tcPr>
            <w:tcW w:w="0" w:type="auto"/>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0" w:type="auto"/>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项</w:t>
            </w:r>
          </w:p>
        </w:tc>
        <w:tc>
          <w:tcPr>
            <w:tcW w:w="0" w:type="auto"/>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详见三、技术需求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vMerge w:val="continue"/>
            <w:tcBorders>
              <w:tl2br w:val="nil"/>
              <w:tr2bl w:val="nil"/>
            </w:tcBorders>
            <w:shd w:val="clear" w:color="auto" w:fill="auto"/>
            <w:vAlign w:val="center"/>
          </w:tcPr>
          <w:p>
            <w:pPr>
              <w:jc w:val="center"/>
              <w:rPr>
                <w:rFonts w:ascii="宋体" w:hAnsi="宋体" w:cs="宋体"/>
                <w:color w:val="auto"/>
                <w:sz w:val="20"/>
                <w:szCs w:val="20"/>
              </w:rPr>
            </w:pPr>
          </w:p>
        </w:tc>
        <w:tc>
          <w:tcPr>
            <w:tcW w:w="0" w:type="auto"/>
            <w:vMerge w:val="continue"/>
            <w:tcBorders>
              <w:tl2br w:val="nil"/>
              <w:tr2bl w:val="nil"/>
            </w:tcBorders>
            <w:shd w:val="clear" w:color="auto" w:fill="auto"/>
            <w:vAlign w:val="center"/>
          </w:tcPr>
          <w:p>
            <w:pPr>
              <w:jc w:val="left"/>
              <w:rPr>
                <w:rFonts w:ascii="宋体" w:hAnsi="宋体" w:cs="宋体"/>
                <w:color w:val="auto"/>
                <w:sz w:val="20"/>
                <w:szCs w:val="20"/>
              </w:rPr>
            </w:pPr>
          </w:p>
        </w:tc>
        <w:tc>
          <w:tcPr>
            <w:tcW w:w="0" w:type="auto"/>
            <w:tcBorders>
              <w:tl2br w:val="nil"/>
              <w:tr2bl w:val="nil"/>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辅材及施工</w:t>
            </w:r>
          </w:p>
        </w:tc>
        <w:tc>
          <w:tcPr>
            <w:tcW w:w="0" w:type="auto"/>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0" w:type="auto"/>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项</w:t>
            </w:r>
          </w:p>
        </w:tc>
        <w:tc>
          <w:tcPr>
            <w:tcW w:w="0" w:type="auto"/>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详见三、技术需求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0" w:type="auto"/>
            <w:vMerge w:val="continue"/>
            <w:tcBorders>
              <w:tl2br w:val="nil"/>
              <w:tr2bl w:val="nil"/>
            </w:tcBorders>
            <w:shd w:val="clear" w:color="auto" w:fill="auto"/>
            <w:vAlign w:val="center"/>
          </w:tcPr>
          <w:p>
            <w:pPr>
              <w:jc w:val="center"/>
              <w:rPr>
                <w:rFonts w:ascii="宋体" w:hAnsi="宋体" w:cs="宋体"/>
                <w:color w:val="auto"/>
                <w:sz w:val="20"/>
                <w:szCs w:val="20"/>
              </w:rPr>
            </w:pPr>
          </w:p>
        </w:tc>
        <w:tc>
          <w:tcPr>
            <w:tcW w:w="0" w:type="auto"/>
            <w:vMerge w:val="continue"/>
            <w:tcBorders>
              <w:tl2br w:val="nil"/>
              <w:tr2bl w:val="nil"/>
            </w:tcBorders>
            <w:shd w:val="clear" w:color="auto" w:fill="auto"/>
            <w:vAlign w:val="center"/>
          </w:tcPr>
          <w:p>
            <w:pPr>
              <w:jc w:val="left"/>
              <w:rPr>
                <w:rFonts w:ascii="宋体" w:hAnsi="宋体" w:cs="宋体"/>
                <w:color w:val="auto"/>
                <w:sz w:val="20"/>
                <w:szCs w:val="20"/>
              </w:rPr>
            </w:pPr>
          </w:p>
        </w:tc>
        <w:tc>
          <w:tcPr>
            <w:tcW w:w="0" w:type="auto"/>
            <w:tcBorders>
              <w:tl2br w:val="nil"/>
              <w:tr2bl w:val="nil"/>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链路租赁费</w:t>
            </w:r>
          </w:p>
        </w:tc>
        <w:tc>
          <w:tcPr>
            <w:tcW w:w="0" w:type="auto"/>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0" w:type="auto"/>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项</w:t>
            </w:r>
          </w:p>
        </w:tc>
        <w:tc>
          <w:tcPr>
            <w:tcW w:w="0" w:type="auto"/>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详见三、技术需求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0" w:type="auto"/>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0" w:type="auto"/>
            <w:gridSpan w:val="2"/>
            <w:tcBorders>
              <w:tl2br w:val="nil"/>
              <w:tr2bl w:val="nil"/>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传输网络系统建设</w:t>
            </w:r>
          </w:p>
        </w:tc>
        <w:tc>
          <w:tcPr>
            <w:tcW w:w="0" w:type="auto"/>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0" w:type="auto"/>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项</w:t>
            </w:r>
          </w:p>
        </w:tc>
        <w:tc>
          <w:tcPr>
            <w:tcW w:w="0" w:type="auto"/>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详见三、技术需求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0" w:type="auto"/>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0" w:type="auto"/>
            <w:gridSpan w:val="2"/>
            <w:tcBorders>
              <w:tl2br w:val="nil"/>
              <w:tr2bl w:val="nil"/>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网络安全系统建设</w:t>
            </w:r>
          </w:p>
        </w:tc>
        <w:tc>
          <w:tcPr>
            <w:tcW w:w="0" w:type="auto"/>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0" w:type="auto"/>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项</w:t>
            </w:r>
          </w:p>
        </w:tc>
        <w:tc>
          <w:tcPr>
            <w:tcW w:w="0" w:type="auto"/>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详见三、技术需求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0" w:type="auto"/>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w:t>
            </w:r>
          </w:p>
        </w:tc>
        <w:tc>
          <w:tcPr>
            <w:tcW w:w="0" w:type="auto"/>
            <w:gridSpan w:val="2"/>
            <w:tcBorders>
              <w:tl2br w:val="nil"/>
              <w:tr2bl w:val="nil"/>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中心端视频存储系统建设</w:t>
            </w:r>
          </w:p>
        </w:tc>
        <w:tc>
          <w:tcPr>
            <w:tcW w:w="0" w:type="auto"/>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0" w:type="auto"/>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项</w:t>
            </w:r>
          </w:p>
        </w:tc>
        <w:tc>
          <w:tcPr>
            <w:tcW w:w="0" w:type="auto"/>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详见三、技术需求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0" w:type="auto"/>
            <w:vMerge w:val="restart"/>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w:t>
            </w:r>
          </w:p>
        </w:tc>
        <w:tc>
          <w:tcPr>
            <w:tcW w:w="0" w:type="auto"/>
            <w:vMerge w:val="restart"/>
            <w:tcBorders>
              <w:tl2br w:val="nil"/>
              <w:tr2bl w:val="nil"/>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智安小区综合运行管理平台建设</w:t>
            </w:r>
          </w:p>
        </w:tc>
        <w:tc>
          <w:tcPr>
            <w:tcW w:w="0" w:type="auto"/>
            <w:tcBorders>
              <w:tl2br w:val="nil"/>
              <w:tr2bl w:val="nil"/>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智安小区综合运行管理平台 </w:t>
            </w:r>
          </w:p>
        </w:tc>
        <w:tc>
          <w:tcPr>
            <w:tcW w:w="0" w:type="auto"/>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0" w:type="auto"/>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套</w:t>
            </w:r>
          </w:p>
        </w:tc>
        <w:tc>
          <w:tcPr>
            <w:tcW w:w="0" w:type="auto"/>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详见三、技术需求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0" w:type="auto"/>
            <w:vMerge w:val="continue"/>
            <w:tcBorders>
              <w:tl2br w:val="nil"/>
              <w:tr2bl w:val="nil"/>
            </w:tcBorders>
            <w:shd w:val="clear" w:color="auto" w:fill="auto"/>
            <w:vAlign w:val="center"/>
          </w:tcPr>
          <w:p>
            <w:pPr>
              <w:jc w:val="center"/>
              <w:rPr>
                <w:rFonts w:ascii="宋体" w:hAnsi="宋体" w:cs="宋体"/>
                <w:color w:val="auto"/>
                <w:sz w:val="20"/>
                <w:szCs w:val="20"/>
              </w:rPr>
            </w:pPr>
          </w:p>
        </w:tc>
        <w:tc>
          <w:tcPr>
            <w:tcW w:w="0" w:type="auto"/>
            <w:vMerge w:val="continue"/>
            <w:tcBorders>
              <w:tl2br w:val="nil"/>
              <w:tr2bl w:val="nil"/>
            </w:tcBorders>
            <w:shd w:val="clear" w:color="auto" w:fill="auto"/>
            <w:vAlign w:val="center"/>
          </w:tcPr>
          <w:p>
            <w:pPr>
              <w:jc w:val="left"/>
              <w:rPr>
                <w:rFonts w:ascii="宋体" w:hAnsi="宋体" w:cs="宋体"/>
                <w:color w:val="auto"/>
                <w:sz w:val="20"/>
                <w:szCs w:val="20"/>
              </w:rPr>
            </w:pPr>
          </w:p>
        </w:tc>
        <w:tc>
          <w:tcPr>
            <w:tcW w:w="0" w:type="auto"/>
            <w:tcBorders>
              <w:tl2br w:val="nil"/>
              <w:tr2bl w:val="nil"/>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平台硬件服务器</w:t>
            </w:r>
          </w:p>
        </w:tc>
        <w:tc>
          <w:tcPr>
            <w:tcW w:w="0" w:type="auto"/>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0" w:type="auto"/>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套</w:t>
            </w:r>
          </w:p>
        </w:tc>
        <w:tc>
          <w:tcPr>
            <w:tcW w:w="0" w:type="auto"/>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详见三、技术需求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0" w:type="auto"/>
            <w:vMerge w:val="restart"/>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ascii="宋体" w:hAnsi="宋体" w:cs="宋体"/>
                <w:color w:val="auto"/>
                <w:kern w:val="0"/>
                <w:sz w:val="20"/>
                <w:szCs w:val="20"/>
                <w:lang w:bidi="ar"/>
              </w:rPr>
              <w:t>6</w:t>
            </w:r>
          </w:p>
        </w:tc>
        <w:tc>
          <w:tcPr>
            <w:tcW w:w="0" w:type="auto"/>
            <w:vMerge w:val="restart"/>
            <w:tcBorders>
              <w:tl2br w:val="nil"/>
              <w:tr2bl w:val="nil"/>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运行维护费</w:t>
            </w:r>
          </w:p>
        </w:tc>
        <w:tc>
          <w:tcPr>
            <w:tcW w:w="0" w:type="auto"/>
            <w:tcBorders>
              <w:tl2br w:val="nil"/>
              <w:tr2bl w:val="nil"/>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设备电费</w:t>
            </w:r>
          </w:p>
        </w:tc>
        <w:tc>
          <w:tcPr>
            <w:tcW w:w="0" w:type="auto"/>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0" w:type="auto"/>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项</w:t>
            </w:r>
          </w:p>
        </w:tc>
        <w:tc>
          <w:tcPr>
            <w:tcW w:w="0" w:type="auto"/>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详见三、技术需求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0" w:type="auto"/>
            <w:vMerge w:val="continue"/>
            <w:tcBorders>
              <w:tl2br w:val="nil"/>
              <w:tr2bl w:val="nil"/>
            </w:tcBorders>
            <w:shd w:val="clear" w:color="auto" w:fill="auto"/>
            <w:vAlign w:val="center"/>
          </w:tcPr>
          <w:p>
            <w:pPr>
              <w:jc w:val="center"/>
              <w:rPr>
                <w:rFonts w:ascii="宋体" w:hAnsi="宋体" w:cs="宋体"/>
                <w:color w:val="auto"/>
                <w:sz w:val="20"/>
                <w:szCs w:val="20"/>
              </w:rPr>
            </w:pPr>
          </w:p>
        </w:tc>
        <w:tc>
          <w:tcPr>
            <w:tcW w:w="0" w:type="auto"/>
            <w:vMerge w:val="continue"/>
            <w:tcBorders>
              <w:tl2br w:val="nil"/>
              <w:tr2bl w:val="nil"/>
            </w:tcBorders>
            <w:shd w:val="clear" w:color="auto" w:fill="auto"/>
            <w:vAlign w:val="center"/>
          </w:tcPr>
          <w:p>
            <w:pPr>
              <w:jc w:val="left"/>
              <w:rPr>
                <w:rFonts w:ascii="宋体" w:hAnsi="宋体" w:cs="宋体"/>
                <w:color w:val="auto"/>
                <w:sz w:val="20"/>
                <w:szCs w:val="20"/>
              </w:rPr>
            </w:pPr>
          </w:p>
        </w:tc>
        <w:tc>
          <w:tcPr>
            <w:tcW w:w="0" w:type="auto"/>
            <w:tcBorders>
              <w:tl2br w:val="nil"/>
              <w:tr2bl w:val="nil"/>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智安小区汇聚专网到街镇</w:t>
            </w:r>
          </w:p>
        </w:tc>
        <w:tc>
          <w:tcPr>
            <w:tcW w:w="0" w:type="auto"/>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0" w:type="auto"/>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项</w:t>
            </w:r>
          </w:p>
        </w:tc>
        <w:tc>
          <w:tcPr>
            <w:tcW w:w="0" w:type="auto"/>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详见三、技术需求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0" w:type="auto"/>
            <w:vMerge w:val="continue"/>
            <w:tcBorders>
              <w:tl2br w:val="nil"/>
              <w:tr2bl w:val="nil"/>
            </w:tcBorders>
            <w:shd w:val="clear" w:color="auto" w:fill="auto"/>
            <w:vAlign w:val="center"/>
          </w:tcPr>
          <w:p>
            <w:pPr>
              <w:jc w:val="center"/>
              <w:rPr>
                <w:rFonts w:ascii="宋体" w:hAnsi="宋体" w:cs="宋体"/>
                <w:color w:val="auto"/>
                <w:sz w:val="20"/>
                <w:szCs w:val="20"/>
              </w:rPr>
            </w:pPr>
          </w:p>
        </w:tc>
        <w:tc>
          <w:tcPr>
            <w:tcW w:w="0" w:type="auto"/>
            <w:vMerge w:val="continue"/>
            <w:tcBorders>
              <w:tl2br w:val="nil"/>
              <w:tr2bl w:val="nil"/>
            </w:tcBorders>
            <w:shd w:val="clear" w:color="auto" w:fill="auto"/>
            <w:vAlign w:val="center"/>
          </w:tcPr>
          <w:p>
            <w:pPr>
              <w:jc w:val="left"/>
              <w:rPr>
                <w:rFonts w:ascii="宋体" w:hAnsi="宋体" w:cs="宋体"/>
                <w:color w:val="auto"/>
                <w:sz w:val="20"/>
                <w:szCs w:val="20"/>
              </w:rPr>
            </w:pPr>
          </w:p>
        </w:tc>
        <w:tc>
          <w:tcPr>
            <w:tcW w:w="0" w:type="auto"/>
            <w:tcBorders>
              <w:tl2br w:val="nil"/>
              <w:tr2bl w:val="nil"/>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智安小区汇聚专网到社会面专网</w:t>
            </w:r>
          </w:p>
        </w:tc>
        <w:tc>
          <w:tcPr>
            <w:tcW w:w="0" w:type="auto"/>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0" w:type="auto"/>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项</w:t>
            </w:r>
          </w:p>
        </w:tc>
        <w:tc>
          <w:tcPr>
            <w:tcW w:w="0" w:type="auto"/>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详见三、技术需求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0" w:type="auto"/>
            <w:vMerge w:val="continue"/>
            <w:tcBorders>
              <w:tl2br w:val="nil"/>
              <w:tr2bl w:val="nil"/>
            </w:tcBorders>
            <w:shd w:val="clear" w:color="auto" w:fill="auto"/>
            <w:vAlign w:val="center"/>
          </w:tcPr>
          <w:p>
            <w:pPr>
              <w:jc w:val="center"/>
              <w:rPr>
                <w:rFonts w:ascii="宋体" w:hAnsi="宋体" w:cs="宋体"/>
                <w:color w:val="auto"/>
                <w:sz w:val="20"/>
                <w:szCs w:val="20"/>
              </w:rPr>
            </w:pPr>
          </w:p>
        </w:tc>
        <w:tc>
          <w:tcPr>
            <w:tcW w:w="0" w:type="auto"/>
            <w:vMerge w:val="continue"/>
            <w:tcBorders>
              <w:tl2br w:val="nil"/>
              <w:tr2bl w:val="nil"/>
            </w:tcBorders>
            <w:shd w:val="clear" w:color="auto" w:fill="auto"/>
            <w:vAlign w:val="center"/>
          </w:tcPr>
          <w:p>
            <w:pPr>
              <w:jc w:val="left"/>
              <w:rPr>
                <w:rFonts w:ascii="宋体" w:hAnsi="宋体" w:cs="宋体"/>
                <w:color w:val="auto"/>
                <w:sz w:val="20"/>
                <w:szCs w:val="20"/>
              </w:rPr>
            </w:pPr>
          </w:p>
        </w:tc>
        <w:tc>
          <w:tcPr>
            <w:tcW w:w="0" w:type="auto"/>
            <w:tcBorders>
              <w:tl2br w:val="nil"/>
              <w:tr2bl w:val="nil"/>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巡更4G卡</w:t>
            </w:r>
          </w:p>
        </w:tc>
        <w:tc>
          <w:tcPr>
            <w:tcW w:w="0" w:type="auto"/>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0" w:type="auto"/>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项</w:t>
            </w:r>
          </w:p>
        </w:tc>
        <w:tc>
          <w:tcPr>
            <w:tcW w:w="0" w:type="auto"/>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详见三、技术需求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0" w:type="auto"/>
            <w:vMerge w:val="continue"/>
            <w:tcBorders>
              <w:tl2br w:val="nil"/>
              <w:tr2bl w:val="nil"/>
            </w:tcBorders>
            <w:shd w:val="clear" w:color="auto" w:fill="auto"/>
            <w:vAlign w:val="center"/>
          </w:tcPr>
          <w:p>
            <w:pPr>
              <w:jc w:val="center"/>
              <w:rPr>
                <w:rFonts w:ascii="宋体" w:hAnsi="宋体" w:cs="宋体"/>
                <w:color w:val="auto"/>
                <w:sz w:val="20"/>
                <w:szCs w:val="20"/>
              </w:rPr>
            </w:pPr>
          </w:p>
        </w:tc>
        <w:tc>
          <w:tcPr>
            <w:tcW w:w="0" w:type="auto"/>
            <w:vMerge w:val="continue"/>
            <w:tcBorders>
              <w:tl2br w:val="nil"/>
              <w:tr2bl w:val="nil"/>
            </w:tcBorders>
            <w:shd w:val="clear" w:color="auto" w:fill="auto"/>
            <w:vAlign w:val="center"/>
          </w:tcPr>
          <w:p>
            <w:pPr>
              <w:jc w:val="left"/>
              <w:rPr>
                <w:rFonts w:ascii="宋体" w:hAnsi="宋体" w:cs="宋体"/>
                <w:color w:val="auto"/>
                <w:sz w:val="20"/>
                <w:szCs w:val="20"/>
              </w:rPr>
            </w:pPr>
          </w:p>
        </w:tc>
        <w:tc>
          <w:tcPr>
            <w:tcW w:w="0" w:type="auto"/>
            <w:tcBorders>
              <w:tl2br w:val="nil"/>
              <w:tr2bl w:val="nil"/>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机柜租赁费-运营商机房</w:t>
            </w:r>
          </w:p>
        </w:tc>
        <w:tc>
          <w:tcPr>
            <w:tcW w:w="0" w:type="auto"/>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0" w:type="auto"/>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项</w:t>
            </w:r>
          </w:p>
        </w:tc>
        <w:tc>
          <w:tcPr>
            <w:tcW w:w="0" w:type="auto"/>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详见三、技术需求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0" w:type="auto"/>
            <w:vMerge w:val="continue"/>
            <w:tcBorders>
              <w:tl2br w:val="nil"/>
              <w:tr2bl w:val="nil"/>
            </w:tcBorders>
            <w:shd w:val="clear" w:color="auto" w:fill="auto"/>
            <w:vAlign w:val="center"/>
          </w:tcPr>
          <w:p>
            <w:pPr>
              <w:jc w:val="center"/>
              <w:rPr>
                <w:rFonts w:ascii="宋体" w:hAnsi="宋体" w:cs="宋体"/>
                <w:color w:val="auto"/>
                <w:sz w:val="20"/>
                <w:szCs w:val="20"/>
              </w:rPr>
            </w:pPr>
          </w:p>
        </w:tc>
        <w:tc>
          <w:tcPr>
            <w:tcW w:w="0" w:type="auto"/>
            <w:vMerge w:val="continue"/>
            <w:tcBorders>
              <w:tl2br w:val="nil"/>
              <w:tr2bl w:val="nil"/>
            </w:tcBorders>
            <w:shd w:val="clear" w:color="auto" w:fill="auto"/>
            <w:vAlign w:val="center"/>
          </w:tcPr>
          <w:p>
            <w:pPr>
              <w:jc w:val="left"/>
              <w:rPr>
                <w:rFonts w:ascii="宋体" w:hAnsi="宋体" w:cs="宋体"/>
                <w:color w:val="auto"/>
                <w:sz w:val="20"/>
                <w:szCs w:val="20"/>
              </w:rPr>
            </w:pPr>
          </w:p>
        </w:tc>
        <w:tc>
          <w:tcPr>
            <w:tcW w:w="0" w:type="auto"/>
            <w:tcBorders>
              <w:tl2br w:val="nil"/>
              <w:tr2bl w:val="nil"/>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技术运维费</w:t>
            </w:r>
          </w:p>
        </w:tc>
        <w:tc>
          <w:tcPr>
            <w:tcW w:w="0" w:type="auto"/>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0" w:type="auto"/>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项</w:t>
            </w:r>
          </w:p>
        </w:tc>
        <w:tc>
          <w:tcPr>
            <w:tcW w:w="0" w:type="auto"/>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详见三、技术需求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0" w:type="auto"/>
            <w:tcBorders>
              <w:tl2br w:val="nil"/>
              <w:tr2bl w:val="nil"/>
            </w:tcBorders>
            <w:shd w:val="clear" w:color="auto" w:fill="auto"/>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7</w:t>
            </w:r>
          </w:p>
        </w:tc>
        <w:tc>
          <w:tcPr>
            <w:tcW w:w="0" w:type="auto"/>
            <w:gridSpan w:val="2"/>
            <w:tcBorders>
              <w:tl2br w:val="nil"/>
              <w:tr2bl w:val="nil"/>
            </w:tcBorders>
            <w:shd w:val="clear" w:color="auto" w:fill="auto"/>
            <w:vAlign w:val="center"/>
          </w:tcPr>
          <w:p>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系统集成费</w:t>
            </w:r>
          </w:p>
        </w:tc>
        <w:tc>
          <w:tcPr>
            <w:tcW w:w="0" w:type="auto"/>
            <w:tcBorders>
              <w:tl2br w:val="nil"/>
              <w:tr2bl w:val="nil"/>
            </w:tcBorders>
            <w:shd w:val="clear" w:color="auto" w:fill="auto"/>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0" w:type="auto"/>
            <w:tcBorders>
              <w:tl2br w:val="nil"/>
              <w:tr2bl w:val="nil"/>
            </w:tcBorders>
            <w:shd w:val="clear" w:color="auto" w:fill="auto"/>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项</w:t>
            </w:r>
          </w:p>
        </w:tc>
        <w:tc>
          <w:tcPr>
            <w:tcW w:w="0" w:type="auto"/>
            <w:tcBorders>
              <w:tl2br w:val="nil"/>
              <w:tr2bl w:val="nil"/>
            </w:tcBorders>
            <w:shd w:val="clear" w:color="auto" w:fill="auto"/>
            <w:vAlign w:val="center"/>
          </w:tcPr>
          <w:p>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详见三、技术需求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0" w:type="auto"/>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ascii="宋体" w:hAnsi="宋体" w:cs="宋体"/>
                <w:color w:val="auto"/>
                <w:kern w:val="0"/>
                <w:sz w:val="20"/>
                <w:szCs w:val="20"/>
                <w:lang w:bidi="ar"/>
              </w:rPr>
              <w:t>8</w:t>
            </w:r>
          </w:p>
        </w:tc>
        <w:tc>
          <w:tcPr>
            <w:tcW w:w="0" w:type="auto"/>
            <w:gridSpan w:val="2"/>
            <w:tcBorders>
              <w:tl2br w:val="nil"/>
              <w:tr2bl w:val="nil"/>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预备费</w:t>
            </w:r>
          </w:p>
        </w:tc>
        <w:tc>
          <w:tcPr>
            <w:tcW w:w="0" w:type="auto"/>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0" w:type="auto"/>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项</w:t>
            </w:r>
          </w:p>
        </w:tc>
        <w:tc>
          <w:tcPr>
            <w:tcW w:w="0" w:type="auto"/>
            <w:tcBorders>
              <w:tl2br w:val="nil"/>
              <w:tr2bl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用于本次招标需求范围以外新增建设</w:t>
            </w:r>
          </w:p>
        </w:tc>
      </w:tr>
    </w:tbl>
    <w:p>
      <w:pPr>
        <w:pStyle w:val="180"/>
        <w:ind w:firstLine="480"/>
        <w:rPr>
          <w:color w:val="auto"/>
        </w:rPr>
        <w:sectPr>
          <w:headerReference r:id="rId7" w:type="default"/>
          <w:footerReference r:id="rId9" w:type="default"/>
          <w:headerReference r:id="rId8" w:type="even"/>
          <w:footerReference r:id="rId10" w:type="even"/>
          <w:pgSz w:w="11906" w:h="16838"/>
          <w:pgMar w:top="1258" w:right="1286" w:bottom="1361" w:left="1620" w:header="709" w:footer="971" w:gutter="0"/>
          <w:cols w:space="720" w:num="1"/>
          <w:docGrid w:linePitch="360" w:charSpace="0"/>
        </w:sectPr>
      </w:pPr>
    </w:p>
    <w:p>
      <w:pPr>
        <w:pStyle w:val="5"/>
        <w:rPr>
          <w:color w:val="auto"/>
          <w:sz w:val="21"/>
          <w:szCs w:val="21"/>
        </w:rPr>
      </w:pPr>
      <w:r>
        <w:rPr>
          <w:rFonts w:hint="eastAsia"/>
          <w:color w:val="auto"/>
          <w:sz w:val="21"/>
          <w:szCs w:val="21"/>
        </w:rPr>
        <w:t>三、技术需求</w:t>
      </w:r>
    </w:p>
    <w:p>
      <w:pPr>
        <w:pStyle w:val="180"/>
        <w:ind w:firstLine="422"/>
        <w:rPr>
          <w:color w:val="auto"/>
          <w:sz w:val="21"/>
          <w:szCs w:val="21"/>
        </w:rPr>
      </w:pPr>
      <w:r>
        <w:rPr>
          <w:rFonts w:hint="eastAsia"/>
          <w:b/>
          <w:color w:val="auto"/>
          <w:sz w:val="21"/>
          <w:szCs w:val="21"/>
        </w:rPr>
        <w:t>为有助于投标人选择投标产品，技术要求中提供的推荐品牌（或型号）仅为建议性要求或为代替部分技术指标描述，投标人可选择性能不低于推荐品牌（或型号）的其他品牌产品。</w:t>
      </w:r>
    </w:p>
    <w:tbl>
      <w:tblPr>
        <w:tblStyle w:val="41"/>
        <w:tblW w:w="5000" w:type="pct"/>
        <w:tblInd w:w="0" w:type="dxa"/>
        <w:tblLayout w:type="autofit"/>
        <w:tblCellMar>
          <w:top w:w="0" w:type="dxa"/>
          <w:left w:w="108" w:type="dxa"/>
          <w:bottom w:w="0" w:type="dxa"/>
          <w:right w:w="108" w:type="dxa"/>
        </w:tblCellMar>
      </w:tblPr>
      <w:tblGrid>
        <w:gridCol w:w="859"/>
        <w:gridCol w:w="2003"/>
        <w:gridCol w:w="1106"/>
        <w:gridCol w:w="719"/>
        <w:gridCol w:w="6112"/>
        <w:gridCol w:w="1213"/>
        <w:gridCol w:w="1213"/>
        <w:gridCol w:w="1210"/>
      </w:tblGrid>
      <w:tr>
        <w:tblPrEx>
          <w:tblCellMar>
            <w:top w:w="0" w:type="dxa"/>
            <w:left w:w="108" w:type="dxa"/>
            <w:bottom w:w="0" w:type="dxa"/>
            <w:right w:w="108" w:type="dxa"/>
          </w:tblCellMar>
        </w:tblPrEx>
        <w:trPr>
          <w:trHeight w:val="278" w:hRule="atLeast"/>
        </w:trPr>
        <w:tc>
          <w:tcPr>
            <w:tcW w:w="29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694"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货物</w:t>
            </w:r>
            <w:r>
              <w:rPr>
                <w:rFonts w:ascii="宋体" w:hAnsi="宋体" w:cs="宋体"/>
                <w:b/>
                <w:bCs/>
                <w:color w:val="auto"/>
                <w:kern w:val="0"/>
                <w:szCs w:val="21"/>
              </w:rPr>
              <w:t>/服务名称</w:t>
            </w:r>
          </w:p>
        </w:tc>
        <w:tc>
          <w:tcPr>
            <w:tcW w:w="38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数量</w:t>
            </w:r>
          </w:p>
        </w:tc>
        <w:tc>
          <w:tcPr>
            <w:tcW w:w="2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单位</w:t>
            </w:r>
          </w:p>
        </w:tc>
        <w:tc>
          <w:tcPr>
            <w:tcW w:w="2117"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技术参数、性能指标</w:t>
            </w:r>
          </w:p>
        </w:tc>
        <w:tc>
          <w:tcPr>
            <w:tcW w:w="42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参考品牌</w:t>
            </w:r>
            <w:r>
              <w:rPr>
                <w:rFonts w:ascii="宋体" w:hAnsi="宋体" w:cs="宋体"/>
                <w:b/>
                <w:bCs/>
                <w:color w:val="auto"/>
                <w:kern w:val="0"/>
                <w:szCs w:val="21"/>
              </w:rPr>
              <w:t>1</w:t>
            </w:r>
          </w:p>
        </w:tc>
        <w:tc>
          <w:tcPr>
            <w:tcW w:w="42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参考品牌</w:t>
            </w:r>
            <w:r>
              <w:rPr>
                <w:rFonts w:ascii="宋体" w:hAnsi="宋体" w:cs="宋体"/>
                <w:b/>
                <w:bCs/>
                <w:color w:val="auto"/>
                <w:kern w:val="0"/>
                <w:szCs w:val="21"/>
              </w:rPr>
              <w:t>2</w:t>
            </w:r>
          </w:p>
        </w:tc>
        <w:tc>
          <w:tcPr>
            <w:tcW w:w="41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参考品牌</w:t>
            </w:r>
            <w:r>
              <w:rPr>
                <w:rFonts w:ascii="宋体" w:hAnsi="宋体" w:cs="宋体"/>
                <w:b/>
                <w:bCs/>
                <w:color w:val="auto"/>
                <w:kern w:val="0"/>
                <w:szCs w:val="21"/>
              </w:rPr>
              <w:t>3</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一</w:t>
            </w:r>
          </w:p>
        </w:tc>
        <w:tc>
          <w:tcPr>
            <w:tcW w:w="3443" w:type="pct"/>
            <w:gridSpan w:val="4"/>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b/>
                <w:bCs/>
                <w:color w:val="auto"/>
                <w:kern w:val="0"/>
                <w:szCs w:val="21"/>
              </w:rPr>
            </w:pPr>
            <w:r>
              <w:rPr>
                <w:rFonts w:hint="eastAsia" w:ascii="宋体" w:hAnsi="宋体" w:cs="宋体"/>
                <w:b/>
                <w:bCs/>
                <w:color w:val="auto"/>
                <w:kern w:val="0"/>
                <w:szCs w:val="21"/>
              </w:rPr>
              <w:t>前端感知系统</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（一）</w:t>
            </w:r>
          </w:p>
        </w:tc>
        <w:tc>
          <w:tcPr>
            <w:tcW w:w="3443" w:type="pct"/>
            <w:gridSpan w:val="4"/>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b/>
                <w:bCs/>
                <w:color w:val="auto"/>
                <w:kern w:val="0"/>
                <w:szCs w:val="21"/>
              </w:rPr>
            </w:pPr>
            <w:r>
              <w:rPr>
                <w:rFonts w:hint="eastAsia" w:ascii="宋体" w:hAnsi="宋体" w:cs="宋体"/>
                <w:b/>
                <w:bCs/>
                <w:color w:val="auto"/>
                <w:kern w:val="0"/>
                <w:szCs w:val="21"/>
              </w:rPr>
              <w:t>前端设备</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204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400万人脸智能相机</w:t>
            </w:r>
          </w:p>
        </w:tc>
        <w:tc>
          <w:tcPr>
            <w:tcW w:w="383"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601</w:t>
            </w:r>
          </w:p>
        </w:tc>
        <w:tc>
          <w:tcPr>
            <w:tcW w:w="249"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1、400</w:t>
            </w:r>
            <w:r>
              <w:rPr>
                <w:rFonts w:hint="eastAsia" w:ascii="宋体" w:hAnsi="宋体" w:cs="宋体"/>
                <w:color w:val="auto"/>
                <w:kern w:val="0"/>
                <w:szCs w:val="21"/>
              </w:rPr>
              <w:t>万像素；采用高性能</w:t>
            </w:r>
            <w:r>
              <w:rPr>
                <w:rFonts w:ascii="宋体" w:hAnsi="宋体" w:cs="宋体"/>
                <w:color w:val="auto"/>
                <w:kern w:val="0"/>
                <w:szCs w:val="21"/>
              </w:rPr>
              <w:t>1/1.8英寸CMOS图像传感器，支持H.264，H.265智能编码；</w:t>
            </w:r>
            <w:r>
              <w:rPr>
                <w:rFonts w:ascii="宋体" w:hAnsi="宋体" w:cs="宋体"/>
                <w:color w:val="auto"/>
                <w:kern w:val="0"/>
                <w:szCs w:val="21"/>
              </w:rPr>
              <w:br w:type="textWrapping"/>
            </w:r>
            <w:r>
              <w:rPr>
                <w:rFonts w:ascii="宋体" w:hAnsi="宋体" w:cs="宋体"/>
                <w:color w:val="auto"/>
                <w:kern w:val="0"/>
                <w:szCs w:val="21"/>
              </w:rPr>
              <w:t>2、▲支持人脸抓拍、人体抓拍；</w:t>
            </w:r>
            <w:r>
              <w:rPr>
                <w:rFonts w:ascii="宋体" w:hAnsi="宋体" w:cs="宋体"/>
                <w:color w:val="auto"/>
                <w:kern w:val="0"/>
                <w:szCs w:val="21"/>
              </w:rPr>
              <w:br w:type="textWrapping"/>
            </w:r>
            <w:r>
              <w:rPr>
                <w:rFonts w:ascii="宋体" w:hAnsi="宋体" w:cs="宋体"/>
                <w:color w:val="auto"/>
                <w:kern w:val="0"/>
                <w:szCs w:val="21"/>
              </w:rPr>
              <w:t xml:space="preserve">3、最大分辨率2560 </w:t>
            </w:r>
            <w:r>
              <w:rPr>
                <w:rFonts w:hint="eastAsia" w:ascii="宋体" w:hAnsi="宋体" w:cs="宋体"/>
                <w:color w:val="auto"/>
                <w:kern w:val="0"/>
                <w:szCs w:val="21"/>
              </w:rPr>
              <w:t>×</w:t>
            </w:r>
            <w:r>
              <w:rPr>
                <w:rFonts w:ascii="宋体" w:hAnsi="宋体" w:cs="宋体"/>
                <w:color w:val="auto"/>
                <w:kern w:val="0"/>
                <w:szCs w:val="21"/>
              </w:rPr>
              <w:t xml:space="preserve"> 1440；宽动态: 120 dB，内置电动变焦镜头；</w:t>
            </w:r>
            <w:r>
              <w:rPr>
                <w:rFonts w:ascii="宋体" w:hAnsi="宋体" w:cs="宋体"/>
                <w:color w:val="auto"/>
                <w:kern w:val="0"/>
                <w:szCs w:val="21"/>
              </w:rPr>
              <w:br w:type="textWrapping"/>
            </w:r>
            <w:r>
              <w:rPr>
                <w:rFonts w:ascii="宋体" w:hAnsi="宋体" w:cs="宋体"/>
                <w:color w:val="auto"/>
                <w:kern w:val="0"/>
                <w:szCs w:val="21"/>
              </w:rPr>
              <w:t>4、最低照度：彩色≤0.0005 Lux，黑白≤0.0001 Lux；</w:t>
            </w:r>
            <w:r>
              <w:rPr>
                <w:rFonts w:ascii="宋体" w:hAnsi="宋体" w:cs="宋体"/>
                <w:color w:val="auto"/>
                <w:kern w:val="0"/>
                <w:szCs w:val="21"/>
              </w:rPr>
              <w:br w:type="textWrapping"/>
            </w:r>
            <w:r>
              <w:rPr>
                <w:rFonts w:ascii="宋体" w:hAnsi="宋体" w:cs="宋体"/>
                <w:color w:val="auto"/>
                <w:kern w:val="0"/>
                <w:szCs w:val="21"/>
              </w:rPr>
              <w:t>5、水平视场角：92.3°~48°，垂直视场角：48.4°~27°，对角视场角：112.2°~55°；</w:t>
            </w:r>
            <w:r>
              <w:rPr>
                <w:rFonts w:ascii="宋体" w:hAnsi="宋体" w:cs="宋体"/>
                <w:color w:val="auto"/>
                <w:kern w:val="0"/>
                <w:szCs w:val="21"/>
              </w:rPr>
              <w:br w:type="textWrapping"/>
            </w:r>
            <w:r>
              <w:rPr>
                <w:rFonts w:ascii="宋体" w:hAnsi="宋体" w:cs="宋体"/>
                <w:color w:val="auto"/>
                <w:kern w:val="0"/>
                <w:szCs w:val="21"/>
              </w:rPr>
              <w:t xml:space="preserve">6、补光距离：最远可达30 m； </w:t>
            </w:r>
            <w:r>
              <w:rPr>
                <w:rFonts w:hint="eastAsia" w:ascii="宋体" w:hAnsi="宋体" w:cs="宋体"/>
                <w:color w:val="auto"/>
                <w:kern w:val="0"/>
                <w:szCs w:val="21"/>
              </w:rPr>
              <w:t>支持防补光过曝开启和关闭，开启下支持自动和手动，手动支持根据距离等级控制补光灯亮度；</w:t>
            </w:r>
            <w:r>
              <w:rPr>
                <w:rFonts w:ascii="宋体" w:hAnsi="宋体" w:cs="宋体"/>
                <w:color w:val="auto"/>
                <w:kern w:val="0"/>
                <w:szCs w:val="21"/>
              </w:rPr>
              <w:br w:type="textWrapping"/>
            </w:r>
            <w:r>
              <w:rPr>
                <w:rFonts w:ascii="宋体" w:hAnsi="宋体" w:cs="宋体"/>
                <w:color w:val="auto"/>
                <w:kern w:val="0"/>
                <w:szCs w:val="21"/>
              </w:rPr>
              <w:t xml:space="preserve">8、网络存储: </w:t>
            </w:r>
            <w:r>
              <w:rPr>
                <w:rFonts w:hint="eastAsia" w:ascii="宋体" w:hAnsi="宋体" w:cs="宋体"/>
                <w:color w:val="auto"/>
                <w:kern w:val="0"/>
                <w:szCs w:val="21"/>
              </w:rPr>
              <w:t>支持断网本地存储及断网续传；</w:t>
            </w:r>
            <w:r>
              <w:rPr>
                <w:rFonts w:ascii="宋体" w:hAnsi="宋体" w:cs="宋体"/>
                <w:color w:val="auto"/>
                <w:kern w:val="0"/>
                <w:szCs w:val="21"/>
              </w:rPr>
              <w:br w:type="textWrapping"/>
            </w:r>
            <w:r>
              <w:rPr>
                <w:rFonts w:ascii="宋体" w:hAnsi="宋体" w:cs="宋体"/>
                <w:color w:val="auto"/>
                <w:kern w:val="0"/>
                <w:szCs w:val="21"/>
              </w:rPr>
              <w:t>9、支持检出两眼瞳距40像素点以上的人脸图片；</w:t>
            </w:r>
            <w:r>
              <w:rPr>
                <w:rFonts w:ascii="宋体" w:hAnsi="宋体" w:cs="宋体"/>
                <w:color w:val="auto"/>
                <w:kern w:val="0"/>
                <w:szCs w:val="21"/>
              </w:rPr>
              <w:br w:type="textWrapping"/>
            </w:r>
            <w:r>
              <w:rPr>
                <w:rFonts w:ascii="宋体" w:hAnsi="宋体" w:cs="宋体"/>
                <w:color w:val="auto"/>
                <w:kern w:val="0"/>
                <w:szCs w:val="21"/>
              </w:rPr>
              <w:t>10、</w:t>
            </w:r>
            <w:r>
              <w:rPr>
                <w:rFonts w:hint="eastAsia" w:ascii="宋体" w:hAnsi="宋体" w:cs="宋体"/>
                <w:color w:val="auto"/>
                <w:kern w:val="0"/>
                <w:szCs w:val="21"/>
              </w:rPr>
              <w:t>▲为有效的保障人脸抓拍数据安全，防止不法分子通过篡改</w:t>
            </w:r>
            <w:r>
              <w:rPr>
                <w:rFonts w:ascii="宋体" w:hAnsi="宋体" w:cs="宋体"/>
                <w:color w:val="auto"/>
                <w:kern w:val="0"/>
                <w:szCs w:val="21"/>
              </w:rPr>
              <w:t>uboot程序进行数据窃取和破坏，影响数据安全，人脸抓拍摄像机支持固件安全检验功能，摄像机uboot应采用加密存储，通过</w:t>
            </w:r>
            <w:r>
              <w:rPr>
                <w:rFonts w:hint="eastAsia" w:ascii="宋体" w:hAnsi="宋体" w:cs="宋体"/>
                <w:color w:val="auto"/>
                <w:kern w:val="0"/>
                <w:szCs w:val="21"/>
              </w:rPr>
              <w:t>离线烧写存储器方式写入的</w:t>
            </w:r>
            <w:r>
              <w:rPr>
                <w:rFonts w:ascii="宋体" w:hAnsi="宋体" w:cs="宋体"/>
                <w:color w:val="auto"/>
                <w:kern w:val="0"/>
                <w:szCs w:val="21"/>
              </w:rPr>
              <w:t>uboot执行程序，不能被硬件微引导程序加载执行；需提供公安部授权机构出具的检验报告证明文件并加盖原厂公章；</w:t>
            </w:r>
            <w:r>
              <w:rPr>
                <w:rFonts w:ascii="宋体" w:hAnsi="宋体" w:cs="宋体"/>
                <w:color w:val="auto"/>
                <w:kern w:val="0"/>
                <w:szCs w:val="21"/>
              </w:rPr>
              <w:br w:type="textWrapping"/>
            </w:r>
            <w:r>
              <w:rPr>
                <w:rFonts w:ascii="宋体" w:hAnsi="宋体" w:cs="宋体"/>
                <w:color w:val="auto"/>
                <w:kern w:val="0"/>
                <w:szCs w:val="21"/>
              </w:rPr>
              <w:t>11、▲</w:t>
            </w:r>
            <w:r>
              <w:rPr>
                <w:rFonts w:hint="eastAsia" w:ascii="宋体" w:hAnsi="宋体" w:cs="宋体"/>
                <w:color w:val="auto"/>
                <w:kern w:val="0"/>
                <w:szCs w:val="21"/>
              </w:rPr>
              <w:t>为了保障白天逆光成像和抑制夜间亮光，提升设备全天候成像效果，设备需具有耀光抑制功能，耀光抑制区域不大于</w:t>
            </w:r>
            <w:r>
              <w:rPr>
                <w:rFonts w:ascii="宋体" w:hAnsi="宋体" w:cs="宋体"/>
                <w:color w:val="auto"/>
                <w:kern w:val="0"/>
                <w:szCs w:val="21"/>
              </w:rPr>
              <w:t>1%；</w:t>
            </w:r>
            <w:r>
              <w:rPr>
                <w:rFonts w:ascii="宋体" w:hAnsi="宋体" w:cs="宋体"/>
                <w:color w:val="auto"/>
                <w:kern w:val="0"/>
                <w:szCs w:val="21"/>
              </w:rPr>
              <w:br w:type="textWrapping"/>
            </w:r>
            <w:r>
              <w:rPr>
                <w:rFonts w:ascii="宋体" w:hAnsi="宋体" w:cs="宋体"/>
                <w:color w:val="auto"/>
                <w:kern w:val="0"/>
                <w:szCs w:val="21"/>
              </w:rPr>
              <w:t>12、支持通过IE浏览器设置登录超时时间，当登录后无操作时长达到设置阈值后，设备自动退出并重新进入登录界面；</w:t>
            </w:r>
            <w:r>
              <w:rPr>
                <w:rFonts w:ascii="宋体" w:hAnsi="宋体" w:cs="宋体"/>
                <w:color w:val="auto"/>
                <w:kern w:val="0"/>
                <w:szCs w:val="21"/>
              </w:rPr>
              <w:br w:type="textWrapping"/>
            </w:r>
            <w:r>
              <w:rPr>
                <w:rFonts w:ascii="宋体" w:hAnsi="宋体" w:cs="宋体"/>
                <w:color w:val="auto"/>
                <w:kern w:val="0"/>
                <w:szCs w:val="21"/>
              </w:rPr>
              <w:t>13、供电方式: DC：12 V；</w:t>
            </w:r>
            <w:r>
              <w:rPr>
                <w:rFonts w:ascii="宋体" w:hAnsi="宋体" w:cs="宋体"/>
                <w:color w:val="auto"/>
                <w:kern w:val="0"/>
                <w:szCs w:val="21"/>
              </w:rPr>
              <w:br w:type="textWrapping"/>
            </w:r>
            <w:r>
              <w:rPr>
                <w:rFonts w:ascii="宋体" w:hAnsi="宋体" w:cs="宋体"/>
                <w:color w:val="auto"/>
                <w:kern w:val="0"/>
                <w:szCs w:val="21"/>
              </w:rPr>
              <w:t>14、支持三码流技术，</w:t>
            </w:r>
            <w:r>
              <w:rPr>
                <w:rFonts w:hint="eastAsia" w:ascii="宋体" w:hAnsi="宋体" w:cs="宋体"/>
                <w:color w:val="auto"/>
                <w:kern w:val="0"/>
                <w:szCs w:val="21"/>
              </w:rPr>
              <w:t>主码流分辨率不小于</w:t>
            </w:r>
            <w:r>
              <w:rPr>
                <w:rFonts w:ascii="宋体" w:hAnsi="宋体" w:cs="宋体"/>
                <w:color w:val="auto"/>
                <w:kern w:val="0"/>
                <w:szCs w:val="21"/>
              </w:rPr>
              <w:t>2560x1440@25fps，</w:t>
            </w:r>
            <w:r>
              <w:rPr>
                <w:rFonts w:hint="eastAsia" w:ascii="宋体" w:hAnsi="宋体" w:cs="宋体"/>
                <w:color w:val="auto"/>
                <w:kern w:val="0"/>
                <w:szCs w:val="21"/>
              </w:rPr>
              <w:t>子码流不小于</w:t>
            </w:r>
            <w:r>
              <w:rPr>
                <w:rFonts w:ascii="宋体" w:hAnsi="宋体" w:cs="宋体"/>
                <w:color w:val="auto"/>
                <w:kern w:val="0"/>
                <w:szCs w:val="21"/>
              </w:rPr>
              <w:t>704x576@25fps，第三码流不小于1920x1080@25fps，在分辨率1920x1080 @ 25fps，延时不大于70ms；</w:t>
            </w:r>
            <w:r>
              <w:rPr>
                <w:rFonts w:ascii="宋体" w:hAnsi="宋体" w:cs="宋体"/>
                <w:color w:val="auto"/>
                <w:kern w:val="0"/>
                <w:szCs w:val="21"/>
              </w:rPr>
              <w:br w:type="textWrapping"/>
            </w:r>
            <w:r>
              <w:rPr>
                <w:rFonts w:ascii="宋体" w:hAnsi="宋体" w:cs="宋体"/>
                <w:color w:val="auto"/>
                <w:kern w:val="0"/>
                <w:szCs w:val="21"/>
              </w:rPr>
              <w:t xml:space="preserve">15、防护: </w:t>
            </w:r>
            <w:r>
              <w:rPr>
                <w:rFonts w:hint="eastAsia" w:ascii="宋体" w:hAnsi="宋体" w:cs="宋体"/>
                <w:color w:val="auto"/>
                <w:kern w:val="0"/>
                <w:szCs w:val="21"/>
              </w:rPr>
              <w:t>需支持</w:t>
            </w:r>
            <w:r>
              <w:rPr>
                <w:rFonts w:ascii="宋体" w:hAnsi="宋体" w:cs="宋体"/>
                <w:color w:val="auto"/>
                <w:kern w:val="0"/>
                <w:szCs w:val="21"/>
              </w:rPr>
              <w:t>IP67防尘防水；</w:t>
            </w:r>
            <w:r>
              <w:rPr>
                <w:rFonts w:ascii="宋体" w:hAnsi="宋体" w:cs="宋体"/>
                <w:color w:val="auto"/>
                <w:kern w:val="0"/>
                <w:szCs w:val="21"/>
              </w:rPr>
              <w:br w:type="textWrapping"/>
            </w:r>
            <w:r>
              <w:rPr>
                <w:rFonts w:ascii="宋体" w:hAnsi="宋体" w:cs="宋体"/>
                <w:color w:val="auto"/>
                <w:kern w:val="0"/>
                <w:szCs w:val="21"/>
              </w:rPr>
              <w:t>16、含镜头、防护罩、电源、支架、避雷器等；</w:t>
            </w:r>
            <w:r>
              <w:rPr>
                <w:rFonts w:ascii="宋体" w:hAnsi="宋体" w:cs="宋体"/>
                <w:color w:val="auto"/>
                <w:kern w:val="0"/>
                <w:szCs w:val="21"/>
              </w:rPr>
              <w:br w:type="textWrapping"/>
            </w:r>
            <w:r>
              <w:rPr>
                <w:rFonts w:ascii="宋体" w:hAnsi="宋体" w:cs="宋体"/>
                <w:color w:val="auto"/>
                <w:kern w:val="0"/>
                <w:szCs w:val="21"/>
              </w:rPr>
              <w:t>17、含三年原厂质保；</w:t>
            </w:r>
          </w:p>
        </w:tc>
        <w:tc>
          <w:tcPr>
            <w:tcW w:w="420"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大华</w:t>
            </w:r>
          </w:p>
        </w:tc>
        <w:tc>
          <w:tcPr>
            <w:tcW w:w="419"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宇视</w:t>
            </w:r>
          </w:p>
        </w:tc>
      </w:tr>
      <w:tr>
        <w:tblPrEx>
          <w:tblCellMar>
            <w:top w:w="0" w:type="dxa"/>
            <w:left w:w="108" w:type="dxa"/>
            <w:bottom w:w="0" w:type="dxa"/>
            <w:right w:w="108" w:type="dxa"/>
          </w:tblCellMar>
        </w:tblPrEx>
        <w:trPr>
          <w:trHeight w:val="465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400万车辆抓拍相机</w:t>
            </w:r>
          </w:p>
        </w:tc>
        <w:tc>
          <w:tcPr>
            <w:tcW w:w="383"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544</w:t>
            </w:r>
          </w:p>
        </w:tc>
        <w:tc>
          <w:tcPr>
            <w:tcW w:w="24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1、400</w:t>
            </w:r>
            <w:r>
              <w:rPr>
                <w:rFonts w:hint="eastAsia" w:ascii="宋体" w:hAnsi="宋体" w:cs="宋体"/>
                <w:color w:val="auto"/>
                <w:kern w:val="0"/>
                <w:szCs w:val="21"/>
              </w:rPr>
              <w:t>万像素；采用高性能</w:t>
            </w:r>
            <w:r>
              <w:rPr>
                <w:rFonts w:ascii="宋体" w:hAnsi="宋体" w:cs="宋体"/>
                <w:color w:val="auto"/>
                <w:kern w:val="0"/>
                <w:szCs w:val="21"/>
              </w:rPr>
              <w:t>1/1.8英寸CMOS图像传感器，支持H.264，H.265智能编码；</w:t>
            </w:r>
            <w:r>
              <w:rPr>
                <w:rFonts w:ascii="宋体" w:hAnsi="宋体" w:cs="宋体"/>
                <w:color w:val="auto"/>
                <w:kern w:val="0"/>
                <w:szCs w:val="21"/>
              </w:rPr>
              <w:br w:type="textWrapping"/>
            </w:r>
            <w:r>
              <w:rPr>
                <w:rFonts w:ascii="宋体" w:hAnsi="宋体" w:cs="宋体"/>
                <w:color w:val="auto"/>
                <w:kern w:val="0"/>
                <w:szCs w:val="21"/>
              </w:rPr>
              <w:t>2、支持车辆抓拍和牌识；</w:t>
            </w:r>
            <w:r>
              <w:rPr>
                <w:rFonts w:ascii="宋体" w:hAnsi="宋体" w:cs="宋体"/>
                <w:color w:val="auto"/>
                <w:kern w:val="0"/>
                <w:szCs w:val="21"/>
              </w:rPr>
              <w:br w:type="textWrapping"/>
            </w:r>
            <w:r>
              <w:rPr>
                <w:rFonts w:ascii="宋体" w:hAnsi="宋体" w:cs="宋体"/>
                <w:color w:val="auto"/>
                <w:kern w:val="0"/>
                <w:szCs w:val="21"/>
              </w:rPr>
              <w:t xml:space="preserve">3、最大分辨率2560 </w:t>
            </w:r>
            <w:r>
              <w:rPr>
                <w:rFonts w:hint="eastAsia" w:ascii="宋体" w:hAnsi="宋体" w:cs="宋体"/>
                <w:color w:val="auto"/>
                <w:kern w:val="0"/>
                <w:szCs w:val="21"/>
              </w:rPr>
              <w:t>×</w:t>
            </w:r>
            <w:r>
              <w:rPr>
                <w:rFonts w:ascii="宋体" w:hAnsi="宋体" w:cs="宋体"/>
                <w:color w:val="auto"/>
                <w:kern w:val="0"/>
                <w:szCs w:val="21"/>
              </w:rPr>
              <w:t xml:space="preserve"> 1440；宽动态: 120 dB，内置电动变焦镜头；</w:t>
            </w:r>
            <w:r>
              <w:rPr>
                <w:rFonts w:ascii="宋体" w:hAnsi="宋体" w:cs="宋体"/>
                <w:color w:val="auto"/>
                <w:kern w:val="0"/>
                <w:szCs w:val="21"/>
              </w:rPr>
              <w:br w:type="textWrapping"/>
            </w:r>
            <w:r>
              <w:rPr>
                <w:rFonts w:ascii="宋体" w:hAnsi="宋体" w:cs="宋体"/>
                <w:color w:val="auto"/>
                <w:kern w:val="0"/>
                <w:szCs w:val="21"/>
              </w:rPr>
              <w:t>4、最低照度：彩色≤0.0005 Lux，黑白≤0.0001 Lux；</w:t>
            </w:r>
            <w:r>
              <w:rPr>
                <w:rFonts w:ascii="宋体" w:hAnsi="宋体" w:cs="宋体"/>
                <w:color w:val="auto"/>
                <w:kern w:val="0"/>
                <w:szCs w:val="21"/>
              </w:rPr>
              <w:br w:type="textWrapping"/>
            </w:r>
            <w:r>
              <w:rPr>
                <w:rFonts w:ascii="宋体" w:hAnsi="宋体" w:cs="宋体"/>
                <w:color w:val="auto"/>
                <w:kern w:val="0"/>
                <w:szCs w:val="21"/>
              </w:rPr>
              <w:t>5、水平视场角：92.3°~48°，垂直视场角：48.4°~27°，对角视场角：112.2°~55°；</w:t>
            </w:r>
            <w:r>
              <w:rPr>
                <w:rFonts w:ascii="宋体" w:hAnsi="宋体" w:cs="宋体"/>
                <w:color w:val="auto"/>
                <w:kern w:val="0"/>
                <w:szCs w:val="21"/>
              </w:rPr>
              <w:br w:type="textWrapping"/>
            </w:r>
            <w:r>
              <w:rPr>
                <w:rFonts w:ascii="宋体" w:hAnsi="宋体" w:cs="宋体"/>
                <w:color w:val="auto"/>
                <w:kern w:val="0"/>
                <w:szCs w:val="21"/>
              </w:rPr>
              <w:t xml:space="preserve">6、补光距离：最远可达30 m； </w:t>
            </w:r>
            <w:r>
              <w:rPr>
                <w:rFonts w:hint="eastAsia" w:ascii="宋体" w:hAnsi="宋体" w:cs="宋体"/>
                <w:color w:val="auto"/>
                <w:kern w:val="0"/>
                <w:szCs w:val="21"/>
              </w:rPr>
              <w:t>支持防补光过曝开启和关闭，开启下支持自动和手动，手动支持根据距离等级控制补光灯亮度；</w:t>
            </w:r>
            <w:r>
              <w:rPr>
                <w:rFonts w:ascii="宋体" w:hAnsi="宋体" w:cs="宋体"/>
                <w:color w:val="auto"/>
                <w:kern w:val="0"/>
                <w:szCs w:val="21"/>
              </w:rPr>
              <w:br w:type="textWrapping"/>
            </w:r>
            <w:r>
              <w:rPr>
                <w:rFonts w:ascii="宋体" w:hAnsi="宋体" w:cs="宋体"/>
                <w:color w:val="auto"/>
                <w:kern w:val="0"/>
                <w:szCs w:val="21"/>
              </w:rPr>
              <w:t xml:space="preserve">8、网络存储: </w:t>
            </w:r>
            <w:r>
              <w:rPr>
                <w:rFonts w:hint="eastAsia" w:ascii="宋体" w:hAnsi="宋体" w:cs="宋体"/>
                <w:color w:val="auto"/>
                <w:kern w:val="0"/>
                <w:szCs w:val="21"/>
              </w:rPr>
              <w:t>支持断网本地存储及断网续传；</w:t>
            </w:r>
            <w:r>
              <w:rPr>
                <w:rFonts w:ascii="宋体" w:hAnsi="宋体" w:cs="宋体"/>
                <w:color w:val="auto"/>
                <w:kern w:val="0"/>
                <w:szCs w:val="21"/>
              </w:rPr>
              <w:br w:type="textWrapping"/>
            </w:r>
            <w:r>
              <w:rPr>
                <w:rFonts w:ascii="宋体" w:hAnsi="宋体" w:cs="宋体"/>
                <w:color w:val="auto"/>
                <w:kern w:val="0"/>
                <w:szCs w:val="21"/>
              </w:rPr>
              <w:t>9、</w:t>
            </w:r>
            <w:r>
              <w:rPr>
                <w:rFonts w:hint="eastAsia" w:ascii="宋体" w:hAnsi="宋体" w:cs="宋体"/>
                <w:color w:val="auto"/>
                <w:kern w:val="0"/>
                <w:szCs w:val="21"/>
              </w:rPr>
              <w:t>▲为有效的保障车辆抓拍数据安全，防止不法分子通过命令行、浏览器、客户端方式进行数据窃取和破坏，影响数据安全，车辆抓拍摄像机需支持硬件微引导程序、</w:t>
            </w:r>
            <w:r>
              <w:rPr>
                <w:rFonts w:ascii="宋体" w:hAnsi="宋体" w:cs="宋体"/>
                <w:color w:val="auto"/>
                <w:kern w:val="0"/>
                <w:szCs w:val="21"/>
              </w:rPr>
              <w:t>uboot、OS、应用软件逐级校验功能，非法篡改的uboot、OS、应用软件固件</w:t>
            </w:r>
            <w:r>
              <w:rPr>
                <w:rFonts w:hint="eastAsia" w:ascii="宋体" w:hAnsi="宋体" w:cs="宋体"/>
                <w:color w:val="auto"/>
                <w:kern w:val="0"/>
                <w:szCs w:val="21"/>
              </w:rPr>
              <w:t>包不能通过命令行、浏览器、客户端方式进行升级；需提供公安部授权机构出具的检验报告证明文件并加盖原厂公章；</w:t>
            </w:r>
            <w:r>
              <w:rPr>
                <w:rFonts w:ascii="宋体" w:hAnsi="宋体" w:cs="宋体"/>
                <w:color w:val="auto"/>
                <w:kern w:val="0"/>
                <w:szCs w:val="21"/>
              </w:rPr>
              <w:br w:type="textWrapping"/>
            </w:r>
            <w:r>
              <w:rPr>
                <w:rFonts w:ascii="宋体" w:hAnsi="宋体" w:cs="宋体"/>
                <w:color w:val="auto"/>
                <w:kern w:val="0"/>
                <w:szCs w:val="21"/>
              </w:rPr>
              <w:t>10、支持三码流技术，</w:t>
            </w:r>
            <w:r>
              <w:rPr>
                <w:rFonts w:hint="eastAsia" w:ascii="宋体" w:hAnsi="宋体" w:cs="宋体"/>
                <w:color w:val="auto"/>
                <w:kern w:val="0"/>
                <w:szCs w:val="21"/>
              </w:rPr>
              <w:t>主码流分辨率不小于</w:t>
            </w:r>
            <w:r>
              <w:rPr>
                <w:rFonts w:ascii="宋体" w:hAnsi="宋体" w:cs="宋体"/>
                <w:color w:val="auto"/>
                <w:kern w:val="0"/>
                <w:szCs w:val="21"/>
              </w:rPr>
              <w:t>2560x1440@25fps，</w:t>
            </w:r>
            <w:r>
              <w:rPr>
                <w:rFonts w:hint="eastAsia" w:ascii="宋体" w:hAnsi="宋体" w:cs="宋体"/>
                <w:color w:val="auto"/>
                <w:kern w:val="0"/>
                <w:szCs w:val="21"/>
              </w:rPr>
              <w:t>子码流不小于</w:t>
            </w:r>
            <w:r>
              <w:rPr>
                <w:rFonts w:ascii="宋体" w:hAnsi="宋体" w:cs="宋体"/>
                <w:color w:val="auto"/>
                <w:kern w:val="0"/>
                <w:szCs w:val="21"/>
              </w:rPr>
              <w:t>704x576@25fps，第三码流不小于1920x1080@25fps，在分辨率1920x1080 @ 25fps，延时不大于70ms</w:t>
            </w:r>
            <w:r>
              <w:rPr>
                <w:rFonts w:ascii="宋体" w:hAnsi="宋体" w:cs="宋体"/>
                <w:color w:val="auto"/>
                <w:kern w:val="0"/>
                <w:szCs w:val="21"/>
              </w:rPr>
              <w:br w:type="textWrapping"/>
            </w:r>
            <w:r>
              <w:rPr>
                <w:rFonts w:ascii="宋体" w:hAnsi="宋体" w:cs="宋体"/>
                <w:color w:val="auto"/>
                <w:kern w:val="0"/>
                <w:szCs w:val="21"/>
              </w:rPr>
              <w:t>11、供电方式: DC：12 V；</w:t>
            </w:r>
            <w:r>
              <w:rPr>
                <w:rFonts w:ascii="宋体" w:hAnsi="宋体" w:cs="宋体"/>
                <w:color w:val="auto"/>
                <w:kern w:val="0"/>
                <w:szCs w:val="21"/>
              </w:rPr>
              <w:br w:type="textWrapping"/>
            </w:r>
            <w:r>
              <w:rPr>
                <w:rFonts w:ascii="宋体" w:hAnsi="宋体" w:cs="宋体"/>
                <w:color w:val="auto"/>
                <w:kern w:val="0"/>
                <w:szCs w:val="21"/>
              </w:rPr>
              <w:t xml:space="preserve">12、防护: </w:t>
            </w:r>
            <w:r>
              <w:rPr>
                <w:rFonts w:hint="eastAsia" w:ascii="宋体" w:hAnsi="宋体" w:cs="宋体"/>
                <w:color w:val="auto"/>
                <w:kern w:val="0"/>
                <w:szCs w:val="21"/>
              </w:rPr>
              <w:t>需支持</w:t>
            </w:r>
            <w:r>
              <w:rPr>
                <w:rFonts w:ascii="宋体" w:hAnsi="宋体" w:cs="宋体"/>
                <w:color w:val="auto"/>
                <w:kern w:val="0"/>
                <w:szCs w:val="21"/>
              </w:rPr>
              <w:t>IP67防尘防水；</w:t>
            </w:r>
            <w:r>
              <w:rPr>
                <w:rFonts w:ascii="宋体" w:hAnsi="宋体" w:cs="宋体"/>
                <w:color w:val="auto"/>
                <w:kern w:val="0"/>
                <w:szCs w:val="21"/>
              </w:rPr>
              <w:br w:type="textWrapping"/>
            </w:r>
            <w:r>
              <w:rPr>
                <w:rFonts w:ascii="宋体" w:hAnsi="宋体" w:cs="宋体"/>
                <w:color w:val="auto"/>
                <w:kern w:val="0"/>
                <w:szCs w:val="21"/>
              </w:rPr>
              <w:t>13、含镜头、防护罩、电源、支架、避雷器等；</w:t>
            </w:r>
            <w:r>
              <w:rPr>
                <w:rFonts w:ascii="宋体" w:hAnsi="宋体" w:cs="宋体"/>
                <w:color w:val="auto"/>
                <w:kern w:val="0"/>
                <w:szCs w:val="21"/>
              </w:rPr>
              <w:br w:type="textWrapping"/>
            </w:r>
            <w:r>
              <w:rPr>
                <w:rFonts w:ascii="宋体" w:hAnsi="宋体" w:cs="宋体"/>
                <w:color w:val="auto"/>
                <w:kern w:val="0"/>
                <w:szCs w:val="21"/>
              </w:rPr>
              <w:t>14、含三年原厂质保；</w:t>
            </w:r>
          </w:p>
        </w:tc>
        <w:tc>
          <w:tcPr>
            <w:tcW w:w="420"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大华</w:t>
            </w:r>
          </w:p>
        </w:tc>
        <w:tc>
          <w:tcPr>
            <w:tcW w:w="41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宇视</w:t>
            </w:r>
          </w:p>
        </w:tc>
      </w:tr>
      <w:tr>
        <w:tblPrEx>
          <w:tblCellMar>
            <w:top w:w="0" w:type="dxa"/>
            <w:left w:w="108" w:type="dxa"/>
            <w:bottom w:w="0" w:type="dxa"/>
            <w:right w:w="108" w:type="dxa"/>
          </w:tblCellMar>
        </w:tblPrEx>
        <w:trPr>
          <w:trHeight w:val="4860"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3</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400万全结构化相机</w:t>
            </w:r>
          </w:p>
        </w:tc>
        <w:tc>
          <w:tcPr>
            <w:tcW w:w="383"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347</w:t>
            </w:r>
          </w:p>
        </w:tc>
        <w:tc>
          <w:tcPr>
            <w:tcW w:w="24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1、400</w:t>
            </w:r>
            <w:r>
              <w:rPr>
                <w:rFonts w:hint="eastAsia" w:ascii="宋体" w:hAnsi="宋体" w:cs="宋体"/>
                <w:color w:val="auto"/>
                <w:kern w:val="0"/>
                <w:szCs w:val="21"/>
              </w:rPr>
              <w:t>万像素；传感器采用高性能</w:t>
            </w:r>
            <w:r>
              <w:rPr>
                <w:rFonts w:ascii="宋体" w:hAnsi="宋体" w:cs="宋体"/>
                <w:color w:val="auto"/>
                <w:kern w:val="0"/>
                <w:szCs w:val="21"/>
              </w:rPr>
              <w:t>1/1.8英寸CMOS图像传感器，支持H.264，H.265智能编码；</w:t>
            </w:r>
            <w:r>
              <w:rPr>
                <w:rFonts w:ascii="宋体" w:hAnsi="宋体" w:cs="宋体"/>
                <w:color w:val="auto"/>
                <w:kern w:val="0"/>
                <w:szCs w:val="21"/>
              </w:rPr>
              <w:br w:type="textWrapping"/>
            </w:r>
            <w:r>
              <w:rPr>
                <w:rFonts w:ascii="宋体" w:hAnsi="宋体" w:cs="宋体"/>
                <w:color w:val="auto"/>
                <w:kern w:val="0"/>
                <w:szCs w:val="21"/>
              </w:rPr>
              <w:t xml:space="preserve">2、最大分辨率2560 </w:t>
            </w:r>
            <w:r>
              <w:rPr>
                <w:rFonts w:hint="eastAsia" w:ascii="宋体" w:hAnsi="宋体" w:cs="宋体"/>
                <w:color w:val="auto"/>
                <w:kern w:val="0"/>
                <w:szCs w:val="21"/>
              </w:rPr>
              <w:t>×</w:t>
            </w:r>
            <w:r>
              <w:rPr>
                <w:rFonts w:ascii="宋体" w:hAnsi="宋体" w:cs="宋体"/>
                <w:color w:val="auto"/>
                <w:kern w:val="0"/>
                <w:szCs w:val="21"/>
              </w:rPr>
              <w:t xml:space="preserve"> 1440，宽动态: 120 dB；</w:t>
            </w:r>
            <w:r>
              <w:rPr>
                <w:rFonts w:ascii="宋体" w:hAnsi="宋体" w:cs="宋体"/>
                <w:color w:val="auto"/>
                <w:kern w:val="0"/>
                <w:szCs w:val="21"/>
              </w:rPr>
              <w:br w:type="textWrapping"/>
            </w:r>
            <w:r>
              <w:rPr>
                <w:rFonts w:ascii="宋体" w:hAnsi="宋体" w:cs="宋体"/>
                <w:color w:val="auto"/>
                <w:kern w:val="0"/>
                <w:szCs w:val="21"/>
              </w:rPr>
              <w:t>3、最低照度：彩色≤0.0005 Lux；黑白≤0.0001 Lux；</w:t>
            </w:r>
            <w:r>
              <w:rPr>
                <w:rFonts w:ascii="宋体" w:hAnsi="宋体" w:cs="宋体"/>
                <w:color w:val="auto"/>
                <w:kern w:val="0"/>
                <w:szCs w:val="21"/>
              </w:rPr>
              <w:br w:type="textWrapping"/>
            </w:r>
            <w:r>
              <w:rPr>
                <w:rFonts w:ascii="宋体" w:hAnsi="宋体" w:cs="宋体"/>
                <w:color w:val="auto"/>
                <w:kern w:val="0"/>
                <w:szCs w:val="21"/>
              </w:rPr>
              <w:t>4、全景画面视场角：水平视场角：92.3°~48°，垂直视场角：48.4°~27°；</w:t>
            </w:r>
            <w:r>
              <w:rPr>
                <w:rFonts w:ascii="宋体" w:hAnsi="宋体" w:cs="宋体"/>
                <w:color w:val="auto"/>
                <w:kern w:val="0"/>
                <w:szCs w:val="21"/>
              </w:rPr>
              <w:br w:type="textWrapping"/>
            </w:r>
            <w:r>
              <w:rPr>
                <w:rFonts w:ascii="宋体" w:hAnsi="宋体" w:cs="宋体"/>
                <w:color w:val="auto"/>
                <w:kern w:val="0"/>
                <w:szCs w:val="21"/>
              </w:rPr>
              <w:t>5、补光距离：普通监控≥30 m；</w:t>
            </w:r>
            <w:r>
              <w:rPr>
                <w:rFonts w:ascii="宋体" w:hAnsi="宋体" w:cs="宋体"/>
                <w:color w:val="auto"/>
                <w:kern w:val="0"/>
                <w:szCs w:val="21"/>
              </w:rPr>
              <w:br w:type="textWrapping"/>
            </w:r>
            <w:r>
              <w:rPr>
                <w:rFonts w:ascii="宋体" w:hAnsi="宋体" w:cs="宋体"/>
                <w:color w:val="auto"/>
                <w:kern w:val="0"/>
                <w:szCs w:val="21"/>
              </w:rPr>
              <w:t>6、▲支全结构化模式：人脸抓拍、人体抓拍、车辆抓拍和牌识；</w:t>
            </w:r>
            <w:r>
              <w:rPr>
                <w:rFonts w:ascii="宋体" w:hAnsi="宋体" w:cs="宋体"/>
                <w:color w:val="auto"/>
                <w:kern w:val="0"/>
                <w:szCs w:val="21"/>
              </w:rPr>
              <w:br w:type="textWrapping"/>
            </w:r>
            <w:r>
              <w:rPr>
                <w:rFonts w:ascii="宋体" w:hAnsi="宋体" w:cs="宋体"/>
                <w:color w:val="auto"/>
                <w:kern w:val="0"/>
                <w:szCs w:val="21"/>
              </w:rPr>
              <w:t>7、▲支持检出两眼瞳距40像素点以上的人脸图片；</w:t>
            </w:r>
            <w:r>
              <w:rPr>
                <w:rFonts w:ascii="宋体" w:hAnsi="宋体" w:cs="宋体"/>
                <w:color w:val="auto"/>
                <w:kern w:val="0"/>
                <w:szCs w:val="21"/>
              </w:rPr>
              <w:br w:type="textWrapping"/>
            </w:r>
            <w:r>
              <w:rPr>
                <w:rFonts w:ascii="宋体" w:hAnsi="宋体" w:cs="宋体"/>
                <w:color w:val="auto"/>
                <w:kern w:val="0"/>
                <w:szCs w:val="21"/>
              </w:rPr>
              <w:t>8、为了保障白天逆光成像和抑制夜间亮光，提升设备全天候成像效果，摄像机需具有耀光抑制功能，耀</w:t>
            </w:r>
            <w:r>
              <w:rPr>
                <w:rFonts w:hint="eastAsia" w:ascii="宋体" w:hAnsi="宋体" w:cs="宋体"/>
                <w:color w:val="auto"/>
                <w:kern w:val="0"/>
                <w:szCs w:val="21"/>
              </w:rPr>
              <w:t>光区域不大于</w:t>
            </w:r>
            <w:r>
              <w:rPr>
                <w:rFonts w:ascii="宋体" w:hAnsi="宋体" w:cs="宋体"/>
                <w:color w:val="auto"/>
                <w:kern w:val="0"/>
                <w:szCs w:val="21"/>
              </w:rPr>
              <w:t>1%；</w:t>
            </w:r>
            <w:r>
              <w:rPr>
                <w:rFonts w:ascii="宋体" w:hAnsi="宋体" w:cs="宋体"/>
                <w:color w:val="auto"/>
                <w:kern w:val="0"/>
                <w:szCs w:val="21"/>
              </w:rPr>
              <w:br w:type="textWrapping"/>
            </w:r>
            <w:r>
              <w:rPr>
                <w:rFonts w:ascii="宋体" w:hAnsi="宋体" w:cs="宋体"/>
                <w:color w:val="auto"/>
                <w:kern w:val="0"/>
                <w:szCs w:val="21"/>
              </w:rPr>
              <w:t xml:space="preserve">9、网络存储: </w:t>
            </w:r>
            <w:r>
              <w:rPr>
                <w:rFonts w:hint="eastAsia" w:ascii="宋体" w:hAnsi="宋体" w:cs="宋体"/>
                <w:color w:val="auto"/>
                <w:kern w:val="0"/>
                <w:szCs w:val="21"/>
              </w:rPr>
              <w:t>支持断网本地存储及断网续传；</w:t>
            </w:r>
            <w:r>
              <w:rPr>
                <w:rFonts w:ascii="宋体" w:hAnsi="宋体" w:cs="宋体"/>
                <w:color w:val="auto"/>
                <w:kern w:val="0"/>
                <w:szCs w:val="21"/>
              </w:rPr>
              <w:br w:type="textWrapping"/>
            </w:r>
            <w:r>
              <w:rPr>
                <w:rFonts w:ascii="宋体" w:hAnsi="宋体" w:cs="宋体"/>
                <w:color w:val="auto"/>
                <w:kern w:val="0"/>
                <w:szCs w:val="21"/>
              </w:rPr>
              <w:t>10、</w:t>
            </w:r>
            <w:r>
              <w:rPr>
                <w:rFonts w:hint="eastAsia" w:ascii="宋体" w:hAnsi="宋体" w:cs="宋体"/>
                <w:color w:val="auto"/>
                <w:kern w:val="0"/>
                <w:szCs w:val="21"/>
              </w:rPr>
              <w:t>为有效保证数据安全，支持通过</w:t>
            </w:r>
            <w:r>
              <w:rPr>
                <w:rFonts w:ascii="宋体" w:hAnsi="宋体" w:cs="宋体"/>
                <w:color w:val="auto"/>
                <w:kern w:val="0"/>
                <w:szCs w:val="21"/>
              </w:rPr>
              <w:t>IE浏览器设置登录超时时间，当登录后无操作时长达到设置阈值后，设备自动退出并重新进入登录界面；需提供公安部授权机构出具的检验报告证明文件并加盖原厂公章；</w:t>
            </w:r>
            <w:r>
              <w:rPr>
                <w:rFonts w:ascii="宋体" w:hAnsi="宋体" w:cs="宋体"/>
                <w:color w:val="auto"/>
                <w:kern w:val="0"/>
                <w:szCs w:val="21"/>
              </w:rPr>
              <w:br w:type="textWrapping"/>
            </w:r>
            <w:r>
              <w:rPr>
                <w:rFonts w:ascii="宋体" w:hAnsi="宋体" w:cs="宋体"/>
                <w:color w:val="auto"/>
                <w:kern w:val="0"/>
                <w:szCs w:val="21"/>
              </w:rPr>
              <w:t>11、为了保障白天逆光成像和抑制夜间亮光，提升设备全天候成像效果，设备需具有耀光抑制功能，耀光抑制区域不大于1%；</w:t>
            </w:r>
            <w:r>
              <w:rPr>
                <w:rFonts w:ascii="宋体" w:hAnsi="宋体" w:cs="宋体"/>
                <w:color w:val="auto"/>
                <w:kern w:val="0"/>
                <w:szCs w:val="21"/>
              </w:rPr>
              <w:br w:type="textWrapping"/>
            </w:r>
            <w:r>
              <w:rPr>
                <w:rFonts w:ascii="宋体" w:hAnsi="宋体" w:cs="宋体"/>
                <w:color w:val="auto"/>
                <w:kern w:val="0"/>
                <w:szCs w:val="21"/>
              </w:rPr>
              <w:t>12、支持三码流技术，</w:t>
            </w:r>
            <w:r>
              <w:rPr>
                <w:rFonts w:hint="eastAsia" w:ascii="宋体" w:hAnsi="宋体" w:cs="宋体"/>
                <w:color w:val="auto"/>
                <w:kern w:val="0"/>
                <w:szCs w:val="21"/>
              </w:rPr>
              <w:t>主码流分辨率不小于</w:t>
            </w:r>
            <w:r>
              <w:rPr>
                <w:rFonts w:ascii="宋体" w:hAnsi="宋体" w:cs="宋体"/>
                <w:color w:val="auto"/>
                <w:kern w:val="0"/>
                <w:szCs w:val="21"/>
              </w:rPr>
              <w:t>2560x1440@25fps，</w:t>
            </w:r>
            <w:r>
              <w:rPr>
                <w:rFonts w:hint="eastAsia" w:ascii="宋体" w:hAnsi="宋体" w:cs="宋体"/>
                <w:color w:val="auto"/>
                <w:kern w:val="0"/>
                <w:szCs w:val="21"/>
              </w:rPr>
              <w:t>子码流不小于</w:t>
            </w:r>
            <w:r>
              <w:rPr>
                <w:rFonts w:ascii="宋体" w:hAnsi="宋体" w:cs="宋体"/>
                <w:color w:val="auto"/>
                <w:kern w:val="0"/>
                <w:szCs w:val="21"/>
              </w:rPr>
              <w:t>704x576@25fps，第三码流不小于1920x1080@25fps，在分辨率1920x1080 @ 25fps，延时不大于70ms；</w:t>
            </w:r>
            <w:r>
              <w:rPr>
                <w:rFonts w:ascii="宋体" w:hAnsi="宋体" w:cs="宋体"/>
                <w:color w:val="auto"/>
                <w:kern w:val="0"/>
                <w:szCs w:val="21"/>
              </w:rPr>
              <w:br w:type="textWrapping"/>
            </w:r>
            <w:r>
              <w:rPr>
                <w:rFonts w:ascii="宋体" w:hAnsi="宋体" w:cs="宋体"/>
                <w:color w:val="auto"/>
                <w:kern w:val="0"/>
                <w:szCs w:val="21"/>
              </w:rPr>
              <w:t>13、供电方式: DC：12 V；</w:t>
            </w:r>
            <w:r>
              <w:rPr>
                <w:rFonts w:ascii="宋体" w:hAnsi="宋体" w:cs="宋体"/>
                <w:color w:val="auto"/>
                <w:kern w:val="0"/>
                <w:szCs w:val="21"/>
              </w:rPr>
              <w:br w:type="textWrapping"/>
            </w:r>
            <w:r>
              <w:rPr>
                <w:rFonts w:ascii="宋体" w:hAnsi="宋体" w:cs="宋体"/>
                <w:color w:val="auto"/>
                <w:kern w:val="0"/>
                <w:szCs w:val="21"/>
              </w:rPr>
              <w:t xml:space="preserve">14、防护: </w:t>
            </w:r>
            <w:r>
              <w:rPr>
                <w:rFonts w:hint="eastAsia" w:ascii="宋体" w:hAnsi="宋体" w:cs="宋体"/>
                <w:color w:val="auto"/>
                <w:kern w:val="0"/>
                <w:szCs w:val="21"/>
              </w:rPr>
              <w:t>需支持</w:t>
            </w:r>
            <w:r>
              <w:rPr>
                <w:rFonts w:ascii="宋体" w:hAnsi="宋体" w:cs="宋体"/>
                <w:color w:val="auto"/>
                <w:kern w:val="0"/>
                <w:szCs w:val="21"/>
              </w:rPr>
              <w:t>IP67防尘防水；</w:t>
            </w:r>
            <w:r>
              <w:rPr>
                <w:rFonts w:ascii="宋体" w:hAnsi="宋体" w:cs="宋体"/>
                <w:color w:val="auto"/>
                <w:kern w:val="0"/>
                <w:szCs w:val="21"/>
              </w:rPr>
              <w:br w:type="textWrapping"/>
            </w:r>
            <w:r>
              <w:rPr>
                <w:rFonts w:ascii="宋体" w:hAnsi="宋体" w:cs="宋体"/>
                <w:color w:val="auto"/>
                <w:kern w:val="0"/>
                <w:szCs w:val="21"/>
              </w:rPr>
              <w:t>15、含镜头、防护罩、电源、支架、避雷器等；</w:t>
            </w:r>
            <w:r>
              <w:rPr>
                <w:rFonts w:ascii="宋体" w:hAnsi="宋体" w:cs="宋体"/>
                <w:color w:val="auto"/>
                <w:kern w:val="0"/>
                <w:szCs w:val="21"/>
              </w:rPr>
              <w:br w:type="textWrapping"/>
            </w:r>
            <w:r>
              <w:rPr>
                <w:rFonts w:ascii="宋体" w:hAnsi="宋体" w:cs="宋体"/>
                <w:color w:val="auto"/>
                <w:kern w:val="0"/>
                <w:szCs w:val="21"/>
              </w:rPr>
              <w:t>16、含三年原厂质保。</w:t>
            </w:r>
          </w:p>
        </w:tc>
        <w:tc>
          <w:tcPr>
            <w:tcW w:w="420"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大华</w:t>
            </w:r>
          </w:p>
        </w:tc>
        <w:tc>
          <w:tcPr>
            <w:tcW w:w="41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宇视</w:t>
            </w:r>
          </w:p>
        </w:tc>
      </w:tr>
      <w:tr>
        <w:tblPrEx>
          <w:tblCellMar>
            <w:top w:w="0" w:type="dxa"/>
            <w:left w:w="108" w:type="dxa"/>
            <w:bottom w:w="0" w:type="dxa"/>
            <w:right w:w="108" w:type="dxa"/>
          </w:tblCellMar>
        </w:tblPrEx>
        <w:trPr>
          <w:trHeight w:val="2430"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200万治安枪机</w:t>
            </w:r>
          </w:p>
        </w:tc>
        <w:tc>
          <w:tcPr>
            <w:tcW w:w="383"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551</w:t>
            </w:r>
          </w:p>
        </w:tc>
        <w:tc>
          <w:tcPr>
            <w:tcW w:w="24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1、200</w:t>
            </w:r>
            <w:r>
              <w:rPr>
                <w:rFonts w:hint="eastAsia" w:ascii="宋体" w:hAnsi="宋体" w:cs="宋体"/>
                <w:color w:val="auto"/>
                <w:kern w:val="0"/>
                <w:szCs w:val="21"/>
              </w:rPr>
              <w:t>万像素枪型网络摄像机</w:t>
            </w:r>
            <w:r>
              <w:rPr>
                <w:rFonts w:ascii="宋体" w:hAnsi="宋体" w:cs="宋体"/>
                <w:color w:val="auto"/>
                <w:kern w:val="0"/>
                <w:szCs w:val="21"/>
              </w:rPr>
              <w:t>,1/2.8英寸CMOS；</w:t>
            </w:r>
            <w:r>
              <w:rPr>
                <w:rFonts w:ascii="宋体" w:hAnsi="宋体" w:cs="宋体"/>
                <w:color w:val="auto"/>
                <w:kern w:val="0"/>
                <w:szCs w:val="21"/>
              </w:rPr>
              <w:br w:type="textWrapping"/>
            </w:r>
            <w:r>
              <w:rPr>
                <w:rFonts w:ascii="宋体" w:hAnsi="宋体" w:cs="宋体"/>
                <w:color w:val="auto"/>
                <w:kern w:val="0"/>
                <w:szCs w:val="21"/>
              </w:rPr>
              <w:t>2、最大分辨率：1920×1080；在1920x1080下分辨力可达到1000TVL；</w:t>
            </w:r>
            <w:r>
              <w:rPr>
                <w:rFonts w:ascii="宋体" w:hAnsi="宋体" w:cs="宋体"/>
                <w:color w:val="auto"/>
                <w:kern w:val="0"/>
                <w:szCs w:val="21"/>
              </w:rPr>
              <w:br w:type="textWrapping"/>
            </w:r>
            <w:r>
              <w:rPr>
                <w:rFonts w:ascii="宋体" w:hAnsi="宋体" w:cs="宋体"/>
                <w:color w:val="auto"/>
                <w:kern w:val="0"/>
                <w:szCs w:val="21"/>
              </w:rPr>
              <w:t xml:space="preserve">3、最低照度: </w:t>
            </w:r>
            <w:r>
              <w:rPr>
                <w:rFonts w:hint="eastAsia" w:ascii="宋体" w:hAnsi="宋体" w:cs="宋体"/>
                <w:color w:val="auto"/>
                <w:kern w:val="0"/>
                <w:szCs w:val="21"/>
              </w:rPr>
              <w:t>彩色：</w:t>
            </w:r>
            <w:r>
              <w:rPr>
                <w:rFonts w:ascii="宋体" w:hAnsi="宋体" w:cs="宋体"/>
                <w:color w:val="auto"/>
                <w:kern w:val="0"/>
                <w:szCs w:val="21"/>
              </w:rPr>
              <w:t>0.01 Lux @（F1.2，AGC ON），0 Lux with Light;</w:t>
            </w:r>
            <w:r>
              <w:rPr>
                <w:rFonts w:ascii="宋体" w:hAnsi="宋体" w:cs="宋体"/>
                <w:color w:val="auto"/>
                <w:kern w:val="0"/>
                <w:szCs w:val="21"/>
              </w:rPr>
              <w:br w:type="textWrapping"/>
            </w:r>
            <w:r>
              <w:rPr>
                <w:rFonts w:ascii="宋体" w:hAnsi="宋体" w:cs="宋体"/>
                <w:color w:val="auto"/>
                <w:kern w:val="0"/>
                <w:szCs w:val="21"/>
              </w:rPr>
              <w:t>4、镜头类型：3.6mm/6mm/8mm/12mm可选；低照度等级为星光级；</w:t>
            </w:r>
            <w:r>
              <w:rPr>
                <w:rFonts w:ascii="宋体" w:hAnsi="宋体" w:cs="宋体"/>
                <w:color w:val="auto"/>
                <w:kern w:val="0"/>
                <w:szCs w:val="21"/>
              </w:rPr>
              <w:br w:type="textWrapping"/>
            </w:r>
            <w:r>
              <w:rPr>
                <w:rFonts w:ascii="宋体" w:hAnsi="宋体" w:cs="宋体"/>
                <w:color w:val="auto"/>
                <w:kern w:val="0"/>
                <w:szCs w:val="21"/>
              </w:rPr>
              <w:t xml:space="preserve">5、补光距离: </w:t>
            </w:r>
            <w:r>
              <w:rPr>
                <w:rFonts w:hint="eastAsia" w:ascii="宋体" w:hAnsi="宋体" w:cs="宋体"/>
                <w:color w:val="auto"/>
                <w:kern w:val="0"/>
                <w:szCs w:val="21"/>
              </w:rPr>
              <w:t>红外光最远可达</w:t>
            </w:r>
            <w:r>
              <w:rPr>
                <w:rFonts w:ascii="宋体" w:hAnsi="宋体" w:cs="宋体"/>
                <w:color w:val="auto"/>
                <w:kern w:val="0"/>
                <w:szCs w:val="21"/>
              </w:rPr>
              <w:t>30 m，白光最远可达30 m；</w:t>
            </w:r>
            <w:r>
              <w:rPr>
                <w:rFonts w:ascii="宋体" w:hAnsi="宋体" w:cs="宋体"/>
                <w:color w:val="auto"/>
                <w:kern w:val="0"/>
                <w:szCs w:val="21"/>
              </w:rPr>
              <w:br w:type="textWrapping"/>
            </w:r>
            <w:r>
              <w:rPr>
                <w:rFonts w:ascii="宋体" w:hAnsi="宋体" w:cs="宋体"/>
                <w:color w:val="auto"/>
                <w:kern w:val="0"/>
                <w:szCs w:val="21"/>
              </w:rPr>
              <w:t>6、信噪比不小于55dB；</w:t>
            </w:r>
            <w:r>
              <w:rPr>
                <w:rFonts w:ascii="宋体" w:hAnsi="宋体" w:cs="宋体"/>
                <w:color w:val="auto"/>
                <w:kern w:val="0"/>
                <w:szCs w:val="21"/>
              </w:rPr>
              <w:br w:type="textWrapping"/>
            </w:r>
            <w:r>
              <w:rPr>
                <w:rFonts w:ascii="宋体" w:hAnsi="宋体" w:cs="宋体"/>
                <w:color w:val="auto"/>
                <w:kern w:val="0"/>
                <w:szCs w:val="21"/>
              </w:rPr>
              <w:t>7、视频压缩标准：H.265;H.264;H.264B;MJPEG（</w:t>
            </w:r>
            <w:r>
              <w:rPr>
                <w:rFonts w:hint="eastAsia" w:ascii="宋体" w:hAnsi="宋体" w:cs="宋体"/>
                <w:color w:val="auto"/>
                <w:kern w:val="0"/>
                <w:szCs w:val="21"/>
              </w:rPr>
              <w:t>仅辅码流支持）；</w:t>
            </w:r>
            <w:r>
              <w:rPr>
                <w:rFonts w:ascii="宋体" w:hAnsi="宋体" w:cs="宋体"/>
                <w:color w:val="auto"/>
                <w:kern w:val="0"/>
                <w:szCs w:val="21"/>
              </w:rPr>
              <w:br w:type="textWrapping"/>
            </w:r>
            <w:r>
              <w:rPr>
                <w:rFonts w:ascii="宋体" w:hAnsi="宋体" w:cs="宋体"/>
                <w:color w:val="auto"/>
                <w:kern w:val="0"/>
                <w:szCs w:val="21"/>
              </w:rPr>
              <w:t>8、供电方式：DC12V；</w:t>
            </w:r>
            <w:r>
              <w:rPr>
                <w:rFonts w:ascii="宋体" w:hAnsi="宋体" w:cs="宋体"/>
                <w:color w:val="auto"/>
                <w:kern w:val="0"/>
                <w:szCs w:val="21"/>
              </w:rPr>
              <w:br w:type="textWrapping"/>
            </w:r>
            <w:r>
              <w:rPr>
                <w:rFonts w:ascii="宋体" w:hAnsi="宋体" w:cs="宋体"/>
                <w:color w:val="auto"/>
                <w:kern w:val="0"/>
                <w:szCs w:val="21"/>
              </w:rPr>
              <w:t>9、防护等级：IP67</w:t>
            </w:r>
            <w:r>
              <w:rPr>
                <w:rFonts w:ascii="宋体" w:hAnsi="宋体" w:cs="宋体"/>
                <w:color w:val="auto"/>
                <w:kern w:val="0"/>
                <w:szCs w:val="21"/>
              </w:rPr>
              <w:br w:type="textWrapping"/>
            </w:r>
            <w:r>
              <w:rPr>
                <w:rFonts w:ascii="宋体" w:hAnsi="宋体" w:cs="宋体"/>
                <w:color w:val="auto"/>
                <w:kern w:val="0"/>
                <w:szCs w:val="21"/>
              </w:rPr>
              <w:t>10、含镜头、防护罩、电源、支架、避雷器等。</w:t>
            </w:r>
            <w:r>
              <w:rPr>
                <w:rFonts w:ascii="宋体" w:hAnsi="宋体" w:cs="宋体"/>
                <w:color w:val="auto"/>
                <w:kern w:val="0"/>
                <w:szCs w:val="21"/>
              </w:rPr>
              <w:br w:type="textWrapping"/>
            </w:r>
            <w:r>
              <w:rPr>
                <w:rFonts w:ascii="宋体" w:hAnsi="宋体" w:cs="宋体"/>
                <w:color w:val="auto"/>
                <w:kern w:val="0"/>
                <w:szCs w:val="21"/>
              </w:rPr>
              <w:t>11、含三年原厂质保；</w:t>
            </w:r>
          </w:p>
        </w:tc>
        <w:tc>
          <w:tcPr>
            <w:tcW w:w="420"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大华</w:t>
            </w:r>
          </w:p>
        </w:tc>
        <w:tc>
          <w:tcPr>
            <w:tcW w:w="41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宇视</w:t>
            </w:r>
          </w:p>
        </w:tc>
      </w:tr>
      <w:tr>
        <w:tblPrEx>
          <w:tblCellMar>
            <w:top w:w="0" w:type="dxa"/>
            <w:left w:w="108" w:type="dxa"/>
            <w:bottom w:w="0" w:type="dxa"/>
            <w:right w:w="108" w:type="dxa"/>
          </w:tblCellMar>
        </w:tblPrEx>
        <w:trPr>
          <w:trHeight w:val="560"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5</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200万治安球机</w:t>
            </w:r>
          </w:p>
        </w:tc>
        <w:tc>
          <w:tcPr>
            <w:tcW w:w="383"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143</w:t>
            </w:r>
          </w:p>
        </w:tc>
        <w:tc>
          <w:tcPr>
            <w:tcW w:w="24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1、200</w:t>
            </w:r>
            <w:r>
              <w:rPr>
                <w:rFonts w:hint="eastAsia" w:ascii="宋体" w:hAnsi="宋体" w:cs="宋体"/>
                <w:color w:val="auto"/>
                <w:kern w:val="0"/>
                <w:szCs w:val="21"/>
              </w:rPr>
              <w:t>万像治安球机；传感器类型：</w:t>
            </w:r>
            <w:r>
              <w:rPr>
                <w:rFonts w:ascii="宋体" w:hAnsi="宋体" w:cs="宋体"/>
                <w:color w:val="auto"/>
                <w:kern w:val="0"/>
                <w:szCs w:val="21"/>
              </w:rPr>
              <w:t>1/2.8英寸 CMOS；</w:t>
            </w:r>
            <w:r>
              <w:rPr>
                <w:rFonts w:ascii="宋体" w:hAnsi="宋体" w:cs="宋体"/>
                <w:color w:val="auto"/>
                <w:kern w:val="0"/>
                <w:szCs w:val="21"/>
              </w:rPr>
              <w:br w:type="textWrapping"/>
            </w:r>
            <w:r>
              <w:rPr>
                <w:rFonts w:ascii="宋体" w:hAnsi="宋体" w:cs="宋体"/>
                <w:color w:val="auto"/>
                <w:kern w:val="0"/>
                <w:szCs w:val="21"/>
              </w:rPr>
              <w:t>2、最大分辨率：1920×1080；</w:t>
            </w:r>
            <w:r>
              <w:rPr>
                <w:rFonts w:ascii="宋体" w:hAnsi="宋体" w:cs="宋体"/>
                <w:color w:val="auto"/>
                <w:kern w:val="0"/>
                <w:szCs w:val="21"/>
              </w:rPr>
              <w:br w:type="textWrapping"/>
            </w:r>
            <w:r>
              <w:rPr>
                <w:rFonts w:ascii="宋体" w:hAnsi="宋体" w:cs="宋体"/>
                <w:color w:val="auto"/>
                <w:kern w:val="0"/>
                <w:szCs w:val="21"/>
              </w:rPr>
              <w:t xml:space="preserve">3、最低照度: </w:t>
            </w:r>
            <w:r>
              <w:rPr>
                <w:rFonts w:hint="eastAsia" w:ascii="宋体" w:hAnsi="宋体" w:cs="宋体"/>
                <w:color w:val="auto"/>
                <w:kern w:val="0"/>
                <w:szCs w:val="21"/>
              </w:rPr>
              <w:t>彩色：</w:t>
            </w:r>
            <w:r>
              <w:rPr>
                <w:rFonts w:ascii="宋体" w:hAnsi="宋体" w:cs="宋体"/>
                <w:color w:val="auto"/>
                <w:kern w:val="0"/>
                <w:szCs w:val="21"/>
              </w:rPr>
              <w:t>0.01 Lux @（F1.2，AGC ON），0 Lux with Light;</w:t>
            </w:r>
            <w:r>
              <w:rPr>
                <w:rFonts w:ascii="宋体" w:hAnsi="宋体" w:cs="宋体"/>
                <w:color w:val="auto"/>
                <w:kern w:val="0"/>
                <w:szCs w:val="21"/>
              </w:rPr>
              <w:br w:type="textWrapping"/>
            </w:r>
            <w:r>
              <w:rPr>
                <w:rFonts w:ascii="宋体" w:hAnsi="宋体" w:cs="宋体"/>
                <w:color w:val="auto"/>
                <w:kern w:val="0"/>
                <w:szCs w:val="21"/>
              </w:rPr>
              <w:t>4、红外补光距离不低于150m；</w:t>
            </w:r>
            <w:r>
              <w:rPr>
                <w:rFonts w:ascii="宋体" w:hAnsi="宋体" w:cs="宋体"/>
                <w:color w:val="auto"/>
                <w:kern w:val="0"/>
                <w:szCs w:val="21"/>
              </w:rPr>
              <w:br w:type="textWrapping"/>
            </w:r>
            <w:r>
              <w:rPr>
                <w:rFonts w:ascii="宋体" w:hAnsi="宋体" w:cs="宋体"/>
                <w:color w:val="auto"/>
                <w:kern w:val="0"/>
                <w:szCs w:val="21"/>
              </w:rPr>
              <w:t>5、镜头焦距：4.8mm~110mm；</w:t>
            </w:r>
            <w:r>
              <w:rPr>
                <w:rFonts w:ascii="宋体" w:hAnsi="宋体" w:cs="宋体"/>
                <w:color w:val="auto"/>
                <w:kern w:val="0"/>
                <w:szCs w:val="21"/>
              </w:rPr>
              <w:br w:type="textWrapping"/>
            </w:r>
            <w:r>
              <w:rPr>
                <w:rFonts w:ascii="宋体" w:hAnsi="宋体" w:cs="宋体"/>
                <w:color w:val="auto"/>
                <w:kern w:val="0"/>
                <w:szCs w:val="21"/>
              </w:rPr>
              <w:t>6、光学变倍不低于23倍；</w:t>
            </w:r>
            <w:r>
              <w:rPr>
                <w:rFonts w:ascii="宋体" w:hAnsi="宋体" w:cs="宋体"/>
                <w:color w:val="auto"/>
                <w:kern w:val="0"/>
                <w:szCs w:val="21"/>
              </w:rPr>
              <w:br w:type="textWrapping"/>
            </w:r>
            <w:r>
              <w:rPr>
                <w:rFonts w:ascii="宋体" w:hAnsi="宋体" w:cs="宋体"/>
                <w:color w:val="auto"/>
                <w:kern w:val="0"/>
                <w:szCs w:val="21"/>
              </w:rPr>
              <w:t>7、支持区域入侵、越界入侵、徘徊、物品移除、物品遗留、人员聚集、停车，并联动报警；</w:t>
            </w:r>
            <w:r>
              <w:rPr>
                <w:rFonts w:ascii="宋体" w:hAnsi="宋体" w:cs="宋体"/>
                <w:color w:val="auto"/>
                <w:kern w:val="0"/>
                <w:szCs w:val="21"/>
              </w:rPr>
              <w:br w:type="textWrapping"/>
            </w:r>
            <w:r>
              <w:rPr>
                <w:rFonts w:ascii="宋体" w:hAnsi="宋体" w:cs="宋体"/>
                <w:color w:val="auto"/>
                <w:kern w:val="0"/>
                <w:szCs w:val="21"/>
              </w:rPr>
              <w:t>8、支持300个预置位，可按照所设置的</w:t>
            </w:r>
            <w:r>
              <w:rPr>
                <w:rFonts w:hint="eastAsia" w:ascii="宋体" w:hAnsi="宋体" w:cs="宋体"/>
                <w:color w:val="auto"/>
                <w:kern w:val="0"/>
                <w:szCs w:val="21"/>
              </w:rPr>
              <w:t>预置位完成不小于</w:t>
            </w:r>
            <w:r>
              <w:rPr>
                <w:rFonts w:ascii="宋体" w:hAnsi="宋体" w:cs="宋体"/>
                <w:color w:val="auto"/>
                <w:kern w:val="0"/>
                <w:szCs w:val="21"/>
              </w:rPr>
              <w:t>8条巡航路径，支持不小于4条模式路径设置，支持</w:t>
            </w:r>
            <w:r>
              <w:rPr>
                <w:rFonts w:hint="eastAsia" w:ascii="宋体" w:hAnsi="宋体" w:cs="宋体"/>
                <w:color w:val="auto"/>
                <w:kern w:val="0"/>
                <w:szCs w:val="21"/>
              </w:rPr>
              <w:t>预置位视频冻结功能；可实现</w:t>
            </w:r>
            <w:r>
              <w:rPr>
                <w:rFonts w:ascii="宋体" w:hAnsi="宋体" w:cs="宋体"/>
                <w:color w:val="auto"/>
                <w:kern w:val="0"/>
                <w:szCs w:val="21"/>
              </w:rPr>
              <w:t>RS485接口优先或RJ45网络接口优先控制功能；</w:t>
            </w:r>
            <w:r>
              <w:rPr>
                <w:rFonts w:ascii="宋体" w:hAnsi="宋体" w:cs="宋体"/>
                <w:color w:val="auto"/>
                <w:kern w:val="0"/>
                <w:szCs w:val="21"/>
              </w:rPr>
              <w:br w:type="textWrapping"/>
            </w:r>
            <w:r>
              <w:rPr>
                <w:rFonts w:ascii="宋体" w:hAnsi="宋体" w:cs="宋体"/>
                <w:color w:val="auto"/>
                <w:kern w:val="0"/>
                <w:szCs w:val="21"/>
              </w:rPr>
              <w:t>9、防抖功能：电子防抖；透雾功能：电子透雾；</w:t>
            </w:r>
            <w:r>
              <w:rPr>
                <w:rFonts w:ascii="宋体" w:hAnsi="宋体" w:cs="宋体"/>
                <w:color w:val="auto"/>
                <w:kern w:val="0"/>
                <w:szCs w:val="21"/>
              </w:rPr>
              <w:br w:type="textWrapping"/>
            </w:r>
            <w:r>
              <w:rPr>
                <w:rFonts w:ascii="宋体" w:hAnsi="宋体" w:cs="宋体"/>
                <w:color w:val="auto"/>
                <w:kern w:val="0"/>
                <w:szCs w:val="21"/>
              </w:rPr>
              <w:t>10、供电方式：DC24V/2.5A±25%；</w:t>
            </w:r>
            <w:r>
              <w:rPr>
                <w:rFonts w:ascii="宋体" w:hAnsi="宋体" w:cs="宋体"/>
                <w:color w:val="auto"/>
                <w:kern w:val="0"/>
                <w:szCs w:val="21"/>
              </w:rPr>
              <w:br w:type="textWrapping"/>
            </w:r>
            <w:r>
              <w:rPr>
                <w:rFonts w:ascii="宋体" w:hAnsi="宋体" w:cs="宋体"/>
                <w:color w:val="auto"/>
                <w:kern w:val="0"/>
                <w:szCs w:val="21"/>
              </w:rPr>
              <w:t>11、防护: IP66；</w:t>
            </w:r>
            <w:r>
              <w:rPr>
                <w:rFonts w:ascii="宋体" w:hAnsi="宋体" w:cs="宋体"/>
                <w:color w:val="auto"/>
                <w:kern w:val="0"/>
                <w:szCs w:val="21"/>
              </w:rPr>
              <w:br w:type="textWrapping"/>
            </w:r>
            <w:r>
              <w:rPr>
                <w:rFonts w:ascii="宋体" w:hAnsi="宋体" w:cs="宋体"/>
                <w:color w:val="auto"/>
                <w:kern w:val="0"/>
                <w:szCs w:val="21"/>
              </w:rPr>
              <w:t>12、含电源、支架、避雷器等。</w:t>
            </w:r>
            <w:r>
              <w:rPr>
                <w:rFonts w:ascii="宋体" w:hAnsi="宋体" w:cs="宋体"/>
                <w:color w:val="auto"/>
                <w:kern w:val="0"/>
                <w:szCs w:val="21"/>
              </w:rPr>
              <w:br w:type="textWrapping"/>
            </w:r>
            <w:r>
              <w:rPr>
                <w:rFonts w:ascii="宋体" w:hAnsi="宋体" w:cs="宋体"/>
                <w:color w:val="auto"/>
                <w:kern w:val="0"/>
                <w:szCs w:val="21"/>
              </w:rPr>
              <w:t>13、含三年原厂质保；</w:t>
            </w:r>
          </w:p>
        </w:tc>
        <w:tc>
          <w:tcPr>
            <w:tcW w:w="420"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大华</w:t>
            </w:r>
          </w:p>
        </w:tc>
        <w:tc>
          <w:tcPr>
            <w:tcW w:w="41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宇视</w:t>
            </w:r>
          </w:p>
        </w:tc>
      </w:tr>
      <w:tr>
        <w:tblPrEx>
          <w:tblCellMar>
            <w:top w:w="0" w:type="dxa"/>
            <w:left w:w="108" w:type="dxa"/>
            <w:bottom w:w="0" w:type="dxa"/>
            <w:right w:w="108" w:type="dxa"/>
          </w:tblCellMar>
        </w:tblPrEx>
        <w:trPr>
          <w:trHeight w:val="2430"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6</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200万半球</w:t>
            </w:r>
          </w:p>
        </w:tc>
        <w:tc>
          <w:tcPr>
            <w:tcW w:w="383"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45</w:t>
            </w:r>
          </w:p>
        </w:tc>
        <w:tc>
          <w:tcPr>
            <w:tcW w:w="24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1、200</w:t>
            </w:r>
            <w:r>
              <w:rPr>
                <w:rFonts w:hint="eastAsia" w:ascii="宋体" w:hAnsi="宋体" w:cs="宋体"/>
                <w:color w:val="auto"/>
                <w:kern w:val="0"/>
                <w:szCs w:val="21"/>
              </w:rPr>
              <w:t>万像素半球型网络摄像机</w:t>
            </w:r>
            <w:r>
              <w:rPr>
                <w:rFonts w:ascii="宋体" w:hAnsi="宋体" w:cs="宋体"/>
                <w:color w:val="auto"/>
                <w:kern w:val="0"/>
                <w:szCs w:val="21"/>
              </w:rPr>
              <w:t>,1/2.8英寸CMOS；</w:t>
            </w:r>
            <w:r>
              <w:rPr>
                <w:rFonts w:ascii="宋体" w:hAnsi="宋体" w:cs="宋体"/>
                <w:color w:val="auto"/>
                <w:kern w:val="0"/>
                <w:szCs w:val="21"/>
              </w:rPr>
              <w:br w:type="textWrapping"/>
            </w:r>
            <w:r>
              <w:rPr>
                <w:rFonts w:ascii="宋体" w:hAnsi="宋体" w:cs="宋体"/>
                <w:color w:val="auto"/>
                <w:kern w:val="0"/>
                <w:szCs w:val="21"/>
              </w:rPr>
              <w:t>2、最大分辨率：1920×1080；</w:t>
            </w:r>
            <w:r>
              <w:rPr>
                <w:rFonts w:ascii="宋体" w:hAnsi="宋体" w:cs="宋体"/>
                <w:color w:val="auto"/>
                <w:kern w:val="0"/>
                <w:szCs w:val="21"/>
              </w:rPr>
              <w:br w:type="textWrapping"/>
            </w:r>
            <w:r>
              <w:rPr>
                <w:rFonts w:ascii="宋体" w:hAnsi="宋体" w:cs="宋体"/>
                <w:color w:val="auto"/>
                <w:kern w:val="0"/>
                <w:szCs w:val="21"/>
              </w:rPr>
              <w:t>3、最低照度：0.002Lux（彩色模式）；0.0002Lux（黑白模式）；0Lux（补光灯开启）；4、最</w:t>
            </w:r>
            <w:r>
              <w:rPr>
                <w:rFonts w:hint="eastAsia" w:ascii="宋体" w:hAnsi="宋体" w:cs="宋体"/>
                <w:color w:val="auto"/>
                <w:kern w:val="0"/>
                <w:szCs w:val="21"/>
              </w:rPr>
              <w:t>大补光距离：</w:t>
            </w:r>
            <w:r>
              <w:rPr>
                <w:rFonts w:ascii="宋体" w:hAnsi="宋体" w:cs="宋体"/>
                <w:color w:val="auto"/>
                <w:kern w:val="0"/>
                <w:szCs w:val="21"/>
              </w:rPr>
              <w:t>50m（红外）；</w:t>
            </w:r>
            <w:r>
              <w:rPr>
                <w:rFonts w:ascii="宋体" w:hAnsi="宋体" w:cs="宋体"/>
                <w:color w:val="auto"/>
                <w:kern w:val="0"/>
                <w:szCs w:val="21"/>
              </w:rPr>
              <w:br w:type="textWrapping"/>
            </w:r>
            <w:r>
              <w:rPr>
                <w:rFonts w:ascii="宋体" w:hAnsi="宋体" w:cs="宋体"/>
                <w:color w:val="auto"/>
                <w:kern w:val="0"/>
                <w:szCs w:val="21"/>
              </w:rPr>
              <w:t>5、镜头焦距：2.8mm/3.6mm/6mm/8mm；</w:t>
            </w:r>
            <w:r>
              <w:rPr>
                <w:rFonts w:ascii="宋体" w:hAnsi="宋体" w:cs="宋体"/>
                <w:color w:val="auto"/>
                <w:kern w:val="0"/>
                <w:szCs w:val="21"/>
              </w:rPr>
              <w:br w:type="textWrapping"/>
            </w:r>
            <w:r>
              <w:rPr>
                <w:rFonts w:ascii="宋体" w:hAnsi="宋体" w:cs="宋体"/>
                <w:color w:val="auto"/>
                <w:kern w:val="0"/>
                <w:szCs w:val="21"/>
              </w:rPr>
              <w:t>6、报警事件：网络断开；IP冲突；非法访问；动态检测；视频遮挡；绊线入侵；区域入侵；音频异常侦测；电压检测；智能动检（人）；安全异常；视频压缩标准：</w:t>
            </w:r>
            <w:r>
              <w:rPr>
                <w:rFonts w:hint="eastAsia" w:ascii="宋体" w:hAnsi="宋体" w:cs="宋体"/>
                <w:color w:val="auto"/>
                <w:kern w:val="0"/>
                <w:szCs w:val="21"/>
              </w:rPr>
              <w:t>主码流：</w:t>
            </w:r>
            <w:r>
              <w:rPr>
                <w:rFonts w:ascii="宋体" w:hAnsi="宋体" w:cs="宋体"/>
                <w:color w:val="auto"/>
                <w:kern w:val="0"/>
                <w:szCs w:val="21"/>
              </w:rPr>
              <w:t>H.265/H.264；</w:t>
            </w:r>
            <w:r>
              <w:rPr>
                <w:rFonts w:ascii="宋体" w:hAnsi="宋体" w:cs="宋体"/>
                <w:color w:val="auto"/>
                <w:kern w:val="0"/>
                <w:szCs w:val="21"/>
              </w:rPr>
              <w:br w:type="textWrapping"/>
            </w:r>
            <w:r>
              <w:rPr>
                <w:rFonts w:ascii="宋体" w:hAnsi="宋体" w:cs="宋体"/>
                <w:color w:val="auto"/>
                <w:kern w:val="0"/>
                <w:szCs w:val="21"/>
              </w:rPr>
              <w:t>7、供电方式：DC12V/POE；</w:t>
            </w:r>
            <w:r>
              <w:rPr>
                <w:rFonts w:ascii="宋体" w:hAnsi="宋体" w:cs="宋体"/>
                <w:color w:val="auto"/>
                <w:kern w:val="0"/>
                <w:szCs w:val="21"/>
              </w:rPr>
              <w:br w:type="textWrapping"/>
            </w:r>
            <w:r>
              <w:rPr>
                <w:rFonts w:ascii="宋体" w:hAnsi="宋体" w:cs="宋体"/>
                <w:color w:val="auto"/>
                <w:kern w:val="0"/>
                <w:szCs w:val="21"/>
              </w:rPr>
              <w:t>8、防护等级：IP67；</w:t>
            </w:r>
            <w:r>
              <w:rPr>
                <w:rFonts w:ascii="宋体" w:hAnsi="宋体" w:cs="宋体"/>
                <w:color w:val="auto"/>
                <w:kern w:val="0"/>
                <w:szCs w:val="21"/>
              </w:rPr>
              <w:br w:type="textWrapping"/>
            </w:r>
            <w:r>
              <w:rPr>
                <w:rFonts w:ascii="宋体" w:hAnsi="宋体" w:cs="宋体"/>
                <w:color w:val="auto"/>
                <w:kern w:val="0"/>
                <w:szCs w:val="21"/>
              </w:rPr>
              <w:t>9、含电源、支架等。</w:t>
            </w:r>
            <w:r>
              <w:rPr>
                <w:rFonts w:ascii="宋体" w:hAnsi="宋体" w:cs="宋体"/>
                <w:color w:val="auto"/>
                <w:kern w:val="0"/>
                <w:szCs w:val="21"/>
              </w:rPr>
              <w:br w:type="textWrapping"/>
            </w:r>
            <w:r>
              <w:rPr>
                <w:rFonts w:ascii="宋体" w:hAnsi="宋体" w:cs="宋体"/>
                <w:color w:val="auto"/>
                <w:kern w:val="0"/>
                <w:szCs w:val="21"/>
              </w:rPr>
              <w:t>10、含三年原厂质保；</w:t>
            </w:r>
          </w:p>
        </w:tc>
        <w:tc>
          <w:tcPr>
            <w:tcW w:w="420"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大华</w:t>
            </w:r>
          </w:p>
        </w:tc>
        <w:tc>
          <w:tcPr>
            <w:tcW w:w="41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宇视</w:t>
            </w:r>
          </w:p>
        </w:tc>
      </w:tr>
      <w:tr>
        <w:tblPrEx>
          <w:tblCellMar>
            <w:top w:w="0" w:type="dxa"/>
            <w:left w:w="108" w:type="dxa"/>
            <w:bottom w:w="0" w:type="dxa"/>
            <w:right w:w="108" w:type="dxa"/>
          </w:tblCellMar>
        </w:tblPrEx>
        <w:trPr>
          <w:trHeight w:val="1500"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7</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消防通道专用摄像机</w:t>
            </w:r>
          </w:p>
        </w:tc>
        <w:tc>
          <w:tcPr>
            <w:tcW w:w="383"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271</w:t>
            </w:r>
          </w:p>
        </w:tc>
        <w:tc>
          <w:tcPr>
            <w:tcW w:w="24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1、消防通道专用摄像机内置室外消防通道停车侦测算法，对超过配置停留时间的车辆产生报警，并进行车牌的识别，支持消防通道停车侦测报警联动报警输出，事件结果可上传中心；</w:t>
            </w:r>
            <w:r>
              <w:rPr>
                <w:rFonts w:ascii="宋体" w:hAnsi="宋体" w:cs="宋体"/>
                <w:color w:val="auto"/>
                <w:kern w:val="0"/>
                <w:szCs w:val="21"/>
              </w:rPr>
              <w:br w:type="textWrapping"/>
            </w:r>
            <w:r>
              <w:rPr>
                <w:rFonts w:ascii="宋体" w:hAnsi="宋体" w:cs="宋体"/>
                <w:color w:val="auto"/>
                <w:kern w:val="0"/>
                <w:szCs w:val="21"/>
              </w:rPr>
              <w:t>2、不低于1/2.7英寸CMOS；像素：400万；最大分辨率：2688×1520；宽动态：120dB；支持H.264，H.265智能编码；</w:t>
            </w:r>
            <w:r>
              <w:rPr>
                <w:rFonts w:ascii="宋体" w:hAnsi="宋体" w:cs="宋体"/>
                <w:color w:val="auto"/>
                <w:kern w:val="0"/>
                <w:szCs w:val="21"/>
              </w:rPr>
              <w:br w:type="textWrapping"/>
            </w:r>
            <w:r>
              <w:rPr>
                <w:rFonts w:ascii="宋体" w:hAnsi="宋体" w:cs="宋体"/>
                <w:color w:val="auto"/>
                <w:kern w:val="0"/>
                <w:szCs w:val="21"/>
              </w:rPr>
              <w:t>3、最低照度：0.002Lux(彩色模式);0.0002Lux(黑白模式);0Lux(补光灯开启)；</w:t>
            </w:r>
            <w:r>
              <w:rPr>
                <w:rFonts w:ascii="宋体" w:hAnsi="宋体" w:cs="宋体"/>
                <w:color w:val="auto"/>
                <w:kern w:val="0"/>
                <w:szCs w:val="21"/>
              </w:rPr>
              <w:br w:type="textWrapping"/>
            </w:r>
            <w:r>
              <w:rPr>
                <w:rFonts w:ascii="宋体" w:hAnsi="宋体" w:cs="宋体"/>
                <w:color w:val="auto"/>
                <w:kern w:val="0"/>
                <w:szCs w:val="21"/>
              </w:rPr>
              <w:t>4、最</w:t>
            </w:r>
            <w:r>
              <w:rPr>
                <w:rFonts w:hint="eastAsia" w:ascii="宋体" w:hAnsi="宋体" w:cs="宋体"/>
                <w:color w:val="auto"/>
                <w:kern w:val="0"/>
                <w:szCs w:val="21"/>
              </w:rPr>
              <w:t>大补光距离：</w:t>
            </w:r>
            <w:r>
              <w:rPr>
                <w:rFonts w:ascii="宋体" w:hAnsi="宋体" w:cs="宋体"/>
                <w:color w:val="auto"/>
                <w:kern w:val="0"/>
                <w:szCs w:val="21"/>
              </w:rPr>
              <w:t>60m（红外视频监控距离）; 30m（暖光视频监控距离）; 10m（暖光人脸检测距离）；</w:t>
            </w:r>
            <w:r>
              <w:rPr>
                <w:rFonts w:ascii="宋体" w:hAnsi="宋体" w:cs="宋体"/>
                <w:color w:val="auto"/>
                <w:kern w:val="0"/>
                <w:szCs w:val="21"/>
              </w:rPr>
              <w:br w:type="textWrapping"/>
            </w:r>
            <w:r>
              <w:rPr>
                <w:rFonts w:ascii="宋体" w:hAnsi="宋体" w:cs="宋体"/>
                <w:color w:val="auto"/>
                <w:kern w:val="0"/>
                <w:szCs w:val="21"/>
              </w:rPr>
              <w:t>5、镜头类型：电动变焦；镜头焦距：2.7-13.5mm；</w:t>
            </w:r>
            <w:r>
              <w:rPr>
                <w:rFonts w:ascii="宋体" w:hAnsi="宋体" w:cs="宋体"/>
                <w:color w:val="auto"/>
                <w:kern w:val="0"/>
                <w:szCs w:val="21"/>
              </w:rPr>
              <w:br w:type="textWrapping"/>
            </w:r>
            <w:r>
              <w:rPr>
                <w:rFonts w:ascii="宋体" w:hAnsi="宋体" w:cs="宋体"/>
                <w:color w:val="auto"/>
                <w:kern w:val="0"/>
                <w:szCs w:val="21"/>
              </w:rPr>
              <w:t>6、支持背光补偿，强光抑制，电子防抖，畸变校正，3D数字降噪，低码率、ROI感兴趣区域增强编码，支持车牌动态跟踪；</w:t>
            </w:r>
            <w:r>
              <w:rPr>
                <w:rFonts w:ascii="宋体" w:hAnsi="宋体" w:cs="宋体"/>
                <w:color w:val="auto"/>
                <w:kern w:val="0"/>
                <w:szCs w:val="21"/>
              </w:rPr>
              <w:br w:type="textWrapping"/>
            </w:r>
            <w:r>
              <w:rPr>
                <w:rFonts w:ascii="宋体" w:hAnsi="宋体" w:cs="宋体"/>
                <w:color w:val="auto"/>
                <w:kern w:val="0"/>
                <w:szCs w:val="21"/>
              </w:rPr>
              <w:t>7、报警事件：无SD卡；SD</w:t>
            </w:r>
            <w:r>
              <w:rPr>
                <w:rFonts w:hint="eastAsia" w:ascii="宋体" w:hAnsi="宋体" w:cs="宋体"/>
                <w:color w:val="auto"/>
                <w:kern w:val="0"/>
                <w:szCs w:val="21"/>
              </w:rPr>
              <w:t>卡空间不足；</w:t>
            </w:r>
            <w:r>
              <w:rPr>
                <w:rFonts w:ascii="宋体" w:hAnsi="宋体" w:cs="宋体"/>
                <w:color w:val="auto"/>
                <w:kern w:val="0"/>
                <w:szCs w:val="21"/>
              </w:rPr>
              <w:t>SD卡出错；网络断开；IP冲突；非法访问；动态检测；视频遮挡；物品遗留；物品搬移；场景变更；音频异常侦测；电压检测；安全异常；虚焦侦测；人脸检测；人数统计；区域内人数统计；滞留报警；排队人数；排队时间；灯光报警；声音报警（内置21种语音可选，支持用户自定义语音导入）；</w:t>
            </w:r>
            <w:r>
              <w:rPr>
                <w:rFonts w:ascii="宋体" w:hAnsi="宋体" w:cs="宋体"/>
                <w:color w:val="auto"/>
                <w:kern w:val="0"/>
                <w:szCs w:val="21"/>
              </w:rPr>
              <w:br w:type="textWrapping"/>
            </w:r>
            <w:r>
              <w:rPr>
                <w:rFonts w:ascii="宋体" w:hAnsi="宋体" w:cs="宋体"/>
                <w:color w:val="auto"/>
                <w:kern w:val="0"/>
                <w:szCs w:val="21"/>
              </w:rPr>
              <w:t>8、透雾功能：支持</w:t>
            </w:r>
            <w:r>
              <w:rPr>
                <w:rFonts w:ascii="宋体" w:hAnsi="宋体" w:cs="宋体"/>
                <w:color w:val="auto"/>
                <w:kern w:val="0"/>
                <w:szCs w:val="21"/>
              </w:rPr>
              <w:br w:type="textWrapping"/>
            </w:r>
            <w:r>
              <w:rPr>
                <w:rFonts w:ascii="宋体" w:hAnsi="宋体" w:cs="宋体"/>
                <w:color w:val="auto"/>
                <w:kern w:val="0"/>
                <w:szCs w:val="21"/>
              </w:rPr>
              <w:t>9、内置MIC：支持；</w:t>
            </w:r>
            <w:r>
              <w:rPr>
                <w:rFonts w:ascii="宋体" w:hAnsi="宋体" w:cs="宋体"/>
                <w:color w:val="auto"/>
                <w:kern w:val="0"/>
                <w:szCs w:val="21"/>
              </w:rPr>
              <w:br w:type="textWrapping"/>
            </w:r>
            <w:r>
              <w:rPr>
                <w:rFonts w:ascii="宋体" w:hAnsi="宋体" w:cs="宋体"/>
                <w:color w:val="auto"/>
                <w:kern w:val="0"/>
                <w:szCs w:val="21"/>
              </w:rPr>
              <w:t>10、内置扬声器：支持；</w:t>
            </w:r>
            <w:r>
              <w:rPr>
                <w:rFonts w:ascii="宋体" w:hAnsi="宋体" w:cs="宋体"/>
                <w:color w:val="auto"/>
                <w:kern w:val="0"/>
                <w:szCs w:val="21"/>
              </w:rPr>
              <w:br w:type="textWrapping"/>
            </w:r>
            <w:r>
              <w:rPr>
                <w:rFonts w:ascii="宋体" w:hAnsi="宋体" w:cs="宋体"/>
                <w:color w:val="auto"/>
                <w:kern w:val="0"/>
                <w:szCs w:val="21"/>
              </w:rPr>
              <w:t>11、防护: IP67；</w:t>
            </w:r>
            <w:r>
              <w:rPr>
                <w:rFonts w:ascii="宋体" w:hAnsi="宋体" w:cs="宋体"/>
                <w:color w:val="auto"/>
                <w:kern w:val="0"/>
                <w:szCs w:val="21"/>
              </w:rPr>
              <w:br w:type="textWrapping"/>
            </w:r>
            <w:r>
              <w:rPr>
                <w:rFonts w:ascii="宋体" w:hAnsi="宋体" w:cs="宋体"/>
                <w:color w:val="auto"/>
                <w:kern w:val="0"/>
                <w:szCs w:val="21"/>
              </w:rPr>
              <w:t>12、DC12V/POE；</w:t>
            </w:r>
            <w:r>
              <w:rPr>
                <w:rFonts w:ascii="宋体" w:hAnsi="宋体" w:cs="宋体"/>
                <w:color w:val="auto"/>
                <w:kern w:val="0"/>
                <w:szCs w:val="21"/>
              </w:rPr>
              <w:br w:type="textWrapping"/>
            </w:r>
            <w:r>
              <w:rPr>
                <w:rFonts w:ascii="宋体" w:hAnsi="宋体" w:cs="宋体"/>
                <w:color w:val="auto"/>
                <w:kern w:val="0"/>
                <w:szCs w:val="21"/>
              </w:rPr>
              <w:t>13、含电源、支架、避雷器等；</w:t>
            </w:r>
            <w:r>
              <w:rPr>
                <w:rFonts w:ascii="宋体" w:hAnsi="宋体" w:cs="宋体"/>
                <w:color w:val="auto"/>
                <w:kern w:val="0"/>
                <w:szCs w:val="21"/>
              </w:rPr>
              <w:br w:type="textWrapping"/>
            </w:r>
            <w:r>
              <w:rPr>
                <w:rFonts w:ascii="宋体" w:hAnsi="宋体" w:cs="宋体"/>
                <w:color w:val="auto"/>
                <w:kern w:val="0"/>
                <w:szCs w:val="21"/>
              </w:rPr>
              <w:t>14、含三年原厂质保；</w:t>
            </w:r>
          </w:p>
        </w:tc>
        <w:tc>
          <w:tcPr>
            <w:tcW w:w="420"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大华</w:t>
            </w:r>
          </w:p>
        </w:tc>
        <w:tc>
          <w:tcPr>
            <w:tcW w:w="41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宇视</w:t>
            </w:r>
          </w:p>
        </w:tc>
      </w:tr>
      <w:tr>
        <w:tblPrEx>
          <w:tblCellMar>
            <w:top w:w="0" w:type="dxa"/>
            <w:left w:w="108" w:type="dxa"/>
            <w:bottom w:w="0" w:type="dxa"/>
            <w:right w:w="108" w:type="dxa"/>
          </w:tblCellMar>
        </w:tblPrEx>
        <w:trPr>
          <w:trHeight w:val="283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8</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周界相机</w:t>
            </w:r>
          </w:p>
        </w:tc>
        <w:tc>
          <w:tcPr>
            <w:tcW w:w="383"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16</w:t>
            </w:r>
          </w:p>
        </w:tc>
        <w:tc>
          <w:tcPr>
            <w:tcW w:w="24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1、支持越界侦测，区域入侵侦测，进入区域侦测和离开区域侦测，支持联动声音报警；</w:t>
            </w:r>
            <w:r>
              <w:rPr>
                <w:rFonts w:ascii="宋体" w:hAnsi="宋体" w:cs="宋体"/>
                <w:color w:val="auto"/>
                <w:kern w:val="0"/>
                <w:szCs w:val="21"/>
              </w:rPr>
              <w:br w:type="textWrapping"/>
            </w:r>
            <w:r>
              <w:rPr>
                <w:rFonts w:ascii="宋体" w:hAnsi="宋体" w:cs="宋体"/>
                <w:color w:val="auto"/>
                <w:kern w:val="0"/>
                <w:szCs w:val="21"/>
              </w:rPr>
              <w:t>2、不低于1/2.8英寸CMOS；像素：200万；最大分辨率：1920×1080；宽动态：120dB；支持H.264，H.265智能编码；</w:t>
            </w:r>
            <w:r>
              <w:rPr>
                <w:rFonts w:ascii="宋体" w:hAnsi="宋体" w:cs="宋体"/>
                <w:color w:val="auto"/>
                <w:kern w:val="0"/>
                <w:szCs w:val="21"/>
              </w:rPr>
              <w:br w:type="textWrapping"/>
            </w:r>
            <w:r>
              <w:rPr>
                <w:rFonts w:ascii="宋体" w:hAnsi="宋体" w:cs="宋体"/>
                <w:color w:val="auto"/>
                <w:kern w:val="0"/>
                <w:szCs w:val="21"/>
              </w:rPr>
              <w:t>3、最低照度：最低照度：0.002Lux(彩色模式);0.0002Lux(黑白模式);0Lux(补光灯开启)；</w:t>
            </w:r>
            <w:r>
              <w:rPr>
                <w:rFonts w:ascii="宋体" w:hAnsi="宋体" w:cs="宋体"/>
                <w:color w:val="auto"/>
                <w:kern w:val="0"/>
                <w:szCs w:val="21"/>
              </w:rPr>
              <w:br w:type="textWrapping"/>
            </w:r>
            <w:r>
              <w:rPr>
                <w:rFonts w:ascii="宋体" w:hAnsi="宋体" w:cs="宋体"/>
                <w:color w:val="auto"/>
                <w:kern w:val="0"/>
                <w:szCs w:val="21"/>
              </w:rPr>
              <w:t>4、最</w:t>
            </w:r>
            <w:r>
              <w:rPr>
                <w:rFonts w:hint="eastAsia" w:ascii="宋体" w:hAnsi="宋体" w:cs="宋体"/>
                <w:color w:val="auto"/>
                <w:kern w:val="0"/>
                <w:szCs w:val="21"/>
              </w:rPr>
              <w:t>大补光距离：红外视频监控距离不低于</w:t>
            </w:r>
            <w:r>
              <w:rPr>
                <w:rFonts w:ascii="宋体" w:hAnsi="宋体" w:cs="宋体"/>
                <w:color w:val="auto"/>
                <w:kern w:val="0"/>
                <w:szCs w:val="21"/>
              </w:rPr>
              <w:t>80m；暖光视频监控距离不低于50m；</w:t>
            </w:r>
            <w:r>
              <w:rPr>
                <w:rFonts w:ascii="宋体" w:hAnsi="宋体" w:cs="宋体"/>
                <w:color w:val="auto"/>
                <w:kern w:val="0"/>
                <w:szCs w:val="21"/>
              </w:rPr>
              <w:br w:type="textWrapping"/>
            </w:r>
            <w:r>
              <w:rPr>
                <w:rFonts w:ascii="宋体" w:hAnsi="宋体" w:cs="宋体"/>
                <w:color w:val="auto"/>
                <w:kern w:val="0"/>
                <w:szCs w:val="21"/>
              </w:rPr>
              <w:t>5、镜头类型：定焦；镜头焦距：3.6mm，6mm，8mm，12mm可选；</w:t>
            </w:r>
            <w:r>
              <w:rPr>
                <w:rFonts w:ascii="宋体" w:hAnsi="宋体" w:cs="宋体"/>
                <w:color w:val="auto"/>
                <w:kern w:val="0"/>
                <w:szCs w:val="21"/>
              </w:rPr>
              <w:br w:type="textWrapping"/>
            </w:r>
            <w:r>
              <w:rPr>
                <w:rFonts w:ascii="宋体" w:hAnsi="宋体" w:cs="宋体"/>
                <w:color w:val="auto"/>
                <w:kern w:val="0"/>
                <w:szCs w:val="21"/>
              </w:rPr>
              <w:t>7、内置MIC：支持；</w:t>
            </w:r>
            <w:r>
              <w:rPr>
                <w:rFonts w:ascii="宋体" w:hAnsi="宋体" w:cs="宋体"/>
                <w:color w:val="auto"/>
                <w:kern w:val="0"/>
                <w:szCs w:val="21"/>
              </w:rPr>
              <w:br w:type="textWrapping"/>
            </w:r>
            <w:r>
              <w:rPr>
                <w:rFonts w:ascii="宋体" w:hAnsi="宋体" w:cs="宋体"/>
                <w:color w:val="auto"/>
                <w:kern w:val="0"/>
                <w:szCs w:val="21"/>
              </w:rPr>
              <w:t>8、内置扬声器：支持；</w:t>
            </w:r>
            <w:r>
              <w:rPr>
                <w:rFonts w:ascii="宋体" w:hAnsi="宋体" w:cs="宋体"/>
                <w:color w:val="auto"/>
                <w:kern w:val="0"/>
                <w:szCs w:val="21"/>
              </w:rPr>
              <w:br w:type="textWrapping"/>
            </w:r>
            <w:r>
              <w:rPr>
                <w:rFonts w:ascii="宋体" w:hAnsi="宋体" w:cs="宋体"/>
                <w:color w:val="auto"/>
                <w:kern w:val="0"/>
                <w:szCs w:val="21"/>
              </w:rPr>
              <w:t>9、防护: IP67；供电方式：DC12V/POE；</w:t>
            </w:r>
            <w:r>
              <w:rPr>
                <w:rFonts w:ascii="宋体" w:hAnsi="宋体" w:cs="宋体"/>
                <w:color w:val="auto"/>
                <w:kern w:val="0"/>
                <w:szCs w:val="21"/>
              </w:rPr>
              <w:br w:type="textWrapping"/>
            </w:r>
            <w:r>
              <w:rPr>
                <w:rFonts w:ascii="宋体" w:hAnsi="宋体" w:cs="宋体"/>
                <w:color w:val="auto"/>
                <w:kern w:val="0"/>
                <w:szCs w:val="21"/>
              </w:rPr>
              <w:t>10、含电源、支架、避雷器等。</w:t>
            </w:r>
            <w:r>
              <w:rPr>
                <w:rFonts w:ascii="宋体" w:hAnsi="宋体" w:cs="宋体"/>
                <w:color w:val="auto"/>
                <w:kern w:val="0"/>
                <w:szCs w:val="21"/>
              </w:rPr>
              <w:br w:type="textWrapping"/>
            </w:r>
            <w:r>
              <w:rPr>
                <w:rFonts w:ascii="宋体" w:hAnsi="宋体" w:cs="宋体"/>
                <w:color w:val="auto"/>
                <w:kern w:val="0"/>
                <w:szCs w:val="21"/>
              </w:rPr>
              <w:t>11、含三年原厂质保；</w:t>
            </w:r>
          </w:p>
        </w:tc>
        <w:tc>
          <w:tcPr>
            <w:tcW w:w="420"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大华</w:t>
            </w:r>
          </w:p>
        </w:tc>
        <w:tc>
          <w:tcPr>
            <w:tcW w:w="41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宇视</w:t>
            </w:r>
          </w:p>
        </w:tc>
      </w:tr>
      <w:tr>
        <w:tblPrEx>
          <w:tblCellMar>
            <w:top w:w="0" w:type="dxa"/>
            <w:left w:w="108" w:type="dxa"/>
            <w:bottom w:w="0" w:type="dxa"/>
            <w:right w:w="108" w:type="dxa"/>
          </w:tblCellMar>
        </w:tblPrEx>
        <w:trPr>
          <w:trHeight w:val="43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9</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垃圾点专用相机</w:t>
            </w:r>
          </w:p>
        </w:tc>
        <w:tc>
          <w:tcPr>
            <w:tcW w:w="383"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w:t>
            </w:r>
          </w:p>
        </w:tc>
        <w:tc>
          <w:tcPr>
            <w:tcW w:w="24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1、传感器类型：1/2.7英寸CMOS；像素：400万；最大分辨率：2688×1520；</w:t>
            </w:r>
            <w:r>
              <w:rPr>
                <w:rFonts w:ascii="宋体" w:hAnsi="宋体" w:cs="宋体"/>
                <w:color w:val="auto"/>
                <w:kern w:val="0"/>
                <w:szCs w:val="21"/>
              </w:rPr>
              <w:br w:type="textWrapping"/>
            </w:r>
            <w:r>
              <w:rPr>
                <w:rFonts w:ascii="宋体" w:hAnsi="宋体" w:cs="宋体"/>
                <w:color w:val="auto"/>
                <w:kern w:val="0"/>
                <w:szCs w:val="21"/>
              </w:rPr>
              <w:t>2、最低照度：0.002Lux(彩色模);0.0002Lux(黑白模式);0Lux(补光灯开启)。；</w:t>
            </w:r>
            <w:r>
              <w:rPr>
                <w:rFonts w:ascii="宋体" w:hAnsi="宋体" w:cs="宋体"/>
                <w:color w:val="auto"/>
                <w:kern w:val="0"/>
                <w:szCs w:val="21"/>
              </w:rPr>
              <w:br w:type="textWrapping"/>
            </w:r>
            <w:r>
              <w:rPr>
                <w:rFonts w:ascii="宋体" w:hAnsi="宋体" w:cs="宋体"/>
                <w:color w:val="auto"/>
                <w:kern w:val="0"/>
                <w:szCs w:val="21"/>
              </w:rPr>
              <w:t>3、最</w:t>
            </w:r>
            <w:r>
              <w:rPr>
                <w:rFonts w:hint="eastAsia" w:ascii="宋体" w:hAnsi="宋体" w:cs="宋体"/>
                <w:color w:val="auto"/>
                <w:kern w:val="0"/>
                <w:szCs w:val="21"/>
              </w:rPr>
              <w:t>大补光距离：</w:t>
            </w:r>
            <w:r>
              <w:rPr>
                <w:rFonts w:ascii="宋体" w:hAnsi="宋体" w:cs="宋体"/>
                <w:color w:val="auto"/>
                <w:kern w:val="0"/>
                <w:szCs w:val="21"/>
              </w:rPr>
              <w:t>60m（红外视频监控距离）30m（暖光视频监控距离）10m（暖光人脸检测距离）；</w:t>
            </w:r>
            <w:r>
              <w:rPr>
                <w:rFonts w:ascii="宋体" w:hAnsi="宋体" w:cs="宋体"/>
                <w:color w:val="auto"/>
                <w:kern w:val="0"/>
                <w:szCs w:val="21"/>
              </w:rPr>
              <w:br w:type="textWrapping"/>
            </w:r>
            <w:r>
              <w:rPr>
                <w:rFonts w:ascii="宋体" w:hAnsi="宋体" w:cs="宋体"/>
                <w:color w:val="auto"/>
                <w:kern w:val="0"/>
                <w:szCs w:val="21"/>
              </w:rPr>
              <w:t>4、镜头类型：电动变焦；镜头焦距：2.7-13.5mm；热度图：支持；</w:t>
            </w:r>
            <w:r>
              <w:rPr>
                <w:rFonts w:ascii="宋体" w:hAnsi="宋体" w:cs="宋体"/>
                <w:color w:val="auto"/>
                <w:kern w:val="0"/>
                <w:szCs w:val="21"/>
              </w:rPr>
              <w:br w:type="textWrapping"/>
            </w:r>
            <w:r>
              <w:rPr>
                <w:rFonts w:ascii="宋体" w:hAnsi="宋体" w:cs="宋体"/>
                <w:color w:val="auto"/>
                <w:kern w:val="0"/>
                <w:szCs w:val="21"/>
              </w:rPr>
              <w:t>5、智能编码：H.264：支持;H.265：支持；宽动态：120dB；</w:t>
            </w:r>
            <w:r>
              <w:rPr>
                <w:rFonts w:ascii="宋体" w:hAnsi="宋体" w:cs="宋体"/>
                <w:color w:val="auto"/>
                <w:kern w:val="0"/>
                <w:szCs w:val="21"/>
              </w:rPr>
              <w:br w:type="textWrapping"/>
            </w:r>
            <w:r>
              <w:rPr>
                <w:rFonts w:ascii="宋体" w:hAnsi="宋体" w:cs="宋体"/>
                <w:color w:val="auto"/>
                <w:kern w:val="0"/>
                <w:szCs w:val="21"/>
              </w:rPr>
              <w:t>6、透雾功能：支持；内置MIC：支持；内置扬声器：支持；</w:t>
            </w:r>
            <w:r>
              <w:rPr>
                <w:rFonts w:ascii="宋体" w:hAnsi="宋体" w:cs="宋体"/>
                <w:color w:val="auto"/>
                <w:kern w:val="0"/>
                <w:szCs w:val="21"/>
              </w:rPr>
              <w:br w:type="textWrapping"/>
            </w:r>
            <w:r>
              <w:rPr>
                <w:rFonts w:ascii="宋体" w:hAnsi="宋体" w:cs="宋体"/>
                <w:color w:val="auto"/>
                <w:kern w:val="0"/>
                <w:szCs w:val="21"/>
              </w:rPr>
              <w:t>7、垃圾投放数量统计；垃圾分时投放报警；暴露垃圾报警；垃圾桶满溢报警、垃圾桶（未及</w:t>
            </w:r>
            <w:r>
              <w:rPr>
                <w:rFonts w:hint="eastAsia" w:ascii="宋体" w:hAnsi="宋体" w:cs="宋体"/>
                <w:color w:val="auto"/>
                <w:kern w:val="0"/>
                <w:szCs w:val="21"/>
              </w:rPr>
              <w:t>时撤桶）报警；灯光报警；</w:t>
            </w:r>
            <w:r>
              <w:rPr>
                <w:rFonts w:ascii="宋体" w:hAnsi="宋体" w:cs="宋体"/>
                <w:color w:val="auto"/>
                <w:kern w:val="0"/>
                <w:szCs w:val="21"/>
              </w:rPr>
              <w:br w:type="textWrapping"/>
            </w:r>
            <w:r>
              <w:rPr>
                <w:rFonts w:ascii="宋体" w:hAnsi="宋体" w:cs="宋体"/>
                <w:color w:val="auto"/>
                <w:kern w:val="0"/>
                <w:szCs w:val="21"/>
              </w:rPr>
              <w:t>8、防护: IP67；</w:t>
            </w:r>
            <w:r>
              <w:rPr>
                <w:rFonts w:ascii="宋体" w:hAnsi="宋体" w:cs="宋体"/>
                <w:color w:val="auto"/>
                <w:kern w:val="0"/>
                <w:szCs w:val="21"/>
              </w:rPr>
              <w:br w:type="textWrapping"/>
            </w:r>
            <w:r>
              <w:rPr>
                <w:rFonts w:ascii="宋体" w:hAnsi="宋体" w:cs="宋体"/>
                <w:color w:val="auto"/>
                <w:kern w:val="0"/>
                <w:szCs w:val="21"/>
              </w:rPr>
              <w:t>9、含镜头、防护罩、电源、支架、避雷器等。</w:t>
            </w:r>
            <w:r>
              <w:rPr>
                <w:rFonts w:ascii="宋体" w:hAnsi="宋体" w:cs="宋体"/>
                <w:color w:val="auto"/>
                <w:kern w:val="0"/>
                <w:szCs w:val="21"/>
              </w:rPr>
              <w:br w:type="textWrapping"/>
            </w:r>
            <w:r>
              <w:rPr>
                <w:rFonts w:ascii="宋体" w:hAnsi="宋体" w:cs="宋体"/>
                <w:color w:val="auto"/>
                <w:kern w:val="0"/>
                <w:szCs w:val="21"/>
              </w:rPr>
              <w:t>10、含三年原厂质保；</w:t>
            </w:r>
          </w:p>
        </w:tc>
        <w:tc>
          <w:tcPr>
            <w:tcW w:w="420"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大华</w:t>
            </w:r>
          </w:p>
        </w:tc>
        <w:tc>
          <w:tcPr>
            <w:tcW w:w="41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宇视</w:t>
            </w:r>
          </w:p>
        </w:tc>
      </w:tr>
      <w:tr>
        <w:tblPrEx>
          <w:tblCellMar>
            <w:top w:w="0" w:type="dxa"/>
            <w:left w:w="108" w:type="dxa"/>
            <w:bottom w:w="0" w:type="dxa"/>
            <w:right w:w="108" w:type="dxa"/>
          </w:tblCellMar>
        </w:tblPrEx>
        <w:trPr>
          <w:trHeight w:val="39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10</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高空抛物专用相机</w:t>
            </w:r>
          </w:p>
        </w:tc>
        <w:tc>
          <w:tcPr>
            <w:tcW w:w="383"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429</w:t>
            </w:r>
          </w:p>
        </w:tc>
        <w:tc>
          <w:tcPr>
            <w:tcW w:w="24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1、传感器类型：1/1.8英寸CMOS；像素：400万；H.265；H.264智能编码；</w:t>
            </w:r>
            <w:r>
              <w:rPr>
                <w:rFonts w:ascii="宋体" w:hAnsi="宋体" w:cs="宋体"/>
                <w:color w:val="auto"/>
                <w:kern w:val="0"/>
                <w:szCs w:val="21"/>
              </w:rPr>
              <w:br w:type="textWrapping"/>
            </w:r>
            <w:r>
              <w:rPr>
                <w:rFonts w:ascii="宋体" w:hAnsi="宋体" w:cs="宋体"/>
                <w:color w:val="auto"/>
                <w:kern w:val="0"/>
                <w:szCs w:val="21"/>
              </w:rPr>
              <w:t>2、最大分辨率：2688×1520；宽动态：120dB；</w:t>
            </w:r>
            <w:r>
              <w:rPr>
                <w:rFonts w:ascii="宋体" w:hAnsi="宋体" w:cs="宋体"/>
                <w:color w:val="auto"/>
                <w:kern w:val="0"/>
                <w:szCs w:val="21"/>
              </w:rPr>
              <w:br w:type="textWrapping"/>
            </w:r>
            <w:r>
              <w:rPr>
                <w:rFonts w:ascii="宋体" w:hAnsi="宋体" w:cs="宋体"/>
                <w:color w:val="auto"/>
                <w:kern w:val="0"/>
                <w:szCs w:val="21"/>
              </w:rPr>
              <w:t>3、最低照度：0.001Lux(彩色模式);0.0001Lux(黑白模式);0Lux（补光灯开启）；</w:t>
            </w:r>
            <w:r>
              <w:rPr>
                <w:rFonts w:ascii="宋体" w:hAnsi="宋体" w:cs="宋体"/>
                <w:color w:val="auto"/>
                <w:kern w:val="0"/>
                <w:szCs w:val="21"/>
              </w:rPr>
              <w:br w:type="textWrapping"/>
            </w:r>
            <w:r>
              <w:rPr>
                <w:rFonts w:ascii="宋体" w:hAnsi="宋体" w:cs="宋体"/>
                <w:color w:val="auto"/>
                <w:kern w:val="0"/>
                <w:szCs w:val="21"/>
              </w:rPr>
              <w:t>4、水平视场角不小于60°，垂直视场角不小于180°；</w:t>
            </w:r>
            <w:r>
              <w:rPr>
                <w:rFonts w:ascii="宋体" w:hAnsi="宋体" w:cs="宋体"/>
                <w:color w:val="auto"/>
                <w:kern w:val="0"/>
                <w:szCs w:val="21"/>
              </w:rPr>
              <w:br w:type="textWrapping"/>
            </w:r>
            <w:r>
              <w:rPr>
                <w:rFonts w:ascii="宋体" w:hAnsi="宋体" w:cs="宋体"/>
                <w:color w:val="auto"/>
                <w:kern w:val="0"/>
                <w:szCs w:val="21"/>
              </w:rPr>
              <w:t>5、通用行为分析：专用于高空抛物监控场景；视频压缩标准：H.265；H.264；H.264H；H.264B；MJPEG（</w:t>
            </w:r>
            <w:r>
              <w:rPr>
                <w:rFonts w:hint="eastAsia" w:ascii="宋体" w:hAnsi="宋体" w:cs="宋体"/>
                <w:color w:val="auto"/>
                <w:kern w:val="0"/>
                <w:szCs w:val="21"/>
              </w:rPr>
              <w:t>仅辅码流支持）；</w:t>
            </w:r>
            <w:r>
              <w:rPr>
                <w:rFonts w:ascii="宋体" w:hAnsi="宋体" w:cs="宋体"/>
                <w:color w:val="auto"/>
                <w:kern w:val="0"/>
                <w:szCs w:val="21"/>
              </w:rPr>
              <w:br w:type="textWrapping"/>
            </w:r>
            <w:r>
              <w:rPr>
                <w:rFonts w:ascii="宋体" w:hAnsi="宋体" w:cs="宋体"/>
                <w:color w:val="auto"/>
                <w:kern w:val="0"/>
                <w:szCs w:val="21"/>
              </w:rPr>
              <w:t>6、</w:t>
            </w:r>
            <w:r>
              <w:rPr>
                <w:rFonts w:hint="eastAsia" w:ascii="宋体" w:hAnsi="宋体" w:cs="宋体"/>
                <w:color w:val="auto"/>
                <w:kern w:val="0"/>
                <w:szCs w:val="21"/>
              </w:rPr>
              <w:t>▲为增加单台相机高空抛物检测能力，高空抛物摄像机应具有</w:t>
            </w:r>
            <w:r>
              <w:rPr>
                <w:rFonts w:ascii="宋体" w:hAnsi="宋体" w:cs="宋体"/>
                <w:color w:val="auto"/>
                <w:kern w:val="0"/>
                <w:szCs w:val="21"/>
              </w:rPr>
              <w:t>2个图像传感器，2个镜头；需提供公安部授权机构出具的检验报告证明文件并加盖原厂公章；</w:t>
            </w:r>
            <w:r>
              <w:rPr>
                <w:rFonts w:ascii="宋体" w:hAnsi="宋体" w:cs="宋体"/>
                <w:color w:val="auto"/>
                <w:kern w:val="0"/>
                <w:szCs w:val="21"/>
              </w:rPr>
              <w:br w:type="textWrapping"/>
            </w:r>
            <w:r>
              <w:rPr>
                <w:rFonts w:ascii="宋体" w:hAnsi="宋体" w:cs="宋体"/>
                <w:color w:val="auto"/>
                <w:kern w:val="0"/>
                <w:szCs w:val="21"/>
              </w:rPr>
              <w:t>7、报警事件：无SD卡；SD</w:t>
            </w:r>
            <w:r>
              <w:rPr>
                <w:rFonts w:hint="eastAsia" w:ascii="宋体" w:hAnsi="宋体" w:cs="宋体"/>
                <w:color w:val="auto"/>
                <w:kern w:val="0"/>
                <w:szCs w:val="21"/>
              </w:rPr>
              <w:t>卡空间不足；</w:t>
            </w:r>
            <w:r>
              <w:rPr>
                <w:rFonts w:ascii="宋体" w:hAnsi="宋体" w:cs="宋体"/>
                <w:color w:val="auto"/>
                <w:kern w:val="0"/>
                <w:szCs w:val="21"/>
              </w:rPr>
              <w:t>SD卡出错；网络断开；IP冲突；非法访问；视频遮挡；虚焦侦测；电压检测；场景变更；外部报警；安全异常；高空抛物；</w:t>
            </w:r>
            <w:r>
              <w:rPr>
                <w:rFonts w:ascii="宋体" w:hAnsi="宋体" w:cs="宋体"/>
                <w:color w:val="auto"/>
                <w:kern w:val="0"/>
                <w:szCs w:val="21"/>
              </w:rPr>
              <w:br w:type="textWrapping"/>
            </w:r>
            <w:r>
              <w:rPr>
                <w:rFonts w:ascii="宋体" w:hAnsi="宋体" w:cs="宋体"/>
                <w:color w:val="auto"/>
                <w:kern w:val="0"/>
                <w:szCs w:val="21"/>
              </w:rPr>
              <w:t>8、</w:t>
            </w:r>
            <w:r>
              <w:rPr>
                <w:rFonts w:hint="eastAsia" w:ascii="宋体" w:hAnsi="宋体" w:cs="宋体"/>
                <w:color w:val="auto"/>
                <w:kern w:val="0"/>
                <w:szCs w:val="21"/>
              </w:rPr>
              <w:t>▲为降低高空抛物专用相机维护成本，支持镜头前盖玻璃加热功能，内置温度传感器，当温度低于设定阈值时，可开启加热片，去除玻璃上的水、冰、雪、雾类附着物，可根据环境温度自动调整加热功率；摄像机镜头向上并与地面呈</w:t>
            </w:r>
            <w:r>
              <w:rPr>
                <w:rFonts w:ascii="宋体" w:hAnsi="宋体" w:cs="宋体"/>
                <w:color w:val="auto"/>
                <w:kern w:val="0"/>
                <w:szCs w:val="21"/>
              </w:rPr>
              <w:t>30°倾斜固定，向镜头淋水，水渍会自动凝结、滑落、摄像机图像画面无明显影响;水平视场角不小于60°，垂直视场角不小于180°；需提供公安部授权机构出具的检验报告证明文件并加盖原厂公章；</w:t>
            </w:r>
            <w:r>
              <w:rPr>
                <w:rFonts w:ascii="宋体" w:hAnsi="宋体" w:cs="宋体"/>
                <w:color w:val="auto"/>
                <w:kern w:val="0"/>
                <w:szCs w:val="21"/>
              </w:rPr>
              <w:br w:type="textWrapping"/>
            </w:r>
            <w:r>
              <w:rPr>
                <w:rFonts w:ascii="宋体" w:hAnsi="宋体" w:cs="宋体"/>
                <w:color w:val="auto"/>
                <w:kern w:val="0"/>
                <w:szCs w:val="21"/>
              </w:rPr>
              <w:t>9、接入标准：ONVIF（Profile S/Profile G/Profile T）；GB/T28181（双国标）；CGI；乐橙；最大Micro SD卡：256GB；RS-485接口：1个（波特率范围:1200bps~115200bps）；音频输入：1路（RCA头）；音频输出：1路（RCA头）；报警输入：3路（湿节点,支持直流3V~5V电位,5mA电流）；报警输出：2路（湿节点,支持直流最大12V电位,0.3A电流）；模拟输出接口：1路（CVBS输出 BNC接口）；</w:t>
            </w:r>
            <w:r>
              <w:rPr>
                <w:rFonts w:ascii="宋体" w:hAnsi="宋体" w:cs="宋体"/>
                <w:color w:val="auto"/>
                <w:kern w:val="0"/>
                <w:szCs w:val="21"/>
              </w:rPr>
              <w:br w:type="textWrapping"/>
            </w:r>
            <w:r>
              <w:rPr>
                <w:rFonts w:ascii="宋体" w:hAnsi="宋体" w:cs="宋体"/>
                <w:color w:val="auto"/>
                <w:kern w:val="0"/>
                <w:szCs w:val="21"/>
              </w:rPr>
              <w:t>10、供电方式：DC12V/POE；</w:t>
            </w:r>
            <w:r>
              <w:rPr>
                <w:rFonts w:ascii="宋体" w:hAnsi="宋体" w:cs="宋体"/>
                <w:color w:val="auto"/>
                <w:kern w:val="0"/>
                <w:szCs w:val="21"/>
              </w:rPr>
              <w:br w:type="textWrapping"/>
            </w:r>
            <w:r>
              <w:rPr>
                <w:rFonts w:ascii="宋体" w:hAnsi="宋体" w:cs="宋体"/>
                <w:color w:val="auto"/>
                <w:kern w:val="0"/>
                <w:szCs w:val="21"/>
              </w:rPr>
              <w:t>11、防护等级：IP67</w:t>
            </w:r>
            <w:r>
              <w:rPr>
                <w:rFonts w:ascii="宋体" w:hAnsi="宋体" w:cs="宋体"/>
                <w:color w:val="auto"/>
                <w:kern w:val="0"/>
                <w:szCs w:val="21"/>
              </w:rPr>
              <w:br w:type="textWrapping"/>
            </w:r>
            <w:r>
              <w:rPr>
                <w:rFonts w:ascii="宋体" w:hAnsi="宋体" w:cs="宋体"/>
                <w:color w:val="auto"/>
                <w:kern w:val="0"/>
                <w:szCs w:val="21"/>
              </w:rPr>
              <w:t>12、含电源、支架、避雷器等。</w:t>
            </w:r>
            <w:r>
              <w:rPr>
                <w:rFonts w:ascii="宋体" w:hAnsi="宋体" w:cs="宋体"/>
                <w:color w:val="auto"/>
                <w:kern w:val="0"/>
                <w:szCs w:val="21"/>
              </w:rPr>
              <w:br w:type="textWrapping"/>
            </w:r>
            <w:r>
              <w:rPr>
                <w:rFonts w:ascii="宋体" w:hAnsi="宋体" w:cs="宋体"/>
                <w:color w:val="auto"/>
                <w:kern w:val="0"/>
                <w:szCs w:val="21"/>
              </w:rPr>
              <w:t>13、含三年原厂质保；</w:t>
            </w:r>
          </w:p>
        </w:tc>
        <w:tc>
          <w:tcPr>
            <w:tcW w:w="420"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大华</w:t>
            </w:r>
          </w:p>
        </w:tc>
        <w:tc>
          <w:tcPr>
            <w:tcW w:w="41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宇视</w:t>
            </w:r>
          </w:p>
        </w:tc>
      </w:tr>
      <w:tr>
        <w:tblPrEx>
          <w:tblCellMar>
            <w:top w:w="0" w:type="dxa"/>
            <w:left w:w="108" w:type="dxa"/>
            <w:bottom w:w="0" w:type="dxa"/>
            <w:right w:w="108" w:type="dxa"/>
          </w:tblCellMar>
        </w:tblPrEx>
        <w:trPr>
          <w:trHeight w:val="2850"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11</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全景像机</w:t>
            </w:r>
          </w:p>
        </w:tc>
        <w:tc>
          <w:tcPr>
            <w:tcW w:w="383"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6</w:t>
            </w:r>
          </w:p>
        </w:tc>
        <w:tc>
          <w:tcPr>
            <w:tcW w:w="24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1、双通道传感器，全景采用高性能1/1.8英寸CMOS图像传感器，细节采用高性能1/1.8英寸CMOS图像传感器，支持H.264，H.265智能编码；</w:t>
            </w:r>
            <w:r>
              <w:rPr>
                <w:rFonts w:ascii="宋体" w:hAnsi="宋体" w:cs="宋体"/>
                <w:color w:val="auto"/>
                <w:kern w:val="0"/>
                <w:szCs w:val="21"/>
              </w:rPr>
              <w:br w:type="textWrapping"/>
            </w:r>
            <w:r>
              <w:rPr>
                <w:rFonts w:ascii="宋体" w:hAnsi="宋体" w:cs="宋体"/>
                <w:color w:val="auto"/>
                <w:kern w:val="0"/>
                <w:szCs w:val="21"/>
              </w:rPr>
              <w:t>2、</w:t>
            </w:r>
            <w:r>
              <w:rPr>
                <w:rFonts w:hint="eastAsia" w:ascii="宋体" w:hAnsi="宋体" w:cs="宋体"/>
                <w:color w:val="auto"/>
                <w:kern w:val="0"/>
                <w:szCs w:val="21"/>
              </w:rPr>
              <w:t>像素：全景不低于</w:t>
            </w:r>
            <w:r>
              <w:rPr>
                <w:rFonts w:ascii="宋体" w:hAnsi="宋体" w:cs="宋体"/>
                <w:color w:val="auto"/>
                <w:kern w:val="0"/>
                <w:szCs w:val="21"/>
              </w:rPr>
              <w:t>1600万；球机不低于400万，支持H.264，H.265智能编码；</w:t>
            </w:r>
            <w:r>
              <w:rPr>
                <w:rFonts w:ascii="宋体" w:hAnsi="宋体" w:cs="宋体"/>
                <w:color w:val="auto"/>
                <w:kern w:val="0"/>
                <w:szCs w:val="21"/>
              </w:rPr>
              <w:br w:type="textWrapping"/>
            </w:r>
            <w:r>
              <w:rPr>
                <w:rFonts w:ascii="宋体" w:hAnsi="宋体" w:cs="宋体"/>
                <w:color w:val="auto"/>
                <w:kern w:val="0"/>
                <w:szCs w:val="21"/>
              </w:rPr>
              <w:t xml:space="preserve">3、分辨率：全景≥5520 </w:t>
            </w:r>
            <w:r>
              <w:rPr>
                <w:rFonts w:hint="eastAsia" w:ascii="宋体" w:hAnsi="宋体" w:cs="宋体"/>
                <w:color w:val="auto"/>
                <w:kern w:val="0"/>
                <w:szCs w:val="21"/>
              </w:rPr>
              <w:t>×</w:t>
            </w:r>
            <w:r>
              <w:rPr>
                <w:rFonts w:ascii="宋体" w:hAnsi="宋体" w:cs="宋体"/>
                <w:color w:val="auto"/>
                <w:kern w:val="0"/>
                <w:szCs w:val="21"/>
              </w:rPr>
              <w:t xml:space="preserve"> 2400；细节≥2560 </w:t>
            </w:r>
            <w:r>
              <w:rPr>
                <w:rFonts w:hint="eastAsia" w:ascii="宋体" w:hAnsi="宋体" w:cs="宋体"/>
                <w:color w:val="auto"/>
                <w:kern w:val="0"/>
                <w:szCs w:val="21"/>
              </w:rPr>
              <w:t>×</w:t>
            </w:r>
            <w:r>
              <w:rPr>
                <w:rFonts w:ascii="宋体" w:hAnsi="宋体" w:cs="宋体"/>
                <w:color w:val="auto"/>
                <w:kern w:val="0"/>
                <w:szCs w:val="21"/>
              </w:rPr>
              <w:t xml:space="preserve"> 1440；</w:t>
            </w:r>
            <w:r>
              <w:rPr>
                <w:rFonts w:ascii="宋体" w:hAnsi="宋体" w:cs="宋体"/>
                <w:color w:val="auto"/>
                <w:kern w:val="0"/>
                <w:szCs w:val="21"/>
              </w:rPr>
              <w:br w:type="textWrapping"/>
            </w:r>
            <w:r>
              <w:rPr>
                <w:rFonts w:ascii="宋体" w:hAnsi="宋体" w:cs="宋体"/>
                <w:color w:val="auto"/>
                <w:kern w:val="0"/>
                <w:szCs w:val="21"/>
              </w:rPr>
              <w:t>4、最低照度：全景：0.0005 Lux/F1.0（彩色），0.0001 Lux/F1.0（黑白）；细节：0.0005 Lux/F1.2（彩色），0.0001 Lux/F1.2（黑白）；</w:t>
            </w:r>
            <w:r>
              <w:rPr>
                <w:rFonts w:ascii="宋体" w:hAnsi="宋体" w:cs="宋体"/>
                <w:color w:val="auto"/>
                <w:kern w:val="0"/>
                <w:szCs w:val="21"/>
              </w:rPr>
              <w:br w:type="textWrapping"/>
            </w:r>
            <w:r>
              <w:rPr>
                <w:rFonts w:ascii="宋体" w:hAnsi="宋体" w:cs="宋体"/>
                <w:color w:val="auto"/>
                <w:kern w:val="0"/>
                <w:szCs w:val="21"/>
              </w:rPr>
              <w:t>5、宽动态:细节支持120 dB超宽动态；光学变倍: 40倍；</w:t>
            </w:r>
            <w:r>
              <w:rPr>
                <w:rFonts w:ascii="宋体" w:hAnsi="宋体" w:cs="宋体"/>
                <w:color w:val="auto"/>
                <w:kern w:val="0"/>
                <w:szCs w:val="21"/>
              </w:rPr>
              <w:br w:type="textWrapping"/>
            </w:r>
            <w:r>
              <w:rPr>
                <w:rFonts w:ascii="宋体" w:hAnsi="宋体" w:cs="宋体"/>
                <w:color w:val="auto"/>
                <w:kern w:val="0"/>
                <w:szCs w:val="21"/>
              </w:rPr>
              <w:t xml:space="preserve">6、焦距: </w:t>
            </w:r>
            <w:r>
              <w:rPr>
                <w:rFonts w:hint="eastAsia" w:ascii="宋体" w:hAnsi="宋体" w:cs="宋体"/>
                <w:color w:val="auto"/>
                <w:kern w:val="0"/>
                <w:szCs w:val="21"/>
              </w:rPr>
              <w:t>全景</w:t>
            </w:r>
            <w:r>
              <w:rPr>
                <w:rFonts w:ascii="宋体" w:hAnsi="宋体" w:cs="宋体"/>
                <w:color w:val="auto"/>
                <w:kern w:val="0"/>
                <w:szCs w:val="21"/>
              </w:rPr>
              <w:t>2.8 mm；细节6.0~240mm；</w:t>
            </w:r>
            <w:r>
              <w:rPr>
                <w:rFonts w:ascii="宋体" w:hAnsi="宋体" w:cs="宋体"/>
                <w:color w:val="auto"/>
                <w:kern w:val="0"/>
                <w:szCs w:val="21"/>
              </w:rPr>
              <w:br w:type="textWrapping"/>
            </w:r>
            <w:r>
              <w:rPr>
                <w:rFonts w:ascii="宋体" w:hAnsi="宋体" w:cs="宋体"/>
                <w:color w:val="auto"/>
                <w:kern w:val="0"/>
                <w:szCs w:val="21"/>
              </w:rPr>
              <w:t>7、红外照射距离不低于 250 m；</w:t>
            </w:r>
            <w:r>
              <w:rPr>
                <w:rFonts w:ascii="宋体" w:hAnsi="宋体" w:cs="宋体"/>
                <w:color w:val="auto"/>
                <w:kern w:val="0"/>
                <w:szCs w:val="21"/>
              </w:rPr>
              <w:br w:type="textWrapping"/>
            </w:r>
            <w:r>
              <w:rPr>
                <w:rFonts w:ascii="宋体" w:hAnsi="宋体" w:cs="宋体"/>
                <w:color w:val="auto"/>
                <w:kern w:val="0"/>
                <w:szCs w:val="21"/>
              </w:rPr>
              <w:t>8、</w:t>
            </w:r>
            <w:r>
              <w:rPr>
                <w:rFonts w:hint="eastAsia" w:ascii="宋体" w:hAnsi="宋体" w:cs="宋体"/>
                <w:color w:val="auto"/>
                <w:kern w:val="0"/>
                <w:szCs w:val="21"/>
              </w:rPr>
              <w:t>支持目标过滤功能，在区域入侵、越界入侵、进入区域、离开区域、徘徊、快速移动、停车、物品遗留及物品移除的智能行为分析事件中，可以分别设置</w:t>
            </w:r>
            <w:r>
              <w:rPr>
                <w:rFonts w:ascii="宋体" w:hAnsi="宋体" w:cs="宋体"/>
                <w:color w:val="auto"/>
                <w:kern w:val="0"/>
                <w:szCs w:val="21"/>
              </w:rPr>
              <w:t>4个检测区域，每个检测区域可设置目标尺寸范围，产品应仅对预设尺寸阈值范围内的目标的智能行为进行检测；需提供公安部授权机构出具的检验报告证明文件并加盖原厂公章；</w:t>
            </w:r>
            <w:r>
              <w:rPr>
                <w:rFonts w:ascii="宋体" w:hAnsi="宋体" w:cs="宋体"/>
                <w:color w:val="auto"/>
                <w:kern w:val="0"/>
                <w:szCs w:val="21"/>
              </w:rPr>
              <w:br w:type="textWrapping"/>
            </w:r>
            <w:r>
              <w:rPr>
                <w:rFonts w:ascii="宋体" w:hAnsi="宋体" w:cs="宋体"/>
                <w:color w:val="auto"/>
                <w:kern w:val="0"/>
                <w:szCs w:val="21"/>
              </w:rPr>
              <w:t>9、支持基于平台实现AR立体防控；</w:t>
            </w:r>
            <w:r>
              <w:rPr>
                <w:rFonts w:ascii="宋体" w:hAnsi="宋体" w:cs="宋体"/>
                <w:color w:val="auto"/>
                <w:kern w:val="0"/>
                <w:szCs w:val="21"/>
              </w:rPr>
              <w:br w:type="textWrapping"/>
            </w:r>
            <w:r>
              <w:rPr>
                <w:rFonts w:ascii="宋体" w:hAnsi="宋体" w:cs="宋体"/>
                <w:color w:val="auto"/>
                <w:kern w:val="0"/>
                <w:szCs w:val="21"/>
              </w:rPr>
              <w:t>10、支持点击联动功能，通过在客户端点击</w:t>
            </w:r>
            <w:r>
              <w:rPr>
                <w:rFonts w:hint="eastAsia" w:ascii="宋体" w:hAnsi="宋体" w:cs="宋体"/>
                <w:color w:val="auto"/>
                <w:kern w:val="0"/>
                <w:szCs w:val="21"/>
              </w:rPr>
              <w:t>或者框选全景摄像机画面任意位置，细节跟踪摄像机可自动通过云台调整与变焦，将该区域置于画面中心；</w:t>
            </w:r>
            <w:r>
              <w:rPr>
                <w:rFonts w:ascii="宋体" w:hAnsi="宋体" w:cs="宋体"/>
                <w:color w:val="auto"/>
                <w:kern w:val="0"/>
                <w:szCs w:val="21"/>
              </w:rPr>
              <w:br w:type="textWrapping"/>
            </w:r>
            <w:r>
              <w:rPr>
                <w:rFonts w:ascii="宋体" w:hAnsi="宋体" w:cs="宋体"/>
                <w:color w:val="auto"/>
                <w:kern w:val="0"/>
                <w:szCs w:val="21"/>
              </w:rPr>
              <w:t>11</w:t>
            </w:r>
            <w:r>
              <w:rPr>
                <w:rFonts w:hint="eastAsia" w:ascii="宋体" w:hAnsi="宋体" w:cs="宋体"/>
                <w:color w:val="auto"/>
                <w:kern w:val="0"/>
                <w:szCs w:val="21"/>
              </w:rPr>
              <w:t>、▲为降低全景相机维护成本，设备内置除湿器，可对设备内部进行除湿，除去玻璃罩上的水状附着物；需提供公安部授权机构出具的检验报告证明文件并加盖原厂公章；</w:t>
            </w:r>
            <w:r>
              <w:rPr>
                <w:rFonts w:ascii="宋体" w:hAnsi="宋体" w:cs="宋体"/>
                <w:color w:val="auto"/>
                <w:kern w:val="0"/>
                <w:szCs w:val="21"/>
              </w:rPr>
              <w:br w:type="textWrapping"/>
            </w:r>
            <w:r>
              <w:rPr>
                <w:rFonts w:ascii="宋体" w:hAnsi="宋体" w:cs="宋体"/>
                <w:color w:val="auto"/>
                <w:kern w:val="0"/>
                <w:szCs w:val="21"/>
              </w:rPr>
              <w:t>12、支持目标自动跟踪功能，通过设置智能事件规则，对设定区域内触发事件的运动目标在设定的跟踪时间内进行持续稳定跟踪。并可在跟踪过程中手动切换跟踪目标。</w:t>
            </w:r>
            <w:r>
              <w:rPr>
                <w:rFonts w:ascii="宋体" w:hAnsi="宋体" w:cs="宋体"/>
                <w:color w:val="auto"/>
                <w:kern w:val="0"/>
                <w:szCs w:val="21"/>
              </w:rPr>
              <w:br w:type="textWrapping"/>
            </w:r>
            <w:r>
              <w:rPr>
                <w:rFonts w:ascii="宋体" w:hAnsi="宋体" w:cs="宋体"/>
                <w:color w:val="auto"/>
                <w:kern w:val="0"/>
                <w:szCs w:val="21"/>
              </w:rPr>
              <w:t>13、</w:t>
            </w:r>
            <w:r>
              <w:rPr>
                <w:rFonts w:hint="eastAsia" w:ascii="宋体" w:hAnsi="宋体" w:cs="宋体"/>
                <w:color w:val="auto"/>
                <w:kern w:val="0"/>
                <w:szCs w:val="21"/>
              </w:rPr>
              <w:t>▲为降低应镜头被刮擦破防成像效果，设备镜头需具备良好的防刮性能，应采用蓝宝石单晶透光片，在使用淬硬的钢针以不小于</w:t>
            </w:r>
            <w:r>
              <w:rPr>
                <w:rFonts w:ascii="宋体" w:hAnsi="宋体" w:cs="宋体"/>
                <w:color w:val="auto"/>
                <w:kern w:val="0"/>
                <w:szCs w:val="21"/>
              </w:rPr>
              <w:t>10牛的作用力，不小于20毫米每秒的速度划痕，钢针移动距离不小于15厘米的情况下，设备透光片无明显</w:t>
            </w:r>
            <w:r>
              <w:rPr>
                <w:rFonts w:hint="eastAsia" w:ascii="宋体" w:hAnsi="宋体" w:cs="宋体"/>
                <w:color w:val="auto"/>
                <w:kern w:val="0"/>
                <w:szCs w:val="21"/>
              </w:rPr>
              <w:t>划痕且不被刺透；需提供公安部授权机构出具的检验报告证明文件并加盖原厂公章；</w:t>
            </w:r>
            <w:r>
              <w:rPr>
                <w:rFonts w:ascii="宋体" w:hAnsi="宋体" w:cs="宋体"/>
                <w:color w:val="auto"/>
                <w:kern w:val="0"/>
                <w:szCs w:val="21"/>
              </w:rPr>
              <w:br w:type="textWrapping"/>
            </w:r>
            <w:r>
              <w:rPr>
                <w:rFonts w:ascii="宋体" w:hAnsi="宋体" w:cs="宋体"/>
                <w:color w:val="auto"/>
                <w:kern w:val="0"/>
                <w:szCs w:val="21"/>
              </w:rPr>
              <w:t>14、支持偏色矫正功能，可通过手动或自动的方式对样机视频采集模块进行偏色</w:t>
            </w:r>
            <w:r>
              <w:rPr>
                <w:rFonts w:hint="eastAsia" w:ascii="宋体" w:hAnsi="宋体" w:cs="宋体"/>
                <w:color w:val="auto"/>
                <w:kern w:val="0"/>
                <w:szCs w:val="21"/>
              </w:rPr>
              <w:t>矫；</w:t>
            </w:r>
            <w:r>
              <w:rPr>
                <w:rFonts w:ascii="宋体" w:hAnsi="宋体" w:cs="宋体"/>
                <w:color w:val="auto"/>
                <w:kern w:val="0"/>
                <w:szCs w:val="21"/>
              </w:rPr>
              <w:br w:type="textWrapping"/>
            </w:r>
            <w:r>
              <w:rPr>
                <w:rFonts w:ascii="宋体" w:hAnsi="宋体" w:cs="宋体"/>
                <w:color w:val="auto"/>
                <w:kern w:val="0"/>
                <w:szCs w:val="21"/>
              </w:rPr>
              <w:t>15、内置不少于3个GPU芯片；</w:t>
            </w:r>
            <w:r>
              <w:rPr>
                <w:rFonts w:ascii="宋体" w:hAnsi="宋体" w:cs="宋体"/>
                <w:color w:val="auto"/>
                <w:kern w:val="0"/>
                <w:szCs w:val="21"/>
              </w:rPr>
              <w:br w:type="textWrapping"/>
            </w:r>
            <w:r>
              <w:rPr>
                <w:rFonts w:ascii="宋体" w:hAnsi="宋体" w:cs="宋体"/>
                <w:color w:val="auto"/>
                <w:kern w:val="0"/>
                <w:szCs w:val="21"/>
              </w:rPr>
              <w:t>16、支持GB35114安全加密；</w:t>
            </w:r>
            <w:r>
              <w:rPr>
                <w:rFonts w:ascii="宋体" w:hAnsi="宋体" w:cs="宋体"/>
                <w:color w:val="auto"/>
                <w:kern w:val="0"/>
                <w:szCs w:val="21"/>
              </w:rPr>
              <w:br w:type="textWrapping"/>
            </w:r>
            <w:r>
              <w:rPr>
                <w:rFonts w:ascii="宋体" w:hAnsi="宋体" w:cs="宋体"/>
                <w:color w:val="auto"/>
                <w:kern w:val="0"/>
                <w:szCs w:val="21"/>
              </w:rPr>
              <w:t>17、防护等级：IP67；</w:t>
            </w:r>
            <w:r>
              <w:rPr>
                <w:rFonts w:ascii="宋体" w:hAnsi="宋体" w:cs="宋体"/>
                <w:color w:val="auto"/>
                <w:kern w:val="0"/>
                <w:szCs w:val="21"/>
              </w:rPr>
              <w:br w:type="textWrapping"/>
            </w:r>
            <w:r>
              <w:rPr>
                <w:rFonts w:ascii="宋体" w:hAnsi="宋体" w:cs="宋体"/>
                <w:color w:val="auto"/>
                <w:kern w:val="0"/>
                <w:szCs w:val="21"/>
              </w:rPr>
              <w:t>18、支持除雾功能。</w:t>
            </w:r>
            <w:r>
              <w:rPr>
                <w:rFonts w:ascii="宋体" w:hAnsi="宋体" w:cs="宋体"/>
                <w:color w:val="auto"/>
                <w:kern w:val="0"/>
                <w:szCs w:val="21"/>
              </w:rPr>
              <w:br w:type="textWrapping"/>
            </w:r>
            <w:r>
              <w:rPr>
                <w:rFonts w:ascii="宋体" w:hAnsi="宋体" w:cs="宋体"/>
                <w:color w:val="auto"/>
                <w:kern w:val="0"/>
                <w:szCs w:val="21"/>
              </w:rPr>
              <w:t>19、含三年原厂质保；</w:t>
            </w:r>
          </w:p>
        </w:tc>
        <w:tc>
          <w:tcPr>
            <w:tcW w:w="420"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大华</w:t>
            </w:r>
          </w:p>
        </w:tc>
        <w:tc>
          <w:tcPr>
            <w:tcW w:w="41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宇视</w:t>
            </w:r>
          </w:p>
        </w:tc>
      </w:tr>
      <w:tr>
        <w:tblPrEx>
          <w:tblCellMar>
            <w:top w:w="0" w:type="dxa"/>
            <w:left w:w="108" w:type="dxa"/>
            <w:bottom w:w="0" w:type="dxa"/>
            <w:right w:w="108" w:type="dxa"/>
          </w:tblCellMar>
        </w:tblPrEx>
        <w:trPr>
          <w:trHeight w:val="303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12</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出入口控制终端</w:t>
            </w:r>
          </w:p>
        </w:tc>
        <w:tc>
          <w:tcPr>
            <w:tcW w:w="383"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27</w:t>
            </w:r>
          </w:p>
        </w:tc>
        <w:tc>
          <w:tcPr>
            <w:tcW w:w="24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 xml:space="preserve">1、支持对车辆出入记录的本地存储：≥1500万辆通行车辆信息 </w:t>
            </w:r>
            <w:r>
              <w:rPr>
                <w:rFonts w:hint="eastAsia" w:ascii="宋体" w:hAnsi="宋体" w:cs="宋体"/>
                <w:color w:val="auto"/>
                <w:kern w:val="0"/>
                <w:szCs w:val="21"/>
              </w:rPr>
              <w:t>和</w:t>
            </w:r>
            <w:r>
              <w:rPr>
                <w:rFonts w:ascii="宋体" w:hAnsi="宋体" w:cs="宋体"/>
                <w:color w:val="auto"/>
                <w:kern w:val="0"/>
                <w:szCs w:val="21"/>
              </w:rPr>
              <w:t xml:space="preserve"> 400万辆的过车通行图片 </w:t>
            </w:r>
            <w:r>
              <w:rPr>
                <w:rFonts w:hint="eastAsia" w:ascii="宋体" w:hAnsi="宋体" w:cs="宋体"/>
                <w:color w:val="auto"/>
                <w:kern w:val="0"/>
                <w:szCs w:val="21"/>
              </w:rPr>
              <w:t>；</w:t>
            </w:r>
            <w:r>
              <w:rPr>
                <w:rFonts w:ascii="宋体" w:hAnsi="宋体" w:cs="宋体"/>
                <w:color w:val="auto"/>
                <w:kern w:val="0"/>
                <w:szCs w:val="21"/>
              </w:rPr>
              <w:br w:type="textWrapping"/>
            </w:r>
            <w:r>
              <w:rPr>
                <w:rFonts w:ascii="宋体" w:hAnsi="宋体" w:cs="宋体"/>
                <w:color w:val="auto"/>
                <w:kern w:val="0"/>
                <w:szCs w:val="21"/>
              </w:rPr>
              <w:t>2、支持VGA、HDMI显示控制，配合鼠标键盘即可使用，无需额外配置电脑；</w:t>
            </w:r>
            <w:r>
              <w:rPr>
                <w:rFonts w:ascii="宋体" w:hAnsi="宋体" w:cs="宋体"/>
                <w:color w:val="auto"/>
                <w:kern w:val="0"/>
                <w:szCs w:val="21"/>
              </w:rPr>
              <w:br w:type="textWrapping"/>
            </w:r>
            <w:r>
              <w:rPr>
                <w:rFonts w:ascii="宋体" w:hAnsi="宋体" w:cs="宋体"/>
                <w:color w:val="auto"/>
                <w:kern w:val="0"/>
                <w:szCs w:val="21"/>
              </w:rPr>
              <w:t>3、支持网页访问，多用户、多权限控制，嵌入式加密认证机制；</w:t>
            </w:r>
            <w:r>
              <w:rPr>
                <w:rFonts w:ascii="宋体" w:hAnsi="宋体" w:cs="宋体"/>
                <w:color w:val="auto"/>
                <w:kern w:val="0"/>
                <w:szCs w:val="21"/>
              </w:rPr>
              <w:br w:type="textWrapping"/>
            </w:r>
            <w:r>
              <w:rPr>
                <w:rFonts w:ascii="宋体" w:hAnsi="宋体" w:cs="宋体"/>
                <w:color w:val="auto"/>
                <w:kern w:val="0"/>
                <w:szCs w:val="21"/>
              </w:rPr>
              <w:t>4、支持对</w:t>
            </w:r>
            <w:r>
              <w:rPr>
                <w:rFonts w:hint="eastAsia" w:ascii="宋体" w:hAnsi="宋体" w:cs="宋体"/>
                <w:color w:val="auto"/>
                <w:kern w:val="0"/>
                <w:szCs w:val="21"/>
              </w:rPr>
              <w:t>固定车划分不同群组，分配不同出入权限、收费规则等；</w:t>
            </w:r>
            <w:r>
              <w:rPr>
                <w:rFonts w:ascii="宋体" w:hAnsi="宋体" w:cs="宋体"/>
                <w:color w:val="auto"/>
                <w:kern w:val="0"/>
                <w:szCs w:val="21"/>
              </w:rPr>
              <w:br w:type="textWrapping"/>
            </w:r>
            <w:r>
              <w:rPr>
                <w:rFonts w:ascii="宋体" w:hAnsi="宋体" w:cs="宋体"/>
                <w:color w:val="auto"/>
                <w:kern w:val="0"/>
                <w:szCs w:val="21"/>
              </w:rPr>
              <w:t>5、支持自定义车辆类型配置出入权限，支持按照时间计划配置出入权限。支持对无牌车、新能源车、车牌颜色、特定字符车、自定义车辆类型单独配置出入权限；</w:t>
            </w:r>
            <w:r>
              <w:rPr>
                <w:rFonts w:ascii="宋体" w:hAnsi="宋体" w:cs="宋体"/>
                <w:color w:val="auto"/>
                <w:kern w:val="0"/>
                <w:szCs w:val="21"/>
              </w:rPr>
              <w:br w:type="textWrapping"/>
            </w:r>
            <w:r>
              <w:rPr>
                <w:rFonts w:ascii="宋体" w:hAnsi="宋体" w:cs="宋体"/>
                <w:color w:val="auto"/>
                <w:kern w:val="0"/>
                <w:szCs w:val="21"/>
              </w:rPr>
              <w:t>6、支持按次、停车时长、时间段、分时段、及多种混合配置收费规则。</w:t>
            </w:r>
            <w:r>
              <w:rPr>
                <w:rFonts w:ascii="宋体" w:hAnsi="宋体" w:cs="宋体"/>
                <w:color w:val="auto"/>
                <w:kern w:val="0"/>
                <w:szCs w:val="21"/>
              </w:rPr>
              <w:br w:type="textWrapping"/>
            </w:r>
            <w:r>
              <w:rPr>
                <w:rFonts w:ascii="宋体" w:hAnsi="宋体" w:cs="宋体"/>
                <w:color w:val="auto"/>
                <w:kern w:val="0"/>
                <w:szCs w:val="21"/>
              </w:rPr>
              <w:t>7、支持录像存储，支持录像计划，支持关联录像回放下载，保存完整数据链，节省录像服务器。</w:t>
            </w:r>
            <w:r>
              <w:rPr>
                <w:rFonts w:ascii="宋体" w:hAnsi="宋体" w:cs="宋体"/>
                <w:color w:val="auto"/>
                <w:kern w:val="0"/>
                <w:szCs w:val="21"/>
              </w:rPr>
              <w:br w:type="textWrapping"/>
            </w:r>
            <w:r>
              <w:rPr>
                <w:rFonts w:ascii="宋体" w:hAnsi="宋体" w:cs="宋体"/>
                <w:color w:val="auto"/>
                <w:kern w:val="0"/>
                <w:szCs w:val="21"/>
              </w:rPr>
              <w:t>8、含出入口管理软件，无风扇设计，集成交换机、视频HDMI及VGA接口；</w:t>
            </w:r>
            <w:r>
              <w:rPr>
                <w:rFonts w:ascii="宋体" w:hAnsi="宋体" w:cs="宋体"/>
                <w:color w:val="auto"/>
                <w:kern w:val="0"/>
                <w:szCs w:val="21"/>
              </w:rPr>
              <w:br w:type="textWrapping"/>
            </w:r>
            <w:r>
              <w:rPr>
                <w:rFonts w:ascii="宋体" w:hAnsi="宋体" w:cs="宋体"/>
                <w:color w:val="auto"/>
                <w:kern w:val="0"/>
                <w:szCs w:val="21"/>
              </w:rPr>
              <w:t>9、含三年原厂质保；</w:t>
            </w:r>
          </w:p>
        </w:tc>
        <w:tc>
          <w:tcPr>
            <w:tcW w:w="420"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大华</w:t>
            </w:r>
          </w:p>
        </w:tc>
        <w:tc>
          <w:tcPr>
            <w:tcW w:w="41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宇视</w:t>
            </w:r>
          </w:p>
        </w:tc>
      </w:tr>
      <w:tr>
        <w:tblPrEx>
          <w:tblCellMar>
            <w:top w:w="0" w:type="dxa"/>
            <w:left w:w="108" w:type="dxa"/>
            <w:bottom w:w="0" w:type="dxa"/>
            <w:right w:w="108" w:type="dxa"/>
          </w:tblCellMar>
        </w:tblPrEx>
        <w:trPr>
          <w:trHeight w:val="1126"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13</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抓拍显示一体机</w:t>
            </w:r>
          </w:p>
        </w:tc>
        <w:tc>
          <w:tcPr>
            <w:tcW w:w="383"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47</w:t>
            </w:r>
          </w:p>
        </w:tc>
        <w:tc>
          <w:tcPr>
            <w:tcW w:w="24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1、200</w:t>
            </w:r>
            <w:r>
              <w:rPr>
                <w:rFonts w:hint="eastAsia" w:ascii="宋体" w:hAnsi="宋体" w:cs="宋体"/>
                <w:color w:val="auto"/>
                <w:kern w:val="0"/>
                <w:szCs w:val="21"/>
              </w:rPr>
              <w:t>万像素高清摄像机，传感器采用，</w:t>
            </w:r>
            <w:r>
              <w:rPr>
                <w:rFonts w:ascii="宋体" w:hAnsi="宋体" w:cs="宋体"/>
                <w:color w:val="auto"/>
                <w:kern w:val="0"/>
                <w:szCs w:val="21"/>
              </w:rPr>
              <w:t>1/2.7" CMOS；最大分辨率可达1920*1080，支持H.264/H.265智能编码；</w:t>
            </w:r>
            <w:r>
              <w:rPr>
                <w:rFonts w:ascii="宋体" w:hAnsi="宋体" w:cs="宋体"/>
                <w:color w:val="auto"/>
                <w:kern w:val="0"/>
                <w:szCs w:val="21"/>
              </w:rPr>
              <w:br w:type="textWrapping"/>
            </w:r>
            <w:r>
              <w:rPr>
                <w:rFonts w:ascii="宋体" w:hAnsi="宋体" w:cs="宋体"/>
                <w:color w:val="auto"/>
                <w:kern w:val="0"/>
                <w:szCs w:val="21"/>
              </w:rPr>
              <w:t>2、集摄像机、LED显示屏、补光灯、镜头、喇叭功放于一体；</w:t>
            </w:r>
            <w:r>
              <w:rPr>
                <w:rFonts w:ascii="宋体" w:hAnsi="宋体" w:cs="宋体"/>
                <w:color w:val="auto"/>
                <w:kern w:val="0"/>
                <w:szCs w:val="21"/>
              </w:rPr>
              <w:br w:type="textWrapping"/>
            </w:r>
            <w:r>
              <w:rPr>
                <w:rFonts w:ascii="宋体" w:hAnsi="宋体" w:cs="宋体"/>
                <w:color w:val="auto"/>
                <w:kern w:val="0"/>
                <w:szCs w:val="21"/>
              </w:rPr>
              <w:t>3、LED屏（4行4字，支持红绿黄三色显示），显示屏尺寸：256mm×256mm（长×宽）；</w:t>
            </w:r>
            <w:r>
              <w:rPr>
                <w:rFonts w:ascii="宋体" w:hAnsi="宋体" w:cs="宋体"/>
                <w:color w:val="auto"/>
                <w:kern w:val="0"/>
                <w:szCs w:val="21"/>
              </w:rPr>
              <w:br w:type="textWrapping"/>
            </w:r>
            <w:r>
              <w:rPr>
                <w:rFonts w:ascii="宋体" w:hAnsi="宋体" w:cs="宋体"/>
                <w:color w:val="auto"/>
                <w:kern w:val="0"/>
                <w:szCs w:val="21"/>
              </w:rPr>
              <w:t>4、支持识别的号牌类型包括大（小）型汽车、使领馆汽车、警用汽车、教练汽车、新能源汽车、军车等；2019式武警车牌等国标车牌；支持车型识别，车标识别，车身颜色识别，</w:t>
            </w:r>
            <w:r>
              <w:rPr>
                <w:rFonts w:hint="eastAsia" w:ascii="宋体" w:hAnsi="宋体" w:cs="宋体"/>
                <w:color w:val="auto"/>
                <w:kern w:val="0"/>
                <w:szCs w:val="21"/>
              </w:rPr>
              <w:t>子品牌检测；支持黑、白名单的导入及对比，可直接联动道闸开闸，支持脱机运行；</w:t>
            </w:r>
            <w:r>
              <w:rPr>
                <w:rFonts w:ascii="宋体" w:hAnsi="宋体" w:cs="宋体"/>
                <w:color w:val="auto"/>
                <w:kern w:val="0"/>
                <w:szCs w:val="21"/>
              </w:rPr>
              <w:br w:type="textWrapping"/>
            </w:r>
            <w:r>
              <w:rPr>
                <w:rFonts w:ascii="宋体" w:hAnsi="宋体" w:cs="宋体"/>
                <w:color w:val="auto"/>
                <w:kern w:val="0"/>
                <w:szCs w:val="21"/>
              </w:rPr>
              <w:t>5、</w:t>
            </w:r>
            <w:r>
              <w:rPr>
                <w:rFonts w:hint="eastAsia" w:ascii="宋体" w:hAnsi="宋体" w:cs="宋体"/>
                <w:color w:val="auto"/>
                <w:kern w:val="0"/>
                <w:szCs w:val="21"/>
              </w:rPr>
              <w:t>车牌识别功能检查：支持识别大（小）型汽车、使领馆汽车、警用汽车、军车、新能源汽车（小车的绿色和大车的黄绿色的车牌号；支持识别倾斜角度</w:t>
            </w:r>
            <w:r>
              <w:rPr>
                <w:rFonts w:ascii="宋体" w:hAnsi="宋体" w:cs="宋体"/>
                <w:color w:val="auto"/>
                <w:kern w:val="0"/>
                <w:szCs w:val="21"/>
              </w:rPr>
              <w:t>0°~30°的车牌号；支持识别相机法线与行车方向角度小于65°的车牌号；支持识别车牌宽</w:t>
            </w:r>
            <w:r>
              <w:rPr>
                <w:rFonts w:hint="eastAsia" w:ascii="宋体" w:hAnsi="宋体" w:cs="宋体"/>
                <w:color w:val="auto"/>
                <w:kern w:val="0"/>
                <w:szCs w:val="21"/>
              </w:rPr>
              <w:t>度范围为</w:t>
            </w:r>
            <w:r>
              <w:rPr>
                <w:rFonts w:ascii="宋体" w:hAnsi="宋体" w:cs="宋体"/>
                <w:color w:val="auto"/>
                <w:kern w:val="0"/>
                <w:szCs w:val="21"/>
              </w:rPr>
              <w:t>70像素~300像素的车牌号;需提供公安部授权机构出具的检验报告证明文件并加盖原厂公章；</w:t>
            </w:r>
            <w:r>
              <w:rPr>
                <w:rFonts w:ascii="宋体" w:hAnsi="宋体" w:cs="宋体"/>
                <w:color w:val="auto"/>
                <w:kern w:val="0"/>
                <w:szCs w:val="21"/>
              </w:rPr>
              <w:br w:type="textWrapping"/>
            </w:r>
            <w:r>
              <w:rPr>
                <w:rFonts w:ascii="宋体" w:hAnsi="宋体" w:cs="宋体"/>
                <w:color w:val="auto"/>
                <w:kern w:val="0"/>
                <w:szCs w:val="21"/>
              </w:rPr>
              <w:t>6、防护等级：IP54；</w:t>
            </w:r>
            <w:r>
              <w:rPr>
                <w:rFonts w:ascii="宋体" w:hAnsi="宋体" w:cs="宋体"/>
                <w:color w:val="auto"/>
                <w:kern w:val="0"/>
                <w:szCs w:val="21"/>
              </w:rPr>
              <w:br w:type="textWrapping"/>
            </w:r>
            <w:r>
              <w:rPr>
                <w:rFonts w:ascii="宋体" w:hAnsi="宋体" w:cs="宋体"/>
                <w:color w:val="auto"/>
                <w:kern w:val="0"/>
                <w:szCs w:val="21"/>
              </w:rPr>
              <w:t>7、含三年原厂质保；</w:t>
            </w:r>
          </w:p>
        </w:tc>
        <w:tc>
          <w:tcPr>
            <w:tcW w:w="420"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大华</w:t>
            </w:r>
          </w:p>
        </w:tc>
        <w:tc>
          <w:tcPr>
            <w:tcW w:w="41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宇视</w:t>
            </w:r>
          </w:p>
        </w:tc>
      </w:tr>
      <w:tr>
        <w:tblPrEx>
          <w:tblCellMar>
            <w:top w:w="0" w:type="dxa"/>
            <w:left w:w="108" w:type="dxa"/>
            <w:bottom w:w="0" w:type="dxa"/>
            <w:right w:w="108" w:type="dxa"/>
          </w:tblCellMar>
        </w:tblPrEx>
        <w:trPr>
          <w:trHeight w:val="141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14</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道闸</w:t>
            </w:r>
          </w:p>
        </w:tc>
        <w:tc>
          <w:tcPr>
            <w:tcW w:w="383"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47</w:t>
            </w:r>
          </w:p>
        </w:tc>
        <w:tc>
          <w:tcPr>
            <w:tcW w:w="24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1、支持遇阻反弹，开优先保护功能；</w:t>
            </w:r>
            <w:r>
              <w:rPr>
                <w:rFonts w:ascii="宋体" w:hAnsi="宋体" w:cs="宋体"/>
                <w:color w:val="auto"/>
                <w:kern w:val="0"/>
                <w:szCs w:val="21"/>
              </w:rPr>
              <w:br w:type="textWrapping"/>
            </w:r>
            <w:r>
              <w:rPr>
                <w:rFonts w:ascii="宋体" w:hAnsi="宋体" w:cs="宋体"/>
                <w:color w:val="auto"/>
                <w:kern w:val="0"/>
                <w:szCs w:val="21"/>
              </w:rPr>
              <w:t>2、支持雷达防砸；</w:t>
            </w:r>
            <w:r>
              <w:rPr>
                <w:rFonts w:ascii="宋体" w:hAnsi="宋体" w:cs="宋体"/>
                <w:color w:val="auto"/>
                <w:kern w:val="0"/>
                <w:szCs w:val="21"/>
              </w:rPr>
              <w:br w:type="textWrapping"/>
            </w:r>
            <w:r>
              <w:rPr>
                <w:rFonts w:ascii="宋体" w:hAnsi="宋体" w:cs="宋体"/>
                <w:color w:val="auto"/>
                <w:kern w:val="0"/>
                <w:szCs w:val="21"/>
              </w:rPr>
              <w:t>3、直流变频控制，快速抬杆慢速落杆；</w:t>
            </w:r>
            <w:r>
              <w:rPr>
                <w:rFonts w:ascii="宋体" w:hAnsi="宋体" w:cs="宋体"/>
                <w:color w:val="auto"/>
                <w:kern w:val="0"/>
                <w:szCs w:val="21"/>
              </w:rPr>
              <w:br w:type="textWrapping"/>
            </w:r>
            <w:r>
              <w:rPr>
                <w:rFonts w:ascii="宋体" w:hAnsi="宋体" w:cs="宋体"/>
                <w:color w:val="auto"/>
                <w:kern w:val="0"/>
                <w:szCs w:val="21"/>
              </w:rPr>
              <w:t>4、停电时可转动手轮，使道</w:t>
            </w:r>
            <w:r>
              <w:rPr>
                <w:rFonts w:hint="eastAsia" w:ascii="宋体" w:hAnsi="宋体" w:cs="宋体"/>
                <w:color w:val="auto"/>
                <w:kern w:val="0"/>
                <w:szCs w:val="21"/>
              </w:rPr>
              <w:t>闸保持开状态；</w:t>
            </w:r>
            <w:r>
              <w:rPr>
                <w:rFonts w:ascii="宋体" w:hAnsi="宋体" w:cs="宋体"/>
                <w:color w:val="auto"/>
                <w:kern w:val="0"/>
                <w:szCs w:val="21"/>
              </w:rPr>
              <w:br w:type="textWrapping"/>
            </w:r>
            <w:r>
              <w:rPr>
                <w:rFonts w:ascii="宋体" w:hAnsi="宋体" w:cs="宋体"/>
                <w:color w:val="auto"/>
                <w:kern w:val="0"/>
                <w:szCs w:val="21"/>
              </w:rPr>
              <w:t>5、防护等级：IP54</w:t>
            </w:r>
            <w:r>
              <w:rPr>
                <w:rFonts w:ascii="宋体" w:hAnsi="宋体" w:cs="宋体"/>
                <w:color w:val="auto"/>
                <w:kern w:val="0"/>
                <w:szCs w:val="21"/>
              </w:rPr>
              <w:br w:type="textWrapping"/>
            </w:r>
            <w:r>
              <w:rPr>
                <w:rFonts w:ascii="宋体" w:hAnsi="宋体" w:cs="宋体"/>
                <w:color w:val="auto"/>
                <w:kern w:val="0"/>
                <w:szCs w:val="21"/>
              </w:rPr>
              <w:t>6、运行速度：3s</w:t>
            </w:r>
            <w:r>
              <w:rPr>
                <w:rFonts w:ascii="宋体" w:hAnsi="宋体" w:cs="宋体"/>
                <w:color w:val="auto"/>
                <w:kern w:val="0"/>
                <w:szCs w:val="21"/>
              </w:rPr>
              <w:br w:type="textWrapping"/>
            </w:r>
            <w:r>
              <w:rPr>
                <w:rFonts w:ascii="宋体" w:hAnsi="宋体" w:cs="宋体"/>
                <w:color w:val="auto"/>
                <w:kern w:val="0"/>
                <w:szCs w:val="21"/>
              </w:rPr>
              <w:t>7、含三年原厂质保；</w:t>
            </w:r>
          </w:p>
        </w:tc>
        <w:tc>
          <w:tcPr>
            <w:tcW w:w="420"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大华</w:t>
            </w:r>
          </w:p>
        </w:tc>
        <w:tc>
          <w:tcPr>
            <w:tcW w:w="41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宇视</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15</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出入口车检器</w:t>
            </w:r>
          </w:p>
        </w:tc>
        <w:tc>
          <w:tcPr>
            <w:tcW w:w="38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94</w:t>
            </w:r>
          </w:p>
        </w:tc>
        <w:tc>
          <w:tcPr>
            <w:tcW w:w="2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独立式</w:t>
            </w:r>
            <w:r>
              <w:rPr>
                <w:rFonts w:ascii="宋体" w:hAnsi="宋体" w:cs="宋体"/>
                <w:color w:val="auto"/>
                <w:kern w:val="0"/>
                <w:szCs w:val="21"/>
              </w:rPr>
              <w:t>,支持接入的最大线圈数2,继电器输出</w:t>
            </w:r>
          </w:p>
        </w:tc>
        <w:tc>
          <w:tcPr>
            <w:tcW w:w="420"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大华</w:t>
            </w:r>
          </w:p>
        </w:tc>
        <w:tc>
          <w:tcPr>
            <w:tcW w:w="41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宇视</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16</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车检线圈</w:t>
            </w:r>
          </w:p>
        </w:tc>
        <w:tc>
          <w:tcPr>
            <w:tcW w:w="383"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348</w:t>
            </w:r>
          </w:p>
        </w:tc>
        <w:tc>
          <w:tcPr>
            <w:tcW w:w="249"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0.75mm²，绞合导体，镀锡铜，绝缘蓝色PVC外被，1捆线圈50米。</w:t>
            </w:r>
          </w:p>
        </w:tc>
        <w:tc>
          <w:tcPr>
            <w:tcW w:w="42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121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17</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出入口防砸雷达</w:t>
            </w:r>
          </w:p>
        </w:tc>
        <w:tc>
          <w:tcPr>
            <w:tcW w:w="383"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47</w:t>
            </w:r>
          </w:p>
        </w:tc>
        <w:tc>
          <w:tcPr>
            <w:tcW w:w="24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1、雷达检测距离0.3~6m（可调），检测宽度可调；</w:t>
            </w:r>
            <w:r>
              <w:rPr>
                <w:rFonts w:ascii="宋体" w:hAnsi="宋体" w:cs="宋体"/>
                <w:color w:val="auto"/>
                <w:kern w:val="0"/>
                <w:szCs w:val="21"/>
              </w:rPr>
              <w:br w:type="textWrapping"/>
            </w:r>
            <w:r>
              <w:rPr>
                <w:rFonts w:ascii="宋体" w:hAnsi="宋体" w:cs="宋体"/>
                <w:color w:val="auto"/>
                <w:kern w:val="0"/>
                <w:szCs w:val="21"/>
              </w:rPr>
              <w:t>2、防砸区域：0~2m，可检测到行人和车辆，有效防止“砸车、砸人”事故的发生；</w:t>
            </w:r>
            <w:r>
              <w:rPr>
                <w:rFonts w:ascii="宋体" w:hAnsi="宋体" w:cs="宋体"/>
                <w:color w:val="auto"/>
                <w:kern w:val="0"/>
                <w:szCs w:val="21"/>
              </w:rPr>
              <w:br w:type="textWrapping"/>
            </w:r>
            <w:r>
              <w:rPr>
                <w:rFonts w:ascii="宋体" w:hAnsi="宋体" w:cs="宋体"/>
                <w:color w:val="auto"/>
                <w:kern w:val="0"/>
                <w:szCs w:val="21"/>
              </w:rPr>
              <w:t>3、自动记录雷达的配置参数，断电重启后可恢复至之前的工作状态；</w:t>
            </w:r>
            <w:r>
              <w:rPr>
                <w:rFonts w:ascii="宋体" w:hAnsi="宋体" w:cs="宋体"/>
                <w:color w:val="auto"/>
                <w:kern w:val="0"/>
                <w:szCs w:val="21"/>
              </w:rPr>
              <w:br w:type="textWrapping"/>
            </w:r>
            <w:r>
              <w:rPr>
                <w:rFonts w:ascii="宋体" w:hAnsi="宋体" w:cs="宋体"/>
                <w:color w:val="auto"/>
                <w:kern w:val="0"/>
                <w:szCs w:val="21"/>
              </w:rPr>
              <w:t>4、具备检测车和人功能；</w:t>
            </w:r>
            <w:r>
              <w:rPr>
                <w:rFonts w:ascii="宋体" w:hAnsi="宋体" w:cs="宋体"/>
                <w:color w:val="auto"/>
                <w:kern w:val="0"/>
                <w:szCs w:val="21"/>
              </w:rPr>
              <w:br w:type="textWrapping"/>
            </w:r>
            <w:r>
              <w:rPr>
                <w:rFonts w:ascii="宋体" w:hAnsi="宋体" w:cs="宋体"/>
                <w:color w:val="auto"/>
                <w:kern w:val="0"/>
                <w:szCs w:val="21"/>
              </w:rPr>
              <w:t>5、含电源；含三年原厂质保；</w:t>
            </w:r>
          </w:p>
        </w:tc>
        <w:tc>
          <w:tcPr>
            <w:tcW w:w="420"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大华</w:t>
            </w:r>
          </w:p>
        </w:tc>
        <w:tc>
          <w:tcPr>
            <w:tcW w:w="419"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宇视</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18</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安全岛</w:t>
            </w:r>
          </w:p>
        </w:tc>
        <w:tc>
          <w:tcPr>
            <w:tcW w:w="38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26</w:t>
            </w:r>
          </w:p>
        </w:tc>
        <w:tc>
          <w:tcPr>
            <w:tcW w:w="2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项</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根据各小区实际情况定制，砖砌、水泥找平、上黄黑色提示油漆</w:t>
            </w:r>
          </w:p>
        </w:tc>
        <w:tc>
          <w:tcPr>
            <w:tcW w:w="42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810"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19</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电动自行车智能充电站</w:t>
            </w:r>
          </w:p>
        </w:tc>
        <w:tc>
          <w:tcPr>
            <w:tcW w:w="383"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12</w:t>
            </w:r>
          </w:p>
        </w:tc>
        <w:tc>
          <w:tcPr>
            <w:tcW w:w="249"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1、设备输出路数：10路</w:t>
            </w:r>
            <w:r>
              <w:rPr>
                <w:rFonts w:ascii="宋体" w:hAnsi="宋体" w:cs="宋体"/>
                <w:color w:val="auto"/>
                <w:kern w:val="0"/>
                <w:szCs w:val="21"/>
              </w:rPr>
              <w:br w:type="textWrapping"/>
            </w:r>
            <w:r>
              <w:rPr>
                <w:rFonts w:ascii="宋体" w:hAnsi="宋体" w:cs="宋体"/>
                <w:color w:val="auto"/>
                <w:kern w:val="0"/>
                <w:szCs w:val="21"/>
              </w:rPr>
              <w:t>2、通信方式:4G</w:t>
            </w:r>
            <w:r>
              <w:rPr>
                <w:rFonts w:ascii="宋体" w:hAnsi="宋体" w:cs="宋体"/>
                <w:color w:val="auto"/>
                <w:kern w:val="0"/>
                <w:szCs w:val="21"/>
              </w:rPr>
              <w:br w:type="textWrapping"/>
            </w:r>
            <w:r>
              <w:rPr>
                <w:rFonts w:ascii="宋体" w:hAnsi="宋体" w:cs="宋体"/>
                <w:color w:val="auto"/>
                <w:kern w:val="0"/>
                <w:szCs w:val="21"/>
              </w:rPr>
              <w:t>3、支付方式：支付宝、微信、刷卡；</w:t>
            </w:r>
            <w:r>
              <w:rPr>
                <w:rFonts w:ascii="宋体" w:hAnsi="宋体" w:cs="宋体"/>
                <w:color w:val="auto"/>
                <w:kern w:val="0"/>
                <w:szCs w:val="21"/>
              </w:rPr>
              <w:br w:type="textWrapping"/>
            </w:r>
            <w:r>
              <w:rPr>
                <w:rFonts w:ascii="宋体" w:hAnsi="宋体" w:cs="宋体"/>
                <w:color w:val="auto"/>
                <w:kern w:val="0"/>
                <w:szCs w:val="21"/>
              </w:rPr>
              <w:t>4、含三年原厂质保；</w:t>
            </w:r>
          </w:p>
        </w:tc>
        <w:tc>
          <w:tcPr>
            <w:tcW w:w="420"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大华</w:t>
            </w:r>
          </w:p>
        </w:tc>
        <w:tc>
          <w:tcPr>
            <w:tcW w:w="419"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宇视</w:t>
            </w:r>
          </w:p>
        </w:tc>
      </w:tr>
      <w:tr>
        <w:tblPrEx>
          <w:tblCellMar>
            <w:top w:w="0" w:type="dxa"/>
            <w:left w:w="108" w:type="dxa"/>
            <w:bottom w:w="0" w:type="dxa"/>
            <w:right w:w="108" w:type="dxa"/>
          </w:tblCellMar>
        </w:tblPrEx>
        <w:trPr>
          <w:trHeight w:val="40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20</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充电桩专用</w:t>
            </w:r>
            <w:r>
              <w:rPr>
                <w:rFonts w:ascii="宋体" w:hAnsi="宋体" w:cs="宋体"/>
                <w:color w:val="auto"/>
                <w:kern w:val="0"/>
                <w:szCs w:val="21"/>
              </w:rPr>
              <w:t xml:space="preserve"> 5 </w:t>
            </w:r>
            <w:r>
              <w:rPr>
                <w:rFonts w:hint="eastAsia" w:ascii="宋体" w:hAnsi="宋体" w:cs="宋体"/>
                <w:color w:val="auto"/>
                <w:kern w:val="0"/>
                <w:szCs w:val="21"/>
              </w:rPr>
              <w:t>孔插座</w:t>
            </w:r>
          </w:p>
        </w:tc>
        <w:tc>
          <w:tcPr>
            <w:tcW w:w="383"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120</w:t>
            </w:r>
          </w:p>
        </w:tc>
        <w:tc>
          <w:tcPr>
            <w:tcW w:w="24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r>
              <w:rPr>
                <w:rFonts w:ascii="宋体" w:hAnsi="宋体" w:cs="宋体"/>
                <w:color w:val="auto"/>
                <w:kern w:val="0"/>
                <w:szCs w:val="21"/>
              </w:rPr>
              <w:t xml:space="preserve"> </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充电桩专用</w:t>
            </w:r>
            <w:r>
              <w:rPr>
                <w:rFonts w:ascii="宋体" w:hAnsi="宋体" w:cs="宋体"/>
                <w:color w:val="auto"/>
                <w:kern w:val="0"/>
                <w:szCs w:val="21"/>
              </w:rPr>
              <w:t xml:space="preserve"> 5 </w:t>
            </w:r>
            <w:r>
              <w:rPr>
                <w:rFonts w:hint="eastAsia" w:ascii="宋体" w:hAnsi="宋体" w:cs="宋体"/>
                <w:color w:val="auto"/>
                <w:kern w:val="0"/>
                <w:szCs w:val="21"/>
              </w:rPr>
              <w:t>孔插座；</w:t>
            </w:r>
            <w:r>
              <w:rPr>
                <w:rFonts w:ascii="宋体" w:hAnsi="宋体" w:cs="宋体"/>
                <w:color w:val="auto"/>
                <w:kern w:val="0"/>
                <w:szCs w:val="21"/>
              </w:rPr>
              <w:t>86型插座，5孔，一个双插，一个三插；带指示灯，额定电流10A；</w:t>
            </w:r>
          </w:p>
        </w:tc>
        <w:tc>
          <w:tcPr>
            <w:tcW w:w="42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2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1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21</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充电桩专用加厚防雨罩</w:t>
            </w:r>
          </w:p>
        </w:tc>
        <w:tc>
          <w:tcPr>
            <w:tcW w:w="38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120</w:t>
            </w:r>
          </w:p>
        </w:tc>
        <w:tc>
          <w:tcPr>
            <w:tcW w:w="2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阻燃</w:t>
            </w:r>
            <w:r>
              <w:rPr>
                <w:rFonts w:ascii="宋体" w:hAnsi="宋体" w:cs="宋体"/>
                <w:color w:val="auto"/>
                <w:kern w:val="0"/>
                <w:szCs w:val="21"/>
              </w:rPr>
              <w:t>ABS，室外防水专用，适用86型插座</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r>
      <w:tr>
        <w:tblPrEx>
          <w:tblCellMar>
            <w:top w:w="0" w:type="dxa"/>
            <w:left w:w="108" w:type="dxa"/>
            <w:bottom w:w="0" w:type="dxa"/>
            <w:right w:w="108" w:type="dxa"/>
          </w:tblCellMar>
        </w:tblPrEx>
        <w:trPr>
          <w:trHeight w:val="364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22</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电动车充电热成像相机</w:t>
            </w:r>
          </w:p>
        </w:tc>
        <w:tc>
          <w:tcPr>
            <w:tcW w:w="383"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106</w:t>
            </w:r>
          </w:p>
        </w:tc>
        <w:tc>
          <w:tcPr>
            <w:tcW w:w="249"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1.400</w:t>
            </w:r>
            <w:r>
              <w:rPr>
                <w:rFonts w:hint="eastAsia" w:ascii="宋体" w:hAnsi="宋体" w:cs="宋体"/>
                <w:color w:val="auto"/>
                <w:kern w:val="0"/>
                <w:szCs w:val="21"/>
              </w:rPr>
              <w:t>万像素，热成像：分辨率：</w:t>
            </w:r>
            <w:r>
              <w:rPr>
                <w:rFonts w:ascii="宋体" w:hAnsi="宋体" w:cs="宋体"/>
                <w:color w:val="auto"/>
                <w:kern w:val="0"/>
                <w:szCs w:val="21"/>
              </w:rPr>
              <w:t>160×120；焦距：3mm；视场角：50°× 37.2°；可见光：分辨率：2688×1520，400万；焦距：4mm；视场角：84.0°×44.8°；</w:t>
            </w:r>
            <w:r>
              <w:rPr>
                <w:rFonts w:ascii="宋体" w:hAnsi="宋体" w:cs="宋体"/>
                <w:color w:val="auto"/>
                <w:kern w:val="0"/>
                <w:szCs w:val="21"/>
              </w:rPr>
              <w:br w:type="textWrapping"/>
            </w:r>
            <w:r>
              <w:rPr>
                <w:rFonts w:ascii="宋体" w:hAnsi="宋体" w:cs="宋体"/>
                <w:color w:val="auto"/>
                <w:kern w:val="0"/>
                <w:szCs w:val="21"/>
              </w:rPr>
              <w:t xml:space="preserve">2、测温精度：±8℃或量程的±8% </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；测温范围：</w:t>
            </w:r>
            <w:r>
              <w:rPr>
                <w:rFonts w:ascii="宋体" w:hAnsi="宋体" w:cs="宋体"/>
                <w:color w:val="auto"/>
                <w:kern w:val="0"/>
                <w:szCs w:val="21"/>
              </w:rPr>
              <w:t>-20℃~150℃；</w:t>
            </w:r>
            <w:r>
              <w:rPr>
                <w:rFonts w:ascii="宋体" w:hAnsi="宋体" w:cs="宋体"/>
                <w:color w:val="auto"/>
                <w:kern w:val="0"/>
                <w:szCs w:val="21"/>
              </w:rPr>
              <w:br w:type="textWrapping"/>
            </w:r>
            <w:r>
              <w:rPr>
                <w:rFonts w:ascii="宋体" w:hAnsi="宋体" w:cs="宋体"/>
                <w:color w:val="auto"/>
                <w:kern w:val="0"/>
                <w:szCs w:val="21"/>
              </w:rPr>
              <w:t>3、人员周界最远报警距离（以1.8米*0.5米为准）：21m；车辆周界最远报警距离（以4米*1.4米为准）：63m；目标物最远测温距离（以0.1米*0.1米为准）：3.3m；火点最远报警距离（以0.1米*0.1米为准）：15m；吸烟检测最远报警距离：3m；</w:t>
            </w:r>
            <w:r>
              <w:rPr>
                <w:rFonts w:ascii="宋体" w:hAnsi="宋体" w:cs="宋体"/>
                <w:color w:val="auto"/>
                <w:kern w:val="0"/>
                <w:szCs w:val="21"/>
              </w:rPr>
              <w:br w:type="textWrapping"/>
            </w:r>
            <w:r>
              <w:rPr>
                <w:rFonts w:ascii="宋体" w:hAnsi="宋体" w:cs="宋体"/>
                <w:color w:val="auto"/>
                <w:kern w:val="0"/>
                <w:szCs w:val="21"/>
              </w:rPr>
              <w:t>4、热成像视频图像（1920×1080、1280*720、704*576、640*512、384*288、352*288、320*240）；</w:t>
            </w:r>
            <w:r>
              <w:rPr>
                <w:rFonts w:ascii="宋体" w:hAnsi="宋体" w:cs="宋体"/>
                <w:color w:val="auto"/>
                <w:kern w:val="0"/>
                <w:szCs w:val="21"/>
              </w:rPr>
              <w:br w:type="textWrapping"/>
            </w:r>
            <w:r>
              <w:rPr>
                <w:rFonts w:ascii="宋体" w:hAnsi="宋体" w:cs="宋体"/>
                <w:color w:val="auto"/>
                <w:kern w:val="0"/>
                <w:szCs w:val="21"/>
              </w:rPr>
              <w:t>5、</w:t>
            </w:r>
            <w:r>
              <w:rPr>
                <w:rFonts w:hint="eastAsia" w:ascii="宋体" w:hAnsi="宋体" w:cs="宋体"/>
                <w:color w:val="auto"/>
                <w:kern w:val="0"/>
                <w:szCs w:val="21"/>
              </w:rPr>
              <w:t>▲为降低电动车充电热成像相机误报率，可对指定目标触发的报警进行过滤，可进行报警过滤的目标类型可选择为叉车、挖掘机、推土机、卡车、吊车、排放气体、行人等；需提供公安部授权机构出具的检验报告证明文件并加盖原厂公章；</w:t>
            </w:r>
            <w:r>
              <w:rPr>
                <w:rFonts w:ascii="宋体" w:hAnsi="宋体" w:cs="宋体"/>
                <w:color w:val="auto"/>
                <w:kern w:val="0"/>
                <w:szCs w:val="21"/>
              </w:rPr>
              <w:br w:type="textWrapping"/>
            </w:r>
            <w:r>
              <w:rPr>
                <w:rFonts w:ascii="宋体" w:hAnsi="宋体" w:cs="宋体"/>
                <w:color w:val="auto"/>
                <w:kern w:val="0"/>
                <w:szCs w:val="21"/>
              </w:rPr>
              <w:t>6、可通过IE浏览器设置点、线、区域的颜色，点、线、区域测温中存在高于或者低于报警或预报警温度时，可进行报警提示，并发送邮件，联动录像及抓拍，支持声音联动报警和灯光联动报警功能；</w:t>
            </w:r>
            <w:r>
              <w:rPr>
                <w:rFonts w:ascii="宋体" w:hAnsi="宋体" w:cs="宋体"/>
                <w:color w:val="auto"/>
                <w:kern w:val="0"/>
                <w:szCs w:val="21"/>
              </w:rPr>
              <w:br w:type="textWrapping"/>
            </w:r>
            <w:r>
              <w:rPr>
                <w:rFonts w:ascii="宋体" w:hAnsi="宋体" w:cs="宋体"/>
                <w:color w:val="auto"/>
                <w:kern w:val="0"/>
                <w:szCs w:val="21"/>
              </w:rPr>
              <w:t>7、防护: IP67；</w:t>
            </w:r>
            <w:r>
              <w:rPr>
                <w:rFonts w:ascii="宋体" w:hAnsi="宋体" w:cs="宋体"/>
                <w:color w:val="auto"/>
                <w:kern w:val="0"/>
                <w:szCs w:val="21"/>
              </w:rPr>
              <w:br w:type="textWrapping"/>
            </w:r>
            <w:r>
              <w:rPr>
                <w:rFonts w:ascii="宋体" w:hAnsi="宋体" w:cs="宋体"/>
                <w:color w:val="auto"/>
                <w:kern w:val="0"/>
                <w:szCs w:val="21"/>
              </w:rPr>
              <w:t>8、含镜头、防护罩、电源、支架、避雷器等；</w:t>
            </w:r>
          </w:p>
        </w:tc>
        <w:tc>
          <w:tcPr>
            <w:tcW w:w="420"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大华</w:t>
            </w:r>
          </w:p>
        </w:tc>
        <w:tc>
          <w:tcPr>
            <w:tcW w:w="419"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宇视</w:t>
            </w:r>
          </w:p>
        </w:tc>
      </w:tr>
      <w:tr>
        <w:tblPrEx>
          <w:tblCellMar>
            <w:top w:w="0" w:type="dxa"/>
            <w:left w:w="108" w:type="dxa"/>
            <w:bottom w:w="0" w:type="dxa"/>
            <w:right w:w="108" w:type="dxa"/>
          </w:tblCellMar>
        </w:tblPrEx>
        <w:trPr>
          <w:trHeight w:val="1823"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23</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移动手持终端</w:t>
            </w:r>
          </w:p>
        </w:tc>
        <w:tc>
          <w:tcPr>
            <w:tcW w:w="383"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53</w:t>
            </w:r>
          </w:p>
        </w:tc>
        <w:tc>
          <w:tcPr>
            <w:tcW w:w="24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1、支持</w:t>
            </w:r>
            <w:r>
              <w:rPr>
                <w:rFonts w:hint="eastAsia" w:ascii="宋体" w:hAnsi="宋体" w:cs="宋体"/>
                <w:color w:val="auto"/>
                <w:kern w:val="0"/>
                <w:szCs w:val="21"/>
              </w:rPr>
              <w:t>二维码巡更方案，</w:t>
            </w:r>
            <w:r>
              <w:rPr>
                <w:rFonts w:ascii="宋体" w:hAnsi="宋体" w:cs="宋体"/>
                <w:color w:val="auto"/>
                <w:kern w:val="0"/>
                <w:szCs w:val="21"/>
              </w:rPr>
              <w:t xml:space="preserve"> </w:t>
            </w:r>
            <w:r>
              <w:rPr>
                <w:rFonts w:hint="eastAsia" w:ascii="宋体" w:hAnsi="宋体" w:cs="宋体"/>
                <w:color w:val="auto"/>
                <w:kern w:val="0"/>
                <w:szCs w:val="21"/>
              </w:rPr>
              <w:t>支持</w:t>
            </w:r>
            <w:r>
              <w:rPr>
                <w:rFonts w:ascii="宋体" w:hAnsi="宋体" w:cs="宋体"/>
                <w:color w:val="auto"/>
                <w:kern w:val="0"/>
                <w:szCs w:val="21"/>
              </w:rPr>
              <w:t>NFC读卡巡更方案</w:t>
            </w:r>
            <w:r>
              <w:rPr>
                <w:rFonts w:ascii="宋体" w:hAnsi="宋体" w:cs="宋体"/>
                <w:color w:val="auto"/>
                <w:kern w:val="0"/>
                <w:szCs w:val="21"/>
              </w:rPr>
              <w:br w:type="textWrapping"/>
            </w:r>
            <w:r>
              <w:rPr>
                <w:rFonts w:ascii="宋体" w:hAnsi="宋体" w:cs="宋体"/>
                <w:color w:val="auto"/>
                <w:kern w:val="0"/>
                <w:szCs w:val="21"/>
              </w:rPr>
              <w:t xml:space="preserve">2、 </w:t>
            </w:r>
            <w:r>
              <w:rPr>
                <w:rFonts w:hint="eastAsia" w:ascii="宋体" w:hAnsi="宋体" w:cs="宋体"/>
                <w:color w:val="auto"/>
                <w:kern w:val="0"/>
                <w:szCs w:val="21"/>
              </w:rPr>
              <w:t>支持</w:t>
            </w:r>
            <w:r>
              <w:rPr>
                <w:rFonts w:ascii="宋体" w:hAnsi="宋体" w:cs="宋体"/>
                <w:color w:val="auto"/>
                <w:kern w:val="0"/>
                <w:szCs w:val="21"/>
              </w:rPr>
              <w:t>NFC协议；</w:t>
            </w:r>
            <w:r>
              <w:rPr>
                <w:rFonts w:ascii="宋体" w:hAnsi="宋体" w:cs="宋体"/>
                <w:color w:val="auto"/>
                <w:kern w:val="0"/>
                <w:szCs w:val="21"/>
              </w:rPr>
              <w:br w:type="textWrapping"/>
            </w:r>
            <w:r>
              <w:rPr>
                <w:rFonts w:ascii="宋体" w:hAnsi="宋体" w:cs="宋体"/>
                <w:color w:val="auto"/>
                <w:kern w:val="0"/>
                <w:szCs w:val="21"/>
              </w:rPr>
              <w:t>3、前置摄像头800</w:t>
            </w:r>
            <w:r>
              <w:rPr>
                <w:rFonts w:hint="eastAsia" w:ascii="宋体" w:hAnsi="宋体" w:cs="宋体"/>
                <w:color w:val="auto"/>
                <w:kern w:val="0"/>
                <w:szCs w:val="21"/>
              </w:rPr>
              <w:t>万像素；后置摄像头</w:t>
            </w:r>
            <w:r>
              <w:rPr>
                <w:rFonts w:ascii="宋体" w:hAnsi="宋体" w:cs="宋体"/>
                <w:color w:val="auto"/>
                <w:kern w:val="0"/>
                <w:szCs w:val="21"/>
              </w:rPr>
              <w:t>1600</w:t>
            </w:r>
            <w:r>
              <w:rPr>
                <w:rFonts w:hint="eastAsia" w:ascii="宋体" w:hAnsi="宋体" w:cs="宋体"/>
                <w:color w:val="auto"/>
                <w:kern w:val="0"/>
                <w:szCs w:val="21"/>
              </w:rPr>
              <w:t>万像素；</w:t>
            </w:r>
            <w:r>
              <w:rPr>
                <w:rFonts w:ascii="宋体" w:hAnsi="宋体" w:cs="宋体"/>
                <w:color w:val="auto"/>
                <w:kern w:val="0"/>
                <w:szCs w:val="21"/>
              </w:rPr>
              <w:br w:type="textWrapping"/>
            </w:r>
            <w:r>
              <w:rPr>
                <w:rFonts w:ascii="宋体" w:hAnsi="宋体" w:cs="宋体"/>
                <w:color w:val="auto"/>
                <w:kern w:val="0"/>
                <w:szCs w:val="21"/>
              </w:rPr>
              <w:t>4、5.7英寸/FHD，2160*1080分辨率；</w:t>
            </w:r>
            <w:r>
              <w:rPr>
                <w:rFonts w:ascii="宋体" w:hAnsi="宋体" w:cs="宋体"/>
                <w:color w:val="auto"/>
                <w:kern w:val="0"/>
                <w:szCs w:val="21"/>
              </w:rPr>
              <w:br w:type="textWrapping"/>
            </w:r>
            <w:r>
              <w:rPr>
                <w:rFonts w:ascii="宋体" w:hAnsi="宋体" w:cs="宋体"/>
                <w:color w:val="auto"/>
                <w:kern w:val="0"/>
                <w:szCs w:val="21"/>
              </w:rPr>
              <w:t>5、8核1.8G/4GB LPDDR3+64GB eMMC；</w:t>
            </w:r>
            <w:r>
              <w:rPr>
                <w:rFonts w:ascii="宋体" w:hAnsi="宋体" w:cs="宋体"/>
                <w:color w:val="auto"/>
                <w:kern w:val="0"/>
                <w:szCs w:val="21"/>
              </w:rPr>
              <w:br w:type="textWrapping"/>
            </w:r>
            <w:r>
              <w:rPr>
                <w:rFonts w:ascii="宋体" w:hAnsi="宋体" w:cs="宋体"/>
                <w:color w:val="auto"/>
                <w:kern w:val="0"/>
                <w:szCs w:val="21"/>
              </w:rPr>
              <w:t xml:space="preserve">6、 </w:t>
            </w:r>
            <w:r>
              <w:rPr>
                <w:rFonts w:hint="eastAsia" w:ascii="宋体" w:hAnsi="宋体" w:cs="宋体"/>
                <w:color w:val="auto"/>
                <w:kern w:val="0"/>
                <w:szCs w:val="21"/>
              </w:rPr>
              <w:t>内置高灵敏度卫星定位模块，，支持</w:t>
            </w:r>
            <w:r>
              <w:rPr>
                <w:rFonts w:ascii="宋体" w:hAnsi="宋体" w:cs="宋体"/>
                <w:color w:val="auto"/>
                <w:kern w:val="0"/>
                <w:szCs w:val="21"/>
              </w:rPr>
              <w:t>GPS/北斗，精度3米以内；</w:t>
            </w:r>
            <w:r>
              <w:rPr>
                <w:rFonts w:ascii="宋体" w:hAnsi="宋体" w:cs="宋体"/>
                <w:color w:val="auto"/>
                <w:kern w:val="0"/>
                <w:szCs w:val="21"/>
              </w:rPr>
              <w:br w:type="textWrapping"/>
            </w:r>
            <w:r>
              <w:rPr>
                <w:rFonts w:ascii="宋体" w:hAnsi="宋体" w:cs="宋体"/>
                <w:color w:val="auto"/>
                <w:kern w:val="0"/>
                <w:szCs w:val="21"/>
              </w:rPr>
              <w:t xml:space="preserve">7、 </w:t>
            </w:r>
            <w:r>
              <w:rPr>
                <w:rFonts w:hint="eastAsia" w:ascii="宋体" w:hAnsi="宋体" w:cs="宋体"/>
                <w:color w:val="auto"/>
                <w:kern w:val="0"/>
                <w:szCs w:val="21"/>
              </w:rPr>
              <w:t>防水、防尘、防摔（</w:t>
            </w:r>
            <w:r>
              <w:rPr>
                <w:rFonts w:ascii="宋体" w:hAnsi="宋体" w:cs="宋体"/>
                <w:color w:val="auto"/>
                <w:kern w:val="0"/>
                <w:szCs w:val="21"/>
              </w:rPr>
              <w:t>IP68）；</w:t>
            </w:r>
            <w:r>
              <w:rPr>
                <w:rFonts w:ascii="宋体" w:hAnsi="宋体" w:cs="宋体"/>
                <w:color w:val="auto"/>
                <w:kern w:val="0"/>
                <w:szCs w:val="21"/>
              </w:rPr>
              <w:br w:type="textWrapping"/>
            </w:r>
            <w:r>
              <w:rPr>
                <w:rFonts w:ascii="宋体" w:hAnsi="宋体" w:cs="宋体"/>
                <w:color w:val="auto"/>
                <w:kern w:val="0"/>
                <w:szCs w:val="21"/>
              </w:rPr>
              <w:t>8、 4G全网通；</w:t>
            </w:r>
            <w:r>
              <w:rPr>
                <w:rFonts w:ascii="宋体" w:hAnsi="宋体" w:cs="宋体"/>
                <w:color w:val="auto"/>
                <w:kern w:val="0"/>
                <w:szCs w:val="21"/>
              </w:rPr>
              <w:br w:type="textWrapping"/>
            </w:r>
            <w:r>
              <w:rPr>
                <w:rFonts w:ascii="宋体" w:hAnsi="宋体" w:cs="宋体"/>
                <w:color w:val="auto"/>
                <w:kern w:val="0"/>
                <w:szCs w:val="21"/>
              </w:rPr>
              <w:t>9、带指纹识别前置式，具备HOME键（触摸式）功能；</w:t>
            </w:r>
          </w:p>
        </w:tc>
        <w:tc>
          <w:tcPr>
            <w:tcW w:w="420"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大华</w:t>
            </w:r>
          </w:p>
        </w:tc>
        <w:tc>
          <w:tcPr>
            <w:tcW w:w="41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宇视</w:t>
            </w:r>
          </w:p>
        </w:tc>
      </w:tr>
      <w:tr>
        <w:tblPrEx>
          <w:tblCellMar>
            <w:top w:w="0" w:type="dxa"/>
            <w:left w:w="108" w:type="dxa"/>
            <w:bottom w:w="0" w:type="dxa"/>
            <w:right w:w="108" w:type="dxa"/>
          </w:tblCellMar>
        </w:tblPrEx>
        <w:trPr>
          <w:trHeight w:val="1620"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24</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NFC标签</w:t>
            </w:r>
          </w:p>
        </w:tc>
        <w:tc>
          <w:tcPr>
            <w:tcW w:w="383"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53</w:t>
            </w:r>
          </w:p>
        </w:tc>
        <w:tc>
          <w:tcPr>
            <w:tcW w:w="24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盒</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NFC巡更打卡；</w:t>
            </w:r>
            <w:r>
              <w:rPr>
                <w:rFonts w:ascii="宋体" w:hAnsi="宋体" w:cs="宋体"/>
                <w:color w:val="auto"/>
                <w:kern w:val="0"/>
                <w:szCs w:val="21"/>
              </w:rPr>
              <w:br w:type="textWrapping"/>
            </w:r>
            <w:r>
              <w:rPr>
                <w:rFonts w:hint="eastAsia" w:ascii="宋体" w:hAnsi="宋体" w:cs="宋体"/>
                <w:color w:val="auto"/>
                <w:kern w:val="0"/>
                <w:szCs w:val="21"/>
              </w:rPr>
              <w:t>芯片：</w:t>
            </w:r>
            <w:r>
              <w:rPr>
                <w:rFonts w:ascii="宋体" w:hAnsi="宋体" w:cs="宋体"/>
                <w:color w:val="auto"/>
                <w:kern w:val="0"/>
                <w:szCs w:val="21"/>
              </w:rPr>
              <w:t>NTAG 213；内存：1344 bits；</w:t>
            </w:r>
            <w:r>
              <w:rPr>
                <w:rFonts w:ascii="宋体" w:hAnsi="宋体" w:cs="宋体"/>
                <w:color w:val="auto"/>
                <w:kern w:val="0"/>
                <w:szCs w:val="21"/>
              </w:rPr>
              <w:br w:type="textWrapping"/>
            </w:r>
            <w:r>
              <w:rPr>
                <w:rFonts w:hint="eastAsia" w:ascii="宋体" w:hAnsi="宋体" w:cs="宋体"/>
                <w:color w:val="auto"/>
                <w:kern w:val="0"/>
                <w:szCs w:val="21"/>
              </w:rPr>
              <w:t>识别距离：近距离</w:t>
            </w:r>
            <w:r>
              <w:rPr>
                <w:rFonts w:ascii="宋体" w:hAnsi="宋体" w:cs="宋体"/>
                <w:color w:val="auto"/>
                <w:kern w:val="0"/>
                <w:szCs w:val="21"/>
              </w:rPr>
              <w:br w:type="textWrapping"/>
            </w:r>
            <w:r>
              <w:rPr>
                <w:rFonts w:ascii="宋体" w:hAnsi="宋体" w:cs="宋体"/>
                <w:color w:val="auto"/>
                <w:kern w:val="0"/>
                <w:szCs w:val="21"/>
              </w:rPr>
              <w:t>RFID工作协议：ISO/IEC 14443A</w:t>
            </w:r>
            <w:r>
              <w:rPr>
                <w:rFonts w:ascii="宋体" w:hAnsi="宋体" w:cs="宋体"/>
                <w:color w:val="auto"/>
                <w:kern w:val="0"/>
                <w:szCs w:val="21"/>
              </w:rPr>
              <w:br w:type="textWrapping"/>
            </w:r>
            <w:r>
              <w:rPr>
                <w:rFonts w:hint="eastAsia" w:ascii="宋体" w:hAnsi="宋体" w:cs="宋体"/>
                <w:color w:val="auto"/>
                <w:kern w:val="0"/>
                <w:szCs w:val="21"/>
              </w:rPr>
              <w:t>工作频率：</w:t>
            </w:r>
            <w:r>
              <w:rPr>
                <w:rFonts w:ascii="宋体" w:hAnsi="宋体" w:cs="宋体"/>
                <w:color w:val="auto"/>
                <w:kern w:val="0"/>
                <w:szCs w:val="21"/>
              </w:rPr>
              <w:t>13.56M</w:t>
            </w:r>
            <w:r>
              <w:rPr>
                <w:rFonts w:ascii="宋体" w:hAnsi="宋体" w:cs="宋体"/>
                <w:color w:val="auto"/>
                <w:kern w:val="0"/>
                <w:szCs w:val="21"/>
              </w:rPr>
              <w:br w:type="textWrapping"/>
            </w:r>
            <w:r>
              <w:rPr>
                <w:rFonts w:hint="eastAsia" w:ascii="宋体" w:hAnsi="宋体" w:cs="宋体"/>
                <w:color w:val="auto"/>
                <w:kern w:val="0"/>
                <w:szCs w:val="21"/>
              </w:rPr>
              <w:t>背胶材料：高强度背胶</w:t>
            </w:r>
            <w:r>
              <w:rPr>
                <w:rFonts w:ascii="宋体" w:hAnsi="宋体" w:cs="宋体"/>
                <w:color w:val="auto"/>
                <w:kern w:val="0"/>
                <w:szCs w:val="21"/>
              </w:rPr>
              <w:br w:type="textWrapping"/>
            </w:r>
            <w:r>
              <w:rPr>
                <w:rFonts w:hint="eastAsia" w:ascii="宋体" w:hAnsi="宋体" w:cs="宋体"/>
                <w:color w:val="auto"/>
                <w:kern w:val="0"/>
                <w:szCs w:val="21"/>
              </w:rPr>
              <w:t>能耗标准：可读</w:t>
            </w:r>
            <w:r>
              <w:rPr>
                <w:rFonts w:ascii="宋体" w:hAnsi="宋体" w:cs="宋体"/>
                <w:color w:val="auto"/>
                <w:kern w:val="0"/>
                <w:szCs w:val="21"/>
              </w:rPr>
              <w:t>/写，循环100,000次数据保存：10年</w:t>
            </w:r>
            <w:r>
              <w:rPr>
                <w:rFonts w:ascii="宋体" w:hAnsi="宋体" w:cs="宋体"/>
                <w:color w:val="auto"/>
                <w:kern w:val="0"/>
                <w:szCs w:val="21"/>
              </w:rPr>
              <w:br w:type="textWrapping"/>
            </w:r>
            <w:r>
              <w:rPr>
                <w:rFonts w:hint="eastAsia" w:ascii="宋体" w:hAnsi="宋体" w:cs="宋体"/>
                <w:color w:val="auto"/>
                <w:kern w:val="0"/>
                <w:szCs w:val="21"/>
              </w:rPr>
              <w:t>信号类别：无源</w:t>
            </w:r>
          </w:p>
        </w:tc>
        <w:tc>
          <w:tcPr>
            <w:tcW w:w="42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2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1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r>
      <w:tr>
        <w:tblPrEx>
          <w:tblCellMar>
            <w:top w:w="0" w:type="dxa"/>
            <w:left w:w="108" w:type="dxa"/>
            <w:bottom w:w="0" w:type="dxa"/>
            <w:right w:w="108" w:type="dxa"/>
          </w:tblCellMar>
        </w:tblPrEx>
        <w:trPr>
          <w:trHeight w:val="60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25</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智慧门（含读卡机）</w:t>
            </w:r>
          </w:p>
        </w:tc>
        <w:tc>
          <w:tcPr>
            <w:tcW w:w="383"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28</w:t>
            </w:r>
          </w:p>
        </w:tc>
        <w:tc>
          <w:tcPr>
            <w:tcW w:w="24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扇</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通道宽度：根据实际情况定制；</w:t>
            </w:r>
            <w:r>
              <w:rPr>
                <w:rFonts w:ascii="宋体" w:hAnsi="宋体" w:cs="宋体"/>
                <w:color w:val="auto"/>
                <w:kern w:val="0"/>
                <w:szCs w:val="21"/>
              </w:rPr>
              <w:br w:type="textWrapping"/>
            </w:r>
            <w:r>
              <w:rPr>
                <w:rFonts w:hint="eastAsia" w:ascii="宋体" w:hAnsi="宋体" w:cs="宋体"/>
                <w:color w:val="auto"/>
                <w:kern w:val="0"/>
                <w:szCs w:val="21"/>
              </w:rPr>
              <w:t>驱动电机：直流无刷电机；</w:t>
            </w:r>
            <w:r>
              <w:rPr>
                <w:rFonts w:ascii="宋体" w:hAnsi="宋体" w:cs="宋体"/>
                <w:color w:val="auto"/>
                <w:kern w:val="0"/>
                <w:szCs w:val="21"/>
              </w:rPr>
              <w:br w:type="textWrapping"/>
            </w:r>
            <w:r>
              <w:rPr>
                <w:rFonts w:hint="eastAsia" w:ascii="宋体" w:hAnsi="宋体" w:cs="宋体"/>
                <w:color w:val="auto"/>
                <w:kern w:val="0"/>
                <w:szCs w:val="21"/>
              </w:rPr>
              <w:t>开门模式：遥控器</w:t>
            </w:r>
            <w:r>
              <w:rPr>
                <w:rFonts w:ascii="宋体" w:hAnsi="宋体" w:cs="宋体"/>
                <w:color w:val="auto"/>
                <w:kern w:val="0"/>
                <w:szCs w:val="21"/>
              </w:rPr>
              <w:t>/刷卡/人脸；</w:t>
            </w:r>
          </w:p>
        </w:tc>
        <w:tc>
          <w:tcPr>
            <w:tcW w:w="420"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大华</w:t>
            </w:r>
          </w:p>
        </w:tc>
        <w:tc>
          <w:tcPr>
            <w:tcW w:w="419"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宇视</w:t>
            </w:r>
          </w:p>
        </w:tc>
      </w:tr>
      <w:tr>
        <w:tblPrEx>
          <w:tblCellMar>
            <w:top w:w="0" w:type="dxa"/>
            <w:left w:w="108" w:type="dxa"/>
            <w:bottom w:w="0" w:type="dxa"/>
            <w:right w:w="108" w:type="dxa"/>
          </w:tblCellMar>
        </w:tblPrEx>
        <w:trPr>
          <w:trHeight w:val="130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26</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人脸机</w:t>
            </w:r>
          </w:p>
        </w:tc>
        <w:tc>
          <w:tcPr>
            <w:tcW w:w="383"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28</w:t>
            </w:r>
          </w:p>
        </w:tc>
        <w:tc>
          <w:tcPr>
            <w:tcW w:w="24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显示屏：</w:t>
            </w:r>
            <w:r>
              <w:rPr>
                <w:rFonts w:ascii="宋体" w:hAnsi="宋体" w:cs="宋体"/>
                <w:color w:val="auto"/>
                <w:kern w:val="0"/>
                <w:szCs w:val="21"/>
              </w:rPr>
              <w:t>7英寸液晶屏；</w:t>
            </w:r>
            <w:r>
              <w:rPr>
                <w:rFonts w:ascii="宋体" w:hAnsi="宋体" w:cs="宋体"/>
                <w:color w:val="auto"/>
                <w:kern w:val="0"/>
                <w:szCs w:val="21"/>
              </w:rPr>
              <w:br w:type="textWrapping"/>
            </w:r>
            <w:r>
              <w:rPr>
                <w:rFonts w:hint="eastAsia" w:ascii="宋体" w:hAnsi="宋体" w:cs="宋体"/>
                <w:color w:val="auto"/>
                <w:kern w:val="0"/>
                <w:szCs w:val="21"/>
              </w:rPr>
              <w:t>屏幕类型：电容触摸屏；</w:t>
            </w:r>
            <w:r>
              <w:rPr>
                <w:rFonts w:ascii="宋体" w:hAnsi="宋体" w:cs="宋体"/>
                <w:color w:val="auto"/>
                <w:kern w:val="0"/>
                <w:szCs w:val="21"/>
              </w:rPr>
              <w:br w:type="textWrapping"/>
            </w:r>
            <w:r>
              <w:rPr>
                <w:rFonts w:hint="eastAsia" w:ascii="宋体" w:hAnsi="宋体" w:cs="宋体"/>
                <w:color w:val="auto"/>
                <w:kern w:val="0"/>
                <w:szCs w:val="21"/>
              </w:rPr>
              <w:t>摄像头：</w:t>
            </w:r>
            <w:r>
              <w:rPr>
                <w:rFonts w:ascii="宋体" w:hAnsi="宋体" w:cs="宋体"/>
                <w:color w:val="auto"/>
                <w:kern w:val="0"/>
                <w:szCs w:val="21"/>
              </w:rPr>
              <w:t>1/2.8" 2MP CMOS高清双目摄像头；</w:t>
            </w:r>
            <w:r>
              <w:rPr>
                <w:rFonts w:ascii="宋体" w:hAnsi="宋体" w:cs="宋体"/>
                <w:color w:val="auto"/>
                <w:kern w:val="0"/>
                <w:szCs w:val="21"/>
              </w:rPr>
              <w:br w:type="textWrapping"/>
            </w:r>
            <w:r>
              <w:rPr>
                <w:rFonts w:hint="eastAsia" w:ascii="宋体" w:hAnsi="宋体" w:cs="宋体"/>
                <w:color w:val="auto"/>
                <w:kern w:val="0"/>
                <w:szCs w:val="21"/>
              </w:rPr>
              <w:t>广告播放：支持图文、视频广告播放；</w:t>
            </w:r>
            <w:r>
              <w:rPr>
                <w:rFonts w:ascii="宋体" w:hAnsi="宋体" w:cs="宋体"/>
                <w:color w:val="auto"/>
                <w:kern w:val="0"/>
                <w:szCs w:val="21"/>
              </w:rPr>
              <w:br w:type="textWrapping"/>
            </w:r>
            <w:r>
              <w:rPr>
                <w:rFonts w:hint="eastAsia" w:ascii="宋体" w:hAnsi="宋体" w:cs="宋体"/>
                <w:color w:val="auto"/>
                <w:kern w:val="0"/>
                <w:szCs w:val="21"/>
              </w:rPr>
              <w:t>开门模式：支持刷卡</w:t>
            </w:r>
            <w:r>
              <w:rPr>
                <w:rFonts w:ascii="宋体" w:hAnsi="宋体" w:cs="宋体"/>
                <w:color w:val="auto"/>
                <w:kern w:val="0"/>
                <w:szCs w:val="21"/>
              </w:rPr>
              <w:t>/密码/人脸识别开门模式；</w:t>
            </w:r>
            <w:r>
              <w:rPr>
                <w:rFonts w:ascii="宋体" w:hAnsi="宋体" w:cs="宋体"/>
                <w:color w:val="auto"/>
                <w:kern w:val="0"/>
                <w:szCs w:val="21"/>
              </w:rPr>
              <w:br w:type="textWrapping"/>
            </w:r>
            <w:r>
              <w:rPr>
                <w:rFonts w:hint="eastAsia" w:ascii="宋体" w:hAnsi="宋体" w:cs="宋体"/>
                <w:color w:val="auto"/>
                <w:kern w:val="0"/>
                <w:szCs w:val="21"/>
              </w:rPr>
              <w:t>人脸识别准确率：</w:t>
            </w:r>
            <w:r>
              <w:rPr>
                <w:rFonts w:ascii="宋体" w:hAnsi="宋体" w:cs="宋体"/>
                <w:color w:val="auto"/>
                <w:kern w:val="0"/>
                <w:szCs w:val="21"/>
              </w:rPr>
              <w:t>99.90%；人脸识别速度：0.2s；</w:t>
            </w:r>
            <w:r>
              <w:rPr>
                <w:rFonts w:ascii="宋体" w:hAnsi="宋体" w:cs="宋体"/>
                <w:color w:val="auto"/>
                <w:kern w:val="0"/>
                <w:szCs w:val="21"/>
              </w:rPr>
              <w:br w:type="textWrapping"/>
            </w:r>
            <w:r>
              <w:rPr>
                <w:rFonts w:hint="eastAsia" w:ascii="宋体" w:hAnsi="宋体" w:cs="宋体"/>
                <w:color w:val="auto"/>
                <w:kern w:val="0"/>
                <w:szCs w:val="21"/>
              </w:rPr>
              <w:t>用户容量：</w:t>
            </w:r>
            <w:r>
              <w:rPr>
                <w:rFonts w:ascii="宋体" w:hAnsi="宋体" w:cs="宋体"/>
                <w:color w:val="auto"/>
                <w:kern w:val="0"/>
                <w:szCs w:val="21"/>
              </w:rPr>
              <w:t>20000个；人脸容量：20000张；卡片容量：50000张；密码容量：20000个；存储记录数量：300000条；</w:t>
            </w:r>
            <w:r>
              <w:rPr>
                <w:rFonts w:ascii="宋体" w:hAnsi="宋体" w:cs="宋体"/>
                <w:color w:val="auto"/>
                <w:kern w:val="0"/>
                <w:szCs w:val="21"/>
              </w:rPr>
              <w:br w:type="textWrapping"/>
            </w:r>
            <w:r>
              <w:rPr>
                <w:rFonts w:ascii="宋体" w:hAnsi="宋体" w:cs="宋体"/>
                <w:color w:val="auto"/>
                <w:kern w:val="0"/>
                <w:szCs w:val="21"/>
              </w:rPr>
              <w:t>USB接口：1个USB2.0接口；网络接口：1个10Mbps/100Mbps自适应以太网口；报警输入：2路（开关量）；报警输出：1路（继电器）；报警联动：支持；防反潜：支持；</w:t>
            </w:r>
            <w:r>
              <w:rPr>
                <w:rFonts w:hint="eastAsia" w:ascii="宋体" w:hAnsi="宋体" w:cs="宋体"/>
                <w:color w:val="auto"/>
                <w:kern w:val="0"/>
                <w:szCs w:val="21"/>
              </w:rPr>
              <w:t>防拆报警：支持；胁迫报警：支持；门超时报警：支持；非法闯入报警：支持；非法卡超次报警：支持；</w:t>
            </w:r>
            <w:r>
              <w:rPr>
                <w:rFonts w:ascii="宋体" w:hAnsi="宋体" w:cs="宋体"/>
                <w:color w:val="auto"/>
                <w:kern w:val="0"/>
                <w:szCs w:val="21"/>
              </w:rPr>
              <w:br w:type="textWrapping"/>
            </w:r>
            <w:r>
              <w:rPr>
                <w:rFonts w:hint="eastAsia" w:ascii="宋体" w:hAnsi="宋体" w:cs="宋体"/>
                <w:color w:val="auto"/>
                <w:kern w:val="0"/>
                <w:szCs w:val="21"/>
              </w:rPr>
              <w:t>开门按钮：</w:t>
            </w:r>
            <w:r>
              <w:rPr>
                <w:rFonts w:ascii="宋体" w:hAnsi="宋体" w:cs="宋体"/>
                <w:color w:val="auto"/>
                <w:kern w:val="0"/>
                <w:szCs w:val="21"/>
              </w:rPr>
              <w:t>1路；</w:t>
            </w:r>
            <w:r>
              <w:rPr>
                <w:rFonts w:hint="eastAsia" w:ascii="宋体" w:hAnsi="宋体" w:cs="宋体"/>
                <w:color w:val="auto"/>
                <w:kern w:val="0"/>
                <w:szCs w:val="21"/>
              </w:rPr>
              <w:t>门状态检测：</w:t>
            </w:r>
            <w:r>
              <w:rPr>
                <w:rFonts w:ascii="宋体" w:hAnsi="宋体" w:cs="宋体"/>
                <w:color w:val="auto"/>
                <w:kern w:val="0"/>
                <w:szCs w:val="21"/>
              </w:rPr>
              <w:t>1路；门锁控制：1路；</w:t>
            </w:r>
            <w:r>
              <w:rPr>
                <w:rFonts w:ascii="宋体" w:hAnsi="宋体" w:cs="宋体"/>
                <w:color w:val="auto"/>
                <w:kern w:val="0"/>
                <w:szCs w:val="21"/>
              </w:rPr>
              <w:br w:type="textWrapping"/>
            </w:r>
            <w:r>
              <w:rPr>
                <w:rFonts w:hint="eastAsia" w:ascii="宋体" w:hAnsi="宋体" w:cs="宋体"/>
                <w:color w:val="auto"/>
                <w:kern w:val="0"/>
                <w:szCs w:val="21"/>
              </w:rPr>
              <w:t>供电方式：</w:t>
            </w:r>
            <w:r>
              <w:rPr>
                <w:rFonts w:ascii="宋体" w:hAnsi="宋体" w:cs="宋体"/>
                <w:color w:val="auto"/>
                <w:kern w:val="0"/>
                <w:szCs w:val="21"/>
              </w:rPr>
              <w:t>DC 12V  2A；</w:t>
            </w:r>
          </w:p>
        </w:tc>
        <w:tc>
          <w:tcPr>
            <w:tcW w:w="420"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大华</w:t>
            </w:r>
          </w:p>
        </w:tc>
        <w:tc>
          <w:tcPr>
            <w:tcW w:w="41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宇视</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27</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人脸门禁护罩</w:t>
            </w:r>
          </w:p>
        </w:tc>
        <w:tc>
          <w:tcPr>
            <w:tcW w:w="38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28</w:t>
            </w:r>
          </w:p>
        </w:tc>
        <w:tc>
          <w:tcPr>
            <w:tcW w:w="2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定制亚克力护罩尺寸：定制双层内衬透明面板</w:t>
            </w:r>
          </w:p>
        </w:tc>
        <w:tc>
          <w:tcPr>
            <w:tcW w:w="42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2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1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r>
      <w:tr>
        <w:tblPrEx>
          <w:tblCellMar>
            <w:top w:w="0" w:type="dxa"/>
            <w:left w:w="108" w:type="dxa"/>
            <w:bottom w:w="0" w:type="dxa"/>
            <w:right w:w="108" w:type="dxa"/>
          </w:tblCellMar>
        </w:tblPrEx>
        <w:trPr>
          <w:trHeight w:val="810"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28</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支架</w:t>
            </w:r>
          </w:p>
        </w:tc>
        <w:tc>
          <w:tcPr>
            <w:tcW w:w="383"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28</w:t>
            </w:r>
          </w:p>
        </w:tc>
        <w:tc>
          <w:tcPr>
            <w:tcW w:w="249"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使用环境：室内</w:t>
            </w:r>
            <w:r>
              <w:rPr>
                <w:rFonts w:ascii="宋体" w:hAnsi="宋体" w:cs="宋体"/>
                <w:color w:val="auto"/>
                <w:kern w:val="0"/>
                <w:szCs w:val="21"/>
              </w:rPr>
              <w:t>;室外；</w:t>
            </w:r>
            <w:r>
              <w:rPr>
                <w:rFonts w:ascii="宋体" w:hAnsi="宋体" w:cs="宋体"/>
                <w:color w:val="auto"/>
                <w:kern w:val="0"/>
                <w:szCs w:val="21"/>
              </w:rPr>
              <w:br w:type="textWrapping"/>
            </w:r>
            <w:r>
              <w:rPr>
                <w:rFonts w:hint="eastAsia" w:ascii="宋体" w:hAnsi="宋体" w:cs="宋体"/>
                <w:color w:val="auto"/>
                <w:kern w:val="0"/>
                <w:szCs w:val="21"/>
              </w:rPr>
              <w:t>外壳材料：镀锌管；</w:t>
            </w:r>
            <w:r>
              <w:rPr>
                <w:rFonts w:ascii="宋体" w:hAnsi="宋体" w:cs="宋体"/>
                <w:color w:val="auto"/>
                <w:kern w:val="0"/>
                <w:szCs w:val="21"/>
              </w:rPr>
              <w:br w:type="textWrapping"/>
            </w:r>
            <w:r>
              <w:rPr>
                <w:rFonts w:hint="eastAsia" w:ascii="宋体" w:hAnsi="宋体" w:cs="宋体"/>
                <w:color w:val="auto"/>
                <w:kern w:val="0"/>
                <w:szCs w:val="21"/>
              </w:rPr>
              <w:t>产品尺寸：根据实际情况定制；</w:t>
            </w:r>
            <w:r>
              <w:rPr>
                <w:rFonts w:ascii="宋体" w:hAnsi="宋体" w:cs="宋体"/>
                <w:color w:val="auto"/>
                <w:kern w:val="0"/>
                <w:szCs w:val="21"/>
              </w:rPr>
              <w:br w:type="textWrapping"/>
            </w:r>
            <w:r>
              <w:rPr>
                <w:rFonts w:hint="eastAsia" w:ascii="宋体" w:hAnsi="宋体" w:cs="宋体"/>
                <w:color w:val="auto"/>
                <w:kern w:val="0"/>
                <w:szCs w:val="21"/>
              </w:rPr>
              <w:t>安装方式：地面安装</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r>
      <w:tr>
        <w:tblPrEx>
          <w:tblCellMar>
            <w:top w:w="0" w:type="dxa"/>
            <w:left w:w="108" w:type="dxa"/>
            <w:bottom w:w="0" w:type="dxa"/>
            <w:right w:w="108" w:type="dxa"/>
          </w:tblCellMar>
        </w:tblPrEx>
        <w:trPr>
          <w:trHeight w:val="121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29</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人脸采集器</w:t>
            </w:r>
          </w:p>
        </w:tc>
        <w:tc>
          <w:tcPr>
            <w:tcW w:w="383"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28</w:t>
            </w:r>
          </w:p>
        </w:tc>
        <w:tc>
          <w:tcPr>
            <w:tcW w:w="24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外观：</w:t>
            </w:r>
            <w:r>
              <w:rPr>
                <w:rFonts w:ascii="宋体" w:hAnsi="宋体" w:cs="宋体"/>
                <w:color w:val="auto"/>
                <w:kern w:val="0"/>
                <w:szCs w:val="21"/>
              </w:rPr>
              <w:t>USB；</w:t>
            </w:r>
            <w:r>
              <w:rPr>
                <w:rFonts w:ascii="宋体" w:hAnsi="宋体" w:cs="宋体"/>
                <w:color w:val="auto"/>
                <w:kern w:val="0"/>
                <w:szCs w:val="21"/>
              </w:rPr>
              <w:br w:type="textWrapping"/>
            </w:r>
            <w:r>
              <w:rPr>
                <w:rFonts w:hint="eastAsia" w:ascii="宋体" w:hAnsi="宋体" w:cs="宋体"/>
                <w:color w:val="auto"/>
                <w:kern w:val="0"/>
                <w:szCs w:val="21"/>
              </w:rPr>
              <w:t>像素：</w:t>
            </w:r>
            <w:r>
              <w:rPr>
                <w:rFonts w:ascii="宋体" w:hAnsi="宋体" w:cs="宋体"/>
                <w:color w:val="auto"/>
                <w:kern w:val="0"/>
                <w:szCs w:val="21"/>
              </w:rPr>
              <w:t>200万；</w:t>
            </w:r>
            <w:r>
              <w:rPr>
                <w:rFonts w:ascii="宋体" w:hAnsi="宋体" w:cs="宋体"/>
                <w:color w:val="auto"/>
                <w:kern w:val="0"/>
                <w:szCs w:val="21"/>
              </w:rPr>
              <w:br w:type="textWrapping"/>
            </w:r>
            <w:r>
              <w:rPr>
                <w:rFonts w:hint="eastAsia" w:ascii="宋体" w:hAnsi="宋体" w:cs="宋体"/>
                <w:color w:val="auto"/>
                <w:kern w:val="0"/>
                <w:szCs w:val="21"/>
              </w:rPr>
              <w:t>镜头焦距：</w:t>
            </w:r>
            <w:r>
              <w:rPr>
                <w:rFonts w:ascii="宋体" w:hAnsi="宋体" w:cs="宋体"/>
                <w:color w:val="auto"/>
                <w:kern w:val="0"/>
                <w:szCs w:val="21"/>
              </w:rPr>
              <w:t>3.6mm；</w:t>
            </w:r>
            <w:r>
              <w:rPr>
                <w:rFonts w:ascii="宋体" w:hAnsi="宋体" w:cs="宋体"/>
                <w:color w:val="auto"/>
                <w:kern w:val="0"/>
                <w:szCs w:val="21"/>
              </w:rPr>
              <w:br w:type="textWrapping"/>
            </w:r>
            <w:r>
              <w:rPr>
                <w:rFonts w:hint="eastAsia" w:ascii="宋体" w:hAnsi="宋体" w:cs="宋体"/>
                <w:color w:val="auto"/>
                <w:kern w:val="0"/>
                <w:szCs w:val="21"/>
              </w:rPr>
              <w:t>传感器类型：</w:t>
            </w:r>
            <w:r>
              <w:rPr>
                <w:rFonts w:ascii="宋体" w:hAnsi="宋体" w:cs="宋体"/>
                <w:color w:val="auto"/>
                <w:kern w:val="0"/>
                <w:szCs w:val="21"/>
              </w:rPr>
              <w:t>1/4英寸CMOS；</w:t>
            </w:r>
            <w:r>
              <w:rPr>
                <w:rFonts w:ascii="宋体" w:hAnsi="宋体" w:cs="宋体"/>
                <w:color w:val="auto"/>
                <w:kern w:val="0"/>
                <w:szCs w:val="21"/>
              </w:rPr>
              <w:br w:type="textWrapping"/>
            </w:r>
            <w:r>
              <w:rPr>
                <w:rFonts w:hint="eastAsia" w:ascii="宋体" w:hAnsi="宋体" w:cs="宋体"/>
                <w:color w:val="auto"/>
                <w:kern w:val="0"/>
                <w:szCs w:val="21"/>
              </w:rPr>
              <w:t>镜头类型：定焦；</w:t>
            </w:r>
            <w:r>
              <w:rPr>
                <w:rFonts w:ascii="宋体" w:hAnsi="宋体" w:cs="宋体"/>
                <w:color w:val="auto"/>
                <w:kern w:val="0"/>
                <w:szCs w:val="21"/>
              </w:rPr>
              <w:br w:type="textWrapping"/>
            </w:r>
            <w:r>
              <w:rPr>
                <w:rFonts w:hint="eastAsia" w:ascii="宋体" w:hAnsi="宋体" w:cs="宋体"/>
                <w:color w:val="auto"/>
                <w:kern w:val="0"/>
                <w:szCs w:val="21"/>
              </w:rPr>
              <w:t>供电方式：</w:t>
            </w:r>
            <w:r>
              <w:rPr>
                <w:rFonts w:ascii="宋体" w:hAnsi="宋体" w:cs="宋体"/>
                <w:color w:val="auto"/>
                <w:kern w:val="0"/>
                <w:szCs w:val="21"/>
              </w:rPr>
              <w:t>USB5V</w:t>
            </w:r>
          </w:p>
        </w:tc>
        <w:tc>
          <w:tcPr>
            <w:tcW w:w="420"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大华</w:t>
            </w:r>
          </w:p>
        </w:tc>
        <w:tc>
          <w:tcPr>
            <w:tcW w:w="419"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宇视</w:t>
            </w:r>
          </w:p>
        </w:tc>
      </w:tr>
      <w:tr>
        <w:tblPrEx>
          <w:tblCellMar>
            <w:top w:w="0" w:type="dxa"/>
            <w:left w:w="108" w:type="dxa"/>
            <w:bottom w:w="0" w:type="dxa"/>
            <w:right w:w="108" w:type="dxa"/>
          </w:tblCellMar>
        </w:tblPrEx>
        <w:trPr>
          <w:trHeight w:val="141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30</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发卡器</w:t>
            </w:r>
          </w:p>
        </w:tc>
        <w:tc>
          <w:tcPr>
            <w:tcW w:w="383"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28</w:t>
            </w:r>
          </w:p>
        </w:tc>
        <w:tc>
          <w:tcPr>
            <w:tcW w:w="24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发卡距离：</w:t>
            </w:r>
            <w:r>
              <w:rPr>
                <w:rFonts w:ascii="宋体" w:hAnsi="宋体" w:cs="宋体"/>
                <w:color w:val="auto"/>
                <w:kern w:val="0"/>
                <w:szCs w:val="21"/>
              </w:rPr>
              <w:t>3cm～5cm；</w:t>
            </w:r>
            <w:r>
              <w:rPr>
                <w:rFonts w:ascii="宋体" w:hAnsi="宋体" w:cs="宋体"/>
                <w:color w:val="auto"/>
                <w:kern w:val="0"/>
                <w:szCs w:val="21"/>
              </w:rPr>
              <w:br w:type="textWrapping"/>
            </w:r>
            <w:r>
              <w:rPr>
                <w:rFonts w:hint="eastAsia" w:ascii="宋体" w:hAnsi="宋体" w:cs="宋体"/>
                <w:color w:val="auto"/>
                <w:kern w:val="0"/>
                <w:szCs w:val="21"/>
              </w:rPr>
              <w:t>读卡频率：</w:t>
            </w:r>
            <w:r>
              <w:rPr>
                <w:rFonts w:ascii="宋体" w:hAnsi="宋体" w:cs="宋体"/>
                <w:color w:val="auto"/>
                <w:kern w:val="0"/>
                <w:szCs w:val="21"/>
              </w:rPr>
              <w:t>13.56MHz；</w:t>
            </w:r>
            <w:r>
              <w:rPr>
                <w:rFonts w:ascii="宋体" w:hAnsi="宋体" w:cs="宋体"/>
                <w:color w:val="auto"/>
                <w:kern w:val="0"/>
                <w:szCs w:val="21"/>
              </w:rPr>
              <w:br w:type="textWrapping"/>
            </w:r>
            <w:r>
              <w:rPr>
                <w:rFonts w:hint="eastAsia" w:ascii="宋体" w:hAnsi="宋体" w:cs="宋体"/>
                <w:color w:val="auto"/>
                <w:kern w:val="0"/>
                <w:szCs w:val="21"/>
              </w:rPr>
              <w:t>主处理器：高性能嵌入式处理器；</w:t>
            </w:r>
            <w:r>
              <w:rPr>
                <w:rFonts w:ascii="宋体" w:hAnsi="宋体" w:cs="宋体"/>
                <w:color w:val="auto"/>
                <w:kern w:val="0"/>
                <w:szCs w:val="21"/>
              </w:rPr>
              <w:br w:type="textWrapping"/>
            </w:r>
            <w:r>
              <w:rPr>
                <w:rFonts w:hint="eastAsia" w:ascii="宋体" w:hAnsi="宋体" w:cs="宋体"/>
                <w:color w:val="auto"/>
                <w:kern w:val="0"/>
                <w:szCs w:val="21"/>
              </w:rPr>
              <w:t>供电方式：</w:t>
            </w:r>
            <w:r>
              <w:rPr>
                <w:rFonts w:ascii="宋体" w:hAnsi="宋体" w:cs="宋体"/>
                <w:color w:val="auto"/>
                <w:kern w:val="0"/>
                <w:szCs w:val="21"/>
              </w:rPr>
              <w:t>DC 5V 0.5A；</w:t>
            </w:r>
            <w:r>
              <w:rPr>
                <w:rFonts w:ascii="宋体" w:hAnsi="宋体" w:cs="宋体"/>
                <w:color w:val="auto"/>
                <w:kern w:val="0"/>
                <w:szCs w:val="21"/>
              </w:rPr>
              <w:br w:type="textWrapping"/>
            </w:r>
            <w:r>
              <w:rPr>
                <w:rFonts w:hint="eastAsia" w:ascii="宋体" w:hAnsi="宋体" w:cs="宋体"/>
                <w:color w:val="auto"/>
                <w:kern w:val="0"/>
                <w:szCs w:val="21"/>
              </w:rPr>
              <w:t>发卡类型：支持</w:t>
            </w:r>
            <w:r>
              <w:rPr>
                <w:rFonts w:ascii="宋体" w:hAnsi="宋体" w:cs="宋体"/>
                <w:color w:val="auto"/>
                <w:kern w:val="0"/>
                <w:szCs w:val="21"/>
              </w:rPr>
              <w:t>IC卡(Mifare卡)的发卡；</w:t>
            </w:r>
            <w:r>
              <w:rPr>
                <w:rFonts w:ascii="宋体" w:hAnsi="宋体" w:cs="宋体"/>
                <w:color w:val="auto"/>
                <w:kern w:val="0"/>
                <w:szCs w:val="21"/>
              </w:rPr>
              <w:br w:type="textWrapping"/>
            </w:r>
            <w:r>
              <w:rPr>
                <w:rFonts w:hint="eastAsia" w:ascii="宋体" w:hAnsi="宋体" w:cs="宋体"/>
                <w:color w:val="auto"/>
                <w:kern w:val="0"/>
                <w:szCs w:val="21"/>
              </w:rPr>
              <w:t>产品款式：发卡器；</w:t>
            </w:r>
            <w:r>
              <w:rPr>
                <w:rFonts w:ascii="宋体" w:hAnsi="宋体" w:cs="宋体"/>
                <w:color w:val="auto"/>
                <w:kern w:val="0"/>
                <w:szCs w:val="21"/>
              </w:rPr>
              <w:br w:type="textWrapping"/>
            </w:r>
            <w:r>
              <w:rPr>
                <w:rFonts w:hint="eastAsia" w:ascii="宋体" w:hAnsi="宋体" w:cs="宋体"/>
                <w:color w:val="auto"/>
                <w:kern w:val="0"/>
                <w:szCs w:val="21"/>
              </w:rPr>
              <w:t>外壳材料：</w:t>
            </w:r>
            <w:r>
              <w:rPr>
                <w:rFonts w:ascii="宋体" w:hAnsi="宋体" w:cs="宋体"/>
                <w:color w:val="auto"/>
                <w:kern w:val="0"/>
                <w:szCs w:val="21"/>
              </w:rPr>
              <w:t>PC+ABS</w:t>
            </w:r>
          </w:p>
        </w:tc>
        <w:tc>
          <w:tcPr>
            <w:tcW w:w="420"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大华</w:t>
            </w:r>
          </w:p>
        </w:tc>
        <w:tc>
          <w:tcPr>
            <w:tcW w:w="41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宇视</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31</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IC钥匙扣</w:t>
            </w:r>
          </w:p>
        </w:tc>
        <w:tc>
          <w:tcPr>
            <w:tcW w:w="38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84000</w:t>
            </w:r>
          </w:p>
        </w:tc>
        <w:tc>
          <w:tcPr>
            <w:tcW w:w="2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蓝色</w:t>
            </w:r>
            <w:r>
              <w:rPr>
                <w:rFonts w:ascii="宋体" w:hAnsi="宋体" w:cs="宋体"/>
                <w:color w:val="auto"/>
                <w:kern w:val="0"/>
                <w:szCs w:val="21"/>
              </w:rPr>
              <w:t xml:space="preserve"> </w:t>
            </w:r>
            <w:r>
              <w:rPr>
                <w:rFonts w:hint="eastAsia" w:ascii="宋体" w:hAnsi="宋体" w:cs="宋体"/>
                <w:color w:val="auto"/>
                <w:kern w:val="0"/>
                <w:szCs w:val="21"/>
              </w:rPr>
              <w:t>塑料</w:t>
            </w:r>
          </w:p>
        </w:tc>
        <w:tc>
          <w:tcPr>
            <w:tcW w:w="42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2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1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r>
      <w:tr>
        <w:tblPrEx>
          <w:tblCellMar>
            <w:top w:w="0" w:type="dxa"/>
            <w:left w:w="108" w:type="dxa"/>
            <w:bottom w:w="0" w:type="dxa"/>
            <w:right w:w="108" w:type="dxa"/>
          </w:tblCellMar>
        </w:tblPrEx>
        <w:trPr>
          <w:trHeight w:val="141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32</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磁力锁</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28</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铝合金材质，电镀拉丝工艺；</w:t>
            </w:r>
            <w:r>
              <w:rPr>
                <w:rFonts w:ascii="宋体" w:hAnsi="宋体" w:cs="宋体"/>
                <w:color w:val="auto"/>
                <w:kern w:val="0"/>
                <w:szCs w:val="21"/>
              </w:rPr>
              <w:br w:type="textWrapping"/>
            </w:r>
            <w:r>
              <w:rPr>
                <w:rFonts w:hint="eastAsia" w:ascii="宋体" w:hAnsi="宋体" w:cs="宋体"/>
                <w:color w:val="auto"/>
                <w:kern w:val="0"/>
                <w:szCs w:val="21"/>
              </w:rPr>
              <w:t>安全类型：断电开门；</w:t>
            </w:r>
            <w:r>
              <w:rPr>
                <w:rFonts w:ascii="宋体" w:hAnsi="宋体" w:cs="宋体"/>
                <w:color w:val="auto"/>
                <w:kern w:val="0"/>
                <w:szCs w:val="21"/>
              </w:rPr>
              <w:br w:type="textWrapping"/>
            </w:r>
            <w:r>
              <w:rPr>
                <w:rFonts w:hint="eastAsia" w:ascii="宋体" w:hAnsi="宋体" w:cs="宋体"/>
                <w:color w:val="auto"/>
                <w:kern w:val="0"/>
                <w:szCs w:val="21"/>
              </w:rPr>
              <w:t>最大拉力：</w:t>
            </w:r>
            <w:r>
              <w:rPr>
                <w:rFonts w:ascii="宋体" w:hAnsi="宋体" w:cs="宋体"/>
                <w:color w:val="auto"/>
                <w:kern w:val="0"/>
                <w:szCs w:val="21"/>
              </w:rPr>
              <w:t>280kg（600Lbs）直线拉力；</w:t>
            </w:r>
            <w:r>
              <w:rPr>
                <w:rFonts w:ascii="宋体" w:hAnsi="宋体" w:cs="宋体"/>
                <w:color w:val="auto"/>
                <w:kern w:val="0"/>
                <w:szCs w:val="21"/>
              </w:rPr>
              <w:br w:type="textWrapping"/>
            </w:r>
            <w:r>
              <w:rPr>
                <w:rFonts w:hint="eastAsia" w:ascii="宋体" w:hAnsi="宋体" w:cs="宋体"/>
                <w:color w:val="auto"/>
                <w:kern w:val="0"/>
                <w:szCs w:val="21"/>
              </w:rPr>
              <w:t>开门角度：</w:t>
            </w:r>
            <w:r>
              <w:rPr>
                <w:rFonts w:ascii="宋体" w:hAnsi="宋体" w:cs="宋体"/>
                <w:color w:val="auto"/>
                <w:kern w:val="0"/>
                <w:szCs w:val="21"/>
              </w:rPr>
              <w:t>90°；</w:t>
            </w:r>
            <w:r>
              <w:rPr>
                <w:rFonts w:ascii="宋体" w:hAnsi="宋体" w:cs="宋体"/>
                <w:color w:val="auto"/>
                <w:kern w:val="0"/>
                <w:szCs w:val="21"/>
              </w:rPr>
              <w:br w:type="textWrapping"/>
            </w:r>
            <w:r>
              <w:rPr>
                <w:rFonts w:hint="eastAsia" w:ascii="宋体" w:hAnsi="宋体" w:cs="宋体"/>
                <w:color w:val="auto"/>
                <w:kern w:val="0"/>
                <w:szCs w:val="21"/>
              </w:rPr>
              <w:t>适用门厚：</w:t>
            </w:r>
            <w:r>
              <w:rPr>
                <w:rFonts w:ascii="宋体" w:hAnsi="宋体" w:cs="宋体"/>
                <w:color w:val="auto"/>
                <w:kern w:val="0"/>
                <w:szCs w:val="21"/>
              </w:rPr>
              <w:t>5cm（可扩展至15cm）；</w:t>
            </w:r>
            <w:r>
              <w:rPr>
                <w:rFonts w:ascii="宋体" w:hAnsi="宋体" w:cs="宋体"/>
                <w:color w:val="auto"/>
                <w:kern w:val="0"/>
                <w:szCs w:val="21"/>
              </w:rPr>
              <w:br w:type="textWrapping"/>
            </w:r>
            <w:r>
              <w:rPr>
                <w:rFonts w:hint="eastAsia" w:ascii="宋体" w:hAnsi="宋体" w:cs="宋体"/>
                <w:color w:val="auto"/>
                <w:kern w:val="0"/>
                <w:szCs w:val="21"/>
              </w:rPr>
              <w:t>启动电流：</w:t>
            </w:r>
            <w:r>
              <w:rPr>
                <w:rFonts w:ascii="宋体" w:hAnsi="宋体" w:cs="宋体"/>
                <w:color w:val="auto"/>
                <w:kern w:val="0"/>
                <w:szCs w:val="21"/>
              </w:rPr>
              <w:t>1100(mA)；</w:t>
            </w:r>
            <w:r>
              <w:rPr>
                <w:rFonts w:ascii="宋体" w:hAnsi="宋体" w:cs="宋体"/>
                <w:color w:val="auto"/>
                <w:kern w:val="0"/>
                <w:szCs w:val="21"/>
              </w:rPr>
              <w:br w:type="textWrapping"/>
            </w:r>
            <w:r>
              <w:rPr>
                <w:rFonts w:hint="eastAsia" w:ascii="宋体" w:hAnsi="宋体" w:cs="宋体"/>
                <w:color w:val="auto"/>
                <w:kern w:val="0"/>
                <w:szCs w:val="21"/>
              </w:rPr>
              <w:t>使用寿命：不低于</w:t>
            </w:r>
            <w:r>
              <w:rPr>
                <w:rFonts w:ascii="宋体" w:hAnsi="宋体" w:cs="宋体"/>
                <w:color w:val="auto"/>
                <w:kern w:val="0"/>
                <w:szCs w:val="21"/>
              </w:rPr>
              <w:t>4万次；</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r>
      <w:tr>
        <w:tblPrEx>
          <w:tblCellMar>
            <w:top w:w="0" w:type="dxa"/>
            <w:left w:w="108" w:type="dxa"/>
            <w:bottom w:w="0" w:type="dxa"/>
            <w:right w:w="108" w:type="dxa"/>
          </w:tblCellMar>
        </w:tblPrEx>
        <w:trPr>
          <w:trHeight w:val="40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33</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出门按钮</w:t>
            </w:r>
          </w:p>
        </w:tc>
        <w:tc>
          <w:tcPr>
            <w:tcW w:w="383"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28</w:t>
            </w:r>
          </w:p>
        </w:tc>
        <w:tc>
          <w:tcPr>
            <w:tcW w:w="249"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防水等级</w:t>
            </w:r>
            <w:r>
              <w:rPr>
                <w:rFonts w:ascii="宋体" w:hAnsi="宋体" w:cs="宋体"/>
                <w:color w:val="auto"/>
                <w:kern w:val="0"/>
                <w:szCs w:val="21"/>
              </w:rPr>
              <w:t xml:space="preserve"> IP68，防尘；不锈钢面板、金属按钮；LED灯：通电亮灯，常亮绿色；材质：镀锌板/T=1.2mm</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r>
      <w:tr>
        <w:tblPrEx>
          <w:tblCellMar>
            <w:top w:w="0" w:type="dxa"/>
            <w:left w:w="108" w:type="dxa"/>
            <w:bottom w:w="0" w:type="dxa"/>
            <w:right w:w="108" w:type="dxa"/>
          </w:tblCellMar>
        </w:tblPrEx>
        <w:trPr>
          <w:trHeight w:val="40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34</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电源</w:t>
            </w:r>
          </w:p>
        </w:tc>
        <w:tc>
          <w:tcPr>
            <w:tcW w:w="38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28</w:t>
            </w:r>
          </w:p>
        </w:tc>
        <w:tc>
          <w:tcPr>
            <w:tcW w:w="2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输出</w:t>
            </w:r>
            <w:r>
              <w:rPr>
                <w:rFonts w:ascii="宋体" w:hAnsi="宋体" w:cs="宋体"/>
                <w:color w:val="auto"/>
                <w:kern w:val="0"/>
                <w:szCs w:val="21"/>
              </w:rPr>
              <w:t>:12V 2.0A</w:t>
            </w:r>
            <w:r>
              <w:rPr>
                <w:rFonts w:ascii="宋体" w:hAnsi="宋体" w:cs="宋体"/>
                <w:color w:val="auto"/>
                <w:kern w:val="0"/>
                <w:szCs w:val="21"/>
              </w:rPr>
              <w:br w:type="textWrapping"/>
            </w:r>
            <w:r>
              <w:rPr>
                <w:rFonts w:hint="eastAsia" w:ascii="宋体" w:hAnsi="宋体" w:cs="宋体"/>
                <w:color w:val="auto"/>
                <w:kern w:val="0"/>
                <w:szCs w:val="21"/>
              </w:rPr>
              <w:t>输入</w:t>
            </w:r>
            <w:r>
              <w:rPr>
                <w:rFonts w:ascii="宋体" w:hAnsi="宋体" w:cs="宋体"/>
                <w:color w:val="auto"/>
                <w:kern w:val="0"/>
                <w:szCs w:val="21"/>
              </w:rPr>
              <w:t>:100-240V ~50/60Hz</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r>
      <w:tr>
        <w:tblPrEx>
          <w:tblCellMar>
            <w:top w:w="0" w:type="dxa"/>
            <w:left w:w="108" w:type="dxa"/>
            <w:bottom w:w="0" w:type="dxa"/>
            <w:right w:w="108" w:type="dxa"/>
          </w:tblCellMar>
        </w:tblPrEx>
        <w:trPr>
          <w:trHeight w:val="2430"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35</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网络硬盘录像机</w:t>
            </w:r>
            <w:r>
              <w:rPr>
                <w:rFonts w:ascii="宋体" w:hAnsi="宋体" w:cs="宋体"/>
                <w:color w:val="auto"/>
                <w:kern w:val="0"/>
                <w:szCs w:val="21"/>
              </w:rPr>
              <w:t>8路</w:t>
            </w:r>
          </w:p>
        </w:tc>
        <w:tc>
          <w:tcPr>
            <w:tcW w:w="383"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180</w:t>
            </w:r>
          </w:p>
        </w:tc>
        <w:tc>
          <w:tcPr>
            <w:tcW w:w="249"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接入路数：</w:t>
            </w:r>
            <w:r>
              <w:rPr>
                <w:rFonts w:ascii="宋体" w:hAnsi="宋体" w:cs="宋体"/>
                <w:color w:val="auto"/>
                <w:kern w:val="0"/>
                <w:szCs w:val="21"/>
              </w:rPr>
              <w:t>8路；硬盘接口：支持4个内置SATA接口，单盘容量支持16T；</w:t>
            </w:r>
            <w:r>
              <w:rPr>
                <w:rFonts w:ascii="宋体" w:hAnsi="宋体" w:cs="宋体"/>
                <w:color w:val="auto"/>
                <w:kern w:val="0"/>
                <w:szCs w:val="21"/>
              </w:rPr>
              <w:br w:type="textWrapping"/>
            </w:r>
            <w:r>
              <w:rPr>
                <w:rFonts w:hint="eastAsia" w:ascii="宋体" w:hAnsi="宋体" w:cs="宋体"/>
                <w:color w:val="auto"/>
                <w:kern w:val="0"/>
                <w:szCs w:val="21"/>
              </w:rPr>
              <w:t>分辨率：支</w:t>
            </w:r>
            <w:r>
              <w:rPr>
                <w:rFonts w:ascii="宋体" w:hAnsi="宋体" w:cs="宋体"/>
                <w:color w:val="auto"/>
                <w:kern w:val="0"/>
                <w:szCs w:val="21"/>
              </w:rPr>
              <w:t>12MP/8MP/6MP/5MP/4MP/3MP/1080P/1.3MP/720P IPC分辨率接入；</w:t>
            </w:r>
            <w:r>
              <w:rPr>
                <w:rFonts w:ascii="宋体" w:hAnsi="宋体" w:cs="宋体"/>
                <w:color w:val="auto"/>
                <w:kern w:val="0"/>
                <w:szCs w:val="21"/>
              </w:rPr>
              <w:br w:type="textWrapping"/>
            </w:r>
            <w:r>
              <w:rPr>
                <w:rFonts w:hint="eastAsia" w:ascii="宋体" w:hAnsi="宋体" w:cs="宋体"/>
                <w:color w:val="auto"/>
                <w:kern w:val="0"/>
                <w:szCs w:val="21"/>
              </w:rPr>
              <w:t>支持</w:t>
            </w:r>
            <w:r>
              <w:rPr>
                <w:rFonts w:ascii="宋体" w:hAnsi="宋体" w:cs="宋体"/>
                <w:color w:val="auto"/>
                <w:kern w:val="0"/>
                <w:szCs w:val="21"/>
              </w:rPr>
              <w:t>16路报警输入、6路报警输出，支持开关量输入输出模式；</w:t>
            </w:r>
            <w:r>
              <w:rPr>
                <w:rFonts w:ascii="宋体" w:hAnsi="宋体" w:cs="宋体"/>
                <w:color w:val="auto"/>
                <w:kern w:val="0"/>
                <w:szCs w:val="21"/>
              </w:rPr>
              <w:br w:type="textWrapping"/>
            </w:r>
            <w:r>
              <w:rPr>
                <w:rFonts w:hint="eastAsia" w:ascii="宋体" w:hAnsi="宋体" w:cs="宋体"/>
                <w:color w:val="auto"/>
                <w:kern w:val="0"/>
                <w:szCs w:val="21"/>
              </w:rPr>
              <w:t>前智能分析：支持前智能人脸检测、人脸识别、视频结构化（人、车、非机动车）、周界防范</w:t>
            </w:r>
            <w:r>
              <w:rPr>
                <w:rFonts w:ascii="宋体" w:hAnsi="宋体" w:cs="宋体"/>
                <w:color w:val="auto"/>
                <w:kern w:val="0"/>
                <w:szCs w:val="21"/>
              </w:rPr>
              <w:br w:type="textWrapping"/>
            </w:r>
            <w:r>
              <w:rPr>
                <w:rFonts w:ascii="宋体" w:hAnsi="宋体" w:cs="宋体"/>
                <w:color w:val="auto"/>
                <w:kern w:val="0"/>
                <w:szCs w:val="21"/>
              </w:rPr>
              <w:t>HDMI接口：2个；VGA接口：2个；</w:t>
            </w:r>
            <w:r>
              <w:rPr>
                <w:rFonts w:ascii="宋体" w:hAnsi="宋体" w:cs="宋体"/>
                <w:color w:val="auto"/>
                <w:kern w:val="0"/>
                <w:szCs w:val="21"/>
              </w:rPr>
              <w:br w:type="textWrapping"/>
            </w:r>
            <w:r>
              <w:rPr>
                <w:rFonts w:hint="eastAsia" w:ascii="宋体" w:hAnsi="宋体" w:cs="宋体"/>
                <w:color w:val="auto"/>
                <w:kern w:val="0"/>
                <w:szCs w:val="21"/>
              </w:rPr>
              <w:t>支持</w:t>
            </w:r>
            <w:r>
              <w:rPr>
                <w:rFonts w:ascii="宋体" w:hAnsi="宋体" w:cs="宋体"/>
                <w:color w:val="auto"/>
                <w:kern w:val="0"/>
                <w:szCs w:val="21"/>
              </w:rPr>
              <w:t>2个千兆以太网口，支持2个不同段IP地址的IPC设备接入，支持将双网口设置同一个IP地址，实现数据链路冗余；</w:t>
            </w:r>
            <w:r>
              <w:rPr>
                <w:rFonts w:ascii="宋体" w:hAnsi="宋体" w:cs="宋体"/>
                <w:color w:val="auto"/>
                <w:kern w:val="0"/>
                <w:szCs w:val="21"/>
              </w:rPr>
              <w:br w:type="textWrapping"/>
            </w:r>
            <w:r>
              <w:rPr>
                <w:rFonts w:hint="eastAsia" w:ascii="宋体" w:hAnsi="宋体" w:cs="宋体"/>
                <w:color w:val="auto"/>
                <w:kern w:val="0"/>
                <w:szCs w:val="21"/>
              </w:rPr>
              <w:t>支持开启</w:t>
            </w:r>
            <w:r>
              <w:rPr>
                <w:rFonts w:ascii="宋体" w:hAnsi="宋体" w:cs="宋体"/>
                <w:color w:val="auto"/>
                <w:kern w:val="0"/>
                <w:szCs w:val="21"/>
              </w:rPr>
              <w:t>SVC解码功能，解码总资源为8个1920×1080格式的视频图像，可同时显示输出8路H.265/H.264编码、25fps、1920×1080格式的视频图像；</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大华</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宇视</w:t>
            </w:r>
          </w:p>
        </w:tc>
      </w:tr>
      <w:tr>
        <w:tblPrEx>
          <w:tblCellMar>
            <w:top w:w="0" w:type="dxa"/>
            <w:left w:w="108" w:type="dxa"/>
            <w:bottom w:w="0" w:type="dxa"/>
            <w:right w:w="108" w:type="dxa"/>
          </w:tblCellMar>
        </w:tblPrEx>
        <w:trPr>
          <w:trHeight w:val="2430"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36</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网络硬盘录像机</w:t>
            </w:r>
            <w:r>
              <w:rPr>
                <w:rFonts w:ascii="宋体" w:hAnsi="宋体" w:cs="宋体"/>
                <w:color w:val="auto"/>
                <w:kern w:val="0"/>
                <w:szCs w:val="21"/>
              </w:rPr>
              <w:t>16路</w:t>
            </w:r>
          </w:p>
        </w:tc>
        <w:tc>
          <w:tcPr>
            <w:tcW w:w="383"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60</w:t>
            </w:r>
          </w:p>
        </w:tc>
        <w:tc>
          <w:tcPr>
            <w:tcW w:w="24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接入路数：</w:t>
            </w:r>
            <w:r>
              <w:rPr>
                <w:rFonts w:ascii="宋体" w:hAnsi="宋体" w:cs="宋体"/>
                <w:color w:val="auto"/>
                <w:kern w:val="0"/>
                <w:szCs w:val="21"/>
              </w:rPr>
              <w:t>16路；硬盘接口：4个SATA，单盘最大16T；</w:t>
            </w:r>
            <w:r>
              <w:rPr>
                <w:rFonts w:ascii="宋体" w:hAnsi="宋体" w:cs="宋体"/>
                <w:color w:val="auto"/>
                <w:kern w:val="0"/>
                <w:szCs w:val="21"/>
              </w:rPr>
              <w:br w:type="textWrapping"/>
            </w:r>
            <w:r>
              <w:rPr>
                <w:rFonts w:hint="eastAsia" w:ascii="宋体" w:hAnsi="宋体" w:cs="宋体"/>
                <w:color w:val="auto"/>
                <w:kern w:val="0"/>
                <w:szCs w:val="21"/>
              </w:rPr>
              <w:t>分辨率：</w:t>
            </w:r>
            <w:r>
              <w:rPr>
                <w:rFonts w:ascii="宋体" w:hAnsi="宋体" w:cs="宋体"/>
                <w:color w:val="auto"/>
                <w:kern w:val="0"/>
                <w:szCs w:val="21"/>
              </w:rPr>
              <w:t>12MP、8MP、6MP、5MP、4MP、3MP、1080P、1.3MP、720P、D1；</w:t>
            </w:r>
            <w:r>
              <w:rPr>
                <w:rFonts w:ascii="宋体" w:hAnsi="宋体" w:cs="宋体"/>
                <w:color w:val="auto"/>
                <w:kern w:val="0"/>
                <w:szCs w:val="21"/>
              </w:rPr>
              <w:br w:type="textWrapping"/>
            </w:r>
            <w:r>
              <w:rPr>
                <w:rFonts w:hint="eastAsia" w:ascii="宋体" w:hAnsi="宋体" w:cs="宋体"/>
                <w:color w:val="auto"/>
                <w:kern w:val="0"/>
                <w:szCs w:val="21"/>
              </w:rPr>
              <w:t>画面分割：</w:t>
            </w:r>
            <w:r>
              <w:rPr>
                <w:rFonts w:ascii="宋体" w:hAnsi="宋体" w:cs="宋体"/>
                <w:color w:val="auto"/>
                <w:kern w:val="0"/>
                <w:szCs w:val="21"/>
              </w:rPr>
              <w:t>VGA1/HDMI1: 1/4/8/9/16VGA2/HDMI2: 1/4/8/9/16；</w:t>
            </w:r>
            <w:r>
              <w:rPr>
                <w:rFonts w:ascii="宋体" w:hAnsi="宋体" w:cs="宋体"/>
                <w:color w:val="auto"/>
                <w:kern w:val="0"/>
                <w:szCs w:val="21"/>
              </w:rPr>
              <w:br w:type="textWrapping"/>
            </w:r>
            <w:r>
              <w:rPr>
                <w:rFonts w:hint="eastAsia" w:ascii="宋体" w:hAnsi="宋体" w:cs="宋体"/>
                <w:color w:val="auto"/>
                <w:kern w:val="0"/>
                <w:szCs w:val="21"/>
              </w:rPr>
              <w:t>前智能分析：支持前智能人脸检测、人脸识别、视频结构化（人、车、非机动车）、周界防范；</w:t>
            </w:r>
            <w:r>
              <w:rPr>
                <w:rFonts w:ascii="宋体" w:hAnsi="宋体" w:cs="宋体"/>
                <w:color w:val="auto"/>
                <w:kern w:val="0"/>
                <w:szCs w:val="21"/>
              </w:rPr>
              <w:br w:type="textWrapping"/>
            </w:r>
            <w:r>
              <w:rPr>
                <w:rFonts w:ascii="宋体" w:hAnsi="宋体" w:cs="宋体"/>
                <w:color w:val="auto"/>
                <w:kern w:val="0"/>
                <w:szCs w:val="21"/>
              </w:rPr>
              <w:t>HDMI接口：2个；VGA接口：2个；</w:t>
            </w:r>
            <w:r>
              <w:rPr>
                <w:rFonts w:ascii="宋体" w:hAnsi="宋体" w:cs="宋体"/>
                <w:color w:val="auto"/>
                <w:kern w:val="0"/>
                <w:szCs w:val="21"/>
              </w:rPr>
              <w:br w:type="textWrapping"/>
            </w:r>
            <w:r>
              <w:rPr>
                <w:rFonts w:hint="eastAsia" w:ascii="宋体" w:hAnsi="宋体" w:cs="宋体"/>
                <w:color w:val="auto"/>
                <w:kern w:val="0"/>
                <w:szCs w:val="21"/>
              </w:rPr>
              <w:t>支持</w:t>
            </w:r>
            <w:r>
              <w:rPr>
                <w:rFonts w:ascii="宋体" w:hAnsi="宋体" w:cs="宋体"/>
                <w:color w:val="auto"/>
                <w:kern w:val="0"/>
                <w:szCs w:val="21"/>
              </w:rPr>
              <w:t>2个千兆以太网口，支持2个不同段IP地址的IPC设备接入，支持将双网口设置同一个IP地址，实现数据链路冗余；</w:t>
            </w:r>
            <w:r>
              <w:rPr>
                <w:rFonts w:ascii="宋体" w:hAnsi="宋体" w:cs="宋体"/>
                <w:color w:val="auto"/>
                <w:kern w:val="0"/>
                <w:szCs w:val="21"/>
              </w:rPr>
              <w:br w:type="textWrapping"/>
            </w:r>
            <w:r>
              <w:rPr>
                <w:rFonts w:hint="eastAsia" w:ascii="宋体" w:hAnsi="宋体" w:cs="宋体"/>
                <w:color w:val="auto"/>
                <w:kern w:val="0"/>
                <w:szCs w:val="21"/>
              </w:rPr>
              <w:t>数字音频的质量、与数字视频的同步能力应满足使用要求，回放时，与原始现场的声音相比，相对于视频图像不应存在明显的滞后或超前。视音频信号的同步方式可有多种选择伯视音频信号的失步时间应≤</w:t>
            </w:r>
            <w:r>
              <w:rPr>
                <w:rFonts w:ascii="宋体" w:hAnsi="宋体" w:cs="宋体"/>
                <w:color w:val="auto"/>
                <w:kern w:val="0"/>
                <w:szCs w:val="21"/>
              </w:rPr>
              <w:t>1S。</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大华</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宇视</w:t>
            </w:r>
          </w:p>
        </w:tc>
      </w:tr>
      <w:tr>
        <w:tblPrEx>
          <w:tblCellMar>
            <w:top w:w="0" w:type="dxa"/>
            <w:left w:w="108" w:type="dxa"/>
            <w:bottom w:w="0" w:type="dxa"/>
            <w:right w:w="108" w:type="dxa"/>
          </w:tblCellMar>
        </w:tblPrEx>
        <w:trPr>
          <w:trHeight w:val="4253"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37</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网络硬盘录像机</w:t>
            </w:r>
            <w:r>
              <w:rPr>
                <w:rFonts w:ascii="宋体" w:hAnsi="宋体" w:cs="宋体"/>
                <w:color w:val="auto"/>
                <w:kern w:val="0"/>
                <w:szCs w:val="21"/>
              </w:rPr>
              <w:t>32路</w:t>
            </w:r>
          </w:p>
        </w:tc>
        <w:tc>
          <w:tcPr>
            <w:tcW w:w="383"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11</w:t>
            </w:r>
          </w:p>
        </w:tc>
        <w:tc>
          <w:tcPr>
            <w:tcW w:w="24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接入路数：</w:t>
            </w:r>
            <w:r>
              <w:rPr>
                <w:rFonts w:ascii="宋体" w:hAnsi="宋体" w:cs="宋体"/>
                <w:color w:val="auto"/>
                <w:kern w:val="0"/>
                <w:szCs w:val="21"/>
              </w:rPr>
              <w:t>32路；硬盘接口：8个，SATA3.0，单盘最大10T；硬盘的最大容量随环境温度而变化，支持热插拔；</w:t>
            </w:r>
            <w:r>
              <w:rPr>
                <w:rFonts w:ascii="宋体" w:hAnsi="宋体" w:cs="宋体"/>
                <w:color w:val="auto"/>
                <w:kern w:val="0"/>
                <w:szCs w:val="21"/>
              </w:rPr>
              <w:br w:type="textWrapping"/>
            </w:r>
            <w:r>
              <w:rPr>
                <w:rFonts w:hint="eastAsia" w:ascii="宋体" w:hAnsi="宋体" w:cs="宋体"/>
                <w:color w:val="auto"/>
                <w:kern w:val="0"/>
                <w:szCs w:val="21"/>
              </w:rPr>
              <w:t>解码能力：</w:t>
            </w:r>
            <w:r>
              <w:rPr>
                <w:rFonts w:ascii="宋体" w:hAnsi="宋体" w:cs="宋体"/>
                <w:color w:val="auto"/>
                <w:kern w:val="0"/>
                <w:szCs w:val="21"/>
              </w:rPr>
              <w:t>2路12M@20fps;4路8M@30fps;6路5M@30fps;8路4M@30fps;11路3M@30fps;16路1080P@30fps;32路720P@30fps;；</w:t>
            </w:r>
            <w:r>
              <w:rPr>
                <w:rFonts w:ascii="宋体" w:hAnsi="宋体" w:cs="宋体"/>
                <w:color w:val="auto"/>
                <w:kern w:val="0"/>
                <w:szCs w:val="21"/>
              </w:rPr>
              <w:br w:type="textWrapping"/>
            </w:r>
            <w:r>
              <w:rPr>
                <w:rFonts w:hint="eastAsia" w:ascii="宋体" w:hAnsi="宋体" w:cs="宋体"/>
                <w:color w:val="auto"/>
                <w:kern w:val="0"/>
                <w:szCs w:val="21"/>
              </w:rPr>
              <w:t>画面分割：主屏：</w:t>
            </w:r>
            <w:r>
              <w:rPr>
                <w:rFonts w:ascii="宋体" w:hAnsi="宋体" w:cs="宋体"/>
                <w:color w:val="auto"/>
                <w:kern w:val="0"/>
                <w:szCs w:val="21"/>
              </w:rPr>
              <w:t>1、4、8、9、16、25、36分割；辅屏：1、4、8、9、16分割；</w:t>
            </w:r>
            <w:r>
              <w:rPr>
                <w:rFonts w:ascii="宋体" w:hAnsi="宋体" w:cs="宋体"/>
                <w:color w:val="auto"/>
                <w:kern w:val="0"/>
                <w:szCs w:val="21"/>
              </w:rPr>
              <w:br w:type="textWrapping"/>
            </w:r>
            <w:r>
              <w:rPr>
                <w:rFonts w:hint="eastAsia" w:ascii="宋体" w:hAnsi="宋体" w:cs="宋体"/>
                <w:color w:val="auto"/>
                <w:kern w:val="0"/>
                <w:szCs w:val="21"/>
              </w:rPr>
              <w:t>前智能分析：支持前智能人脸检测、人脸识别、视频结构化（人、车、非机动车）、周界防范；</w:t>
            </w:r>
            <w:r>
              <w:rPr>
                <w:rFonts w:ascii="宋体" w:hAnsi="宋体" w:cs="宋体"/>
                <w:color w:val="auto"/>
                <w:kern w:val="0"/>
                <w:szCs w:val="21"/>
              </w:rPr>
              <w:br w:type="textWrapping"/>
            </w:r>
            <w:r>
              <w:rPr>
                <w:rFonts w:hint="eastAsia" w:ascii="宋体" w:hAnsi="宋体" w:cs="宋体"/>
                <w:color w:val="auto"/>
                <w:kern w:val="0"/>
                <w:szCs w:val="21"/>
              </w:rPr>
              <w:t>人脸检测前智能性能（路数）：</w:t>
            </w:r>
            <w:r>
              <w:rPr>
                <w:rFonts w:ascii="宋体" w:hAnsi="宋体" w:cs="宋体"/>
                <w:color w:val="auto"/>
                <w:kern w:val="0"/>
                <w:szCs w:val="21"/>
              </w:rPr>
              <w:t>14路（1张/秒）；人脸识别前智能性能（路数）：14路（1张/秒）；结构化前智能性能（路数）：16路（1张/秒）；</w:t>
            </w:r>
            <w:r>
              <w:rPr>
                <w:rFonts w:ascii="宋体" w:hAnsi="宋体" w:cs="宋体"/>
                <w:color w:val="auto"/>
                <w:kern w:val="0"/>
                <w:szCs w:val="21"/>
              </w:rPr>
              <w:br w:type="textWrapping"/>
            </w:r>
            <w:r>
              <w:rPr>
                <w:rFonts w:ascii="宋体" w:hAnsi="宋体" w:cs="宋体"/>
                <w:color w:val="auto"/>
                <w:kern w:val="0"/>
                <w:szCs w:val="21"/>
              </w:rPr>
              <w:t xml:space="preserve">HDMI接口：2个， </w:t>
            </w:r>
            <w:r>
              <w:rPr>
                <w:rFonts w:hint="eastAsia" w:ascii="宋体" w:hAnsi="宋体" w:cs="宋体"/>
                <w:color w:val="auto"/>
                <w:kern w:val="0"/>
                <w:szCs w:val="21"/>
              </w:rPr>
              <w:t>最大支持</w:t>
            </w:r>
            <w:r>
              <w:rPr>
                <w:rFonts w:ascii="宋体" w:hAnsi="宋体" w:cs="宋体"/>
                <w:color w:val="auto"/>
                <w:kern w:val="0"/>
                <w:szCs w:val="21"/>
              </w:rPr>
              <w:t>4K分辨率输出；VGA接口：2个；</w:t>
            </w:r>
            <w:r>
              <w:rPr>
                <w:rFonts w:ascii="宋体" w:hAnsi="宋体" w:cs="宋体"/>
                <w:color w:val="auto"/>
                <w:kern w:val="0"/>
                <w:szCs w:val="21"/>
              </w:rPr>
              <w:br w:type="textWrapping"/>
            </w:r>
            <w:r>
              <w:rPr>
                <w:rFonts w:hint="eastAsia" w:ascii="宋体" w:hAnsi="宋体" w:cs="宋体"/>
                <w:color w:val="auto"/>
                <w:kern w:val="0"/>
                <w:szCs w:val="21"/>
              </w:rPr>
              <w:t>网络接口：</w:t>
            </w:r>
            <w:r>
              <w:rPr>
                <w:rFonts w:ascii="宋体" w:hAnsi="宋体" w:cs="宋体"/>
                <w:color w:val="auto"/>
                <w:kern w:val="0"/>
                <w:szCs w:val="21"/>
              </w:rPr>
              <w:t>2个RJ-45，10/100/1000Mbps自适应以太网口；</w:t>
            </w:r>
            <w:r>
              <w:rPr>
                <w:rFonts w:ascii="宋体" w:hAnsi="宋体" w:cs="宋体"/>
                <w:color w:val="auto"/>
                <w:kern w:val="0"/>
                <w:szCs w:val="21"/>
              </w:rPr>
              <w:br w:type="textWrapping"/>
            </w:r>
            <w:r>
              <w:rPr>
                <w:rFonts w:hint="eastAsia" w:ascii="宋体" w:hAnsi="宋体" w:cs="宋体"/>
                <w:color w:val="auto"/>
                <w:kern w:val="0"/>
                <w:szCs w:val="21"/>
              </w:rPr>
              <w:t>支持</w:t>
            </w:r>
            <w:r>
              <w:rPr>
                <w:rFonts w:ascii="宋体" w:hAnsi="宋体" w:cs="宋体"/>
                <w:color w:val="auto"/>
                <w:kern w:val="0"/>
                <w:szCs w:val="21"/>
              </w:rPr>
              <w:t>2个千兆以太网口，支持2个不同段IP地址的IPC设备接入，支持将双网口设置同一个IP地址，实现数据链路冗余；</w:t>
            </w:r>
            <w:r>
              <w:rPr>
                <w:rFonts w:ascii="宋体" w:hAnsi="宋体" w:cs="宋体"/>
                <w:color w:val="auto"/>
                <w:kern w:val="0"/>
                <w:szCs w:val="21"/>
              </w:rPr>
              <w:br w:type="textWrapping"/>
            </w:r>
            <w:r>
              <w:rPr>
                <w:rFonts w:hint="eastAsia" w:ascii="宋体" w:hAnsi="宋体" w:cs="宋体"/>
                <w:color w:val="auto"/>
                <w:kern w:val="0"/>
                <w:szCs w:val="21"/>
              </w:rPr>
              <w:t>支持预览控制及状态查看，通过预览界面的悬浮菜单可进行截图、即时回放</w:t>
            </w:r>
            <w:r>
              <w:rPr>
                <w:rFonts w:ascii="宋体" w:hAnsi="宋体" w:cs="宋体"/>
                <w:color w:val="auto"/>
                <w:kern w:val="0"/>
                <w:szCs w:val="21"/>
              </w:rPr>
              <w:t xml:space="preserve">PTZ控制、电子放大、图像参数设置、声音、预览策略制定、查看通道码率、帧率、分辨率、录像状态、手动录像开关鱼眼展开、主子码流切换、3D </w:t>
            </w:r>
            <w:r>
              <w:rPr>
                <w:rFonts w:hint="eastAsia" w:ascii="宋体" w:hAnsi="宋体" w:cs="宋体"/>
                <w:color w:val="auto"/>
                <w:kern w:val="0"/>
                <w:szCs w:val="21"/>
              </w:rPr>
              <w:t>定位等操作</w:t>
            </w:r>
            <w:r>
              <w:rPr>
                <w:rFonts w:ascii="宋体" w:hAnsi="宋体" w:cs="宋体"/>
                <w:color w:val="auto"/>
                <w:kern w:val="0"/>
                <w:szCs w:val="21"/>
              </w:rPr>
              <w:t>;设置实时性好、均衡、流畅性好三种预览策略。可在预览界面随意选择一个或多个通道，在</w:t>
            </w:r>
            <w:r>
              <w:rPr>
                <w:rFonts w:hint="eastAsia" w:ascii="宋体" w:hAnsi="宋体" w:cs="宋体"/>
                <w:color w:val="auto"/>
                <w:kern w:val="0"/>
                <w:szCs w:val="21"/>
              </w:rPr>
              <w:t>预警面板实时展示此通道的目标抓拍信息。</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大华</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宇视</w:t>
            </w:r>
          </w:p>
        </w:tc>
      </w:tr>
      <w:tr>
        <w:tblPrEx>
          <w:tblCellMar>
            <w:top w:w="0" w:type="dxa"/>
            <w:left w:w="108" w:type="dxa"/>
            <w:bottom w:w="0" w:type="dxa"/>
            <w:right w:w="108" w:type="dxa"/>
          </w:tblCellMar>
        </w:tblPrEx>
        <w:trPr>
          <w:trHeight w:val="1013"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38</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6TB监控硬盘</w:t>
            </w:r>
          </w:p>
        </w:tc>
        <w:tc>
          <w:tcPr>
            <w:tcW w:w="38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1048</w:t>
            </w:r>
          </w:p>
        </w:tc>
        <w:tc>
          <w:tcPr>
            <w:tcW w:w="2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1、安防专用监控硬盘，6TB-256MB-5400RPM-3.5英寸-SATA接口；</w:t>
            </w:r>
            <w:r>
              <w:rPr>
                <w:rFonts w:ascii="宋体" w:hAnsi="宋体" w:cs="宋体"/>
                <w:color w:val="auto"/>
                <w:kern w:val="0"/>
                <w:szCs w:val="21"/>
              </w:rPr>
              <w:br w:type="textWrapping"/>
            </w:r>
            <w:r>
              <w:rPr>
                <w:rFonts w:ascii="宋体" w:hAnsi="宋体" w:cs="宋体"/>
                <w:color w:val="auto"/>
                <w:kern w:val="0"/>
                <w:szCs w:val="21"/>
              </w:rPr>
              <w:t>2、单硬盘支持不低于32个摄像头的高清流，高缓冲区，流畅存储视频，并防止丢帧；</w:t>
            </w:r>
            <w:r>
              <w:rPr>
                <w:rFonts w:ascii="宋体" w:hAnsi="宋体" w:cs="宋体"/>
                <w:color w:val="auto"/>
                <w:kern w:val="0"/>
                <w:szCs w:val="21"/>
              </w:rPr>
              <w:br w:type="textWrapping"/>
            </w:r>
            <w:r>
              <w:rPr>
                <w:rFonts w:ascii="宋体" w:hAnsi="宋体" w:cs="宋体"/>
                <w:color w:val="auto"/>
                <w:kern w:val="0"/>
                <w:szCs w:val="21"/>
              </w:rPr>
              <w:t>3、需包含监控硬盘安装调试服务；</w:t>
            </w:r>
            <w:r>
              <w:rPr>
                <w:rFonts w:ascii="宋体" w:hAnsi="宋体" w:cs="宋体"/>
                <w:color w:val="auto"/>
                <w:kern w:val="0"/>
                <w:szCs w:val="21"/>
              </w:rPr>
              <w:br w:type="textWrapping"/>
            </w:r>
            <w:r>
              <w:rPr>
                <w:rFonts w:ascii="宋体" w:hAnsi="宋体" w:cs="宋体"/>
                <w:color w:val="auto"/>
                <w:kern w:val="0"/>
                <w:szCs w:val="21"/>
              </w:rPr>
              <w:t>4、</w:t>
            </w:r>
            <w:r>
              <w:rPr>
                <w:rFonts w:hint="eastAsia" w:ascii="宋体" w:hAnsi="宋体" w:cs="宋体"/>
                <w:color w:val="auto"/>
                <w:kern w:val="0"/>
                <w:szCs w:val="21"/>
              </w:rPr>
              <w:t>三年维保服务。</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大华</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宇视</w:t>
            </w:r>
          </w:p>
        </w:tc>
      </w:tr>
      <w:tr>
        <w:tblPrEx>
          <w:tblCellMar>
            <w:top w:w="0" w:type="dxa"/>
            <w:left w:w="108" w:type="dxa"/>
            <w:bottom w:w="0" w:type="dxa"/>
            <w:right w:w="108" w:type="dxa"/>
          </w:tblCellMar>
        </w:tblPrEx>
        <w:trPr>
          <w:trHeight w:val="40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39</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显示器（含支架）</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251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32寸液晶电视机，支持HDMI接口，支持VGA接口，16:9，内置音响，分辨率不低于1366*768，含高清线缆、挂架等。</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r>
      <w:tr>
        <w:tblPrEx>
          <w:tblCellMar>
            <w:top w:w="0" w:type="dxa"/>
            <w:left w:w="108" w:type="dxa"/>
            <w:bottom w:w="0" w:type="dxa"/>
            <w:right w:w="108" w:type="dxa"/>
          </w:tblCellMar>
        </w:tblPrEx>
        <w:trPr>
          <w:trHeight w:val="1013"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40</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台式电脑</w:t>
            </w:r>
          </w:p>
        </w:tc>
        <w:tc>
          <w:tcPr>
            <w:tcW w:w="383"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27</w:t>
            </w:r>
          </w:p>
        </w:tc>
        <w:tc>
          <w:tcPr>
            <w:tcW w:w="249"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国产信创目录内，国产处理器。处理器核心数不低于八核；</w:t>
            </w:r>
            <w:r>
              <w:rPr>
                <w:rFonts w:ascii="宋体" w:hAnsi="宋体" w:cs="宋体"/>
                <w:color w:val="auto"/>
                <w:kern w:val="0"/>
                <w:szCs w:val="21"/>
              </w:rPr>
              <w:br w:type="textWrapping"/>
            </w:r>
            <w:r>
              <w:rPr>
                <w:rFonts w:ascii="宋体" w:hAnsi="宋体" w:cs="宋体"/>
                <w:color w:val="auto"/>
                <w:kern w:val="0"/>
                <w:szCs w:val="21"/>
              </w:rPr>
              <w:t xml:space="preserve">2、内存容量不低于8GB,内存类型DDR4 </w:t>
            </w:r>
            <w:r>
              <w:rPr>
                <w:rFonts w:hint="eastAsia" w:ascii="宋体" w:hAnsi="宋体" w:cs="宋体"/>
                <w:color w:val="auto"/>
                <w:kern w:val="0"/>
                <w:szCs w:val="21"/>
              </w:rPr>
              <w:t>；</w:t>
            </w:r>
            <w:r>
              <w:rPr>
                <w:rFonts w:ascii="宋体" w:hAnsi="宋体" w:cs="宋体"/>
                <w:color w:val="auto"/>
                <w:kern w:val="0"/>
                <w:szCs w:val="21"/>
              </w:rPr>
              <w:br w:type="textWrapping"/>
            </w:r>
            <w:r>
              <w:rPr>
                <w:rFonts w:ascii="宋体" w:hAnsi="宋体" w:cs="宋体"/>
                <w:color w:val="auto"/>
                <w:kern w:val="0"/>
                <w:szCs w:val="21"/>
              </w:rPr>
              <w:t>3、显</w:t>
            </w:r>
            <w:r>
              <w:rPr>
                <w:rFonts w:hint="eastAsia" w:ascii="宋体" w:hAnsi="宋体" w:cs="宋体"/>
                <w:color w:val="auto"/>
                <w:kern w:val="0"/>
                <w:szCs w:val="21"/>
              </w:rPr>
              <w:t>卡类型</w:t>
            </w:r>
            <w:r>
              <w:rPr>
                <w:rFonts w:ascii="宋体" w:hAnsi="宋体" w:cs="宋体"/>
                <w:color w:val="auto"/>
                <w:kern w:val="0"/>
                <w:szCs w:val="21"/>
              </w:rPr>
              <w:t>:2GB独显；</w:t>
            </w:r>
            <w:r>
              <w:rPr>
                <w:rFonts w:ascii="宋体" w:hAnsi="宋体" w:cs="宋体"/>
                <w:color w:val="auto"/>
                <w:kern w:val="0"/>
                <w:szCs w:val="21"/>
              </w:rPr>
              <w:br w:type="textWrapping"/>
            </w:r>
            <w:r>
              <w:rPr>
                <w:rFonts w:ascii="宋体" w:hAnsi="宋体" w:cs="宋体"/>
                <w:color w:val="auto"/>
                <w:kern w:val="0"/>
                <w:szCs w:val="21"/>
              </w:rPr>
              <w:t xml:space="preserve">4、硬盘容量不低于256G </w:t>
            </w:r>
            <w:r>
              <w:rPr>
                <w:rFonts w:hint="eastAsia" w:ascii="宋体" w:hAnsi="宋体" w:cs="宋体"/>
                <w:color w:val="auto"/>
                <w:kern w:val="0"/>
                <w:szCs w:val="21"/>
              </w:rPr>
              <w:t>；</w:t>
            </w:r>
            <w:r>
              <w:rPr>
                <w:rFonts w:ascii="宋体" w:hAnsi="宋体" w:cs="宋体"/>
                <w:color w:val="auto"/>
                <w:kern w:val="0"/>
                <w:szCs w:val="21"/>
              </w:rPr>
              <w:br w:type="textWrapping"/>
            </w:r>
            <w:r>
              <w:rPr>
                <w:rFonts w:ascii="宋体" w:hAnsi="宋体" w:cs="宋体"/>
                <w:color w:val="auto"/>
                <w:kern w:val="0"/>
                <w:szCs w:val="21"/>
              </w:rPr>
              <w:t xml:space="preserve">5、不低于23英寸LED宽屏,含键盘、鼠标及连接线等 </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r>
      <w:tr>
        <w:tblPrEx>
          <w:tblCellMar>
            <w:top w:w="0" w:type="dxa"/>
            <w:left w:w="108" w:type="dxa"/>
            <w:bottom w:w="0" w:type="dxa"/>
            <w:right w:w="108" w:type="dxa"/>
          </w:tblCellMar>
        </w:tblPrEx>
        <w:trPr>
          <w:trHeight w:val="121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41</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光纤收发器</w:t>
            </w:r>
          </w:p>
        </w:tc>
        <w:tc>
          <w:tcPr>
            <w:tcW w:w="38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1306</w:t>
            </w:r>
          </w:p>
        </w:tc>
        <w:tc>
          <w:tcPr>
            <w:tcW w:w="2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对</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1光1电百兆光纤收发器，采用工业芯片，固化百兆单模单</w:t>
            </w:r>
            <w:r>
              <w:rPr>
                <w:rFonts w:hint="eastAsia" w:ascii="宋体" w:hAnsi="宋体" w:cs="宋体"/>
                <w:color w:val="auto"/>
                <w:kern w:val="0"/>
                <w:szCs w:val="21"/>
              </w:rPr>
              <w:t>纤</w:t>
            </w:r>
            <w:r>
              <w:rPr>
                <w:rFonts w:ascii="宋体" w:hAnsi="宋体" w:cs="宋体"/>
                <w:color w:val="auto"/>
                <w:kern w:val="0"/>
                <w:szCs w:val="21"/>
              </w:rPr>
              <w:t>20公里SC接口光模块，非网管，金属机身，外置电源适配器AC220V，电源通过CCC认证；具备良好的电磁兼容性及防震动防冲击能力；支持以太网防雷等级6kv；大缓存，高清视频流不卡顿；低功耗、无风扇、无噪音设计；支持MAC地址自动学习、自动老化；支持存储转发交换模式；适应-40℃-75℃</w:t>
            </w:r>
            <w:r>
              <w:rPr>
                <w:rFonts w:hint="eastAsia" w:ascii="宋体" w:hAnsi="宋体" w:cs="宋体"/>
                <w:color w:val="auto"/>
                <w:kern w:val="0"/>
                <w:szCs w:val="21"/>
              </w:rPr>
              <w:t>宽温工作环境，工业级防护设计，不低于</w:t>
            </w:r>
            <w:r>
              <w:rPr>
                <w:rFonts w:ascii="宋体" w:hAnsi="宋体" w:cs="宋体"/>
                <w:color w:val="auto"/>
                <w:kern w:val="0"/>
                <w:szCs w:val="21"/>
              </w:rPr>
              <w:t>IP40防护，三年质保。</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华为</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华三</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博达</w:t>
            </w:r>
          </w:p>
        </w:tc>
      </w:tr>
      <w:tr>
        <w:tblPrEx>
          <w:tblCellMar>
            <w:top w:w="0" w:type="dxa"/>
            <w:left w:w="108" w:type="dxa"/>
            <w:bottom w:w="0" w:type="dxa"/>
            <w:right w:w="108" w:type="dxa"/>
          </w:tblCellMar>
        </w:tblPrEx>
        <w:trPr>
          <w:trHeight w:val="121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42</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光纤收发器</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7</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对</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1光2电百兆光纤收发器，采用工业芯片，固化百兆单模单</w:t>
            </w:r>
            <w:r>
              <w:rPr>
                <w:rFonts w:hint="eastAsia" w:ascii="宋体" w:hAnsi="宋体" w:cs="宋体"/>
                <w:color w:val="auto"/>
                <w:kern w:val="0"/>
                <w:szCs w:val="21"/>
              </w:rPr>
              <w:t>纤</w:t>
            </w:r>
            <w:r>
              <w:rPr>
                <w:rFonts w:ascii="宋体" w:hAnsi="宋体" w:cs="宋体"/>
                <w:color w:val="auto"/>
                <w:kern w:val="0"/>
                <w:szCs w:val="21"/>
              </w:rPr>
              <w:t>20公里SC接口光模块，非网管，金属机身，外置电源适配器AC220V，电源通过CCC认证；具备良好的电磁兼容性及防震动防冲击能力；支持以太网防雷等级6kv；大缓存，高清视频流不卡顿；低功耗、无风扇、无噪音设计；支持MAC地址自动学习、自动老化；支持存储转发交换模式；适应-40℃-75℃</w:t>
            </w:r>
            <w:r>
              <w:rPr>
                <w:rFonts w:hint="eastAsia" w:ascii="宋体" w:hAnsi="宋体" w:cs="宋体"/>
                <w:color w:val="auto"/>
                <w:kern w:val="0"/>
                <w:szCs w:val="21"/>
              </w:rPr>
              <w:t>宽温工作环境，工业级防护设计，不低于</w:t>
            </w:r>
            <w:r>
              <w:rPr>
                <w:rFonts w:ascii="宋体" w:hAnsi="宋体" w:cs="宋体"/>
                <w:color w:val="auto"/>
                <w:kern w:val="0"/>
                <w:szCs w:val="21"/>
              </w:rPr>
              <w:t>IP40防护，三年质保。</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华为</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华三</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博达</w:t>
            </w:r>
          </w:p>
        </w:tc>
      </w:tr>
      <w:tr>
        <w:tblPrEx>
          <w:tblCellMar>
            <w:top w:w="0" w:type="dxa"/>
            <w:left w:w="108" w:type="dxa"/>
            <w:bottom w:w="0" w:type="dxa"/>
            <w:right w:w="108" w:type="dxa"/>
          </w:tblCellMar>
        </w:tblPrEx>
        <w:trPr>
          <w:trHeight w:val="1620"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43</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4口交换机</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960</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全千兆交换机，采用工业芯片，固化</w:t>
            </w:r>
            <w:r>
              <w:rPr>
                <w:rFonts w:ascii="宋体" w:hAnsi="宋体" w:cs="宋体"/>
                <w:color w:val="auto"/>
                <w:kern w:val="0"/>
                <w:szCs w:val="21"/>
              </w:rPr>
              <w:t>10/100/1000M</w:t>
            </w:r>
            <w:r>
              <w:rPr>
                <w:rFonts w:hint="eastAsia" w:ascii="宋体" w:hAnsi="宋体" w:cs="宋体"/>
                <w:color w:val="auto"/>
                <w:kern w:val="0"/>
                <w:szCs w:val="21"/>
              </w:rPr>
              <w:t>以太网电口≥</w:t>
            </w:r>
            <w:r>
              <w:rPr>
                <w:rFonts w:ascii="宋体" w:hAnsi="宋体" w:cs="宋体"/>
                <w:color w:val="auto"/>
                <w:kern w:val="0"/>
                <w:szCs w:val="21"/>
              </w:rPr>
              <w:t>4个，100/1000M SFP千兆光接口≥2个；交换容量12Gbps，包转发率8.928Mpps；金属外壳，外置电源适配器AC220V；具备良好的电磁兼容性及防震动防冲击能力；以太网防雷等级6kv；大缓存，高清视频流不卡顿；低功耗、无风扇、无噪音设计；支持正常、监控、隔离等不同工作模式；支持MAC地址自动学习、自动老化；支持存储转发交换模式；适应-40℃-75℃</w:t>
            </w:r>
            <w:r>
              <w:rPr>
                <w:rFonts w:hint="eastAsia" w:ascii="宋体" w:hAnsi="宋体" w:cs="宋体"/>
                <w:color w:val="auto"/>
                <w:kern w:val="0"/>
                <w:szCs w:val="21"/>
              </w:rPr>
              <w:t>宽温工作环境，工业级防护设计，不低于</w:t>
            </w:r>
            <w:r>
              <w:rPr>
                <w:rFonts w:ascii="宋体" w:hAnsi="宋体" w:cs="宋体"/>
                <w:color w:val="auto"/>
                <w:kern w:val="0"/>
                <w:szCs w:val="21"/>
              </w:rPr>
              <w:t>IP40防护，三年质保。</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华为</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华三</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博达</w:t>
            </w:r>
          </w:p>
        </w:tc>
      </w:tr>
      <w:tr>
        <w:tblPrEx>
          <w:tblCellMar>
            <w:top w:w="0" w:type="dxa"/>
            <w:left w:w="108" w:type="dxa"/>
            <w:bottom w:w="0" w:type="dxa"/>
            <w:right w:w="108" w:type="dxa"/>
          </w:tblCellMar>
        </w:tblPrEx>
        <w:trPr>
          <w:trHeight w:val="42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44</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8口交换机</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222</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全千兆交换机，采用工业芯片，固化</w:t>
            </w:r>
            <w:r>
              <w:rPr>
                <w:rFonts w:ascii="宋体" w:hAnsi="宋体" w:cs="宋体"/>
                <w:color w:val="auto"/>
                <w:kern w:val="0"/>
                <w:szCs w:val="21"/>
              </w:rPr>
              <w:t>10/100/1000M</w:t>
            </w:r>
            <w:r>
              <w:rPr>
                <w:rFonts w:hint="eastAsia" w:ascii="宋体" w:hAnsi="宋体" w:cs="宋体"/>
                <w:color w:val="auto"/>
                <w:kern w:val="0"/>
                <w:szCs w:val="21"/>
              </w:rPr>
              <w:t>以太网电口≥</w:t>
            </w:r>
            <w:r>
              <w:rPr>
                <w:rFonts w:ascii="宋体" w:hAnsi="宋体" w:cs="宋体"/>
                <w:color w:val="auto"/>
                <w:kern w:val="0"/>
                <w:szCs w:val="21"/>
              </w:rPr>
              <w:t>8个，100/1000M SFP千兆光接口≥2个；交换容量20Gbps，包转发率14.88Mpps；金属外壳，外置电源适配器AC220V；具备良好的电磁兼容性及防震动防冲击能力；以太网防雷等级6kv；大缓存，高清视频流不卡顿；低功耗、无风扇、无噪音设计；支持正常、监控、隔离等不同工作模式；支持MAC地址自动学习、自动老化；支持存储转发交换模式；适应-40℃-75℃</w:t>
            </w:r>
            <w:r>
              <w:rPr>
                <w:rFonts w:hint="eastAsia" w:ascii="宋体" w:hAnsi="宋体" w:cs="宋体"/>
                <w:color w:val="auto"/>
                <w:kern w:val="0"/>
                <w:szCs w:val="21"/>
              </w:rPr>
              <w:t>宽温工作环境，工业级防护设计，不低于</w:t>
            </w:r>
            <w:r>
              <w:rPr>
                <w:rFonts w:ascii="宋体" w:hAnsi="宋体" w:cs="宋体"/>
                <w:color w:val="auto"/>
                <w:kern w:val="0"/>
                <w:szCs w:val="21"/>
              </w:rPr>
              <w:t>IP40防护，三年质保。</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华为</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华三</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博达</w:t>
            </w:r>
          </w:p>
        </w:tc>
      </w:tr>
      <w:tr>
        <w:tblPrEx>
          <w:tblCellMar>
            <w:top w:w="0" w:type="dxa"/>
            <w:left w:w="108" w:type="dxa"/>
            <w:bottom w:w="0" w:type="dxa"/>
            <w:right w:w="108" w:type="dxa"/>
          </w:tblCellMar>
        </w:tblPrEx>
        <w:trPr>
          <w:trHeight w:val="141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45</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16口交换机</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52</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全千兆交换机，采用工业芯片，固化</w:t>
            </w:r>
            <w:r>
              <w:rPr>
                <w:rFonts w:ascii="宋体" w:hAnsi="宋体" w:cs="宋体"/>
                <w:color w:val="auto"/>
                <w:kern w:val="0"/>
                <w:szCs w:val="21"/>
              </w:rPr>
              <w:t>10/100/1000M</w:t>
            </w:r>
            <w:r>
              <w:rPr>
                <w:rFonts w:hint="eastAsia" w:ascii="宋体" w:hAnsi="宋体" w:cs="宋体"/>
                <w:color w:val="auto"/>
                <w:kern w:val="0"/>
                <w:szCs w:val="21"/>
              </w:rPr>
              <w:t>以太网电口≥</w:t>
            </w:r>
            <w:r>
              <w:rPr>
                <w:rFonts w:ascii="宋体" w:hAnsi="宋体" w:cs="宋体"/>
                <w:color w:val="auto"/>
                <w:kern w:val="0"/>
                <w:szCs w:val="21"/>
              </w:rPr>
              <w:t>16个，100/1000M SFP千兆光接口≥2个；交换容量52Gbps，包转发率38.69Mpps；金属外壳，标配电源AC220V；具备良好的电磁兼容性及防震动防冲击能力；以太网防雷等级6kv；大缓存，高清视频流不卡顿；低功耗、无风扇、无噪音设计；支持正常、监控、隔离等不同工作模式；支持MAC地址自动学习、自动老化；支持存储转发交换模式；适应-40℃-75℃</w:t>
            </w:r>
            <w:r>
              <w:rPr>
                <w:rFonts w:hint="eastAsia" w:ascii="宋体" w:hAnsi="宋体" w:cs="宋体"/>
                <w:color w:val="auto"/>
                <w:kern w:val="0"/>
                <w:szCs w:val="21"/>
              </w:rPr>
              <w:t>宽温工作环境，工业级防护设计，不低于</w:t>
            </w:r>
            <w:r>
              <w:rPr>
                <w:rFonts w:ascii="宋体" w:hAnsi="宋体" w:cs="宋体"/>
                <w:color w:val="auto"/>
                <w:kern w:val="0"/>
                <w:szCs w:val="21"/>
              </w:rPr>
              <w:t>IP40防护，三年质保。</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华为</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华三</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博达</w:t>
            </w:r>
          </w:p>
        </w:tc>
      </w:tr>
      <w:tr>
        <w:tblPrEx>
          <w:tblCellMar>
            <w:top w:w="0" w:type="dxa"/>
            <w:left w:w="108" w:type="dxa"/>
            <w:bottom w:w="0" w:type="dxa"/>
            <w:right w:w="108" w:type="dxa"/>
          </w:tblCellMar>
        </w:tblPrEx>
        <w:trPr>
          <w:trHeight w:val="202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46</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24汇聚交换机</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79</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1个CLI口，24个</w:t>
            </w:r>
            <w:r>
              <w:rPr>
                <w:rFonts w:hint="eastAsia" w:ascii="宋体" w:hAnsi="宋体" w:cs="宋体"/>
                <w:color w:val="auto"/>
                <w:kern w:val="0"/>
                <w:szCs w:val="21"/>
              </w:rPr>
              <w:t>千兆电口，</w:t>
            </w:r>
            <w:r>
              <w:rPr>
                <w:rFonts w:ascii="宋体" w:hAnsi="宋体" w:cs="宋体"/>
                <w:color w:val="auto"/>
                <w:kern w:val="0"/>
                <w:szCs w:val="21"/>
              </w:rPr>
              <w:t>4个千/百兆SFP光口；标配电源AC220V；无风扇；交换容量336Gbps，包转发率108Mpps；支持IEEE 802.1d（STP）、802.1w（RSTP）、802.1s(MSTP)；支持802.1q VLAN,支持QINQ；支持802.3ad端口聚合每组最大8个、支持动态LACP或静态聚合；支持802.1p，支持SP、WRR算法队列；支持IGMPv1/v2/v3、PIM-SM、PIM-DM，支持组播流量跨VLAN复制功能；支持DHCP snooping，DHCP server，DHCP raleay；支持802.1X/Radius认证，支持IP+MAC+端口绑定；支持静态配置和动态学习MAC地址；支持ipv4/ipv6双</w:t>
            </w:r>
            <w:r>
              <w:rPr>
                <w:rFonts w:hint="eastAsia" w:ascii="宋体" w:hAnsi="宋体" w:cs="宋体"/>
                <w:color w:val="auto"/>
                <w:kern w:val="0"/>
                <w:szCs w:val="21"/>
              </w:rPr>
              <w:t>栈协议；支持静态路由，支持</w:t>
            </w:r>
            <w:r>
              <w:rPr>
                <w:rFonts w:ascii="宋体" w:hAnsi="宋体" w:cs="宋体"/>
                <w:color w:val="auto"/>
                <w:kern w:val="0"/>
                <w:szCs w:val="21"/>
              </w:rPr>
              <w:t>RIP、RIPng、OSPFv2/v3动态路由；支持EAPS、ERPS；支持Console、Telnet、SSH、WEB；三年质保。</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华为</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华三</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博达</w:t>
            </w:r>
          </w:p>
        </w:tc>
      </w:tr>
      <w:tr>
        <w:tblPrEx>
          <w:tblCellMar>
            <w:top w:w="0" w:type="dxa"/>
            <w:left w:w="108" w:type="dxa"/>
            <w:bottom w:w="0" w:type="dxa"/>
            <w:right w:w="108" w:type="dxa"/>
          </w:tblCellMar>
        </w:tblPrEx>
        <w:trPr>
          <w:trHeight w:val="810"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47</w:t>
            </w:r>
          </w:p>
        </w:tc>
        <w:tc>
          <w:tcPr>
            <w:tcW w:w="694"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安全接入网关</w:t>
            </w:r>
          </w:p>
        </w:tc>
        <w:tc>
          <w:tcPr>
            <w:tcW w:w="383"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49</w:t>
            </w:r>
          </w:p>
        </w:tc>
        <w:tc>
          <w:tcPr>
            <w:tcW w:w="249"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2117" w:type="pct"/>
            <w:tcBorders>
              <w:top w:val="nil"/>
              <w:left w:val="nil"/>
              <w:bottom w:val="nil"/>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吞吐性能：</w:t>
            </w:r>
            <w:r>
              <w:rPr>
                <w:rFonts w:ascii="宋体" w:hAnsi="宋体" w:cs="宋体"/>
                <w:color w:val="auto"/>
                <w:kern w:val="0"/>
                <w:szCs w:val="21"/>
              </w:rPr>
              <w:t>200Mbps，VPN加密性能（混合包场景，平均包长516）：60Mbps。</w:t>
            </w:r>
            <w:r>
              <w:rPr>
                <w:rFonts w:ascii="宋体" w:hAnsi="宋体" w:cs="宋体"/>
                <w:color w:val="auto"/>
                <w:kern w:val="0"/>
                <w:szCs w:val="21"/>
              </w:rPr>
              <w:br w:type="textWrapping"/>
            </w:r>
            <w:r>
              <w:rPr>
                <w:rFonts w:hint="eastAsia" w:ascii="宋体" w:hAnsi="宋体" w:cs="宋体"/>
                <w:color w:val="auto"/>
                <w:kern w:val="0"/>
                <w:szCs w:val="21"/>
              </w:rPr>
              <w:t>内存大小：</w:t>
            </w:r>
            <w:r>
              <w:rPr>
                <w:rFonts w:ascii="宋体" w:hAnsi="宋体" w:cs="宋体"/>
                <w:color w:val="auto"/>
                <w:kern w:val="0"/>
                <w:szCs w:val="21"/>
              </w:rPr>
              <w:t>512M，硬盘容量：</w:t>
            </w:r>
            <w:r>
              <w:rPr>
                <w:rFonts w:hint="eastAsia" w:ascii="宋体" w:hAnsi="宋体" w:cs="宋体"/>
                <w:color w:val="auto"/>
                <w:kern w:val="0"/>
                <w:szCs w:val="21"/>
              </w:rPr>
              <w:t>板载</w:t>
            </w:r>
            <w:r>
              <w:rPr>
                <w:rFonts w:ascii="宋体" w:hAnsi="宋体" w:cs="宋体"/>
                <w:color w:val="auto"/>
                <w:kern w:val="0"/>
                <w:szCs w:val="21"/>
              </w:rPr>
              <w:t>FLASH 4GB，电源：单电源，接口：5</w:t>
            </w:r>
            <w:r>
              <w:rPr>
                <w:rFonts w:hint="eastAsia" w:ascii="宋体" w:hAnsi="宋体" w:cs="宋体"/>
                <w:color w:val="auto"/>
                <w:kern w:val="0"/>
                <w:szCs w:val="21"/>
              </w:rPr>
              <w:t>千兆电口。兼备</w:t>
            </w:r>
            <w:r>
              <w:rPr>
                <w:rFonts w:ascii="宋体" w:hAnsi="宋体" w:cs="宋体"/>
                <w:color w:val="auto"/>
                <w:kern w:val="0"/>
                <w:szCs w:val="21"/>
              </w:rPr>
              <w:t>IPSec VPN、路由、交换等功能；三年质保</w:t>
            </w:r>
          </w:p>
        </w:tc>
        <w:tc>
          <w:tcPr>
            <w:tcW w:w="420"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深信服</w:t>
            </w:r>
          </w:p>
        </w:tc>
        <w:tc>
          <w:tcPr>
            <w:tcW w:w="420"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齐安信</w:t>
            </w:r>
          </w:p>
        </w:tc>
        <w:tc>
          <w:tcPr>
            <w:tcW w:w="419"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绿盟</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（二）</w:t>
            </w:r>
          </w:p>
        </w:tc>
        <w:tc>
          <w:tcPr>
            <w:tcW w:w="3443"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color w:val="auto"/>
                <w:kern w:val="0"/>
                <w:szCs w:val="21"/>
              </w:rPr>
            </w:pPr>
            <w:r>
              <w:rPr>
                <w:rFonts w:hint="eastAsia" w:ascii="宋体" w:hAnsi="宋体" w:cs="宋体"/>
                <w:b/>
                <w:bCs/>
                <w:color w:val="auto"/>
                <w:kern w:val="0"/>
                <w:szCs w:val="21"/>
              </w:rPr>
              <w:t>辅材及施工</w:t>
            </w:r>
          </w:p>
        </w:tc>
        <w:tc>
          <w:tcPr>
            <w:tcW w:w="42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2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1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121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抱杆箱</w:t>
            </w:r>
            <w:r>
              <w:rPr>
                <w:rFonts w:ascii="宋体" w:hAnsi="宋体" w:cs="宋体"/>
                <w:color w:val="auto"/>
                <w:kern w:val="0"/>
                <w:szCs w:val="21"/>
              </w:rPr>
              <w:t>1</w:t>
            </w:r>
          </w:p>
        </w:tc>
        <w:tc>
          <w:tcPr>
            <w:tcW w:w="383"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651</w:t>
            </w:r>
          </w:p>
        </w:tc>
        <w:tc>
          <w:tcPr>
            <w:tcW w:w="249"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尺寸：</w:t>
            </w:r>
            <w:r>
              <w:rPr>
                <w:rFonts w:ascii="宋体" w:hAnsi="宋体" w:cs="宋体"/>
                <w:color w:val="auto"/>
                <w:kern w:val="0"/>
                <w:szCs w:val="21"/>
              </w:rPr>
              <w:t>500×400×250mm，箱</w:t>
            </w:r>
            <w:r>
              <w:rPr>
                <w:rFonts w:hint="eastAsia" w:ascii="宋体" w:hAnsi="宋体" w:cs="宋体"/>
                <w:color w:val="auto"/>
                <w:kern w:val="0"/>
                <w:szCs w:val="21"/>
              </w:rPr>
              <w:t>壳采用≥</w:t>
            </w:r>
            <w:r>
              <w:rPr>
                <w:rFonts w:ascii="宋体" w:hAnsi="宋体" w:cs="宋体"/>
                <w:color w:val="auto"/>
                <w:kern w:val="0"/>
                <w:szCs w:val="21"/>
              </w:rPr>
              <w:t>1.0 mm，镀锌材质，表面喷塑，定制LOGO；</w:t>
            </w:r>
            <w:r>
              <w:rPr>
                <w:rFonts w:ascii="宋体" w:hAnsi="宋体" w:cs="宋体"/>
                <w:color w:val="auto"/>
                <w:kern w:val="0"/>
                <w:szCs w:val="21"/>
              </w:rPr>
              <w:br w:type="textWrapping"/>
            </w:r>
            <w:r>
              <w:rPr>
                <w:rFonts w:ascii="宋体" w:hAnsi="宋体" w:cs="宋体"/>
                <w:color w:val="auto"/>
                <w:kern w:val="0"/>
                <w:szCs w:val="21"/>
              </w:rPr>
              <w:t xml:space="preserve">2.内部装置； </w:t>
            </w:r>
            <w:r>
              <w:rPr>
                <w:rFonts w:hint="eastAsia" w:ascii="宋体" w:hAnsi="宋体" w:cs="宋体"/>
                <w:color w:val="auto"/>
                <w:kern w:val="0"/>
                <w:szCs w:val="21"/>
              </w:rPr>
              <w:t>空开</w:t>
            </w:r>
            <w:r>
              <w:rPr>
                <w:rFonts w:ascii="宋体" w:hAnsi="宋体" w:cs="宋体"/>
                <w:color w:val="auto"/>
                <w:kern w:val="0"/>
                <w:szCs w:val="21"/>
              </w:rPr>
              <w:t>2P 32A/1只,三芯插座1只,接地排2/条（接地铜排2条），220V40A浪涌保护器/1只，隔板1块，安装1件，排风口不锈钢防尘网2/</w:t>
            </w:r>
            <w:r>
              <w:rPr>
                <w:rFonts w:hint="eastAsia" w:ascii="宋体" w:hAnsi="宋体" w:cs="宋体"/>
                <w:color w:val="auto"/>
                <w:kern w:val="0"/>
                <w:szCs w:val="21"/>
              </w:rPr>
              <w:t>个、绑线梁</w:t>
            </w:r>
            <w:r>
              <w:rPr>
                <w:rFonts w:ascii="宋体" w:hAnsi="宋体" w:cs="宋体"/>
                <w:color w:val="auto"/>
                <w:kern w:val="0"/>
                <w:szCs w:val="21"/>
              </w:rPr>
              <w:t>2件（水平线</w:t>
            </w:r>
            <w:r>
              <w:rPr>
                <w:rFonts w:hint="eastAsia" w:ascii="宋体" w:hAnsi="宋体" w:cs="宋体"/>
                <w:color w:val="auto"/>
                <w:kern w:val="0"/>
                <w:szCs w:val="21"/>
              </w:rPr>
              <w:t>缆管理杆）、进线孔胶套（</w:t>
            </w:r>
            <w:r>
              <w:rPr>
                <w:rFonts w:ascii="宋体" w:hAnsi="宋体" w:cs="宋体"/>
                <w:color w:val="auto"/>
                <w:kern w:val="0"/>
                <w:szCs w:val="21"/>
              </w:rPr>
              <w:t>50橡皮圈1个），6位10A</w:t>
            </w:r>
            <w:r>
              <w:rPr>
                <w:rFonts w:hint="eastAsia" w:ascii="宋体" w:hAnsi="宋体" w:cs="宋体"/>
                <w:color w:val="auto"/>
                <w:kern w:val="0"/>
                <w:szCs w:val="21"/>
              </w:rPr>
              <w:t>排插</w:t>
            </w:r>
            <w:r>
              <w:rPr>
                <w:rFonts w:ascii="宋体" w:hAnsi="宋体" w:cs="宋体"/>
                <w:color w:val="auto"/>
                <w:kern w:val="0"/>
                <w:szCs w:val="21"/>
              </w:rPr>
              <w:t>1只</w:t>
            </w:r>
            <w:r>
              <w:rPr>
                <w:rFonts w:hint="eastAsia" w:ascii="宋体" w:hAnsi="宋体" w:cs="宋体"/>
                <w:color w:val="auto"/>
                <w:kern w:val="0"/>
                <w:szCs w:val="21"/>
              </w:rPr>
              <w:t>等。</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r>
      <w:tr>
        <w:tblPrEx>
          <w:tblCellMar>
            <w:top w:w="0" w:type="dxa"/>
            <w:left w:w="108" w:type="dxa"/>
            <w:bottom w:w="0" w:type="dxa"/>
            <w:right w:w="108" w:type="dxa"/>
          </w:tblCellMar>
        </w:tblPrEx>
        <w:trPr>
          <w:trHeight w:val="121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抱杆箱</w:t>
            </w:r>
            <w:r>
              <w:rPr>
                <w:rFonts w:ascii="宋体" w:hAnsi="宋体" w:cs="宋体"/>
                <w:color w:val="auto"/>
                <w:kern w:val="0"/>
                <w:szCs w:val="21"/>
              </w:rPr>
              <w:t>2</w:t>
            </w:r>
          </w:p>
        </w:tc>
        <w:tc>
          <w:tcPr>
            <w:tcW w:w="38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418</w:t>
            </w:r>
          </w:p>
        </w:tc>
        <w:tc>
          <w:tcPr>
            <w:tcW w:w="2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1.尺寸：400×300×200mm，箱</w:t>
            </w:r>
            <w:r>
              <w:rPr>
                <w:rFonts w:hint="eastAsia" w:ascii="宋体" w:hAnsi="宋体" w:cs="宋体"/>
                <w:color w:val="auto"/>
                <w:kern w:val="0"/>
                <w:szCs w:val="21"/>
              </w:rPr>
              <w:t>壳采用≥</w:t>
            </w:r>
            <w:r>
              <w:rPr>
                <w:rFonts w:ascii="宋体" w:hAnsi="宋体" w:cs="宋体"/>
                <w:color w:val="auto"/>
                <w:kern w:val="0"/>
                <w:szCs w:val="21"/>
              </w:rPr>
              <w:t>1.0 mm，镀锌材质，表面喷塑，定制LOGO；</w:t>
            </w:r>
            <w:r>
              <w:rPr>
                <w:rFonts w:ascii="宋体" w:hAnsi="宋体" w:cs="宋体"/>
                <w:color w:val="auto"/>
                <w:kern w:val="0"/>
                <w:szCs w:val="21"/>
              </w:rPr>
              <w:br w:type="textWrapping"/>
            </w:r>
            <w:r>
              <w:rPr>
                <w:rFonts w:ascii="宋体" w:hAnsi="宋体" w:cs="宋体"/>
                <w:color w:val="auto"/>
                <w:kern w:val="0"/>
                <w:szCs w:val="21"/>
              </w:rPr>
              <w:t>2.含空开2P 32A/1只,三芯插座1只,接地排2/条（接地铜排2条），220V40A浪涌保护器/1只，隔板1块，安装1件，排风口不锈钢防尘网2/</w:t>
            </w:r>
            <w:r>
              <w:rPr>
                <w:rFonts w:hint="eastAsia" w:ascii="宋体" w:hAnsi="宋体" w:cs="宋体"/>
                <w:color w:val="auto"/>
                <w:kern w:val="0"/>
                <w:szCs w:val="21"/>
              </w:rPr>
              <w:t>个、绑线梁</w:t>
            </w:r>
            <w:r>
              <w:rPr>
                <w:rFonts w:ascii="宋体" w:hAnsi="宋体" w:cs="宋体"/>
                <w:color w:val="auto"/>
                <w:kern w:val="0"/>
                <w:szCs w:val="21"/>
              </w:rPr>
              <w:t>2件（水平线</w:t>
            </w:r>
            <w:r>
              <w:rPr>
                <w:rFonts w:hint="eastAsia" w:ascii="宋体" w:hAnsi="宋体" w:cs="宋体"/>
                <w:color w:val="auto"/>
                <w:kern w:val="0"/>
                <w:szCs w:val="21"/>
              </w:rPr>
              <w:t>缆管理杆）、进线孔胶套（φ</w:t>
            </w:r>
            <w:r>
              <w:rPr>
                <w:rFonts w:ascii="宋体" w:hAnsi="宋体" w:cs="宋体"/>
                <w:color w:val="auto"/>
                <w:kern w:val="0"/>
                <w:szCs w:val="21"/>
              </w:rPr>
              <w:t>50橡皮圈1个），4位10A</w:t>
            </w:r>
            <w:r>
              <w:rPr>
                <w:rFonts w:hint="eastAsia" w:ascii="宋体" w:hAnsi="宋体" w:cs="宋体"/>
                <w:color w:val="auto"/>
                <w:kern w:val="0"/>
                <w:szCs w:val="21"/>
              </w:rPr>
              <w:t>排插</w:t>
            </w:r>
            <w:r>
              <w:rPr>
                <w:rFonts w:ascii="宋体" w:hAnsi="宋体" w:cs="宋体"/>
                <w:color w:val="auto"/>
                <w:kern w:val="0"/>
                <w:szCs w:val="21"/>
              </w:rPr>
              <w:t>1只</w:t>
            </w:r>
            <w:r>
              <w:rPr>
                <w:rFonts w:hint="eastAsia" w:ascii="宋体" w:hAnsi="宋体" w:cs="宋体"/>
                <w:color w:val="auto"/>
                <w:kern w:val="0"/>
                <w:szCs w:val="21"/>
              </w:rPr>
              <w:t>等。</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3</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15U网络机柜</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251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15U，高800*宽600*深600MM，带8位以上5孔10A插座、空开</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摄像机电源线</w:t>
            </w:r>
            <w:r>
              <w:rPr>
                <w:rFonts w:ascii="宋体" w:hAnsi="宋体" w:cs="宋体"/>
                <w:color w:val="auto"/>
                <w:kern w:val="0"/>
                <w:szCs w:val="21"/>
              </w:rPr>
              <w:t xml:space="preserve"> </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67987</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米</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RVV-2×1.0mm2（管内穿线）</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5</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摄像机电源线</w:t>
            </w:r>
            <w:r>
              <w:rPr>
                <w:rFonts w:ascii="宋体" w:hAnsi="宋体" w:cs="宋体"/>
                <w:color w:val="auto"/>
                <w:kern w:val="0"/>
                <w:szCs w:val="21"/>
              </w:rPr>
              <w:t xml:space="preserve"> </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55228</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米</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RVV-3×1.5mm2（管内穿线）</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6</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充电桩电源线长度</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974</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米</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YJV-0.6/1kV 3×10mm2）（管内穿线）</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r>
      <w:tr>
        <w:tblPrEx>
          <w:tblCellMar>
            <w:top w:w="0" w:type="dxa"/>
            <w:left w:w="108" w:type="dxa"/>
            <w:bottom w:w="0" w:type="dxa"/>
            <w:right w:w="108" w:type="dxa"/>
          </w:tblCellMar>
        </w:tblPrEx>
        <w:trPr>
          <w:trHeight w:val="40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7</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网线（含终端</w:t>
            </w:r>
            <w:r>
              <w:rPr>
                <w:rFonts w:ascii="宋体" w:hAnsi="宋体" w:cs="宋体"/>
                <w:color w:val="auto"/>
                <w:kern w:val="0"/>
                <w:szCs w:val="21"/>
              </w:rPr>
              <w:t>RJ45接头）</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69884</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米</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六类网线，</w:t>
            </w:r>
            <w:r>
              <w:rPr>
                <w:rFonts w:ascii="宋体" w:hAnsi="宋体" w:cs="宋体"/>
                <w:color w:val="auto"/>
                <w:kern w:val="0"/>
                <w:szCs w:val="21"/>
              </w:rPr>
              <w:t>0.57MM线径</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8</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室外铠装光缆</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123900</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米</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GYTS-4芯</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9</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室外铠装光缆</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11955</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米</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GYTS-24芯</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10</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12口光配线架</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59</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12口光配线架（含LC耦合接头，尾</w:t>
            </w:r>
            <w:r>
              <w:rPr>
                <w:rFonts w:hint="eastAsia" w:ascii="宋体" w:hAnsi="宋体" w:cs="宋体"/>
                <w:color w:val="auto"/>
                <w:kern w:val="0"/>
                <w:szCs w:val="21"/>
              </w:rPr>
              <w:t>纤等）</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11</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24口光配线架</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333</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24口光配线架（含LC耦合接头，尾</w:t>
            </w:r>
            <w:r>
              <w:rPr>
                <w:rFonts w:hint="eastAsia" w:ascii="宋体" w:hAnsi="宋体" w:cs="宋体"/>
                <w:color w:val="auto"/>
                <w:kern w:val="0"/>
                <w:szCs w:val="21"/>
              </w:rPr>
              <w:t>纤等）</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12</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4口</w:t>
            </w:r>
            <w:r>
              <w:rPr>
                <w:rFonts w:hint="eastAsia" w:ascii="宋体" w:hAnsi="宋体" w:cs="宋体"/>
                <w:color w:val="auto"/>
                <w:kern w:val="0"/>
                <w:szCs w:val="21"/>
              </w:rPr>
              <w:t>光端盒</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723</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4口光端盒（含LC耦合接头，尾</w:t>
            </w:r>
            <w:r>
              <w:rPr>
                <w:rFonts w:hint="eastAsia" w:ascii="宋体" w:hAnsi="宋体" w:cs="宋体"/>
                <w:color w:val="auto"/>
                <w:kern w:val="0"/>
                <w:szCs w:val="21"/>
              </w:rPr>
              <w:t>纤等）</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13</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室外光纤接线包</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539</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含所需配件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14</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光纤跳线（</w:t>
            </w:r>
            <w:r>
              <w:rPr>
                <w:rFonts w:ascii="宋体" w:hAnsi="宋体" w:cs="宋体"/>
                <w:color w:val="auto"/>
                <w:kern w:val="0"/>
                <w:szCs w:val="21"/>
              </w:rPr>
              <w:t>1米）</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1920</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条</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光纤跳线（</w:t>
            </w:r>
            <w:r>
              <w:rPr>
                <w:rFonts w:ascii="宋体" w:hAnsi="宋体" w:cs="宋体"/>
                <w:color w:val="auto"/>
                <w:kern w:val="0"/>
                <w:szCs w:val="21"/>
              </w:rPr>
              <w:t>1米）双芯双光缆LC-LC单模跳线，</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15</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熔纤费</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7508</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芯</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光纤熔接（含尾纤）</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16</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 xml:space="preserve">PVC管 </w:t>
            </w:r>
            <w:r>
              <w:rPr>
                <w:rFonts w:hint="eastAsia" w:ascii="宋体" w:hAnsi="宋体" w:cs="宋体"/>
                <w:color w:val="auto"/>
                <w:kern w:val="0"/>
                <w:szCs w:val="21"/>
              </w:rPr>
              <w:t>Φ</w:t>
            </w:r>
            <w:r>
              <w:rPr>
                <w:rFonts w:ascii="宋体" w:hAnsi="宋体" w:cs="宋体"/>
                <w:color w:val="auto"/>
                <w:kern w:val="0"/>
                <w:szCs w:val="21"/>
              </w:rPr>
              <w:t>25</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63909</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米</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 xml:space="preserve">PVC管 </w:t>
            </w:r>
            <w:r>
              <w:rPr>
                <w:rFonts w:hint="eastAsia" w:ascii="宋体" w:hAnsi="宋体" w:cs="宋体"/>
                <w:color w:val="auto"/>
                <w:kern w:val="0"/>
                <w:szCs w:val="21"/>
              </w:rPr>
              <w:t>Φ</w:t>
            </w:r>
            <w:r>
              <w:rPr>
                <w:rFonts w:ascii="宋体" w:hAnsi="宋体" w:cs="宋体"/>
                <w:color w:val="auto"/>
                <w:kern w:val="0"/>
                <w:szCs w:val="21"/>
              </w:rPr>
              <w:t>25</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17</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PVC管(φ32)</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20962</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米</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PVC管(φ32)</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18</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PE管(φ32)</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117145</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米</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32#PE线管</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19</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镀锌钢管</w:t>
            </w:r>
            <w:r>
              <w:rPr>
                <w:rFonts w:ascii="宋体" w:hAnsi="宋体" w:cs="宋体"/>
                <w:color w:val="auto"/>
                <w:kern w:val="0"/>
                <w:szCs w:val="21"/>
              </w:rPr>
              <w:t>(φ32)</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14921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米</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φ</w:t>
            </w:r>
            <w:r>
              <w:rPr>
                <w:rFonts w:ascii="宋体" w:hAnsi="宋体" w:cs="宋体"/>
                <w:color w:val="auto"/>
                <w:kern w:val="0"/>
                <w:szCs w:val="21"/>
              </w:rPr>
              <w:t>32镀锌钢管，壁厚不低于3.0mm</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20</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镀锌钢管</w:t>
            </w:r>
            <w:r>
              <w:rPr>
                <w:rFonts w:ascii="宋体" w:hAnsi="宋体" w:cs="宋体"/>
                <w:color w:val="auto"/>
                <w:kern w:val="0"/>
                <w:szCs w:val="21"/>
              </w:rPr>
              <w:t>(φ50)</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1176</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米</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φ</w:t>
            </w:r>
            <w:r>
              <w:rPr>
                <w:rFonts w:ascii="宋体" w:hAnsi="宋体" w:cs="宋体"/>
                <w:color w:val="auto"/>
                <w:kern w:val="0"/>
                <w:szCs w:val="21"/>
              </w:rPr>
              <w:t>50镀锌钢管，壁厚不低于3.5mm</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r>
      <w:tr>
        <w:tblPrEx>
          <w:tblCellMar>
            <w:top w:w="0" w:type="dxa"/>
            <w:left w:w="108" w:type="dxa"/>
            <w:bottom w:w="0" w:type="dxa"/>
            <w:right w:w="108" w:type="dxa"/>
          </w:tblCellMar>
        </w:tblPrEx>
        <w:trPr>
          <w:trHeight w:val="810"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21</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立杆及基础</w:t>
            </w:r>
            <w:r>
              <w:rPr>
                <w:rFonts w:ascii="宋体" w:hAnsi="宋体" w:cs="宋体"/>
                <w:color w:val="auto"/>
                <w:kern w:val="0"/>
                <w:szCs w:val="21"/>
              </w:rPr>
              <w:t>-L1.5×0.5</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35</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国标</w:t>
            </w:r>
            <w:r>
              <w:rPr>
                <w:rFonts w:ascii="宋体" w:hAnsi="宋体" w:cs="宋体"/>
                <w:color w:val="auto"/>
                <w:kern w:val="0"/>
                <w:szCs w:val="21"/>
              </w:rPr>
              <w:t>Q235-B钢材，热镀锌材质，热镀锌层不低于70μm，表面喷塑，喷塑涂层不小于1mm；立杆及基础-1.5×0.5，竖杆1.5米高，横杆0.5米长，管形杆；至少包含立杆装卸、运输及吊装，人工、混凝土浇筑、土方开挖及清运、布管布线、模板、小区环境保护等基础有关的内容；</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121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22</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立杆及基础</w:t>
            </w:r>
            <w:r>
              <w:rPr>
                <w:rFonts w:ascii="宋体" w:hAnsi="宋体" w:cs="宋体"/>
                <w:color w:val="auto"/>
                <w:kern w:val="0"/>
                <w:szCs w:val="21"/>
              </w:rPr>
              <w:t>-L2.8×0.5</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211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国标</w:t>
            </w:r>
            <w:r>
              <w:rPr>
                <w:rFonts w:ascii="宋体" w:hAnsi="宋体" w:cs="宋体"/>
                <w:color w:val="auto"/>
                <w:kern w:val="0"/>
                <w:szCs w:val="21"/>
              </w:rPr>
              <w:t xml:space="preserve">Q235-B钢材，热镀锌材质，热镀锌层不低于70μm，表面喷塑，喷塑涂层不小于lmm;立杆高度2.8m，中140等径杆，管壁厚3mm; </w:t>
            </w:r>
            <w:r>
              <w:rPr>
                <w:rFonts w:hint="eastAsia" w:ascii="宋体" w:hAnsi="宋体" w:cs="宋体"/>
                <w:color w:val="auto"/>
                <w:kern w:val="0"/>
                <w:szCs w:val="21"/>
              </w:rPr>
              <w:t>横臂</w:t>
            </w:r>
            <w:r>
              <w:rPr>
                <w:rFonts w:ascii="宋体" w:hAnsi="宋体" w:cs="宋体"/>
                <w:color w:val="auto"/>
                <w:kern w:val="0"/>
                <w:szCs w:val="21"/>
              </w:rPr>
              <w:t xml:space="preserve">0.5米，壁厚3mm; </w:t>
            </w:r>
            <w:r>
              <w:rPr>
                <w:rFonts w:hint="eastAsia" w:ascii="宋体" w:hAnsi="宋体" w:cs="宋体"/>
                <w:color w:val="auto"/>
                <w:kern w:val="0"/>
                <w:szCs w:val="21"/>
              </w:rPr>
              <w:t>底法兰不小于中</w:t>
            </w:r>
            <w:r>
              <w:rPr>
                <w:rFonts w:ascii="宋体" w:hAnsi="宋体" w:cs="宋体"/>
                <w:color w:val="auto"/>
                <w:kern w:val="0"/>
                <w:szCs w:val="21"/>
              </w:rPr>
              <w:t>300*14mm厚，梢</w:t>
            </w:r>
            <w:r>
              <w:rPr>
                <w:rFonts w:hint="eastAsia" w:ascii="宋体" w:hAnsi="宋体" w:cs="宋体"/>
                <w:color w:val="auto"/>
                <w:kern w:val="0"/>
                <w:szCs w:val="21"/>
              </w:rPr>
              <w:t>部固定法兰不小于中</w:t>
            </w:r>
            <w:r>
              <w:rPr>
                <w:rFonts w:ascii="宋体" w:hAnsi="宋体" w:cs="宋体"/>
                <w:color w:val="auto"/>
                <w:kern w:val="0"/>
                <w:szCs w:val="21"/>
              </w:rPr>
              <w:t>170*12mm厚，档部对接法兰个数根据现场核对:C25混凝土基础600*600*800:至少包含立杆装卸、运输及吊装，人工、混凝土浇筑、土方开挖及清运、布管布线、模板、小区环境保护等基础有关的内容；</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121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23</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立杆及基础</w:t>
            </w:r>
            <w:r>
              <w:rPr>
                <w:rFonts w:ascii="宋体" w:hAnsi="宋体" w:cs="宋体"/>
                <w:color w:val="auto"/>
                <w:kern w:val="0"/>
                <w:szCs w:val="21"/>
              </w:rPr>
              <w:t>-L2.8×1.0</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234</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国标</w:t>
            </w:r>
            <w:r>
              <w:rPr>
                <w:rFonts w:ascii="宋体" w:hAnsi="宋体" w:cs="宋体"/>
                <w:color w:val="auto"/>
                <w:kern w:val="0"/>
                <w:szCs w:val="21"/>
              </w:rPr>
              <w:t xml:space="preserve">Q235-B钢材，热镀锌材质，热镀锌层不低于70μm，表面喷塑，喷塑涂层不小于lmm;立杆高度2.8m，中140等径杆，管壁厚3mm; </w:t>
            </w:r>
            <w:r>
              <w:rPr>
                <w:rFonts w:hint="eastAsia" w:ascii="宋体" w:hAnsi="宋体" w:cs="宋体"/>
                <w:color w:val="auto"/>
                <w:kern w:val="0"/>
                <w:szCs w:val="21"/>
              </w:rPr>
              <w:t>横臂</w:t>
            </w:r>
            <w:r>
              <w:rPr>
                <w:rFonts w:ascii="宋体" w:hAnsi="宋体" w:cs="宋体"/>
                <w:color w:val="auto"/>
                <w:kern w:val="0"/>
                <w:szCs w:val="21"/>
              </w:rPr>
              <w:t xml:space="preserve">1.0米，壁厚3mm; </w:t>
            </w:r>
            <w:r>
              <w:rPr>
                <w:rFonts w:hint="eastAsia" w:ascii="宋体" w:hAnsi="宋体" w:cs="宋体"/>
                <w:color w:val="auto"/>
                <w:kern w:val="0"/>
                <w:szCs w:val="21"/>
              </w:rPr>
              <w:t>底法兰不小于中</w:t>
            </w:r>
            <w:r>
              <w:rPr>
                <w:rFonts w:ascii="宋体" w:hAnsi="宋体" w:cs="宋体"/>
                <w:color w:val="auto"/>
                <w:kern w:val="0"/>
                <w:szCs w:val="21"/>
              </w:rPr>
              <w:t>300*14mm厚，梢</w:t>
            </w:r>
            <w:r>
              <w:rPr>
                <w:rFonts w:hint="eastAsia" w:ascii="宋体" w:hAnsi="宋体" w:cs="宋体"/>
                <w:color w:val="auto"/>
                <w:kern w:val="0"/>
                <w:szCs w:val="21"/>
              </w:rPr>
              <w:t>部固定法兰不小于中</w:t>
            </w:r>
            <w:r>
              <w:rPr>
                <w:rFonts w:ascii="宋体" w:hAnsi="宋体" w:cs="宋体"/>
                <w:color w:val="auto"/>
                <w:kern w:val="0"/>
                <w:szCs w:val="21"/>
              </w:rPr>
              <w:t>170*12mm厚，档部对接法兰个数根据现场核对:C25混凝土基础600*600*800；至少包含立杆装卸、运输及吊装，人工、混凝土浇筑、土方开挖及清运、布管布线、模板、小区环境保护等基础有关的内容；</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121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24</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立杆及基础</w:t>
            </w:r>
            <w:r>
              <w:rPr>
                <w:rFonts w:ascii="宋体" w:hAnsi="宋体" w:cs="宋体"/>
                <w:color w:val="auto"/>
                <w:kern w:val="0"/>
                <w:szCs w:val="21"/>
              </w:rPr>
              <w:t>-T2.8×1.0+1.0</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29</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国标</w:t>
            </w:r>
            <w:r>
              <w:rPr>
                <w:rFonts w:ascii="宋体" w:hAnsi="宋体" w:cs="宋体"/>
                <w:color w:val="auto"/>
                <w:kern w:val="0"/>
                <w:szCs w:val="21"/>
              </w:rPr>
              <w:t xml:space="preserve">Q235-B钢材，热镀锌材质，热镀锌层不低于70μm，表面喷塑，喷塑涂层不小于lmm;立杆高度2.8m，中140等径杆，管壁厚3mm; </w:t>
            </w:r>
            <w:r>
              <w:rPr>
                <w:rFonts w:hint="eastAsia" w:ascii="宋体" w:hAnsi="宋体" w:cs="宋体"/>
                <w:color w:val="auto"/>
                <w:kern w:val="0"/>
                <w:szCs w:val="21"/>
              </w:rPr>
              <w:t>横臂</w:t>
            </w:r>
            <w:r>
              <w:rPr>
                <w:rFonts w:ascii="宋体" w:hAnsi="宋体" w:cs="宋体"/>
                <w:color w:val="auto"/>
                <w:kern w:val="0"/>
                <w:szCs w:val="21"/>
              </w:rPr>
              <w:t xml:space="preserve">1.0米+1.0米，壁厚3mm; </w:t>
            </w:r>
            <w:r>
              <w:rPr>
                <w:rFonts w:hint="eastAsia" w:ascii="宋体" w:hAnsi="宋体" w:cs="宋体"/>
                <w:color w:val="auto"/>
                <w:kern w:val="0"/>
                <w:szCs w:val="21"/>
              </w:rPr>
              <w:t>底法兰不小于中</w:t>
            </w:r>
            <w:r>
              <w:rPr>
                <w:rFonts w:ascii="宋体" w:hAnsi="宋体" w:cs="宋体"/>
                <w:color w:val="auto"/>
                <w:kern w:val="0"/>
                <w:szCs w:val="21"/>
              </w:rPr>
              <w:t>300*14mm厚，梢</w:t>
            </w:r>
            <w:r>
              <w:rPr>
                <w:rFonts w:hint="eastAsia" w:ascii="宋体" w:hAnsi="宋体" w:cs="宋体"/>
                <w:color w:val="auto"/>
                <w:kern w:val="0"/>
                <w:szCs w:val="21"/>
              </w:rPr>
              <w:t>部固定法兰不小于中</w:t>
            </w:r>
            <w:r>
              <w:rPr>
                <w:rFonts w:ascii="宋体" w:hAnsi="宋体" w:cs="宋体"/>
                <w:color w:val="auto"/>
                <w:kern w:val="0"/>
                <w:szCs w:val="21"/>
              </w:rPr>
              <w:t>170*12mm厚，档部对接法兰个数根据现场核对:C25混凝土基础600*600*800；至少包</w:t>
            </w:r>
            <w:r>
              <w:rPr>
                <w:rFonts w:hint="eastAsia" w:ascii="宋体" w:hAnsi="宋体" w:cs="宋体"/>
                <w:color w:val="auto"/>
                <w:kern w:val="0"/>
                <w:szCs w:val="21"/>
              </w:rPr>
              <w:t>含立杆装卸、运输及吊装，人工、混凝土浇筑、土方开挖及清运、布管布线、模板、小区环境保护等基础有关的内容；</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121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25</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立杆及基础</w:t>
            </w:r>
            <w:r>
              <w:rPr>
                <w:rFonts w:ascii="宋体" w:hAnsi="宋体" w:cs="宋体"/>
                <w:color w:val="auto"/>
                <w:kern w:val="0"/>
                <w:szCs w:val="21"/>
              </w:rPr>
              <w:t>-L3.5×0.5</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315</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国标</w:t>
            </w:r>
            <w:r>
              <w:rPr>
                <w:rFonts w:ascii="宋体" w:hAnsi="宋体" w:cs="宋体"/>
                <w:color w:val="auto"/>
                <w:kern w:val="0"/>
                <w:szCs w:val="21"/>
              </w:rPr>
              <w:t xml:space="preserve">Q235-B钢材，热镀锌材质，热镀锌层不低于70μm，表面喷塑，喷塑涂层不小于lmm;立杆高度3.5m，中140等径杆，管壁厚3mm; </w:t>
            </w:r>
            <w:r>
              <w:rPr>
                <w:rFonts w:hint="eastAsia" w:ascii="宋体" w:hAnsi="宋体" w:cs="宋体"/>
                <w:color w:val="auto"/>
                <w:kern w:val="0"/>
                <w:szCs w:val="21"/>
              </w:rPr>
              <w:t>横臂</w:t>
            </w:r>
            <w:r>
              <w:rPr>
                <w:rFonts w:ascii="宋体" w:hAnsi="宋体" w:cs="宋体"/>
                <w:color w:val="auto"/>
                <w:kern w:val="0"/>
                <w:szCs w:val="21"/>
              </w:rPr>
              <w:t xml:space="preserve">0.5米，壁厚3mm; </w:t>
            </w:r>
            <w:r>
              <w:rPr>
                <w:rFonts w:hint="eastAsia" w:ascii="宋体" w:hAnsi="宋体" w:cs="宋体"/>
                <w:color w:val="auto"/>
                <w:kern w:val="0"/>
                <w:szCs w:val="21"/>
              </w:rPr>
              <w:t>底法兰不小于中</w:t>
            </w:r>
            <w:r>
              <w:rPr>
                <w:rFonts w:ascii="宋体" w:hAnsi="宋体" w:cs="宋体"/>
                <w:color w:val="auto"/>
                <w:kern w:val="0"/>
                <w:szCs w:val="21"/>
              </w:rPr>
              <w:t>300*14mm厚，梢</w:t>
            </w:r>
            <w:r>
              <w:rPr>
                <w:rFonts w:hint="eastAsia" w:ascii="宋体" w:hAnsi="宋体" w:cs="宋体"/>
                <w:color w:val="auto"/>
                <w:kern w:val="0"/>
                <w:szCs w:val="21"/>
              </w:rPr>
              <w:t>部固定法兰不小于中</w:t>
            </w:r>
            <w:r>
              <w:rPr>
                <w:rFonts w:ascii="宋体" w:hAnsi="宋体" w:cs="宋体"/>
                <w:color w:val="auto"/>
                <w:kern w:val="0"/>
                <w:szCs w:val="21"/>
              </w:rPr>
              <w:t>170*12mm厚，档部对接法兰个数根据现场核对:C25混凝土基础600*600*800；至少包含立杆装卸、运输及吊装，人工、混凝土浇筑、土方开挖及清运、布管布线、模板、小区环境保护等基础有关的内容；</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121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26</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立杆及基础</w:t>
            </w:r>
            <w:r>
              <w:rPr>
                <w:rFonts w:ascii="宋体" w:hAnsi="宋体" w:cs="宋体"/>
                <w:color w:val="auto"/>
                <w:kern w:val="0"/>
                <w:szCs w:val="21"/>
              </w:rPr>
              <w:t>-L3.5×1.0</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249</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国标</w:t>
            </w:r>
            <w:r>
              <w:rPr>
                <w:rFonts w:ascii="宋体" w:hAnsi="宋体" w:cs="宋体"/>
                <w:color w:val="auto"/>
                <w:kern w:val="0"/>
                <w:szCs w:val="21"/>
              </w:rPr>
              <w:t xml:space="preserve">Q235-B钢材，热镀锌材质，热镀锌层不低于70μm，表面喷塑，喷塑涂层不小于lmm;立杆高度3.5m，中140等径杆，管壁厚3mm; </w:t>
            </w:r>
            <w:r>
              <w:rPr>
                <w:rFonts w:hint="eastAsia" w:ascii="宋体" w:hAnsi="宋体" w:cs="宋体"/>
                <w:color w:val="auto"/>
                <w:kern w:val="0"/>
                <w:szCs w:val="21"/>
              </w:rPr>
              <w:t>横臂</w:t>
            </w:r>
            <w:r>
              <w:rPr>
                <w:rFonts w:ascii="宋体" w:hAnsi="宋体" w:cs="宋体"/>
                <w:color w:val="auto"/>
                <w:kern w:val="0"/>
                <w:szCs w:val="21"/>
              </w:rPr>
              <w:t xml:space="preserve">1.0米，壁厚3mm; </w:t>
            </w:r>
            <w:r>
              <w:rPr>
                <w:rFonts w:hint="eastAsia" w:ascii="宋体" w:hAnsi="宋体" w:cs="宋体"/>
                <w:color w:val="auto"/>
                <w:kern w:val="0"/>
                <w:szCs w:val="21"/>
              </w:rPr>
              <w:t>底法兰不小于中</w:t>
            </w:r>
            <w:r>
              <w:rPr>
                <w:rFonts w:ascii="宋体" w:hAnsi="宋体" w:cs="宋体"/>
                <w:color w:val="auto"/>
                <w:kern w:val="0"/>
                <w:szCs w:val="21"/>
              </w:rPr>
              <w:t>300*14mm厚，梢</w:t>
            </w:r>
            <w:r>
              <w:rPr>
                <w:rFonts w:hint="eastAsia" w:ascii="宋体" w:hAnsi="宋体" w:cs="宋体"/>
                <w:color w:val="auto"/>
                <w:kern w:val="0"/>
                <w:szCs w:val="21"/>
              </w:rPr>
              <w:t>部固定法兰不小于中</w:t>
            </w:r>
            <w:r>
              <w:rPr>
                <w:rFonts w:ascii="宋体" w:hAnsi="宋体" w:cs="宋体"/>
                <w:color w:val="auto"/>
                <w:kern w:val="0"/>
                <w:szCs w:val="21"/>
              </w:rPr>
              <w:t>170*12mm厚，档部对接法兰个数根据现场核对:C25混凝土基础600*600*800；至少包含立杆装卸、运输及吊装，人工、混凝土浇筑、土方开挖及清运、布管布线、模板、小区环境保护等基础有关的内容；</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121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27</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立杆及基础</w:t>
            </w:r>
            <w:r>
              <w:rPr>
                <w:rFonts w:ascii="宋体" w:hAnsi="宋体" w:cs="宋体"/>
                <w:color w:val="auto"/>
                <w:kern w:val="0"/>
                <w:szCs w:val="21"/>
              </w:rPr>
              <w:t>-T3.5 X 1+1</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25</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国标</w:t>
            </w:r>
            <w:r>
              <w:rPr>
                <w:rFonts w:ascii="宋体" w:hAnsi="宋体" w:cs="宋体"/>
                <w:color w:val="auto"/>
                <w:kern w:val="0"/>
                <w:szCs w:val="21"/>
              </w:rPr>
              <w:t xml:space="preserve">Q235-B钢材，热镀锌材质，热镀锌层不低于70μm，表面喷塑，喷塑涂层不小于lmm;立杆高度3.5m，中140等径杆，管壁厚3mm; </w:t>
            </w:r>
            <w:r>
              <w:rPr>
                <w:rFonts w:hint="eastAsia" w:ascii="宋体" w:hAnsi="宋体" w:cs="宋体"/>
                <w:color w:val="auto"/>
                <w:kern w:val="0"/>
                <w:szCs w:val="21"/>
              </w:rPr>
              <w:t>横臂</w:t>
            </w:r>
            <w:r>
              <w:rPr>
                <w:rFonts w:ascii="宋体" w:hAnsi="宋体" w:cs="宋体"/>
                <w:color w:val="auto"/>
                <w:kern w:val="0"/>
                <w:szCs w:val="21"/>
              </w:rPr>
              <w:t xml:space="preserve">1.0米+1.0米，壁厚3mm; </w:t>
            </w:r>
            <w:r>
              <w:rPr>
                <w:rFonts w:hint="eastAsia" w:ascii="宋体" w:hAnsi="宋体" w:cs="宋体"/>
                <w:color w:val="auto"/>
                <w:kern w:val="0"/>
                <w:szCs w:val="21"/>
              </w:rPr>
              <w:t>底法兰不小于中</w:t>
            </w:r>
            <w:r>
              <w:rPr>
                <w:rFonts w:ascii="宋体" w:hAnsi="宋体" w:cs="宋体"/>
                <w:color w:val="auto"/>
                <w:kern w:val="0"/>
                <w:szCs w:val="21"/>
              </w:rPr>
              <w:t>300*14mm厚，梢</w:t>
            </w:r>
            <w:r>
              <w:rPr>
                <w:rFonts w:hint="eastAsia" w:ascii="宋体" w:hAnsi="宋体" w:cs="宋体"/>
                <w:color w:val="auto"/>
                <w:kern w:val="0"/>
                <w:szCs w:val="21"/>
              </w:rPr>
              <w:t>部固定法兰不小于中</w:t>
            </w:r>
            <w:r>
              <w:rPr>
                <w:rFonts w:ascii="宋体" w:hAnsi="宋体" w:cs="宋体"/>
                <w:color w:val="auto"/>
                <w:kern w:val="0"/>
                <w:szCs w:val="21"/>
              </w:rPr>
              <w:t>170*12mm厚，档部对接法兰个数根据现场核对:C25混凝土基础600*600*800；至少包含立杆装卸、运输及吊装，人工、混凝土浇筑、土方开挖及清运、布管布线、模板、小区环境保护等基础有关的内容；</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121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28</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立杆及基础</w:t>
            </w:r>
            <w:r>
              <w:rPr>
                <w:rFonts w:ascii="宋体" w:hAnsi="宋体" w:cs="宋体"/>
                <w:color w:val="auto"/>
                <w:kern w:val="0"/>
                <w:szCs w:val="21"/>
              </w:rPr>
              <w:t>-L4.0×0.5</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28</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国标</w:t>
            </w:r>
            <w:r>
              <w:rPr>
                <w:rFonts w:ascii="宋体" w:hAnsi="宋体" w:cs="宋体"/>
                <w:color w:val="auto"/>
                <w:kern w:val="0"/>
                <w:szCs w:val="21"/>
              </w:rPr>
              <w:t xml:space="preserve">Q235-B钢材，热镀锌材质，热镀锌层不低于70μm，表面喷塑，喷塑涂层不小于lmm;立杆高度4.0m，中140等径杆，管壁厚3mm; </w:t>
            </w:r>
            <w:r>
              <w:rPr>
                <w:rFonts w:hint="eastAsia" w:ascii="宋体" w:hAnsi="宋体" w:cs="宋体"/>
                <w:color w:val="auto"/>
                <w:kern w:val="0"/>
                <w:szCs w:val="21"/>
              </w:rPr>
              <w:t>横臂</w:t>
            </w:r>
            <w:r>
              <w:rPr>
                <w:rFonts w:ascii="宋体" w:hAnsi="宋体" w:cs="宋体"/>
                <w:color w:val="auto"/>
                <w:kern w:val="0"/>
                <w:szCs w:val="21"/>
              </w:rPr>
              <w:t xml:space="preserve">0.5米，壁厚3mm; </w:t>
            </w:r>
            <w:r>
              <w:rPr>
                <w:rFonts w:hint="eastAsia" w:ascii="宋体" w:hAnsi="宋体" w:cs="宋体"/>
                <w:color w:val="auto"/>
                <w:kern w:val="0"/>
                <w:szCs w:val="21"/>
              </w:rPr>
              <w:t>底法兰不小于中</w:t>
            </w:r>
            <w:r>
              <w:rPr>
                <w:rFonts w:ascii="宋体" w:hAnsi="宋体" w:cs="宋体"/>
                <w:color w:val="auto"/>
                <w:kern w:val="0"/>
                <w:szCs w:val="21"/>
              </w:rPr>
              <w:t>300*14mm厚，梢</w:t>
            </w:r>
            <w:r>
              <w:rPr>
                <w:rFonts w:hint="eastAsia" w:ascii="宋体" w:hAnsi="宋体" w:cs="宋体"/>
                <w:color w:val="auto"/>
                <w:kern w:val="0"/>
                <w:szCs w:val="21"/>
              </w:rPr>
              <w:t>部固定法兰不小于中</w:t>
            </w:r>
            <w:r>
              <w:rPr>
                <w:rFonts w:ascii="宋体" w:hAnsi="宋体" w:cs="宋体"/>
                <w:color w:val="auto"/>
                <w:kern w:val="0"/>
                <w:szCs w:val="21"/>
              </w:rPr>
              <w:t>170*12mm厚，档部对接法兰个数根据现场核对:C25混凝土基础600*600*800；至少包含立杆装卸、运输及吊装，人工、混凝土浇筑、土方开挖及清运、布管布线、模板、小区环境保护等基础有关的内容；</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121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29</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立杆及基础</w:t>
            </w:r>
            <w:r>
              <w:rPr>
                <w:rFonts w:ascii="宋体" w:hAnsi="宋体" w:cs="宋体"/>
                <w:color w:val="auto"/>
                <w:kern w:val="0"/>
                <w:szCs w:val="21"/>
              </w:rPr>
              <w:t>-L4.0×1.0</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66</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国标</w:t>
            </w:r>
            <w:r>
              <w:rPr>
                <w:rFonts w:ascii="宋体" w:hAnsi="宋体" w:cs="宋体"/>
                <w:color w:val="auto"/>
                <w:kern w:val="0"/>
                <w:szCs w:val="21"/>
              </w:rPr>
              <w:t xml:space="preserve">Q235-B钢材，热镀锌材质，热镀锌层不低于70μm，表面喷塑，喷塑涂层不小于lmm;立杆高度4.0m，中140等径杆，管壁厚3mm; </w:t>
            </w:r>
            <w:r>
              <w:rPr>
                <w:rFonts w:hint="eastAsia" w:ascii="宋体" w:hAnsi="宋体" w:cs="宋体"/>
                <w:color w:val="auto"/>
                <w:kern w:val="0"/>
                <w:szCs w:val="21"/>
              </w:rPr>
              <w:t>横臂</w:t>
            </w:r>
            <w:r>
              <w:rPr>
                <w:rFonts w:ascii="宋体" w:hAnsi="宋体" w:cs="宋体"/>
                <w:color w:val="auto"/>
                <w:kern w:val="0"/>
                <w:szCs w:val="21"/>
              </w:rPr>
              <w:t xml:space="preserve">1.0米，壁厚3mm; </w:t>
            </w:r>
            <w:r>
              <w:rPr>
                <w:rFonts w:hint="eastAsia" w:ascii="宋体" w:hAnsi="宋体" w:cs="宋体"/>
                <w:color w:val="auto"/>
                <w:kern w:val="0"/>
                <w:szCs w:val="21"/>
              </w:rPr>
              <w:t>底法兰不小于中</w:t>
            </w:r>
            <w:r>
              <w:rPr>
                <w:rFonts w:ascii="宋体" w:hAnsi="宋体" w:cs="宋体"/>
                <w:color w:val="auto"/>
                <w:kern w:val="0"/>
                <w:szCs w:val="21"/>
              </w:rPr>
              <w:t>300*14mm厚，梢</w:t>
            </w:r>
            <w:r>
              <w:rPr>
                <w:rFonts w:hint="eastAsia" w:ascii="宋体" w:hAnsi="宋体" w:cs="宋体"/>
                <w:color w:val="auto"/>
                <w:kern w:val="0"/>
                <w:szCs w:val="21"/>
              </w:rPr>
              <w:t>部固定法兰不小于中</w:t>
            </w:r>
            <w:r>
              <w:rPr>
                <w:rFonts w:ascii="宋体" w:hAnsi="宋体" w:cs="宋体"/>
                <w:color w:val="auto"/>
                <w:kern w:val="0"/>
                <w:szCs w:val="21"/>
              </w:rPr>
              <w:t>170*12mm厚，档部对接法兰个数根据现场核对:C25混凝土基础600*600*800；至少包含立杆装卸、运输及吊装，人工、混凝土浇筑、土方开挖及清运、布管布线、模板、小区环境保护等基础有关的内容；</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30</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借电力杆</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项</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借电力杆抱箍安装</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31</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借通信杆</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7</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项</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借通信杆抱箍安装</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32</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借电力杆支架</w:t>
            </w:r>
            <w:r>
              <w:rPr>
                <w:rFonts w:ascii="宋体" w:hAnsi="宋体" w:cs="宋体"/>
                <w:color w:val="auto"/>
                <w:kern w:val="0"/>
                <w:szCs w:val="21"/>
              </w:rPr>
              <w:t>1m</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项</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借电力杆抱箍安装</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33</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手孔开喇叭口</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47</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项</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手孔开喇叭口</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34</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镀锌钢绞线</w:t>
            </w:r>
            <w:r>
              <w:rPr>
                <w:rFonts w:ascii="宋体" w:hAnsi="宋体" w:cs="宋体"/>
                <w:color w:val="auto"/>
                <w:kern w:val="0"/>
                <w:szCs w:val="21"/>
              </w:rPr>
              <w:t>7/2.2吊线</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45</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项</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敷设镀锌钢绞线</w:t>
            </w:r>
            <w:r>
              <w:rPr>
                <w:rFonts w:ascii="宋体" w:hAnsi="宋体" w:cs="宋体"/>
                <w:color w:val="auto"/>
                <w:kern w:val="0"/>
                <w:szCs w:val="21"/>
              </w:rPr>
              <w:t>7/2.2，含吊挂支撑件、材料及施工</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35</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防水盒</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3029</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中转防水盒</w:t>
            </w:r>
            <w:r>
              <w:rPr>
                <w:rFonts w:ascii="宋体" w:hAnsi="宋体" w:cs="宋体"/>
                <w:color w:val="auto"/>
                <w:kern w:val="0"/>
                <w:szCs w:val="21"/>
              </w:rPr>
              <w:t>15×15×8</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36</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波纹管（内径</w:t>
            </w:r>
            <w:r>
              <w:rPr>
                <w:rFonts w:ascii="宋体" w:hAnsi="宋体" w:cs="宋体"/>
                <w:color w:val="auto"/>
                <w:kern w:val="0"/>
                <w:szCs w:val="21"/>
              </w:rPr>
              <w:t>12）</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412</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米</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PE加厚波纹管，柔韧耐磨绝缘</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37</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埋设光缆</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40752</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米</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光缆地埋施工</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38</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敷设管道光缆</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74850</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米</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光缆管道敷设施工</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39</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敷设墙壁光缆</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17030</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米</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光缆墙壁敷设施工</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40</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布放槽道光缆</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6235</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米</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光缆布放槽道施工</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41</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敷设架空光缆</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4009</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米</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光缆架空施工</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40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42</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开挖及修复绿化</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45293</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米</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宽度</w:t>
            </w:r>
            <w:r>
              <w:rPr>
                <w:rFonts w:ascii="宋体" w:hAnsi="宋体" w:cs="宋体"/>
                <w:color w:val="auto"/>
                <w:kern w:val="0"/>
                <w:szCs w:val="21"/>
              </w:rPr>
              <w:t>20cm，深度40cm，不限于人工、防护、开挖、回填、清运、绿化破坏修复及赔偿等开挖及修复绿化有关的内容；</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40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43</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开挖及修复道路板砖路面</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5706</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米</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宽度</w:t>
            </w:r>
            <w:r>
              <w:rPr>
                <w:rFonts w:ascii="宋体" w:hAnsi="宋体" w:cs="宋体"/>
                <w:color w:val="auto"/>
                <w:kern w:val="0"/>
                <w:szCs w:val="21"/>
              </w:rPr>
              <w:t>20cm，深度40cm，不限于人工、防护、开挖、回填、清运、板砖路面破坏修复及赔偿等开挖及修复道路板</w:t>
            </w:r>
            <w:r>
              <w:rPr>
                <w:rFonts w:hint="eastAsia" w:ascii="宋体" w:hAnsi="宋体" w:cs="宋体"/>
                <w:color w:val="auto"/>
                <w:kern w:val="0"/>
                <w:szCs w:val="21"/>
              </w:rPr>
              <w:t>砖有关的内容；</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60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44</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开挖及修复水泥路面</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10053</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米</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拆除路面</w:t>
            </w:r>
            <w:r>
              <w:rPr>
                <w:rFonts w:ascii="宋体" w:hAnsi="宋体" w:cs="宋体"/>
                <w:color w:val="auto"/>
                <w:kern w:val="0"/>
                <w:szCs w:val="21"/>
              </w:rPr>
              <w:t>40cm，深度为40cm，管道预埋后使用人工摊铺水泥路面，不限于人工、防护、开挖、回填、清运、水泥路面破坏修复及赔偿等开挖及修复水泥路面有关的内容；</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60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45</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开挖及修复沥青路面</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1997</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米</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拆除路面</w:t>
            </w:r>
            <w:r>
              <w:rPr>
                <w:rFonts w:ascii="宋体" w:hAnsi="宋体" w:cs="宋体"/>
                <w:color w:val="auto"/>
                <w:kern w:val="0"/>
                <w:szCs w:val="21"/>
              </w:rPr>
              <w:t>40cm，深度为40cm，管道预埋后使用人工摊铺中粒式沥青混凝土，不限于人工、防护、开挖、回填、清运、沥青路面破坏修复及赔偿等开挖及修复沥青路面有关的内容；</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60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46</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开挖及修复大理石路面</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1114</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米</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拆除路面</w:t>
            </w:r>
            <w:r>
              <w:rPr>
                <w:rFonts w:ascii="宋体" w:hAnsi="宋体" w:cs="宋体"/>
                <w:color w:val="auto"/>
                <w:kern w:val="0"/>
                <w:szCs w:val="21"/>
              </w:rPr>
              <w:t>40cm，深度为40cm，管道预埋后使用人工摊铺大理石，不限于人工、防护、开挖、回填、清运、大理石路面破坏修复及赔偿等开挖及修复大理石路面有关的内容；</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60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47</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混凝土手井含井盖</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1687</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混凝土手井含井盖，规格为</w:t>
            </w:r>
            <w:r>
              <w:rPr>
                <w:rFonts w:ascii="宋体" w:hAnsi="宋体" w:cs="宋体"/>
                <w:color w:val="auto"/>
                <w:kern w:val="0"/>
                <w:szCs w:val="21"/>
              </w:rPr>
              <w:t>40mm*400mm*400mm，井盖上写有指定字样；</w:t>
            </w:r>
            <w:r>
              <w:rPr>
                <w:rFonts w:hint="eastAsia" w:ascii="宋体" w:hAnsi="宋体" w:cs="宋体"/>
                <w:color w:val="auto"/>
                <w:kern w:val="0"/>
                <w:szCs w:val="21"/>
              </w:rPr>
              <w:t>手井采用明挖法施工、整平、夯实基底，严格控制标高；基础分层回填夯实，手井底部渗水孔处理，含主辅材及安装运输费用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48</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监控利旧杆</w:t>
            </w:r>
            <w:r>
              <w:rPr>
                <w:rFonts w:ascii="宋体" w:hAnsi="宋体" w:cs="宋体"/>
                <w:color w:val="auto"/>
                <w:kern w:val="0"/>
                <w:szCs w:val="21"/>
              </w:rPr>
              <w:t xml:space="preserve"> </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88</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项</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新增横臂</w:t>
            </w:r>
            <w:r>
              <w:rPr>
                <w:rFonts w:ascii="宋体" w:hAnsi="宋体" w:cs="宋体"/>
                <w:color w:val="auto"/>
                <w:kern w:val="0"/>
                <w:szCs w:val="21"/>
              </w:rPr>
              <w:t>1.0米，</w:t>
            </w:r>
            <w:r>
              <w:rPr>
                <w:rFonts w:hint="eastAsia" w:ascii="宋体" w:hAnsi="宋体" w:cs="宋体"/>
                <w:color w:val="auto"/>
                <w:kern w:val="0"/>
                <w:szCs w:val="21"/>
              </w:rPr>
              <w:t>借原监控杆安装</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49</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监控利旧杆</w:t>
            </w:r>
            <w:r>
              <w:rPr>
                <w:rFonts w:ascii="宋体" w:hAnsi="宋体" w:cs="宋体"/>
                <w:color w:val="auto"/>
                <w:kern w:val="0"/>
                <w:szCs w:val="21"/>
              </w:rPr>
              <w:t xml:space="preserve"> </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39</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项</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新增横臂</w:t>
            </w:r>
            <w:r>
              <w:rPr>
                <w:rFonts w:ascii="宋体" w:hAnsi="宋体" w:cs="宋体"/>
                <w:color w:val="auto"/>
                <w:kern w:val="0"/>
                <w:szCs w:val="21"/>
              </w:rPr>
              <w:t>1.5米，</w:t>
            </w:r>
            <w:r>
              <w:rPr>
                <w:rFonts w:hint="eastAsia" w:ascii="宋体" w:hAnsi="宋体" w:cs="宋体"/>
                <w:color w:val="auto"/>
                <w:kern w:val="0"/>
                <w:szCs w:val="21"/>
              </w:rPr>
              <w:t>借原监控杆安装</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r>
      <w:tr>
        <w:tblPrEx>
          <w:tblCellMar>
            <w:top w:w="0" w:type="dxa"/>
            <w:left w:w="108" w:type="dxa"/>
            <w:bottom w:w="0" w:type="dxa"/>
            <w:right w:w="108" w:type="dxa"/>
          </w:tblCellMar>
        </w:tblPrEx>
        <w:trPr>
          <w:trHeight w:val="40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50</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监控壁装（壁装支架）</w:t>
            </w:r>
          </w:p>
        </w:tc>
        <w:tc>
          <w:tcPr>
            <w:tcW w:w="383"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1189</w:t>
            </w:r>
          </w:p>
        </w:tc>
        <w:tc>
          <w:tcPr>
            <w:tcW w:w="249"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项</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国标</w:t>
            </w:r>
            <w:r>
              <w:rPr>
                <w:rFonts w:ascii="宋体" w:hAnsi="宋体" w:cs="宋体"/>
                <w:color w:val="auto"/>
                <w:kern w:val="0"/>
                <w:szCs w:val="21"/>
              </w:rPr>
              <w:t>Q235-B钢材，热镀锌材质，臂长0.5m，等径80mm，不小于3mm壁厚，管材带支撑脚</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r>
      <w:tr>
        <w:tblPrEx>
          <w:tblCellMar>
            <w:top w:w="0" w:type="dxa"/>
            <w:left w:w="108" w:type="dxa"/>
            <w:bottom w:w="0" w:type="dxa"/>
            <w:right w:w="108" w:type="dxa"/>
          </w:tblCellMar>
        </w:tblPrEx>
        <w:trPr>
          <w:trHeight w:val="40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51</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监控壁装（壁装横臂</w:t>
            </w:r>
            <w:r>
              <w:rPr>
                <w:rFonts w:ascii="宋体" w:hAnsi="宋体" w:cs="宋体"/>
                <w:color w:val="auto"/>
                <w:kern w:val="0"/>
                <w:szCs w:val="21"/>
              </w:rPr>
              <w:t>1米）</w:t>
            </w:r>
          </w:p>
        </w:tc>
        <w:tc>
          <w:tcPr>
            <w:tcW w:w="383"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123</w:t>
            </w:r>
          </w:p>
        </w:tc>
        <w:tc>
          <w:tcPr>
            <w:tcW w:w="24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项</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国标</w:t>
            </w:r>
            <w:r>
              <w:rPr>
                <w:rFonts w:ascii="宋体" w:hAnsi="宋体" w:cs="宋体"/>
                <w:color w:val="auto"/>
                <w:kern w:val="0"/>
                <w:szCs w:val="21"/>
              </w:rPr>
              <w:t>Q235-B钢材，热镀锌材质，臂长1m，等径80mm，不小于3mm壁厚，管材带支撑脚</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52</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不锈钢栏杆</w:t>
            </w:r>
          </w:p>
        </w:tc>
        <w:tc>
          <w:tcPr>
            <w:tcW w:w="38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76</w:t>
            </w:r>
          </w:p>
        </w:tc>
        <w:tc>
          <w:tcPr>
            <w:tcW w:w="2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边</w:t>
            </w:r>
          </w:p>
        </w:tc>
        <w:tc>
          <w:tcPr>
            <w:tcW w:w="211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不锈钢材质，格挡</w:t>
            </w:r>
            <w:r>
              <w:rPr>
                <w:rFonts w:ascii="宋体" w:hAnsi="宋体" w:cs="宋体"/>
                <w:color w:val="auto"/>
                <w:kern w:val="0"/>
                <w:szCs w:val="21"/>
              </w:rPr>
              <w:t>6米，用于智慧门与道闸之间隔档</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60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53</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独立电表</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407</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取电：由中标单位向供电部门申请开户，安装电表（采购方配合）。电线和电缆及辅材的规格、数量根据国家标准和现场要求及传输距离确定。</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r>
      <w:tr>
        <w:tblPrEx>
          <w:tblCellMar>
            <w:top w:w="0" w:type="dxa"/>
            <w:left w:w="108" w:type="dxa"/>
            <w:bottom w:w="0" w:type="dxa"/>
            <w:right w:w="108" w:type="dxa"/>
          </w:tblCellMar>
        </w:tblPrEx>
        <w:trPr>
          <w:trHeight w:val="222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54</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施工集成费</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407</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项</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1、407个小区施工全量工序集成，其中先进型60个，通用型205个，基础型142个。</w:t>
            </w:r>
            <w:r>
              <w:rPr>
                <w:rFonts w:ascii="宋体" w:hAnsi="宋体" w:cs="宋体"/>
                <w:color w:val="auto"/>
                <w:kern w:val="0"/>
                <w:szCs w:val="21"/>
              </w:rPr>
              <w:br w:type="textWrapping"/>
            </w:r>
            <w:r>
              <w:rPr>
                <w:rFonts w:ascii="宋体" w:hAnsi="宋体" w:cs="宋体"/>
                <w:color w:val="auto"/>
                <w:kern w:val="0"/>
                <w:szCs w:val="21"/>
              </w:rPr>
              <w:t>2、包含不限于对407个小区合计不低于3061台前端摄像机、28套智慧门及人脸门禁机、47套车辆道闸、车检线圈、防砸雷达、12套电动车充电桩、251台网络硬盘录像机、1313套光电转换器、1313台交换机、11台服务器、2台核心交换机及接入交换机、1069套抱杆箱、251台网络机柜、配线架、防水盒等各类硬件设备及辅材安装、上架，并根据采购人要求对相关设备进行策略部署及设置，完成网络架构调整及各类设备调试、通网、通电等全量工序集成；</w:t>
            </w:r>
            <w:r>
              <w:rPr>
                <w:rFonts w:ascii="宋体" w:hAnsi="宋体" w:cs="宋体"/>
                <w:color w:val="auto"/>
                <w:kern w:val="0"/>
                <w:szCs w:val="21"/>
              </w:rPr>
              <w:br w:type="textWrapping"/>
            </w:r>
            <w:r>
              <w:rPr>
                <w:rFonts w:ascii="宋体" w:hAnsi="宋体" w:cs="宋体"/>
                <w:color w:val="auto"/>
                <w:kern w:val="0"/>
                <w:szCs w:val="21"/>
              </w:rPr>
              <w:t>3、各类摄像机电源线、网线、钢管等穿线、敷设、接线、保护、维修等全量工序集成。</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810"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55</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辅材</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407</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项</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407个小区安装配套辅材，其中先进型60个，通用型205个，基础型142个。包括不限于接电室外配电盒（32A2P漏电空开）、永久标签、扎带、各型号线管直接、弯头、86#管线底</w:t>
            </w:r>
            <w:r>
              <w:rPr>
                <w:rFonts w:hint="eastAsia" w:ascii="宋体" w:hAnsi="宋体" w:cs="宋体"/>
                <w:color w:val="auto"/>
                <w:kern w:val="0"/>
                <w:szCs w:val="21"/>
              </w:rPr>
              <w:t>盒，各型号金属管扣、防水胶布、摄像机电源接头（公母头）线、焊锡卷（吹枪火机可溶）、热缩管等；</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（三）</w:t>
            </w:r>
          </w:p>
        </w:tc>
        <w:tc>
          <w:tcPr>
            <w:tcW w:w="694"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b/>
                <w:bCs/>
                <w:color w:val="auto"/>
                <w:kern w:val="0"/>
                <w:szCs w:val="21"/>
              </w:rPr>
            </w:pPr>
            <w:r>
              <w:rPr>
                <w:rFonts w:hint="eastAsia" w:ascii="宋体" w:hAnsi="宋体" w:cs="宋体"/>
                <w:b/>
                <w:bCs/>
                <w:color w:val="auto"/>
                <w:kern w:val="0"/>
                <w:szCs w:val="21"/>
              </w:rPr>
              <w:t>链路租赁费</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　</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b/>
                <w:bCs/>
                <w:color w:val="auto"/>
                <w:kern w:val="0"/>
                <w:szCs w:val="21"/>
              </w:rPr>
            </w:pPr>
            <w:r>
              <w:rPr>
                <w:rFonts w:hint="eastAsia" w:ascii="宋体" w:hAnsi="宋体" w:cs="宋体"/>
                <w:b/>
                <w:bCs/>
                <w:color w:val="auto"/>
                <w:kern w:val="0"/>
                <w:szCs w:val="21"/>
              </w:rPr>
              <w:t>　</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VPN链路接入费用</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551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条</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根据小区实际情况，</w:t>
            </w:r>
            <w:r>
              <w:rPr>
                <w:rFonts w:ascii="宋体" w:hAnsi="宋体" w:cs="宋体"/>
                <w:color w:val="auto"/>
                <w:kern w:val="0"/>
                <w:szCs w:val="21"/>
              </w:rPr>
              <w:t>VPN专线不低于50M</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移动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电信</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联通</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二</w:t>
            </w:r>
          </w:p>
        </w:tc>
        <w:tc>
          <w:tcPr>
            <w:tcW w:w="3443" w:type="pct"/>
            <w:gridSpan w:val="4"/>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b/>
                <w:bCs/>
                <w:color w:val="auto"/>
                <w:kern w:val="0"/>
                <w:szCs w:val="21"/>
              </w:rPr>
            </w:pPr>
            <w:r>
              <w:rPr>
                <w:rFonts w:hint="eastAsia" w:ascii="宋体" w:hAnsi="宋体" w:cs="宋体"/>
                <w:b/>
                <w:bCs/>
                <w:color w:val="auto"/>
                <w:kern w:val="0"/>
                <w:szCs w:val="21"/>
              </w:rPr>
              <w:t>传输网络系统</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65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汇聚专网核心交换机</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1、交换容量≥76Tbps，包转发率≥8600Mpps;</w:t>
            </w:r>
          </w:p>
          <w:p>
            <w:pPr>
              <w:widowControl/>
              <w:jc w:val="left"/>
              <w:rPr>
                <w:rFonts w:ascii="宋体" w:hAnsi="宋体" w:cs="宋体"/>
                <w:color w:val="auto"/>
                <w:kern w:val="0"/>
                <w:szCs w:val="21"/>
              </w:rPr>
            </w:pPr>
            <w:r>
              <w:rPr>
                <w:rFonts w:hint="eastAsia" w:ascii="宋体" w:hAnsi="宋体" w:cs="宋体"/>
                <w:color w:val="auto"/>
                <w:kern w:val="0"/>
                <w:szCs w:val="21"/>
              </w:rPr>
              <w:t>2、主控引擎模块≥2，交换网板模块≥2，业务槽位≥6：</w:t>
            </w:r>
          </w:p>
          <w:p>
            <w:pPr>
              <w:widowControl/>
              <w:jc w:val="left"/>
              <w:rPr>
                <w:rFonts w:ascii="宋体" w:hAnsi="宋体" w:cs="宋体"/>
                <w:color w:val="auto"/>
                <w:kern w:val="0"/>
                <w:szCs w:val="21"/>
              </w:rPr>
            </w:pPr>
            <w:r>
              <w:rPr>
                <w:rFonts w:hint="eastAsia" w:ascii="宋体" w:hAnsi="宋体" w:cs="宋体"/>
                <w:color w:val="auto"/>
                <w:kern w:val="0"/>
                <w:szCs w:val="21"/>
              </w:rPr>
              <w:t>3、单槽位支持100G接口≥4个，支持40G接口≥24个，支持万兆电口≥24个；</w:t>
            </w:r>
          </w:p>
          <w:p>
            <w:pPr>
              <w:widowControl/>
              <w:jc w:val="left"/>
              <w:rPr>
                <w:rFonts w:ascii="宋体" w:hAnsi="宋体" w:cs="宋体"/>
                <w:color w:val="auto"/>
                <w:kern w:val="0"/>
                <w:szCs w:val="21"/>
              </w:rPr>
            </w:pPr>
            <w:r>
              <w:rPr>
                <w:rFonts w:hint="eastAsia" w:ascii="宋体" w:hAnsi="宋体" w:cs="宋体"/>
                <w:color w:val="auto"/>
                <w:kern w:val="0"/>
                <w:szCs w:val="21"/>
              </w:rPr>
              <w:t>4、考虑未来安全扩展性，可配置下一代防火墙插卡；</w:t>
            </w:r>
          </w:p>
          <w:p>
            <w:pPr>
              <w:widowControl/>
              <w:jc w:val="left"/>
              <w:rPr>
                <w:rFonts w:ascii="宋体" w:hAnsi="宋体" w:cs="宋体"/>
                <w:color w:val="auto"/>
                <w:kern w:val="0"/>
                <w:szCs w:val="21"/>
              </w:rPr>
            </w:pPr>
            <w:r>
              <w:rPr>
                <w:rFonts w:hint="eastAsia" w:ascii="宋体" w:hAnsi="宋体" w:cs="宋体"/>
                <w:color w:val="auto"/>
                <w:kern w:val="0"/>
                <w:szCs w:val="21"/>
              </w:rPr>
              <w:t>5、支持 40G 跟 100G 端口切换，切换后流量正常转发，无丢包；</w:t>
            </w:r>
          </w:p>
          <w:p>
            <w:pPr>
              <w:widowControl/>
              <w:jc w:val="left"/>
              <w:rPr>
                <w:rFonts w:ascii="宋体" w:hAnsi="宋体" w:cs="宋体"/>
                <w:color w:val="auto"/>
                <w:kern w:val="0"/>
                <w:szCs w:val="21"/>
              </w:rPr>
            </w:pPr>
            <w:r>
              <w:rPr>
                <w:rFonts w:hint="eastAsia" w:ascii="宋体" w:hAnsi="宋体" w:cs="宋体"/>
                <w:color w:val="auto"/>
                <w:kern w:val="0"/>
                <w:szCs w:val="21"/>
              </w:rPr>
              <w:t>6、内置智能管理功能，支持通过图形化界面设备配置及命令一键下发和版本智能升级；</w:t>
            </w:r>
          </w:p>
          <w:p>
            <w:pPr>
              <w:widowControl/>
              <w:jc w:val="left"/>
              <w:rPr>
                <w:rFonts w:ascii="宋体" w:hAnsi="宋体" w:cs="宋体"/>
                <w:color w:val="auto"/>
                <w:kern w:val="0"/>
                <w:szCs w:val="21"/>
              </w:rPr>
            </w:pPr>
            <w:r>
              <w:rPr>
                <w:rFonts w:hint="eastAsia" w:ascii="宋体" w:hAnsi="宋体" w:cs="宋体"/>
                <w:color w:val="auto"/>
                <w:kern w:val="0"/>
                <w:szCs w:val="21"/>
              </w:rPr>
              <w:t>7、要求配置：双主控、双交换网板，4个电源，≥24个万兆光口SFP+；</w:t>
            </w:r>
          </w:p>
          <w:p>
            <w:pPr>
              <w:widowControl/>
              <w:jc w:val="left"/>
              <w:rPr>
                <w:rFonts w:ascii="宋体" w:hAnsi="宋体" w:cs="宋体"/>
                <w:color w:val="auto"/>
                <w:kern w:val="0"/>
                <w:szCs w:val="21"/>
              </w:rPr>
            </w:pPr>
            <w:r>
              <w:rPr>
                <w:rFonts w:hint="eastAsia" w:ascii="宋体" w:hAnsi="宋体" w:cs="宋体"/>
                <w:color w:val="auto"/>
                <w:kern w:val="0"/>
                <w:szCs w:val="21"/>
              </w:rPr>
              <w:t>8、三年原厂维保；</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华三</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华为</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锐捷</w:t>
            </w:r>
          </w:p>
        </w:tc>
      </w:tr>
      <w:tr>
        <w:tblPrEx>
          <w:tblCellMar>
            <w:top w:w="0" w:type="dxa"/>
            <w:left w:w="108" w:type="dxa"/>
            <w:bottom w:w="0" w:type="dxa"/>
            <w:right w:w="108" w:type="dxa"/>
          </w:tblCellMar>
        </w:tblPrEx>
        <w:trPr>
          <w:trHeight w:val="60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服务器接入交换机</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3</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1、交换容量≥756Gbps、包转发≥250Mpps；</w:t>
            </w:r>
          </w:p>
          <w:p>
            <w:pPr>
              <w:widowControl/>
              <w:jc w:val="left"/>
              <w:rPr>
                <w:rFonts w:ascii="宋体" w:hAnsi="宋体" w:cs="宋体"/>
                <w:color w:val="auto"/>
                <w:kern w:val="0"/>
                <w:szCs w:val="21"/>
              </w:rPr>
            </w:pPr>
            <w:r>
              <w:rPr>
                <w:rFonts w:hint="eastAsia" w:ascii="宋体" w:hAnsi="宋体" w:cs="宋体"/>
                <w:color w:val="auto"/>
                <w:kern w:val="0"/>
                <w:szCs w:val="21"/>
              </w:rPr>
              <w:t>2、支持48个千兆电口，4个万兆光口，1个扩展槽位，可扩展至少8端口万兆板卡、2端口25GE板卡、下一代防火墙板卡；</w:t>
            </w:r>
          </w:p>
          <w:p>
            <w:pPr>
              <w:widowControl/>
              <w:jc w:val="left"/>
              <w:rPr>
                <w:rFonts w:ascii="宋体" w:hAnsi="宋体" w:cs="宋体"/>
                <w:color w:val="auto"/>
                <w:kern w:val="0"/>
                <w:szCs w:val="21"/>
              </w:rPr>
            </w:pPr>
            <w:r>
              <w:rPr>
                <w:rFonts w:hint="eastAsia" w:ascii="宋体" w:hAnsi="宋体" w:cs="宋体"/>
                <w:color w:val="auto"/>
                <w:kern w:val="0"/>
                <w:szCs w:val="21"/>
              </w:rPr>
              <w:t>3、考虑到链路的安全性，需支持Macsec链路保护协议；</w:t>
            </w:r>
          </w:p>
          <w:p>
            <w:pPr>
              <w:widowControl/>
              <w:jc w:val="left"/>
              <w:rPr>
                <w:rFonts w:ascii="宋体" w:hAnsi="宋体" w:cs="宋体"/>
                <w:color w:val="auto"/>
                <w:kern w:val="0"/>
                <w:szCs w:val="21"/>
              </w:rPr>
            </w:pPr>
            <w:r>
              <w:rPr>
                <w:rFonts w:hint="eastAsia" w:ascii="宋体" w:hAnsi="宋体" w:cs="宋体"/>
                <w:color w:val="auto"/>
                <w:kern w:val="0"/>
                <w:szCs w:val="21"/>
              </w:rPr>
              <w:t>4、内置智能管理功能，支持通过图形化界面设备配置及运维管理；</w:t>
            </w:r>
          </w:p>
          <w:p>
            <w:pPr>
              <w:widowControl/>
              <w:jc w:val="left"/>
              <w:rPr>
                <w:rFonts w:ascii="宋体" w:hAnsi="宋体" w:cs="宋体"/>
                <w:color w:val="auto"/>
                <w:kern w:val="0"/>
                <w:szCs w:val="21"/>
              </w:rPr>
            </w:pPr>
            <w:r>
              <w:rPr>
                <w:rFonts w:hint="eastAsia" w:ascii="宋体" w:hAnsi="宋体" w:cs="宋体"/>
                <w:color w:val="auto"/>
                <w:kern w:val="0"/>
                <w:szCs w:val="21"/>
              </w:rPr>
              <w:t>5、要求配置：电源模块2个，风扇模块2个,满配万兆多模光模块（850nm,300m,LC）；</w:t>
            </w:r>
          </w:p>
          <w:p>
            <w:pPr>
              <w:widowControl/>
              <w:jc w:val="left"/>
              <w:rPr>
                <w:rFonts w:ascii="宋体" w:hAnsi="宋体" w:cs="宋体"/>
                <w:color w:val="auto"/>
                <w:kern w:val="0"/>
                <w:szCs w:val="21"/>
              </w:rPr>
            </w:pPr>
            <w:r>
              <w:rPr>
                <w:rFonts w:hint="eastAsia" w:ascii="宋体" w:hAnsi="宋体" w:cs="宋体"/>
                <w:color w:val="auto"/>
                <w:kern w:val="0"/>
                <w:szCs w:val="21"/>
              </w:rPr>
              <w:t>6、三年原厂维保。</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华三</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华为</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锐捷</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3</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万兆多模光模块</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16</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项</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万兆多模双纤</w:t>
            </w:r>
            <w:r>
              <w:rPr>
                <w:rFonts w:ascii="宋体" w:hAnsi="宋体" w:cs="宋体"/>
                <w:color w:val="auto"/>
                <w:kern w:val="0"/>
                <w:szCs w:val="21"/>
              </w:rPr>
              <w:t xml:space="preserve">, 10G, 850nm,0.3km,LC </w:t>
            </w:r>
            <w:r>
              <w:rPr>
                <w:rFonts w:hint="eastAsia" w:ascii="宋体" w:hAnsi="宋体" w:cs="宋体"/>
                <w:color w:val="auto"/>
                <w:kern w:val="0"/>
                <w:szCs w:val="21"/>
              </w:rPr>
              <w:t>接口，三年原厂维保</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万兆线缆</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条</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万兆</w:t>
            </w:r>
            <w:r>
              <w:rPr>
                <w:rFonts w:ascii="宋体" w:hAnsi="宋体" w:cs="宋体"/>
                <w:color w:val="auto"/>
                <w:kern w:val="0"/>
                <w:szCs w:val="21"/>
              </w:rPr>
              <w:t>SFP+铜缆套件，3米</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5</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辅材</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项</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跳纤、网线等辅材</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国产优质</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三</w:t>
            </w:r>
          </w:p>
        </w:tc>
        <w:tc>
          <w:tcPr>
            <w:tcW w:w="3443" w:type="pct"/>
            <w:gridSpan w:val="4"/>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b/>
                <w:bCs/>
                <w:color w:val="auto"/>
                <w:kern w:val="0"/>
                <w:szCs w:val="21"/>
              </w:rPr>
            </w:pPr>
            <w:r>
              <w:rPr>
                <w:rFonts w:hint="eastAsia" w:ascii="宋体" w:hAnsi="宋体" w:cs="宋体"/>
                <w:b/>
                <w:bCs/>
                <w:color w:val="auto"/>
                <w:kern w:val="0"/>
                <w:szCs w:val="21"/>
              </w:rPr>
              <w:t>网络安全系统</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2340" w:hRule="atLeast"/>
        </w:trPr>
        <w:tc>
          <w:tcPr>
            <w:tcW w:w="298"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694"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防火墙</w:t>
            </w:r>
            <w:r>
              <w:rPr>
                <w:rFonts w:ascii="宋体" w:hAnsi="宋体" w:cs="宋体"/>
                <w:color w:val="auto"/>
                <w:kern w:val="0"/>
                <w:szCs w:val="21"/>
              </w:rPr>
              <w:t>1</w:t>
            </w:r>
          </w:p>
        </w:tc>
        <w:tc>
          <w:tcPr>
            <w:tcW w:w="383"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w:t>
            </w:r>
          </w:p>
        </w:tc>
        <w:tc>
          <w:tcPr>
            <w:tcW w:w="249"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小区局域网与智安小区汇聚专网边界部署一台防火墙，智安小区汇聚专网与社会面视图数据汇聚专网边界部署一台防火墙；</w:t>
            </w:r>
            <w:r>
              <w:rPr>
                <w:rFonts w:ascii="宋体" w:hAnsi="宋体" w:cs="宋体"/>
                <w:color w:val="auto"/>
                <w:kern w:val="0"/>
                <w:szCs w:val="21"/>
              </w:rPr>
              <w:br w:type="textWrapping"/>
            </w:r>
            <w:r>
              <w:rPr>
                <w:rFonts w:ascii="宋体" w:hAnsi="宋体" w:cs="宋体"/>
                <w:color w:val="auto"/>
                <w:kern w:val="0"/>
                <w:szCs w:val="21"/>
              </w:rPr>
              <w:t>1、网络层吞吐量≥20G；并发连接≥900万；每秒新建连接数≥50万；</w:t>
            </w:r>
            <w:r>
              <w:rPr>
                <w:rFonts w:hint="eastAsia" w:ascii="宋体" w:hAnsi="宋体" w:cs="宋体"/>
                <w:color w:val="auto"/>
                <w:kern w:val="0"/>
                <w:szCs w:val="21"/>
              </w:rPr>
              <w:t>千兆电口≥</w:t>
            </w:r>
            <w:r>
              <w:rPr>
                <w:rFonts w:ascii="宋体" w:hAnsi="宋体" w:cs="宋体"/>
                <w:color w:val="auto"/>
                <w:kern w:val="0"/>
                <w:szCs w:val="21"/>
              </w:rPr>
              <w:t>6个；</w:t>
            </w:r>
            <w:r>
              <w:rPr>
                <w:rFonts w:hint="eastAsia" w:ascii="宋体" w:hAnsi="宋体" w:cs="宋体"/>
                <w:color w:val="auto"/>
                <w:kern w:val="0"/>
                <w:szCs w:val="21"/>
              </w:rPr>
              <w:t>万兆光口≥</w:t>
            </w:r>
            <w:r>
              <w:rPr>
                <w:rFonts w:ascii="宋体" w:hAnsi="宋体" w:cs="宋体"/>
                <w:color w:val="auto"/>
                <w:kern w:val="0"/>
                <w:szCs w:val="21"/>
              </w:rPr>
              <w:t>4个；内存≥16GB；存储≥1TB；扩展槽位≥1个；</w:t>
            </w:r>
            <w:r>
              <w:rPr>
                <w:rFonts w:ascii="宋体" w:hAnsi="宋体" w:cs="宋体"/>
                <w:color w:val="auto"/>
                <w:kern w:val="0"/>
                <w:szCs w:val="21"/>
              </w:rPr>
              <w:br w:type="textWrapping"/>
            </w:r>
            <w:r>
              <w:rPr>
                <w:rFonts w:ascii="宋体" w:hAnsi="宋体" w:cs="宋体"/>
                <w:color w:val="auto"/>
                <w:kern w:val="0"/>
                <w:szCs w:val="21"/>
              </w:rPr>
              <w:t>2、支持HTTPS加密流量的安全检测，支持TCP代理和SSL代理，且代理策略中可同时配置多类过滤条件，具体包括：源安全域、目的安全域、源地址、目的地址、用户和服务，一类过滤条件可以配置多个匹配项；</w:t>
            </w:r>
            <w:r>
              <w:rPr>
                <w:rFonts w:hint="eastAsia" w:ascii="宋体" w:hAnsi="宋体" w:cs="宋体"/>
                <w:color w:val="auto"/>
                <w:kern w:val="0"/>
                <w:szCs w:val="21"/>
              </w:rPr>
              <w:t>需提供产品功能截图并加盖原厂公章。</w:t>
            </w:r>
            <w:r>
              <w:rPr>
                <w:rFonts w:ascii="宋体" w:hAnsi="宋体" w:cs="宋体"/>
                <w:color w:val="auto"/>
                <w:kern w:val="0"/>
                <w:szCs w:val="21"/>
              </w:rPr>
              <w:br w:type="textWrapping"/>
            </w:r>
            <w:r>
              <w:rPr>
                <w:rFonts w:ascii="宋体" w:hAnsi="宋体" w:cs="宋体"/>
                <w:color w:val="auto"/>
                <w:kern w:val="0"/>
                <w:szCs w:val="21"/>
              </w:rPr>
              <w:t xml:space="preserve">3、支持为Web应用提供基于 HTTP </w:t>
            </w:r>
            <w:r>
              <w:rPr>
                <w:rFonts w:hint="eastAsia" w:ascii="宋体" w:hAnsi="宋体" w:cs="宋体"/>
                <w:color w:val="auto"/>
                <w:kern w:val="0"/>
                <w:szCs w:val="21"/>
              </w:rPr>
              <w:t>和</w:t>
            </w:r>
            <w:r>
              <w:rPr>
                <w:rFonts w:ascii="宋体" w:hAnsi="宋体" w:cs="宋体"/>
                <w:color w:val="auto"/>
                <w:kern w:val="0"/>
                <w:szCs w:val="21"/>
              </w:rPr>
              <w:t xml:space="preserve"> HTTPS </w:t>
            </w:r>
            <w:r>
              <w:rPr>
                <w:rFonts w:hint="eastAsia" w:ascii="宋体" w:hAnsi="宋体" w:cs="宋体"/>
                <w:color w:val="auto"/>
                <w:kern w:val="0"/>
                <w:szCs w:val="21"/>
              </w:rPr>
              <w:t>的流量防护。对来自</w:t>
            </w:r>
            <w:r>
              <w:rPr>
                <w:rFonts w:ascii="宋体" w:hAnsi="宋体" w:cs="宋体"/>
                <w:color w:val="auto"/>
                <w:kern w:val="0"/>
                <w:szCs w:val="21"/>
              </w:rPr>
              <w:t>Web应用程序客户端的各类请求进行内容检测和验证，确保其安全性与合法性，对非法的请求予以实时阻断，从而对各类网站进行有效防护；</w:t>
            </w:r>
            <w:r>
              <w:rPr>
                <w:rFonts w:ascii="宋体" w:hAnsi="宋体" w:cs="宋体"/>
                <w:color w:val="auto"/>
                <w:kern w:val="0"/>
                <w:szCs w:val="21"/>
              </w:rPr>
              <w:br w:type="textWrapping"/>
            </w:r>
            <w:r>
              <w:rPr>
                <w:rFonts w:ascii="宋体" w:hAnsi="宋体" w:cs="宋体"/>
                <w:color w:val="auto"/>
                <w:kern w:val="0"/>
                <w:szCs w:val="21"/>
              </w:rPr>
              <w:t>4、支持SQL注入、</w:t>
            </w:r>
            <w:r>
              <w:rPr>
                <w:rFonts w:hint="eastAsia" w:ascii="宋体" w:hAnsi="宋体" w:cs="宋体"/>
                <w:color w:val="auto"/>
                <w:kern w:val="0"/>
                <w:szCs w:val="21"/>
              </w:rPr>
              <w:t>跨站脚本、远程代码执行、字符编码等攻击的防护，支持对网络设备、网页服务器、数据库等设备的专属特征分类，支持</w:t>
            </w:r>
            <w:r>
              <w:rPr>
                <w:rFonts w:ascii="宋体" w:hAnsi="宋体" w:cs="宋体"/>
                <w:color w:val="auto"/>
                <w:kern w:val="0"/>
                <w:szCs w:val="21"/>
              </w:rPr>
              <w:t>CC攻击防护，可基于检测请求</w:t>
            </w:r>
            <w:r>
              <w:rPr>
                <w:rFonts w:hint="eastAsia" w:ascii="宋体" w:hAnsi="宋体" w:cs="宋体"/>
                <w:color w:val="auto"/>
                <w:kern w:val="0"/>
                <w:szCs w:val="21"/>
              </w:rPr>
              <w:t>报文头的</w:t>
            </w:r>
            <w:r>
              <w:rPr>
                <w:rFonts w:ascii="宋体" w:hAnsi="宋体" w:cs="宋体"/>
                <w:color w:val="auto"/>
                <w:kern w:val="0"/>
                <w:szCs w:val="21"/>
              </w:rPr>
              <w:t>X-Forwarded-For字段，以获取真正的源IP地址；</w:t>
            </w:r>
            <w:r>
              <w:rPr>
                <w:rFonts w:ascii="宋体" w:hAnsi="宋体" w:cs="宋体"/>
                <w:color w:val="auto"/>
                <w:kern w:val="0"/>
                <w:szCs w:val="21"/>
              </w:rPr>
              <w:br w:type="textWrapping"/>
            </w:r>
            <w:r>
              <w:rPr>
                <w:rFonts w:ascii="宋体" w:hAnsi="宋体" w:cs="宋体"/>
                <w:color w:val="auto"/>
                <w:kern w:val="0"/>
                <w:szCs w:val="21"/>
              </w:rPr>
              <w:t>5、支持端口镜像功能，支持入流量、出流量和双向流量等维度镜像；</w:t>
            </w:r>
            <w:r>
              <w:rPr>
                <w:rFonts w:ascii="宋体" w:hAnsi="宋体" w:cs="宋体"/>
                <w:color w:val="auto"/>
                <w:kern w:val="0"/>
                <w:szCs w:val="21"/>
              </w:rPr>
              <w:br w:type="textWrapping"/>
            </w:r>
            <w:r>
              <w:rPr>
                <w:rFonts w:ascii="宋体" w:hAnsi="宋体" w:cs="宋体"/>
                <w:color w:val="auto"/>
                <w:kern w:val="0"/>
                <w:szCs w:val="21"/>
              </w:rPr>
              <w:t>6、支持7元组的链路负载均衡策略，负载均衡接口支持接口和接口组，支持基于域名进行链路负载，负载算法包括但不少于优先级和权重，负载均衡接口支持pppoe、dhcp、tunnel、物理接口等三层接口；</w:t>
            </w:r>
            <w:r>
              <w:rPr>
                <w:rFonts w:ascii="宋体" w:hAnsi="宋体" w:cs="宋体"/>
                <w:color w:val="auto"/>
                <w:kern w:val="0"/>
                <w:szCs w:val="21"/>
              </w:rPr>
              <w:br w:type="textWrapping"/>
            </w:r>
            <w:r>
              <w:rPr>
                <w:rFonts w:ascii="宋体" w:hAnsi="宋体" w:cs="宋体"/>
                <w:color w:val="auto"/>
                <w:kern w:val="0"/>
                <w:szCs w:val="21"/>
              </w:rPr>
              <w:t>7、支持ZIP、TAR等压缩打包文件的病毒查杀，压缩：默认5层，最大20层；</w:t>
            </w:r>
            <w:r>
              <w:rPr>
                <w:rFonts w:ascii="宋体" w:hAnsi="宋体" w:cs="宋体"/>
                <w:color w:val="auto"/>
                <w:kern w:val="0"/>
                <w:szCs w:val="21"/>
              </w:rPr>
              <w:br w:type="textWrapping"/>
            </w:r>
            <w:r>
              <w:rPr>
                <w:rFonts w:ascii="宋体" w:hAnsi="宋体" w:cs="宋体"/>
                <w:color w:val="auto"/>
                <w:kern w:val="0"/>
                <w:szCs w:val="21"/>
              </w:rPr>
              <w:t>8、提供原厂商三年质保和OTA服务。</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亚信安全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奇安信</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绿盟</w:t>
            </w:r>
          </w:p>
        </w:tc>
      </w:tr>
      <w:tr>
        <w:tblPrEx>
          <w:tblCellMar>
            <w:top w:w="0" w:type="dxa"/>
            <w:left w:w="108" w:type="dxa"/>
            <w:bottom w:w="0" w:type="dxa"/>
            <w:right w:w="108" w:type="dxa"/>
          </w:tblCellMar>
        </w:tblPrEx>
        <w:trPr>
          <w:trHeight w:val="405" w:hRule="atLeast"/>
        </w:trPr>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69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c>
          <w:tcPr>
            <w:tcW w:w="38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w:t>
            </w:r>
          </w:p>
        </w:tc>
        <w:tc>
          <w:tcPr>
            <w:tcW w:w="2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项</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1、3年全功能模块升级订阅服务包（</w:t>
            </w:r>
            <w:r>
              <w:rPr>
                <w:rFonts w:hint="eastAsia" w:ascii="宋体" w:hAnsi="宋体" w:cs="宋体"/>
                <w:color w:val="auto"/>
                <w:kern w:val="0"/>
                <w:szCs w:val="21"/>
              </w:rPr>
              <w:t>含应用识别库、</w:t>
            </w:r>
            <w:r>
              <w:rPr>
                <w:rFonts w:ascii="宋体" w:hAnsi="宋体" w:cs="宋体"/>
                <w:color w:val="auto"/>
                <w:kern w:val="0"/>
                <w:szCs w:val="21"/>
              </w:rPr>
              <w:t>URL分类特征库、病毒防护特征库、入侵防御特征库升级服务及威胁情报订阅服务）</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亚信安全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奇安信</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绿盟</w:t>
            </w:r>
          </w:p>
        </w:tc>
      </w:tr>
      <w:tr>
        <w:tblPrEx>
          <w:tblCellMar>
            <w:top w:w="0" w:type="dxa"/>
            <w:left w:w="108" w:type="dxa"/>
            <w:bottom w:w="0" w:type="dxa"/>
            <w:right w:w="108" w:type="dxa"/>
          </w:tblCellMar>
        </w:tblPrEx>
        <w:trPr>
          <w:trHeight w:val="278" w:hRule="atLeast"/>
        </w:trPr>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69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项</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2、4*10G业务板卡（含万兆</w:t>
            </w:r>
            <w:r>
              <w:rPr>
                <w:rFonts w:hint="eastAsia" w:ascii="宋体" w:hAnsi="宋体" w:cs="宋体"/>
                <w:color w:val="auto"/>
                <w:kern w:val="0"/>
                <w:szCs w:val="21"/>
              </w:rPr>
              <w:t>多模光模块）</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亚信安全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奇安信</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绿盟</w:t>
            </w:r>
          </w:p>
        </w:tc>
      </w:tr>
      <w:tr>
        <w:tblPrEx>
          <w:tblCellMar>
            <w:top w:w="0" w:type="dxa"/>
            <w:left w:w="108" w:type="dxa"/>
            <w:bottom w:w="0" w:type="dxa"/>
            <w:right w:w="108" w:type="dxa"/>
          </w:tblCellMar>
        </w:tblPrEx>
        <w:trPr>
          <w:trHeight w:val="1785" w:hRule="atLeast"/>
        </w:trPr>
        <w:tc>
          <w:tcPr>
            <w:tcW w:w="298"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w:t>
            </w:r>
          </w:p>
        </w:tc>
        <w:tc>
          <w:tcPr>
            <w:tcW w:w="694"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防火墙</w:t>
            </w:r>
            <w:r>
              <w:rPr>
                <w:rFonts w:ascii="宋体" w:hAnsi="宋体" w:cs="宋体"/>
                <w:color w:val="auto"/>
                <w:kern w:val="0"/>
                <w:szCs w:val="21"/>
              </w:rPr>
              <w:t>2</w:t>
            </w:r>
          </w:p>
        </w:tc>
        <w:tc>
          <w:tcPr>
            <w:tcW w:w="383"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w:t>
            </w:r>
          </w:p>
        </w:tc>
        <w:tc>
          <w:tcPr>
            <w:tcW w:w="249"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智安小区汇聚专网与互联网边界部署一台防火墙，智安小区汇聚专网与电子政务外网边界部署一台防火墙；</w:t>
            </w:r>
            <w:r>
              <w:rPr>
                <w:rFonts w:ascii="宋体" w:hAnsi="宋体" w:cs="宋体"/>
                <w:color w:val="auto"/>
                <w:kern w:val="0"/>
                <w:szCs w:val="21"/>
              </w:rPr>
              <w:br w:type="textWrapping"/>
            </w:r>
            <w:r>
              <w:rPr>
                <w:rFonts w:ascii="宋体" w:hAnsi="宋体" w:cs="宋体"/>
                <w:color w:val="auto"/>
                <w:kern w:val="0"/>
                <w:szCs w:val="21"/>
              </w:rPr>
              <w:t>1、网络层吞吐量≥8G；并发连接≥400万；每秒新建连接数≥20万；</w:t>
            </w:r>
            <w:r>
              <w:rPr>
                <w:rFonts w:hint="eastAsia" w:ascii="宋体" w:hAnsi="宋体" w:cs="宋体"/>
                <w:color w:val="auto"/>
                <w:kern w:val="0"/>
                <w:szCs w:val="21"/>
              </w:rPr>
              <w:t>千兆电口≥</w:t>
            </w:r>
            <w:r>
              <w:rPr>
                <w:rFonts w:ascii="宋体" w:hAnsi="宋体" w:cs="宋体"/>
                <w:color w:val="auto"/>
                <w:kern w:val="0"/>
                <w:szCs w:val="21"/>
              </w:rPr>
              <w:t>6个；</w:t>
            </w:r>
            <w:r>
              <w:rPr>
                <w:rFonts w:hint="eastAsia" w:ascii="宋体" w:hAnsi="宋体" w:cs="宋体"/>
                <w:color w:val="auto"/>
                <w:kern w:val="0"/>
                <w:szCs w:val="21"/>
              </w:rPr>
              <w:t>千兆光口≥</w:t>
            </w:r>
            <w:r>
              <w:rPr>
                <w:rFonts w:ascii="宋体" w:hAnsi="宋体" w:cs="宋体"/>
                <w:color w:val="auto"/>
                <w:kern w:val="0"/>
                <w:szCs w:val="21"/>
              </w:rPr>
              <w:t>4个；内存≥4GB；存储≥1TB；扩展槽位≥2个；硬件外形：1U机架式设备；</w:t>
            </w:r>
            <w:r>
              <w:rPr>
                <w:rFonts w:ascii="宋体" w:hAnsi="宋体" w:cs="宋体"/>
                <w:color w:val="auto"/>
                <w:kern w:val="0"/>
                <w:szCs w:val="21"/>
              </w:rPr>
              <w:br w:type="textWrapping"/>
            </w:r>
            <w:r>
              <w:rPr>
                <w:rFonts w:ascii="宋体" w:hAnsi="宋体" w:cs="宋体"/>
                <w:color w:val="auto"/>
                <w:kern w:val="0"/>
                <w:szCs w:val="21"/>
              </w:rPr>
              <w:t>2、支持HTTPS加密流量的安全检测，支持TCP代理和SSL代理，且代理策略中可同时配置多类过滤条件，具体包括：源安全域、目的安全域、源地址、目的地址、用户和服务，一类过滤条件可以配置多个匹配项；</w:t>
            </w:r>
            <w:r>
              <w:rPr>
                <w:rFonts w:ascii="宋体" w:hAnsi="宋体" w:cs="宋体"/>
                <w:color w:val="auto"/>
                <w:kern w:val="0"/>
                <w:szCs w:val="21"/>
              </w:rPr>
              <w:br w:type="textWrapping"/>
            </w:r>
            <w:r>
              <w:rPr>
                <w:rFonts w:ascii="宋体" w:hAnsi="宋体" w:cs="宋体"/>
                <w:color w:val="auto"/>
                <w:kern w:val="0"/>
                <w:szCs w:val="21"/>
              </w:rPr>
              <w:t xml:space="preserve">3、支持为Web应用提供基于 HTTP </w:t>
            </w:r>
            <w:r>
              <w:rPr>
                <w:rFonts w:hint="eastAsia" w:ascii="宋体" w:hAnsi="宋体" w:cs="宋体"/>
                <w:color w:val="auto"/>
                <w:kern w:val="0"/>
                <w:szCs w:val="21"/>
              </w:rPr>
              <w:t>和</w:t>
            </w:r>
            <w:r>
              <w:rPr>
                <w:rFonts w:ascii="宋体" w:hAnsi="宋体" w:cs="宋体"/>
                <w:color w:val="auto"/>
                <w:kern w:val="0"/>
                <w:szCs w:val="21"/>
              </w:rPr>
              <w:t xml:space="preserve"> HTTPS </w:t>
            </w:r>
            <w:r>
              <w:rPr>
                <w:rFonts w:hint="eastAsia" w:ascii="宋体" w:hAnsi="宋体" w:cs="宋体"/>
                <w:color w:val="auto"/>
                <w:kern w:val="0"/>
                <w:szCs w:val="21"/>
              </w:rPr>
              <w:t>的流量防护。对来自</w:t>
            </w:r>
            <w:r>
              <w:rPr>
                <w:rFonts w:ascii="宋体" w:hAnsi="宋体" w:cs="宋体"/>
                <w:color w:val="auto"/>
                <w:kern w:val="0"/>
                <w:szCs w:val="21"/>
              </w:rPr>
              <w:t>Web应用程序客户端的各类请求进行内容检测和验证，确保其安全性与合法性，对非法的请求予以实时阻断，从而对各类网站进行有效防护；</w:t>
            </w:r>
            <w:r>
              <w:rPr>
                <w:rFonts w:ascii="宋体" w:hAnsi="宋体" w:cs="宋体"/>
                <w:color w:val="auto"/>
                <w:kern w:val="0"/>
                <w:szCs w:val="21"/>
              </w:rPr>
              <w:br w:type="textWrapping"/>
            </w:r>
            <w:r>
              <w:rPr>
                <w:rFonts w:hint="eastAsia" w:ascii="宋体" w:hAnsi="宋体" w:cs="宋体"/>
                <w:color w:val="auto"/>
                <w:kern w:val="0"/>
                <w:szCs w:val="21"/>
              </w:rPr>
              <w:t>支持</w:t>
            </w:r>
            <w:r>
              <w:rPr>
                <w:rFonts w:ascii="宋体" w:hAnsi="宋体" w:cs="宋体"/>
                <w:color w:val="auto"/>
                <w:kern w:val="0"/>
                <w:szCs w:val="21"/>
              </w:rPr>
              <w:t>SQL注入、</w:t>
            </w:r>
            <w:r>
              <w:rPr>
                <w:rFonts w:hint="eastAsia" w:ascii="宋体" w:hAnsi="宋体" w:cs="宋体"/>
                <w:color w:val="auto"/>
                <w:kern w:val="0"/>
                <w:szCs w:val="21"/>
              </w:rPr>
              <w:t>跨站脚本、远程代码执行、字符编码等攻击的防护，支持对网络设备、网页服务器、数据库等设备的专属特征分类，支持</w:t>
            </w:r>
            <w:r>
              <w:rPr>
                <w:rFonts w:ascii="宋体" w:hAnsi="宋体" w:cs="宋体"/>
                <w:color w:val="auto"/>
                <w:kern w:val="0"/>
                <w:szCs w:val="21"/>
              </w:rPr>
              <w:t>CC攻击防护，可基于检测请求</w:t>
            </w:r>
            <w:r>
              <w:rPr>
                <w:rFonts w:hint="eastAsia" w:ascii="宋体" w:hAnsi="宋体" w:cs="宋体"/>
                <w:color w:val="auto"/>
                <w:kern w:val="0"/>
                <w:szCs w:val="21"/>
              </w:rPr>
              <w:t>报文头的</w:t>
            </w:r>
            <w:r>
              <w:rPr>
                <w:rFonts w:ascii="宋体" w:hAnsi="宋体" w:cs="宋体"/>
                <w:color w:val="auto"/>
                <w:kern w:val="0"/>
                <w:szCs w:val="21"/>
              </w:rPr>
              <w:t>X-Forwarded-For字段，以获取真正的源IP地址；</w:t>
            </w:r>
            <w:r>
              <w:rPr>
                <w:rFonts w:ascii="宋体" w:hAnsi="宋体" w:cs="宋体"/>
                <w:color w:val="auto"/>
                <w:kern w:val="0"/>
                <w:szCs w:val="21"/>
              </w:rPr>
              <w:br w:type="textWrapping"/>
            </w:r>
            <w:r>
              <w:rPr>
                <w:rFonts w:ascii="宋体" w:hAnsi="宋体" w:cs="宋体"/>
                <w:color w:val="auto"/>
                <w:kern w:val="0"/>
                <w:szCs w:val="21"/>
              </w:rPr>
              <w:t>4、支持端口镜像功能，支持入流量、出流量和双向流量等维度镜像；</w:t>
            </w:r>
            <w:r>
              <w:rPr>
                <w:rFonts w:ascii="宋体" w:hAnsi="宋体" w:cs="宋体"/>
                <w:color w:val="auto"/>
                <w:kern w:val="0"/>
                <w:szCs w:val="21"/>
              </w:rPr>
              <w:br w:type="textWrapping"/>
            </w:r>
            <w:r>
              <w:rPr>
                <w:rFonts w:ascii="宋体" w:hAnsi="宋体" w:cs="宋体"/>
                <w:color w:val="auto"/>
                <w:kern w:val="0"/>
                <w:szCs w:val="21"/>
              </w:rPr>
              <w:t>5、支持7元组的链路负载均衡策略，负载均衡接口支持接口和接口组，支持基于域名进行链路负载，负载算法包括但不少于优先级和权重，负载均衡接口支持pppoe、dhcp、tunnel、物理接口等三层接口；</w:t>
            </w:r>
            <w:r>
              <w:rPr>
                <w:rFonts w:ascii="宋体" w:hAnsi="宋体" w:cs="宋体"/>
                <w:color w:val="auto"/>
                <w:kern w:val="0"/>
                <w:szCs w:val="21"/>
              </w:rPr>
              <w:br w:type="textWrapping"/>
            </w:r>
            <w:r>
              <w:rPr>
                <w:rFonts w:ascii="宋体" w:hAnsi="宋体" w:cs="宋体"/>
                <w:color w:val="auto"/>
                <w:kern w:val="0"/>
                <w:szCs w:val="21"/>
              </w:rPr>
              <w:t>6、支持ZIP、TAR等压缩打包文件的病毒查杀，压缩：默认5层，最大20层；</w:t>
            </w:r>
            <w:r>
              <w:rPr>
                <w:rFonts w:ascii="宋体" w:hAnsi="宋体" w:cs="宋体"/>
                <w:color w:val="auto"/>
                <w:kern w:val="0"/>
                <w:szCs w:val="21"/>
              </w:rPr>
              <w:br w:type="textWrapping"/>
            </w:r>
            <w:r>
              <w:rPr>
                <w:rFonts w:ascii="宋体" w:hAnsi="宋体" w:cs="宋体"/>
                <w:color w:val="auto"/>
                <w:kern w:val="0"/>
                <w:szCs w:val="21"/>
              </w:rPr>
              <w:t>7、提供原厂商三年质保和OTA服务。</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亚信安全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奇安信</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绿盟</w:t>
            </w:r>
          </w:p>
        </w:tc>
      </w:tr>
      <w:tr>
        <w:tblPrEx>
          <w:tblCellMar>
            <w:top w:w="0" w:type="dxa"/>
            <w:left w:w="108" w:type="dxa"/>
            <w:bottom w:w="0" w:type="dxa"/>
            <w:right w:w="108" w:type="dxa"/>
          </w:tblCellMar>
        </w:tblPrEx>
        <w:trPr>
          <w:trHeight w:val="405" w:hRule="atLeast"/>
        </w:trPr>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69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38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w:t>
            </w:r>
          </w:p>
        </w:tc>
        <w:tc>
          <w:tcPr>
            <w:tcW w:w="2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项</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3年全功能模块升级订阅服务包（</w:t>
            </w:r>
            <w:r>
              <w:rPr>
                <w:rFonts w:hint="eastAsia" w:ascii="宋体" w:hAnsi="宋体" w:cs="宋体"/>
                <w:color w:val="auto"/>
                <w:kern w:val="0"/>
                <w:szCs w:val="21"/>
              </w:rPr>
              <w:t>含应用识别库、</w:t>
            </w:r>
            <w:r>
              <w:rPr>
                <w:rFonts w:ascii="宋体" w:hAnsi="宋体" w:cs="宋体"/>
                <w:color w:val="auto"/>
                <w:kern w:val="0"/>
                <w:szCs w:val="21"/>
              </w:rPr>
              <w:t>URL分类特征库、病毒防护特征库、入侵防御特征库升级服务及威胁情报订阅服务）</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亚信安全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奇安信</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绿盟</w:t>
            </w:r>
          </w:p>
        </w:tc>
      </w:tr>
      <w:tr>
        <w:tblPrEx>
          <w:tblCellMar>
            <w:top w:w="0" w:type="dxa"/>
            <w:left w:w="108" w:type="dxa"/>
            <w:bottom w:w="0" w:type="dxa"/>
            <w:right w:w="108" w:type="dxa"/>
          </w:tblCellMar>
        </w:tblPrEx>
        <w:trPr>
          <w:trHeight w:val="283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3</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数据库审计系统</w:t>
            </w:r>
          </w:p>
        </w:tc>
        <w:tc>
          <w:tcPr>
            <w:tcW w:w="383"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1、应采用国产化操作系统及CPU，存储≥4TB；板载：≥6个</w:t>
            </w:r>
            <w:r>
              <w:rPr>
                <w:rFonts w:hint="eastAsia" w:ascii="宋体" w:hAnsi="宋体" w:cs="宋体"/>
                <w:color w:val="auto"/>
                <w:kern w:val="0"/>
                <w:szCs w:val="21"/>
              </w:rPr>
              <w:t>千兆电口，≥</w:t>
            </w:r>
            <w:r>
              <w:rPr>
                <w:rFonts w:ascii="宋体" w:hAnsi="宋体" w:cs="宋体"/>
                <w:color w:val="auto"/>
                <w:kern w:val="0"/>
                <w:szCs w:val="21"/>
              </w:rPr>
              <w:t>4个</w:t>
            </w:r>
            <w:r>
              <w:rPr>
                <w:rFonts w:hint="eastAsia" w:ascii="宋体" w:hAnsi="宋体" w:cs="宋体"/>
                <w:color w:val="auto"/>
                <w:kern w:val="0"/>
                <w:szCs w:val="21"/>
              </w:rPr>
              <w:t>千兆光口；</w:t>
            </w:r>
            <w:r>
              <w:rPr>
                <w:rFonts w:ascii="宋体" w:hAnsi="宋体" w:cs="宋体"/>
                <w:color w:val="auto"/>
                <w:kern w:val="0"/>
                <w:szCs w:val="21"/>
              </w:rPr>
              <w:br w:type="textWrapping"/>
            </w:r>
            <w:r>
              <w:rPr>
                <w:rFonts w:ascii="宋体" w:hAnsi="宋体" w:cs="宋体"/>
                <w:color w:val="auto"/>
                <w:kern w:val="0"/>
                <w:szCs w:val="21"/>
              </w:rPr>
              <w:t>2、可支持IPv4和IPv6的网络环境下数据库的审计；</w:t>
            </w:r>
            <w:r>
              <w:rPr>
                <w:rFonts w:ascii="宋体" w:hAnsi="宋体" w:cs="宋体"/>
                <w:color w:val="auto"/>
                <w:kern w:val="0"/>
                <w:szCs w:val="21"/>
              </w:rPr>
              <w:br w:type="textWrapping"/>
            </w:r>
            <w:r>
              <w:rPr>
                <w:rFonts w:ascii="宋体" w:hAnsi="宋体" w:cs="宋体"/>
                <w:color w:val="auto"/>
                <w:kern w:val="0"/>
                <w:szCs w:val="21"/>
              </w:rPr>
              <w:t>3、支持通过Agent审计回环地址的流量；</w:t>
            </w:r>
            <w:r>
              <w:rPr>
                <w:rFonts w:ascii="宋体" w:hAnsi="宋体" w:cs="宋体"/>
                <w:color w:val="auto"/>
                <w:kern w:val="0"/>
                <w:szCs w:val="21"/>
              </w:rPr>
              <w:br w:type="textWrapping"/>
            </w:r>
            <w:r>
              <w:rPr>
                <w:rFonts w:ascii="宋体" w:hAnsi="宋体" w:cs="宋体"/>
                <w:color w:val="auto"/>
                <w:kern w:val="0"/>
                <w:szCs w:val="21"/>
              </w:rPr>
              <w:t>4、支持全文检索数据库solr的审计，可审计到solr的查询、插入行为的操作信息；支持C/S架构COM、COM+、DCOM组件的审计，可提取应用层工号（账号）的身份信息，精确定位到人；</w:t>
            </w:r>
            <w:r>
              <w:rPr>
                <w:rFonts w:ascii="宋体" w:hAnsi="宋体" w:cs="宋体"/>
                <w:color w:val="auto"/>
                <w:kern w:val="0"/>
                <w:szCs w:val="21"/>
              </w:rPr>
              <w:br w:type="textWrapping"/>
            </w:r>
            <w:r>
              <w:rPr>
                <w:rFonts w:ascii="宋体" w:hAnsi="宋体" w:cs="宋体"/>
                <w:color w:val="auto"/>
                <w:kern w:val="0"/>
                <w:szCs w:val="21"/>
              </w:rPr>
              <w:t>5、全面支持后关系型数据库Cache的审计，包括terminal、portal、studio、Sqlmanager、MedTrak等工具访问的审计，Portal可审计Sql语句、查询Global变量以及二者的返回内容，Terminal可审计M语句及返回内容，MedTrak可审计工号、操作报表以及二者的返回内容，studio可审计到编译、代码更改等操作，Sqlmanager可审计数据库账号和操作的sql语句</w:t>
            </w:r>
            <w:r>
              <w:rPr>
                <w:rFonts w:ascii="宋体" w:hAnsi="宋体" w:cs="宋体"/>
                <w:color w:val="auto"/>
                <w:kern w:val="0"/>
                <w:szCs w:val="21"/>
              </w:rPr>
              <w:br w:type="textWrapping"/>
            </w:r>
            <w:r>
              <w:rPr>
                <w:rFonts w:ascii="宋体" w:hAnsi="宋体" w:cs="宋体"/>
                <w:color w:val="auto"/>
                <w:kern w:val="0"/>
                <w:szCs w:val="21"/>
              </w:rPr>
              <w:t>6、三年原厂软件升级和硬件维修服务；</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亚信安全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奇安信</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绿盟</w:t>
            </w:r>
          </w:p>
        </w:tc>
      </w:tr>
      <w:tr>
        <w:tblPrEx>
          <w:tblCellMar>
            <w:top w:w="0" w:type="dxa"/>
            <w:left w:w="108" w:type="dxa"/>
            <w:bottom w:w="0" w:type="dxa"/>
            <w:right w:w="108" w:type="dxa"/>
          </w:tblCellMar>
        </w:tblPrEx>
        <w:trPr>
          <w:trHeight w:val="933" w:hRule="atLeast"/>
        </w:trPr>
        <w:tc>
          <w:tcPr>
            <w:tcW w:w="298" w:type="pc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w:t>
            </w:r>
          </w:p>
        </w:tc>
        <w:tc>
          <w:tcPr>
            <w:tcW w:w="694"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日志审计</w:t>
            </w:r>
          </w:p>
        </w:tc>
        <w:tc>
          <w:tcPr>
            <w:tcW w:w="383"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1、综合日志处理性能2000EPS；采用国产化操作系统及CPU，≥6个</w:t>
            </w:r>
            <w:r>
              <w:rPr>
                <w:rFonts w:hint="eastAsia" w:ascii="宋体" w:hAnsi="宋体" w:cs="宋体"/>
                <w:color w:val="auto"/>
                <w:kern w:val="0"/>
                <w:szCs w:val="21"/>
              </w:rPr>
              <w:t>千兆电口，≥</w:t>
            </w:r>
            <w:r>
              <w:rPr>
                <w:rFonts w:ascii="宋体" w:hAnsi="宋体" w:cs="宋体"/>
                <w:color w:val="auto"/>
                <w:kern w:val="0"/>
                <w:szCs w:val="21"/>
              </w:rPr>
              <w:t>4个</w:t>
            </w:r>
            <w:r>
              <w:rPr>
                <w:rFonts w:hint="eastAsia" w:ascii="宋体" w:hAnsi="宋体" w:cs="宋体"/>
                <w:color w:val="auto"/>
                <w:kern w:val="0"/>
                <w:szCs w:val="21"/>
              </w:rPr>
              <w:t>千兆光口，≥</w:t>
            </w:r>
            <w:r>
              <w:rPr>
                <w:rFonts w:ascii="宋体" w:hAnsi="宋体" w:cs="宋体"/>
                <w:color w:val="auto"/>
                <w:kern w:val="0"/>
                <w:szCs w:val="21"/>
              </w:rPr>
              <w:t>2个扩展插槽，1个Console接口，冗余电源，存储≥4TB硬盘；</w:t>
            </w:r>
            <w:r>
              <w:rPr>
                <w:rFonts w:ascii="宋体" w:hAnsi="宋体" w:cs="宋体"/>
                <w:color w:val="auto"/>
                <w:kern w:val="0"/>
                <w:szCs w:val="21"/>
              </w:rPr>
              <w:br w:type="textWrapping"/>
            </w:r>
            <w:r>
              <w:rPr>
                <w:rFonts w:ascii="宋体" w:hAnsi="宋体" w:cs="宋体"/>
                <w:color w:val="auto"/>
                <w:kern w:val="0"/>
                <w:szCs w:val="21"/>
              </w:rPr>
              <w:t>2、支持审计各种网络设备、安全设备、主机操作系统、中间件及应用系统的配置日志、运行日志、告警日志等；</w:t>
            </w:r>
            <w:r>
              <w:rPr>
                <w:rFonts w:ascii="宋体" w:hAnsi="宋体" w:cs="宋体"/>
                <w:color w:val="auto"/>
                <w:kern w:val="0"/>
                <w:szCs w:val="21"/>
              </w:rPr>
              <w:br w:type="textWrapping"/>
            </w:r>
            <w:r>
              <w:rPr>
                <w:rFonts w:ascii="宋体" w:hAnsi="宋体" w:cs="宋体"/>
                <w:color w:val="auto"/>
                <w:kern w:val="0"/>
                <w:szCs w:val="21"/>
              </w:rPr>
              <w:t>3、支持按照Syslog-NG标准及自有格式进行转发，转发时包含原始日志源IP地址</w:t>
            </w:r>
            <w:r>
              <w:rPr>
                <w:rFonts w:ascii="宋体" w:hAnsi="宋体" w:cs="宋体"/>
                <w:color w:val="auto"/>
                <w:kern w:val="0"/>
                <w:szCs w:val="21"/>
              </w:rPr>
              <w:br w:type="textWrapping"/>
            </w:r>
            <w:r>
              <w:rPr>
                <w:rFonts w:ascii="宋体" w:hAnsi="宋体" w:cs="宋体"/>
                <w:color w:val="auto"/>
                <w:kern w:val="0"/>
                <w:szCs w:val="21"/>
              </w:rPr>
              <w:t>4、支持对资产IP地址（</w:t>
            </w:r>
            <w:r>
              <w:rPr>
                <w:rFonts w:hint="eastAsia" w:ascii="宋体" w:hAnsi="宋体" w:cs="宋体"/>
                <w:color w:val="auto"/>
                <w:kern w:val="0"/>
                <w:szCs w:val="21"/>
              </w:rPr>
              <w:t>含内网</w:t>
            </w:r>
            <w:r>
              <w:rPr>
                <w:rFonts w:ascii="宋体" w:hAnsi="宋体" w:cs="宋体"/>
                <w:color w:val="auto"/>
                <w:kern w:val="0"/>
                <w:szCs w:val="21"/>
              </w:rPr>
              <w:t>IP）的地理信息进行管理，设置单IP及IP段行政区及经纬度，支持地图显示；</w:t>
            </w:r>
            <w:r>
              <w:rPr>
                <w:rFonts w:ascii="宋体" w:hAnsi="宋体" w:cs="宋体"/>
                <w:color w:val="auto"/>
                <w:kern w:val="0"/>
                <w:szCs w:val="21"/>
              </w:rPr>
              <w:br w:type="textWrapping"/>
            </w:r>
            <w:r>
              <w:rPr>
                <w:rFonts w:ascii="宋体" w:hAnsi="宋体" w:cs="宋体"/>
                <w:color w:val="auto"/>
                <w:kern w:val="0"/>
                <w:szCs w:val="21"/>
              </w:rPr>
              <w:t>5、能够在世界地图上实时定位事件源/目的IP地址（内网IP）的地理位置</w:t>
            </w:r>
            <w:r>
              <w:rPr>
                <w:rFonts w:ascii="宋体" w:hAnsi="宋体" w:cs="宋体"/>
                <w:color w:val="auto"/>
                <w:kern w:val="0"/>
                <w:szCs w:val="21"/>
              </w:rPr>
              <w:br w:type="textWrapping"/>
            </w:r>
            <w:r>
              <w:rPr>
                <w:rFonts w:ascii="宋体" w:hAnsi="宋体" w:cs="宋体"/>
                <w:color w:val="auto"/>
                <w:kern w:val="0"/>
                <w:szCs w:val="21"/>
              </w:rPr>
              <w:t>6、本次包含35个日志源授权，3年</w:t>
            </w:r>
            <w:r>
              <w:rPr>
                <w:rFonts w:hint="eastAsia" w:ascii="宋体" w:hAnsi="宋体" w:cs="宋体"/>
                <w:color w:val="auto"/>
                <w:kern w:val="0"/>
                <w:szCs w:val="21"/>
              </w:rPr>
              <w:t>硬件维保服务和</w:t>
            </w:r>
            <w:r>
              <w:rPr>
                <w:rFonts w:ascii="宋体" w:hAnsi="宋体" w:cs="宋体"/>
                <w:color w:val="auto"/>
                <w:kern w:val="0"/>
                <w:szCs w:val="21"/>
              </w:rPr>
              <w:t>3年软件升级维护服务；</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亚信安全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奇安信</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绿盟</w:t>
            </w:r>
          </w:p>
        </w:tc>
      </w:tr>
      <w:tr>
        <w:tblPrEx>
          <w:tblCellMar>
            <w:top w:w="0" w:type="dxa"/>
            <w:left w:w="108" w:type="dxa"/>
            <w:bottom w:w="0" w:type="dxa"/>
            <w:right w:w="108" w:type="dxa"/>
          </w:tblCellMar>
        </w:tblPrEx>
        <w:trPr>
          <w:trHeight w:val="2430" w:hRule="atLeast"/>
        </w:trPr>
        <w:tc>
          <w:tcPr>
            <w:tcW w:w="29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5</w:t>
            </w:r>
          </w:p>
        </w:tc>
        <w:tc>
          <w:tcPr>
            <w:tcW w:w="694"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堡垒机</w:t>
            </w:r>
          </w:p>
        </w:tc>
        <w:tc>
          <w:tcPr>
            <w:tcW w:w="38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1、采用国产化操作系统及CPU；</w:t>
            </w:r>
            <w:r>
              <w:rPr>
                <w:rFonts w:hint="eastAsia" w:ascii="宋体" w:hAnsi="宋体" w:cs="宋体"/>
                <w:color w:val="auto"/>
                <w:kern w:val="0"/>
                <w:szCs w:val="21"/>
              </w:rPr>
              <w:t>标配≥</w:t>
            </w:r>
            <w:r>
              <w:rPr>
                <w:rFonts w:ascii="宋体" w:hAnsi="宋体" w:cs="宋体"/>
                <w:color w:val="auto"/>
                <w:kern w:val="0"/>
                <w:szCs w:val="21"/>
              </w:rPr>
              <w:t>6个</w:t>
            </w:r>
            <w:r>
              <w:rPr>
                <w:rFonts w:hint="eastAsia" w:ascii="宋体" w:hAnsi="宋体" w:cs="宋体"/>
                <w:color w:val="auto"/>
                <w:kern w:val="0"/>
                <w:szCs w:val="21"/>
              </w:rPr>
              <w:t>千兆电口、≥</w:t>
            </w:r>
            <w:r>
              <w:rPr>
                <w:rFonts w:ascii="宋体" w:hAnsi="宋体" w:cs="宋体"/>
                <w:color w:val="auto"/>
                <w:kern w:val="0"/>
                <w:szCs w:val="21"/>
              </w:rPr>
              <w:t>4个</w:t>
            </w:r>
            <w:r>
              <w:rPr>
                <w:rFonts w:hint="eastAsia" w:ascii="宋体" w:hAnsi="宋体" w:cs="宋体"/>
                <w:color w:val="auto"/>
                <w:kern w:val="0"/>
                <w:szCs w:val="21"/>
              </w:rPr>
              <w:t>千兆光口</w:t>
            </w:r>
            <w:r>
              <w:rPr>
                <w:rFonts w:ascii="宋体" w:hAnsi="宋体" w:cs="宋体"/>
                <w:color w:val="auto"/>
                <w:kern w:val="0"/>
                <w:szCs w:val="21"/>
              </w:rPr>
              <w:t>,支持2个扩展插槽，内置≥4TB企业级硬盘，冗余电源；支持液晶屏，授权50个；</w:t>
            </w:r>
            <w:r>
              <w:rPr>
                <w:rFonts w:ascii="宋体" w:hAnsi="宋体" w:cs="宋体"/>
                <w:color w:val="auto"/>
                <w:kern w:val="0"/>
                <w:szCs w:val="21"/>
              </w:rPr>
              <w:br w:type="textWrapping"/>
            </w:r>
            <w:r>
              <w:rPr>
                <w:rFonts w:ascii="宋体" w:hAnsi="宋体" w:cs="宋体"/>
                <w:color w:val="auto"/>
                <w:kern w:val="0"/>
                <w:szCs w:val="21"/>
              </w:rPr>
              <w:t>2、支持用户自定义Web类型应用的代填节点；限操作系统类型，无需安装任何客户端插件，使用浏览器通过H5方式即可直接运维SSH、RDP、Telnet、VNC和应用发布资源；</w:t>
            </w:r>
            <w:r>
              <w:rPr>
                <w:rFonts w:ascii="宋体" w:hAnsi="宋体" w:cs="宋体"/>
                <w:color w:val="auto"/>
                <w:kern w:val="0"/>
                <w:szCs w:val="21"/>
              </w:rPr>
              <w:br w:type="textWrapping"/>
            </w:r>
            <w:r>
              <w:rPr>
                <w:rFonts w:ascii="宋体" w:hAnsi="宋体" w:cs="宋体"/>
                <w:color w:val="auto"/>
                <w:kern w:val="0"/>
                <w:szCs w:val="21"/>
              </w:rPr>
              <w:t>3、支持水印功能，用户在运</w:t>
            </w:r>
            <w:r>
              <w:rPr>
                <w:rFonts w:hint="eastAsia" w:ascii="宋体" w:hAnsi="宋体" w:cs="宋体"/>
                <w:color w:val="auto"/>
                <w:kern w:val="0"/>
                <w:szCs w:val="21"/>
              </w:rPr>
              <w:t>维或者是监控、查看会话时，</w:t>
            </w:r>
            <w:r>
              <w:rPr>
                <w:rFonts w:ascii="宋体" w:hAnsi="宋体" w:cs="宋体"/>
                <w:color w:val="auto"/>
                <w:kern w:val="0"/>
                <w:szCs w:val="21"/>
              </w:rPr>
              <w:t>H5页面会将用户的登录名作为水印展示，避免数据泄露无法追责；</w:t>
            </w:r>
            <w:r>
              <w:rPr>
                <w:rFonts w:ascii="宋体" w:hAnsi="宋体" w:cs="宋体"/>
                <w:color w:val="auto"/>
                <w:kern w:val="0"/>
                <w:szCs w:val="21"/>
              </w:rPr>
              <w:br w:type="textWrapping"/>
            </w:r>
            <w:r>
              <w:rPr>
                <w:rFonts w:ascii="宋体" w:hAnsi="宋体" w:cs="宋体"/>
                <w:color w:val="auto"/>
                <w:kern w:val="0"/>
                <w:szCs w:val="21"/>
              </w:rPr>
              <w:t>4、支持以云</w:t>
            </w:r>
            <w:r>
              <w:rPr>
                <w:rFonts w:hint="eastAsia" w:ascii="宋体" w:hAnsi="宋体" w:cs="宋体"/>
                <w:color w:val="auto"/>
                <w:kern w:val="0"/>
                <w:szCs w:val="21"/>
              </w:rPr>
              <w:t>盘形式在堡垒机上存储常用文件，实现操作端、堡垒机和目标资源三者之间文件共享（支持多文件下载，文件展示最近修改时间和权限）；</w:t>
            </w:r>
            <w:r>
              <w:rPr>
                <w:rFonts w:ascii="宋体" w:hAnsi="宋体" w:cs="宋体"/>
                <w:color w:val="auto"/>
                <w:kern w:val="0"/>
                <w:szCs w:val="21"/>
              </w:rPr>
              <w:br w:type="textWrapping"/>
            </w:r>
            <w:r>
              <w:rPr>
                <w:rFonts w:ascii="宋体" w:hAnsi="宋体" w:cs="宋体"/>
                <w:color w:val="auto"/>
                <w:kern w:val="0"/>
                <w:szCs w:val="21"/>
              </w:rPr>
              <w:t>5、3年原厂</w:t>
            </w:r>
            <w:r>
              <w:rPr>
                <w:rFonts w:hint="eastAsia" w:ascii="宋体" w:hAnsi="宋体" w:cs="宋体"/>
                <w:color w:val="auto"/>
                <w:kern w:val="0"/>
                <w:szCs w:val="21"/>
              </w:rPr>
              <w:t>硬件维保服务和</w:t>
            </w:r>
            <w:r>
              <w:rPr>
                <w:rFonts w:ascii="宋体" w:hAnsi="宋体" w:cs="宋体"/>
                <w:color w:val="auto"/>
                <w:kern w:val="0"/>
                <w:szCs w:val="21"/>
              </w:rPr>
              <w:t>3年软件升级维护服务；</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亚信安全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奇安信</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绿盟</w:t>
            </w:r>
          </w:p>
        </w:tc>
      </w:tr>
      <w:tr>
        <w:tblPrEx>
          <w:tblCellMar>
            <w:top w:w="0" w:type="dxa"/>
            <w:left w:w="108" w:type="dxa"/>
            <w:bottom w:w="0" w:type="dxa"/>
            <w:right w:w="108" w:type="dxa"/>
          </w:tblCellMar>
        </w:tblPrEx>
        <w:trPr>
          <w:trHeight w:val="5670" w:hRule="atLeast"/>
        </w:trPr>
        <w:tc>
          <w:tcPr>
            <w:tcW w:w="298" w:type="pc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6</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威胁感知系统</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1.接口数量：</w:t>
            </w:r>
            <w:r>
              <w:rPr>
                <w:rFonts w:hint="eastAsia" w:ascii="宋体" w:hAnsi="宋体" w:cs="宋体"/>
                <w:color w:val="auto"/>
                <w:kern w:val="0"/>
                <w:szCs w:val="21"/>
              </w:rPr>
              <w:t>千兆电口≥</w:t>
            </w:r>
            <w:r>
              <w:rPr>
                <w:rFonts w:ascii="宋体" w:hAnsi="宋体" w:cs="宋体"/>
                <w:color w:val="auto"/>
                <w:kern w:val="0"/>
                <w:szCs w:val="21"/>
              </w:rPr>
              <w:t>4个；吞吐量：≥1.5Gbps；CPU≥4核；内存≥16G；硬盘容量≥2T；扩展插槽：≥1个；</w:t>
            </w:r>
            <w:r>
              <w:rPr>
                <w:rFonts w:ascii="宋体" w:hAnsi="宋体" w:cs="宋体"/>
                <w:color w:val="auto"/>
                <w:kern w:val="0"/>
                <w:szCs w:val="21"/>
              </w:rPr>
              <w:br w:type="textWrapping"/>
            </w:r>
            <w:r>
              <w:rPr>
                <w:rFonts w:ascii="宋体" w:hAnsi="宋体" w:cs="宋体"/>
                <w:color w:val="auto"/>
                <w:kern w:val="0"/>
                <w:szCs w:val="21"/>
              </w:rPr>
              <w:t>2.提供</w:t>
            </w:r>
            <w:r>
              <w:rPr>
                <w:rFonts w:hint="eastAsia" w:ascii="宋体" w:hAnsi="宋体" w:cs="宋体"/>
                <w:color w:val="auto"/>
                <w:kern w:val="0"/>
                <w:szCs w:val="21"/>
              </w:rPr>
              <w:t>内置沙箱系统，内置沙箱允许用户导入自定义镜像；</w:t>
            </w:r>
            <w:r>
              <w:rPr>
                <w:rFonts w:ascii="宋体" w:hAnsi="宋体" w:cs="宋体"/>
                <w:color w:val="auto"/>
                <w:kern w:val="0"/>
                <w:szCs w:val="21"/>
              </w:rPr>
              <w:br w:type="textWrapping"/>
            </w:r>
            <w:r>
              <w:rPr>
                <w:rFonts w:ascii="宋体" w:hAnsi="宋体" w:cs="宋体"/>
                <w:color w:val="auto"/>
                <w:kern w:val="0"/>
                <w:szCs w:val="21"/>
              </w:rPr>
              <w:t>3.支持按照网络攻击、挖矿、扫描、暴力破解、恶意文件、威胁情报等告警进行分类，提高运维效率；</w:t>
            </w:r>
            <w:r>
              <w:rPr>
                <w:rFonts w:ascii="宋体" w:hAnsi="宋体" w:cs="宋体"/>
                <w:color w:val="auto"/>
                <w:kern w:val="0"/>
                <w:szCs w:val="21"/>
              </w:rPr>
              <w:br w:type="textWrapping"/>
            </w:r>
            <w:r>
              <w:rPr>
                <w:rFonts w:ascii="宋体" w:hAnsi="宋体" w:cs="宋体"/>
                <w:color w:val="auto"/>
                <w:kern w:val="0"/>
                <w:szCs w:val="21"/>
              </w:rPr>
              <w:t>4.支持在web攻击告警页面中展示HTTP请求头、请求体、响应头、响应体的详细内容；</w:t>
            </w:r>
            <w:r>
              <w:rPr>
                <w:rFonts w:ascii="宋体" w:hAnsi="宋体" w:cs="宋体"/>
                <w:color w:val="auto"/>
                <w:kern w:val="0"/>
                <w:szCs w:val="21"/>
              </w:rPr>
              <w:br w:type="textWrapping"/>
            </w:r>
            <w:r>
              <w:rPr>
                <w:rFonts w:ascii="宋体" w:hAnsi="宋体" w:cs="宋体"/>
                <w:color w:val="auto"/>
                <w:kern w:val="0"/>
                <w:szCs w:val="21"/>
              </w:rPr>
              <w:t>5.支持失陷主机的智能</w:t>
            </w:r>
            <w:r>
              <w:rPr>
                <w:rFonts w:hint="eastAsia" w:ascii="宋体" w:hAnsi="宋体" w:cs="宋体"/>
                <w:color w:val="auto"/>
                <w:kern w:val="0"/>
                <w:szCs w:val="21"/>
              </w:rPr>
              <w:t>研判功能；</w:t>
            </w:r>
            <w:r>
              <w:rPr>
                <w:rFonts w:ascii="宋体" w:hAnsi="宋体" w:cs="宋体"/>
                <w:color w:val="auto"/>
                <w:kern w:val="0"/>
                <w:szCs w:val="21"/>
              </w:rPr>
              <w:br w:type="textWrapping"/>
            </w:r>
            <w:r>
              <w:rPr>
                <w:rFonts w:ascii="宋体" w:hAnsi="宋体" w:cs="宋体"/>
                <w:color w:val="auto"/>
                <w:kern w:val="0"/>
                <w:szCs w:val="21"/>
              </w:rPr>
              <w:t>6.支持网络威胁自定义与威胁情报自定义，网络威胁能自主添加规则名称，规则等级与规则类型，语法兼容业界最常用的snort规则的写法。威胁情报自定义包括IP、URL、DOMAIN、文件HASH四种类型，可以根据具体的使用场景进行选择。威胁情报自定义的规则可以支持多个同类对象的集合，比如对多个IP同时进行监控；</w:t>
            </w:r>
            <w:r>
              <w:rPr>
                <w:rFonts w:ascii="宋体" w:hAnsi="宋体" w:cs="宋体"/>
                <w:color w:val="auto"/>
                <w:kern w:val="0"/>
                <w:szCs w:val="21"/>
              </w:rPr>
              <w:br w:type="textWrapping"/>
            </w:r>
            <w:r>
              <w:rPr>
                <w:rFonts w:ascii="宋体" w:hAnsi="宋体" w:cs="宋体"/>
                <w:color w:val="auto"/>
                <w:kern w:val="0"/>
                <w:szCs w:val="21"/>
              </w:rPr>
              <w:t>7、支持失陷主机的智能</w:t>
            </w:r>
            <w:r>
              <w:rPr>
                <w:rFonts w:hint="eastAsia" w:ascii="宋体" w:hAnsi="宋体" w:cs="宋体"/>
                <w:color w:val="auto"/>
                <w:kern w:val="0"/>
                <w:szCs w:val="21"/>
              </w:rPr>
              <w:t>研判功能：（</w:t>
            </w:r>
            <w:r>
              <w:rPr>
                <w:rFonts w:ascii="宋体" w:hAnsi="宋体" w:cs="宋体"/>
                <w:color w:val="auto"/>
                <w:kern w:val="0"/>
                <w:szCs w:val="21"/>
              </w:rPr>
              <w:t>1）能够追踪到失陷主机IP号，攻击阶段数，命中规则数，攻击次数，是否外联，风险值等能力；（2）能够提供攻击详情分析，包含攻击结果，攻击者信息，攻击时间线，攻击规则汇总，入侵检测攻击上下文等；（3）支持报告详情下载；需提供产品功能截图并加盖原厂公章；</w:t>
            </w:r>
            <w:r>
              <w:rPr>
                <w:rFonts w:ascii="宋体" w:hAnsi="宋体" w:cs="宋体"/>
                <w:color w:val="auto"/>
                <w:kern w:val="0"/>
                <w:szCs w:val="21"/>
              </w:rPr>
              <w:br w:type="textWrapping"/>
            </w:r>
            <w:r>
              <w:rPr>
                <w:rFonts w:ascii="宋体" w:hAnsi="宋体" w:cs="宋体"/>
                <w:color w:val="auto"/>
                <w:kern w:val="0"/>
                <w:szCs w:val="21"/>
              </w:rPr>
              <w:t>8.能够以文件为中心，溯源整个文件的流转记录，并以图形化方式展示出来；</w:t>
            </w:r>
            <w:r>
              <w:rPr>
                <w:rFonts w:ascii="宋体" w:hAnsi="宋体" w:cs="宋体"/>
                <w:color w:val="auto"/>
                <w:kern w:val="0"/>
                <w:szCs w:val="21"/>
              </w:rPr>
              <w:br w:type="textWrapping"/>
            </w:r>
            <w:r>
              <w:rPr>
                <w:rFonts w:ascii="宋体" w:hAnsi="宋体" w:cs="宋体"/>
                <w:color w:val="auto"/>
                <w:kern w:val="0"/>
                <w:szCs w:val="21"/>
              </w:rPr>
              <w:t>9.支持pcap回放功能，对导入的pcap进行回放并进行威胁检测，回放产生的告警必须和生产网络流量的告警分页面展示，避免干扰正常安全运营；</w:t>
            </w:r>
            <w:r>
              <w:rPr>
                <w:rFonts w:ascii="宋体" w:hAnsi="宋体" w:cs="宋体"/>
                <w:color w:val="auto"/>
                <w:kern w:val="0"/>
                <w:szCs w:val="21"/>
              </w:rPr>
              <w:br w:type="textWrapping"/>
            </w:r>
            <w:r>
              <w:rPr>
                <w:rFonts w:ascii="宋体" w:hAnsi="宋体" w:cs="宋体"/>
                <w:color w:val="auto"/>
                <w:kern w:val="0"/>
                <w:szCs w:val="21"/>
              </w:rPr>
              <w:t>10.平台支持多级组织分级分权管理，平级组织的数据（资产数据、告警数据、流量日志等）相互隔离，彼此不可见，上级组织用户对下级组织的数据可见、可运维；</w:t>
            </w:r>
            <w:r>
              <w:rPr>
                <w:rFonts w:ascii="宋体" w:hAnsi="宋体" w:cs="宋体"/>
                <w:color w:val="auto"/>
                <w:kern w:val="0"/>
                <w:szCs w:val="21"/>
              </w:rPr>
              <w:br w:type="textWrapping"/>
            </w:r>
            <w:r>
              <w:rPr>
                <w:rFonts w:ascii="宋体" w:hAnsi="宋体" w:cs="宋体"/>
                <w:color w:val="auto"/>
                <w:kern w:val="0"/>
                <w:szCs w:val="21"/>
              </w:rPr>
              <w:t>11.能够集成外接</w:t>
            </w:r>
            <w:r>
              <w:rPr>
                <w:rFonts w:hint="eastAsia" w:ascii="宋体" w:hAnsi="宋体" w:cs="宋体"/>
                <w:color w:val="auto"/>
                <w:kern w:val="0"/>
                <w:szCs w:val="21"/>
              </w:rPr>
              <w:t>沙盒分析系统，提高未知威胁分析处理能力；</w:t>
            </w:r>
            <w:r>
              <w:rPr>
                <w:rFonts w:ascii="宋体" w:hAnsi="宋体" w:cs="宋体"/>
                <w:color w:val="auto"/>
                <w:kern w:val="0"/>
                <w:szCs w:val="21"/>
              </w:rPr>
              <w:br w:type="textWrapping"/>
            </w:r>
            <w:r>
              <w:rPr>
                <w:rFonts w:ascii="宋体" w:hAnsi="宋体" w:cs="宋体"/>
                <w:color w:val="auto"/>
                <w:kern w:val="0"/>
                <w:szCs w:val="21"/>
              </w:rPr>
              <w:t>12.提供三年</w:t>
            </w:r>
            <w:r>
              <w:rPr>
                <w:rFonts w:hint="eastAsia" w:ascii="宋体" w:hAnsi="宋体" w:cs="宋体"/>
                <w:color w:val="auto"/>
                <w:kern w:val="0"/>
                <w:szCs w:val="21"/>
              </w:rPr>
              <w:t>原厂维保和</w:t>
            </w:r>
            <w:r>
              <w:rPr>
                <w:rFonts w:ascii="宋体" w:hAnsi="宋体" w:cs="宋体"/>
                <w:color w:val="auto"/>
                <w:kern w:val="0"/>
                <w:szCs w:val="21"/>
              </w:rPr>
              <w:t>OTA服务。</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亚信安全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奇安信</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绿盟</w:t>
            </w:r>
          </w:p>
        </w:tc>
      </w:tr>
      <w:tr>
        <w:tblPrEx>
          <w:tblCellMar>
            <w:top w:w="0" w:type="dxa"/>
            <w:left w:w="108" w:type="dxa"/>
            <w:bottom w:w="0" w:type="dxa"/>
            <w:right w:w="108" w:type="dxa"/>
          </w:tblCellMar>
        </w:tblPrEx>
        <w:trPr>
          <w:trHeight w:val="4658" w:hRule="atLeast"/>
        </w:trPr>
        <w:tc>
          <w:tcPr>
            <w:tcW w:w="29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7</w:t>
            </w:r>
          </w:p>
        </w:tc>
        <w:tc>
          <w:tcPr>
            <w:tcW w:w="694"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零信任统一身份认证网络访问可信访问系统</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1.身份认证：用户管理、机构管理、用户组管理、认证策略、认证方式、密码策略；</w:t>
            </w:r>
            <w:r>
              <w:rPr>
                <w:rFonts w:ascii="宋体" w:hAnsi="宋体" w:cs="宋体"/>
                <w:color w:val="auto"/>
                <w:kern w:val="0"/>
                <w:szCs w:val="21"/>
              </w:rPr>
              <w:br w:type="textWrapping"/>
            </w:r>
            <w:r>
              <w:rPr>
                <w:rFonts w:ascii="宋体" w:hAnsi="宋体" w:cs="宋体"/>
                <w:color w:val="auto"/>
                <w:kern w:val="0"/>
                <w:szCs w:val="21"/>
              </w:rPr>
              <w:t>2.访问控制：web应用、服务器资源、资源组、设备信任列表、设备黑名单；</w:t>
            </w:r>
            <w:r>
              <w:rPr>
                <w:rFonts w:ascii="宋体" w:hAnsi="宋体" w:cs="宋体"/>
                <w:color w:val="auto"/>
                <w:kern w:val="0"/>
                <w:szCs w:val="21"/>
              </w:rPr>
              <w:br w:type="textWrapping"/>
            </w:r>
            <w:r>
              <w:rPr>
                <w:rFonts w:ascii="宋体" w:hAnsi="宋体" w:cs="宋体"/>
                <w:color w:val="auto"/>
                <w:kern w:val="0"/>
                <w:szCs w:val="21"/>
              </w:rPr>
              <w:t>3.可信应管理：终端应用自动采集、可信应用黑白名单设置；</w:t>
            </w:r>
            <w:r>
              <w:rPr>
                <w:rFonts w:ascii="宋体" w:hAnsi="宋体" w:cs="宋体"/>
                <w:color w:val="auto"/>
                <w:kern w:val="0"/>
                <w:szCs w:val="21"/>
              </w:rPr>
              <w:br w:type="textWrapping"/>
            </w:r>
            <w:r>
              <w:rPr>
                <w:rFonts w:ascii="宋体" w:hAnsi="宋体" w:cs="宋体"/>
                <w:color w:val="auto"/>
                <w:kern w:val="0"/>
                <w:szCs w:val="21"/>
              </w:rPr>
              <w:t>4.终端检测：防泄露水印，支持与防病毒及威胁情报联动增强终端检测能力；</w:t>
            </w:r>
            <w:r>
              <w:rPr>
                <w:rFonts w:ascii="宋体" w:hAnsi="宋体" w:cs="宋体"/>
                <w:color w:val="auto"/>
                <w:kern w:val="0"/>
                <w:szCs w:val="21"/>
              </w:rPr>
              <w:br w:type="textWrapping"/>
            </w:r>
            <w:r>
              <w:rPr>
                <w:rFonts w:ascii="宋体" w:hAnsi="宋体" w:cs="宋体"/>
                <w:color w:val="auto"/>
                <w:kern w:val="0"/>
                <w:szCs w:val="21"/>
              </w:rPr>
              <w:t>5.审计功能：地址溯源、登录日志、用户操作、系统管理日志；</w:t>
            </w:r>
            <w:r>
              <w:rPr>
                <w:rFonts w:ascii="宋体" w:hAnsi="宋体" w:cs="宋体"/>
                <w:color w:val="auto"/>
                <w:kern w:val="0"/>
                <w:szCs w:val="21"/>
              </w:rPr>
              <w:br w:type="textWrapping"/>
            </w:r>
            <w:r>
              <w:rPr>
                <w:rFonts w:ascii="宋体" w:hAnsi="宋体" w:cs="宋体"/>
                <w:color w:val="auto"/>
                <w:kern w:val="0"/>
                <w:szCs w:val="21"/>
              </w:rPr>
              <w:t xml:space="preserve">6.终端兼容列表：支持Windows 7/8/10；MacOS 10 </w:t>
            </w:r>
            <w:r>
              <w:rPr>
                <w:rFonts w:hint="eastAsia" w:ascii="宋体" w:hAnsi="宋体" w:cs="宋体"/>
                <w:color w:val="auto"/>
                <w:kern w:val="0"/>
                <w:szCs w:val="21"/>
              </w:rPr>
              <w:t>及以上版本；</w:t>
            </w:r>
            <w:r>
              <w:rPr>
                <w:rFonts w:ascii="宋体" w:hAnsi="宋体" w:cs="宋体"/>
                <w:color w:val="auto"/>
                <w:kern w:val="0"/>
                <w:szCs w:val="21"/>
              </w:rPr>
              <w:t>Linux ubuntu 20；国产终端 UOS个人版（鲲鹏CPU）；Android 5.0及以上版本；IOS 10.0及以上版本；支持提供SDK包供APP应用集成；</w:t>
            </w:r>
            <w:r>
              <w:rPr>
                <w:rFonts w:ascii="宋体" w:hAnsi="宋体" w:cs="宋体"/>
                <w:color w:val="auto"/>
                <w:kern w:val="0"/>
                <w:szCs w:val="21"/>
              </w:rPr>
              <w:br w:type="textWrapping"/>
            </w:r>
            <w:r>
              <w:rPr>
                <w:rFonts w:ascii="宋体" w:hAnsi="宋体" w:cs="宋体"/>
                <w:color w:val="auto"/>
                <w:kern w:val="0"/>
                <w:szCs w:val="21"/>
              </w:rPr>
              <w:t>7.提供网络隐身功能，支持网关代理，提供HTTP/HTTPS/TCP/SSH/Socks5协议代理；提供在线用户数、在线时长、在线注销功能；支持访问控制功能；</w:t>
            </w:r>
            <w:r>
              <w:rPr>
                <w:rFonts w:ascii="宋体" w:hAnsi="宋体" w:cs="宋体"/>
                <w:color w:val="auto"/>
                <w:kern w:val="0"/>
                <w:szCs w:val="21"/>
              </w:rPr>
              <w:br w:type="textWrapping"/>
            </w:r>
            <w:r>
              <w:rPr>
                <w:rFonts w:ascii="宋体" w:hAnsi="宋体" w:cs="宋体"/>
                <w:color w:val="auto"/>
                <w:kern w:val="0"/>
                <w:szCs w:val="21"/>
              </w:rPr>
              <w:t>8.支持查看/审批/驳回所有用户提交的业务申请，申请通过后自动关联给该用户；</w:t>
            </w:r>
            <w:r>
              <w:rPr>
                <w:rFonts w:ascii="宋体" w:hAnsi="宋体" w:cs="宋体"/>
                <w:color w:val="auto"/>
                <w:kern w:val="0"/>
                <w:szCs w:val="21"/>
              </w:rPr>
              <w:br w:type="textWrapping"/>
            </w:r>
            <w:r>
              <w:rPr>
                <w:rFonts w:ascii="宋体" w:hAnsi="宋体" w:cs="宋体"/>
                <w:color w:val="auto"/>
                <w:kern w:val="0"/>
                <w:szCs w:val="21"/>
              </w:rPr>
              <w:t>9.对用户行为进行计分，并实现动态访问控制；</w:t>
            </w:r>
            <w:r>
              <w:rPr>
                <w:rFonts w:ascii="宋体" w:hAnsi="宋体" w:cs="宋体"/>
                <w:color w:val="auto"/>
                <w:kern w:val="0"/>
                <w:szCs w:val="21"/>
              </w:rPr>
              <w:br w:type="textWrapping"/>
            </w:r>
            <w:r>
              <w:rPr>
                <w:rFonts w:ascii="宋体" w:hAnsi="宋体" w:cs="宋体"/>
                <w:color w:val="auto"/>
                <w:kern w:val="0"/>
                <w:szCs w:val="21"/>
              </w:rPr>
              <w:t>10.对终端环境进行评分，并实现动态访问控制；</w:t>
            </w:r>
            <w:r>
              <w:rPr>
                <w:rFonts w:ascii="宋体" w:hAnsi="宋体" w:cs="宋体"/>
                <w:color w:val="auto"/>
                <w:kern w:val="0"/>
                <w:szCs w:val="21"/>
              </w:rPr>
              <w:br w:type="textWrapping"/>
            </w:r>
            <w:r>
              <w:rPr>
                <w:rFonts w:ascii="宋体" w:hAnsi="宋体" w:cs="宋体"/>
                <w:color w:val="auto"/>
                <w:kern w:val="0"/>
                <w:szCs w:val="21"/>
              </w:rPr>
              <w:t>11.支持设备证书管理，实现</w:t>
            </w:r>
            <w:r>
              <w:rPr>
                <w:rFonts w:hint="eastAsia" w:ascii="宋体" w:hAnsi="宋体" w:cs="宋体"/>
                <w:color w:val="auto"/>
                <w:kern w:val="0"/>
                <w:szCs w:val="21"/>
              </w:rPr>
              <w:t>一机一户一证，禁止陌生设备准入；</w:t>
            </w:r>
            <w:r>
              <w:rPr>
                <w:rFonts w:ascii="宋体" w:hAnsi="宋体" w:cs="宋体"/>
                <w:color w:val="auto"/>
                <w:kern w:val="0"/>
                <w:szCs w:val="21"/>
              </w:rPr>
              <w:br w:type="textWrapping"/>
            </w:r>
            <w:r>
              <w:rPr>
                <w:rFonts w:ascii="宋体" w:hAnsi="宋体" w:cs="宋体"/>
                <w:color w:val="auto"/>
                <w:kern w:val="0"/>
                <w:szCs w:val="21"/>
              </w:rPr>
              <w:t>12.支持提供开放的API，管理员可在控制台创建API KEY，供第三方安全设备或单位自有安全分析平台对接，便于形成统一的安全体系；</w:t>
            </w:r>
            <w:r>
              <w:rPr>
                <w:rFonts w:hint="eastAsia" w:ascii="宋体" w:hAnsi="宋体" w:cs="宋体"/>
                <w:color w:val="auto"/>
                <w:kern w:val="0"/>
                <w:szCs w:val="21"/>
              </w:rPr>
              <w:t>需提供产品功能截图并加盖原厂公章。</w:t>
            </w:r>
            <w:r>
              <w:rPr>
                <w:rFonts w:ascii="宋体" w:hAnsi="宋体" w:cs="宋体"/>
                <w:color w:val="auto"/>
                <w:kern w:val="0"/>
                <w:szCs w:val="21"/>
              </w:rPr>
              <w:br w:type="textWrapping"/>
            </w:r>
            <w:r>
              <w:rPr>
                <w:rFonts w:ascii="宋体" w:hAnsi="宋体" w:cs="宋体"/>
                <w:color w:val="auto"/>
                <w:kern w:val="0"/>
                <w:szCs w:val="21"/>
              </w:rPr>
              <w:t>13.支持网络流量限流；</w:t>
            </w:r>
            <w:r>
              <w:rPr>
                <w:rFonts w:ascii="宋体" w:hAnsi="宋体" w:cs="宋体"/>
                <w:color w:val="auto"/>
                <w:kern w:val="0"/>
                <w:szCs w:val="21"/>
              </w:rPr>
              <w:br w:type="textWrapping"/>
            </w:r>
            <w:r>
              <w:rPr>
                <w:rFonts w:ascii="宋体" w:hAnsi="宋体" w:cs="宋体"/>
                <w:color w:val="auto"/>
                <w:kern w:val="0"/>
                <w:szCs w:val="21"/>
              </w:rPr>
              <w:t>14.提供三年</w:t>
            </w:r>
            <w:r>
              <w:rPr>
                <w:rFonts w:hint="eastAsia" w:ascii="宋体" w:hAnsi="宋体" w:cs="宋体"/>
                <w:color w:val="auto"/>
                <w:kern w:val="0"/>
                <w:szCs w:val="21"/>
              </w:rPr>
              <w:t>原厂维保和</w:t>
            </w:r>
            <w:r>
              <w:rPr>
                <w:rFonts w:ascii="宋体" w:hAnsi="宋体" w:cs="宋体"/>
                <w:color w:val="auto"/>
                <w:kern w:val="0"/>
                <w:szCs w:val="21"/>
              </w:rPr>
              <w:t>OTA服务。</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亚信安全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奇安信</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绿盟</w:t>
            </w:r>
          </w:p>
        </w:tc>
      </w:tr>
      <w:tr>
        <w:tblPrEx>
          <w:tblCellMar>
            <w:top w:w="0" w:type="dxa"/>
            <w:left w:w="108" w:type="dxa"/>
            <w:bottom w:w="0" w:type="dxa"/>
            <w:right w:w="108" w:type="dxa"/>
          </w:tblCellMar>
        </w:tblPrEx>
        <w:trPr>
          <w:trHeight w:val="735" w:hRule="atLeast"/>
        </w:trPr>
        <w:tc>
          <w:tcPr>
            <w:tcW w:w="298" w:type="pc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8</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服务器安全管理系统</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1.操作系统兼容性客户端，至少兼容Windows Server 2003 sp2/R2  x86/x64；Windows Server 2008 sp1及以上/R2  x86/x64；Windows Server 2012~2019 sp1及以上/R2  x86/x64；CentOs 5.0及以上 x86/x64；RHEL 5.5及以上 x86/x64；Ubuntu 14.04及以上 x86/x64；SUSE 11及以上版本 x86/x64；Kylin Linux 4.18.0-147；Deepin-4.19.0-arm64-server_1707/1813；</w:t>
            </w:r>
          </w:p>
          <w:p>
            <w:pPr>
              <w:widowControl/>
              <w:jc w:val="left"/>
              <w:rPr>
                <w:rFonts w:ascii="宋体" w:hAnsi="宋体" w:cs="宋体"/>
                <w:color w:val="auto"/>
                <w:kern w:val="0"/>
                <w:szCs w:val="21"/>
              </w:rPr>
            </w:pPr>
            <w:r>
              <w:rPr>
                <w:rFonts w:hint="eastAsia" w:ascii="宋体" w:hAnsi="宋体" w:cs="宋体"/>
                <w:color w:val="auto"/>
                <w:kern w:val="0"/>
                <w:szCs w:val="21"/>
              </w:rPr>
              <w:t>2.支持自我防护技术，即使客户端被意外关闭，防护依然有效；</w:t>
            </w:r>
          </w:p>
          <w:p>
            <w:pPr>
              <w:widowControl/>
              <w:jc w:val="left"/>
              <w:rPr>
                <w:rFonts w:ascii="宋体" w:hAnsi="宋体" w:cs="宋体"/>
                <w:color w:val="auto"/>
                <w:kern w:val="0"/>
                <w:szCs w:val="21"/>
              </w:rPr>
            </w:pPr>
            <w:r>
              <w:rPr>
                <w:rFonts w:hint="eastAsia" w:ascii="宋体" w:hAnsi="宋体" w:cs="宋体"/>
                <w:color w:val="auto"/>
                <w:kern w:val="0"/>
                <w:szCs w:val="21"/>
              </w:rPr>
              <w:t>3.支持全量资产的关键字及语法搜索，支持检索的语法包括但不限于：服务器资产类、进程资产类、账号资产类、软件应用类、web资产类、web服务类、web框架、数据库类、端口资产类、网络连接类、启动服务类、安装包类、计划任务类、环境变量类、内核类、类库资产类、注册表类、证书资产类进行检索；</w:t>
            </w:r>
          </w:p>
          <w:p>
            <w:pPr>
              <w:widowControl/>
              <w:jc w:val="left"/>
              <w:rPr>
                <w:rFonts w:ascii="宋体" w:hAnsi="宋体" w:cs="宋体"/>
                <w:color w:val="auto"/>
                <w:kern w:val="0"/>
                <w:szCs w:val="21"/>
              </w:rPr>
            </w:pPr>
            <w:r>
              <w:rPr>
                <w:rFonts w:hint="eastAsia" w:ascii="宋体" w:hAnsi="宋体" w:cs="宋体"/>
                <w:color w:val="auto"/>
                <w:kern w:val="0"/>
                <w:szCs w:val="21"/>
              </w:rPr>
              <w:t>4.学习每台服务器的网络外连行为、命令执行行为、文件创建行为，并形成图形化的时间轴行为基线，对于偏离行为以外的动作进行告警。</w:t>
            </w:r>
          </w:p>
          <w:p>
            <w:pPr>
              <w:widowControl/>
              <w:jc w:val="left"/>
              <w:rPr>
                <w:rFonts w:ascii="宋体" w:hAnsi="宋体" w:cs="宋体"/>
                <w:color w:val="auto"/>
                <w:kern w:val="0"/>
                <w:szCs w:val="21"/>
              </w:rPr>
            </w:pPr>
            <w:r>
              <w:rPr>
                <w:rFonts w:hint="eastAsia" w:ascii="宋体" w:hAnsi="宋体" w:cs="宋体"/>
                <w:color w:val="auto"/>
                <w:kern w:val="0"/>
                <w:szCs w:val="21"/>
              </w:rPr>
              <w:t>5.支持对服务器的进程外连控制进行规则设置，包括但不限于：禁止/允许进程外连外网、禁止/允许进程外连内网，并支持进程白名单和例外进程的设置；</w:t>
            </w:r>
          </w:p>
          <w:p>
            <w:pPr>
              <w:widowControl/>
              <w:jc w:val="left"/>
              <w:rPr>
                <w:rFonts w:ascii="宋体" w:hAnsi="宋体" w:cs="宋体"/>
                <w:color w:val="auto"/>
                <w:kern w:val="0"/>
                <w:szCs w:val="21"/>
              </w:rPr>
            </w:pPr>
            <w:r>
              <w:rPr>
                <w:rFonts w:hint="eastAsia" w:ascii="宋体" w:hAnsi="宋体" w:cs="宋体"/>
                <w:color w:val="auto"/>
                <w:kern w:val="0"/>
                <w:szCs w:val="21"/>
              </w:rPr>
              <w:t>6.支持对服务器中的风险账户进行检测，发现可能存在的风险账号，并可对风险账号进行标记修复、加白等操作；支持对服务器中复用的相同密码进行检测，可识别出某个密码被哪些服务器、哪个账户、哪个应用、哪个版本进行了复用；</w:t>
            </w:r>
          </w:p>
          <w:p>
            <w:pPr>
              <w:widowControl/>
              <w:jc w:val="left"/>
              <w:rPr>
                <w:rFonts w:ascii="宋体" w:hAnsi="宋体" w:cs="宋体"/>
                <w:color w:val="auto"/>
                <w:kern w:val="0"/>
                <w:szCs w:val="21"/>
              </w:rPr>
            </w:pPr>
            <w:r>
              <w:rPr>
                <w:rFonts w:hint="eastAsia" w:ascii="宋体" w:hAnsi="宋体" w:cs="宋体"/>
                <w:color w:val="auto"/>
                <w:kern w:val="0"/>
                <w:szCs w:val="21"/>
              </w:rPr>
              <w:t>7.可对扫描出的软件漏洞进行标记修复、加白、应用虚拟补丁等操作，并支持漏洞复扫；</w:t>
            </w:r>
          </w:p>
          <w:p>
            <w:pPr>
              <w:widowControl/>
              <w:jc w:val="left"/>
              <w:rPr>
                <w:rFonts w:ascii="宋体" w:hAnsi="宋体" w:cs="宋体"/>
                <w:color w:val="auto"/>
                <w:kern w:val="0"/>
                <w:szCs w:val="21"/>
              </w:rPr>
            </w:pPr>
            <w:r>
              <w:rPr>
                <w:rFonts w:hint="eastAsia" w:ascii="宋体" w:hAnsi="宋体" w:cs="宋体"/>
                <w:color w:val="auto"/>
                <w:kern w:val="0"/>
                <w:szCs w:val="21"/>
              </w:rPr>
              <w:t>8.以攻击者视角、受害者视角展示恶意扫描的事件，包括：服务器名称、负责人、所属部门、操作地址、最近发生时间、受害IP、攻击IP等信息，并可将事件加入黑名单或白名单，还可对受害的IP进行防端口扫描、屏蔽扫描器等设置；</w:t>
            </w:r>
          </w:p>
          <w:p>
            <w:pPr>
              <w:widowControl/>
              <w:jc w:val="left"/>
              <w:rPr>
                <w:rFonts w:ascii="宋体" w:hAnsi="宋体" w:cs="宋体"/>
                <w:color w:val="auto"/>
                <w:kern w:val="0"/>
                <w:szCs w:val="21"/>
              </w:rPr>
            </w:pPr>
            <w:r>
              <w:rPr>
                <w:rFonts w:hint="eastAsia" w:ascii="宋体" w:hAnsi="宋体" w:cs="宋体"/>
                <w:color w:val="auto"/>
                <w:kern w:val="0"/>
                <w:szCs w:val="21"/>
              </w:rPr>
              <w:t>9.内置一种安全防护方法、装置、电子设备及存储介质的技术，可对系统防护（包括但不限于：文件监控与防护、操作系统加固、入侵检测）、应用防护（包括但不限于：高级防护、应用漏洞防护、URL控制）、网络防护（防端口扫描、微蜜罐）进行统一的设置及模板管理，并对各类防护策略以模板形式下发。</w:t>
            </w:r>
          </w:p>
          <w:p>
            <w:pPr>
              <w:widowControl/>
              <w:jc w:val="left"/>
              <w:rPr>
                <w:rFonts w:ascii="宋体" w:hAnsi="宋体" w:cs="宋体"/>
                <w:color w:val="auto"/>
                <w:kern w:val="0"/>
                <w:szCs w:val="21"/>
              </w:rPr>
            </w:pPr>
            <w:r>
              <w:rPr>
                <w:rFonts w:hint="eastAsia" w:ascii="宋体" w:hAnsi="宋体" w:cs="宋体"/>
                <w:color w:val="auto"/>
                <w:kern w:val="0"/>
                <w:szCs w:val="21"/>
              </w:rPr>
              <w:t>10、三年原厂维保服务；</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亚信安全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奇安信</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绿盟</w:t>
            </w:r>
          </w:p>
        </w:tc>
      </w:tr>
      <w:tr>
        <w:tblPrEx>
          <w:tblCellMar>
            <w:top w:w="0" w:type="dxa"/>
            <w:left w:w="108" w:type="dxa"/>
            <w:bottom w:w="0" w:type="dxa"/>
            <w:right w:w="108" w:type="dxa"/>
          </w:tblCellMar>
        </w:tblPrEx>
        <w:trPr>
          <w:trHeight w:val="8190" w:hRule="atLeast"/>
        </w:trPr>
        <w:tc>
          <w:tcPr>
            <w:tcW w:w="298" w:type="pc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9</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数据加密系统</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1.加密速率25000单元格/秒；SM4最大加密速率 4Gbps；最大并发连接数 3000；最大加密列数60列；最大百万级表加密；数据库实例数3个；</w:t>
            </w:r>
            <w:r>
              <w:rPr>
                <w:rFonts w:ascii="宋体" w:hAnsi="宋体" w:cs="宋体"/>
                <w:color w:val="auto"/>
                <w:kern w:val="0"/>
                <w:szCs w:val="21"/>
              </w:rPr>
              <w:br w:type="textWrapping"/>
            </w:r>
            <w:r>
              <w:rPr>
                <w:rFonts w:ascii="宋体" w:hAnsi="宋体" w:cs="宋体"/>
                <w:color w:val="auto"/>
                <w:kern w:val="0"/>
                <w:szCs w:val="21"/>
              </w:rPr>
              <w:t>2.支持数据源主机的四个指标监控（CPU、内存、I/O、网络情况），并进行实时展现。超过阈值时降低加密系统对数据源主机的资源占用，实现“闲时加密”；</w:t>
            </w:r>
            <w:r>
              <w:rPr>
                <w:rFonts w:ascii="宋体" w:hAnsi="宋体" w:cs="宋体"/>
                <w:color w:val="auto"/>
                <w:kern w:val="0"/>
                <w:szCs w:val="21"/>
              </w:rPr>
              <w:br w:type="textWrapping"/>
            </w:r>
            <w:r>
              <w:rPr>
                <w:rFonts w:ascii="宋体" w:hAnsi="宋体" w:cs="宋体"/>
                <w:color w:val="auto"/>
                <w:kern w:val="0"/>
                <w:szCs w:val="21"/>
              </w:rPr>
              <w:t>3.支持已有数据加解密，高度识别并加密库内已有敏感数据，</w:t>
            </w:r>
            <w:r>
              <w:rPr>
                <w:rFonts w:hint="eastAsia" w:ascii="宋体" w:hAnsi="宋体" w:cs="宋体"/>
                <w:color w:val="auto"/>
                <w:kern w:val="0"/>
                <w:szCs w:val="21"/>
              </w:rPr>
              <w:t>防止拖库攻击和磁盘等存储设备失窃造成的数据泄露；支持实时加解密，无需用户的干预，数据在使用过程中自动被加密或解密；</w:t>
            </w:r>
            <w:r>
              <w:rPr>
                <w:rFonts w:ascii="宋体" w:hAnsi="宋体" w:cs="宋体"/>
                <w:color w:val="auto"/>
                <w:kern w:val="0"/>
                <w:szCs w:val="21"/>
              </w:rPr>
              <w:br w:type="textWrapping"/>
            </w:r>
            <w:r>
              <w:rPr>
                <w:rFonts w:ascii="宋体" w:hAnsi="宋体" w:cs="宋体"/>
                <w:color w:val="auto"/>
                <w:kern w:val="0"/>
                <w:szCs w:val="21"/>
              </w:rPr>
              <w:t>4.支持使用国家密码局的SM4</w:t>
            </w:r>
            <w:r>
              <w:rPr>
                <w:rFonts w:hint="eastAsia" w:ascii="宋体" w:hAnsi="宋体" w:cs="宋体"/>
                <w:color w:val="auto"/>
                <w:kern w:val="0"/>
                <w:szCs w:val="21"/>
              </w:rPr>
              <w:t>国密算法和</w:t>
            </w:r>
            <w:r>
              <w:rPr>
                <w:rFonts w:ascii="宋体" w:hAnsi="宋体" w:cs="宋体"/>
                <w:color w:val="auto"/>
                <w:kern w:val="0"/>
                <w:szCs w:val="21"/>
              </w:rPr>
              <w:t xml:space="preserve">AES国际算法进行加密 </w:t>
            </w:r>
            <w:r>
              <w:rPr>
                <w:rFonts w:hint="eastAsia" w:ascii="宋体" w:hAnsi="宋体" w:cs="宋体"/>
                <w:color w:val="auto"/>
                <w:kern w:val="0"/>
                <w:szCs w:val="21"/>
              </w:rPr>
              <w:t>；</w:t>
            </w:r>
            <w:r>
              <w:rPr>
                <w:rFonts w:ascii="宋体" w:hAnsi="宋体" w:cs="宋体"/>
                <w:color w:val="auto"/>
                <w:kern w:val="0"/>
                <w:szCs w:val="21"/>
              </w:rPr>
              <w:br w:type="textWrapping"/>
            </w:r>
            <w:r>
              <w:rPr>
                <w:rFonts w:ascii="宋体" w:hAnsi="宋体" w:cs="宋体"/>
                <w:color w:val="auto"/>
                <w:kern w:val="0"/>
                <w:szCs w:val="21"/>
              </w:rPr>
              <w:t>5.支持麒麟、UOS等国产化操作系统，支持鲲鹏、飞腾等国产处理器芯片；</w:t>
            </w:r>
            <w:r>
              <w:rPr>
                <w:rFonts w:ascii="宋体" w:hAnsi="宋体" w:cs="宋体"/>
                <w:color w:val="auto"/>
                <w:kern w:val="0"/>
                <w:szCs w:val="21"/>
              </w:rPr>
              <w:br w:type="textWrapping"/>
            </w:r>
            <w:r>
              <w:rPr>
                <w:rFonts w:ascii="宋体" w:hAnsi="宋体" w:cs="宋体"/>
                <w:color w:val="auto"/>
                <w:kern w:val="0"/>
                <w:szCs w:val="21"/>
              </w:rPr>
              <w:t>6.支持SM3 HMAC算法保证加密数据在解密前的完整性，能够识别加密数据是否被篡改；</w:t>
            </w:r>
            <w:r>
              <w:rPr>
                <w:rFonts w:ascii="宋体" w:hAnsi="宋体" w:cs="宋体"/>
                <w:color w:val="auto"/>
                <w:kern w:val="0"/>
                <w:szCs w:val="21"/>
              </w:rPr>
              <w:br w:type="textWrapping"/>
            </w:r>
            <w:r>
              <w:rPr>
                <w:rFonts w:ascii="宋体" w:hAnsi="宋体" w:cs="宋体"/>
                <w:color w:val="auto"/>
                <w:kern w:val="0"/>
                <w:szCs w:val="21"/>
              </w:rPr>
              <w:t>7.支持标准的主密钥、库密钥、列密钥三级密钥管理技术保障密钥安全；</w:t>
            </w:r>
            <w:r>
              <w:rPr>
                <w:rFonts w:ascii="宋体" w:hAnsi="宋体" w:cs="宋体"/>
                <w:color w:val="auto"/>
                <w:kern w:val="0"/>
                <w:szCs w:val="21"/>
              </w:rPr>
              <w:br w:type="textWrapping"/>
            </w:r>
            <w:r>
              <w:rPr>
                <w:rFonts w:ascii="宋体" w:hAnsi="宋体" w:cs="宋体"/>
                <w:color w:val="auto"/>
                <w:kern w:val="0"/>
                <w:szCs w:val="21"/>
              </w:rPr>
              <w:t>8.支持使用离线密文恢复工具将密文恢复成明文，防止不可预测原因导致系统</w:t>
            </w:r>
            <w:r>
              <w:rPr>
                <w:rFonts w:hint="eastAsia" w:ascii="宋体" w:hAnsi="宋体" w:cs="宋体"/>
                <w:color w:val="auto"/>
                <w:kern w:val="0"/>
                <w:szCs w:val="21"/>
              </w:rPr>
              <w:t>宕机后数据库数据不可解密；</w:t>
            </w:r>
            <w:r>
              <w:rPr>
                <w:rFonts w:ascii="宋体" w:hAnsi="宋体" w:cs="宋体"/>
                <w:color w:val="auto"/>
                <w:kern w:val="0"/>
                <w:szCs w:val="21"/>
              </w:rPr>
              <w:br w:type="textWrapping"/>
            </w:r>
            <w:r>
              <w:rPr>
                <w:rFonts w:ascii="宋体" w:hAnsi="宋体" w:cs="宋体"/>
                <w:color w:val="auto"/>
                <w:kern w:val="0"/>
                <w:szCs w:val="21"/>
              </w:rPr>
              <w:t>9.系统支持独立于数据库以外的访问控制，未经数据库加密系统授权的数据库用户不能读取、插入、修改、删除敏感数据；</w:t>
            </w:r>
            <w:r>
              <w:rPr>
                <w:rFonts w:ascii="宋体" w:hAnsi="宋体" w:cs="宋体"/>
                <w:color w:val="auto"/>
                <w:kern w:val="0"/>
                <w:szCs w:val="21"/>
              </w:rPr>
              <w:br w:type="textWrapping"/>
            </w:r>
            <w:r>
              <w:rPr>
                <w:rFonts w:ascii="宋体" w:hAnsi="宋体" w:cs="宋体"/>
                <w:color w:val="auto"/>
                <w:kern w:val="0"/>
                <w:szCs w:val="21"/>
              </w:rPr>
              <w:t>10.支持对数据库指定用户、到期时间及多个ip段授权，防止非法访问数据库；</w:t>
            </w:r>
            <w:r>
              <w:rPr>
                <w:rFonts w:ascii="宋体" w:hAnsi="宋体" w:cs="宋体"/>
                <w:color w:val="auto"/>
                <w:kern w:val="0"/>
                <w:szCs w:val="21"/>
              </w:rPr>
              <w:br w:type="textWrapping"/>
            </w:r>
            <w:r>
              <w:rPr>
                <w:rFonts w:ascii="宋体" w:hAnsi="宋体" w:cs="宋体"/>
                <w:color w:val="auto"/>
                <w:kern w:val="0"/>
                <w:szCs w:val="21"/>
              </w:rPr>
              <w:t>11.支持查看系统管理员，安全管理员的操作记录，包含操作员账号，行为描述，IP地址，操作时间等信息；</w:t>
            </w:r>
            <w:r>
              <w:rPr>
                <w:rFonts w:ascii="宋体" w:hAnsi="宋体" w:cs="宋体"/>
                <w:color w:val="auto"/>
                <w:kern w:val="0"/>
                <w:szCs w:val="21"/>
              </w:rPr>
              <w:br w:type="textWrapping"/>
            </w:r>
            <w:r>
              <w:rPr>
                <w:rFonts w:ascii="宋体" w:hAnsi="宋体" w:cs="宋体"/>
                <w:color w:val="auto"/>
                <w:kern w:val="0"/>
                <w:szCs w:val="21"/>
              </w:rPr>
              <w:t>12.支持系统管理员，安全管理员，审计管理员三权分立；</w:t>
            </w:r>
            <w:r>
              <w:rPr>
                <w:rFonts w:ascii="宋体" w:hAnsi="宋体" w:cs="宋体"/>
                <w:color w:val="auto"/>
                <w:kern w:val="0"/>
                <w:szCs w:val="21"/>
              </w:rPr>
              <w:br w:type="textWrapping"/>
            </w:r>
            <w:r>
              <w:rPr>
                <w:rFonts w:ascii="宋体" w:hAnsi="宋体" w:cs="宋体"/>
                <w:color w:val="auto"/>
                <w:kern w:val="0"/>
                <w:szCs w:val="21"/>
              </w:rPr>
              <w:t>13</w:t>
            </w:r>
            <w:r>
              <w:rPr>
                <w:rFonts w:hint="eastAsia" w:ascii="宋体" w:hAnsi="宋体" w:cs="宋体"/>
                <w:color w:val="auto"/>
                <w:kern w:val="0"/>
                <w:szCs w:val="21"/>
              </w:rPr>
              <w:t>、提供三年原厂服务。</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闪捷信息</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亚信安全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奇安信</w:t>
            </w:r>
          </w:p>
        </w:tc>
      </w:tr>
      <w:tr>
        <w:tblPrEx>
          <w:tblCellMar>
            <w:top w:w="0" w:type="dxa"/>
            <w:left w:w="108" w:type="dxa"/>
            <w:bottom w:w="0" w:type="dxa"/>
            <w:right w:w="108" w:type="dxa"/>
          </w:tblCellMar>
        </w:tblPrEx>
        <w:trPr>
          <w:trHeight w:val="5415" w:hRule="atLeast"/>
        </w:trPr>
        <w:tc>
          <w:tcPr>
            <w:tcW w:w="29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10</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数据动态脱敏系统</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 xml:space="preserve">1.高效的脱敏处理能力，数据脱敏后与脱敏前的SQL请求时延增加&lt;=1ms，吞吐量损耗&lt;15% </w:t>
            </w:r>
            <w:r>
              <w:rPr>
                <w:rFonts w:hint="eastAsia" w:ascii="宋体" w:hAnsi="宋体" w:cs="宋体"/>
                <w:color w:val="auto"/>
                <w:kern w:val="0"/>
                <w:szCs w:val="21"/>
              </w:rPr>
              <w:t>；</w:t>
            </w:r>
            <w:r>
              <w:rPr>
                <w:rFonts w:ascii="宋体" w:hAnsi="宋体" w:cs="宋体"/>
                <w:color w:val="auto"/>
                <w:kern w:val="0"/>
                <w:szCs w:val="21"/>
              </w:rPr>
              <w:br w:type="textWrapping"/>
            </w:r>
            <w:r>
              <w:rPr>
                <w:rFonts w:ascii="宋体" w:hAnsi="宋体" w:cs="宋体"/>
                <w:color w:val="auto"/>
                <w:kern w:val="0"/>
                <w:szCs w:val="21"/>
              </w:rPr>
              <w:t>2.支持对API数据网关/数据接口的实时脱敏功能，适用于基于RESTful风格的数据格式脱敏，支持http/https协议；</w:t>
            </w:r>
            <w:r>
              <w:rPr>
                <w:rFonts w:ascii="宋体" w:hAnsi="宋体" w:cs="宋体"/>
                <w:color w:val="auto"/>
                <w:kern w:val="0"/>
                <w:szCs w:val="21"/>
              </w:rPr>
              <w:br w:type="textWrapping"/>
            </w:r>
            <w:r>
              <w:rPr>
                <w:rFonts w:ascii="宋体" w:hAnsi="宋体" w:cs="宋体"/>
                <w:color w:val="auto"/>
                <w:kern w:val="0"/>
                <w:szCs w:val="21"/>
              </w:rPr>
              <w:t>3.系统内置19类预定义敏感数据类型发现规则，可满足常见敏感数据发现脱敏需求；</w:t>
            </w:r>
            <w:r>
              <w:rPr>
                <w:rFonts w:ascii="宋体" w:hAnsi="宋体" w:cs="宋体"/>
                <w:color w:val="auto"/>
                <w:kern w:val="0"/>
                <w:szCs w:val="21"/>
              </w:rPr>
              <w:br w:type="textWrapping"/>
            </w:r>
            <w:r>
              <w:rPr>
                <w:rFonts w:ascii="宋体" w:hAnsi="宋体" w:cs="宋体"/>
                <w:color w:val="auto"/>
                <w:kern w:val="0"/>
                <w:szCs w:val="21"/>
              </w:rPr>
              <w:t>4.支持对敏感数据访问的记录进行统计，用于回溯和查看敏感数据的访问频度和行为轨迹；</w:t>
            </w:r>
            <w:r>
              <w:rPr>
                <w:rFonts w:ascii="宋体" w:hAnsi="宋体" w:cs="宋体"/>
                <w:color w:val="auto"/>
                <w:kern w:val="0"/>
                <w:szCs w:val="21"/>
              </w:rPr>
              <w:br w:type="textWrapping"/>
            </w:r>
            <w:r>
              <w:rPr>
                <w:rFonts w:ascii="宋体" w:hAnsi="宋体" w:cs="宋体"/>
                <w:color w:val="auto"/>
                <w:kern w:val="0"/>
                <w:szCs w:val="21"/>
              </w:rPr>
              <w:t>5.支持自定义添加数据敏感等级，对数据进行分级脱敏，满足数据分级的业务及合</w:t>
            </w:r>
            <w:r>
              <w:rPr>
                <w:rFonts w:hint="eastAsia" w:ascii="宋体" w:hAnsi="宋体" w:cs="宋体"/>
                <w:color w:val="auto"/>
                <w:kern w:val="0"/>
                <w:szCs w:val="21"/>
              </w:rPr>
              <w:t>规需求；</w:t>
            </w:r>
            <w:r>
              <w:rPr>
                <w:rFonts w:ascii="宋体" w:hAnsi="宋体" w:cs="宋体"/>
                <w:color w:val="auto"/>
                <w:kern w:val="0"/>
                <w:szCs w:val="21"/>
              </w:rPr>
              <w:br w:type="textWrapping"/>
            </w:r>
            <w:r>
              <w:rPr>
                <w:rFonts w:ascii="宋体" w:hAnsi="宋体" w:cs="宋体"/>
                <w:color w:val="auto"/>
                <w:kern w:val="0"/>
                <w:szCs w:val="21"/>
              </w:rPr>
              <w:t>6.系统内置丰富高效的脱敏算法，可对常见敏感数据如姓名、地址、电话、手机号、身份证、统一信用代码、银行卡号等敏感数据进行脱敏，解决各类常见脱敏场景；</w:t>
            </w:r>
            <w:r>
              <w:rPr>
                <w:rFonts w:ascii="宋体" w:hAnsi="宋体" w:cs="宋体"/>
                <w:color w:val="auto"/>
                <w:kern w:val="0"/>
                <w:szCs w:val="21"/>
              </w:rPr>
              <w:br w:type="textWrapping"/>
            </w:r>
            <w:r>
              <w:rPr>
                <w:rFonts w:ascii="宋体" w:hAnsi="宋体" w:cs="宋体"/>
                <w:color w:val="auto"/>
                <w:kern w:val="0"/>
                <w:szCs w:val="21"/>
              </w:rPr>
              <w:t>7.支持置空、遮蔽、随机、仿真脱敏算法四大脱敏主流算法，满足不同类型、程度的数据漂白需求；</w:t>
            </w:r>
            <w:r>
              <w:rPr>
                <w:rFonts w:ascii="宋体" w:hAnsi="宋体" w:cs="宋体"/>
                <w:color w:val="auto"/>
                <w:kern w:val="0"/>
                <w:szCs w:val="21"/>
              </w:rPr>
              <w:br w:type="textWrapping"/>
            </w:r>
            <w:r>
              <w:rPr>
                <w:rFonts w:ascii="宋体" w:hAnsi="宋体" w:cs="宋体"/>
                <w:color w:val="auto"/>
                <w:kern w:val="0"/>
                <w:szCs w:val="21"/>
              </w:rPr>
              <w:t>8.支持自定义添加脱敏算法，满足对脱敏效果的个性化定制需求；</w:t>
            </w:r>
            <w:r>
              <w:rPr>
                <w:rFonts w:ascii="宋体" w:hAnsi="宋体" w:cs="宋体"/>
                <w:color w:val="auto"/>
                <w:kern w:val="0"/>
                <w:szCs w:val="21"/>
              </w:rPr>
              <w:br w:type="textWrapping"/>
            </w:r>
            <w:r>
              <w:rPr>
                <w:rFonts w:ascii="宋体" w:hAnsi="宋体" w:cs="宋体"/>
                <w:color w:val="auto"/>
                <w:kern w:val="0"/>
                <w:szCs w:val="21"/>
              </w:rPr>
              <w:t>9.支持存储过程脱敏，防止存储过程数据调研而脱敏绕过；</w:t>
            </w:r>
            <w:r>
              <w:rPr>
                <w:rFonts w:ascii="宋体" w:hAnsi="宋体" w:cs="宋体"/>
                <w:color w:val="auto"/>
                <w:kern w:val="0"/>
                <w:szCs w:val="21"/>
              </w:rPr>
              <w:br w:type="textWrapping"/>
            </w:r>
            <w:r>
              <w:rPr>
                <w:rFonts w:ascii="宋体" w:hAnsi="宋体" w:cs="宋体"/>
                <w:color w:val="auto"/>
                <w:kern w:val="0"/>
                <w:szCs w:val="21"/>
              </w:rPr>
              <w:t>10.支持对非法的SQL语句访问行为阻断，进一步保障数据安全；</w:t>
            </w:r>
            <w:r>
              <w:rPr>
                <w:rFonts w:ascii="宋体" w:hAnsi="宋体" w:cs="宋体"/>
                <w:color w:val="auto"/>
                <w:kern w:val="0"/>
                <w:szCs w:val="21"/>
              </w:rPr>
              <w:br w:type="textWrapping"/>
            </w:r>
            <w:r>
              <w:rPr>
                <w:rFonts w:ascii="宋体" w:hAnsi="宋体" w:cs="宋体"/>
                <w:color w:val="auto"/>
                <w:kern w:val="0"/>
                <w:szCs w:val="21"/>
              </w:rPr>
              <w:t>11</w:t>
            </w:r>
            <w:r>
              <w:rPr>
                <w:rFonts w:hint="eastAsia" w:ascii="宋体" w:hAnsi="宋体" w:cs="宋体"/>
                <w:color w:val="auto"/>
                <w:kern w:val="0"/>
                <w:szCs w:val="21"/>
              </w:rPr>
              <w:t>、提供三年原厂商质保。</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闪捷信息</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亚信安全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奇安信</w:t>
            </w:r>
          </w:p>
        </w:tc>
      </w:tr>
      <w:tr>
        <w:tblPrEx>
          <w:tblCellMar>
            <w:top w:w="0" w:type="dxa"/>
            <w:left w:w="108" w:type="dxa"/>
            <w:bottom w:w="0" w:type="dxa"/>
            <w:right w:w="108" w:type="dxa"/>
          </w:tblCellMar>
        </w:tblPrEx>
        <w:trPr>
          <w:trHeight w:val="6468" w:hRule="atLeast"/>
        </w:trPr>
        <w:tc>
          <w:tcPr>
            <w:tcW w:w="298" w:type="pc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11</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数据静态脱敏系统</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1.支持数据库到数据库、数据库到文件、文件到文件、文件到数据库等多种数据分发方式的脱敏；</w:t>
            </w:r>
            <w:r>
              <w:rPr>
                <w:rFonts w:ascii="宋体" w:hAnsi="宋体" w:cs="宋体"/>
                <w:color w:val="auto"/>
                <w:kern w:val="0"/>
                <w:szCs w:val="21"/>
              </w:rPr>
              <w:br w:type="textWrapping"/>
            </w:r>
            <w:r>
              <w:rPr>
                <w:rFonts w:ascii="宋体" w:hAnsi="宋体" w:cs="宋体"/>
                <w:color w:val="auto"/>
                <w:kern w:val="0"/>
                <w:szCs w:val="21"/>
              </w:rPr>
              <w:t>2.支持对已脱敏的数据进行逆向脱敏查询，得到真实数据，便于用户校验数据的可使用性；</w:t>
            </w:r>
            <w:r>
              <w:rPr>
                <w:rFonts w:ascii="宋体" w:hAnsi="宋体" w:cs="宋体"/>
                <w:color w:val="auto"/>
                <w:kern w:val="0"/>
                <w:szCs w:val="21"/>
              </w:rPr>
              <w:br w:type="textWrapping"/>
            </w:r>
            <w:r>
              <w:rPr>
                <w:rFonts w:ascii="宋体" w:hAnsi="宋体" w:cs="宋体"/>
                <w:color w:val="auto"/>
                <w:kern w:val="0"/>
                <w:szCs w:val="21"/>
              </w:rPr>
              <w:t>3.支持自定义文件脱敏模板，用户上</w:t>
            </w:r>
            <w:r>
              <w:rPr>
                <w:rFonts w:hint="eastAsia" w:ascii="宋体" w:hAnsi="宋体" w:cs="宋体"/>
                <w:color w:val="auto"/>
                <w:kern w:val="0"/>
                <w:szCs w:val="21"/>
              </w:rPr>
              <w:t>传需要脱敏的文件后通过选择模板即可完成敏感数据确认、脱敏算法选择、脱敏方案选择等任务，进行快捷高效脱敏；</w:t>
            </w:r>
            <w:r>
              <w:rPr>
                <w:rFonts w:ascii="宋体" w:hAnsi="宋体" w:cs="宋体"/>
                <w:color w:val="auto"/>
                <w:kern w:val="0"/>
                <w:szCs w:val="21"/>
              </w:rPr>
              <w:br w:type="textWrapping"/>
            </w:r>
            <w:r>
              <w:rPr>
                <w:rFonts w:ascii="宋体" w:hAnsi="宋体" w:cs="宋体"/>
                <w:color w:val="auto"/>
                <w:kern w:val="0"/>
                <w:szCs w:val="21"/>
              </w:rPr>
              <w:t>4.支持数据库增量脱敏，根据自定义的增量判断字段，自行识别数据库增量数据，并对其执行脱敏操作；</w:t>
            </w:r>
            <w:r>
              <w:rPr>
                <w:rFonts w:ascii="宋体" w:hAnsi="宋体" w:cs="宋体"/>
                <w:color w:val="auto"/>
                <w:kern w:val="0"/>
                <w:szCs w:val="21"/>
              </w:rPr>
              <w:br w:type="textWrapping"/>
            </w:r>
            <w:r>
              <w:rPr>
                <w:rFonts w:ascii="宋体" w:hAnsi="宋体" w:cs="宋体"/>
                <w:color w:val="auto"/>
                <w:kern w:val="0"/>
                <w:szCs w:val="21"/>
              </w:rPr>
              <w:t>5.系统支持脱敏任务执行效率的智能调优功能，系统可以根据脱敏对象自动调整脱敏参数，无需人工配置脱敏任务的分页数、提交数以及</w:t>
            </w:r>
            <w:r>
              <w:rPr>
                <w:rFonts w:hint="eastAsia" w:ascii="宋体" w:hAnsi="宋体" w:cs="宋体"/>
                <w:color w:val="auto"/>
                <w:kern w:val="0"/>
                <w:szCs w:val="21"/>
              </w:rPr>
              <w:t>线程数等参数。降低学习、使用成本，屏蔽由于产品使用人员的经验和技术导致的脱敏效率低下的现象；</w:t>
            </w:r>
            <w:r>
              <w:rPr>
                <w:rFonts w:ascii="宋体" w:hAnsi="宋体" w:cs="宋体"/>
                <w:color w:val="auto"/>
                <w:kern w:val="0"/>
                <w:szCs w:val="21"/>
              </w:rPr>
              <w:br w:type="textWrapping"/>
            </w:r>
            <w:r>
              <w:rPr>
                <w:rFonts w:ascii="宋体" w:hAnsi="宋体" w:cs="宋体"/>
                <w:color w:val="auto"/>
                <w:kern w:val="0"/>
                <w:szCs w:val="21"/>
              </w:rPr>
              <w:t>6.支持多种脱敏算法，仿真、置空、加密、随机、遮蔽、K匿名、令牌化、洗牌、截断、字符乱序。</w:t>
            </w:r>
            <w:r>
              <w:rPr>
                <w:rFonts w:ascii="宋体" w:hAnsi="宋体" w:cs="宋体"/>
                <w:color w:val="auto"/>
                <w:kern w:val="0"/>
                <w:szCs w:val="21"/>
              </w:rPr>
              <w:br w:type="textWrapping"/>
            </w:r>
            <w:r>
              <w:rPr>
                <w:rFonts w:ascii="宋体" w:hAnsi="宋体" w:cs="宋体"/>
                <w:color w:val="auto"/>
                <w:kern w:val="0"/>
                <w:szCs w:val="21"/>
              </w:rPr>
              <w:t>7.系统针对脱敏产品操作人员的操作行为进行审计记录，可以由审计管理员进行查询，具有自身安全审计功能；</w:t>
            </w:r>
            <w:r>
              <w:rPr>
                <w:rFonts w:ascii="宋体" w:hAnsi="宋体" w:cs="宋体"/>
                <w:color w:val="auto"/>
                <w:kern w:val="0"/>
                <w:szCs w:val="21"/>
              </w:rPr>
              <w:br w:type="textWrapping"/>
            </w:r>
            <w:r>
              <w:rPr>
                <w:rFonts w:ascii="宋体" w:hAnsi="宋体" w:cs="宋体"/>
                <w:color w:val="auto"/>
                <w:kern w:val="0"/>
                <w:szCs w:val="21"/>
              </w:rPr>
              <w:t>8.系统不允许真实生产数据落地，不能存储生产数据；并提供审计报告，包括用户信息、脱敏配置信息、任务信息等；</w:t>
            </w:r>
            <w:r>
              <w:rPr>
                <w:rFonts w:ascii="宋体" w:hAnsi="宋体" w:cs="宋体"/>
                <w:color w:val="auto"/>
                <w:kern w:val="0"/>
                <w:szCs w:val="21"/>
              </w:rPr>
              <w:br w:type="textWrapping"/>
            </w:r>
            <w:r>
              <w:rPr>
                <w:rFonts w:ascii="宋体" w:hAnsi="宋体" w:cs="宋体"/>
                <w:color w:val="auto"/>
                <w:kern w:val="0"/>
                <w:szCs w:val="21"/>
              </w:rPr>
              <w:t>9.具备完善、统一的权限管理体系，可以针对不同用户、不同角色、不同业务系统实现数据行级的权限控制；</w:t>
            </w:r>
            <w:r>
              <w:rPr>
                <w:rFonts w:ascii="宋体" w:hAnsi="宋体" w:cs="宋体"/>
                <w:color w:val="auto"/>
                <w:kern w:val="0"/>
                <w:szCs w:val="21"/>
              </w:rPr>
              <w:br w:type="textWrapping"/>
            </w:r>
            <w:r>
              <w:rPr>
                <w:rFonts w:ascii="宋体" w:hAnsi="宋体" w:cs="宋体"/>
                <w:color w:val="auto"/>
                <w:kern w:val="0"/>
                <w:szCs w:val="21"/>
              </w:rPr>
              <w:t>10.支持对外提供API接口调用脱敏算法服务；</w:t>
            </w:r>
            <w:r>
              <w:rPr>
                <w:rFonts w:ascii="宋体" w:hAnsi="宋体" w:cs="宋体"/>
                <w:color w:val="auto"/>
                <w:kern w:val="0"/>
                <w:szCs w:val="21"/>
              </w:rPr>
              <w:br w:type="textWrapping"/>
            </w:r>
            <w:r>
              <w:rPr>
                <w:rFonts w:ascii="宋体" w:hAnsi="宋体" w:cs="宋体"/>
                <w:color w:val="auto"/>
                <w:kern w:val="0"/>
                <w:szCs w:val="21"/>
              </w:rPr>
              <w:t>11.提供三年原厂商质保。</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闪捷信息</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亚信安全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奇安信</w:t>
            </w:r>
          </w:p>
        </w:tc>
      </w:tr>
      <w:tr>
        <w:tblPrEx>
          <w:tblCellMar>
            <w:top w:w="0" w:type="dxa"/>
            <w:left w:w="108" w:type="dxa"/>
            <w:bottom w:w="0" w:type="dxa"/>
            <w:right w:w="108" w:type="dxa"/>
          </w:tblCellMar>
        </w:tblPrEx>
        <w:trPr>
          <w:trHeight w:val="4810" w:hRule="atLeast"/>
        </w:trPr>
        <w:tc>
          <w:tcPr>
            <w:tcW w:w="29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12</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水印溯源系统</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1.支持excel、csv、txt文件为源文件和目标文件，支持FTP和本地文件；</w:t>
            </w:r>
            <w:r>
              <w:rPr>
                <w:rFonts w:ascii="宋体" w:hAnsi="宋体" w:cs="宋体"/>
                <w:color w:val="auto"/>
                <w:kern w:val="0"/>
                <w:szCs w:val="21"/>
              </w:rPr>
              <w:br w:type="textWrapping"/>
            </w:r>
            <w:r>
              <w:rPr>
                <w:rFonts w:ascii="宋体" w:hAnsi="宋体" w:cs="宋体"/>
                <w:color w:val="auto"/>
                <w:kern w:val="0"/>
                <w:szCs w:val="21"/>
              </w:rPr>
              <w:t>2.内置常见数据类型特定的水印算法，可根据数据类型发现结果自动匹配水印算法；</w:t>
            </w:r>
            <w:r>
              <w:rPr>
                <w:rFonts w:ascii="宋体" w:hAnsi="宋体" w:cs="宋体"/>
                <w:color w:val="auto"/>
                <w:kern w:val="0"/>
                <w:szCs w:val="21"/>
              </w:rPr>
              <w:br w:type="textWrapping"/>
            </w:r>
            <w:r>
              <w:rPr>
                <w:rFonts w:ascii="宋体" w:hAnsi="宋体" w:cs="宋体"/>
                <w:color w:val="auto"/>
                <w:kern w:val="0"/>
                <w:szCs w:val="21"/>
              </w:rPr>
              <w:t>3.支持数据库到数据库，数据库到文件，文件到数据库，文件到文件的水印分发方式，满足各类水印分发需求场景；</w:t>
            </w:r>
            <w:r>
              <w:rPr>
                <w:rFonts w:ascii="宋体" w:hAnsi="宋体" w:cs="宋体"/>
                <w:color w:val="auto"/>
                <w:kern w:val="0"/>
                <w:szCs w:val="21"/>
              </w:rPr>
              <w:br w:type="textWrapping"/>
            </w:r>
            <w:r>
              <w:rPr>
                <w:rFonts w:ascii="宋体" w:hAnsi="宋体" w:cs="宋体"/>
                <w:color w:val="auto"/>
                <w:kern w:val="0"/>
                <w:szCs w:val="21"/>
              </w:rPr>
              <w:t>4.水印过程数据不落地，减少中间过程数据泄漏风险；支持伪行、伪列、无痕三种水印算法；</w:t>
            </w:r>
            <w:r>
              <w:rPr>
                <w:rFonts w:ascii="宋体" w:hAnsi="宋体" w:cs="宋体"/>
                <w:color w:val="auto"/>
                <w:kern w:val="0"/>
                <w:szCs w:val="21"/>
              </w:rPr>
              <w:br w:type="textWrapping"/>
            </w:r>
            <w:r>
              <w:rPr>
                <w:rFonts w:ascii="宋体" w:hAnsi="宋体" w:cs="宋体"/>
                <w:color w:val="auto"/>
                <w:kern w:val="0"/>
                <w:szCs w:val="21"/>
              </w:rPr>
              <w:t>5.支持手动干预调整数据水印算法，满足用户多样化的数据水印需求；</w:t>
            </w:r>
            <w:r>
              <w:rPr>
                <w:rFonts w:ascii="宋体" w:hAnsi="宋体" w:cs="宋体"/>
                <w:color w:val="auto"/>
                <w:kern w:val="0"/>
                <w:szCs w:val="21"/>
              </w:rPr>
              <w:br w:type="textWrapping"/>
            </w:r>
            <w:r>
              <w:rPr>
                <w:rFonts w:ascii="宋体" w:hAnsi="宋体" w:cs="宋体"/>
                <w:color w:val="auto"/>
                <w:kern w:val="0"/>
                <w:szCs w:val="21"/>
              </w:rPr>
              <w:t>6.水印具备鲁棒性，水印算法具备密钥管理无法被篡改，数据部分遭到破坏后仍能进行有效溯源；</w:t>
            </w:r>
            <w:r>
              <w:rPr>
                <w:rFonts w:ascii="宋体" w:hAnsi="宋体" w:cs="宋体"/>
                <w:color w:val="auto"/>
                <w:kern w:val="0"/>
                <w:szCs w:val="21"/>
              </w:rPr>
              <w:br w:type="textWrapping"/>
            </w:r>
            <w:r>
              <w:rPr>
                <w:rFonts w:ascii="宋体" w:hAnsi="宋体" w:cs="宋体"/>
                <w:color w:val="auto"/>
                <w:kern w:val="0"/>
                <w:szCs w:val="21"/>
              </w:rPr>
              <w:t>7.支持水印任务报告，可在任务界面直接查看水印失败日志等详细信息，提高业务效率；</w:t>
            </w:r>
            <w:r>
              <w:rPr>
                <w:rFonts w:ascii="宋体" w:hAnsi="宋体" w:cs="宋体"/>
                <w:color w:val="auto"/>
                <w:kern w:val="0"/>
                <w:szCs w:val="21"/>
              </w:rPr>
              <w:br w:type="textWrapping"/>
            </w:r>
            <w:r>
              <w:rPr>
                <w:rFonts w:ascii="宋体" w:hAnsi="宋体" w:cs="宋体"/>
                <w:color w:val="auto"/>
                <w:kern w:val="0"/>
                <w:szCs w:val="21"/>
              </w:rPr>
              <w:t>8.支持Oracle、SQL server、MySQL、PostgreSQL、ODPS等数据库水印溯源，溯源结果展示包括水印具体信息，数据源信息等，可快速定位泄漏源；</w:t>
            </w:r>
            <w:r>
              <w:rPr>
                <w:rFonts w:ascii="宋体" w:hAnsi="宋体" w:cs="宋体"/>
                <w:color w:val="auto"/>
                <w:kern w:val="0"/>
                <w:szCs w:val="21"/>
              </w:rPr>
              <w:br w:type="textWrapping"/>
            </w:r>
            <w:r>
              <w:rPr>
                <w:rFonts w:ascii="宋体" w:hAnsi="宋体" w:cs="宋体"/>
                <w:color w:val="auto"/>
                <w:kern w:val="0"/>
                <w:szCs w:val="21"/>
              </w:rPr>
              <w:t>9.支持FTP、本地文件水印溯源，支持txt、csv、excel格式，溯源结果展示包括水印具体信息，数据源信息等，可快速定位泄漏源；</w:t>
            </w:r>
            <w:r>
              <w:rPr>
                <w:rFonts w:ascii="宋体" w:hAnsi="宋体" w:cs="宋体"/>
                <w:color w:val="auto"/>
                <w:kern w:val="0"/>
                <w:szCs w:val="21"/>
              </w:rPr>
              <w:br w:type="textWrapping"/>
            </w:r>
            <w:r>
              <w:rPr>
                <w:rFonts w:ascii="宋体" w:hAnsi="宋体" w:cs="宋体"/>
                <w:color w:val="auto"/>
                <w:kern w:val="0"/>
                <w:szCs w:val="21"/>
              </w:rPr>
              <w:t>10.提供系统管理员、安全管理员和审计管理员来管理水印设备，权责分离；</w:t>
            </w:r>
            <w:r>
              <w:rPr>
                <w:rFonts w:ascii="宋体" w:hAnsi="宋体" w:cs="宋体"/>
                <w:color w:val="auto"/>
                <w:kern w:val="0"/>
                <w:szCs w:val="21"/>
              </w:rPr>
              <w:br w:type="textWrapping"/>
            </w:r>
            <w:r>
              <w:rPr>
                <w:rFonts w:ascii="宋体" w:hAnsi="宋体" w:cs="宋体"/>
                <w:color w:val="auto"/>
                <w:kern w:val="0"/>
                <w:szCs w:val="21"/>
              </w:rPr>
              <w:t>11.系统针对水印产品操作人员的操作行为进行审计记录，可以由审计管理员进行查询，具有自身安全审计功能；</w:t>
            </w:r>
            <w:r>
              <w:rPr>
                <w:rFonts w:ascii="宋体" w:hAnsi="宋体" w:cs="宋体"/>
                <w:color w:val="auto"/>
                <w:kern w:val="0"/>
                <w:szCs w:val="21"/>
              </w:rPr>
              <w:br w:type="textWrapping"/>
            </w:r>
            <w:r>
              <w:rPr>
                <w:rFonts w:ascii="宋体" w:hAnsi="宋体" w:cs="宋体"/>
                <w:color w:val="auto"/>
                <w:kern w:val="0"/>
                <w:szCs w:val="21"/>
              </w:rPr>
              <w:t>12</w:t>
            </w:r>
            <w:r>
              <w:rPr>
                <w:rFonts w:hint="eastAsia" w:ascii="宋体" w:hAnsi="宋体" w:cs="宋体"/>
                <w:color w:val="auto"/>
                <w:kern w:val="0"/>
                <w:szCs w:val="21"/>
              </w:rPr>
              <w:t>、提供三年原厂质保服务。</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闪捷信息</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亚信安全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奇安信</w:t>
            </w:r>
          </w:p>
        </w:tc>
      </w:tr>
      <w:tr>
        <w:tblPrEx>
          <w:tblCellMar>
            <w:top w:w="0" w:type="dxa"/>
            <w:left w:w="108" w:type="dxa"/>
            <w:bottom w:w="0" w:type="dxa"/>
            <w:right w:w="108" w:type="dxa"/>
          </w:tblCellMar>
        </w:tblPrEx>
        <w:trPr>
          <w:trHeight w:val="278" w:hRule="atLeast"/>
        </w:trPr>
        <w:tc>
          <w:tcPr>
            <w:tcW w:w="29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r>
              <w:rPr>
                <w:rFonts w:ascii="宋体" w:hAnsi="宋体" w:cs="宋体"/>
                <w:color w:val="auto"/>
                <w:kern w:val="0"/>
                <w:szCs w:val="21"/>
              </w:rPr>
              <w:t>3</w:t>
            </w:r>
          </w:p>
        </w:tc>
        <w:tc>
          <w:tcPr>
            <w:tcW w:w="694"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数据库加密服务</w:t>
            </w:r>
          </w:p>
        </w:tc>
        <w:tc>
          <w:tcPr>
            <w:tcW w:w="38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2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年</w:t>
            </w:r>
          </w:p>
        </w:tc>
        <w:tc>
          <w:tcPr>
            <w:tcW w:w="2117"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数据加密服务支持使用国产加密算法SM4对敏感数据加密，以满足等保、分保等评测要求；在此基础上增加独立于数据库的访问授权机制。任何访问被加密数据的人或应用事先必须经过授权，拥有合法访问权限才能访问加密数据，非授权用户无法访问加密数据，有效防止管理员越权访问及黑客拖库。同时支持系统管理员，安全管理员，审计管理员的三权分离管理，增强数据库使用的安全合规性。加密数据库实例数3个；</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闪捷信息</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亚信安全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奇安信</w:t>
            </w:r>
          </w:p>
        </w:tc>
      </w:tr>
      <w:tr>
        <w:tblPrEx>
          <w:tblCellMar>
            <w:top w:w="0" w:type="dxa"/>
            <w:left w:w="108" w:type="dxa"/>
            <w:bottom w:w="0" w:type="dxa"/>
            <w:right w:w="108" w:type="dxa"/>
          </w:tblCellMar>
        </w:tblPrEx>
        <w:trPr>
          <w:trHeight w:val="278" w:hRule="atLeast"/>
        </w:trPr>
        <w:tc>
          <w:tcPr>
            <w:tcW w:w="29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r>
              <w:rPr>
                <w:rFonts w:ascii="宋体" w:hAnsi="宋体" w:cs="宋体"/>
                <w:color w:val="auto"/>
                <w:kern w:val="0"/>
                <w:szCs w:val="21"/>
              </w:rPr>
              <w:t>4</w:t>
            </w:r>
          </w:p>
        </w:tc>
        <w:tc>
          <w:tcPr>
            <w:tcW w:w="694"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数据动态脱敏服务</w:t>
            </w:r>
          </w:p>
        </w:tc>
        <w:tc>
          <w:tcPr>
            <w:tcW w:w="38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2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年</w:t>
            </w:r>
          </w:p>
        </w:tc>
        <w:tc>
          <w:tcPr>
            <w:tcW w:w="2117"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数据库动态脱敏服务是一款面向生产环境的敏感数据实时性去标识化服务。通过定义敏感数据特征，对敏感数据进行自动发现并创建脱敏规则。基于用户访问数据的权限，在生产数据库被访问查询的过程中，对数据进行实时的模糊化处理，防止敏感数据的泄露。脱敏数据库实例数5个；</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闪捷信息</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亚信安全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奇安信</w:t>
            </w:r>
          </w:p>
        </w:tc>
      </w:tr>
      <w:tr>
        <w:tblPrEx>
          <w:tblCellMar>
            <w:top w:w="0" w:type="dxa"/>
            <w:left w:w="108" w:type="dxa"/>
            <w:bottom w:w="0" w:type="dxa"/>
            <w:right w:w="108" w:type="dxa"/>
          </w:tblCellMar>
        </w:tblPrEx>
        <w:trPr>
          <w:trHeight w:val="278" w:hRule="atLeast"/>
        </w:trPr>
        <w:tc>
          <w:tcPr>
            <w:tcW w:w="29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r>
              <w:rPr>
                <w:rFonts w:ascii="宋体" w:hAnsi="宋体" w:cs="宋体"/>
                <w:color w:val="auto"/>
                <w:kern w:val="0"/>
                <w:szCs w:val="21"/>
              </w:rPr>
              <w:t>5</w:t>
            </w:r>
          </w:p>
        </w:tc>
        <w:tc>
          <w:tcPr>
            <w:tcW w:w="694"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数据静态脱敏服务</w:t>
            </w:r>
          </w:p>
        </w:tc>
        <w:tc>
          <w:tcPr>
            <w:tcW w:w="38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2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年</w:t>
            </w:r>
          </w:p>
        </w:tc>
        <w:tc>
          <w:tcPr>
            <w:tcW w:w="2117"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数据库静态脱敏支持敏感数据的自动发现、数据子集的定义和管理，针对用户不同的应用场景提供灵活的策略和脱敏方案配置。在帮助用户实施高效脱敏的处理的同时，提供脱敏后数据的高保真性、数据之间的关联性。充分满足用户针对不同应用场景下的各种脱敏需求，使脱敏后的数据可以安全的应用于测试、开发、分析和第三方大数据分析等环境。静态脱敏系统还支持通过数据水印技术，将不可见的水印标记嵌入到原始数据中，数据进行分发后，可通过读取水印信息实现泄露数据的溯源。脱敏数据库实例数5个；</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闪捷信息</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亚信安全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奇安信</w:t>
            </w:r>
          </w:p>
        </w:tc>
      </w:tr>
      <w:tr>
        <w:tblPrEx>
          <w:tblCellMar>
            <w:top w:w="0" w:type="dxa"/>
            <w:left w:w="108" w:type="dxa"/>
            <w:bottom w:w="0" w:type="dxa"/>
            <w:right w:w="108" w:type="dxa"/>
          </w:tblCellMar>
        </w:tblPrEx>
        <w:trPr>
          <w:trHeight w:val="278" w:hRule="atLeast"/>
        </w:trPr>
        <w:tc>
          <w:tcPr>
            <w:tcW w:w="29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r>
              <w:rPr>
                <w:rFonts w:ascii="宋体" w:hAnsi="宋体" w:cs="宋体"/>
                <w:color w:val="auto"/>
                <w:kern w:val="0"/>
                <w:szCs w:val="21"/>
              </w:rPr>
              <w:t>6</w:t>
            </w:r>
          </w:p>
        </w:tc>
        <w:tc>
          <w:tcPr>
            <w:tcW w:w="694"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数据库水印服务</w:t>
            </w:r>
          </w:p>
        </w:tc>
        <w:tc>
          <w:tcPr>
            <w:tcW w:w="38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2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年</w:t>
            </w:r>
          </w:p>
        </w:tc>
        <w:tc>
          <w:tcPr>
            <w:tcW w:w="2117"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数据库水印溯源服务技术实现方式是通过将水印标记嵌入到原始数据中，数据分发后支持对泄露数据进行水印溯源。具有高隐蔽性、高易用性、高管理融合性等特点。数据库水印溯源服务通过系统外发数据行为流程化管理，对数据外发行为事前数据发现梳理、申请审批、事中添加数据标记、自动生成水印、事后文件加密、外发行为审计、数据源追溯等功能，避免了内部人员外发数据泄露无法对事件追溯，提高了数据传递的安全性和可追溯能力。水印数据库实例数5个；</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闪捷信息</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亚信安全</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奇安信</w:t>
            </w:r>
          </w:p>
        </w:tc>
      </w:tr>
      <w:tr>
        <w:tblPrEx>
          <w:tblCellMar>
            <w:top w:w="0" w:type="dxa"/>
            <w:left w:w="108" w:type="dxa"/>
            <w:bottom w:w="0" w:type="dxa"/>
            <w:right w:w="108" w:type="dxa"/>
          </w:tblCellMar>
        </w:tblPrEx>
        <w:trPr>
          <w:trHeight w:val="278" w:hRule="atLeast"/>
        </w:trPr>
        <w:tc>
          <w:tcPr>
            <w:tcW w:w="29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17</w:t>
            </w:r>
          </w:p>
        </w:tc>
        <w:tc>
          <w:tcPr>
            <w:tcW w:w="694"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安全测评费</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项</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安全测评费</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278" w:hRule="atLeast"/>
        </w:trPr>
        <w:tc>
          <w:tcPr>
            <w:tcW w:w="29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18</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密码测评费</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项</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密码三级测评费</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19</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等保测评费</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项</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等保二级测评费</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278" w:hRule="atLeast"/>
        </w:trPr>
        <w:tc>
          <w:tcPr>
            <w:tcW w:w="29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四</w:t>
            </w:r>
          </w:p>
        </w:tc>
        <w:tc>
          <w:tcPr>
            <w:tcW w:w="3443" w:type="pct"/>
            <w:gridSpan w:val="4"/>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b/>
                <w:bCs/>
                <w:color w:val="auto"/>
                <w:kern w:val="0"/>
                <w:szCs w:val="21"/>
              </w:rPr>
            </w:pPr>
            <w:r>
              <w:rPr>
                <w:rFonts w:hint="eastAsia" w:ascii="宋体" w:hAnsi="宋体" w:cs="宋体"/>
                <w:b/>
                <w:bCs/>
                <w:color w:val="auto"/>
                <w:kern w:val="0"/>
                <w:szCs w:val="21"/>
              </w:rPr>
              <w:t>中心端视频存储系统</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465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中心端存储系统</w:t>
            </w:r>
          </w:p>
        </w:tc>
        <w:tc>
          <w:tcPr>
            <w:tcW w:w="383"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5</w:t>
            </w:r>
          </w:p>
        </w:tc>
        <w:tc>
          <w:tcPr>
            <w:tcW w:w="249"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1、双控制器/48盘位/640Mbps接入带宽/48块8T企业级SAS硬盘/两颗64位多核处理器/32GB缓存/8个千兆数据网口/2个千兆管理网口/冗余电源/VRAID2.0/网络协议：RTSP/ONVIF/PSIA/（GB/T28181）；</w:t>
            </w:r>
            <w:r>
              <w:rPr>
                <w:rFonts w:ascii="宋体" w:hAnsi="宋体" w:cs="宋体"/>
                <w:color w:val="auto"/>
                <w:kern w:val="0"/>
                <w:szCs w:val="21"/>
              </w:rPr>
              <w:br w:type="textWrapping"/>
            </w:r>
            <w:r>
              <w:rPr>
                <w:rFonts w:ascii="宋体" w:hAnsi="宋体" w:cs="宋体"/>
                <w:color w:val="auto"/>
                <w:kern w:val="0"/>
                <w:szCs w:val="21"/>
              </w:rPr>
              <w:t>2、具有48块硬盘热插拔插槽；支持硬盘热插拔设备在读写数据时，热插拔设备内的任意块硬盘，设备正常运行不</w:t>
            </w:r>
            <w:r>
              <w:rPr>
                <w:rFonts w:hint="eastAsia" w:ascii="宋体" w:hAnsi="宋体" w:cs="宋体"/>
                <w:color w:val="auto"/>
                <w:kern w:val="0"/>
                <w:szCs w:val="21"/>
              </w:rPr>
              <w:t>宕机，硬盘不损坏，数据不丢失，业务不中断；</w:t>
            </w:r>
            <w:r>
              <w:rPr>
                <w:rFonts w:ascii="宋体" w:hAnsi="宋体" w:cs="宋体"/>
                <w:color w:val="auto"/>
                <w:kern w:val="0"/>
                <w:szCs w:val="21"/>
              </w:rPr>
              <w:br w:type="textWrapping"/>
            </w:r>
            <w:r>
              <w:rPr>
                <w:rFonts w:ascii="宋体" w:hAnsi="宋体" w:cs="宋体"/>
                <w:color w:val="auto"/>
                <w:kern w:val="0"/>
                <w:szCs w:val="21"/>
              </w:rPr>
              <w:t>3、中心端存储系统应支持不低于6个容器，存储业务模块可存放在不同容器中，业务之间互相隔离，一个业务模块发生故障时，不影响其它业务模块。当一个业务模块异常，系统可自动重</w:t>
            </w:r>
            <w:r>
              <w:rPr>
                <w:rFonts w:hint="eastAsia" w:ascii="宋体" w:hAnsi="宋体" w:cs="宋体"/>
                <w:color w:val="auto"/>
                <w:kern w:val="0"/>
                <w:szCs w:val="21"/>
              </w:rPr>
              <w:t>启业务模块并恢复原有业务；需提供公安部授权机构出具的检验报告证明文件并加盖原厂公章；</w:t>
            </w:r>
            <w:r>
              <w:rPr>
                <w:rFonts w:ascii="宋体" w:hAnsi="宋体" w:cs="宋体"/>
                <w:color w:val="auto"/>
                <w:kern w:val="0"/>
                <w:szCs w:val="21"/>
              </w:rPr>
              <w:br w:type="textWrapping"/>
            </w:r>
            <w:r>
              <w:rPr>
                <w:rFonts w:ascii="宋体" w:hAnsi="宋体" w:cs="宋体"/>
                <w:color w:val="auto"/>
                <w:kern w:val="0"/>
                <w:szCs w:val="21"/>
              </w:rPr>
              <w:t>4、可接入2T/3T/4T/6T/8T/10T/12T/14T/16T/18T/20T SATA/SAS硬盘；</w:t>
            </w:r>
            <w:r>
              <w:rPr>
                <w:rFonts w:ascii="宋体" w:hAnsi="宋体" w:cs="宋体"/>
                <w:color w:val="auto"/>
                <w:kern w:val="0"/>
                <w:szCs w:val="21"/>
              </w:rPr>
              <w:br w:type="textWrapping"/>
            </w:r>
            <w:r>
              <w:rPr>
                <w:rFonts w:ascii="宋体" w:hAnsi="宋体" w:cs="宋体"/>
                <w:color w:val="auto"/>
                <w:kern w:val="0"/>
                <w:szCs w:val="21"/>
              </w:rPr>
              <w:t>5、设备采用全模块架构冗余设计，无单一故障点。支持配置2个控制器,可分别配置为Active- Standby模式，1个控制器工作，1个控制器热备，当工作控制器发生故障时，</w:t>
            </w:r>
            <w:r>
              <w:rPr>
                <w:rFonts w:hint="eastAsia" w:ascii="宋体" w:hAnsi="宋体" w:cs="宋体"/>
                <w:color w:val="auto"/>
                <w:kern w:val="0"/>
                <w:szCs w:val="21"/>
              </w:rPr>
              <w:t>热备控制器可自动接管，录像业务不中断，数据不丢失；</w:t>
            </w:r>
            <w:r>
              <w:rPr>
                <w:rFonts w:ascii="宋体" w:hAnsi="宋体" w:cs="宋体"/>
                <w:color w:val="auto"/>
                <w:kern w:val="0"/>
                <w:szCs w:val="21"/>
              </w:rPr>
              <w:br w:type="textWrapping"/>
            </w:r>
            <w:r>
              <w:rPr>
                <w:rFonts w:ascii="宋体" w:hAnsi="宋体" w:cs="宋体"/>
                <w:color w:val="auto"/>
                <w:kern w:val="0"/>
                <w:szCs w:val="21"/>
              </w:rPr>
              <w:t>6、</w:t>
            </w:r>
            <w:r>
              <w:rPr>
                <w:rFonts w:hint="eastAsia" w:ascii="宋体" w:hAnsi="宋体" w:cs="宋体"/>
                <w:color w:val="auto"/>
                <w:kern w:val="0"/>
                <w:szCs w:val="21"/>
              </w:rPr>
              <w:t>▲为满足本期项目后期平滑扩容，做到系统间业务打通，确保系统业务、数据、存储服务不中断，存储设备应具备网络</w:t>
            </w:r>
            <w:r>
              <w:rPr>
                <w:rFonts w:ascii="宋体" w:hAnsi="宋体" w:cs="宋体"/>
                <w:color w:val="auto"/>
                <w:kern w:val="0"/>
                <w:szCs w:val="21"/>
              </w:rPr>
              <w:t>RAID纠</w:t>
            </w:r>
            <w:r>
              <w:rPr>
                <w:rFonts w:hint="eastAsia" w:ascii="宋体" w:hAnsi="宋体" w:cs="宋体"/>
                <w:color w:val="auto"/>
                <w:kern w:val="0"/>
                <w:szCs w:val="21"/>
              </w:rPr>
              <w:t>删码技术，多台存储设备组建网络</w:t>
            </w:r>
            <w:r>
              <w:rPr>
                <w:rFonts w:ascii="宋体" w:hAnsi="宋体" w:cs="宋体"/>
                <w:color w:val="auto"/>
                <w:kern w:val="0"/>
                <w:szCs w:val="21"/>
              </w:rPr>
              <w:t>RAID，设置为负载均衡；单台或多台存储设备组建网络RAID，允许每组RAID中任意1-12个磁盘发生故障，数据不丢失，存储服务不中断；允许每组RAID中任意18块硬盘发生故障，业务不中断；需提供公安部授权机构出具的检验报告证明文件并加盖原厂公章；</w:t>
            </w:r>
            <w:r>
              <w:rPr>
                <w:rFonts w:ascii="宋体" w:hAnsi="宋体" w:cs="宋体"/>
                <w:color w:val="auto"/>
                <w:kern w:val="0"/>
                <w:szCs w:val="21"/>
              </w:rPr>
              <w:br w:type="textWrapping"/>
            </w:r>
            <w:r>
              <w:rPr>
                <w:rFonts w:ascii="宋体" w:hAnsi="宋体" w:cs="宋体"/>
                <w:color w:val="auto"/>
                <w:kern w:val="0"/>
                <w:szCs w:val="21"/>
              </w:rPr>
              <w:t>7、支持大容量文件系统，可创建超过32TB以上的文件系统；</w:t>
            </w:r>
          </w:p>
        </w:tc>
        <w:tc>
          <w:tcPr>
            <w:tcW w:w="420"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大华</w:t>
            </w:r>
          </w:p>
        </w:tc>
        <w:tc>
          <w:tcPr>
            <w:tcW w:w="419"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宇视</w:t>
            </w:r>
          </w:p>
        </w:tc>
      </w:tr>
      <w:tr>
        <w:tblPrEx>
          <w:tblCellMar>
            <w:top w:w="0" w:type="dxa"/>
            <w:left w:w="108" w:type="dxa"/>
            <w:bottom w:w="0" w:type="dxa"/>
            <w:right w:w="108" w:type="dxa"/>
          </w:tblCellMar>
        </w:tblPrEx>
        <w:trPr>
          <w:trHeight w:val="222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云存储系统扩容（公安视频专网）</w:t>
            </w:r>
          </w:p>
        </w:tc>
        <w:tc>
          <w:tcPr>
            <w:tcW w:w="383"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w:t>
            </w:r>
          </w:p>
        </w:tc>
        <w:tc>
          <w:tcPr>
            <w:tcW w:w="24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1、36盘位/3个SAS3.0接口/冗余电源/两颗64位多核处理器/64GB缓存/6个千兆数据网口/支持集群扩展及网络raid；</w:t>
            </w:r>
            <w:r>
              <w:rPr>
                <w:rFonts w:ascii="宋体" w:hAnsi="宋体" w:cs="宋体"/>
                <w:color w:val="auto"/>
                <w:kern w:val="0"/>
                <w:szCs w:val="21"/>
              </w:rPr>
              <w:br w:type="textWrapping"/>
            </w:r>
            <w:r>
              <w:rPr>
                <w:rFonts w:ascii="宋体" w:hAnsi="宋体" w:cs="宋体"/>
                <w:color w:val="auto"/>
                <w:kern w:val="0"/>
                <w:szCs w:val="21"/>
              </w:rPr>
              <w:t xml:space="preserve">2、支持流直存（视频/图片存储/支持 </w:t>
            </w:r>
            <w:r>
              <w:rPr>
                <w:rFonts w:hint="eastAsia" w:ascii="宋体" w:hAnsi="宋体" w:cs="宋体"/>
                <w:color w:val="auto"/>
                <w:kern w:val="0"/>
                <w:szCs w:val="21"/>
              </w:rPr>
              <w:t>热成像、全景相机接入和存储）；</w:t>
            </w:r>
            <w:r>
              <w:rPr>
                <w:rFonts w:ascii="宋体" w:hAnsi="宋体" w:cs="宋体"/>
                <w:color w:val="auto"/>
                <w:kern w:val="0"/>
                <w:szCs w:val="21"/>
              </w:rPr>
              <w:br w:type="textWrapping"/>
            </w:r>
            <w:r>
              <w:rPr>
                <w:rFonts w:ascii="宋体" w:hAnsi="宋体" w:cs="宋体"/>
                <w:color w:val="auto"/>
                <w:kern w:val="0"/>
                <w:szCs w:val="21"/>
              </w:rPr>
              <w:t>3、支持集群ISCSI、FC、集群NAS、对象接口，支持快照、卷克隆、卷复制等高级功能；</w:t>
            </w:r>
            <w:r>
              <w:rPr>
                <w:rFonts w:ascii="宋体" w:hAnsi="宋体" w:cs="宋体"/>
                <w:color w:val="auto"/>
                <w:kern w:val="0"/>
                <w:szCs w:val="21"/>
              </w:rPr>
              <w:br w:type="textWrapping"/>
            </w:r>
            <w:r>
              <w:rPr>
                <w:rFonts w:ascii="宋体" w:hAnsi="宋体" w:cs="宋体"/>
                <w:color w:val="auto"/>
                <w:kern w:val="0"/>
                <w:szCs w:val="21"/>
              </w:rPr>
              <w:t>4、内置KVM、Docker管理平台，第三方软件内嵌；</w:t>
            </w:r>
            <w:r>
              <w:rPr>
                <w:rFonts w:ascii="宋体" w:hAnsi="宋体" w:cs="宋体"/>
                <w:color w:val="auto"/>
                <w:kern w:val="0"/>
                <w:szCs w:val="21"/>
              </w:rPr>
              <w:br w:type="textWrapping"/>
            </w:r>
            <w:r>
              <w:rPr>
                <w:rFonts w:ascii="宋体" w:hAnsi="宋体" w:cs="宋体"/>
                <w:color w:val="auto"/>
                <w:kern w:val="0"/>
                <w:szCs w:val="21"/>
              </w:rPr>
              <w:t>5、提供块、NAS、对象、虚机、业务为用户提供非结构化数据、结构化数据共享存储，提供开放式流直存、AI助力、数据管理等关键业务特性，满足用户现在和未来的需求，显著降低TCO；</w:t>
            </w:r>
            <w:r>
              <w:rPr>
                <w:rFonts w:ascii="宋体" w:hAnsi="宋体" w:cs="宋体"/>
                <w:color w:val="auto"/>
                <w:kern w:val="0"/>
                <w:szCs w:val="21"/>
              </w:rPr>
              <w:br w:type="textWrapping"/>
            </w:r>
            <w:r>
              <w:rPr>
                <w:rFonts w:ascii="宋体" w:hAnsi="宋体" w:cs="宋体"/>
                <w:color w:val="auto"/>
                <w:kern w:val="0"/>
                <w:szCs w:val="21"/>
              </w:rPr>
              <w:t>6、提供3年原厂质保。</w:t>
            </w:r>
          </w:p>
        </w:tc>
        <w:tc>
          <w:tcPr>
            <w:tcW w:w="420"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大华</w:t>
            </w:r>
          </w:p>
        </w:tc>
        <w:tc>
          <w:tcPr>
            <w:tcW w:w="41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宇视</w:t>
            </w:r>
          </w:p>
        </w:tc>
      </w:tr>
      <w:tr>
        <w:tblPrEx>
          <w:tblCellMar>
            <w:top w:w="0" w:type="dxa"/>
            <w:left w:w="108" w:type="dxa"/>
            <w:bottom w:w="0" w:type="dxa"/>
            <w:right w:w="108" w:type="dxa"/>
          </w:tblCellMar>
        </w:tblPrEx>
        <w:trPr>
          <w:trHeight w:val="1620"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3</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16T硬盘</w:t>
            </w:r>
          </w:p>
        </w:tc>
        <w:tc>
          <w:tcPr>
            <w:tcW w:w="38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72</w:t>
            </w:r>
          </w:p>
        </w:tc>
        <w:tc>
          <w:tcPr>
            <w:tcW w:w="2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1、3.5 HDD,16TB,7200RPM, 512MB, SATA 6Gb/s，高转速：7200rpm；</w:t>
            </w:r>
            <w:r>
              <w:rPr>
                <w:rFonts w:ascii="宋体" w:hAnsi="宋体" w:cs="宋体"/>
                <w:color w:val="auto"/>
                <w:kern w:val="0"/>
                <w:szCs w:val="21"/>
              </w:rPr>
              <w:br w:type="textWrapping"/>
            </w:r>
            <w:r>
              <w:rPr>
                <w:rFonts w:ascii="宋体" w:hAnsi="宋体" w:cs="宋体"/>
                <w:color w:val="auto"/>
                <w:kern w:val="0"/>
                <w:szCs w:val="21"/>
              </w:rPr>
              <w:t>2、支持RAID应用，高达512MB缓冲区，流畅存储视频有效防止丢帧；</w:t>
            </w:r>
            <w:r>
              <w:rPr>
                <w:rFonts w:ascii="宋体" w:hAnsi="宋体" w:cs="宋体"/>
                <w:color w:val="auto"/>
                <w:kern w:val="0"/>
                <w:szCs w:val="21"/>
              </w:rPr>
              <w:br w:type="textWrapping"/>
            </w:r>
            <w:r>
              <w:rPr>
                <w:rFonts w:ascii="宋体" w:hAnsi="宋体" w:cs="宋体"/>
                <w:color w:val="auto"/>
                <w:kern w:val="0"/>
                <w:szCs w:val="21"/>
              </w:rPr>
              <w:t>3、MTBF(平均故障间隔时间)：不小于100万小时；</w:t>
            </w:r>
            <w:r>
              <w:rPr>
                <w:rFonts w:ascii="宋体" w:hAnsi="宋体" w:cs="宋体"/>
                <w:color w:val="auto"/>
                <w:kern w:val="0"/>
                <w:szCs w:val="21"/>
              </w:rPr>
              <w:br w:type="textWrapping"/>
            </w:r>
            <w:r>
              <w:rPr>
                <w:rFonts w:ascii="宋体" w:hAnsi="宋体" w:cs="宋体"/>
                <w:color w:val="auto"/>
                <w:kern w:val="0"/>
                <w:szCs w:val="21"/>
              </w:rPr>
              <w:t>4、年写入负载：不小于550TB</w:t>
            </w:r>
            <w:r>
              <w:rPr>
                <w:rFonts w:ascii="宋体" w:hAnsi="宋体" w:cs="宋体"/>
                <w:color w:val="auto"/>
                <w:kern w:val="0"/>
                <w:szCs w:val="21"/>
              </w:rPr>
              <w:br w:type="textWrapping"/>
            </w:r>
            <w:r>
              <w:rPr>
                <w:rFonts w:ascii="宋体" w:hAnsi="宋体" w:cs="宋体"/>
                <w:color w:val="auto"/>
                <w:kern w:val="0"/>
                <w:szCs w:val="21"/>
              </w:rPr>
              <w:t>5、单片硬盘可最多支持64个摄像头并发码</w:t>
            </w:r>
            <w:r>
              <w:rPr>
                <w:rFonts w:hint="eastAsia" w:ascii="宋体" w:hAnsi="宋体" w:cs="宋体"/>
                <w:color w:val="auto"/>
                <w:kern w:val="0"/>
                <w:szCs w:val="21"/>
              </w:rPr>
              <w:t>流稳定存储，高级格式（</w:t>
            </w:r>
            <w:r>
              <w:rPr>
                <w:rFonts w:ascii="宋体" w:hAnsi="宋体" w:cs="宋体"/>
                <w:color w:val="auto"/>
                <w:kern w:val="0"/>
                <w:szCs w:val="21"/>
              </w:rPr>
              <w:t>AF）512e扇区技术，保障硬盘扇区4K对齐；</w:t>
            </w:r>
            <w:r>
              <w:rPr>
                <w:rFonts w:ascii="宋体" w:hAnsi="宋体" w:cs="宋体"/>
                <w:color w:val="auto"/>
                <w:kern w:val="0"/>
                <w:szCs w:val="21"/>
              </w:rPr>
              <w:br w:type="textWrapping"/>
            </w:r>
            <w:r>
              <w:rPr>
                <w:rFonts w:ascii="宋体" w:hAnsi="宋体" w:cs="宋体"/>
                <w:color w:val="auto"/>
                <w:kern w:val="0"/>
                <w:szCs w:val="21"/>
              </w:rPr>
              <w:t>6、需包含监控硬盘安装调试服务；</w:t>
            </w:r>
            <w:r>
              <w:rPr>
                <w:rFonts w:ascii="宋体" w:hAnsi="宋体" w:cs="宋体"/>
                <w:color w:val="auto"/>
                <w:kern w:val="0"/>
                <w:szCs w:val="21"/>
              </w:rPr>
              <w:br w:type="textWrapping"/>
            </w:r>
            <w:r>
              <w:rPr>
                <w:rFonts w:ascii="宋体" w:hAnsi="宋体" w:cs="宋体"/>
                <w:color w:val="auto"/>
                <w:kern w:val="0"/>
                <w:szCs w:val="21"/>
              </w:rPr>
              <w:t>7、含5年质保服务。</w:t>
            </w:r>
          </w:p>
        </w:tc>
        <w:tc>
          <w:tcPr>
            <w:tcW w:w="420"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大华</w:t>
            </w:r>
          </w:p>
        </w:tc>
        <w:tc>
          <w:tcPr>
            <w:tcW w:w="41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宇视</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五</w:t>
            </w:r>
          </w:p>
        </w:tc>
        <w:tc>
          <w:tcPr>
            <w:tcW w:w="3443" w:type="pct"/>
            <w:gridSpan w:val="4"/>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b/>
                <w:bCs/>
                <w:color w:val="auto"/>
                <w:kern w:val="0"/>
                <w:szCs w:val="21"/>
              </w:rPr>
            </w:pPr>
            <w:r>
              <w:rPr>
                <w:rFonts w:hint="eastAsia" w:ascii="宋体" w:hAnsi="宋体" w:cs="宋体"/>
                <w:b/>
                <w:bCs/>
                <w:color w:val="auto"/>
                <w:kern w:val="0"/>
                <w:szCs w:val="21"/>
              </w:rPr>
              <w:t>智安小区综合运行管理平台</w:t>
            </w:r>
          </w:p>
        </w:tc>
        <w:tc>
          <w:tcPr>
            <w:tcW w:w="42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2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1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auto"/>
                <w:kern w:val="0"/>
                <w:szCs w:val="21"/>
              </w:rPr>
            </w:pPr>
            <w:r>
              <w:rPr>
                <w:rFonts w:ascii="宋体" w:hAnsi="宋体" w:cs="宋体"/>
                <w:b/>
                <w:bCs/>
                <w:color w:val="auto"/>
                <w:kern w:val="0"/>
                <w:szCs w:val="21"/>
              </w:rPr>
              <w:t>1）</w:t>
            </w:r>
          </w:p>
        </w:tc>
        <w:tc>
          <w:tcPr>
            <w:tcW w:w="3443" w:type="pct"/>
            <w:gridSpan w:val="4"/>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b/>
                <w:bCs/>
                <w:color w:val="auto"/>
                <w:kern w:val="0"/>
                <w:szCs w:val="21"/>
              </w:rPr>
            </w:pPr>
            <w:r>
              <w:rPr>
                <w:rFonts w:hint="eastAsia" w:ascii="宋体" w:hAnsi="宋体" w:cs="宋体"/>
                <w:b/>
                <w:bCs/>
                <w:color w:val="auto"/>
                <w:kern w:val="0"/>
                <w:szCs w:val="21"/>
              </w:rPr>
              <w:t>统一应用门户</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810"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平台入口</w:t>
            </w:r>
          </w:p>
        </w:tc>
        <w:tc>
          <w:tcPr>
            <w:tcW w:w="383"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1、平台入口:显示各个平台的入口，点击图标或名称即可进入对应的平台；支持自定义显示，支持入口颜色更改、尺寸大小更改、排版更改以及可进行入口分组管理。</w:t>
            </w:r>
            <w:r>
              <w:rPr>
                <w:rFonts w:ascii="宋体" w:hAnsi="宋体" w:cs="宋体"/>
                <w:color w:val="auto"/>
                <w:kern w:val="0"/>
                <w:szCs w:val="21"/>
              </w:rPr>
              <w:br w:type="textWrapping"/>
            </w:r>
            <w:r>
              <w:rPr>
                <w:rFonts w:ascii="宋体" w:hAnsi="宋体" w:cs="宋体"/>
                <w:color w:val="auto"/>
                <w:kern w:val="0"/>
                <w:szCs w:val="21"/>
              </w:rPr>
              <w:t>2、个人信息:可对用户个人信息维护，用户的密码修改。</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40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用户中心</w:t>
            </w:r>
          </w:p>
        </w:tc>
        <w:tc>
          <w:tcPr>
            <w:tcW w:w="38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提供行政区划、机构、岗位、用户、用户组、角色等信息维护和管理，支持批量导入导出。</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60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3</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应用中心</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提供应用审批、个性化管理及第三方服务接口；支持对业务平台增删改查基础功能，以及对业务平台进行上架、下架操作；并提供第三方接口服务。</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40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统一鉴权</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支持部门</w:t>
            </w:r>
            <w:r>
              <w:rPr>
                <w:rFonts w:ascii="宋体" w:hAnsi="宋体" w:cs="宋体"/>
                <w:color w:val="auto"/>
                <w:kern w:val="0"/>
                <w:szCs w:val="21"/>
              </w:rPr>
              <w:t>+用户名（身份证/手机号）+密码+验证码的方式进行统一身份认证。</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40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5</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填报中心</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针对不同的填写对象提供</w:t>
            </w:r>
            <w:r>
              <w:rPr>
                <w:rFonts w:ascii="宋体" w:hAnsi="宋体" w:cs="宋体"/>
                <w:color w:val="auto"/>
                <w:kern w:val="0"/>
                <w:szCs w:val="21"/>
              </w:rPr>
              <w:t>PC、二维码、链接多种填写方式，方便用户进行填写；</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40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6</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指标中心</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涵盖指标定义、指标建模、指标沉淀、指标可视化分析，实现指标全流程、一体化管理的能力中心；</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202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7</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物联中心</w:t>
            </w:r>
            <w:r>
              <w:rPr>
                <w:rFonts w:ascii="宋体" w:hAnsi="宋体" w:cs="宋体"/>
                <w:color w:val="auto"/>
                <w:kern w:val="0"/>
                <w:szCs w:val="21"/>
              </w:rPr>
              <w:t>-数据源管理</w:t>
            </w:r>
          </w:p>
        </w:tc>
        <w:tc>
          <w:tcPr>
            <w:tcW w:w="383"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支持多源异构数据的统一接入、</w:t>
            </w:r>
            <w:r>
              <w:rPr>
                <w:rFonts w:ascii="宋体" w:hAnsi="宋体" w:cs="宋体"/>
                <w:color w:val="auto"/>
                <w:kern w:val="0"/>
                <w:szCs w:val="21"/>
              </w:rPr>
              <w:t>ETL、管理、存储、查询功能，并向上层业务提供实时高效的数据服务。</w:t>
            </w:r>
            <w:r>
              <w:rPr>
                <w:rFonts w:ascii="宋体" w:hAnsi="宋体" w:cs="宋体"/>
                <w:color w:val="auto"/>
                <w:kern w:val="0"/>
                <w:szCs w:val="21"/>
              </w:rPr>
              <w:br w:type="textWrapping"/>
            </w:r>
            <w:r>
              <w:rPr>
                <w:rFonts w:ascii="宋体" w:hAnsi="宋体" w:cs="宋体"/>
                <w:color w:val="auto"/>
                <w:kern w:val="0"/>
                <w:szCs w:val="21"/>
              </w:rPr>
              <w:t xml:space="preserve">1) </w:t>
            </w:r>
            <w:r>
              <w:rPr>
                <w:rFonts w:hint="eastAsia" w:ascii="宋体" w:hAnsi="宋体" w:cs="宋体"/>
                <w:color w:val="auto"/>
                <w:kern w:val="0"/>
                <w:szCs w:val="21"/>
              </w:rPr>
              <w:t>具备多源异构数据接入、存储和查询功能，支持数据接入的全链路监控；</w:t>
            </w:r>
            <w:r>
              <w:rPr>
                <w:rFonts w:ascii="宋体" w:hAnsi="宋体" w:cs="宋体"/>
                <w:color w:val="auto"/>
                <w:kern w:val="0"/>
                <w:szCs w:val="21"/>
              </w:rPr>
              <w:br w:type="textWrapping"/>
            </w:r>
            <w:r>
              <w:rPr>
                <w:rFonts w:ascii="宋体" w:hAnsi="宋体" w:cs="宋体"/>
                <w:color w:val="auto"/>
                <w:kern w:val="0"/>
                <w:szCs w:val="21"/>
              </w:rPr>
              <w:t xml:space="preserve">2) </w:t>
            </w:r>
            <w:r>
              <w:rPr>
                <w:rFonts w:hint="eastAsia" w:ascii="宋体" w:hAnsi="宋体" w:cs="宋体"/>
                <w:color w:val="auto"/>
                <w:kern w:val="0"/>
                <w:szCs w:val="21"/>
              </w:rPr>
              <w:t>具备业务元数据的统一采集和管理功能，支持构建统一的元数据模型；</w:t>
            </w:r>
            <w:r>
              <w:rPr>
                <w:rFonts w:ascii="宋体" w:hAnsi="宋体" w:cs="宋体"/>
                <w:color w:val="auto"/>
                <w:kern w:val="0"/>
                <w:szCs w:val="21"/>
              </w:rPr>
              <w:br w:type="textWrapping"/>
            </w:r>
            <w:r>
              <w:rPr>
                <w:rFonts w:ascii="宋体" w:hAnsi="宋体" w:cs="宋体"/>
                <w:color w:val="auto"/>
                <w:kern w:val="0"/>
                <w:szCs w:val="21"/>
              </w:rPr>
              <w:t xml:space="preserve">3) </w:t>
            </w:r>
            <w:r>
              <w:rPr>
                <w:rFonts w:hint="eastAsia" w:ascii="宋体" w:hAnsi="宋体" w:cs="宋体"/>
                <w:color w:val="auto"/>
                <w:kern w:val="0"/>
                <w:szCs w:val="21"/>
              </w:rPr>
              <w:t>具备数据质量管理功能，支持规则管理和质量监控；</w:t>
            </w:r>
            <w:r>
              <w:rPr>
                <w:rFonts w:ascii="宋体" w:hAnsi="宋体" w:cs="宋体"/>
                <w:color w:val="auto"/>
                <w:kern w:val="0"/>
                <w:szCs w:val="21"/>
              </w:rPr>
              <w:br w:type="textWrapping"/>
            </w:r>
            <w:r>
              <w:rPr>
                <w:rFonts w:ascii="宋体" w:hAnsi="宋体" w:cs="宋体"/>
                <w:color w:val="auto"/>
                <w:kern w:val="0"/>
                <w:szCs w:val="21"/>
              </w:rPr>
              <w:t xml:space="preserve">4) </w:t>
            </w:r>
            <w:r>
              <w:rPr>
                <w:rFonts w:hint="eastAsia" w:ascii="宋体" w:hAnsi="宋体" w:cs="宋体"/>
                <w:color w:val="auto"/>
                <w:kern w:val="0"/>
                <w:szCs w:val="21"/>
              </w:rPr>
              <w:t>具备数据安全管理功能，支持对涉密数据的加密存储和访问控制；</w:t>
            </w:r>
            <w:r>
              <w:rPr>
                <w:rFonts w:ascii="宋体" w:hAnsi="宋体" w:cs="宋体"/>
                <w:color w:val="auto"/>
                <w:kern w:val="0"/>
                <w:szCs w:val="21"/>
              </w:rPr>
              <w:br w:type="textWrapping"/>
            </w:r>
            <w:r>
              <w:rPr>
                <w:rFonts w:ascii="宋体" w:hAnsi="宋体" w:cs="宋体"/>
                <w:color w:val="auto"/>
                <w:kern w:val="0"/>
                <w:szCs w:val="21"/>
              </w:rPr>
              <w:t xml:space="preserve">5) </w:t>
            </w:r>
            <w:r>
              <w:rPr>
                <w:rFonts w:hint="eastAsia" w:ascii="宋体" w:hAnsi="宋体" w:cs="宋体"/>
                <w:color w:val="auto"/>
                <w:kern w:val="0"/>
                <w:szCs w:val="21"/>
              </w:rPr>
              <w:t>具备数据血缘管理功能，将数据产生、清洗、加工和流转的关系可视化展示；</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202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8</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物联中心</w:t>
            </w:r>
            <w:r>
              <w:rPr>
                <w:rFonts w:ascii="宋体" w:hAnsi="宋体" w:cs="宋体"/>
                <w:color w:val="auto"/>
                <w:kern w:val="0"/>
                <w:szCs w:val="21"/>
              </w:rPr>
              <w:t>-协议接入服务</w:t>
            </w:r>
          </w:p>
        </w:tc>
        <w:tc>
          <w:tcPr>
            <w:tcW w:w="383"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支持通用物联设备和边缘计算的标准工业协议数据的直接接入与管理功能。</w:t>
            </w:r>
            <w:r>
              <w:rPr>
                <w:rFonts w:ascii="宋体" w:hAnsi="宋体" w:cs="宋体"/>
                <w:color w:val="auto"/>
                <w:kern w:val="0"/>
                <w:szCs w:val="21"/>
              </w:rPr>
              <w:br w:type="textWrapping"/>
            </w:r>
            <w:r>
              <w:rPr>
                <w:rFonts w:ascii="宋体" w:hAnsi="宋体" w:cs="宋体"/>
                <w:color w:val="auto"/>
                <w:kern w:val="0"/>
                <w:szCs w:val="21"/>
              </w:rPr>
              <w:t xml:space="preserve">1) </w:t>
            </w:r>
            <w:r>
              <w:rPr>
                <w:rFonts w:hint="eastAsia" w:ascii="宋体" w:hAnsi="宋体" w:cs="宋体"/>
                <w:color w:val="auto"/>
                <w:kern w:val="0"/>
                <w:szCs w:val="21"/>
              </w:rPr>
              <w:t>支持终端设备和边缘设备接入，提供控制命令下发和设备数据上报功能；</w:t>
            </w:r>
            <w:r>
              <w:rPr>
                <w:rFonts w:ascii="宋体" w:hAnsi="宋体" w:cs="宋体"/>
                <w:color w:val="auto"/>
                <w:kern w:val="0"/>
                <w:szCs w:val="21"/>
              </w:rPr>
              <w:br w:type="textWrapping"/>
            </w:r>
            <w:r>
              <w:rPr>
                <w:rFonts w:ascii="宋体" w:hAnsi="宋体" w:cs="宋体"/>
                <w:color w:val="auto"/>
                <w:kern w:val="0"/>
                <w:szCs w:val="21"/>
              </w:rPr>
              <w:t xml:space="preserve">2) </w:t>
            </w:r>
            <w:r>
              <w:rPr>
                <w:rFonts w:hint="eastAsia" w:ascii="宋体" w:hAnsi="宋体" w:cs="宋体"/>
                <w:color w:val="auto"/>
                <w:kern w:val="0"/>
                <w:szCs w:val="21"/>
              </w:rPr>
              <w:t>支持</w:t>
            </w:r>
            <w:r>
              <w:rPr>
                <w:rFonts w:ascii="宋体" w:hAnsi="宋体" w:cs="宋体"/>
                <w:color w:val="auto"/>
                <w:kern w:val="0"/>
                <w:szCs w:val="21"/>
              </w:rPr>
              <w:t xml:space="preserve">MQTT、CoAP、LwM2M、HTTP/HTTPS等原生协议, </w:t>
            </w:r>
            <w:r>
              <w:rPr>
                <w:rFonts w:hint="eastAsia" w:ascii="宋体" w:hAnsi="宋体" w:cs="宋体"/>
                <w:color w:val="auto"/>
                <w:kern w:val="0"/>
                <w:szCs w:val="21"/>
              </w:rPr>
              <w:t>配合网关可以实现</w:t>
            </w:r>
            <w:r>
              <w:rPr>
                <w:rFonts w:ascii="宋体" w:hAnsi="宋体" w:cs="宋体"/>
                <w:color w:val="auto"/>
                <w:kern w:val="0"/>
                <w:szCs w:val="21"/>
              </w:rPr>
              <w:t>MODBUS、OPCUA等协议接入，支持TCP行业协议和</w:t>
            </w:r>
            <w:r>
              <w:rPr>
                <w:rFonts w:hint="eastAsia" w:ascii="宋体" w:hAnsi="宋体" w:cs="宋体"/>
                <w:color w:val="auto"/>
                <w:kern w:val="0"/>
                <w:szCs w:val="21"/>
              </w:rPr>
              <w:t>泛协议接入（客户自定义私有协议）；</w:t>
            </w:r>
            <w:r>
              <w:rPr>
                <w:rFonts w:ascii="宋体" w:hAnsi="宋体" w:cs="宋体"/>
                <w:color w:val="auto"/>
                <w:kern w:val="0"/>
                <w:szCs w:val="21"/>
              </w:rPr>
              <w:br w:type="textWrapping"/>
            </w:r>
            <w:r>
              <w:rPr>
                <w:rFonts w:ascii="宋体" w:hAnsi="宋体" w:cs="宋体"/>
                <w:color w:val="auto"/>
                <w:kern w:val="0"/>
                <w:szCs w:val="21"/>
              </w:rPr>
              <w:t xml:space="preserve">3) </w:t>
            </w:r>
            <w:r>
              <w:rPr>
                <w:rFonts w:hint="eastAsia" w:ascii="宋体" w:hAnsi="宋体" w:cs="宋体"/>
                <w:color w:val="auto"/>
                <w:kern w:val="0"/>
                <w:szCs w:val="21"/>
              </w:rPr>
              <w:t>支持涉密数据的加密传输和加密存储，确保数据安全；</w:t>
            </w:r>
            <w:r>
              <w:rPr>
                <w:rFonts w:ascii="宋体" w:hAnsi="宋体" w:cs="宋体"/>
                <w:color w:val="auto"/>
                <w:kern w:val="0"/>
                <w:szCs w:val="21"/>
              </w:rPr>
              <w:br w:type="textWrapping"/>
            </w:r>
            <w:r>
              <w:rPr>
                <w:rFonts w:ascii="宋体" w:hAnsi="宋体" w:cs="宋体"/>
                <w:color w:val="auto"/>
                <w:kern w:val="0"/>
                <w:szCs w:val="21"/>
              </w:rPr>
              <w:t xml:space="preserve">4) </w:t>
            </w:r>
            <w:r>
              <w:rPr>
                <w:rFonts w:hint="eastAsia" w:ascii="宋体" w:hAnsi="宋体" w:cs="宋体"/>
                <w:color w:val="auto"/>
                <w:kern w:val="0"/>
                <w:szCs w:val="21"/>
              </w:rPr>
              <w:t>支持集群部署、负载均衡、弹性扩展，从而有效应对不同数量规模的设备接入应用场景。</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3240"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9</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物联中心数据加工服务</w:t>
            </w:r>
          </w:p>
        </w:tc>
        <w:tc>
          <w:tcPr>
            <w:tcW w:w="383"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支持对数仓内的数据进行标准化、结构化，配合算法应用，输出需要上报的结果数据或需要展示的数据源</w:t>
            </w:r>
            <w:r>
              <w:rPr>
                <w:rFonts w:ascii="宋体" w:hAnsi="宋体" w:cs="宋体"/>
                <w:color w:val="auto"/>
                <w:kern w:val="0"/>
                <w:szCs w:val="21"/>
              </w:rPr>
              <w:br w:type="textWrapping"/>
            </w:r>
            <w:r>
              <w:rPr>
                <w:rFonts w:ascii="宋体" w:hAnsi="宋体" w:cs="宋体"/>
                <w:color w:val="auto"/>
                <w:kern w:val="0"/>
                <w:szCs w:val="21"/>
              </w:rPr>
              <w:t xml:space="preserve">1) </w:t>
            </w:r>
            <w:r>
              <w:rPr>
                <w:rFonts w:hint="eastAsia" w:ascii="宋体" w:hAnsi="宋体" w:cs="宋体"/>
                <w:color w:val="auto"/>
                <w:kern w:val="0"/>
                <w:szCs w:val="21"/>
              </w:rPr>
              <w:t>系统应支持自定义维护指标信息，用来存储用户需要上报、转发或展示的指标对象；</w:t>
            </w:r>
            <w:r>
              <w:rPr>
                <w:rFonts w:ascii="宋体" w:hAnsi="宋体" w:cs="宋体"/>
                <w:color w:val="auto"/>
                <w:kern w:val="0"/>
                <w:szCs w:val="21"/>
              </w:rPr>
              <w:br w:type="textWrapping"/>
            </w:r>
            <w:r>
              <w:rPr>
                <w:rFonts w:ascii="宋体" w:hAnsi="宋体" w:cs="宋体"/>
                <w:color w:val="auto"/>
                <w:kern w:val="0"/>
                <w:szCs w:val="21"/>
              </w:rPr>
              <w:t xml:space="preserve">2) </w:t>
            </w:r>
            <w:r>
              <w:rPr>
                <w:rFonts w:hint="eastAsia" w:ascii="宋体" w:hAnsi="宋体" w:cs="宋体"/>
                <w:color w:val="auto"/>
                <w:kern w:val="0"/>
                <w:szCs w:val="21"/>
              </w:rPr>
              <w:t>系统应具备提供所有加工中心数据的数据字典，目录，分类，分级管控，方便用户查找和定位数据；</w:t>
            </w:r>
            <w:r>
              <w:rPr>
                <w:rFonts w:ascii="宋体" w:hAnsi="宋体" w:cs="宋体"/>
                <w:color w:val="auto"/>
                <w:kern w:val="0"/>
                <w:szCs w:val="21"/>
              </w:rPr>
              <w:br w:type="textWrapping"/>
            </w:r>
            <w:r>
              <w:rPr>
                <w:rFonts w:ascii="宋体" w:hAnsi="宋体" w:cs="宋体"/>
                <w:color w:val="auto"/>
                <w:kern w:val="0"/>
                <w:szCs w:val="21"/>
              </w:rPr>
              <w:t xml:space="preserve">3) </w:t>
            </w:r>
            <w:r>
              <w:rPr>
                <w:rFonts w:hint="eastAsia" w:ascii="宋体" w:hAnsi="宋体" w:cs="宋体"/>
                <w:color w:val="auto"/>
                <w:kern w:val="0"/>
                <w:szCs w:val="21"/>
              </w:rPr>
              <w:t>系统应支持通过源数据结合算法进行自定义数据建模，或经由外部导入等方式管理输出所需要的数据模型；</w:t>
            </w:r>
            <w:r>
              <w:rPr>
                <w:rFonts w:ascii="宋体" w:hAnsi="宋体" w:cs="宋体"/>
                <w:color w:val="auto"/>
                <w:kern w:val="0"/>
                <w:szCs w:val="21"/>
              </w:rPr>
              <w:br w:type="textWrapping"/>
            </w:r>
            <w:r>
              <w:rPr>
                <w:rFonts w:ascii="宋体" w:hAnsi="宋体" w:cs="宋体"/>
                <w:color w:val="auto"/>
                <w:kern w:val="0"/>
                <w:szCs w:val="21"/>
              </w:rPr>
              <w:t xml:space="preserve">4) </w:t>
            </w:r>
            <w:r>
              <w:rPr>
                <w:rFonts w:hint="eastAsia" w:ascii="宋体" w:hAnsi="宋体" w:cs="宋体"/>
                <w:color w:val="auto"/>
                <w:kern w:val="0"/>
                <w:szCs w:val="21"/>
              </w:rPr>
              <w:t>向算法开发人员和算法应用人员提供算法模块的提交、管理、配置、发布、监控和运维功能，实现各类算法的统一管理；</w:t>
            </w:r>
            <w:r>
              <w:rPr>
                <w:rFonts w:ascii="宋体" w:hAnsi="宋体" w:cs="宋体"/>
                <w:color w:val="auto"/>
                <w:kern w:val="0"/>
                <w:szCs w:val="21"/>
              </w:rPr>
              <w:br w:type="textWrapping"/>
            </w:r>
            <w:r>
              <w:rPr>
                <w:rFonts w:ascii="宋体" w:hAnsi="宋体" w:cs="宋体"/>
                <w:color w:val="auto"/>
                <w:kern w:val="0"/>
                <w:szCs w:val="21"/>
              </w:rPr>
              <w:t xml:space="preserve">5) </w:t>
            </w:r>
            <w:r>
              <w:rPr>
                <w:rFonts w:hint="eastAsia" w:ascii="宋体" w:hAnsi="宋体" w:cs="宋体"/>
                <w:color w:val="auto"/>
                <w:kern w:val="0"/>
                <w:szCs w:val="21"/>
              </w:rPr>
              <w:t>支持算法模块的提交上传和配置，具备同一算法的多版本管理能力；</w:t>
            </w:r>
            <w:r>
              <w:rPr>
                <w:rFonts w:ascii="宋体" w:hAnsi="宋体" w:cs="宋体"/>
                <w:color w:val="auto"/>
                <w:kern w:val="0"/>
                <w:szCs w:val="21"/>
              </w:rPr>
              <w:br w:type="textWrapping"/>
            </w:r>
            <w:r>
              <w:rPr>
                <w:rFonts w:ascii="宋体" w:hAnsi="宋体" w:cs="宋体"/>
                <w:color w:val="auto"/>
                <w:kern w:val="0"/>
                <w:szCs w:val="21"/>
              </w:rPr>
              <w:t xml:space="preserve">6) </w:t>
            </w:r>
            <w:r>
              <w:rPr>
                <w:rFonts w:hint="eastAsia" w:ascii="宋体" w:hAnsi="宋体" w:cs="宋体"/>
                <w:color w:val="auto"/>
                <w:kern w:val="0"/>
                <w:szCs w:val="21"/>
              </w:rPr>
              <w:t>提供算法模块的发布运行环境，支持多个算法在同一时刻并发执行、互不影响；</w:t>
            </w:r>
            <w:r>
              <w:rPr>
                <w:rFonts w:ascii="宋体" w:hAnsi="宋体" w:cs="宋体"/>
                <w:color w:val="auto"/>
                <w:kern w:val="0"/>
                <w:szCs w:val="21"/>
              </w:rPr>
              <w:br w:type="textWrapping"/>
            </w:r>
            <w:r>
              <w:rPr>
                <w:rFonts w:ascii="宋体" w:hAnsi="宋体" w:cs="宋体"/>
                <w:color w:val="auto"/>
                <w:kern w:val="0"/>
                <w:szCs w:val="21"/>
              </w:rPr>
              <w:t xml:space="preserve">7) </w:t>
            </w:r>
            <w:r>
              <w:rPr>
                <w:rFonts w:hint="eastAsia" w:ascii="宋体" w:hAnsi="宋体" w:cs="宋体"/>
                <w:color w:val="auto"/>
                <w:kern w:val="0"/>
                <w:szCs w:val="21"/>
              </w:rPr>
              <w:t>支持算法模块的运行资源监控、运行状态监测和运行日志查询功能；</w:t>
            </w:r>
            <w:r>
              <w:rPr>
                <w:rFonts w:ascii="宋体" w:hAnsi="宋体" w:cs="宋体"/>
                <w:color w:val="auto"/>
                <w:kern w:val="0"/>
                <w:szCs w:val="21"/>
              </w:rPr>
              <w:br w:type="textWrapping"/>
            </w:r>
            <w:r>
              <w:rPr>
                <w:rFonts w:ascii="宋体" w:hAnsi="宋体" w:cs="宋体"/>
                <w:color w:val="auto"/>
                <w:kern w:val="0"/>
                <w:szCs w:val="21"/>
              </w:rPr>
              <w:t xml:space="preserve">8) </w:t>
            </w:r>
            <w:r>
              <w:rPr>
                <w:rFonts w:hint="eastAsia" w:ascii="宋体" w:hAnsi="宋体" w:cs="宋体"/>
                <w:color w:val="auto"/>
                <w:kern w:val="0"/>
                <w:szCs w:val="21"/>
              </w:rPr>
              <w:t>具备基础的通用算法如几何平均算法、线性回归算法等，支持数据预测，支持用户自定义算法规则；</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98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10</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物联中心</w:t>
            </w:r>
            <w:r>
              <w:rPr>
                <w:rFonts w:ascii="宋体" w:hAnsi="宋体" w:cs="宋体"/>
                <w:color w:val="auto"/>
                <w:kern w:val="0"/>
                <w:szCs w:val="21"/>
              </w:rPr>
              <w:t>-数据消费服务</w:t>
            </w:r>
          </w:p>
        </w:tc>
        <w:tc>
          <w:tcPr>
            <w:tcW w:w="383"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统一数据共享的目标，支持数据接入、数据分析、数据开放等能力，生成的</w:t>
            </w:r>
            <w:r>
              <w:rPr>
                <w:rFonts w:ascii="宋体" w:hAnsi="宋体" w:cs="宋体"/>
                <w:color w:val="auto"/>
                <w:kern w:val="0"/>
                <w:szCs w:val="21"/>
              </w:rPr>
              <w:t>API接口统一进行授权管理</w:t>
            </w:r>
            <w:r>
              <w:rPr>
                <w:rFonts w:ascii="宋体" w:hAnsi="宋体" w:cs="宋体"/>
                <w:color w:val="auto"/>
                <w:kern w:val="0"/>
                <w:szCs w:val="21"/>
              </w:rPr>
              <w:br w:type="textWrapping"/>
            </w:r>
            <w:r>
              <w:rPr>
                <w:rFonts w:ascii="宋体" w:hAnsi="宋体" w:cs="宋体"/>
                <w:color w:val="auto"/>
                <w:kern w:val="0"/>
                <w:szCs w:val="21"/>
              </w:rPr>
              <w:t xml:space="preserve">1) </w:t>
            </w:r>
            <w:r>
              <w:rPr>
                <w:rFonts w:hint="eastAsia" w:ascii="宋体" w:hAnsi="宋体" w:cs="宋体"/>
                <w:color w:val="auto"/>
                <w:kern w:val="0"/>
                <w:szCs w:val="21"/>
              </w:rPr>
              <w:t>支持用户通过可视化工具进行</w:t>
            </w:r>
            <w:r>
              <w:rPr>
                <w:rFonts w:ascii="宋体" w:hAnsi="宋体" w:cs="宋体"/>
                <w:color w:val="auto"/>
                <w:kern w:val="0"/>
                <w:szCs w:val="21"/>
              </w:rPr>
              <w:t>API接口url、请求参数等接口参数进行自定义管理；</w:t>
            </w:r>
            <w:r>
              <w:rPr>
                <w:rFonts w:ascii="宋体" w:hAnsi="宋体" w:cs="宋体"/>
                <w:color w:val="auto"/>
                <w:kern w:val="0"/>
                <w:szCs w:val="21"/>
              </w:rPr>
              <w:br w:type="textWrapping"/>
            </w:r>
            <w:r>
              <w:rPr>
                <w:rFonts w:ascii="宋体" w:hAnsi="宋体" w:cs="宋体"/>
                <w:color w:val="auto"/>
                <w:kern w:val="0"/>
                <w:szCs w:val="21"/>
              </w:rPr>
              <w:t xml:space="preserve">2) </w:t>
            </w:r>
            <w:r>
              <w:rPr>
                <w:rFonts w:hint="eastAsia" w:ascii="宋体" w:hAnsi="宋体" w:cs="宋体"/>
                <w:color w:val="auto"/>
                <w:kern w:val="0"/>
                <w:szCs w:val="21"/>
              </w:rPr>
              <w:t>支持用户将数据资产通过自定义的处理形成新的数据资产，并通过</w:t>
            </w:r>
            <w:r>
              <w:rPr>
                <w:rFonts w:ascii="宋体" w:hAnsi="宋体" w:cs="宋体"/>
                <w:color w:val="auto"/>
                <w:kern w:val="0"/>
                <w:szCs w:val="21"/>
              </w:rPr>
              <w:t>API接口形式对外开放；</w:t>
            </w:r>
            <w:r>
              <w:rPr>
                <w:rFonts w:ascii="宋体" w:hAnsi="宋体" w:cs="宋体"/>
                <w:color w:val="auto"/>
                <w:kern w:val="0"/>
                <w:szCs w:val="21"/>
              </w:rPr>
              <w:br w:type="textWrapping"/>
            </w:r>
            <w:r>
              <w:rPr>
                <w:rFonts w:ascii="宋体" w:hAnsi="宋体" w:cs="宋体"/>
                <w:color w:val="auto"/>
                <w:kern w:val="0"/>
                <w:szCs w:val="21"/>
              </w:rPr>
              <w:t xml:space="preserve">3) </w:t>
            </w:r>
            <w:r>
              <w:rPr>
                <w:rFonts w:hint="eastAsia" w:ascii="宋体" w:hAnsi="宋体" w:cs="宋体"/>
                <w:color w:val="auto"/>
                <w:kern w:val="0"/>
                <w:szCs w:val="21"/>
              </w:rPr>
              <w:t>支持根据各委办局多变的资源访问需求快速配置资源访问权限，实现用户上层业务应用访问资源的需求可管可控；</w:t>
            </w:r>
            <w:r>
              <w:rPr>
                <w:rFonts w:ascii="宋体" w:hAnsi="宋体" w:cs="宋体"/>
                <w:color w:val="auto"/>
                <w:kern w:val="0"/>
                <w:szCs w:val="21"/>
              </w:rPr>
              <w:br w:type="textWrapping"/>
            </w:r>
            <w:r>
              <w:rPr>
                <w:rFonts w:ascii="宋体" w:hAnsi="宋体" w:cs="宋体"/>
                <w:color w:val="auto"/>
                <w:kern w:val="0"/>
                <w:szCs w:val="21"/>
              </w:rPr>
              <w:t xml:space="preserve">4) </w:t>
            </w:r>
            <w:r>
              <w:rPr>
                <w:rFonts w:hint="eastAsia" w:ascii="宋体" w:hAnsi="宋体" w:cs="宋体"/>
                <w:color w:val="auto"/>
                <w:kern w:val="0"/>
                <w:szCs w:val="21"/>
              </w:rPr>
              <w:t>支持使用可视化操作工具，对数据集成工作流进行创建、删除、编辑、停用</w:t>
            </w:r>
            <w:r>
              <w:rPr>
                <w:rFonts w:ascii="宋体" w:hAnsi="宋体" w:cs="宋体"/>
                <w:color w:val="auto"/>
                <w:kern w:val="0"/>
                <w:szCs w:val="21"/>
              </w:rPr>
              <w:t>/启用等操作，完成工作流配置和管理工作；</w:t>
            </w:r>
            <w:r>
              <w:rPr>
                <w:rFonts w:ascii="宋体" w:hAnsi="宋体" w:cs="宋体"/>
                <w:color w:val="auto"/>
                <w:kern w:val="0"/>
                <w:szCs w:val="21"/>
              </w:rPr>
              <w:br w:type="textWrapping"/>
            </w:r>
            <w:r>
              <w:rPr>
                <w:rFonts w:ascii="宋体" w:hAnsi="宋体" w:cs="宋体"/>
                <w:color w:val="auto"/>
                <w:kern w:val="0"/>
                <w:szCs w:val="21"/>
              </w:rPr>
              <w:t xml:space="preserve">5) </w:t>
            </w:r>
            <w:r>
              <w:rPr>
                <w:rFonts w:hint="eastAsia" w:ascii="宋体" w:hAnsi="宋体" w:cs="宋体"/>
                <w:color w:val="auto"/>
                <w:kern w:val="0"/>
                <w:szCs w:val="21"/>
              </w:rPr>
              <w:t>具备图形分析输出接口，支持对消费数据的可视化分析展示，经由图形化组件用户可以自定义输出视图，或直接输出分析数据至</w:t>
            </w:r>
            <w:r>
              <w:rPr>
                <w:rFonts w:ascii="宋体" w:hAnsi="宋体" w:cs="宋体"/>
                <w:color w:val="auto"/>
                <w:kern w:val="0"/>
                <w:szCs w:val="21"/>
              </w:rPr>
              <w:t>BI类产品；</w:t>
            </w:r>
            <w:r>
              <w:rPr>
                <w:rFonts w:ascii="宋体" w:hAnsi="宋体" w:cs="宋体"/>
                <w:color w:val="auto"/>
                <w:kern w:val="0"/>
                <w:szCs w:val="21"/>
              </w:rPr>
              <w:br w:type="textWrapping"/>
            </w:r>
            <w:r>
              <w:rPr>
                <w:rFonts w:ascii="宋体" w:hAnsi="宋体" w:cs="宋体"/>
                <w:color w:val="auto"/>
                <w:kern w:val="0"/>
                <w:szCs w:val="21"/>
              </w:rPr>
              <w:t xml:space="preserve">6) </w:t>
            </w:r>
            <w:r>
              <w:rPr>
                <w:rFonts w:hint="eastAsia" w:ascii="宋体" w:hAnsi="宋体" w:cs="宋体"/>
                <w:color w:val="auto"/>
                <w:kern w:val="0"/>
                <w:szCs w:val="21"/>
              </w:rPr>
              <w:t>支持无缝对接数字基座和智慧驾驶舱（大数据局、城运中心、应急局、气象局）；</w:t>
            </w:r>
            <w:r>
              <w:rPr>
                <w:rFonts w:ascii="宋体" w:hAnsi="宋体" w:cs="宋体"/>
                <w:color w:val="auto"/>
                <w:kern w:val="0"/>
                <w:szCs w:val="21"/>
              </w:rPr>
              <w:br w:type="textWrapping"/>
            </w:r>
            <w:r>
              <w:rPr>
                <w:rFonts w:ascii="宋体" w:hAnsi="宋体" w:cs="宋体"/>
                <w:color w:val="auto"/>
                <w:kern w:val="0"/>
                <w:szCs w:val="21"/>
              </w:rPr>
              <w:t xml:space="preserve">7) </w:t>
            </w:r>
            <w:r>
              <w:rPr>
                <w:rFonts w:hint="eastAsia" w:ascii="宋体" w:hAnsi="宋体" w:cs="宋体"/>
                <w:color w:val="auto"/>
                <w:kern w:val="0"/>
                <w:szCs w:val="21"/>
              </w:rPr>
              <w:t>支持数字孪生类业务平台</w:t>
            </w:r>
            <w:r>
              <w:rPr>
                <w:rFonts w:ascii="宋体" w:hAnsi="宋体" w:cs="宋体"/>
                <w:color w:val="auto"/>
                <w:kern w:val="0"/>
                <w:szCs w:val="21"/>
              </w:rPr>
              <w:t>Unity或Unreal类引擎数据对接；</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1013"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11</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物联中心</w:t>
            </w:r>
            <w:r>
              <w:rPr>
                <w:rFonts w:ascii="宋体" w:hAnsi="宋体" w:cs="宋体"/>
                <w:color w:val="auto"/>
                <w:kern w:val="0"/>
                <w:szCs w:val="21"/>
              </w:rPr>
              <w:t>-系统管理</w:t>
            </w:r>
          </w:p>
        </w:tc>
        <w:tc>
          <w:tcPr>
            <w:tcW w:w="383"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应提供中转平台所需的通用业务功能</w:t>
            </w:r>
            <w:r>
              <w:rPr>
                <w:rFonts w:ascii="宋体" w:hAnsi="宋体" w:cs="宋体"/>
                <w:color w:val="auto"/>
                <w:kern w:val="0"/>
                <w:szCs w:val="21"/>
              </w:rPr>
              <w:br w:type="textWrapping"/>
            </w:r>
            <w:r>
              <w:rPr>
                <w:rFonts w:ascii="宋体" w:hAnsi="宋体" w:cs="宋体"/>
                <w:color w:val="auto"/>
                <w:kern w:val="0"/>
                <w:szCs w:val="21"/>
              </w:rPr>
              <w:t xml:space="preserve">1) </w:t>
            </w:r>
            <w:r>
              <w:rPr>
                <w:rFonts w:hint="eastAsia" w:ascii="宋体" w:hAnsi="宋体" w:cs="宋体"/>
                <w:color w:val="auto"/>
                <w:kern w:val="0"/>
                <w:szCs w:val="21"/>
              </w:rPr>
              <w:t>具备权限配置、角色配置、菜单配置和组织架构配置等统一后台管理功能；</w:t>
            </w:r>
            <w:r>
              <w:rPr>
                <w:rFonts w:ascii="宋体" w:hAnsi="宋体" w:cs="宋体"/>
                <w:color w:val="auto"/>
                <w:kern w:val="0"/>
                <w:szCs w:val="21"/>
              </w:rPr>
              <w:br w:type="textWrapping"/>
            </w:r>
            <w:r>
              <w:rPr>
                <w:rFonts w:ascii="宋体" w:hAnsi="宋体" w:cs="宋体"/>
                <w:color w:val="auto"/>
                <w:kern w:val="0"/>
                <w:szCs w:val="21"/>
              </w:rPr>
              <w:t xml:space="preserve">2) </w:t>
            </w:r>
            <w:r>
              <w:rPr>
                <w:rFonts w:hint="eastAsia" w:ascii="宋体" w:hAnsi="宋体" w:cs="宋体"/>
                <w:color w:val="auto"/>
                <w:kern w:val="0"/>
                <w:szCs w:val="21"/>
              </w:rPr>
              <w:t>应具备页面推送消息通知功能，宜支持短信、邮件的消息通知方式；</w:t>
            </w:r>
            <w:r>
              <w:rPr>
                <w:rFonts w:ascii="宋体" w:hAnsi="宋体" w:cs="宋体"/>
                <w:color w:val="auto"/>
                <w:kern w:val="0"/>
                <w:szCs w:val="21"/>
              </w:rPr>
              <w:br w:type="textWrapping"/>
            </w:r>
            <w:r>
              <w:rPr>
                <w:rFonts w:ascii="宋体" w:hAnsi="宋体" w:cs="宋体"/>
                <w:color w:val="auto"/>
                <w:kern w:val="0"/>
                <w:szCs w:val="21"/>
              </w:rPr>
              <w:t xml:space="preserve">3) </w:t>
            </w:r>
            <w:r>
              <w:rPr>
                <w:rFonts w:hint="eastAsia" w:ascii="宋体" w:hAnsi="宋体" w:cs="宋体"/>
                <w:color w:val="auto"/>
                <w:kern w:val="0"/>
                <w:szCs w:val="21"/>
              </w:rPr>
              <w:t>应具备系统日志、异常日志和操作日志的存储、检索功能；</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auto"/>
                <w:kern w:val="0"/>
                <w:szCs w:val="21"/>
              </w:rPr>
            </w:pPr>
            <w:r>
              <w:rPr>
                <w:rFonts w:ascii="宋体" w:hAnsi="宋体" w:cs="宋体"/>
                <w:b/>
                <w:bCs/>
                <w:color w:val="auto"/>
                <w:kern w:val="0"/>
                <w:szCs w:val="21"/>
              </w:rPr>
              <w:t>2）</w:t>
            </w:r>
          </w:p>
        </w:tc>
        <w:tc>
          <w:tcPr>
            <w:tcW w:w="3443" w:type="pct"/>
            <w:gridSpan w:val="4"/>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b/>
                <w:bCs/>
                <w:color w:val="auto"/>
                <w:kern w:val="0"/>
                <w:szCs w:val="21"/>
              </w:rPr>
            </w:pPr>
            <w:r>
              <w:rPr>
                <w:rFonts w:hint="eastAsia" w:ascii="宋体" w:hAnsi="宋体" w:cs="宋体"/>
                <w:b/>
                <w:bCs/>
                <w:color w:val="auto"/>
                <w:kern w:val="0"/>
                <w:szCs w:val="21"/>
              </w:rPr>
              <w:t>智能安防管理基础模块</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810"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小区基础模块</w:t>
            </w:r>
          </w:p>
        </w:tc>
        <w:tc>
          <w:tcPr>
            <w:tcW w:w="383"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1、支持系统内的组织、人员、车辆、用户、角色、认证、区域等的配置和管理；</w:t>
            </w:r>
            <w:r>
              <w:rPr>
                <w:rFonts w:ascii="宋体" w:hAnsi="宋体" w:cs="宋体"/>
                <w:color w:val="auto"/>
                <w:kern w:val="0"/>
                <w:szCs w:val="21"/>
              </w:rPr>
              <w:br w:type="textWrapping"/>
            </w:r>
            <w:r>
              <w:rPr>
                <w:rFonts w:ascii="宋体" w:hAnsi="宋体" w:cs="宋体"/>
                <w:color w:val="auto"/>
                <w:kern w:val="0"/>
                <w:szCs w:val="21"/>
              </w:rPr>
              <w:t>2、</w:t>
            </w:r>
            <w:r>
              <w:rPr>
                <w:rFonts w:hint="eastAsia" w:ascii="宋体" w:hAnsi="宋体" w:cs="宋体"/>
                <w:color w:val="auto"/>
                <w:kern w:val="0"/>
                <w:szCs w:val="21"/>
              </w:rPr>
              <w:t>含附</w:t>
            </w:r>
            <w:r>
              <w:rPr>
                <w:rFonts w:ascii="宋体" w:hAnsi="宋体" w:cs="宋体"/>
                <w:color w:val="auto"/>
                <w:kern w:val="0"/>
                <w:szCs w:val="21"/>
              </w:rPr>
              <w:t xml:space="preserve">OpenAPI, </w:t>
            </w:r>
            <w:r>
              <w:rPr>
                <w:rFonts w:hint="eastAsia" w:ascii="宋体" w:hAnsi="宋体" w:cs="宋体"/>
                <w:color w:val="auto"/>
                <w:kern w:val="0"/>
                <w:szCs w:val="21"/>
              </w:rPr>
              <w:t>多网域访问，</w:t>
            </w:r>
            <w:r>
              <w:rPr>
                <w:rFonts w:ascii="宋体" w:hAnsi="宋体" w:cs="宋体"/>
                <w:color w:val="auto"/>
                <w:kern w:val="0"/>
                <w:szCs w:val="21"/>
              </w:rPr>
              <w:t xml:space="preserve"> </w:t>
            </w:r>
            <w:r>
              <w:rPr>
                <w:rFonts w:hint="eastAsia" w:ascii="宋体" w:hAnsi="宋体" w:cs="宋体"/>
                <w:color w:val="auto"/>
                <w:kern w:val="0"/>
                <w:szCs w:val="21"/>
              </w:rPr>
              <w:t>事件服务，</w:t>
            </w:r>
            <w:r>
              <w:rPr>
                <w:rFonts w:ascii="宋体" w:hAnsi="宋体" w:cs="宋体"/>
                <w:color w:val="auto"/>
                <w:kern w:val="0"/>
                <w:szCs w:val="21"/>
              </w:rPr>
              <w:t xml:space="preserve"> </w:t>
            </w:r>
            <w:r>
              <w:rPr>
                <w:rFonts w:hint="eastAsia" w:ascii="宋体" w:hAnsi="宋体" w:cs="宋体"/>
                <w:color w:val="auto"/>
                <w:kern w:val="0"/>
                <w:szCs w:val="21"/>
              </w:rPr>
              <w:t>日志服务，</w:t>
            </w:r>
            <w:r>
              <w:rPr>
                <w:rFonts w:ascii="宋体" w:hAnsi="宋体" w:cs="宋体"/>
                <w:color w:val="auto"/>
                <w:kern w:val="0"/>
                <w:szCs w:val="21"/>
              </w:rPr>
              <w:t xml:space="preserve"> </w:t>
            </w:r>
            <w:r>
              <w:rPr>
                <w:rFonts w:hint="eastAsia" w:ascii="宋体" w:hAnsi="宋体" w:cs="宋体"/>
                <w:color w:val="auto"/>
                <w:kern w:val="0"/>
                <w:szCs w:val="21"/>
              </w:rPr>
              <w:t>邮件，</w:t>
            </w:r>
            <w:r>
              <w:rPr>
                <w:rFonts w:ascii="宋体" w:hAnsi="宋体" w:cs="宋体"/>
                <w:color w:val="auto"/>
                <w:kern w:val="0"/>
                <w:szCs w:val="21"/>
              </w:rPr>
              <w:t xml:space="preserve"> </w:t>
            </w:r>
            <w:r>
              <w:rPr>
                <w:rFonts w:hint="eastAsia" w:ascii="宋体" w:hAnsi="宋体" w:cs="宋体"/>
                <w:color w:val="auto"/>
                <w:kern w:val="0"/>
                <w:szCs w:val="21"/>
              </w:rPr>
              <w:t>地图，校时，</w:t>
            </w:r>
            <w:r>
              <w:rPr>
                <w:rFonts w:ascii="宋体" w:hAnsi="宋体" w:cs="宋体"/>
                <w:color w:val="auto"/>
                <w:kern w:val="0"/>
                <w:szCs w:val="21"/>
              </w:rPr>
              <w:t xml:space="preserve"> </w:t>
            </w:r>
            <w:r>
              <w:rPr>
                <w:rFonts w:hint="eastAsia" w:ascii="宋体" w:hAnsi="宋体" w:cs="宋体"/>
                <w:color w:val="auto"/>
                <w:kern w:val="0"/>
                <w:szCs w:val="21"/>
              </w:rPr>
              <w:t>短信代理服务能力</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大华</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宇视</w:t>
            </w:r>
          </w:p>
        </w:tc>
      </w:tr>
      <w:tr>
        <w:tblPrEx>
          <w:tblCellMar>
            <w:top w:w="0" w:type="dxa"/>
            <w:left w:w="108" w:type="dxa"/>
            <w:bottom w:w="0" w:type="dxa"/>
            <w:right w:w="108" w:type="dxa"/>
          </w:tblCellMar>
        </w:tblPrEx>
        <w:trPr>
          <w:trHeight w:val="40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小区管理中心模块</w:t>
            </w:r>
          </w:p>
        </w:tc>
        <w:tc>
          <w:tcPr>
            <w:tcW w:w="38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支持小区管理、房屋管理、人员管理、车辆管理、人房关系管理、单位管理、从业人员管理；</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大华</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宇视</w:t>
            </w:r>
          </w:p>
        </w:tc>
      </w:tr>
      <w:tr>
        <w:tblPrEx>
          <w:tblCellMar>
            <w:top w:w="0" w:type="dxa"/>
            <w:left w:w="108" w:type="dxa"/>
            <w:bottom w:w="0" w:type="dxa"/>
            <w:right w:w="108" w:type="dxa"/>
          </w:tblCellMar>
        </w:tblPrEx>
        <w:trPr>
          <w:trHeight w:val="1013"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3</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视频基础应用模块</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1、支持IPC、人脸抓拍机、车辆</w:t>
            </w:r>
            <w:r>
              <w:rPr>
                <w:rFonts w:hint="eastAsia" w:ascii="宋体" w:hAnsi="宋体" w:cs="宋体"/>
                <w:color w:val="auto"/>
                <w:kern w:val="0"/>
                <w:szCs w:val="21"/>
              </w:rPr>
              <w:t>抓拍机等轻智能、泛智能、合智能设备的接入；</w:t>
            </w:r>
            <w:r>
              <w:rPr>
                <w:rFonts w:ascii="宋体" w:hAnsi="宋体" w:cs="宋体"/>
                <w:color w:val="auto"/>
                <w:kern w:val="0"/>
                <w:szCs w:val="21"/>
              </w:rPr>
              <w:t xml:space="preserve"> 2、GB28181协议、ONVIF协议等编码设备接入；3、支持视频预览、录像回放、人脸\车辆图片查看、云台控制、点位对讲；4、支持设备存储、硬盘录像机存储， </w:t>
            </w:r>
            <w:r>
              <w:rPr>
                <w:rFonts w:hint="eastAsia" w:ascii="宋体" w:hAnsi="宋体" w:cs="宋体"/>
                <w:color w:val="auto"/>
                <w:kern w:val="0"/>
                <w:szCs w:val="21"/>
              </w:rPr>
              <w:t>并支持录像回传给中心存储。</w:t>
            </w:r>
            <w:r>
              <w:rPr>
                <w:rFonts w:ascii="宋体" w:hAnsi="宋体" w:cs="宋体"/>
                <w:color w:val="auto"/>
                <w:kern w:val="0"/>
                <w:szCs w:val="21"/>
              </w:rPr>
              <w:t>5、提供PC客户端， web网页端；</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大华</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宇视</w:t>
            </w:r>
          </w:p>
        </w:tc>
      </w:tr>
      <w:tr>
        <w:tblPrEx>
          <w:tblCellMar>
            <w:top w:w="0" w:type="dxa"/>
            <w:left w:w="108" w:type="dxa"/>
            <w:bottom w:w="0" w:type="dxa"/>
            <w:right w:w="108" w:type="dxa"/>
          </w:tblCellMar>
        </w:tblPrEx>
        <w:trPr>
          <w:trHeight w:val="40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高空抛物智能事件检测模块</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接入点不低于</w:t>
            </w:r>
            <w:r>
              <w:rPr>
                <w:rFonts w:ascii="宋体" w:hAnsi="宋体" w:cs="宋体"/>
                <w:color w:val="auto"/>
                <w:kern w:val="0"/>
                <w:szCs w:val="21"/>
              </w:rPr>
              <w:t>429路；支持高空抛物监控回溯，支持高空抛物智能事件检测；</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大华</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宇视</w:t>
            </w:r>
          </w:p>
        </w:tc>
      </w:tr>
      <w:tr>
        <w:tblPrEx>
          <w:tblCellMar>
            <w:top w:w="0" w:type="dxa"/>
            <w:left w:w="108" w:type="dxa"/>
            <w:bottom w:w="0" w:type="dxa"/>
            <w:right w:w="108" w:type="dxa"/>
          </w:tblCellMar>
        </w:tblPrEx>
        <w:trPr>
          <w:trHeight w:val="40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5</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消防通道占用报警应用模块</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支持消防通道占用报警</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大华</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宇视</w:t>
            </w:r>
          </w:p>
        </w:tc>
      </w:tr>
      <w:tr>
        <w:tblPrEx>
          <w:tblCellMar>
            <w:top w:w="0" w:type="dxa"/>
            <w:left w:w="108" w:type="dxa"/>
            <w:bottom w:w="0" w:type="dxa"/>
            <w:right w:w="108" w:type="dxa"/>
          </w:tblCellMar>
        </w:tblPrEx>
        <w:trPr>
          <w:trHeight w:val="60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6</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巡更管理应用模块</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巡更管理应用，利用门禁点、报警器等设备作为巡更点，完成区域内的巡更任务。主要提供巡更点管理、巡更计划、单兵巡更、巡更信息查询和统计分析等应用。</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大华</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宇视</w:t>
            </w:r>
          </w:p>
        </w:tc>
      </w:tr>
      <w:tr>
        <w:tblPrEx>
          <w:tblCellMar>
            <w:top w:w="0" w:type="dxa"/>
            <w:left w:w="108" w:type="dxa"/>
            <w:bottom w:w="0" w:type="dxa"/>
            <w:right w:w="108" w:type="dxa"/>
          </w:tblCellMar>
        </w:tblPrEx>
        <w:trPr>
          <w:trHeight w:val="60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7</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数据上传应用模块</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汇聚各小区人脸</w:t>
            </w:r>
            <w:r>
              <w:rPr>
                <w:rFonts w:ascii="宋体" w:hAnsi="宋体" w:cs="宋体"/>
                <w:color w:val="auto"/>
                <w:kern w:val="0"/>
                <w:szCs w:val="21"/>
              </w:rPr>
              <w:t xml:space="preserve">/车辆抓拍数据， </w:t>
            </w:r>
            <w:r>
              <w:rPr>
                <w:rFonts w:hint="eastAsia" w:ascii="宋体" w:hAnsi="宋体" w:cs="宋体"/>
                <w:color w:val="auto"/>
                <w:kern w:val="0"/>
                <w:szCs w:val="21"/>
              </w:rPr>
              <w:t>门禁、停车场、访客等数据；</w:t>
            </w:r>
            <w:r>
              <w:rPr>
                <w:rFonts w:ascii="宋体" w:hAnsi="宋体" w:cs="宋体"/>
                <w:color w:val="auto"/>
                <w:kern w:val="0"/>
                <w:szCs w:val="21"/>
              </w:rPr>
              <w:t xml:space="preserve"> </w:t>
            </w:r>
            <w:r>
              <w:rPr>
                <w:rFonts w:hint="eastAsia" w:ascii="宋体" w:hAnsi="宋体" w:cs="宋体"/>
                <w:color w:val="auto"/>
                <w:kern w:val="0"/>
                <w:szCs w:val="21"/>
              </w:rPr>
              <w:t>支持本级平台数据通过部标协议推送人脸</w:t>
            </w:r>
            <w:r>
              <w:rPr>
                <w:rFonts w:ascii="宋体" w:hAnsi="宋体" w:cs="宋体"/>
                <w:color w:val="auto"/>
                <w:kern w:val="0"/>
                <w:szCs w:val="21"/>
              </w:rPr>
              <w:t>/车辆抓拍，门禁、停车场、访客数据给到社会面视图数据汇聚平台；</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大华</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宇视</w:t>
            </w:r>
          </w:p>
        </w:tc>
      </w:tr>
      <w:tr>
        <w:tblPrEx>
          <w:tblCellMar>
            <w:top w:w="0" w:type="dxa"/>
            <w:left w:w="108" w:type="dxa"/>
            <w:bottom w:w="0" w:type="dxa"/>
            <w:right w:w="108" w:type="dxa"/>
          </w:tblCellMar>
        </w:tblPrEx>
        <w:trPr>
          <w:trHeight w:val="60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8</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数据级联应用模块</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 xml:space="preserve"> 支持</w:t>
            </w:r>
            <w:r>
              <w:rPr>
                <w:rFonts w:hint="eastAsia" w:ascii="宋体" w:hAnsi="宋体" w:cs="宋体"/>
                <w:color w:val="auto"/>
                <w:kern w:val="0"/>
                <w:szCs w:val="21"/>
              </w:rPr>
              <w:t>接收接收来自同网下级和跨网下级小区已建监控、门禁、道闸等第三方平台的数据：支持通过</w:t>
            </w:r>
            <w:r>
              <w:rPr>
                <w:rFonts w:ascii="宋体" w:hAnsi="宋体" w:cs="宋体"/>
                <w:color w:val="auto"/>
                <w:kern w:val="0"/>
                <w:szCs w:val="21"/>
              </w:rPr>
              <w:t>1400标准协议将接收下级平台数据后推送给上级平台</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大华</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宇视</w:t>
            </w:r>
          </w:p>
        </w:tc>
      </w:tr>
      <w:tr>
        <w:tblPrEx>
          <w:tblCellMar>
            <w:top w:w="0" w:type="dxa"/>
            <w:left w:w="108" w:type="dxa"/>
            <w:bottom w:w="0" w:type="dxa"/>
            <w:right w:w="108" w:type="dxa"/>
          </w:tblCellMar>
        </w:tblPrEx>
        <w:trPr>
          <w:trHeight w:val="60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9</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视频级联基础应用模块</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 xml:space="preserve">1. </w:t>
            </w:r>
            <w:r>
              <w:rPr>
                <w:rFonts w:hint="eastAsia" w:ascii="宋体" w:hAnsi="宋体" w:cs="宋体"/>
                <w:color w:val="auto"/>
                <w:kern w:val="0"/>
                <w:szCs w:val="21"/>
              </w:rPr>
              <w:t>用于平台对外标准化互联互通（跨网、异构）的组件；</w:t>
            </w:r>
            <w:r>
              <w:rPr>
                <w:rFonts w:ascii="宋体" w:hAnsi="宋体" w:cs="宋体"/>
                <w:color w:val="auto"/>
                <w:kern w:val="0"/>
                <w:szCs w:val="21"/>
              </w:rPr>
              <w:t xml:space="preserve">2. </w:t>
            </w:r>
            <w:r>
              <w:rPr>
                <w:rFonts w:hint="eastAsia" w:ascii="宋体" w:hAnsi="宋体" w:cs="宋体"/>
                <w:color w:val="auto"/>
                <w:kern w:val="0"/>
                <w:szCs w:val="21"/>
              </w:rPr>
              <w:t>支持通用视频联网标准协（</w:t>
            </w:r>
            <w:r>
              <w:rPr>
                <w:rFonts w:ascii="宋体" w:hAnsi="宋体" w:cs="宋体"/>
                <w:color w:val="auto"/>
                <w:kern w:val="0"/>
                <w:szCs w:val="21"/>
              </w:rPr>
              <w:t xml:space="preserve">GB/T28181、DB33/T629）；3. </w:t>
            </w:r>
            <w:r>
              <w:rPr>
                <w:rFonts w:hint="eastAsia" w:ascii="宋体" w:hAnsi="宋体" w:cs="宋体"/>
                <w:color w:val="auto"/>
                <w:kern w:val="0"/>
                <w:szCs w:val="21"/>
              </w:rPr>
              <w:t>提供支持其他联网标准的扩展能力</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大华</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宇视</w:t>
            </w:r>
          </w:p>
        </w:tc>
      </w:tr>
      <w:tr>
        <w:tblPrEx>
          <w:tblCellMar>
            <w:top w:w="0" w:type="dxa"/>
            <w:left w:w="108" w:type="dxa"/>
            <w:bottom w:w="0" w:type="dxa"/>
            <w:right w:w="108" w:type="dxa"/>
          </w:tblCellMar>
        </w:tblPrEx>
        <w:trPr>
          <w:trHeight w:val="560"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10</w:t>
            </w:r>
          </w:p>
        </w:tc>
        <w:tc>
          <w:tcPr>
            <w:tcW w:w="694"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AR实景地图应用</w:t>
            </w:r>
          </w:p>
        </w:tc>
        <w:tc>
          <w:tcPr>
            <w:tcW w:w="383"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1、 AR实景地图应用以增强现实技术为核心，提供实景地图配置与展示服务，基于增强现实技术，支持高点视频画面中利用增强现实技术以画中</w:t>
            </w:r>
            <w:r>
              <w:rPr>
                <w:rFonts w:hint="eastAsia" w:ascii="宋体" w:hAnsi="宋体" w:cs="宋体"/>
                <w:color w:val="auto"/>
                <w:kern w:val="0"/>
                <w:szCs w:val="21"/>
              </w:rPr>
              <w:t>画形式显示点、线、面、图标的形式显示标签信息，并以画中画的方式呈现标签详情；</w:t>
            </w:r>
            <w:r>
              <w:rPr>
                <w:rFonts w:ascii="宋体" w:hAnsi="宋体" w:cs="宋体"/>
                <w:color w:val="auto"/>
                <w:kern w:val="0"/>
                <w:szCs w:val="21"/>
              </w:rPr>
              <w:br w:type="textWrapping"/>
            </w:r>
            <w:r>
              <w:rPr>
                <w:rFonts w:ascii="宋体" w:hAnsi="宋体" w:cs="宋体"/>
                <w:color w:val="auto"/>
                <w:kern w:val="0"/>
                <w:szCs w:val="21"/>
              </w:rPr>
              <w:t xml:space="preserve">2、 </w:t>
            </w:r>
            <w:r>
              <w:rPr>
                <w:rFonts w:hint="eastAsia" w:ascii="宋体" w:hAnsi="宋体" w:cs="宋体"/>
                <w:color w:val="auto"/>
                <w:kern w:val="0"/>
                <w:szCs w:val="21"/>
              </w:rPr>
              <w:t>提供标签管理功能，包括标签增删改、云台随动、聚合展示、分类过滤、关注、形状自定义、颜色自定义等；</w:t>
            </w:r>
            <w:r>
              <w:rPr>
                <w:rFonts w:ascii="宋体" w:hAnsi="宋体" w:cs="宋体"/>
                <w:color w:val="auto"/>
                <w:kern w:val="0"/>
                <w:szCs w:val="21"/>
              </w:rPr>
              <w:br w:type="textWrapping"/>
            </w:r>
            <w:r>
              <w:rPr>
                <w:rFonts w:ascii="宋体" w:hAnsi="宋体" w:cs="宋体"/>
                <w:color w:val="auto"/>
                <w:kern w:val="0"/>
                <w:szCs w:val="21"/>
              </w:rPr>
              <w:t xml:space="preserve">3、 </w:t>
            </w:r>
            <w:r>
              <w:rPr>
                <w:rFonts w:hint="eastAsia" w:ascii="宋体" w:hAnsi="宋体" w:cs="宋体"/>
                <w:color w:val="auto"/>
                <w:kern w:val="0"/>
                <w:szCs w:val="21"/>
              </w:rPr>
              <w:t>支持包括高高联动、低高联动、预置点联动等功能；</w:t>
            </w:r>
            <w:r>
              <w:rPr>
                <w:rFonts w:ascii="宋体" w:hAnsi="宋体" w:cs="宋体"/>
                <w:color w:val="auto"/>
                <w:kern w:val="0"/>
                <w:szCs w:val="21"/>
              </w:rPr>
              <w:br w:type="textWrapping"/>
            </w:r>
            <w:r>
              <w:rPr>
                <w:rFonts w:ascii="宋体" w:hAnsi="宋体" w:cs="宋体"/>
                <w:color w:val="auto"/>
                <w:kern w:val="0"/>
                <w:szCs w:val="21"/>
              </w:rPr>
              <w:t xml:space="preserve">4、 </w:t>
            </w:r>
            <w:r>
              <w:rPr>
                <w:rFonts w:hint="eastAsia" w:ascii="宋体" w:hAnsi="宋体" w:cs="宋体"/>
                <w:color w:val="auto"/>
                <w:kern w:val="0"/>
                <w:szCs w:val="21"/>
              </w:rPr>
              <w:t>支持高点轮巡预案、场景回放、高点视频分组等功能；</w:t>
            </w:r>
            <w:r>
              <w:rPr>
                <w:rFonts w:ascii="宋体" w:hAnsi="宋体" w:cs="宋体"/>
                <w:color w:val="auto"/>
                <w:kern w:val="0"/>
                <w:szCs w:val="21"/>
              </w:rPr>
              <w:br w:type="textWrapping"/>
            </w:r>
            <w:r>
              <w:rPr>
                <w:rFonts w:ascii="宋体" w:hAnsi="宋体" w:cs="宋体"/>
                <w:color w:val="auto"/>
                <w:kern w:val="0"/>
                <w:szCs w:val="21"/>
              </w:rPr>
              <w:t xml:space="preserve">5、 </w:t>
            </w:r>
            <w:r>
              <w:rPr>
                <w:rFonts w:hint="eastAsia" w:ascii="宋体" w:hAnsi="宋体" w:cs="宋体"/>
                <w:color w:val="auto"/>
                <w:kern w:val="0"/>
                <w:szCs w:val="21"/>
              </w:rPr>
              <w:t>提供第三方系统集成</w:t>
            </w:r>
            <w:r>
              <w:rPr>
                <w:rFonts w:ascii="宋体" w:hAnsi="宋体" w:cs="宋体"/>
                <w:color w:val="auto"/>
                <w:kern w:val="0"/>
                <w:szCs w:val="21"/>
              </w:rPr>
              <w:t>AR实景地图应用的接口。</w:t>
            </w:r>
            <w:r>
              <w:rPr>
                <w:rFonts w:ascii="宋体" w:hAnsi="宋体" w:cs="宋体"/>
                <w:color w:val="auto"/>
                <w:kern w:val="0"/>
                <w:szCs w:val="21"/>
              </w:rPr>
              <w:br w:type="textWrapping"/>
            </w:r>
            <w:r>
              <w:rPr>
                <w:rFonts w:hint="eastAsia" w:ascii="宋体" w:hAnsi="宋体" w:cs="宋体"/>
                <w:color w:val="auto"/>
                <w:kern w:val="0"/>
                <w:szCs w:val="21"/>
              </w:rPr>
              <w:t>功能规格：</w:t>
            </w:r>
            <w:r>
              <w:rPr>
                <w:rFonts w:ascii="宋体" w:hAnsi="宋体" w:cs="宋体"/>
                <w:color w:val="auto"/>
                <w:kern w:val="0"/>
                <w:szCs w:val="21"/>
              </w:rPr>
              <w:br w:type="textWrapping"/>
            </w:r>
            <w:r>
              <w:rPr>
                <w:rFonts w:hint="eastAsia" w:ascii="宋体" w:hAnsi="宋体" w:cs="宋体"/>
                <w:color w:val="auto"/>
                <w:kern w:val="0"/>
                <w:szCs w:val="21"/>
              </w:rPr>
              <w:t>一、基础类标签</w:t>
            </w:r>
            <w:r>
              <w:rPr>
                <w:rFonts w:ascii="宋体" w:hAnsi="宋体" w:cs="宋体"/>
                <w:color w:val="auto"/>
                <w:kern w:val="0"/>
                <w:szCs w:val="21"/>
              </w:rPr>
              <w:br w:type="textWrapping"/>
            </w:r>
            <w:r>
              <w:rPr>
                <w:rFonts w:hint="eastAsia" w:ascii="宋体" w:hAnsi="宋体" w:cs="宋体"/>
                <w:color w:val="auto"/>
                <w:kern w:val="0"/>
                <w:szCs w:val="21"/>
              </w:rPr>
              <w:t>支持线标签、区域标签、视频、建筑物、景区、商城、酒店、厕所、公交站、设备配电箱、路灯、井盖、垃圾桶、安保岗亭、安保力量标签；</w:t>
            </w:r>
            <w:r>
              <w:rPr>
                <w:rFonts w:ascii="宋体" w:hAnsi="宋体" w:cs="宋体"/>
                <w:color w:val="auto"/>
                <w:kern w:val="0"/>
                <w:szCs w:val="21"/>
              </w:rPr>
              <w:br w:type="textWrapping"/>
            </w:r>
            <w:r>
              <w:rPr>
                <w:rFonts w:hint="eastAsia" w:ascii="宋体" w:hAnsi="宋体" w:cs="宋体"/>
                <w:color w:val="auto"/>
                <w:kern w:val="0"/>
                <w:szCs w:val="21"/>
              </w:rPr>
              <w:t>二、通用业务标签管理</w:t>
            </w:r>
            <w:r>
              <w:rPr>
                <w:rFonts w:ascii="宋体" w:hAnsi="宋体" w:cs="宋体"/>
                <w:color w:val="auto"/>
                <w:kern w:val="0"/>
                <w:szCs w:val="21"/>
              </w:rPr>
              <w:br w:type="textWrapping"/>
            </w:r>
            <w:r>
              <w:rPr>
                <w:rFonts w:ascii="宋体" w:hAnsi="宋体" w:cs="宋体"/>
                <w:color w:val="auto"/>
                <w:kern w:val="0"/>
                <w:szCs w:val="21"/>
              </w:rPr>
              <w:t>1、人员管控标签类：人脸标签</w:t>
            </w:r>
            <w:r>
              <w:rPr>
                <w:rFonts w:ascii="宋体" w:hAnsi="宋体" w:cs="宋体"/>
                <w:color w:val="auto"/>
                <w:kern w:val="0"/>
                <w:szCs w:val="21"/>
              </w:rPr>
              <w:br w:type="textWrapping"/>
            </w:r>
            <w:r>
              <w:rPr>
                <w:rFonts w:ascii="宋体" w:hAnsi="宋体" w:cs="宋体"/>
                <w:color w:val="auto"/>
                <w:kern w:val="0"/>
                <w:szCs w:val="21"/>
              </w:rPr>
              <w:t>2、车辆管控标签类：道路卡口、园区卡口点</w:t>
            </w:r>
            <w:r>
              <w:rPr>
                <w:rFonts w:ascii="宋体" w:hAnsi="宋体" w:cs="宋体"/>
                <w:color w:val="auto"/>
                <w:kern w:val="0"/>
                <w:szCs w:val="21"/>
              </w:rPr>
              <w:br w:type="textWrapping"/>
            </w:r>
            <w:r>
              <w:rPr>
                <w:rFonts w:hint="eastAsia" w:ascii="宋体" w:hAnsi="宋体" w:cs="宋体"/>
                <w:color w:val="auto"/>
                <w:kern w:val="0"/>
                <w:szCs w:val="21"/>
              </w:rPr>
              <w:t>三、动态数据标签管理：</w:t>
            </w:r>
            <w:r>
              <w:rPr>
                <w:rFonts w:ascii="宋体" w:hAnsi="宋体" w:cs="宋体"/>
                <w:color w:val="auto"/>
                <w:kern w:val="0"/>
                <w:szCs w:val="21"/>
              </w:rPr>
              <w:br w:type="textWrapping"/>
            </w:r>
            <w:r>
              <w:rPr>
                <w:rFonts w:ascii="宋体" w:hAnsi="宋体" w:cs="宋体"/>
                <w:color w:val="auto"/>
                <w:kern w:val="0"/>
                <w:szCs w:val="21"/>
              </w:rPr>
              <w:t>1、支持在实景地图中展示移动单兵、执法记录仪、</w:t>
            </w:r>
            <w:r>
              <w:rPr>
                <w:rFonts w:hint="eastAsia" w:ascii="宋体" w:hAnsi="宋体" w:cs="宋体"/>
                <w:color w:val="auto"/>
                <w:kern w:val="0"/>
                <w:szCs w:val="21"/>
              </w:rPr>
              <w:t>车载等</w:t>
            </w:r>
            <w:r>
              <w:rPr>
                <w:rFonts w:ascii="宋体" w:hAnsi="宋体" w:cs="宋体"/>
                <w:color w:val="auto"/>
                <w:kern w:val="0"/>
                <w:szCs w:val="21"/>
              </w:rPr>
              <w:t>GPS设备的实时位置，支持实时视频预览、对讲等能力；</w:t>
            </w:r>
            <w:r>
              <w:rPr>
                <w:rFonts w:ascii="宋体" w:hAnsi="宋体" w:cs="宋体"/>
                <w:color w:val="auto"/>
                <w:kern w:val="0"/>
                <w:szCs w:val="21"/>
              </w:rPr>
              <w:br w:type="textWrapping"/>
            </w:r>
            <w:r>
              <w:rPr>
                <w:rFonts w:ascii="宋体" w:hAnsi="宋体" w:cs="宋体"/>
                <w:color w:val="auto"/>
                <w:kern w:val="0"/>
                <w:szCs w:val="21"/>
              </w:rPr>
              <w:t>2、平台通过接收GPS设备（如单兵、执法记录仪、车载等）上报的位置信息，结合前端AR鹰眼设备时空重构算法，</w:t>
            </w:r>
            <w:r>
              <w:rPr>
                <w:rFonts w:hint="eastAsia" w:ascii="宋体" w:hAnsi="宋体" w:cs="宋体"/>
                <w:color w:val="auto"/>
                <w:kern w:val="0"/>
                <w:szCs w:val="21"/>
              </w:rPr>
              <w:t>将其实时位置以移动标签的形式展示在实景地图中，可用于应急预案场景中，安保警力资源的实时调度；</w:t>
            </w:r>
            <w:r>
              <w:rPr>
                <w:rFonts w:ascii="宋体" w:hAnsi="宋体" w:cs="宋体"/>
                <w:color w:val="auto"/>
                <w:kern w:val="0"/>
                <w:szCs w:val="21"/>
              </w:rPr>
              <w:br w:type="textWrapping"/>
            </w:r>
            <w:r>
              <w:rPr>
                <w:rFonts w:hint="eastAsia" w:ascii="宋体" w:hAnsi="宋体" w:cs="宋体"/>
                <w:color w:val="auto"/>
                <w:kern w:val="0"/>
                <w:szCs w:val="21"/>
              </w:rPr>
              <w:t>四、标签自定义扩展管理：</w:t>
            </w:r>
            <w:r>
              <w:rPr>
                <w:rFonts w:ascii="宋体" w:hAnsi="宋体" w:cs="宋体"/>
                <w:color w:val="auto"/>
                <w:kern w:val="0"/>
                <w:szCs w:val="21"/>
              </w:rPr>
              <w:br w:type="textWrapping"/>
            </w:r>
            <w:r>
              <w:rPr>
                <w:rFonts w:ascii="宋体" w:hAnsi="宋体" w:cs="宋体"/>
                <w:color w:val="auto"/>
                <w:kern w:val="0"/>
                <w:szCs w:val="21"/>
              </w:rPr>
              <w:t>1、提供自定义标签类型扩展的能力，支持对标签内文本、视频、图片、超链接等控件进行自定义排版并发布；</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大华</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宇视</w:t>
            </w:r>
          </w:p>
        </w:tc>
      </w:tr>
      <w:tr>
        <w:tblPrEx>
          <w:tblCellMar>
            <w:top w:w="0" w:type="dxa"/>
            <w:left w:w="108" w:type="dxa"/>
            <w:bottom w:w="0" w:type="dxa"/>
            <w:right w:w="108" w:type="dxa"/>
          </w:tblCellMar>
        </w:tblPrEx>
        <w:trPr>
          <w:trHeight w:val="60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11</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充电桩服务模块</w:t>
            </w:r>
          </w:p>
        </w:tc>
        <w:tc>
          <w:tcPr>
            <w:tcW w:w="38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站点管理，充电桩设备管理，运营概览，订单记录，分润合作方管理，工程人员管理，实体卡管理，套餐管理等功能，实现对充电桩运营流程的管理支撑。</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大华</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宇视</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12</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对外</w:t>
            </w:r>
            <w:r>
              <w:rPr>
                <w:rFonts w:ascii="宋体" w:hAnsi="宋体" w:cs="宋体"/>
                <w:color w:val="auto"/>
                <w:kern w:val="0"/>
                <w:szCs w:val="21"/>
              </w:rPr>
              <w:t>API接口调用</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项</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第三方对接过程中，对方平台通过调用</w:t>
            </w:r>
            <w:r>
              <w:rPr>
                <w:rFonts w:ascii="宋体" w:hAnsi="宋体" w:cs="宋体"/>
                <w:color w:val="auto"/>
                <w:kern w:val="0"/>
                <w:szCs w:val="21"/>
              </w:rPr>
              <w:t>api接口传输数据。</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大华</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宇视</w:t>
            </w:r>
          </w:p>
        </w:tc>
      </w:tr>
      <w:tr>
        <w:tblPrEx>
          <w:tblCellMar>
            <w:top w:w="0" w:type="dxa"/>
            <w:left w:w="108" w:type="dxa"/>
            <w:bottom w:w="0" w:type="dxa"/>
            <w:right w:w="108" w:type="dxa"/>
          </w:tblCellMar>
        </w:tblPrEx>
        <w:trPr>
          <w:trHeight w:val="60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13</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充电桩流量及接入费</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项</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充电桩流量及接入费。</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大华</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宇视</w:t>
            </w:r>
          </w:p>
        </w:tc>
      </w:tr>
      <w:tr>
        <w:tblPrEx>
          <w:tblCellMar>
            <w:top w:w="0" w:type="dxa"/>
            <w:left w:w="108" w:type="dxa"/>
            <w:bottom w:w="0" w:type="dxa"/>
            <w:right w:w="108" w:type="dxa"/>
          </w:tblCellMar>
        </w:tblPrEx>
        <w:trPr>
          <w:trHeight w:val="40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14</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智能运维应用</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对接入平台的视频设备，门禁设备，梯控设备，可视对讲设备进行在线巡检，及时发现故障设备和掉线设备，使运维工作更加高效，便利。</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大华</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宇视</w:t>
            </w:r>
          </w:p>
        </w:tc>
      </w:tr>
      <w:tr>
        <w:tblPrEx>
          <w:tblCellMar>
            <w:top w:w="0" w:type="dxa"/>
            <w:left w:w="108" w:type="dxa"/>
            <w:bottom w:w="0" w:type="dxa"/>
            <w:right w:w="108" w:type="dxa"/>
          </w:tblCellMar>
        </w:tblPrEx>
        <w:trPr>
          <w:trHeight w:val="40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15</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视频级联点位数</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10000</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路</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实现视频监控平台间的级联、互联功能，支持多平台多层次级联，实现平台之间的跨域互联互通与资源共享</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大华</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宇视</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16</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移动端应用</w:t>
            </w:r>
            <w:r>
              <w:rPr>
                <w:rFonts w:ascii="宋体" w:hAnsi="宋体" w:cs="宋体"/>
                <w:color w:val="auto"/>
                <w:kern w:val="0"/>
                <w:szCs w:val="21"/>
              </w:rPr>
              <w:t>-信息采集</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移动端支持人员信息采集（个人基本信息，所属小区房屋，驾驶车辆）</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40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17</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移动端应用</w:t>
            </w:r>
            <w:r>
              <w:rPr>
                <w:rFonts w:ascii="宋体" w:hAnsi="宋体" w:cs="宋体"/>
                <w:color w:val="auto"/>
                <w:kern w:val="0"/>
                <w:szCs w:val="21"/>
              </w:rPr>
              <w:t>-信息申报</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支持通过移动端采集人脸照片和基础信息上传到平台，包括手机相册照片上传和实时拍照；</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18</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移动端应用</w:t>
            </w:r>
            <w:r>
              <w:rPr>
                <w:rFonts w:ascii="宋体" w:hAnsi="宋体" w:cs="宋体"/>
                <w:color w:val="auto"/>
                <w:kern w:val="0"/>
                <w:szCs w:val="21"/>
              </w:rPr>
              <w:t>-视频应用</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移动端支持视频浏览、录像回放等</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60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19</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移动端应用</w:t>
            </w:r>
            <w:r>
              <w:rPr>
                <w:rFonts w:ascii="宋体" w:hAnsi="宋体" w:cs="宋体"/>
                <w:color w:val="auto"/>
                <w:kern w:val="0"/>
                <w:szCs w:val="21"/>
              </w:rPr>
              <w:t>-无感通行</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实现基于浙里办</w:t>
            </w:r>
            <w:r>
              <w:rPr>
                <w:rFonts w:ascii="宋体" w:hAnsi="宋体" w:cs="宋体"/>
                <w:color w:val="auto"/>
                <w:kern w:val="0"/>
                <w:szCs w:val="21"/>
              </w:rPr>
              <w:t>APP框架，通过开发对接方式提供以下能力，包括但不限于：获取用户信息、实名认证等，支持门禁开门、关门、查看门禁状态；</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40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20</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移动端应用</w:t>
            </w:r>
            <w:r>
              <w:rPr>
                <w:rFonts w:ascii="宋体" w:hAnsi="宋体" w:cs="宋体"/>
                <w:color w:val="auto"/>
                <w:kern w:val="0"/>
                <w:szCs w:val="21"/>
              </w:rPr>
              <w:t>-预警处理</w:t>
            </w:r>
          </w:p>
        </w:tc>
        <w:tc>
          <w:tcPr>
            <w:tcW w:w="383"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支持接收、查询报警、查看报警详细信息；支持显示预警事件待处理和已处理统计数量；</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auto"/>
                <w:kern w:val="0"/>
                <w:szCs w:val="21"/>
              </w:rPr>
            </w:pPr>
            <w:r>
              <w:rPr>
                <w:rFonts w:ascii="宋体" w:hAnsi="宋体" w:cs="宋体"/>
                <w:b/>
                <w:bCs/>
                <w:color w:val="auto"/>
                <w:kern w:val="0"/>
                <w:szCs w:val="21"/>
              </w:rPr>
              <w:t>3）</w:t>
            </w:r>
          </w:p>
        </w:tc>
        <w:tc>
          <w:tcPr>
            <w:tcW w:w="3443" w:type="pct"/>
            <w:gridSpan w:val="4"/>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b/>
                <w:bCs/>
                <w:color w:val="auto"/>
                <w:kern w:val="0"/>
                <w:szCs w:val="21"/>
              </w:rPr>
            </w:pPr>
            <w:r>
              <w:rPr>
                <w:rFonts w:hint="eastAsia" w:ascii="宋体" w:hAnsi="宋体" w:cs="宋体"/>
                <w:b/>
                <w:bCs/>
                <w:color w:val="auto"/>
                <w:kern w:val="0"/>
                <w:szCs w:val="21"/>
              </w:rPr>
              <w:t>智感安防态势</w:t>
            </w:r>
            <w:r>
              <w:rPr>
                <w:rFonts w:ascii="宋体" w:hAnsi="宋体" w:cs="宋体"/>
                <w:b/>
                <w:bCs/>
                <w:color w:val="auto"/>
                <w:kern w:val="0"/>
                <w:szCs w:val="21"/>
              </w:rPr>
              <w:t>-街镇</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41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镇街数据概览</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展示街镇区域面积、小区总数、小区分类（封闭式小区、开放小区、有无物业小区，时间维度（老旧小区和次新小区））、户籍人口总数、常住人口总数、房屋总数、重点人（（包括吸毒人员、刑满释放人员、社区矫正人员、艾滋病危险人员、重点青少年、上访人员、居家隔离人员））、重点场所（学校、宗教场所、医院）、基础网格数（图层）、网格员数量。并支持对户籍人口、常住人口、房屋的情况进行统计分析。</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40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小区技防物防</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展示街镇内安防设备数量，包括人脸、车卡、门禁、道闸、视频监控（周界、高抛、热成像、垃圾点、消防通道）等，滚动起来</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60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3</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异常事件详情</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以列表的形式实时显示智能感知异常预警信息，包括：高空抛物、消防通道占用、周界预警、电动车棚着火、不在规定时间段投递垃圾等。支持查看每个预警事件的详情。</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异常事件统计</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按类型统计各小区报警数量，按小区统计并排名（时间范围</w:t>
            </w:r>
            <w:r>
              <w:rPr>
                <w:rFonts w:ascii="宋体" w:hAnsi="宋体" w:cs="宋体"/>
                <w:color w:val="auto"/>
                <w:kern w:val="0"/>
                <w:szCs w:val="21"/>
              </w:rPr>
              <w:t>1个月）。</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5</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充电管理服务</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充电桩数量、服务人数，用电量等信息</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40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6</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进出通行服务</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小区居民进出入数量统计展示，访客进出数量统计展示，按不同小区统计</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40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7</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小区安保服务</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展示小区内保安是否每日必到巡更点，巡更记录和巡更异常情况统计展示</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40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8</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小区网格信息</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网格地图：以综合网格为单位，叠加网格信息、网格人员信息、网格内重点人员统计、特殊群体统计、在岗网格员位置。</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9</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楼栋人房信息</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点击小区楼栋房屋展示居住人员信息</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40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10</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地图视频分布</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视频点位：展示视频点位在地图上的分布情况，可以查看视频点位的实时监控画面。</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40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11</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全景实战应用</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AR点位：展示AR全景点位在地图上的分布情况，可以查看AR全景点位的实时监控画面（针对四个街镇）。</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auto"/>
                <w:kern w:val="0"/>
                <w:szCs w:val="21"/>
              </w:rPr>
            </w:pPr>
            <w:r>
              <w:rPr>
                <w:rFonts w:ascii="宋体" w:hAnsi="宋体" w:cs="宋体"/>
                <w:b/>
                <w:bCs/>
                <w:color w:val="auto"/>
                <w:kern w:val="0"/>
                <w:szCs w:val="21"/>
              </w:rPr>
              <w:t>4）</w:t>
            </w:r>
          </w:p>
        </w:tc>
        <w:tc>
          <w:tcPr>
            <w:tcW w:w="3443" w:type="pct"/>
            <w:gridSpan w:val="4"/>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b/>
                <w:bCs/>
                <w:color w:val="auto"/>
                <w:kern w:val="0"/>
                <w:szCs w:val="21"/>
              </w:rPr>
            </w:pPr>
            <w:r>
              <w:rPr>
                <w:rFonts w:hint="eastAsia" w:ascii="宋体" w:hAnsi="宋体" w:cs="宋体"/>
                <w:b/>
                <w:bCs/>
                <w:color w:val="auto"/>
                <w:kern w:val="0"/>
                <w:szCs w:val="21"/>
              </w:rPr>
              <w:t>智感安防态势</w:t>
            </w:r>
            <w:r>
              <w:rPr>
                <w:rFonts w:ascii="宋体" w:hAnsi="宋体" w:cs="宋体"/>
                <w:b/>
                <w:bCs/>
                <w:color w:val="auto"/>
                <w:kern w:val="0"/>
                <w:szCs w:val="21"/>
              </w:rPr>
              <w:t>-公安</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1013"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档案信息概览</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主要展示内容包括接入系统的小区数量总数、接入量排行前五的街镇、系统接入实有人口、房屋、车辆数据的实时数据量，档案建设数量及分类统计（实有人口总数，常住、流动、小区登记人员数量统计）；房屋分类统计（实有房屋总数，自住房屋、出租房屋数量统计），各街镇小区建设成果，先进型小区数量、通用型小区数量、基础型小区数量</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40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物防技防概览</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物联感知设备数据总数及主要设备数据量（门禁、人脸抓拍、车辆抓拍、道闸、视频监控等）</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40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3</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运行状况概览</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辖区内运行事件数量（门禁刷卡事件、车辆通行事件、人脸抓拍事件、重点人员和车辆的实时告警事件和图片）等。</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60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工作态势概览</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采用警用地图、趋势图、关系图等形式，采用环比、同比等方法对比各时间周期人员流动信息、重点关注对象信息、小区案件警情等各项数据指标及其变化，全面展示智慧安防小区工作态势。</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60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5</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一图数据总览</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对接一网感知项目建设可视化引擎和大屏，综合展示采集全市小区数据汇聚整体情况，包括汇聚镇街统计后的智能感知前端采集的人、车、物、证、码、事等要素基础数据、民生数据、治安管理数据融合展示</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40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6</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全景实战应用</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展示</w:t>
            </w:r>
            <w:r>
              <w:rPr>
                <w:rFonts w:ascii="宋体" w:hAnsi="宋体" w:cs="宋体"/>
                <w:color w:val="auto"/>
                <w:kern w:val="0"/>
                <w:szCs w:val="21"/>
              </w:rPr>
              <w:t>AR全景点位在地图上的分布情况，可以查看AR全景点位的实时监控画面，有效联动其他视频监控</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auto"/>
                <w:kern w:val="0"/>
                <w:szCs w:val="21"/>
              </w:rPr>
            </w:pPr>
            <w:r>
              <w:rPr>
                <w:rFonts w:ascii="宋体" w:hAnsi="宋体" w:cs="宋体"/>
                <w:b/>
                <w:bCs/>
                <w:color w:val="auto"/>
                <w:kern w:val="0"/>
                <w:szCs w:val="21"/>
              </w:rPr>
              <w:t>5）</w:t>
            </w:r>
          </w:p>
        </w:tc>
        <w:tc>
          <w:tcPr>
            <w:tcW w:w="3443" w:type="pct"/>
            <w:gridSpan w:val="4"/>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b/>
                <w:bCs/>
                <w:color w:val="auto"/>
                <w:kern w:val="0"/>
                <w:szCs w:val="21"/>
              </w:rPr>
            </w:pPr>
            <w:r>
              <w:rPr>
                <w:rFonts w:hint="eastAsia" w:ascii="宋体" w:hAnsi="宋体" w:cs="宋体"/>
                <w:b/>
                <w:bCs/>
                <w:color w:val="auto"/>
                <w:kern w:val="0"/>
                <w:szCs w:val="21"/>
              </w:rPr>
              <w:t>与第三方系统对接定制开发</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40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小区内已建门禁及访客系统定制对接</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项</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对接不低于</w:t>
            </w:r>
            <w:r>
              <w:rPr>
                <w:rFonts w:ascii="宋体" w:hAnsi="宋体" w:cs="宋体"/>
                <w:color w:val="auto"/>
                <w:kern w:val="0"/>
                <w:szCs w:val="21"/>
              </w:rPr>
              <w:t xml:space="preserve">60个先进型 </w:t>
            </w:r>
            <w:r>
              <w:rPr>
                <w:rFonts w:hint="eastAsia" w:ascii="宋体" w:hAnsi="宋体" w:cs="宋体"/>
                <w:color w:val="auto"/>
                <w:kern w:val="0"/>
                <w:szCs w:val="21"/>
              </w:rPr>
              <w:t>小区门禁管理系统等</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住建局物管平台对接</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项</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与物业综合管理平台对接定制开发</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40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3</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社会面视图汇聚平台对接</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项</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按照国标</w:t>
            </w:r>
            <w:r>
              <w:rPr>
                <w:rFonts w:ascii="宋体" w:hAnsi="宋体" w:cs="宋体"/>
                <w:color w:val="auto"/>
                <w:kern w:val="0"/>
                <w:szCs w:val="21"/>
              </w:rPr>
              <w:t>GB28181和视图</w:t>
            </w:r>
            <w:r>
              <w:rPr>
                <w:rFonts w:hint="eastAsia" w:ascii="宋体" w:hAnsi="宋体" w:cs="宋体"/>
                <w:color w:val="auto"/>
                <w:kern w:val="0"/>
                <w:szCs w:val="21"/>
              </w:rPr>
              <w:t>库相关协议</w:t>
            </w:r>
            <w:r>
              <w:rPr>
                <w:rFonts w:ascii="宋体" w:hAnsi="宋体" w:cs="宋体"/>
                <w:color w:val="auto"/>
                <w:kern w:val="0"/>
                <w:szCs w:val="21"/>
              </w:rPr>
              <w:t>1400等推送视频和过人过车等结构化数据</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40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充电桩平台对接</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项</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将互联网充电桩云平台充电桩点位信息、用电信息、服务人员信息和费用信息对接到智安小区综合运行管理平台</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40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5</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公安网基础可视化引擎系统</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项</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公安内网智安小区综合态势驾驶舱需要一网感知项目中基础可视化引擎地图数据，融合展示智安小区建设成果</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auto"/>
                <w:kern w:val="0"/>
                <w:szCs w:val="21"/>
              </w:rPr>
            </w:pPr>
            <w:r>
              <w:rPr>
                <w:rFonts w:ascii="宋体" w:hAnsi="宋体" w:cs="宋体"/>
                <w:b/>
                <w:bCs/>
                <w:color w:val="auto"/>
                <w:kern w:val="0"/>
                <w:szCs w:val="21"/>
              </w:rPr>
              <w:t>6）</w:t>
            </w:r>
          </w:p>
        </w:tc>
        <w:tc>
          <w:tcPr>
            <w:tcW w:w="3443" w:type="pct"/>
            <w:gridSpan w:val="4"/>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b/>
                <w:bCs/>
                <w:color w:val="auto"/>
                <w:kern w:val="0"/>
                <w:szCs w:val="21"/>
              </w:rPr>
            </w:pPr>
            <w:r>
              <w:rPr>
                <w:rFonts w:hint="eastAsia" w:ascii="宋体" w:hAnsi="宋体" w:cs="宋体"/>
                <w:b/>
                <w:bCs/>
                <w:color w:val="auto"/>
                <w:kern w:val="0"/>
                <w:szCs w:val="21"/>
              </w:rPr>
              <w:t>平台硬件服务器</w:t>
            </w:r>
          </w:p>
        </w:tc>
        <w:tc>
          <w:tcPr>
            <w:tcW w:w="420"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20"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19"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71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校时服务器</w:t>
            </w:r>
          </w:p>
        </w:tc>
        <w:tc>
          <w:tcPr>
            <w:tcW w:w="383"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支持</w:t>
            </w:r>
            <w:r>
              <w:rPr>
                <w:rFonts w:ascii="宋体" w:hAnsi="宋体" w:cs="宋体"/>
                <w:color w:val="auto"/>
                <w:kern w:val="0"/>
                <w:szCs w:val="21"/>
              </w:rPr>
              <w:t>GPS、北斗、上级NTP、CDMA校时；</w:t>
            </w:r>
            <w:r>
              <w:rPr>
                <w:rFonts w:ascii="宋体" w:hAnsi="宋体" w:cs="宋体"/>
                <w:color w:val="auto"/>
                <w:kern w:val="0"/>
                <w:szCs w:val="21"/>
              </w:rPr>
              <w:br w:type="textWrapping"/>
            </w:r>
            <w:r>
              <w:rPr>
                <w:rFonts w:ascii="宋体" w:hAnsi="宋体" w:cs="宋体"/>
                <w:color w:val="auto"/>
                <w:kern w:val="0"/>
                <w:szCs w:val="21"/>
              </w:rPr>
              <w:t xml:space="preserve">ARM处理器；NTP同步精度毫秒级；存储：256M；守时精度：≤28us；跟踪通道数：32；捕获通道数：128；授时容量： 10000次/每秒（单端口）；授时精度：≤5us；授时频段：GPS: 1575.42±1.023MHz </w:t>
            </w:r>
            <w:r>
              <w:rPr>
                <w:rFonts w:hint="eastAsia" w:ascii="宋体" w:hAnsi="宋体" w:cs="宋体"/>
                <w:color w:val="auto"/>
                <w:kern w:val="0"/>
                <w:szCs w:val="21"/>
              </w:rPr>
              <w:t>；北斗</w:t>
            </w:r>
            <w:r>
              <w:rPr>
                <w:rFonts w:ascii="宋体" w:hAnsi="宋体" w:cs="宋体"/>
                <w:color w:val="auto"/>
                <w:kern w:val="0"/>
                <w:szCs w:val="21"/>
              </w:rPr>
              <w:t>: 1561.098±2.046MHz；</w:t>
            </w:r>
            <w:r>
              <w:rPr>
                <w:rFonts w:ascii="宋体" w:hAnsi="宋体" w:cs="宋体"/>
                <w:color w:val="auto"/>
                <w:kern w:val="0"/>
                <w:szCs w:val="21"/>
              </w:rPr>
              <w:br w:type="textWrapping"/>
            </w:r>
            <w:r>
              <w:rPr>
                <w:rFonts w:hint="eastAsia" w:ascii="宋体" w:hAnsi="宋体" w:cs="宋体"/>
                <w:color w:val="auto"/>
                <w:kern w:val="0"/>
                <w:szCs w:val="21"/>
              </w:rPr>
              <w:t>可通过</w:t>
            </w:r>
            <w:r>
              <w:rPr>
                <w:rFonts w:ascii="宋体" w:hAnsi="宋体" w:cs="宋体"/>
                <w:color w:val="auto"/>
                <w:kern w:val="0"/>
                <w:szCs w:val="21"/>
              </w:rPr>
              <w:t>NTP模式或BD/GPS模式对待授时设备进行授时；可通过固定时间间隔方式对待授时设备进行授时；支持对监控设备（DVR、NVR、网络摄像机）、终端设备进行授时</w:t>
            </w:r>
            <w:r>
              <w:rPr>
                <w:rFonts w:ascii="宋体" w:hAnsi="宋体" w:cs="宋体"/>
                <w:color w:val="auto"/>
                <w:kern w:val="0"/>
                <w:szCs w:val="21"/>
              </w:rPr>
              <w:br w:type="textWrapping"/>
            </w:r>
            <w:r>
              <w:rPr>
                <w:rFonts w:hint="eastAsia" w:ascii="宋体" w:hAnsi="宋体" w:cs="宋体"/>
                <w:color w:val="auto"/>
                <w:kern w:val="0"/>
                <w:szCs w:val="21"/>
              </w:rPr>
              <w:t>支持对服务器进行授时；支持同时对多个网段的待授时设备进行授时，单端口授时容量≥</w:t>
            </w:r>
            <w:r>
              <w:rPr>
                <w:rFonts w:ascii="宋体" w:hAnsi="宋体" w:cs="宋体"/>
                <w:color w:val="auto"/>
                <w:kern w:val="0"/>
                <w:szCs w:val="21"/>
              </w:rPr>
              <w:t>10000次/秒；可通过WEB管理对NTP时钟进行配置管理；</w:t>
            </w:r>
            <w:r>
              <w:rPr>
                <w:rFonts w:ascii="宋体" w:hAnsi="宋体" w:cs="宋体"/>
                <w:color w:val="auto"/>
                <w:kern w:val="0"/>
                <w:szCs w:val="21"/>
              </w:rPr>
              <w:br w:type="textWrapping"/>
            </w:r>
            <w:r>
              <w:rPr>
                <w:rFonts w:hint="eastAsia" w:ascii="宋体" w:hAnsi="宋体" w:cs="宋体"/>
                <w:color w:val="auto"/>
                <w:kern w:val="0"/>
                <w:szCs w:val="21"/>
              </w:rPr>
              <w:t>设备上电或重启后，系统自启校时服务，可通过</w:t>
            </w:r>
            <w:r>
              <w:rPr>
                <w:rFonts w:ascii="宋体" w:hAnsi="宋体" w:cs="宋体"/>
                <w:color w:val="auto"/>
                <w:kern w:val="0"/>
                <w:szCs w:val="21"/>
              </w:rPr>
              <w:t>NTP模式或BD/GPS模式对待授时设备进行授时，支持对监控设备、终端设备，服务器，多个网段的待授时设备进行授时；</w:t>
            </w:r>
          </w:p>
        </w:tc>
        <w:tc>
          <w:tcPr>
            <w:tcW w:w="420"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大华</w:t>
            </w:r>
          </w:p>
        </w:tc>
        <w:tc>
          <w:tcPr>
            <w:tcW w:w="41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宇视</w:t>
            </w:r>
          </w:p>
        </w:tc>
      </w:tr>
      <w:tr>
        <w:tblPrEx>
          <w:tblCellMar>
            <w:top w:w="0" w:type="dxa"/>
            <w:left w:w="108" w:type="dxa"/>
            <w:bottom w:w="0" w:type="dxa"/>
            <w:right w:w="108" w:type="dxa"/>
          </w:tblCellMar>
        </w:tblPrEx>
        <w:trPr>
          <w:trHeight w:val="141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定制软件应用服务器</w:t>
            </w:r>
          </w:p>
        </w:tc>
        <w:tc>
          <w:tcPr>
            <w:tcW w:w="38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3</w:t>
            </w:r>
          </w:p>
        </w:tc>
        <w:tc>
          <w:tcPr>
            <w:tcW w:w="2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CPU：2颗 HG7380(32核，2.2GHz);</w:t>
            </w:r>
            <w:r>
              <w:rPr>
                <w:rFonts w:ascii="宋体" w:hAnsi="宋体" w:cs="宋体"/>
                <w:color w:val="auto"/>
                <w:kern w:val="0"/>
                <w:szCs w:val="21"/>
              </w:rPr>
              <w:br w:type="textWrapping"/>
            </w:r>
            <w:r>
              <w:rPr>
                <w:rFonts w:hint="eastAsia" w:ascii="宋体" w:hAnsi="宋体" w:cs="宋体"/>
                <w:color w:val="auto"/>
                <w:kern w:val="0"/>
                <w:szCs w:val="21"/>
              </w:rPr>
              <w:t>内存：</w:t>
            </w:r>
            <w:r>
              <w:rPr>
                <w:rFonts w:ascii="宋体" w:hAnsi="宋体" w:cs="宋体"/>
                <w:color w:val="auto"/>
                <w:kern w:val="0"/>
                <w:szCs w:val="21"/>
              </w:rPr>
              <w:t>64G DDR4 X 4;</w:t>
            </w:r>
            <w:r>
              <w:rPr>
                <w:rFonts w:ascii="宋体" w:hAnsi="宋体" w:cs="宋体"/>
                <w:color w:val="auto"/>
                <w:kern w:val="0"/>
                <w:szCs w:val="21"/>
              </w:rPr>
              <w:br w:type="textWrapping"/>
            </w:r>
            <w:r>
              <w:rPr>
                <w:rFonts w:hint="eastAsia" w:ascii="宋体" w:hAnsi="宋体" w:cs="宋体"/>
                <w:color w:val="auto"/>
                <w:kern w:val="0"/>
                <w:szCs w:val="21"/>
              </w:rPr>
              <w:t>硬盘：</w:t>
            </w:r>
            <w:r>
              <w:rPr>
                <w:rFonts w:ascii="宋体" w:hAnsi="宋体" w:cs="宋体"/>
                <w:color w:val="auto"/>
                <w:kern w:val="0"/>
                <w:szCs w:val="21"/>
              </w:rPr>
              <w:t>600G 10K SAS×2（8盘位，RAID 1）+ 4TB 7.2K SATA×1;</w:t>
            </w:r>
            <w:r>
              <w:rPr>
                <w:rFonts w:ascii="宋体" w:hAnsi="宋体" w:cs="宋体"/>
                <w:color w:val="auto"/>
                <w:kern w:val="0"/>
                <w:szCs w:val="21"/>
              </w:rPr>
              <w:br w:type="textWrapping"/>
            </w:r>
            <w:r>
              <w:rPr>
                <w:rFonts w:hint="eastAsia" w:ascii="宋体" w:hAnsi="宋体" w:cs="宋体"/>
                <w:color w:val="auto"/>
                <w:kern w:val="0"/>
                <w:szCs w:val="21"/>
              </w:rPr>
              <w:t>阵列卡：</w:t>
            </w:r>
            <w:r>
              <w:rPr>
                <w:rFonts w:ascii="宋体" w:hAnsi="宋体" w:cs="宋体"/>
                <w:color w:val="auto"/>
                <w:kern w:val="0"/>
                <w:szCs w:val="21"/>
              </w:rPr>
              <w:t xml:space="preserve">SAS_HBA/1GbE*2, </w:t>
            </w:r>
            <w:r>
              <w:rPr>
                <w:rFonts w:hint="eastAsia" w:ascii="宋体" w:hAnsi="宋体" w:cs="宋体"/>
                <w:color w:val="auto"/>
                <w:kern w:val="0"/>
                <w:szCs w:val="21"/>
              </w:rPr>
              <w:t>支持</w:t>
            </w:r>
            <w:r>
              <w:rPr>
                <w:rFonts w:ascii="宋体" w:hAnsi="宋体" w:cs="宋体"/>
                <w:color w:val="auto"/>
                <w:kern w:val="0"/>
                <w:szCs w:val="21"/>
              </w:rPr>
              <w:t>RAID 0/1/10;</w:t>
            </w:r>
            <w:r>
              <w:rPr>
                <w:rFonts w:ascii="宋体" w:hAnsi="宋体" w:cs="宋体"/>
                <w:color w:val="auto"/>
                <w:kern w:val="0"/>
                <w:szCs w:val="21"/>
              </w:rPr>
              <w:br w:type="textWrapping"/>
            </w:r>
            <w:r>
              <w:rPr>
                <w:rFonts w:ascii="宋体" w:hAnsi="宋体" w:cs="宋体"/>
                <w:color w:val="auto"/>
                <w:kern w:val="0"/>
                <w:szCs w:val="21"/>
              </w:rPr>
              <w:t>PCIE扩展：最大可支持6个PCIe扩展插槽;</w:t>
            </w:r>
            <w:r>
              <w:rPr>
                <w:rFonts w:ascii="宋体" w:hAnsi="宋体" w:cs="宋体"/>
                <w:color w:val="auto"/>
                <w:kern w:val="0"/>
                <w:szCs w:val="21"/>
              </w:rPr>
              <w:br w:type="textWrapping"/>
            </w:r>
            <w:r>
              <w:rPr>
                <w:rFonts w:hint="eastAsia" w:ascii="宋体" w:hAnsi="宋体" w:cs="宋体"/>
                <w:color w:val="auto"/>
                <w:kern w:val="0"/>
                <w:szCs w:val="21"/>
              </w:rPr>
              <w:t>网口：</w:t>
            </w:r>
            <w:r>
              <w:rPr>
                <w:rFonts w:ascii="宋体" w:hAnsi="宋体" w:cs="宋体"/>
                <w:color w:val="auto"/>
                <w:kern w:val="0"/>
                <w:szCs w:val="21"/>
              </w:rPr>
              <w:t>4个</w:t>
            </w:r>
            <w:r>
              <w:rPr>
                <w:rFonts w:hint="eastAsia" w:ascii="宋体" w:hAnsi="宋体" w:cs="宋体"/>
                <w:color w:val="auto"/>
                <w:kern w:val="0"/>
                <w:szCs w:val="21"/>
              </w:rPr>
              <w:t>千兆电口</w:t>
            </w:r>
            <w:r>
              <w:rPr>
                <w:rFonts w:ascii="宋体" w:hAnsi="宋体" w:cs="宋体"/>
                <w:color w:val="auto"/>
                <w:kern w:val="0"/>
                <w:szCs w:val="21"/>
              </w:rPr>
              <w:t>;</w:t>
            </w:r>
            <w:r>
              <w:rPr>
                <w:rFonts w:ascii="宋体" w:hAnsi="宋体" w:cs="宋体"/>
                <w:color w:val="auto"/>
                <w:kern w:val="0"/>
                <w:szCs w:val="21"/>
              </w:rPr>
              <w:br w:type="textWrapping"/>
            </w:r>
            <w:r>
              <w:rPr>
                <w:rFonts w:hint="eastAsia" w:ascii="宋体" w:hAnsi="宋体" w:cs="宋体"/>
                <w:color w:val="auto"/>
                <w:kern w:val="0"/>
                <w:szCs w:val="21"/>
              </w:rPr>
              <w:t>提供</w:t>
            </w:r>
            <w:r>
              <w:rPr>
                <w:rFonts w:ascii="宋体" w:hAnsi="宋体" w:cs="宋体"/>
                <w:color w:val="auto"/>
                <w:kern w:val="0"/>
                <w:szCs w:val="21"/>
              </w:rPr>
              <w:t>3年原厂质保。</w:t>
            </w:r>
          </w:p>
        </w:tc>
        <w:tc>
          <w:tcPr>
            <w:tcW w:w="42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浪潮</w:t>
            </w:r>
          </w:p>
        </w:tc>
        <w:tc>
          <w:tcPr>
            <w:tcW w:w="41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紫光</w:t>
            </w:r>
          </w:p>
        </w:tc>
      </w:tr>
      <w:tr>
        <w:tblPrEx>
          <w:tblCellMar>
            <w:top w:w="0" w:type="dxa"/>
            <w:left w:w="108" w:type="dxa"/>
            <w:bottom w:w="0" w:type="dxa"/>
            <w:right w:w="108" w:type="dxa"/>
          </w:tblCellMar>
        </w:tblPrEx>
        <w:trPr>
          <w:trHeight w:val="41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3</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智安小区综合管理平台服务器</w:t>
            </w:r>
          </w:p>
        </w:tc>
        <w:tc>
          <w:tcPr>
            <w:tcW w:w="383"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3</w:t>
            </w:r>
          </w:p>
        </w:tc>
        <w:tc>
          <w:tcPr>
            <w:tcW w:w="249"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CPU：1颗 HG7380(32核，2.2GHz);</w:t>
            </w:r>
            <w:r>
              <w:rPr>
                <w:rFonts w:ascii="宋体" w:hAnsi="宋体" w:cs="宋体"/>
                <w:color w:val="auto"/>
                <w:kern w:val="0"/>
                <w:szCs w:val="21"/>
              </w:rPr>
              <w:br w:type="textWrapping"/>
            </w:r>
            <w:r>
              <w:rPr>
                <w:rFonts w:hint="eastAsia" w:ascii="宋体" w:hAnsi="宋体" w:cs="宋体"/>
                <w:color w:val="auto"/>
                <w:kern w:val="0"/>
                <w:szCs w:val="21"/>
              </w:rPr>
              <w:t>内存：</w:t>
            </w:r>
            <w:r>
              <w:rPr>
                <w:rFonts w:ascii="宋体" w:hAnsi="宋体" w:cs="宋体"/>
                <w:color w:val="auto"/>
                <w:kern w:val="0"/>
                <w:szCs w:val="21"/>
              </w:rPr>
              <w:t>64G DDR4;</w:t>
            </w:r>
            <w:r>
              <w:rPr>
                <w:rFonts w:ascii="宋体" w:hAnsi="宋体" w:cs="宋体"/>
                <w:color w:val="auto"/>
                <w:kern w:val="0"/>
                <w:szCs w:val="21"/>
              </w:rPr>
              <w:br w:type="textWrapping"/>
            </w:r>
            <w:r>
              <w:rPr>
                <w:rFonts w:hint="eastAsia" w:ascii="宋体" w:hAnsi="宋体" w:cs="宋体"/>
                <w:color w:val="auto"/>
                <w:kern w:val="0"/>
                <w:szCs w:val="21"/>
              </w:rPr>
              <w:t>硬盘：</w:t>
            </w:r>
            <w:r>
              <w:rPr>
                <w:rFonts w:ascii="宋体" w:hAnsi="宋体" w:cs="宋体"/>
                <w:color w:val="auto"/>
                <w:kern w:val="0"/>
                <w:szCs w:val="21"/>
              </w:rPr>
              <w:t>2块600G 10K 2.5寸SAS硬盘;</w:t>
            </w:r>
            <w:r>
              <w:rPr>
                <w:rFonts w:ascii="宋体" w:hAnsi="宋体" w:cs="宋体"/>
                <w:color w:val="auto"/>
                <w:kern w:val="0"/>
                <w:szCs w:val="21"/>
              </w:rPr>
              <w:br w:type="textWrapping"/>
            </w:r>
            <w:r>
              <w:rPr>
                <w:rFonts w:hint="eastAsia" w:ascii="宋体" w:hAnsi="宋体" w:cs="宋体"/>
                <w:color w:val="auto"/>
                <w:kern w:val="0"/>
                <w:szCs w:val="21"/>
              </w:rPr>
              <w:t>阵列卡：</w:t>
            </w:r>
            <w:r>
              <w:rPr>
                <w:rFonts w:ascii="宋体" w:hAnsi="宋体" w:cs="宋体"/>
                <w:color w:val="auto"/>
                <w:kern w:val="0"/>
                <w:szCs w:val="21"/>
              </w:rPr>
              <w:t xml:space="preserve">SAS_HBA卡, </w:t>
            </w:r>
            <w:r>
              <w:rPr>
                <w:rFonts w:hint="eastAsia" w:ascii="宋体" w:hAnsi="宋体" w:cs="宋体"/>
                <w:color w:val="auto"/>
                <w:kern w:val="0"/>
                <w:szCs w:val="21"/>
              </w:rPr>
              <w:t>支持</w:t>
            </w:r>
            <w:r>
              <w:rPr>
                <w:rFonts w:ascii="宋体" w:hAnsi="宋体" w:cs="宋体"/>
                <w:color w:val="auto"/>
                <w:kern w:val="0"/>
                <w:szCs w:val="21"/>
              </w:rPr>
              <w:t>RAID 0/1/10;</w:t>
            </w:r>
            <w:r>
              <w:rPr>
                <w:rFonts w:ascii="宋体" w:hAnsi="宋体" w:cs="宋体"/>
                <w:color w:val="auto"/>
                <w:kern w:val="0"/>
                <w:szCs w:val="21"/>
              </w:rPr>
              <w:br w:type="textWrapping"/>
            </w:r>
            <w:r>
              <w:rPr>
                <w:rFonts w:ascii="宋体" w:hAnsi="宋体" w:cs="宋体"/>
                <w:color w:val="auto"/>
                <w:kern w:val="0"/>
                <w:szCs w:val="21"/>
              </w:rPr>
              <w:t>PCIE扩展：最大可支持6个PCIe扩展插槽;</w:t>
            </w:r>
            <w:r>
              <w:rPr>
                <w:rFonts w:ascii="宋体" w:hAnsi="宋体" w:cs="宋体"/>
                <w:color w:val="auto"/>
                <w:kern w:val="0"/>
                <w:szCs w:val="21"/>
              </w:rPr>
              <w:br w:type="textWrapping"/>
            </w:r>
            <w:r>
              <w:rPr>
                <w:rFonts w:hint="eastAsia" w:ascii="宋体" w:hAnsi="宋体" w:cs="宋体"/>
                <w:color w:val="auto"/>
                <w:kern w:val="0"/>
                <w:szCs w:val="21"/>
              </w:rPr>
              <w:t>网口：</w:t>
            </w:r>
            <w:r>
              <w:rPr>
                <w:rFonts w:ascii="宋体" w:hAnsi="宋体" w:cs="宋体"/>
                <w:color w:val="auto"/>
                <w:kern w:val="0"/>
                <w:szCs w:val="21"/>
              </w:rPr>
              <w:t>4个</w:t>
            </w:r>
            <w:r>
              <w:rPr>
                <w:rFonts w:hint="eastAsia" w:ascii="宋体" w:hAnsi="宋体" w:cs="宋体"/>
                <w:color w:val="auto"/>
                <w:kern w:val="0"/>
                <w:szCs w:val="21"/>
              </w:rPr>
              <w:t>千兆电口</w:t>
            </w:r>
            <w:r>
              <w:rPr>
                <w:rFonts w:ascii="宋体" w:hAnsi="宋体" w:cs="宋体"/>
                <w:color w:val="auto"/>
                <w:kern w:val="0"/>
                <w:szCs w:val="21"/>
              </w:rPr>
              <w:t>;</w:t>
            </w:r>
            <w:r>
              <w:rPr>
                <w:rFonts w:ascii="宋体" w:hAnsi="宋体" w:cs="宋体"/>
                <w:color w:val="auto"/>
                <w:kern w:val="0"/>
                <w:szCs w:val="21"/>
              </w:rPr>
              <w:br w:type="textWrapping"/>
            </w:r>
            <w:r>
              <w:rPr>
                <w:rFonts w:hint="eastAsia" w:ascii="宋体" w:hAnsi="宋体" w:cs="宋体"/>
                <w:color w:val="auto"/>
                <w:kern w:val="0"/>
                <w:szCs w:val="21"/>
              </w:rPr>
              <w:t>前面板上提供报警指示灯，可以指示机器故障，机箱内部温度过高或系统风扇出现故障时，机箱前面板上的报警灯会有相应的闪烁方式提示管理员，便于管理员快速找到故障部件，迅速排查故障，降低宕机损失；</w:t>
            </w:r>
            <w:r>
              <w:rPr>
                <w:rFonts w:ascii="宋体" w:hAnsi="宋体" w:cs="宋体"/>
                <w:color w:val="auto"/>
                <w:kern w:val="0"/>
                <w:szCs w:val="21"/>
              </w:rPr>
              <w:br w:type="textWrapping"/>
            </w:r>
            <w:r>
              <w:rPr>
                <w:rFonts w:hint="eastAsia" w:ascii="宋体" w:hAnsi="宋体" w:cs="宋体"/>
                <w:color w:val="auto"/>
                <w:kern w:val="0"/>
                <w:szCs w:val="21"/>
              </w:rPr>
              <w:t>提供</w:t>
            </w:r>
            <w:r>
              <w:rPr>
                <w:rFonts w:ascii="宋体" w:hAnsi="宋体" w:cs="宋体"/>
                <w:color w:val="auto"/>
                <w:kern w:val="0"/>
                <w:szCs w:val="21"/>
              </w:rPr>
              <w:t>3年原厂质保。</w:t>
            </w:r>
          </w:p>
        </w:tc>
        <w:tc>
          <w:tcPr>
            <w:tcW w:w="420"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浪潮</w:t>
            </w:r>
          </w:p>
        </w:tc>
        <w:tc>
          <w:tcPr>
            <w:tcW w:w="419" w:type="pct"/>
            <w:tcBorders>
              <w:top w:val="nil"/>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紫光</w:t>
            </w:r>
          </w:p>
        </w:tc>
      </w:tr>
      <w:tr>
        <w:tblPrEx>
          <w:tblCellMar>
            <w:top w:w="0" w:type="dxa"/>
            <w:left w:w="108" w:type="dxa"/>
            <w:bottom w:w="0" w:type="dxa"/>
            <w:right w:w="108" w:type="dxa"/>
          </w:tblCellMar>
        </w:tblPrEx>
        <w:trPr>
          <w:trHeight w:val="1823"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智安小区综合管理平台数据级联服务器</w:t>
            </w:r>
          </w:p>
        </w:tc>
        <w:tc>
          <w:tcPr>
            <w:tcW w:w="383"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w:t>
            </w:r>
          </w:p>
        </w:tc>
        <w:tc>
          <w:tcPr>
            <w:tcW w:w="24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CPU：1颗 HG7380(32核，2.2GHz);</w:t>
            </w:r>
            <w:r>
              <w:rPr>
                <w:rFonts w:ascii="宋体" w:hAnsi="宋体" w:cs="宋体"/>
                <w:color w:val="auto"/>
                <w:kern w:val="0"/>
                <w:szCs w:val="21"/>
              </w:rPr>
              <w:br w:type="textWrapping"/>
            </w:r>
            <w:r>
              <w:rPr>
                <w:rFonts w:hint="eastAsia" w:ascii="宋体" w:hAnsi="宋体" w:cs="宋体"/>
                <w:color w:val="auto"/>
                <w:kern w:val="0"/>
                <w:szCs w:val="21"/>
              </w:rPr>
              <w:t>内存</w:t>
            </w:r>
            <w:r>
              <w:rPr>
                <w:rFonts w:ascii="宋体" w:hAnsi="宋体" w:cs="宋体"/>
                <w:color w:val="auto"/>
                <w:kern w:val="0"/>
                <w:szCs w:val="21"/>
              </w:rPr>
              <w:t xml:space="preserve"> 64G DDR4;</w:t>
            </w:r>
            <w:r>
              <w:rPr>
                <w:rFonts w:ascii="宋体" w:hAnsi="宋体" w:cs="宋体"/>
                <w:color w:val="auto"/>
                <w:kern w:val="0"/>
                <w:szCs w:val="21"/>
              </w:rPr>
              <w:br w:type="textWrapping"/>
            </w:r>
            <w:r>
              <w:rPr>
                <w:rFonts w:hint="eastAsia" w:ascii="宋体" w:hAnsi="宋体" w:cs="宋体"/>
                <w:color w:val="auto"/>
                <w:kern w:val="0"/>
                <w:szCs w:val="21"/>
              </w:rPr>
              <w:t>硬盘：</w:t>
            </w:r>
            <w:r>
              <w:rPr>
                <w:rFonts w:ascii="宋体" w:hAnsi="宋体" w:cs="宋体"/>
                <w:color w:val="auto"/>
                <w:kern w:val="0"/>
                <w:szCs w:val="21"/>
              </w:rPr>
              <w:t>2块600G 10K 2.5寸SAS硬盘;</w:t>
            </w:r>
            <w:r>
              <w:rPr>
                <w:rFonts w:ascii="宋体" w:hAnsi="宋体" w:cs="宋体"/>
                <w:color w:val="auto"/>
                <w:kern w:val="0"/>
                <w:szCs w:val="21"/>
              </w:rPr>
              <w:br w:type="textWrapping"/>
            </w:r>
            <w:r>
              <w:rPr>
                <w:rFonts w:hint="eastAsia" w:ascii="宋体" w:hAnsi="宋体" w:cs="宋体"/>
                <w:color w:val="auto"/>
                <w:kern w:val="0"/>
                <w:szCs w:val="21"/>
              </w:rPr>
              <w:t>阵列卡：</w:t>
            </w:r>
            <w:r>
              <w:rPr>
                <w:rFonts w:ascii="宋体" w:hAnsi="宋体" w:cs="宋体"/>
                <w:color w:val="auto"/>
                <w:kern w:val="0"/>
                <w:szCs w:val="21"/>
              </w:rPr>
              <w:t xml:space="preserve">SAS_HBA卡, </w:t>
            </w:r>
            <w:r>
              <w:rPr>
                <w:rFonts w:hint="eastAsia" w:ascii="宋体" w:hAnsi="宋体" w:cs="宋体"/>
                <w:color w:val="auto"/>
                <w:kern w:val="0"/>
                <w:szCs w:val="21"/>
              </w:rPr>
              <w:t>支持</w:t>
            </w:r>
            <w:r>
              <w:rPr>
                <w:rFonts w:ascii="宋体" w:hAnsi="宋体" w:cs="宋体"/>
                <w:color w:val="auto"/>
                <w:kern w:val="0"/>
                <w:szCs w:val="21"/>
              </w:rPr>
              <w:t>RAID 0/1/10;</w:t>
            </w:r>
            <w:r>
              <w:rPr>
                <w:rFonts w:ascii="宋体" w:hAnsi="宋体" w:cs="宋体"/>
                <w:color w:val="auto"/>
                <w:kern w:val="0"/>
                <w:szCs w:val="21"/>
              </w:rPr>
              <w:br w:type="textWrapping"/>
            </w:r>
            <w:r>
              <w:rPr>
                <w:rFonts w:hint="eastAsia" w:ascii="宋体" w:hAnsi="宋体" w:cs="宋体"/>
                <w:color w:val="auto"/>
                <w:kern w:val="0"/>
                <w:szCs w:val="21"/>
              </w:rPr>
              <w:t>网口：</w:t>
            </w:r>
            <w:r>
              <w:rPr>
                <w:rFonts w:ascii="宋体" w:hAnsi="宋体" w:cs="宋体"/>
                <w:color w:val="auto"/>
                <w:kern w:val="0"/>
                <w:szCs w:val="21"/>
              </w:rPr>
              <w:t>4个</w:t>
            </w:r>
            <w:r>
              <w:rPr>
                <w:rFonts w:hint="eastAsia" w:ascii="宋体" w:hAnsi="宋体" w:cs="宋体"/>
                <w:color w:val="auto"/>
                <w:kern w:val="0"/>
                <w:szCs w:val="21"/>
              </w:rPr>
              <w:t>千兆电口</w:t>
            </w:r>
            <w:r>
              <w:rPr>
                <w:rFonts w:ascii="宋体" w:hAnsi="宋体" w:cs="宋体"/>
                <w:color w:val="auto"/>
                <w:kern w:val="0"/>
                <w:szCs w:val="21"/>
              </w:rPr>
              <w:t>;</w:t>
            </w:r>
            <w:r>
              <w:rPr>
                <w:rFonts w:ascii="宋体" w:hAnsi="宋体" w:cs="宋体"/>
                <w:color w:val="auto"/>
                <w:kern w:val="0"/>
                <w:szCs w:val="21"/>
              </w:rPr>
              <w:br w:type="textWrapping"/>
            </w:r>
            <w:r>
              <w:rPr>
                <w:rFonts w:hint="eastAsia" w:ascii="宋体" w:hAnsi="宋体" w:cs="宋体"/>
                <w:color w:val="auto"/>
                <w:kern w:val="0"/>
                <w:szCs w:val="21"/>
              </w:rPr>
              <w:t>前面板上提供报警指示灯，可以指示机器故障，机箱内部温度过高或系统风扇出现故障时，机箱前面板上的报警灯会有相应的闪烁方式提示管理员，便于管理员快速找到故障部件，迅速排查故障，降低宕机损失；</w:t>
            </w:r>
            <w:r>
              <w:rPr>
                <w:rFonts w:ascii="宋体" w:hAnsi="宋体" w:cs="宋体"/>
                <w:color w:val="auto"/>
                <w:kern w:val="0"/>
                <w:szCs w:val="21"/>
              </w:rPr>
              <w:br w:type="textWrapping"/>
            </w:r>
            <w:r>
              <w:rPr>
                <w:rFonts w:hint="eastAsia" w:ascii="宋体" w:hAnsi="宋体" w:cs="宋体"/>
                <w:color w:val="auto"/>
                <w:kern w:val="0"/>
                <w:szCs w:val="21"/>
              </w:rPr>
              <w:t>提供</w:t>
            </w:r>
            <w:r>
              <w:rPr>
                <w:rFonts w:ascii="宋体" w:hAnsi="宋体" w:cs="宋体"/>
                <w:color w:val="auto"/>
                <w:kern w:val="0"/>
                <w:szCs w:val="21"/>
              </w:rPr>
              <w:t>3年原厂质保。</w:t>
            </w:r>
          </w:p>
        </w:tc>
        <w:tc>
          <w:tcPr>
            <w:tcW w:w="420"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浪潮</w:t>
            </w:r>
          </w:p>
        </w:tc>
        <w:tc>
          <w:tcPr>
            <w:tcW w:w="41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紫光</w:t>
            </w:r>
          </w:p>
        </w:tc>
      </w:tr>
      <w:tr>
        <w:tblPrEx>
          <w:tblCellMar>
            <w:top w:w="0" w:type="dxa"/>
            <w:left w:w="108" w:type="dxa"/>
            <w:bottom w:w="0" w:type="dxa"/>
            <w:right w:w="108" w:type="dxa"/>
          </w:tblCellMar>
        </w:tblPrEx>
        <w:trPr>
          <w:trHeight w:val="1823"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5</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智安小区综合管理平台数据推送服务器</w:t>
            </w:r>
          </w:p>
        </w:tc>
        <w:tc>
          <w:tcPr>
            <w:tcW w:w="383"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w:t>
            </w:r>
          </w:p>
        </w:tc>
        <w:tc>
          <w:tcPr>
            <w:tcW w:w="24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CPU：1颗 HG7380(32核，2.2GHz);</w:t>
            </w:r>
            <w:r>
              <w:rPr>
                <w:rFonts w:ascii="宋体" w:hAnsi="宋体" w:cs="宋体"/>
                <w:color w:val="auto"/>
                <w:kern w:val="0"/>
                <w:szCs w:val="21"/>
              </w:rPr>
              <w:br w:type="textWrapping"/>
            </w:r>
            <w:r>
              <w:rPr>
                <w:rFonts w:hint="eastAsia" w:ascii="宋体" w:hAnsi="宋体" w:cs="宋体"/>
                <w:color w:val="auto"/>
                <w:kern w:val="0"/>
                <w:szCs w:val="21"/>
              </w:rPr>
              <w:t>内存</w:t>
            </w:r>
            <w:r>
              <w:rPr>
                <w:rFonts w:ascii="宋体" w:hAnsi="宋体" w:cs="宋体"/>
                <w:color w:val="auto"/>
                <w:kern w:val="0"/>
                <w:szCs w:val="21"/>
              </w:rPr>
              <w:t xml:space="preserve"> 64G DDR4;</w:t>
            </w:r>
            <w:r>
              <w:rPr>
                <w:rFonts w:ascii="宋体" w:hAnsi="宋体" w:cs="宋体"/>
                <w:color w:val="auto"/>
                <w:kern w:val="0"/>
                <w:szCs w:val="21"/>
              </w:rPr>
              <w:br w:type="textWrapping"/>
            </w:r>
            <w:r>
              <w:rPr>
                <w:rFonts w:hint="eastAsia" w:ascii="宋体" w:hAnsi="宋体" w:cs="宋体"/>
                <w:color w:val="auto"/>
                <w:kern w:val="0"/>
                <w:szCs w:val="21"/>
              </w:rPr>
              <w:t>硬盘：</w:t>
            </w:r>
            <w:r>
              <w:rPr>
                <w:rFonts w:ascii="宋体" w:hAnsi="宋体" w:cs="宋体"/>
                <w:color w:val="auto"/>
                <w:kern w:val="0"/>
                <w:szCs w:val="21"/>
              </w:rPr>
              <w:t>2块600G 10K 2.5寸SAS硬盘;</w:t>
            </w:r>
            <w:r>
              <w:rPr>
                <w:rFonts w:ascii="宋体" w:hAnsi="宋体" w:cs="宋体"/>
                <w:color w:val="auto"/>
                <w:kern w:val="0"/>
                <w:szCs w:val="21"/>
              </w:rPr>
              <w:br w:type="textWrapping"/>
            </w:r>
            <w:r>
              <w:rPr>
                <w:rFonts w:hint="eastAsia" w:ascii="宋体" w:hAnsi="宋体" w:cs="宋体"/>
                <w:color w:val="auto"/>
                <w:kern w:val="0"/>
                <w:szCs w:val="21"/>
              </w:rPr>
              <w:t>阵列卡：</w:t>
            </w:r>
            <w:r>
              <w:rPr>
                <w:rFonts w:ascii="宋体" w:hAnsi="宋体" w:cs="宋体"/>
                <w:color w:val="auto"/>
                <w:kern w:val="0"/>
                <w:szCs w:val="21"/>
              </w:rPr>
              <w:t xml:space="preserve">SAS_HBA卡, </w:t>
            </w:r>
            <w:r>
              <w:rPr>
                <w:rFonts w:hint="eastAsia" w:ascii="宋体" w:hAnsi="宋体" w:cs="宋体"/>
                <w:color w:val="auto"/>
                <w:kern w:val="0"/>
                <w:szCs w:val="21"/>
              </w:rPr>
              <w:t>支持</w:t>
            </w:r>
            <w:r>
              <w:rPr>
                <w:rFonts w:ascii="宋体" w:hAnsi="宋体" w:cs="宋体"/>
                <w:color w:val="auto"/>
                <w:kern w:val="0"/>
                <w:szCs w:val="21"/>
              </w:rPr>
              <w:t>RAID 0/1/10;</w:t>
            </w:r>
            <w:r>
              <w:rPr>
                <w:rFonts w:ascii="宋体" w:hAnsi="宋体" w:cs="宋体"/>
                <w:color w:val="auto"/>
                <w:kern w:val="0"/>
                <w:szCs w:val="21"/>
              </w:rPr>
              <w:br w:type="textWrapping"/>
            </w:r>
            <w:r>
              <w:rPr>
                <w:rFonts w:hint="eastAsia" w:ascii="宋体" w:hAnsi="宋体" w:cs="宋体"/>
                <w:color w:val="auto"/>
                <w:kern w:val="0"/>
                <w:szCs w:val="21"/>
              </w:rPr>
              <w:t>网口：</w:t>
            </w:r>
            <w:r>
              <w:rPr>
                <w:rFonts w:ascii="宋体" w:hAnsi="宋体" w:cs="宋体"/>
                <w:color w:val="auto"/>
                <w:kern w:val="0"/>
                <w:szCs w:val="21"/>
              </w:rPr>
              <w:t>4个</w:t>
            </w:r>
            <w:r>
              <w:rPr>
                <w:rFonts w:hint="eastAsia" w:ascii="宋体" w:hAnsi="宋体" w:cs="宋体"/>
                <w:color w:val="auto"/>
                <w:kern w:val="0"/>
                <w:szCs w:val="21"/>
              </w:rPr>
              <w:t>千兆电口</w:t>
            </w:r>
            <w:r>
              <w:rPr>
                <w:rFonts w:ascii="宋体" w:hAnsi="宋体" w:cs="宋体"/>
                <w:color w:val="auto"/>
                <w:kern w:val="0"/>
                <w:szCs w:val="21"/>
              </w:rPr>
              <w:t>;</w:t>
            </w:r>
            <w:r>
              <w:rPr>
                <w:rFonts w:ascii="宋体" w:hAnsi="宋体" w:cs="宋体"/>
                <w:color w:val="auto"/>
                <w:kern w:val="0"/>
                <w:szCs w:val="21"/>
              </w:rPr>
              <w:br w:type="textWrapping"/>
            </w:r>
            <w:r>
              <w:rPr>
                <w:rFonts w:hint="eastAsia" w:ascii="宋体" w:hAnsi="宋体" w:cs="宋体"/>
                <w:color w:val="auto"/>
                <w:kern w:val="0"/>
                <w:szCs w:val="21"/>
              </w:rPr>
              <w:t>前面板上提供报警指示灯，可以指示机器故障，机箱内部温度过高或系统风扇出现故障时，机箱前面板上的报警灯会有相应的闪烁方式提示管理员，便于管理员快速找到故障部件，迅速排查故障，降低宕机损失；</w:t>
            </w:r>
            <w:r>
              <w:rPr>
                <w:rFonts w:ascii="宋体" w:hAnsi="宋体" w:cs="宋体"/>
                <w:color w:val="auto"/>
                <w:kern w:val="0"/>
                <w:szCs w:val="21"/>
              </w:rPr>
              <w:br w:type="textWrapping"/>
            </w:r>
            <w:r>
              <w:rPr>
                <w:rFonts w:hint="eastAsia" w:ascii="宋体" w:hAnsi="宋体" w:cs="宋体"/>
                <w:color w:val="auto"/>
                <w:kern w:val="0"/>
                <w:szCs w:val="21"/>
              </w:rPr>
              <w:t>提供</w:t>
            </w:r>
            <w:r>
              <w:rPr>
                <w:rFonts w:ascii="宋体" w:hAnsi="宋体" w:cs="宋体"/>
                <w:color w:val="auto"/>
                <w:kern w:val="0"/>
                <w:szCs w:val="21"/>
              </w:rPr>
              <w:t>3年原厂质保。</w:t>
            </w:r>
          </w:p>
        </w:tc>
        <w:tc>
          <w:tcPr>
            <w:tcW w:w="420"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浪潮</w:t>
            </w:r>
          </w:p>
        </w:tc>
        <w:tc>
          <w:tcPr>
            <w:tcW w:w="41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紫光</w:t>
            </w:r>
          </w:p>
        </w:tc>
      </w:tr>
      <w:tr>
        <w:tblPrEx>
          <w:tblCellMar>
            <w:top w:w="0" w:type="dxa"/>
            <w:left w:w="108" w:type="dxa"/>
            <w:bottom w:w="0" w:type="dxa"/>
            <w:right w:w="108" w:type="dxa"/>
          </w:tblCellMar>
        </w:tblPrEx>
        <w:trPr>
          <w:trHeight w:val="1013"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6</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小区管理一体机（含服务器）</w:t>
            </w:r>
          </w:p>
        </w:tc>
        <w:tc>
          <w:tcPr>
            <w:tcW w:w="383"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基于智能物联的综合业务管理平台软件</w:t>
            </w:r>
            <w:r>
              <w:rPr>
                <w:rFonts w:ascii="宋体" w:hAnsi="宋体" w:cs="宋体"/>
                <w:color w:val="auto"/>
                <w:kern w:val="0"/>
                <w:szCs w:val="21"/>
              </w:rPr>
              <w:br w:type="textWrapping"/>
            </w:r>
            <w:r>
              <w:rPr>
                <w:rFonts w:hint="eastAsia" w:ascii="宋体" w:hAnsi="宋体" w:cs="宋体"/>
                <w:color w:val="auto"/>
                <w:kern w:val="0"/>
                <w:szCs w:val="21"/>
              </w:rPr>
              <w:t>处理器：</w:t>
            </w:r>
            <w:r>
              <w:rPr>
                <w:rFonts w:ascii="宋体" w:hAnsi="宋体" w:cs="宋体"/>
                <w:color w:val="auto"/>
                <w:kern w:val="0"/>
                <w:szCs w:val="21"/>
              </w:rPr>
              <w:t>1*Intel Xeon 3106 1.7G 8C；</w:t>
            </w:r>
            <w:r>
              <w:rPr>
                <w:rFonts w:ascii="宋体" w:hAnsi="宋体" w:cs="宋体"/>
                <w:color w:val="auto"/>
                <w:kern w:val="0"/>
                <w:szCs w:val="21"/>
              </w:rPr>
              <w:br w:type="textWrapping"/>
            </w:r>
            <w:r>
              <w:rPr>
                <w:rFonts w:hint="eastAsia" w:ascii="宋体" w:hAnsi="宋体" w:cs="宋体"/>
                <w:color w:val="auto"/>
                <w:kern w:val="0"/>
                <w:szCs w:val="21"/>
              </w:rPr>
              <w:t>内存：</w:t>
            </w:r>
            <w:r>
              <w:rPr>
                <w:rFonts w:ascii="宋体" w:hAnsi="宋体" w:cs="宋体"/>
                <w:color w:val="auto"/>
                <w:kern w:val="0"/>
                <w:szCs w:val="21"/>
              </w:rPr>
              <w:t xml:space="preserve">16GB 2666*2 </w:t>
            </w:r>
            <w:r>
              <w:rPr>
                <w:rFonts w:hint="eastAsia" w:ascii="宋体" w:hAnsi="宋体" w:cs="宋体"/>
                <w:color w:val="auto"/>
                <w:kern w:val="0"/>
                <w:szCs w:val="21"/>
              </w:rPr>
              <w:t>最多支持</w:t>
            </w:r>
            <w:r>
              <w:rPr>
                <w:rFonts w:ascii="宋体" w:hAnsi="宋体" w:cs="宋体"/>
                <w:color w:val="auto"/>
                <w:kern w:val="0"/>
                <w:szCs w:val="21"/>
              </w:rPr>
              <w:t xml:space="preserve">24根DDR4内存条 </w:t>
            </w:r>
            <w:r>
              <w:rPr>
                <w:rFonts w:hint="eastAsia" w:ascii="宋体" w:hAnsi="宋体" w:cs="宋体"/>
                <w:color w:val="auto"/>
                <w:kern w:val="0"/>
                <w:szCs w:val="21"/>
              </w:rPr>
              <w:t>支持的单根</w:t>
            </w:r>
            <w:r>
              <w:rPr>
                <w:rFonts w:ascii="宋体" w:hAnsi="宋体" w:cs="宋体"/>
                <w:color w:val="auto"/>
                <w:kern w:val="0"/>
                <w:szCs w:val="21"/>
              </w:rPr>
              <w:t xml:space="preserve">DIMM容量：8GB、16GB和32GB；硬盘：数量、尺寸、容量、扩展性、槽位数等；2*2TB 3.5寸硬盘 8LFF </w:t>
            </w:r>
            <w:r>
              <w:rPr>
                <w:rFonts w:hint="eastAsia" w:ascii="宋体" w:hAnsi="宋体" w:cs="宋体"/>
                <w:color w:val="auto"/>
                <w:kern w:val="0"/>
                <w:szCs w:val="21"/>
              </w:rPr>
              <w:t>硬盘机型：</w:t>
            </w:r>
          </w:p>
        </w:tc>
        <w:tc>
          <w:tcPr>
            <w:tcW w:w="420"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海康威视</w:t>
            </w:r>
          </w:p>
        </w:tc>
        <w:tc>
          <w:tcPr>
            <w:tcW w:w="420"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大华</w:t>
            </w:r>
          </w:p>
        </w:tc>
        <w:tc>
          <w:tcPr>
            <w:tcW w:w="419"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宇视</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六</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运行维护</w:t>
            </w:r>
          </w:p>
        </w:tc>
        <w:tc>
          <w:tcPr>
            <w:tcW w:w="38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2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s="宋体"/>
                <w:color w:val="auto"/>
                <w:kern w:val="0"/>
                <w:szCs w:val="21"/>
              </w:rPr>
            </w:pPr>
            <w:r>
              <w:rPr>
                <w:rFonts w:hint="eastAsia" w:ascii="等线" w:hAnsi="等线" w:eastAsia="等线" w:cs="宋体"/>
                <w:color w:val="auto"/>
                <w:kern w:val="0"/>
                <w:szCs w:val="21"/>
              </w:rPr>
              <w:t>　</w:t>
            </w:r>
          </w:p>
        </w:tc>
        <w:tc>
          <w:tcPr>
            <w:tcW w:w="42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2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41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设备电费</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项</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小区前端物联接入设备三年用电费</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40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2</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智安小区汇聚专网到街镇</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18</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条</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租赁运营商</w:t>
            </w:r>
            <w:r>
              <w:rPr>
                <w:rFonts w:ascii="宋体" w:hAnsi="宋体" w:cs="宋体"/>
                <w:color w:val="auto"/>
                <w:kern w:val="0"/>
                <w:szCs w:val="21"/>
              </w:rPr>
              <w:t>VPN链路，不低于50M；含3年链路租赁费</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60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3</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智安小区汇聚专网到社会面专网、电子政务网专线</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3</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条</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智安小区汇聚专网到社会面视图汇聚专网、电子政务网专线专线，不低于</w:t>
            </w:r>
            <w:r>
              <w:rPr>
                <w:rFonts w:ascii="宋体" w:hAnsi="宋体" w:cs="宋体"/>
                <w:color w:val="auto"/>
                <w:kern w:val="0"/>
                <w:szCs w:val="21"/>
              </w:rPr>
              <w:t>1000M；含3年链路租赁费</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27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巡更</w:t>
            </w:r>
            <w:r>
              <w:rPr>
                <w:rFonts w:ascii="宋体" w:hAnsi="宋体" w:cs="宋体"/>
                <w:color w:val="auto"/>
                <w:kern w:val="0"/>
                <w:szCs w:val="21"/>
              </w:rPr>
              <w:t>4G卡</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53</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张</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4个卡流量不低于10G；含三年4G卡流量费</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608"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5</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机柜租赁费</w:t>
            </w:r>
            <w:r>
              <w:rPr>
                <w:rFonts w:ascii="宋体" w:hAnsi="宋体" w:cs="宋体"/>
                <w:color w:val="auto"/>
                <w:kern w:val="0"/>
                <w:szCs w:val="21"/>
              </w:rPr>
              <w:t>-运营商机房</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4</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个</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提供</w:t>
            </w:r>
            <w:r>
              <w:rPr>
                <w:rFonts w:ascii="宋体" w:hAnsi="宋体" w:cs="宋体"/>
                <w:color w:val="auto"/>
                <w:kern w:val="0"/>
                <w:szCs w:val="21"/>
              </w:rPr>
              <w:t>42U标准机柜租赁服务；机房</w:t>
            </w:r>
            <w:r>
              <w:rPr>
                <w:rFonts w:hint="eastAsia" w:ascii="宋体" w:hAnsi="宋体" w:cs="宋体"/>
                <w:color w:val="auto"/>
                <w:kern w:val="0"/>
                <w:szCs w:val="21"/>
              </w:rPr>
              <w:t>满足国密技术要求的门禁系统及视频监控系统，机房运维，以及符合等保要求的安全防护和机房环境；含</w:t>
            </w:r>
            <w:r>
              <w:rPr>
                <w:rFonts w:ascii="宋体" w:hAnsi="宋体" w:cs="宋体"/>
                <w:color w:val="auto"/>
                <w:kern w:val="0"/>
                <w:szCs w:val="21"/>
              </w:rPr>
              <w:t>3年机柜租赁费</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2025" w:hRule="atLeast"/>
        </w:trPr>
        <w:tc>
          <w:tcPr>
            <w:tcW w:w="29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6</w:t>
            </w:r>
          </w:p>
        </w:tc>
        <w:tc>
          <w:tcPr>
            <w:tcW w:w="6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技术运维费</w:t>
            </w:r>
          </w:p>
        </w:tc>
        <w:tc>
          <w:tcPr>
            <w:tcW w:w="38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ascii="宋体" w:hAnsi="宋体" w:cs="宋体"/>
                <w:color w:val="auto"/>
                <w:kern w:val="0"/>
                <w:szCs w:val="21"/>
              </w:rPr>
              <w:t>1</w:t>
            </w:r>
          </w:p>
        </w:tc>
        <w:tc>
          <w:tcPr>
            <w:tcW w:w="24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项</w:t>
            </w:r>
          </w:p>
        </w:tc>
        <w:tc>
          <w:tcPr>
            <w:tcW w:w="211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ascii="宋体" w:hAnsi="宋体" w:cs="宋体"/>
                <w:color w:val="auto"/>
                <w:kern w:val="0"/>
                <w:szCs w:val="21"/>
              </w:rPr>
              <w:t>3年的技术运维费</w:t>
            </w:r>
            <w:r>
              <w:rPr>
                <w:rFonts w:ascii="宋体" w:hAnsi="宋体" w:cs="宋体"/>
                <w:color w:val="auto"/>
                <w:kern w:val="0"/>
                <w:szCs w:val="21"/>
              </w:rPr>
              <w:br w:type="textWrapping"/>
            </w:r>
            <w:r>
              <w:rPr>
                <w:rFonts w:ascii="宋体" w:hAnsi="宋体" w:cs="宋体"/>
                <w:color w:val="auto"/>
                <w:kern w:val="0"/>
                <w:szCs w:val="21"/>
              </w:rPr>
              <w:t>1、两名专业运</w:t>
            </w:r>
            <w:r>
              <w:rPr>
                <w:rFonts w:hint="eastAsia" w:ascii="宋体" w:hAnsi="宋体" w:cs="宋体"/>
                <w:color w:val="auto"/>
                <w:kern w:val="0"/>
                <w:szCs w:val="21"/>
              </w:rPr>
              <w:t>维人员驻场，提供</w:t>
            </w:r>
            <w:r>
              <w:rPr>
                <w:rFonts w:ascii="宋体" w:hAnsi="宋体" w:cs="宋体"/>
                <w:color w:val="auto"/>
                <w:kern w:val="0"/>
                <w:szCs w:val="21"/>
              </w:rPr>
              <w:t>7*24小时软硬件和系统支持服务；</w:t>
            </w:r>
            <w:r>
              <w:rPr>
                <w:rFonts w:ascii="宋体" w:hAnsi="宋体" w:cs="宋体"/>
                <w:color w:val="auto"/>
                <w:kern w:val="0"/>
                <w:szCs w:val="21"/>
              </w:rPr>
              <w:br w:type="textWrapping"/>
            </w:r>
            <w:r>
              <w:rPr>
                <w:rFonts w:ascii="宋体" w:hAnsi="宋体" w:cs="宋体"/>
                <w:color w:val="auto"/>
                <w:kern w:val="0"/>
                <w:szCs w:val="21"/>
              </w:rPr>
              <w:t>2、提供以下技术服务：</w:t>
            </w:r>
            <w:r>
              <w:rPr>
                <w:rFonts w:ascii="宋体" w:hAnsi="宋体" w:cs="宋体"/>
                <w:color w:val="auto"/>
                <w:kern w:val="0"/>
                <w:szCs w:val="21"/>
              </w:rPr>
              <w:br w:type="textWrapping"/>
            </w:r>
            <w:r>
              <w:rPr>
                <w:rFonts w:hint="eastAsia" w:ascii="宋体" w:hAnsi="宋体" w:cs="宋体"/>
                <w:color w:val="auto"/>
                <w:kern w:val="0"/>
                <w:szCs w:val="21"/>
              </w:rPr>
              <w:t>①对每个监控点建立日志、档案，并详细记录每天的运行情况，保障视频图像完好率、在线率不低于</w:t>
            </w:r>
            <w:r>
              <w:rPr>
                <w:rFonts w:ascii="宋体" w:hAnsi="宋体" w:cs="宋体"/>
                <w:color w:val="auto"/>
                <w:kern w:val="0"/>
                <w:szCs w:val="21"/>
              </w:rPr>
              <w:t>95%；</w:t>
            </w:r>
            <w:r>
              <w:rPr>
                <w:rFonts w:ascii="宋体" w:hAnsi="宋体" w:cs="宋体"/>
                <w:color w:val="auto"/>
                <w:kern w:val="0"/>
                <w:szCs w:val="21"/>
              </w:rPr>
              <w:br w:type="textWrapping"/>
            </w:r>
            <w:r>
              <w:rPr>
                <w:rFonts w:hint="eastAsia" w:ascii="宋体" w:hAnsi="宋体" w:cs="宋体"/>
                <w:color w:val="auto"/>
                <w:kern w:val="0"/>
                <w:szCs w:val="21"/>
              </w:rPr>
              <w:t>②定期巡检（监控主机、存储主机运行状态、性能变化；机箱、镜头、护罩等除尘；</w:t>
            </w:r>
            <w:r>
              <w:rPr>
                <w:rFonts w:ascii="宋体" w:hAnsi="宋体" w:cs="宋体"/>
                <w:color w:val="auto"/>
                <w:kern w:val="0"/>
                <w:szCs w:val="21"/>
              </w:rPr>
              <w:br w:type="textWrapping"/>
            </w:r>
            <w:r>
              <w:rPr>
                <w:rFonts w:hint="eastAsia" w:ascii="宋体" w:hAnsi="宋体" w:cs="宋体"/>
                <w:color w:val="auto"/>
                <w:kern w:val="0"/>
                <w:szCs w:val="21"/>
              </w:rPr>
              <w:t>③摄像机取景范围的调整，补光灯亮度调整，摄像头树木遮挡剪修，管道、线缆的检查等并解决存在的问题、网络系统及平台服务器的巡检），每季度不少于</w:t>
            </w:r>
            <w:r>
              <w:rPr>
                <w:rFonts w:ascii="宋体" w:hAnsi="宋体" w:cs="宋体"/>
                <w:color w:val="auto"/>
                <w:kern w:val="0"/>
                <w:szCs w:val="21"/>
              </w:rPr>
              <w:t>1次，并在完成后7日内提供巡检报告。</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2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c>
          <w:tcPr>
            <w:tcW w:w="41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定制</w:t>
            </w:r>
          </w:p>
        </w:tc>
      </w:tr>
      <w:tr>
        <w:tblPrEx>
          <w:tblCellMar>
            <w:top w:w="0" w:type="dxa"/>
            <w:left w:w="108" w:type="dxa"/>
            <w:bottom w:w="0" w:type="dxa"/>
            <w:right w:w="108" w:type="dxa"/>
          </w:tblCellMar>
        </w:tblPrEx>
        <w:trPr>
          <w:trHeight w:val="40" w:hRule="atLeast"/>
        </w:trPr>
        <w:tc>
          <w:tcPr>
            <w:tcW w:w="29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七</w:t>
            </w:r>
          </w:p>
        </w:tc>
        <w:tc>
          <w:tcPr>
            <w:tcW w:w="694"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系统集成费</w:t>
            </w:r>
          </w:p>
        </w:tc>
        <w:tc>
          <w:tcPr>
            <w:tcW w:w="38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2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项</w:t>
            </w:r>
          </w:p>
        </w:tc>
        <w:tc>
          <w:tcPr>
            <w:tcW w:w="2117"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p>
        </w:tc>
        <w:tc>
          <w:tcPr>
            <w:tcW w:w="42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Cs w:val="21"/>
              </w:rPr>
            </w:pPr>
          </w:p>
        </w:tc>
        <w:tc>
          <w:tcPr>
            <w:tcW w:w="42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Cs w:val="21"/>
              </w:rPr>
            </w:pPr>
          </w:p>
        </w:tc>
        <w:tc>
          <w:tcPr>
            <w:tcW w:w="41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Cs w:val="21"/>
              </w:rPr>
            </w:pPr>
          </w:p>
        </w:tc>
      </w:tr>
      <w:tr>
        <w:tblPrEx>
          <w:tblCellMar>
            <w:top w:w="0" w:type="dxa"/>
            <w:left w:w="108" w:type="dxa"/>
            <w:bottom w:w="0" w:type="dxa"/>
            <w:right w:w="108" w:type="dxa"/>
          </w:tblCellMar>
        </w:tblPrEx>
        <w:trPr>
          <w:trHeight w:val="50" w:hRule="atLeast"/>
        </w:trPr>
        <w:tc>
          <w:tcPr>
            <w:tcW w:w="29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八</w:t>
            </w:r>
          </w:p>
        </w:tc>
        <w:tc>
          <w:tcPr>
            <w:tcW w:w="694"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预备费</w:t>
            </w:r>
          </w:p>
        </w:tc>
        <w:tc>
          <w:tcPr>
            <w:tcW w:w="38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2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项</w:t>
            </w:r>
          </w:p>
        </w:tc>
        <w:tc>
          <w:tcPr>
            <w:tcW w:w="2117"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最高招标限价中的预备费为不可竞争费用</w:t>
            </w:r>
          </w:p>
        </w:tc>
        <w:tc>
          <w:tcPr>
            <w:tcW w:w="42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Cs w:val="21"/>
              </w:rPr>
            </w:pPr>
          </w:p>
        </w:tc>
        <w:tc>
          <w:tcPr>
            <w:tcW w:w="42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Cs w:val="21"/>
              </w:rPr>
            </w:pPr>
          </w:p>
        </w:tc>
        <w:tc>
          <w:tcPr>
            <w:tcW w:w="41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Cs w:val="21"/>
              </w:rPr>
            </w:pPr>
          </w:p>
        </w:tc>
      </w:tr>
    </w:tbl>
    <w:p>
      <w:pPr>
        <w:rPr>
          <w:color w:val="auto"/>
        </w:rPr>
      </w:pPr>
    </w:p>
    <w:p>
      <w:pPr>
        <w:pStyle w:val="180"/>
        <w:ind w:firstLine="0" w:firstLineChars="0"/>
        <w:rPr>
          <w:color w:val="auto"/>
          <w:sz w:val="21"/>
          <w:szCs w:val="21"/>
        </w:rPr>
        <w:sectPr>
          <w:pgSz w:w="16838" w:h="11906" w:orient="landscape"/>
          <w:pgMar w:top="1620" w:right="1258" w:bottom="1286" w:left="1361" w:header="709" w:footer="971" w:gutter="0"/>
          <w:cols w:space="720" w:num="1"/>
          <w:docGrid w:linePitch="360" w:charSpace="0"/>
        </w:sectPr>
      </w:pPr>
    </w:p>
    <w:p>
      <w:pPr>
        <w:pStyle w:val="5"/>
        <w:rPr>
          <w:rFonts w:ascii="宋体" w:hAnsi="宋体"/>
          <w:color w:val="auto"/>
          <w:sz w:val="21"/>
          <w:szCs w:val="21"/>
        </w:rPr>
      </w:pPr>
      <w:r>
        <w:rPr>
          <w:rFonts w:hint="eastAsia" w:ascii="宋体" w:hAnsi="宋体"/>
          <w:color w:val="auto"/>
          <w:sz w:val="21"/>
          <w:szCs w:val="21"/>
        </w:rPr>
        <w:t>四、拟建设小区点位清单详表</w:t>
      </w:r>
    </w:p>
    <w:p>
      <w:pPr>
        <w:spacing w:line="360" w:lineRule="auto"/>
        <w:ind w:firstLine="420" w:firstLineChars="200"/>
        <w:rPr>
          <w:rFonts w:ascii="宋体" w:hAnsi="宋体"/>
          <w:color w:val="auto"/>
          <w:szCs w:val="21"/>
        </w:rPr>
      </w:pPr>
      <w:r>
        <w:rPr>
          <w:rFonts w:hint="eastAsia" w:ascii="宋体" w:hAnsi="宋体"/>
          <w:color w:val="auto"/>
          <w:szCs w:val="21"/>
        </w:rPr>
        <w:t>具体4</w:t>
      </w:r>
      <w:r>
        <w:rPr>
          <w:rFonts w:ascii="宋体" w:hAnsi="宋体"/>
          <w:color w:val="auto"/>
          <w:szCs w:val="21"/>
        </w:rPr>
        <w:t>07</w:t>
      </w:r>
      <w:r>
        <w:rPr>
          <w:rFonts w:hint="eastAsia" w:ascii="宋体" w:hAnsi="宋体"/>
          <w:color w:val="auto"/>
          <w:szCs w:val="21"/>
        </w:rPr>
        <w:t>个小区的布点数量汇总详见：《附件：建设点位清单详表》，供应商在完成招标文件下载后，向采购代理机构自行领取；联系人：</w:t>
      </w:r>
      <w:r>
        <w:rPr>
          <w:rFonts w:hint="eastAsia" w:ascii="宋体" w:hAnsi="宋体" w:cs="宋体"/>
          <w:color w:val="auto"/>
          <w:kern w:val="0"/>
          <w:szCs w:val="21"/>
        </w:rPr>
        <w:t>岳旷怡</w:t>
      </w:r>
      <w:r>
        <w:rPr>
          <w:rFonts w:hint="eastAsia" w:ascii="宋体" w:hAnsi="宋体"/>
          <w:color w:val="auto"/>
          <w:szCs w:val="21"/>
        </w:rPr>
        <w:t>，联系电话：</w:t>
      </w:r>
      <w:r>
        <w:rPr>
          <w:rFonts w:ascii="宋体" w:hAnsi="宋体"/>
          <w:color w:val="auto"/>
          <w:szCs w:val="21"/>
        </w:rPr>
        <w:t>0574-87360849</w:t>
      </w:r>
      <w:r>
        <w:rPr>
          <w:rFonts w:hint="eastAsia" w:ascii="宋体" w:hAnsi="宋体"/>
          <w:color w:val="auto"/>
          <w:szCs w:val="21"/>
        </w:rPr>
        <w:t>。</w:t>
      </w:r>
    </w:p>
    <w:p>
      <w:pPr>
        <w:pStyle w:val="5"/>
        <w:rPr>
          <w:rFonts w:ascii="宋体" w:hAnsi="宋体"/>
          <w:color w:val="auto"/>
          <w:sz w:val="21"/>
          <w:szCs w:val="21"/>
        </w:rPr>
      </w:pPr>
      <w:r>
        <w:rPr>
          <w:rFonts w:hint="eastAsia" w:ascii="宋体" w:hAnsi="宋体"/>
          <w:color w:val="auto"/>
          <w:sz w:val="21"/>
          <w:szCs w:val="21"/>
        </w:rPr>
        <w:t>五、施工及运维要求</w:t>
      </w:r>
    </w:p>
    <w:p>
      <w:pPr>
        <w:pStyle w:val="7"/>
        <w:rPr>
          <w:rFonts w:ascii="宋体" w:hAnsi="宋体" w:eastAsia="宋体"/>
          <w:color w:val="auto"/>
          <w:sz w:val="21"/>
          <w:szCs w:val="21"/>
        </w:rPr>
      </w:pPr>
      <w:r>
        <w:rPr>
          <w:rFonts w:hint="eastAsia" w:ascii="宋体" w:hAnsi="宋体" w:eastAsia="宋体"/>
          <w:color w:val="auto"/>
          <w:sz w:val="21"/>
          <w:szCs w:val="21"/>
        </w:rPr>
        <w:t>1、进度要求</w:t>
      </w:r>
    </w:p>
    <w:p>
      <w:pPr>
        <w:spacing w:line="360" w:lineRule="auto"/>
        <w:ind w:firstLine="420" w:firstLineChars="200"/>
        <w:rPr>
          <w:rFonts w:ascii="宋体" w:hAnsi="宋体"/>
          <w:color w:val="auto"/>
          <w:szCs w:val="21"/>
        </w:rPr>
      </w:pPr>
      <w:r>
        <w:rPr>
          <w:rFonts w:hint="eastAsia" w:ascii="宋体" w:hAnsi="宋体"/>
          <w:color w:val="auto"/>
          <w:szCs w:val="21"/>
        </w:rPr>
        <w:t>自合同签订之日起至202</w:t>
      </w:r>
      <w:r>
        <w:rPr>
          <w:rFonts w:ascii="宋体" w:hAnsi="宋体"/>
          <w:color w:val="auto"/>
          <w:szCs w:val="21"/>
        </w:rPr>
        <w:t>3</w:t>
      </w:r>
      <w:r>
        <w:rPr>
          <w:rFonts w:hint="eastAsia" w:ascii="宋体" w:hAnsi="宋体"/>
          <w:color w:val="auto"/>
          <w:szCs w:val="21"/>
        </w:rPr>
        <w:t>年</w:t>
      </w:r>
      <w:r>
        <w:rPr>
          <w:rFonts w:ascii="宋体" w:hAnsi="宋体"/>
          <w:color w:val="auto"/>
          <w:szCs w:val="21"/>
        </w:rPr>
        <w:t>11</w:t>
      </w:r>
      <w:r>
        <w:rPr>
          <w:rFonts w:hint="eastAsia" w:ascii="宋体" w:hAnsi="宋体"/>
          <w:color w:val="auto"/>
          <w:szCs w:val="21"/>
        </w:rPr>
        <w:t>月底完成项目竣工验收。</w:t>
      </w:r>
    </w:p>
    <w:p>
      <w:pPr>
        <w:spacing w:line="360" w:lineRule="auto"/>
        <w:ind w:firstLine="420" w:firstLineChars="200"/>
        <w:rPr>
          <w:rFonts w:ascii="宋体" w:hAnsi="宋体"/>
          <w:color w:val="auto"/>
          <w:szCs w:val="21"/>
        </w:rPr>
      </w:pPr>
      <w:r>
        <w:rPr>
          <w:rFonts w:hint="eastAsia" w:ascii="宋体" w:hAnsi="宋体"/>
          <w:color w:val="auto"/>
          <w:szCs w:val="21"/>
        </w:rPr>
        <w:t>投标人应按照上述时间安排，制定相应的项目实施详细进度计划，确定每个实施阶段的时间表及工作目标。</w:t>
      </w:r>
    </w:p>
    <w:p>
      <w:pPr>
        <w:pStyle w:val="7"/>
        <w:rPr>
          <w:rFonts w:ascii="宋体" w:hAnsi="宋体" w:eastAsia="宋体"/>
          <w:color w:val="auto"/>
          <w:sz w:val="21"/>
          <w:szCs w:val="21"/>
        </w:rPr>
      </w:pPr>
      <w:r>
        <w:rPr>
          <w:rFonts w:hint="eastAsia" w:ascii="宋体" w:hAnsi="宋体" w:eastAsia="宋体"/>
          <w:color w:val="auto"/>
          <w:sz w:val="21"/>
          <w:szCs w:val="21"/>
        </w:rPr>
        <w:t>2、施工要求</w:t>
      </w:r>
    </w:p>
    <w:p>
      <w:pPr>
        <w:spacing w:line="360" w:lineRule="auto"/>
        <w:ind w:firstLine="420" w:firstLineChars="200"/>
        <w:rPr>
          <w:rFonts w:ascii="宋体" w:hAnsi="宋体"/>
          <w:color w:val="auto"/>
          <w:szCs w:val="21"/>
        </w:rPr>
      </w:pPr>
      <w:r>
        <w:rPr>
          <w:rFonts w:hint="eastAsia" w:ascii="宋体" w:hAnsi="宋体"/>
          <w:color w:val="auto"/>
          <w:szCs w:val="21"/>
        </w:rPr>
        <w:t>室外施工应严格按照文明施工的要求，基础开挖应提前与小区物业沟通，施工现场应设置警示标识，施工完成后应对现场绿化或铺装进行复原。</w:t>
      </w:r>
    </w:p>
    <w:p>
      <w:pPr>
        <w:spacing w:line="360" w:lineRule="auto"/>
        <w:ind w:firstLine="420" w:firstLineChars="200"/>
        <w:rPr>
          <w:rFonts w:ascii="宋体" w:hAnsi="宋体"/>
          <w:color w:val="auto"/>
          <w:szCs w:val="21"/>
        </w:rPr>
      </w:pPr>
      <w:r>
        <w:rPr>
          <w:rFonts w:hint="eastAsia" w:ascii="宋体" w:hAnsi="宋体"/>
          <w:color w:val="auto"/>
          <w:szCs w:val="21"/>
        </w:rPr>
        <w:t>前端建设的各点位均需接入至智安小区综合运行管理平台，并将数据推送至余姚市公安局社会面视图汇聚平台（雪亮平台），最终实现将治安部门所需的数据推送至宁波市局智安小区平台。</w:t>
      </w:r>
    </w:p>
    <w:p>
      <w:pPr>
        <w:pStyle w:val="7"/>
        <w:rPr>
          <w:rFonts w:ascii="宋体" w:hAnsi="宋体" w:eastAsia="宋体"/>
          <w:color w:val="auto"/>
          <w:sz w:val="21"/>
          <w:szCs w:val="21"/>
        </w:rPr>
      </w:pPr>
      <w:r>
        <w:rPr>
          <w:rFonts w:hint="eastAsia" w:ascii="宋体" w:hAnsi="宋体" w:eastAsia="宋体"/>
          <w:color w:val="auto"/>
          <w:sz w:val="21"/>
          <w:szCs w:val="21"/>
        </w:rPr>
        <w:t>3、项目组织及人员配备要求</w:t>
      </w:r>
    </w:p>
    <w:p>
      <w:pPr>
        <w:spacing w:line="360" w:lineRule="auto"/>
        <w:ind w:firstLine="420" w:firstLineChars="200"/>
        <w:rPr>
          <w:rFonts w:ascii="宋体" w:hAnsi="宋体"/>
          <w:color w:val="auto"/>
          <w:szCs w:val="21"/>
        </w:rPr>
      </w:pPr>
      <w:r>
        <w:rPr>
          <w:rFonts w:hint="eastAsia" w:ascii="宋体" w:hAnsi="宋体"/>
          <w:color w:val="auto"/>
          <w:szCs w:val="21"/>
        </w:rPr>
        <w:t>中标人在项目实施过程中，需对项目进行规范化管理，要有项目管理组织、项目管理计划、项目进度计划、项目验收计划等方案，确保工程实施质量。</w:t>
      </w:r>
    </w:p>
    <w:p>
      <w:pPr>
        <w:spacing w:line="360" w:lineRule="auto"/>
        <w:ind w:firstLine="420" w:firstLineChars="200"/>
        <w:rPr>
          <w:rFonts w:ascii="宋体" w:hAnsi="宋体"/>
          <w:color w:val="auto"/>
          <w:szCs w:val="21"/>
        </w:rPr>
      </w:pPr>
      <w:r>
        <w:rPr>
          <w:rFonts w:hint="eastAsia" w:ascii="宋体" w:hAnsi="宋体"/>
          <w:color w:val="auto"/>
          <w:szCs w:val="21"/>
        </w:rPr>
        <w:t>投标人投入本项目人员至少配备工程项目经理1 人，技术负责人1 人，若干实施工程人员。项目实施人员需要驻场，参与的人员需要具有类型项目经验。</w:t>
      </w:r>
    </w:p>
    <w:p>
      <w:pPr>
        <w:spacing w:line="360" w:lineRule="auto"/>
        <w:ind w:firstLine="420" w:firstLineChars="200"/>
        <w:rPr>
          <w:rFonts w:ascii="宋体" w:hAnsi="宋体"/>
          <w:color w:val="auto"/>
          <w:szCs w:val="21"/>
        </w:rPr>
      </w:pPr>
      <w:r>
        <w:rPr>
          <w:rFonts w:hint="eastAsia" w:ascii="宋体" w:hAnsi="宋体"/>
          <w:color w:val="auto"/>
          <w:szCs w:val="21"/>
        </w:rPr>
        <w:t>对上述安排投标人应列出详细实施计划，包括人员姓名、经验、学历和在本项目中的职责分工。</w:t>
      </w:r>
    </w:p>
    <w:p>
      <w:pPr>
        <w:pStyle w:val="7"/>
        <w:rPr>
          <w:rFonts w:ascii="宋体" w:hAnsi="宋体" w:eastAsia="宋体"/>
          <w:color w:val="auto"/>
          <w:sz w:val="21"/>
          <w:szCs w:val="21"/>
        </w:rPr>
      </w:pPr>
      <w:r>
        <w:rPr>
          <w:rFonts w:hint="eastAsia" w:ascii="宋体" w:hAnsi="宋体" w:eastAsia="宋体"/>
          <w:color w:val="auto"/>
          <w:sz w:val="21"/>
          <w:szCs w:val="21"/>
        </w:rPr>
        <w:t>4、运维要求</w:t>
      </w:r>
    </w:p>
    <w:p>
      <w:pPr>
        <w:spacing w:line="360" w:lineRule="auto"/>
        <w:ind w:firstLine="420" w:firstLineChars="200"/>
        <w:rPr>
          <w:rFonts w:ascii="宋体" w:hAnsi="宋体"/>
          <w:color w:val="auto"/>
          <w:szCs w:val="21"/>
        </w:rPr>
      </w:pPr>
      <w:r>
        <w:rPr>
          <w:rFonts w:hint="eastAsia" w:ascii="宋体" w:hAnsi="宋体"/>
          <w:color w:val="auto"/>
          <w:szCs w:val="21"/>
        </w:rPr>
        <w:t>本工程由施工中标单位负责运维，具体运维要求如下：</w:t>
      </w:r>
    </w:p>
    <w:p>
      <w:pPr>
        <w:spacing w:line="360" w:lineRule="auto"/>
        <w:ind w:firstLine="420" w:firstLineChars="200"/>
        <w:rPr>
          <w:rFonts w:ascii="宋体" w:hAnsi="宋体"/>
          <w:color w:val="auto"/>
          <w:szCs w:val="21"/>
        </w:rPr>
      </w:pPr>
      <w:r>
        <w:rPr>
          <w:rFonts w:hint="eastAsia" w:ascii="宋体" w:hAnsi="宋体"/>
          <w:color w:val="auto"/>
          <w:szCs w:val="21"/>
        </w:rPr>
        <w:t>（1）服务范围：运维单位对系统的运维服务包括对构成系统的所有前端设施、硬件、网络、应用软件等的维护、维修、更换故障设备和产品升级等。</w:t>
      </w:r>
    </w:p>
    <w:p>
      <w:pPr>
        <w:spacing w:line="360" w:lineRule="auto"/>
        <w:ind w:firstLine="420" w:firstLineChars="200"/>
        <w:rPr>
          <w:rFonts w:ascii="宋体" w:hAnsi="宋体"/>
          <w:color w:val="auto"/>
          <w:szCs w:val="21"/>
        </w:rPr>
      </w:pPr>
      <w:r>
        <w:rPr>
          <w:rFonts w:hint="eastAsia" w:ascii="宋体" w:hAnsi="宋体"/>
          <w:color w:val="auto"/>
          <w:szCs w:val="21"/>
        </w:rPr>
        <w:t>（2）服务内容：运维单位应提供的运维服务内容包括日常运作、服务咨询、巡检保养、主动监测、故障修复、特殊保障和升级优化。</w:t>
      </w:r>
    </w:p>
    <w:p>
      <w:pPr>
        <w:spacing w:line="360" w:lineRule="auto"/>
        <w:ind w:firstLine="420" w:firstLineChars="200"/>
        <w:rPr>
          <w:rFonts w:ascii="宋体" w:hAnsi="宋体"/>
          <w:color w:val="auto"/>
          <w:szCs w:val="21"/>
        </w:rPr>
      </w:pPr>
      <w:r>
        <w:rPr>
          <w:rFonts w:hint="eastAsia" w:ascii="宋体" w:hAnsi="宋体"/>
          <w:color w:val="auto"/>
          <w:szCs w:val="21"/>
        </w:rPr>
        <w:t>（3）驻场地点：根据招标人指定。</w:t>
      </w:r>
    </w:p>
    <w:p>
      <w:pPr>
        <w:spacing w:line="360" w:lineRule="auto"/>
        <w:ind w:firstLine="420" w:firstLineChars="200"/>
        <w:rPr>
          <w:rFonts w:ascii="宋体" w:hAnsi="宋体"/>
          <w:color w:val="auto"/>
          <w:szCs w:val="21"/>
        </w:rPr>
      </w:pPr>
      <w:r>
        <w:rPr>
          <w:rFonts w:hint="eastAsia" w:ascii="宋体" w:hAnsi="宋体"/>
          <w:color w:val="auto"/>
          <w:szCs w:val="21"/>
        </w:rPr>
        <w:t>（4）系统日常运营保障机制</w:t>
      </w:r>
    </w:p>
    <w:p>
      <w:pPr>
        <w:spacing w:line="360" w:lineRule="auto"/>
        <w:ind w:firstLine="420" w:firstLineChars="200"/>
        <w:rPr>
          <w:rFonts w:ascii="宋体" w:hAnsi="宋体"/>
          <w:color w:val="auto"/>
          <w:szCs w:val="21"/>
        </w:rPr>
      </w:pPr>
      <w:r>
        <w:rPr>
          <w:rFonts w:hint="eastAsia" w:ascii="宋体" w:hAnsi="宋体"/>
          <w:color w:val="auto"/>
          <w:szCs w:val="21"/>
        </w:rPr>
        <w:t>1）设备巡检、维护：定期巡检（监控主机、存储主机运行状态、性能变化；机箱、镜头、护罩等除尘；摄像机取景范围的调整，补光灯亮度调整，摄像头树木遮挡剪修，管道、线缆的检查等并解决存在的问题、网络系统及平台服务器的巡检），每季度不少于1次，并在完成后7日内提供巡检报告。</w:t>
      </w:r>
    </w:p>
    <w:p>
      <w:pPr>
        <w:spacing w:line="360" w:lineRule="auto"/>
        <w:ind w:firstLine="420" w:firstLineChars="200"/>
        <w:rPr>
          <w:rFonts w:ascii="宋体" w:hAnsi="宋体"/>
          <w:color w:val="auto"/>
          <w:szCs w:val="21"/>
        </w:rPr>
      </w:pPr>
      <w:r>
        <w:rPr>
          <w:rFonts w:hint="eastAsia" w:ascii="宋体" w:hAnsi="宋体"/>
          <w:color w:val="auto"/>
          <w:szCs w:val="21"/>
        </w:rPr>
        <w:t>2）运维单位提供的系统软件为当前最新版本，服务期内有新版本时，运维单位负责免费升级。如上级管理部门有要求接入其他相关设备或与上级联网，运维单位免费且及时负责提供相关软件接口及协议，并协助运维单位完成接入和联网工作。</w:t>
      </w:r>
    </w:p>
    <w:p>
      <w:pPr>
        <w:spacing w:line="360" w:lineRule="auto"/>
        <w:ind w:firstLine="420" w:firstLineChars="200"/>
        <w:rPr>
          <w:rFonts w:ascii="宋体" w:hAnsi="宋体"/>
          <w:color w:val="auto"/>
          <w:szCs w:val="21"/>
        </w:rPr>
      </w:pPr>
      <w:r>
        <w:rPr>
          <w:rFonts w:hint="eastAsia" w:ascii="宋体" w:hAnsi="宋体"/>
          <w:color w:val="auto"/>
          <w:szCs w:val="21"/>
        </w:rPr>
        <w:t>3）故障修复时间：对项目故障修复，运维单位应做到：承担合同期内整个项目发生任何故障的抢修任务。当系统（设备）出现故障后，运维单位应在2小时内做出响应并提出解决办法，技术工程师在每天8：00-18：00期间4小时内到达现场，一般故障2小时内修复，重大故障8小时内修复，监控中心设备应于12小时之内修复，使系统恢复正常运行，若某个设备在3个月内连续发生3次以上（含3次）故障，运维单位应更换使用全新的同型号产品（如同型号产品停产，在业主方同意的前提下，可使用不低于原产品的档次的产品替代），以保障设备的连续正常使用能力，由此产生的费用由运维单位承担。若运维单位未能依约提供故障修复服务，业主方有权聘请第三方进行修复，运维单位必须无条件配合并支付相关费用（或从其服务费中扣除）。</w:t>
      </w:r>
    </w:p>
    <w:p>
      <w:pPr>
        <w:spacing w:line="360" w:lineRule="auto"/>
        <w:ind w:firstLine="420" w:firstLineChars="200"/>
        <w:rPr>
          <w:rFonts w:ascii="宋体" w:hAnsi="宋体"/>
          <w:color w:val="auto"/>
          <w:szCs w:val="21"/>
        </w:rPr>
      </w:pPr>
      <w:r>
        <w:rPr>
          <w:rFonts w:hint="eastAsia" w:ascii="宋体" w:hAnsi="宋体"/>
          <w:color w:val="auto"/>
          <w:szCs w:val="21"/>
        </w:rPr>
        <w:t>（4）运维单位应免费为甲方提供培训，培训工作应与系统升级保持同步，确保甲方操作人员能够熟练操作。</w:t>
      </w:r>
    </w:p>
    <w:p>
      <w:pPr>
        <w:spacing w:line="360" w:lineRule="auto"/>
        <w:ind w:firstLine="420" w:firstLineChars="200"/>
        <w:rPr>
          <w:rFonts w:ascii="宋体" w:hAnsi="宋体"/>
          <w:color w:val="auto"/>
          <w:szCs w:val="21"/>
        </w:rPr>
      </w:pPr>
      <w:r>
        <w:rPr>
          <w:rFonts w:hint="eastAsia" w:ascii="宋体" w:hAnsi="宋体"/>
          <w:color w:val="auto"/>
          <w:szCs w:val="21"/>
        </w:rPr>
        <w:t>（5）投标人应在三年免费运维期内派驻至少2名驻场运维人员，提供7*24小时软硬件和系统支持服务。驻场人员应具备相关软硬件设备维护和系统支持基础能力和工作经验。在服务期内变更驻场人员需采购方同意。</w:t>
      </w:r>
    </w:p>
    <w:p>
      <w:pPr>
        <w:spacing w:line="360" w:lineRule="auto"/>
        <w:ind w:firstLine="420" w:firstLineChars="200"/>
        <w:rPr>
          <w:rFonts w:ascii="宋体" w:hAnsi="宋体"/>
          <w:color w:val="auto"/>
          <w:szCs w:val="21"/>
        </w:rPr>
      </w:pPr>
      <w:r>
        <w:rPr>
          <w:rFonts w:hint="eastAsia" w:ascii="宋体" w:hAnsi="宋体"/>
          <w:color w:val="auto"/>
          <w:szCs w:val="21"/>
        </w:rPr>
        <w:t>（6）服务考核要求：本项目运维考核的内容均以前端点位在线不在线作为考核依据，同时应满足上级公安系统对本级的运维考核指标要求。</w:t>
      </w:r>
    </w:p>
    <w:p>
      <w:pPr>
        <w:spacing w:line="360" w:lineRule="auto"/>
        <w:ind w:firstLine="420" w:firstLineChars="200"/>
        <w:rPr>
          <w:rFonts w:ascii="宋体" w:hAnsi="宋体"/>
          <w:color w:val="auto"/>
          <w:szCs w:val="21"/>
        </w:rPr>
      </w:pPr>
      <w:r>
        <w:rPr>
          <w:rFonts w:ascii="宋体" w:hAnsi="宋体"/>
          <w:color w:val="auto"/>
          <w:szCs w:val="21"/>
          <w:lang w:val="zh-CN"/>
        </w:rPr>
        <w:t>1、对每个监控点建立日志、档案，并详细记录每天的运行情况。每个视频监控点必须满足全天24小时视频图像清晰，在合理距离上看清人脸、车辆车牌（恶劣天气等不可抗力原因除外），达不到要求的视为故障监控点。视频图像完好率、在线率不低于9</w:t>
      </w:r>
      <w:r>
        <w:rPr>
          <w:rFonts w:hint="eastAsia" w:ascii="宋体" w:hAnsi="宋体"/>
          <w:color w:val="auto"/>
          <w:szCs w:val="21"/>
        </w:rPr>
        <w:t>5</w:t>
      </w:r>
      <w:r>
        <w:rPr>
          <w:rFonts w:ascii="宋体" w:hAnsi="宋体"/>
          <w:color w:val="auto"/>
          <w:szCs w:val="21"/>
          <w:lang w:val="zh-CN"/>
        </w:rPr>
        <w:t>%。</w:t>
      </w:r>
    </w:p>
    <w:p>
      <w:pPr>
        <w:spacing w:line="360" w:lineRule="auto"/>
        <w:ind w:firstLine="420" w:firstLineChars="200"/>
        <w:rPr>
          <w:rFonts w:ascii="宋体" w:hAnsi="宋体"/>
          <w:color w:val="auto"/>
          <w:szCs w:val="21"/>
        </w:rPr>
      </w:pPr>
      <w:r>
        <w:rPr>
          <w:rFonts w:ascii="宋体" w:hAnsi="宋体"/>
          <w:color w:val="auto"/>
          <w:szCs w:val="21"/>
          <w:lang w:val="zh-CN"/>
        </w:rPr>
        <w:t>2、监控画面出现卡跳，丢帧的等视为故障点；天气（浓雾、暴雨等）不可抗力原因除外造成的清晰度降低致使较近距离看不清入脸、看不清</w:t>
      </w:r>
      <w:r>
        <w:rPr>
          <w:rFonts w:hint="eastAsia" w:ascii="宋体" w:hAnsi="宋体"/>
          <w:color w:val="auto"/>
          <w:szCs w:val="21"/>
        </w:rPr>
        <w:t>车</w:t>
      </w:r>
      <w:r>
        <w:rPr>
          <w:rFonts w:hint="eastAsia" w:ascii="宋体" w:hAnsi="宋体"/>
          <w:color w:val="auto"/>
          <w:szCs w:val="21"/>
          <w:lang w:val="zh-CN"/>
        </w:rPr>
        <w:t>牌等情况面面或离线等原因视为故障监控点；监控点无法正常预览视为故障监控点；结构化像机、人脸抓拍像机、车辆抓拍像机等具备图片抓拍功能的摄像机不能正常抓取图片的视为故障监控点。</w:t>
      </w:r>
      <w:r>
        <w:rPr>
          <w:rFonts w:ascii="宋体" w:hAnsi="宋体"/>
          <w:color w:val="auto"/>
          <w:szCs w:val="21"/>
        </w:rPr>
        <w:t xml:space="preserve"> </w:t>
      </w:r>
    </w:p>
    <w:p>
      <w:pPr>
        <w:spacing w:line="360" w:lineRule="auto"/>
        <w:ind w:firstLine="420" w:firstLineChars="200"/>
        <w:rPr>
          <w:rFonts w:ascii="宋体" w:hAnsi="宋体"/>
          <w:color w:val="auto"/>
          <w:szCs w:val="21"/>
          <w:lang w:val="zh-CN"/>
        </w:rPr>
      </w:pPr>
      <w:r>
        <w:rPr>
          <w:rFonts w:hint="eastAsia" w:ascii="宋体" w:hAnsi="宋体"/>
          <w:color w:val="auto"/>
          <w:szCs w:val="21"/>
          <w:lang w:val="zh-CN"/>
        </w:rPr>
        <w:t>3、故障监控点超过48小时不能排除的每个监控点扣除100元，后每隔24小时扣除100元。</w:t>
      </w:r>
    </w:p>
    <w:p>
      <w:pPr>
        <w:spacing w:line="360" w:lineRule="auto"/>
        <w:ind w:firstLine="420" w:firstLineChars="200"/>
        <w:rPr>
          <w:rFonts w:ascii="宋体" w:hAnsi="宋体"/>
          <w:color w:val="auto"/>
          <w:szCs w:val="21"/>
        </w:rPr>
      </w:pPr>
      <w:r>
        <w:rPr>
          <w:rFonts w:hint="eastAsia" w:ascii="宋体" w:hAnsi="宋体"/>
          <w:color w:val="auto"/>
          <w:szCs w:val="21"/>
        </w:rPr>
        <w:t>4、平台故障超过48小时未能排除的扣除受影响的点位数</w:t>
      </w:r>
      <w:r>
        <w:rPr>
          <w:rFonts w:ascii="宋体" w:hAnsi="宋体"/>
          <w:color w:val="auto"/>
          <w:szCs w:val="21"/>
        </w:rPr>
        <w:t>*100元</w:t>
      </w:r>
    </w:p>
    <w:p>
      <w:pPr>
        <w:spacing w:line="360" w:lineRule="auto"/>
        <w:ind w:firstLine="420" w:firstLineChars="200"/>
        <w:rPr>
          <w:rFonts w:ascii="宋体" w:hAnsi="宋体"/>
          <w:color w:val="auto"/>
          <w:szCs w:val="21"/>
        </w:rPr>
      </w:pPr>
      <w:r>
        <w:rPr>
          <w:rFonts w:hint="eastAsia" w:ascii="宋体" w:hAnsi="宋体"/>
          <w:color w:val="auto"/>
          <w:szCs w:val="21"/>
        </w:rPr>
        <w:t>平台故障超过</w:t>
      </w:r>
      <w:r>
        <w:rPr>
          <w:rFonts w:ascii="宋体" w:hAnsi="宋体"/>
          <w:color w:val="auto"/>
          <w:szCs w:val="21"/>
        </w:rPr>
        <w:t>48小时未能排除，则：</w:t>
      </w:r>
    </w:p>
    <w:p>
      <w:pPr>
        <w:spacing w:line="360" w:lineRule="auto"/>
        <w:ind w:firstLine="420" w:firstLineChars="200"/>
        <w:rPr>
          <w:rFonts w:ascii="宋体" w:hAnsi="宋体"/>
          <w:color w:val="auto"/>
          <w:szCs w:val="21"/>
          <w:lang w:val="zh-CN"/>
        </w:rPr>
      </w:pPr>
      <w:r>
        <w:rPr>
          <w:rFonts w:hint="eastAsia" w:ascii="宋体" w:hAnsi="宋体"/>
          <w:color w:val="auto"/>
          <w:szCs w:val="21"/>
          <w:lang w:val="zh-CN"/>
        </w:rPr>
        <w:t>受影响的点位数低于总数</w:t>
      </w:r>
      <w:r>
        <w:rPr>
          <w:rFonts w:ascii="宋体" w:hAnsi="宋体"/>
          <w:color w:val="auto"/>
          <w:szCs w:val="21"/>
          <w:lang w:val="zh-CN"/>
        </w:rPr>
        <w:t>10%的扣除受影响点位数*100元；</w:t>
      </w:r>
    </w:p>
    <w:p>
      <w:pPr>
        <w:spacing w:line="360" w:lineRule="auto"/>
        <w:ind w:firstLine="420" w:firstLineChars="200"/>
        <w:rPr>
          <w:rFonts w:ascii="宋体" w:hAnsi="宋体"/>
          <w:color w:val="auto"/>
          <w:szCs w:val="21"/>
          <w:lang w:val="zh-CN"/>
        </w:rPr>
      </w:pPr>
      <w:r>
        <w:rPr>
          <w:rFonts w:hint="eastAsia" w:ascii="宋体" w:hAnsi="宋体"/>
          <w:color w:val="auto"/>
          <w:szCs w:val="21"/>
          <w:lang w:val="zh-CN"/>
        </w:rPr>
        <w:t>受影响的点位数在总数</w:t>
      </w:r>
      <w:r>
        <w:rPr>
          <w:rFonts w:ascii="宋体" w:hAnsi="宋体"/>
          <w:color w:val="auto"/>
          <w:szCs w:val="21"/>
          <w:lang w:val="zh-CN"/>
        </w:rPr>
        <w:t>10%至30%的扣除受影响点位数200元；</w:t>
      </w:r>
    </w:p>
    <w:p>
      <w:pPr>
        <w:spacing w:line="360" w:lineRule="auto"/>
        <w:ind w:firstLine="420" w:firstLineChars="200"/>
        <w:rPr>
          <w:rFonts w:ascii="宋体" w:hAnsi="宋体"/>
          <w:color w:val="auto"/>
          <w:szCs w:val="21"/>
          <w:lang w:val="zh-CN"/>
        </w:rPr>
      </w:pPr>
      <w:r>
        <w:rPr>
          <w:rFonts w:hint="eastAsia" w:ascii="宋体" w:hAnsi="宋体"/>
          <w:color w:val="auto"/>
          <w:szCs w:val="21"/>
          <w:lang w:val="zh-CN"/>
        </w:rPr>
        <w:t>受影响的点位数在总数</w:t>
      </w:r>
      <w:r>
        <w:rPr>
          <w:rFonts w:ascii="宋体" w:hAnsi="宋体"/>
          <w:color w:val="auto"/>
          <w:szCs w:val="21"/>
          <w:lang w:val="zh-CN"/>
        </w:rPr>
        <w:t>30%至50%的扣除受影响点位数300元；</w:t>
      </w:r>
    </w:p>
    <w:p>
      <w:pPr>
        <w:spacing w:line="360" w:lineRule="auto"/>
        <w:ind w:firstLine="420" w:firstLineChars="200"/>
        <w:rPr>
          <w:rFonts w:ascii="宋体" w:hAnsi="宋体"/>
          <w:color w:val="auto"/>
          <w:szCs w:val="21"/>
          <w:lang w:val="zh-CN"/>
        </w:rPr>
      </w:pPr>
      <w:r>
        <w:rPr>
          <w:rFonts w:hint="eastAsia" w:ascii="宋体" w:hAnsi="宋体"/>
          <w:color w:val="auto"/>
          <w:szCs w:val="21"/>
          <w:lang w:val="zh-CN"/>
        </w:rPr>
        <w:t>受影响的点位数超过总数</w:t>
      </w:r>
      <w:r>
        <w:rPr>
          <w:rFonts w:ascii="宋体" w:hAnsi="宋体"/>
          <w:color w:val="auto"/>
          <w:szCs w:val="21"/>
          <w:lang w:val="zh-CN"/>
        </w:rPr>
        <w:t>50%的扣除当月费用即全部运维费用/3年/12个月；</w:t>
      </w:r>
    </w:p>
    <w:p>
      <w:pPr>
        <w:spacing w:line="360" w:lineRule="auto"/>
        <w:ind w:firstLine="420" w:firstLineChars="200"/>
        <w:rPr>
          <w:rFonts w:ascii="宋体" w:hAnsi="宋体"/>
          <w:color w:val="auto"/>
          <w:szCs w:val="21"/>
          <w:lang w:val="zh-CN"/>
        </w:rPr>
      </w:pPr>
      <w:r>
        <w:rPr>
          <w:rFonts w:hint="eastAsia" w:ascii="宋体" w:hAnsi="宋体"/>
          <w:color w:val="auto"/>
          <w:szCs w:val="21"/>
          <w:lang w:val="zh-CN"/>
        </w:rPr>
        <w:t>平台故障超过</w:t>
      </w:r>
      <w:r>
        <w:rPr>
          <w:rFonts w:ascii="宋体" w:hAnsi="宋体"/>
          <w:color w:val="auto"/>
          <w:szCs w:val="21"/>
          <w:lang w:val="zh-CN"/>
        </w:rPr>
        <w:t>72小时未能故障未能排除，则：</w:t>
      </w:r>
    </w:p>
    <w:p>
      <w:pPr>
        <w:spacing w:line="360" w:lineRule="auto"/>
        <w:ind w:firstLine="420" w:firstLineChars="200"/>
        <w:rPr>
          <w:rFonts w:ascii="宋体" w:hAnsi="宋体"/>
          <w:color w:val="auto"/>
          <w:szCs w:val="21"/>
          <w:lang w:val="zh-CN"/>
        </w:rPr>
      </w:pPr>
      <w:r>
        <w:rPr>
          <w:rFonts w:hint="eastAsia" w:ascii="宋体" w:hAnsi="宋体"/>
          <w:color w:val="auto"/>
          <w:szCs w:val="21"/>
          <w:lang w:val="zh-CN"/>
        </w:rPr>
        <w:t>受影响的点位数低于总数</w:t>
      </w:r>
      <w:r>
        <w:rPr>
          <w:rFonts w:ascii="宋体" w:hAnsi="宋体"/>
          <w:color w:val="auto"/>
          <w:szCs w:val="21"/>
          <w:lang w:val="zh-CN"/>
        </w:rPr>
        <w:t>10%的扣除受影响点位数*200元；</w:t>
      </w:r>
    </w:p>
    <w:p>
      <w:pPr>
        <w:spacing w:line="360" w:lineRule="auto"/>
        <w:ind w:firstLine="420" w:firstLineChars="200"/>
        <w:rPr>
          <w:rFonts w:ascii="宋体" w:hAnsi="宋体"/>
          <w:color w:val="auto"/>
          <w:szCs w:val="21"/>
          <w:lang w:val="zh-CN"/>
        </w:rPr>
      </w:pPr>
      <w:r>
        <w:rPr>
          <w:rFonts w:hint="eastAsia" w:ascii="宋体" w:hAnsi="宋体"/>
          <w:color w:val="auto"/>
          <w:szCs w:val="21"/>
          <w:lang w:val="zh-CN"/>
        </w:rPr>
        <w:t>受影响的点位数在总数</w:t>
      </w:r>
      <w:r>
        <w:rPr>
          <w:rFonts w:ascii="宋体" w:hAnsi="宋体"/>
          <w:color w:val="auto"/>
          <w:szCs w:val="21"/>
          <w:lang w:val="zh-CN"/>
        </w:rPr>
        <w:t>10%至30%的扣除受影响点位数300元；</w:t>
      </w:r>
    </w:p>
    <w:p>
      <w:pPr>
        <w:spacing w:line="360" w:lineRule="auto"/>
        <w:ind w:firstLine="420" w:firstLineChars="200"/>
        <w:rPr>
          <w:rFonts w:ascii="宋体" w:hAnsi="宋体"/>
          <w:color w:val="auto"/>
          <w:szCs w:val="21"/>
          <w:lang w:val="zh-CN"/>
        </w:rPr>
      </w:pPr>
      <w:r>
        <w:rPr>
          <w:rFonts w:hint="eastAsia" w:ascii="宋体" w:hAnsi="宋体"/>
          <w:color w:val="auto"/>
          <w:szCs w:val="21"/>
          <w:lang w:val="zh-CN"/>
        </w:rPr>
        <w:t>受影响的点位数在总数</w:t>
      </w:r>
      <w:r>
        <w:rPr>
          <w:rFonts w:ascii="宋体" w:hAnsi="宋体"/>
          <w:color w:val="auto"/>
          <w:szCs w:val="21"/>
          <w:lang w:val="zh-CN"/>
        </w:rPr>
        <w:t>30%至50%的扣除当月费用即全部运维费用/3年/12个月；</w:t>
      </w:r>
    </w:p>
    <w:p>
      <w:pPr>
        <w:spacing w:line="360" w:lineRule="auto"/>
        <w:ind w:firstLine="420" w:firstLineChars="200"/>
        <w:rPr>
          <w:rFonts w:ascii="宋体" w:hAnsi="宋体"/>
          <w:color w:val="auto"/>
          <w:szCs w:val="21"/>
          <w:lang w:val="zh-CN"/>
        </w:rPr>
      </w:pPr>
      <w:r>
        <w:rPr>
          <w:rFonts w:hint="eastAsia" w:ascii="宋体" w:hAnsi="宋体"/>
          <w:color w:val="auto"/>
          <w:szCs w:val="21"/>
          <w:lang w:val="zh-CN"/>
        </w:rPr>
        <w:t>受影响的点位数超过总数</w:t>
      </w:r>
      <w:r>
        <w:rPr>
          <w:rFonts w:ascii="宋体" w:hAnsi="宋体"/>
          <w:color w:val="auto"/>
          <w:szCs w:val="21"/>
          <w:lang w:val="zh-CN"/>
        </w:rPr>
        <w:t>50%的扣除当月费用*2，即全部运维费用/3年/12个月*2。</w:t>
      </w:r>
    </w:p>
    <w:p>
      <w:pPr>
        <w:spacing w:line="360" w:lineRule="auto"/>
        <w:ind w:firstLine="420" w:firstLineChars="200"/>
        <w:rPr>
          <w:rFonts w:ascii="宋体" w:hAnsi="宋体"/>
          <w:color w:val="auto"/>
          <w:szCs w:val="21"/>
          <w:lang w:val="zh-CN"/>
        </w:rPr>
      </w:pPr>
      <w:r>
        <w:rPr>
          <w:rFonts w:ascii="宋体" w:hAnsi="宋体"/>
          <w:color w:val="auto"/>
          <w:szCs w:val="21"/>
          <w:lang w:val="zh-CN"/>
        </w:rPr>
        <w:t>5、监控系统连续24小时在线率低于95%，每24小时扣除不在线数*100元；低于90%，每24小时扣除不在线数*200元，直至当前当年运维费用扣除完，该扣费项与前文的点位故障扣费并列共同执行。</w:t>
      </w:r>
    </w:p>
    <w:p>
      <w:pPr>
        <w:spacing w:line="360" w:lineRule="auto"/>
        <w:ind w:firstLine="420" w:firstLineChars="200"/>
        <w:rPr>
          <w:rFonts w:ascii="宋体" w:hAnsi="宋体"/>
          <w:color w:val="auto"/>
          <w:szCs w:val="21"/>
          <w:lang w:val="zh-CN"/>
        </w:rPr>
      </w:pPr>
      <w:r>
        <w:rPr>
          <w:rFonts w:ascii="宋体" w:hAnsi="宋体"/>
          <w:color w:val="auto"/>
          <w:szCs w:val="21"/>
          <w:lang w:val="zh-CN"/>
        </w:rPr>
        <w:t>6、因偷窃、破坏、交通事故、市政工程、园林绿化等原因导致摄像机、补光灯、杆件等损坏的，与项目建设单位备案后，与72小时内先行修复或更换，否则视为故障监控点，扣费标准执行上文相关标准，需对第三方进行追偿的，项目建设单位应积极予以配合。</w:t>
      </w:r>
    </w:p>
    <w:p>
      <w:pPr>
        <w:pStyle w:val="7"/>
        <w:rPr>
          <w:rFonts w:ascii="宋体" w:hAnsi="宋体" w:eastAsia="宋体"/>
          <w:color w:val="auto"/>
          <w:sz w:val="21"/>
          <w:szCs w:val="21"/>
        </w:rPr>
      </w:pPr>
      <w:r>
        <w:rPr>
          <w:rFonts w:hint="eastAsia" w:ascii="宋体" w:hAnsi="宋体" w:eastAsia="宋体"/>
          <w:color w:val="auto"/>
          <w:sz w:val="21"/>
          <w:szCs w:val="21"/>
        </w:rPr>
        <w:t>5、验收要求</w:t>
      </w:r>
    </w:p>
    <w:p>
      <w:pPr>
        <w:spacing w:line="360" w:lineRule="auto"/>
        <w:ind w:firstLine="420" w:firstLineChars="200"/>
        <w:rPr>
          <w:rFonts w:ascii="宋体" w:hAnsi="宋体"/>
          <w:color w:val="auto"/>
          <w:szCs w:val="21"/>
        </w:rPr>
      </w:pPr>
      <w:r>
        <w:rPr>
          <w:rFonts w:hint="eastAsia" w:ascii="宋体" w:hAnsi="宋体"/>
          <w:color w:val="auto"/>
          <w:szCs w:val="21"/>
        </w:rPr>
        <w:t>项目初验前，中标方应首先对设备进行自测，并将设备自测报告提交招标人、项目使用单位和监理方审查。</w:t>
      </w:r>
    </w:p>
    <w:p>
      <w:pPr>
        <w:spacing w:line="360" w:lineRule="auto"/>
        <w:ind w:firstLine="420" w:firstLineChars="200"/>
        <w:rPr>
          <w:rFonts w:ascii="宋体" w:hAnsi="宋体"/>
          <w:color w:val="auto"/>
          <w:szCs w:val="21"/>
        </w:rPr>
      </w:pPr>
      <w:r>
        <w:rPr>
          <w:rFonts w:hint="eastAsia" w:ascii="宋体" w:hAnsi="宋体"/>
          <w:color w:val="auto"/>
          <w:szCs w:val="21"/>
        </w:rPr>
        <w:t>（1）初验：由招标人、监理、项目使用单位和中标人组成初验小组，对本项目各项工作进行全面检查，如产生费用由中标人承担。</w:t>
      </w:r>
    </w:p>
    <w:p>
      <w:pPr>
        <w:spacing w:line="360" w:lineRule="auto"/>
        <w:ind w:firstLine="420" w:firstLineChars="200"/>
        <w:rPr>
          <w:rFonts w:ascii="宋体" w:hAnsi="宋体"/>
          <w:color w:val="auto"/>
          <w:szCs w:val="21"/>
        </w:rPr>
      </w:pPr>
      <w:r>
        <w:rPr>
          <w:rFonts w:hint="eastAsia" w:ascii="宋体" w:hAnsi="宋体"/>
          <w:color w:val="auto"/>
          <w:szCs w:val="21"/>
        </w:rPr>
        <w:t>试运行：初验合格后，系统进入试运行，试运行时间不少于3个月。</w:t>
      </w:r>
    </w:p>
    <w:p>
      <w:pPr>
        <w:spacing w:line="360" w:lineRule="auto"/>
        <w:ind w:firstLine="420" w:firstLineChars="200"/>
        <w:rPr>
          <w:color w:val="auto"/>
          <w:szCs w:val="21"/>
        </w:rPr>
      </w:pPr>
      <w:r>
        <w:rPr>
          <w:rFonts w:hint="eastAsia" w:ascii="宋体" w:hAnsi="宋体"/>
          <w:color w:val="auto"/>
          <w:szCs w:val="21"/>
        </w:rPr>
        <w:t>（2）终验：由招标人组织专家组或评估机构、乡镇街道、项目使用单位及相关单位参与进行验收。终验收合格的条件必须至少满足以下三个要求：已提供了合同要求的全部设备和资料；试运行时性能满足合同要求；解决性能测试和试运行验收时出现的问题。</w:t>
      </w:r>
    </w:p>
    <w:p>
      <w:pPr>
        <w:spacing w:line="360" w:lineRule="auto"/>
        <w:ind w:firstLine="420" w:firstLineChars="200"/>
        <w:rPr>
          <w:color w:val="auto"/>
          <w:szCs w:val="21"/>
        </w:rPr>
      </w:pPr>
    </w:p>
    <w:p>
      <w:pPr>
        <w:spacing w:line="400" w:lineRule="exact"/>
        <w:ind w:firstLine="3070" w:firstLineChars="1274"/>
        <w:outlineLvl w:val="0"/>
        <w:rPr>
          <w:b/>
          <w:color w:val="auto"/>
          <w:sz w:val="24"/>
        </w:rPr>
        <w:sectPr>
          <w:headerReference r:id="rId11" w:type="default"/>
          <w:footerReference r:id="rId12" w:type="default"/>
          <w:pgSz w:w="11906" w:h="16838"/>
          <w:pgMar w:top="1440" w:right="1803" w:bottom="1440" w:left="1803" w:header="851" w:footer="850" w:gutter="0"/>
          <w:cols w:space="720" w:num="1"/>
          <w:docGrid w:linePitch="312" w:charSpace="0"/>
        </w:sectPr>
      </w:pPr>
    </w:p>
    <w:p>
      <w:pPr>
        <w:spacing w:line="400" w:lineRule="exact"/>
        <w:ind w:firstLine="3070" w:firstLineChars="1274"/>
        <w:outlineLvl w:val="0"/>
        <w:rPr>
          <w:b/>
          <w:color w:val="auto"/>
          <w:sz w:val="24"/>
        </w:rPr>
      </w:pPr>
      <w:bookmarkStart w:id="102" w:name="_Toc16943"/>
      <w:bookmarkStart w:id="103" w:name="_Toc30344"/>
      <w:bookmarkStart w:id="104" w:name="_Toc31243"/>
      <w:bookmarkStart w:id="105" w:name="_Toc24407"/>
      <w:r>
        <w:rPr>
          <w:b/>
          <w:color w:val="auto"/>
          <w:sz w:val="24"/>
        </w:rPr>
        <w:t>第三章 投标人须知</w:t>
      </w:r>
      <w:bookmarkEnd w:id="99"/>
      <w:bookmarkEnd w:id="100"/>
      <w:bookmarkEnd w:id="101"/>
      <w:bookmarkEnd w:id="102"/>
      <w:bookmarkEnd w:id="103"/>
      <w:bookmarkEnd w:id="104"/>
      <w:bookmarkEnd w:id="105"/>
    </w:p>
    <w:p>
      <w:pPr>
        <w:snapToGrid w:val="0"/>
        <w:spacing w:before="120" w:beforeLines="50" w:after="120" w:afterLines="50"/>
        <w:ind w:left="238"/>
        <w:jc w:val="center"/>
        <w:rPr>
          <w:b/>
          <w:color w:val="auto"/>
          <w:szCs w:val="28"/>
        </w:rPr>
      </w:pPr>
      <w:r>
        <w:rPr>
          <w:b/>
          <w:color w:val="auto"/>
          <w:szCs w:val="28"/>
        </w:rPr>
        <w:t>前附表</w:t>
      </w:r>
    </w:p>
    <w:tbl>
      <w:tblPr>
        <w:tblStyle w:val="41"/>
        <w:tblW w:w="843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2"/>
        <w:gridCol w:w="77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672" w:type="dxa"/>
            <w:vAlign w:val="center"/>
          </w:tcPr>
          <w:p>
            <w:pPr>
              <w:spacing w:line="400" w:lineRule="exact"/>
              <w:jc w:val="center"/>
              <w:rPr>
                <w:b/>
                <w:color w:val="auto"/>
                <w:szCs w:val="21"/>
              </w:rPr>
            </w:pPr>
            <w:r>
              <w:rPr>
                <w:b/>
                <w:color w:val="auto"/>
                <w:szCs w:val="21"/>
              </w:rPr>
              <w:t>序号</w:t>
            </w:r>
          </w:p>
        </w:tc>
        <w:tc>
          <w:tcPr>
            <w:tcW w:w="7763" w:type="dxa"/>
            <w:vAlign w:val="center"/>
          </w:tcPr>
          <w:p>
            <w:pPr>
              <w:spacing w:line="400" w:lineRule="exact"/>
              <w:jc w:val="center"/>
              <w:rPr>
                <w:b/>
                <w:color w:val="auto"/>
                <w:szCs w:val="21"/>
              </w:rPr>
            </w:pPr>
            <w:r>
              <w:rPr>
                <w:b/>
                <w:color w:val="auto"/>
                <w:szCs w:val="21"/>
              </w:rPr>
              <w:t>内容、要求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pPr>
              <w:spacing w:line="400" w:lineRule="exact"/>
              <w:jc w:val="center"/>
              <w:rPr>
                <w:color w:val="auto"/>
                <w:szCs w:val="21"/>
              </w:rPr>
            </w:pPr>
            <w:r>
              <w:rPr>
                <w:color w:val="auto"/>
                <w:szCs w:val="21"/>
              </w:rPr>
              <w:t>1</w:t>
            </w:r>
          </w:p>
        </w:tc>
        <w:tc>
          <w:tcPr>
            <w:tcW w:w="7763" w:type="dxa"/>
            <w:vAlign w:val="center"/>
          </w:tcPr>
          <w:p>
            <w:pPr>
              <w:spacing w:line="400" w:lineRule="exact"/>
              <w:rPr>
                <w:color w:val="auto"/>
                <w:szCs w:val="21"/>
              </w:rPr>
            </w:pPr>
            <w:r>
              <w:rPr>
                <w:color w:val="auto"/>
                <w:szCs w:val="21"/>
              </w:rPr>
              <w:t xml:space="preserve">项目名称：余姚市智安小区建设项目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pPr>
              <w:spacing w:line="400" w:lineRule="exact"/>
              <w:jc w:val="center"/>
              <w:rPr>
                <w:color w:val="auto"/>
                <w:szCs w:val="21"/>
              </w:rPr>
            </w:pPr>
            <w:r>
              <w:rPr>
                <w:color w:val="auto"/>
                <w:szCs w:val="21"/>
              </w:rPr>
              <w:t>2</w:t>
            </w:r>
          </w:p>
        </w:tc>
        <w:tc>
          <w:tcPr>
            <w:tcW w:w="7763" w:type="dxa"/>
            <w:vAlign w:val="center"/>
          </w:tcPr>
          <w:p>
            <w:pPr>
              <w:pStyle w:val="25"/>
              <w:spacing w:before="0" w:beforeLines="0" w:after="0" w:afterLines="0"/>
              <w:rPr>
                <w:rFonts w:ascii="Times New Roman" w:hAnsi="Times New Roman"/>
                <w:color w:val="auto"/>
                <w:sz w:val="21"/>
                <w:szCs w:val="21"/>
              </w:rPr>
            </w:pPr>
            <w:r>
              <w:rPr>
                <w:rFonts w:ascii="Times New Roman" w:hAnsi="Times New Roman"/>
                <w:color w:val="auto"/>
                <w:sz w:val="21"/>
                <w:szCs w:val="21"/>
              </w:rPr>
              <w:t xml:space="preserve">采购数量及单位：详见第二章《招标需求》。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pPr>
              <w:spacing w:line="400" w:lineRule="exact"/>
              <w:jc w:val="center"/>
              <w:rPr>
                <w:color w:val="auto"/>
                <w:szCs w:val="21"/>
              </w:rPr>
            </w:pPr>
            <w:r>
              <w:rPr>
                <w:color w:val="auto"/>
                <w:szCs w:val="21"/>
              </w:rPr>
              <w:t>3</w:t>
            </w:r>
          </w:p>
        </w:tc>
        <w:tc>
          <w:tcPr>
            <w:tcW w:w="7763" w:type="dxa"/>
            <w:vAlign w:val="center"/>
          </w:tcPr>
          <w:p>
            <w:pPr>
              <w:spacing w:line="400" w:lineRule="exact"/>
              <w:rPr>
                <w:color w:val="auto"/>
              </w:rPr>
            </w:pPr>
            <w:r>
              <w:rPr>
                <w:color w:val="auto"/>
              </w:rPr>
              <w:t>投标报价及费用：</w:t>
            </w:r>
          </w:p>
          <w:p>
            <w:pPr>
              <w:spacing w:line="400" w:lineRule="exact"/>
              <w:rPr>
                <w:color w:val="auto"/>
              </w:rPr>
            </w:pPr>
            <w:r>
              <w:rPr>
                <w:color w:val="auto"/>
              </w:rPr>
              <w:t>1、本项目投标报价应以人民币报价。投标报价应包括制作、运输、作业、安装调试、检验检测、保险、安全文明、质保、风险、管理费、利润、税金、政策性文件规定及为完成本次项目实施过程中不可预见费用等的一切费用。</w:t>
            </w:r>
          </w:p>
          <w:p>
            <w:pPr>
              <w:spacing w:line="400" w:lineRule="exact"/>
              <w:rPr>
                <w:color w:val="auto"/>
              </w:rPr>
            </w:pPr>
            <w:r>
              <w:rPr>
                <w:color w:val="auto"/>
              </w:rPr>
              <w:t>*2、本项目最高限价详见第一章《公开招标采购公告》。投标总价超过最高限价均作无效标处理。</w:t>
            </w:r>
          </w:p>
          <w:p>
            <w:pPr>
              <w:spacing w:line="360" w:lineRule="auto"/>
              <w:rPr>
                <w:rFonts w:ascii="宋体" w:hAnsi="宋体" w:cs="宋体"/>
                <w:bCs/>
                <w:iCs/>
                <w:color w:val="auto"/>
                <w:szCs w:val="21"/>
              </w:rPr>
            </w:pPr>
            <w:r>
              <w:rPr>
                <w:color w:val="auto"/>
              </w:rPr>
              <w:t>*</w:t>
            </w:r>
            <w:r>
              <w:rPr>
                <w:rFonts w:hint="eastAsia"/>
                <w:color w:val="auto"/>
              </w:rPr>
              <w:t>3</w:t>
            </w:r>
            <w:r>
              <w:rPr>
                <w:color w:val="auto"/>
              </w:rPr>
              <w:t>、</w:t>
            </w:r>
            <w:r>
              <w:rPr>
                <w:rFonts w:hint="eastAsia" w:ascii="宋体" w:hAnsi="宋体" w:cs="宋体"/>
                <w:color w:val="auto"/>
                <w:szCs w:val="21"/>
              </w:rPr>
              <w:t>本标项</w:t>
            </w:r>
            <w:r>
              <w:rPr>
                <w:rFonts w:hint="eastAsia" w:ascii="宋体" w:hAnsi="宋体" w:cs="宋体"/>
                <w:color w:val="auto"/>
                <w:szCs w:val="21"/>
                <w:lang w:val="en-US" w:eastAsia="zh-CN"/>
              </w:rPr>
              <w:t>合同形式</w:t>
            </w:r>
            <w:r>
              <w:rPr>
                <w:rFonts w:hint="eastAsia" w:ascii="宋体" w:hAnsi="宋体" w:cs="宋体"/>
                <w:color w:val="auto"/>
                <w:szCs w:val="21"/>
              </w:rPr>
              <w:t>为</w:t>
            </w:r>
            <w:r>
              <w:rPr>
                <w:rFonts w:hint="eastAsia" w:ascii="宋体" w:hAnsi="宋体" w:cs="宋体"/>
                <w:bCs/>
                <w:iCs/>
                <w:color w:val="auto"/>
                <w:szCs w:val="21"/>
              </w:rPr>
              <w:t>固定总价方式，其中预备费</w:t>
            </w:r>
            <w:r>
              <w:rPr>
                <w:rFonts w:ascii="宋体" w:hAnsi="宋体" w:cs="宋体"/>
                <w:bCs/>
                <w:iCs/>
                <w:color w:val="auto"/>
                <w:szCs w:val="21"/>
              </w:rPr>
              <w:t>140万元不得调整</w:t>
            </w:r>
            <w:r>
              <w:rPr>
                <w:rFonts w:hint="eastAsia" w:ascii="宋体" w:hAnsi="宋体" w:cs="宋体"/>
                <w:bCs/>
                <w:iCs/>
                <w:color w:val="auto"/>
                <w:szCs w:val="21"/>
              </w:rPr>
              <w:t>，</w:t>
            </w:r>
            <w:r>
              <w:rPr>
                <w:rFonts w:ascii="宋体" w:hAnsi="宋体" w:cs="宋体"/>
                <w:bCs/>
                <w:iCs/>
                <w:color w:val="auto"/>
                <w:szCs w:val="21"/>
              </w:rPr>
              <w:t>否则</w:t>
            </w:r>
            <w:r>
              <w:rPr>
                <w:rFonts w:hint="eastAsia" w:ascii="宋体" w:hAnsi="宋体" w:cs="宋体"/>
                <w:bCs/>
                <w:iCs/>
                <w:color w:val="auto"/>
                <w:szCs w:val="21"/>
              </w:rPr>
              <w:t>将被判定为无效投标。</w:t>
            </w:r>
          </w:p>
          <w:p>
            <w:pPr>
              <w:spacing w:line="360" w:lineRule="auto"/>
              <w:rPr>
                <w:color w:val="auto"/>
              </w:rPr>
            </w:pPr>
            <w:r>
              <w:rPr>
                <w:rFonts w:hint="eastAsia"/>
                <w:color w:val="auto"/>
              </w:rPr>
              <w:t>4</w:t>
            </w:r>
            <w:r>
              <w:rPr>
                <w:color w:val="auto"/>
              </w:rPr>
              <w:t>、不论投标结果如何，投标人均应自行承担所有与投标有关的全部费用。</w:t>
            </w:r>
          </w:p>
          <w:p>
            <w:pPr>
              <w:spacing w:line="400" w:lineRule="exact"/>
              <w:rPr>
                <w:color w:val="auto"/>
              </w:rPr>
            </w:pPr>
            <w:r>
              <w:rPr>
                <w:rFonts w:hint="eastAsia"/>
                <w:color w:val="auto"/>
              </w:rPr>
              <w:t>5</w:t>
            </w:r>
            <w:r>
              <w:rPr>
                <w:color w:val="auto"/>
              </w:rPr>
              <w:t>、中标人在本项目结果公示期满后5个工作日内领取中标通知书。</w:t>
            </w:r>
          </w:p>
          <w:p>
            <w:pPr>
              <w:spacing w:line="400" w:lineRule="exact"/>
              <w:rPr>
                <w:color w:val="auto"/>
              </w:rPr>
            </w:pPr>
            <w:r>
              <w:rPr>
                <w:rFonts w:hint="eastAsia"/>
                <w:color w:val="auto"/>
              </w:rPr>
              <w:t>6</w:t>
            </w:r>
            <w:r>
              <w:rPr>
                <w:color w:val="auto"/>
              </w:rPr>
              <w:t>、</w:t>
            </w:r>
            <w:r>
              <w:rPr>
                <w:rFonts w:hint="eastAsia"/>
                <w:color w:val="auto"/>
              </w:rPr>
              <w:t>交易服务费（如有则按实收取）</w:t>
            </w:r>
          </w:p>
          <w:p>
            <w:pPr>
              <w:spacing w:line="400" w:lineRule="exact"/>
              <w:ind w:firstLine="420" w:firstLineChars="200"/>
              <w:rPr>
                <w:b/>
                <w:bCs/>
                <w:color w:val="auto"/>
                <w:szCs w:val="21"/>
              </w:rPr>
            </w:pPr>
            <w:r>
              <w:rPr>
                <w:rFonts w:hint="eastAsia"/>
                <w:color w:val="auto"/>
              </w:rPr>
              <w:t>因平台要求，发布中标结果公告前需缴纳交易服务费，金额为中标价的万分之五（最低500元，封顶8000元），该笔费用由中标人支付。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pPr>
              <w:spacing w:line="400" w:lineRule="exact"/>
              <w:jc w:val="center"/>
              <w:rPr>
                <w:color w:val="auto"/>
                <w:szCs w:val="21"/>
              </w:rPr>
            </w:pPr>
            <w:r>
              <w:rPr>
                <w:color w:val="auto"/>
                <w:szCs w:val="21"/>
              </w:rPr>
              <w:t>4</w:t>
            </w:r>
          </w:p>
        </w:tc>
        <w:tc>
          <w:tcPr>
            <w:tcW w:w="7763" w:type="dxa"/>
            <w:vAlign w:val="center"/>
          </w:tcPr>
          <w:p>
            <w:pPr>
              <w:spacing w:line="400" w:lineRule="exact"/>
              <w:rPr>
                <w:color w:val="auto"/>
                <w:szCs w:val="21"/>
              </w:rPr>
            </w:pPr>
            <w:r>
              <w:rPr>
                <w:color w:val="auto"/>
                <w:szCs w:val="21"/>
              </w:rPr>
              <w:t>现场踏勘（如有）：详见第二章《招标需求》。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pPr>
              <w:spacing w:line="400" w:lineRule="exact"/>
              <w:jc w:val="center"/>
              <w:rPr>
                <w:color w:val="auto"/>
                <w:szCs w:val="21"/>
              </w:rPr>
            </w:pPr>
            <w:r>
              <w:rPr>
                <w:color w:val="auto"/>
                <w:szCs w:val="21"/>
              </w:rPr>
              <w:t>5</w:t>
            </w:r>
          </w:p>
        </w:tc>
        <w:tc>
          <w:tcPr>
            <w:tcW w:w="7763" w:type="dxa"/>
            <w:vAlign w:val="center"/>
          </w:tcPr>
          <w:p>
            <w:pPr>
              <w:spacing w:line="400" w:lineRule="exact"/>
              <w:rPr>
                <w:color w:val="auto"/>
                <w:szCs w:val="21"/>
              </w:rPr>
            </w:pPr>
            <w:r>
              <w:rPr>
                <w:color w:val="auto"/>
                <w:szCs w:val="21"/>
              </w:rPr>
              <w:t>演示时间及地点（如有）：详见第二章《招标需求》。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pPr>
              <w:spacing w:line="400" w:lineRule="exact"/>
              <w:jc w:val="center"/>
              <w:rPr>
                <w:color w:val="auto"/>
                <w:szCs w:val="21"/>
              </w:rPr>
            </w:pPr>
            <w:r>
              <w:rPr>
                <w:color w:val="auto"/>
                <w:szCs w:val="21"/>
              </w:rPr>
              <w:t>6</w:t>
            </w:r>
          </w:p>
        </w:tc>
        <w:tc>
          <w:tcPr>
            <w:tcW w:w="7763" w:type="dxa"/>
            <w:vAlign w:val="center"/>
          </w:tcPr>
          <w:p>
            <w:pPr>
              <w:spacing w:line="400" w:lineRule="exact"/>
              <w:rPr>
                <w:b/>
                <w:color w:val="auto"/>
                <w:szCs w:val="21"/>
              </w:rPr>
            </w:pPr>
            <w:r>
              <w:rPr>
                <w:color w:val="auto"/>
                <w:szCs w:val="21"/>
              </w:rPr>
              <w:t>投标文件组成：本项目实行网上投标，供应商应准备以下投标文件：供应商于“政采云”上提供电子投标文件。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pPr>
              <w:spacing w:line="400" w:lineRule="exact"/>
              <w:jc w:val="center"/>
              <w:rPr>
                <w:color w:val="auto"/>
                <w:szCs w:val="21"/>
              </w:rPr>
            </w:pPr>
            <w:r>
              <w:rPr>
                <w:color w:val="auto"/>
                <w:szCs w:val="21"/>
              </w:rPr>
              <w:t>7</w:t>
            </w:r>
          </w:p>
        </w:tc>
        <w:tc>
          <w:tcPr>
            <w:tcW w:w="7763" w:type="dxa"/>
            <w:vAlign w:val="center"/>
          </w:tcPr>
          <w:p>
            <w:pPr>
              <w:autoSpaceDE w:val="0"/>
              <w:autoSpaceDN w:val="0"/>
              <w:spacing w:line="400" w:lineRule="exact"/>
              <w:textAlignment w:val="bottom"/>
              <w:rPr>
                <w:color w:val="auto"/>
                <w:szCs w:val="21"/>
              </w:rPr>
            </w:pPr>
            <w:r>
              <w:rPr>
                <w:color w:val="auto"/>
                <w:spacing w:val="-2"/>
                <w:szCs w:val="21"/>
              </w:rPr>
              <w:t>投标截止时间及地点：</w:t>
            </w:r>
            <w:r>
              <w:rPr>
                <w:color w:val="auto"/>
              </w:rPr>
              <w:t>详见招标文件第一章《公开招标采购公告》。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pPr>
              <w:spacing w:line="400" w:lineRule="exact"/>
              <w:jc w:val="center"/>
              <w:rPr>
                <w:color w:val="auto"/>
                <w:szCs w:val="21"/>
              </w:rPr>
            </w:pPr>
            <w:r>
              <w:rPr>
                <w:color w:val="auto"/>
                <w:szCs w:val="21"/>
              </w:rPr>
              <w:t>8</w:t>
            </w:r>
          </w:p>
        </w:tc>
        <w:tc>
          <w:tcPr>
            <w:tcW w:w="7763" w:type="dxa"/>
            <w:vAlign w:val="center"/>
          </w:tcPr>
          <w:p>
            <w:pPr>
              <w:spacing w:line="400" w:lineRule="exact"/>
              <w:rPr>
                <w:color w:val="auto"/>
                <w:szCs w:val="21"/>
              </w:rPr>
            </w:pPr>
            <w:r>
              <w:rPr>
                <w:color w:val="auto"/>
                <w:szCs w:val="21"/>
              </w:rPr>
              <w:t>开标时间及地点：</w:t>
            </w:r>
            <w:r>
              <w:rPr>
                <w:color w:val="auto"/>
              </w:rPr>
              <w:t>详见招标文件第一章《公开招标采购公告》。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pPr>
              <w:spacing w:line="400" w:lineRule="exact"/>
              <w:jc w:val="center"/>
              <w:rPr>
                <w:color w:val="auto"/>
                <w:szCs w:val="21"/>
              </w:rPr>
            </w:pPr>
            <w:r>
              <w:rPr>
                <w:color w:val="auto"/>
                <w:szCs w:val="21"/>
              </w:rPr>
              <w:t>9</w:t>
            </w:r>
          </w:p>
        </w:tc>
        <w:tc>
          <w:tcPr>
            <w:tcW w:w="7763" w:type="dxa"/>
            <w:vAlign w:val="center"/>
          </w:tcPr>
          <w:p>
            <w:pPr>
              <w:spacing w:line="400" w:lineRule="exact"/>
              <w:rPr>
                <w:color w:val="auto"/>
                <w:szCs w:val="21"/>
              </w:rPr>
            </w:pPr>
            <w:r>
              <w:rPr>
                <w:color w:val="auto"/>
                <w:szCs w:val="21"/>
              </w:rPr>
              <w:t>评标办法及评分标准：详见第四章《评标办法及评分标准》。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pPr>
              <w:spacing w:line="400" w:lineRule="exact"/>
              <w:jc w:val="center"/>
              <w:rPr>
                <w:color w:val="auto"/>
                <w:szCs w:val="21"/>
              </w:rPr>
            </w:pPr>
            <w:r>
              <w:rPr>
                <w:color w:val="auto"/>
                <w:szCs w:val="21"/>
              </w:rPr>
              <w:t>10</w:t>
            </w:r>
          </w:p>
        </w:tc>
        <w:tc>
          <w:tcPr>
            <w:tcW w:w="7763" w:type="dxa"/>
            <w:vAlign w:val="center"/>
          </w:tcPr>
          <w:p>
            <w:pPr>
              <w:autoSpaceDE w:val="0"/>
              <w:autoSpaceDN w:val="0"/>
              <w:spacing w:line="400" w:lineRule="exact"/>
              <w:textAlignment w:val="bottom"/>
              <w:rPr>
                <w:color w:val="auto"/>
                <w:szCs w:val="21"/>
              </w:rPr>
            </w:pPr>
            <w:r>
              <w:rPr>
                <w:color w:val="auto"/>
                <w:szCs w:val="21"/>
              </w:rPr>
              <w:t>中标结果公示：评标结束后，评标结果公示于浙江政府采购网、宁波市政府采购网、宁波公共资源交易网余姚市分网和浙江科信联合工程项目管理咨询有限公司网。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6" w:hRule="atLeast"/>
          <w:jc w:val="center"/>
        </w:trPr>
        <w:tc>
          <w:tcPr>
            <w:tcW w:w="672" w:type="dxa"/>
            <w:vAlign w:val="center"/>
          </w:tcPr>
          <w:p>
            <w:pPr>
              <w:spacing w:line="400" w:lineRule="exact"/>
              <w:jc w:val="center"/>
              <w:rPr>
                <w:color w:val="auto"/>
                <w:szCs w:val="21"/>
              </w:rPr>
            </w:pPr>
            <w:r>
              <w:rPr>
                <w:color w:val="auto"/>
                <w:szCs w:val="21"/>
              </w:rPr>
              <w:t>11</w:t>
            </w:r>
          </w:p>
        </w:tc>
        <w:tc>
          <w:tcPr>
            <w:tcW w:w="7763" w:type="dxa"/>
            <w:vAlign w:val="center"/>
          </w:tcPr>
          <w:p>
            <w:pPr>
              <w:autoSpaceDE w:val="0"/>
              <w:autoSpaceDN w:val="0"/>
              <w:spacing w:line="400" w:lineRule="exact"/>
              <w:textAlignment w:val="bottom"/>
              <w:rPr>
                <w:color w:val="auto"/>
                <w:szCs w:val="21"/>
              </w:rPr>
            </w:pPr>
            <w:r>
              <w:rPr>
                <w:color w:val="auto"/>
                <w:szCs w:val="21"/>
              </w:rPr>
              <w:t>签订合同时间：中标通知书发出后30日内。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pPr>
              <w:spacing w:line="400" w:lineRule="exact"/>
              <w:jc w:val="center"/>
              <w:rPr>
                <w:color w:val="auto"/>
                <w:szCs w:val="21"/>
              </w:rPr>
            </w:pPr>
            <w:r>
              <w:rPr>
                <w:color w:val="auto"/>
                <w:szCs w:val="21"/>
              </w:rPr>
              <w:t>12</w:t>
            </w:r>
          </w:p>
        </w:tc>
        <w:tc>
          <w:tcPr>
            <w:tcW w:w="7763" w:type="dxa"/>
            <w:vAlign w:val="center"/>
          </w:tcPr>
          <w:p>
            <w:pPr>
              <w:autoSpaceDE w:val="0"/>
              <w:autoSpaceDN w:val="0"/>
              <w:spacing w:line="400" w:lineRule="exact"/>
              <w:textAlignment w:val="bottom"/>
              <w:rPr>
                <w:color w:val="auto"/>
                <w:szCs w:val="21"/>
              </w:rPr>
            </w:pPr>
            <w:r>
              <w:rPr>
                <w:color w:val="auto"/>
                <w:szCs w:val="21"/>
              </w:rPr>
              <w:t>采购资金来源：</w:t>
            </w:r>
            <w:r>
              <w:rPr>
                <w:rFonts w:hint="eastAsia"/>
                <w:color w:val="auto"/>
                <w:szCs w:val="21"/>
              </w:rPr>
              <w:t>单位自筹</w:t>
            </w:r>
            <w:r>
              <w:rPr>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pPr>
              <w:spacing w:line="400" w:lineRule="exact"/>
              <w:jc w:val="center"/>
              <w:rPr>
                <w:color w:val="auto"/>
                <w:szCs w:val="21"/>
              </w:rPr>
            </w:pPr>
            <w:r>
              <w:rPr>
                <w:color w:val="auto"/>
              </w:rPr>
              <w:t>*</w:t>
            </w:r>
            <w:r>
              <w:rPr>
                <w:color w:val="auto"/>
                <w:szCs w:val="21"/>
              </w:rPr>
              <w:t>13</w:t>
            </w:r>
          </w:p>
        </w:tc>
        <w:tc>
          <w:tcPr>
            <w:tcW w:w="7763" w:type="dxa"/>
            <w:vAlign w:val="center"/>
          </w:tcPr>
          <w:p>
            <w:pPr>
              <w:autoSpaceDE w:val="0"/>
              <w:autoSpaceDN w:val="0"/>
              <w:spacing w:line="400" w:lineRule="exact"/>
              <w:textAlignment w:val="bottom"/>
              <w:rPr>
                <w:color w:val="auto"/>
                <w:szCs w:val="21"/>
              </w:rPr>
            </w:pPr>
            <w:r>
              <w:rPr>
                <w:color w:val="auto"/>
                <w:szCs w:val="21"/>
              </w:rPr>
              <w:t>投标文件有效期：自投标截止之日起90天。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pPr>
              <w:spacing w:line="400" w:lineRule="exact"/>
              <w:jc w:val="center"/>
              <w:rPr>
                <w:color w:val="auto"/>
              </w:rPr>
            </w:pPr>
            <w:r>
              <w:rPr>
                <w:color w:val="auto"/>
              </w:rPr>
              <w:t>*14</w:t>
            </w:r>
          </w:p>
        </w:tc>
        <w:tc>
          <w:tcPr>
            <w:tcW w:w="7763" w:type="dxa"/>
            <w:vAlign w:val="center"/>
          </w:tcPr>
          <w:p>
            <w:pPr>
              <w:autoSpaceDE w:val="0"/>
              <w:autoSpaceDN w:val="0"/>
              <w:spacing w:line="400" w:lineRule="exact"/>
              <w:textAlignment w:val="bottom"/>
              <w:rPr>
                <w:color w:val="auto"/>
                <w:szCs w:val="21"/>
              </w:rPr>
            </w:pPr>
            <w:r>
              <w:rPr>
                <w:color w:val="auto"/>
                <w:szCs w:val="21"/>
              </w:rPr>
              <w:t>中标人如不遵守招标文件或投标文件各项条款的邀约与要约，或在接到中标通知书后借故拖延，拒签合同的，采购人将按《浙江省政府采购供应商注册及诚信管理暂行办法》的规定上报诚信状况。给采购人造成的损失的还应当予以赔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pPr>
              <w:spacing w:line="400" w:lineRule="exact"/>
              <w:jc w:val="center"/>
              <w:rPr>
                <w:color w:val="auto"/>
                <w:szCs w:val="21"/>
              </w:rPr>
            </w:pPr>
            <w:r>
              <w:rPr>
                <w:color w:val="auto"/>
                <w:szCs w:val="21"/>
              </w:rPr>
              <w:t>15</w:t>
            </w:r>
          </w:p>
        </w:tc>
        <w:tc>
          <w:tcPr>
            <w:tcW w:w="7763" w:type="dxa"/>
            <w:vAlign w:val="center"/>
          </w:tcPr>
          <w:p>
            <w:pPr>
              <w:autoSpaceDE w:val="0"/>
              <w:autoSpaceDN w:val="0"/>
              <w:spacing w:line="400" w:lineRule="exact"/>
              <w:textAlignment w:val="bottom"/>
              <w:rPr>
                <w:color w:val="auto"/>
                <w:szCs w:val="21"/>
              </w:rPr>
            </w:pPr>
            <w:r>
              <w:rPr>
                <w:color w:val="auto"/>
                <w:szCs w:val="21"/>
              </w:rPr>
              <w:t>解释：本招标文件的解释权属于代理机构。</w:t>
            </w:r>
          </w:p>
        </w:tc>
      </w:tr>
    </w:tbl>
    <w:p>
      <w:pPr>
        <w:pStyle w:val="25"/>
        <w:spacing w:before="0" w:beforeLines="0" w:after="0" w:afterLines="0" w:line="360" w:lineRule="auto"/>
        <w:rPr>
          <w:rFonts w:ascii="Times New Roman" w:hAnsi="Times New Roman"/>
          <w:b/>
          <w:color w:val="auto"/>
          <w:sz w:val="21"/>
          <w:szCs w:val="21"/>
        </w:rPr>
      </w:pPr>
      <w:r>
        <w:rPr>
          <w:rFonts w:ascii="Times New Roman" w:hAnsi="Times New Roman"/>
          <w:b/>
          <w:color w:val="auto"/>
          <w:sz w:val="21"/>
          <w:szCs w:val="21"/>
        </w:rPr>
        <w:br w:type="page"/>
      </w:r>
      <w:r>
        <w:rPr>
          <w:rFonts w:ascii="Times New Roman" w:hAnsi="Times New Roman"/>
          <w:b/>
          <w:color w:val="auto"/>
          <w:sz w:val="21"/>
          <w:szCs w:val="21"/>
        </w:rPr>
        <w:t>一、总则</w:t>
      </w:r>
    </w:p>
    <w:p>
      <w:pPr>
        <w:spacing w:line="360" w:lineRule="auto"/>
        <w:jc w:val="left"/>
        <w:rPr>
          <w:b/>
          <w:color w:val="auto"/>
          <w:szCs w:val="21"/>
        </w:rPr>
      </w:pPr>
      <w:r>
        <w:rPr>
          <w:b/>
          <w:color w:val="auto"/>
          <w:szCs w:val="21"/>
        </w:rPr>
        <w:t xml:space="preserve">   （一）适用范围</w:t>
      </w:r>
    </w:p>
    <w:p>
      <w:pPr>
        <w:spacing w:line="360" w:lineRule="auto"/>
        <w:ind w:firstLine="420" w:firstLineChars="200"/>
        <w:jc w:val="left"/>
        <w:rPr>
          <w:color w:val="auto"/>
          <w:szCs w:val="21"/>
        </w:rPr>
      </w:pPr>
      <w:r>
        <w:rPr>
          <w:color w:val="auto"/>
          <w:szCs w:val="21"/>
        </w:rPr>
        <w:t>本招标文件适用于本项目的招标、投标、评标、定标、验收、合同履约、付款等行为（法律、法规另有规定的，从其规定）。</w:t>
      </w:r>
    </w:p>
    <w:p>
      <w:pPr>
        <w:spacing w:line="360" w:lineRule="auto"/>
        <w:ind w:firstLine="310" w:firstLineChars="147"/>
        <w:jc w:val="left"/>
        <w:rPr>
          <w:b/>
          <w:color w:val="auto"/>
          <w:szCs w:val="21"/>
        </w:rPr>
      </w:pPr>
      <w:r>
        <w:rPr>
          <w:b/>
          <w:color w:val="auto"/>
          <w:szCs w:val="21"/>
        </w:rPr>
        <w:t>（二）定义</w:t>
      </w:r>
    </w:p>
    <w:p>
      <w:pPr>
        <w:spacing w:line="360" w:lineRule="auto"/>
        <w:ind w:firstLine="420" w:firstLineChars="200"/>
        <w:jc w:val="left"/>
        <w:rPr>
          <w:color w:val="auto"/>
          <w:szCs w:val="21"/>
        </w:rPr>
      </w:pPr>
      <w:r>
        <w:rPr>
          <w:color w:val="auto"/>
          <w:szCs w:val="21"/>
        </w:rPr>
        <w:t>1.“采购人”系指余姚舜智投资发展有限公司。</w:t>
      </w:r>
    </w:p>
    <w:p>
      <w:pPr>
        <w:spacing w:line="360" w:lineRule="auto"/>
        <w:ind w:firstLine="420" w:firstLineChars="200"/>
        <w:jc w:val="left"/>
        <w:rPr>
          <w:color w:val="auto"/>
          <w:szCs w:val="21"/>
        </w:rPr>
      </w:pPr>
      <w:r>
        <w:rPr>
          <w:color w:val="auto"/>
          <w:szCs w:val="21"/>
        </w:rPr>
        <w:t>2.“投标人”系指向采购人提交投标文件的单位。</w:t>
      </w:r>
    </w:p>
    <w:p>
      <w:pPr>
        <w:spacing w:line="360" w:lineRule="auto"/>
        <w:ind w:firstLine="420" w:firstLineChars="200"/>
        <w:jc w:val="left"/>
        <w:rPr>
          <w:color w:val="auto"/>
          <w:szCs w:val="21"/>
        </w:rPr>
      </w:pPr>
      <w:r>
        <w:rPr>
          <w:color w:val="auto"/>
          <w:szCs w:val="21"/>
        </w:rPr>
        <w:t>3.“产品”系指投标人按招标文件规定，须向采购人提供的一切设备、保险、税金、备品备件、工具、手册及其它有关技术资料和材料。</w:t>
      </w:r>
    </w:p>
    <w:p>
      <w:pPr>
        <w:spacing w:line="360" w:lineRule="auto"/>
        <w:ind w:firstLine="420" w:firstLineChars="200"/>
        <w:jc w:val="left"/>
        <w:rPr>
          <w:color w:val="auto"/>
          <w:szCs w:val="21"/>
        </w:rPr>
      </w:pPr>
      <w:r>
        <w:rPr>
          <w:color w:val="auto"/>
          <w:szCs w:val="21"/>
        </w:rPr>
        <w:t>4.“服务”系指招标文件规定投标人须承担的安装、调试、技术协助、校准、培训、技术指导、配合验收以及其他类似的服务。</w:t>
      </w:r>
    </w:p>
    <w:p>
      <w:pPr>
        <w:spacing w:line="360" w:lineRule="auto"/>
        <w:ind w:firstLine="420" w:firstLineChars="200"/>
        <w:jc w:val="left"/>
        <w:rPr>
          <w:color w:val="auto"/>
          <w:szCs w:val="21"/>
        </w:rPr>
      </w:pPr>
      <w:r>
        <w:rPr>
          <w:color w:val="auto"/>
          <w:szCs w:val="21"/>
        </w:rPr>
        <w:t>5.“项目”系指投标人按招标文件规定向采购人提供的产品和服务。</w:t>
      </w:r>
    </w:p>
    <w:p>
      <w:pPr>
        <w:spacing w:line="360" w:lineRule="auto"/>
        <w:ind w:firstLine="420" w:firstLineChars="200"/>
        <w:jc w:val="left"/>
        <w:rPr>
          <w:color w:val="auto"/>
          <w:szCs w:val="21"/>
        </w:rPr>
      </w:pPr>
      <w:r>
        <w:rPr>
          <w:color w:val="auto"/>
          <w:szCs w:val="21"/>
        </w:rPr>
        <w:t>6.“书面形式”包括信函、传真、电报等。</w:t>
      </w:r>
    </w:p>
    <w:p>
      <w:pPr>
        <w:spacing w:line="360" w:lineRule="auto"/>
        <w:ind w:firstLine="420" w:firstLineChars="200"/>
        <w:jc w:val="left"/>
        <w:rPr>
          <w:color w:val="auto"/>
          <w:szCs w:val="21"/>
        </w:rPr>
      </w:pPr>
      <w:r>
        <w:rPr>
          <w:color w:val="auto"/>
          <w:szCs w:val="21"/>
        </w:rPr>
        <w:t>7.“*</w:t>
      </w:r>
      <w:r>
        <w:rPr>
          <w:rFonts w:hint="eastAsia"/>
          <w:color w:val="auto"/>
          <w:szCs w:val="21"/>
        </w:rPr>
        <w:t>或</w:t>
      </w:r>
      <w:r>
        <w:rPr>
          <w:b/>
          <w:color w:val="auto"/>
          <w:szCs w:val="21"/>
        </w:rPr>
        <w:t>★</w:t>
      </w:r>
      <w:r>
        <w:rPr>
          <w:color w:val="auto"/>
          <w:szCs w:val="21"/>
        </w:rPr>
        <w:t>”系指实质性要求条款，任何负偏离和未作实质性响应都将直接导致无效标。</w:t>
      </w:r>
    </w:p>
    <w:p>
      <w:pPr>
        <w:spacing w:line="360" w:lineRule="auto"/>
        <w:ind w:firstLine="413" w:firstLineChars="196"/>
        <w:jc w:val="left"/>
        <w:rPr>
          <w:b/>
          <w:color w:val="auto"/>
          <w:szCs w:val="21"/>
        </w:rPr>
      </w:pPr>
      <w:r>
        <w:rPr>
          <w:b/>
          <w:color w:val="auto"/>
          <w:szCs w:val="21"/>
        </w:rPr>
        <w:t>（三）招标方式</w:t>
      </w:r>
    </w:p>
    <w:p>
      <w:pPr>
        <w:spacing w:line="360" w:lineRule="auto"/>
        <w:ind w:firstLine="420" w:firstLineChars="200"/>
        <w:jc w:val="left"/>
        <w:rPr>
          <w:color w:val="auto"/>
          <w:szCs w:val="21"/>
        </w:rPr>
      </w:pPr>
      <w:r>
        <w:rPr>
          <w:color w:val="auto"/>
          <w:szCs w:val="21"/>
        </w:rPr>
        <w:t>本次招标采用公开招标方式进行。</w:t>
      </w:r>
    </w:p>
    <w:p>
      <w:pPr>
        <w:spacing w:line="360" w:lineRule="auto"/>
        <w:ind w:firstLine="413" w:firstLineChars="196"/>
        <w:jc w:val="left"/>
        <w:rPr>
          <w:b/>
          <w:color w:val="auto"/>
          <w:szCs w:val="21"/>
        </w:rPr>
      </w:pPr>
      <w:r>
        <w:rPr>
          <w:b/>
          <w:color w:val="auto"/>
          <w:szCs w:val="21"/>
        </w:rPr>
        <w:t>（四）投标委托</w:t>
      </w:r>
    </w:p>
    <w:p>
      <w:pPr>
        <w:spacing w:line="360" w:lineRule="auto"/>
        <w:ind w:firstLine="411" w:firstLineChars="196"/>
        <w:rPr>
          <w:color w:val="auto"/>
          <w:szCs w:val="21"/>
        </w:rPr>
      </w:pPr>
      <w:r>
        <w:rPr>
          <w:color w:val="auto"/>
          <w:szCs w:val="21"/>
        </w:rPr>
        <w:t>投标人代表须携带有效身份证件。如投标人代表不是该单位法定代表人，须有该单位的法定代表人出具的授权委托书（投标文件正本用原件，副本可用复印件）并在投标文件中提供投标人代表的社保部门出具的距离开标日近三个月任意一个月的社保证明，未按上述要求提供社保证明的作无效标处理。</w:t>
      </w:r>
    </w:p>
    <w:p>
      <w:pPr>
        <w:spacing w:line="360" w:lineRule="auto"/>
        <w:ind w:firstLine="413" w:firstLineChars="196"/>
        <w:jc w:val="left"/>
        <w:rPr>
          <w:b/>
          <w:color w:val="auto"/>
          <w:szCs w:val="21"/>
        </w:rPr>
      </w:pPr>
      <w:r>
        <w:rPr>
          <w:b/>
          <w:color w:val="auto"/>
          <w:szCs w:val="21"/>
        </w:rPr>
        <w:t>（五）投标费用</w:t>
      </w:r>
    </w:p>
    <w:p>
      <w:pPr>
        <w:spacing w:line="360" w:lineRule="auto"/>
        <w:ind w:firstLine="420" w:firstLineChars="200"/>
        <w:jc w:val="left"/>
        <w:rPr>
          <w:color w:val="auto"/>
          <w:szCs w:val="21"/>
        </w:rPr>
      </w:pPr>
      <w:r>
        <w:rPr>
          <w:color w:val="auto"/>
          <w:szCs w:val="21"/>
        </w:rPr>
        <w:t>不论投标结果如何，投标人均应自行承担所有与投标有关的全部费用（招标文件有相反规定除外）。</w:t>
      </w:r>
    </w:p>
    <w:p>
      <w:pPr>
        <w:spacing w:line="360" w:lineRule="auto"/>
        <w:ind w:firstLine="413" w:firstLineChars="196"/>
        <w:jc w:val="left"/>
        <w:rPr>
          <w:b/>
          <w:color w:val="auto"/>
          <w:szCs w:val="21"/>
        </w:rPr>
      </w:pPr>
      <w:r>
        <w:rPr>
          <w:b/>
          <w:color w:val="auto"/>
          <w:szCs w:val="21"/>
        </w:rPr>
        <w:t>（六）联合体投标</w:t>
      </w:r>
    </w:p>
    <w:p>
      <w:pPr>
        <w:spacing w:line="360" w:lineRule="auto"/>
        <w:jc w:val="left"/>
        <w:rPr>
          <w:color w:val="auto"/>
          <w:szCs w:val="21"/>
        </w:rPr>
      </w:pPr>
      <w:r>
        <w:rPr>
          <w:color w:val="auto"/>
          <w:szCs w:val="21"/>
        </w:rPr>
        <w:t xml:space="preserve">    本项目接受联合体投标。</w:t>
      </w:r>
    </w:p>
    <w:p>
      <w:pPr>
        <w:spacing w:line="360" w:lineRule="auto"/>
        <w:ind w:firstLine="413" w:firstLineChars="196"/>
        <w:rPr>
          <w:b/>
          <w:color w:val="auto"/>
          <w:kern w:val="0"/>
          <w:szCs w:val="21"/>
        </w:rPr>
      </w:pPr>
      <w:r>
        <w:rPr>
          <w:b/>
          <w:color w:val="auto"/>
          <w:szCs w:val="21"/>
        </w:rPr>
        <w:t>（七）</w:t>
      </w:r>
      <w:r>
        <w:rPr>
          <w:b/>
          <w:color w:val="auto"/>
          <w:kern w:val="0"/>
          <w:szCs w:val="21"/>
        </w:rPr>
        <w:t>转包与分包</w:t>
      </w:r>
    </w:p>
    <w:p>
      <w:pPr>
        <w:spacing w:line="360" w:lineRule="auto"/>
        <w:ind w:firstLine="420" w:firstLineChars="200"/>
        <w:jc w:val="left"/>
        <w:rPr>
          <w:color w:val="auto"/>
          <w:szCs w:val="21"/>
        </w:rPr>
      </w:pPr>
      <w:r>
        <w:rPr>
          <w:color w:val="auto"/>
          <w:szCs w:val="21"/>
        </w:rPr>
        <w:t>本项目允许分包。当分包份额占到合同总金额100%时，视为转包，此情况根据中华人民共和国政府采购法实施条例第七十二条 依照政府采购法第七十七条第一款的规定追究法律责任。</w:t>
      </w:r>
    </w:p>
    <w:p>
      <w:pPr>
        <w:spacing w:line="360" w:lineRule="auto"/>
        <w:ind w:firstLine="413" w:firstLineChars="196"/>
        <w:jc w:val="left"/>
        <w:rPr>
          <w:b/>
          <w:color w:val="auto"/>
          <w:szCs w:val="21"/>
        </w:rPr>
      </w:pPr>
      <w:r>
        <w:rPr>
          <w:b/>
          <w:color w:val="auto"/>
          <w:szCs w:val="21"/>
        </w:rPr>
        <w:t>（八）特别说明：</w:t>
      </w:r>
    </w:p>
    <w:p>
      <w:pPr>
        <w:pStyle w:val="25"/>
        <w:spacing w:before="0" w:beforeLines="0" w:after="0" w:afterLines="0" w:line="360" w:lineRule="auto"/>
        <w:ind w:firstLine="420" w:firstLineChars="200"/>
        <w:rPr>
          <w:rFonts w:ascii="Times New Roman" w:hAnsi="Times New Roman"/>
          <w:color w:val="auto"/>
          <w:sz w:val="21"/>
          <w:szCs w:val="21"/>
        </w:rPr>
      </w:pPr>
      <w:r>
        <w:rPr>
          <w:rFonts w:ascii="Times New Roman" w:hAnsi="Times New Roman"/>
          <w:color w:val="auto"/>
          <w:sz w:val="21"/>
          <w:szCs w:val="21"/>
        </w:rPr>
        <w:t>1、投标人在投标活动中提供任何虚假材料，其投标无效，并报监管部门查处。</w:t>
      </w:r>
    </w:p>
    <w:p>
      <w:pPr>
        <w:pStyle w:val="25"/>
        <w:spacing w:before="0" w:beforeLines="0" w:after="0" w:afterLines="0" w:line="360" w:lineRule="auto"/>
        <w:ind w:firstLine="420" w:firstLineChars="200"/>
        <w:rPr>
          <w:rFonts w:ascii="Times New Roman" w:hAnsi="Times New Roman"/>
          <w:color w:val="auto"/>
          <w:sz w:val="21"/>
          <w:szCs w:val="21"/>
        </w:rPr>
      </w:pPr>
      <w:r>
        <w:rPr>
          <w:rFonts w:ascii="Times New Roman" w:hAnsi="Times New Roman"/>
          <w:color w:val="auto"/>
          <w:sz w:val="21"/>
          <w:szCs w:val="21"/>
        </w:rPr>
        <w:t>2、单位负责人为同一人或者存在直接控股、管理关系的不同投标人，不得参加同一合同项下的政府采购活动。</w:t>
      </w:r>
    </w:p>
    <w:p>
      <w:pPr>
        <w:pStyle w:val="25"/>
        <w:spacing w:before="0" w:beforeLines="0" w:after="0" w:afterLines="0" w:line="360" w:lineRule="auto"/>
        <w:ind w:firstLine="420" w:firstLineChars="200"/>
        <w:rPr>
          <w:rFonts w:ascii="Times New Roman" w:hAnsi="Times New Roman"/>
          <w:color w:val="auto"/>
          <w:sz w:val="21"/>
          <w:szCs w:val="21"/>
        </w:rPr>
      </w:pPr>
      <w:r>
        <w:rPr>
          <w:rFonts w:ascii="Times New Roman" w:hAnsi="Times New Roman"/>
          <w:color w:val="auto"/>
          <w:sz w:val="21"/>
          <w:szCs w:val="21"/>
        </w:rPr>
        <w:t>除单一来源采购项目外，为采购项目提供整体设计、规范编制或者项目管理、监理、检测等服务的投标人，不得再参加本项目投标。</w:t>
      </w:r>
    </w:p>
    <w:p>
      <w:pPr>
        <w:pStyle w:val="25"/>
        <w:spacing w:before="0" w:beforeLines="0" w:after="0" w:afterLines="0" w:line="360" w:lineRule="auto"/>
        <w:ind w:firstLine="420" w:firstLineChars="200"/>
        <w:rPr>
          <w:rFonts w:ascii="Times New Roman" w:hAnsi="Times New Roman"/>
          <w:color w:val="auto"/>
          <w:sz w:val="21"/>
          <w:szCs w:val="21"/>
        </w:rPr>
      </w:pPr>
      <w:r>
        <w:rPr>
          <w:rFonts w:ascii="Times New Roman" w:hAnsi="Times New Roman"/>
          <w:color w:val="auto"/>
          <w:sz w:val="21"/>
          <w:szCs w:val="21"/>
        </w:rPr>
        <w:t>3、提供相同品牌产品且通过资格审查、符合性审查的不同投标人参加同一合同项下投标的，按一家投标人计算。</w:t>
      </w:r>
    </w:p>
    <w:p>
      <w:pPr>
        <w:pStyle w:val="25"/>
        <w:spacing w:before="0" w:beforeLines="0" w:after="0" w:afterLines="0" w:line="360" w:lineRule="auto"/>
        <w:ind w:firstLine="420" w:firstLineChars="200"/>
        <w:rPr>
          <w:rFonts w:ascii="Times New Roman" w:hAnsi="Times New Roman"/>
          <w:color w:val="auto"/>
          <w:sz w:val="21"/>
          <w:szCs w:val="21"/>
        </w:rPr>
      </w:pPr>
      <w:r>
        <w:rPr>
          <w:rFonts w:ascii="Times New Roman" w:hAnsi="Times New Roman"/>
          <w:color w:val="auto"/>
          <w:sz w:val="21"/>
          <w:szCs w:val="21"/>
        </w:rPr>
        <w:t>若采用综合评分法进行评审的，评审后得分最高的同品牌投标人获得中标人推荐资格；评审得分相同的，由评审小组按照采购文件规定的方式确定一个投标人获得中标人的推荐资格，采购文件未规定的采取随机抽取的方式确定，其他同品牌投标人不作为中标候选人。</w:t>
      </w:r>
    </w:p>
    <w:p>
      <w:pPr>
        <w:pStyle w:val="25"/>
        <w:spacing w:before="0" w:beforeLines="0" w:after="0" w:afterLines="0" w:line="360" w:lineRule="auto"/>
        <w:ind w:firstLine="420" w:firstLineChars="200"/>
        <w:rPr>
          <w:rFonts w:ascii="Times New Roman" w:hAnsi="Times New Roman"/>
          <w:color w:val="auto"/>
          <w:sz w:val="21"/>
          <w:szCs w:val="21"/>
        </w:rPr>
      </w:pPr>
      <w:r>
        <w:rPr>
          <w:rFonts w:ascii="Times New Roman" w:hAnsi="Times New Roman"/>
          <w:color w:val="auto"/>
          <w:sz w:val="21"/>
          <w:szCs w:val="21"/>
        </w:rPr>
        <w:t>非单一产品采购项目，投标人使用相同制造产品（相同制造产品是指采购文件中指定的“核心产品”）作为其项目的一部分，按一家投标人认定。</w:t>
      </w:r>
    </w:p>
    <w:p>
      <w:pPr>
        <w:spacing w:line="360" w:lineRule="auto"/>
        <w:ind w:firstLine="422" w:firstLineChars="200"/>
        <w:rPr>
          <w:b/>
          <w:color w:val="auto"/>
          <w:szCs w:val="21"/>
        </w:rPr>
      </w:pPr>
      <w:r>
        <w:rPr>
          <w:b/>
          <w:color w:val="auto"/>
          <w:kern w:val="0"/>
          <w:szCs w:val="21"/>
        </w:rPr>
        <w:t>（九）</w:t>
      </w:r>
      <w:r>
        <w:rPr>
          <w:b/>
          <w:color w:val="auto"/>
          <w:szCs w:val="21"/>
        </w:rPr>
        <w:t>关于分公司投标</w:t>
      </w:r>
    </w:p>
    <w:p>
      <w:pPr>
        <w:spacing w:line="360" w:lineRule="auto"/>
        <w:ind w:firstLine="420" w:firstLineChars="200"/>
        <w:rPr>
          <w:color w:val="auto"/>
          <w:szCs w:val="21"/>
        </w:rPr>
      </w:pPr>
      <w:r>
        <w:rPr>
          <w:color w:val="auto"/>
          <w:szCs w:val="21"/>
        </w:rPr>
        <w:t>除银行、保险、石油石化、电力、电信、移动、联通等行业外，分公司投标的，需在投标文件中提供具有法人资格的总公司的营业执照及授权书，授权书须加盖总公司公章。总公司可就本项目或此类项目在一定范围或时间内出具授权书。已由总公司授权的，总公司取得的相关资质证书对分公司有效。分支机构参加投标的，由分支机构负责人签署的相关投标资料与本招标文件规定由法定代表人签署的的文件材料具有同等效力。</w:t>
      </w:r>
    </w:p>
    <w:p>
      <w:pPr>
        <w:spacing w:line="360" w:lineRule="auto"/>
        <w:ind w:firstLine="422" w:firstLineChars="200"/>
        <w:rPr>
          <w:b/>
          <w:color w:val="auto"/>
          <w:szCs w:val="21"/>
        </w:rPr>
      </w:pPr>
      <w:r>
        <w:rPr>
          <w:b/>
          <w:color w:val="auto"/>
          <w:szCs w:val="21"/>
        </w:rPr>
        <w:t>（十）关于知识产权</w:t>
      </w:r>
    </w:p>
    <w:p>
      <w:pPr>
        <w:spacing w:line="360" w:lineRule="auto"/>
        <w:ind w:firstLine="420" w:firstLineChars="200"/>
        <w:rPr>
          <w:color w:val="auto"/>
          <w:szCs w:val="21"/>
        </w:rPr>
      </w:pPr>
      <w:r>
        <w:rPr>
          <w:color w:val="auto"/>
          <w:szCs w:val="21"/>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spacing w:line="360" w:lineRule="auto"/>
        <w:ind w:firstLine="420" w:firstLineChars="200"/>
        <w:rPr>
          <w:color w:val="auto"/>
          <w:szCs w:val="21"/>
        </w:rPr>
      </w:pPr>
      <w:r>
        <w:rPr>
          <w:color w:val="auto"/>
          <w:szCs w:val="21"/>
        </w:rPr>
        <w:t>2、投标报价应包含所有应向所有权人支付的专利权、商标权或其它知识产权的一切相关费用。</w:t>
      </w:r>
    </w:p>
    <w:p>
      <w:pPr>
        <w:spacing w:line="360" w:lineRule="auto"/>
        <w:ind w:firstLine="420" w:firstLineChars="200"/>
        <w:rPr>
          <w:color w:val="auto"/>
          <w:szCs w:val="21"/>
        </w:rPr>
      </w:pPr>
      <w:r>
        <w:rPr>
          <w:color w:val="auto"/>
          <w:szCs w:val="21"/>
        </w:rPr>
        <w:t>3、系统软件、通用软件必须是具有在中国境内的合法使用权或版权的正版软件，涉及到第三方提出侵权或知识产权的起诉及支付版税等费用由投标人承担所有责任及费用。</w:t>
      </w:r>
    </w:p>
    <w:p>
      <w:pPr>
        <w:pStyle w:val="25"/>
        <w:widowControl/>
        <w:spacing w:before="0" w:beforeLines="0" w:after="0" w:afterLines="0" w:line="360" w:lineRule="auto"/>
        <w:ind w:firstLine="422" w:firstLineChars="200"/>
        <w:jc w:val="left"/>
        <w:rPr>
          <w:rFonts w:ascii="Times New Roman" w:hAnsi="Times New Roman"/>
          <w:b/>
          <w:color w:val="auto"/>
          <w:sz w:val="21"/>
          <w:szCs w:val="21"/>
        </w:rPr>
      </w:pPr>
      <w:r>
        <w:rPr>
          <w:rFonts w:ascii="Times New Roman" w:hAnsi="Times New Roman"/>
          <w:b/>
          <w:color w:val="auto"/>
          <w:sz w:val="21"/>
          <w:szCs w:val="21"/>
        </w:rPr>
        <w:t>（十一）质疑和投诉</w:t>
      </w:r>
    </w:p>
    <w:p>
      <w:pPr>
        <w:pStyle w:val="25"/>
        <w:widowControl/>
        <w:spacing w:before="0" w:beforeLines="0" w:after="0" w:afterLines="0" w:line="360" w:lineRule="auto"/>
        <w:ind w:firstLine="420" w:firstLineChars="200"/>
        <w:jc w:val="left"/>
        <w:rPr>
          <w:rFonts w:ascii="Times New Roman" w:hAnsi="Times New Roman"/>
          <w:bCs/>
          <w:color w:val="auto"/>
          <w:sz w:val="21"/>
          <w:szCs w:val="21"/>
        </w:rPr>
      </w:pPr>
      <w:r>
        <w:rPr>
          <w:rFonts w:ascii="Times New Roman" w:hAnsi="Times New Roman"/>
          <w:bCs/>
          <w:color w:val="auto"/>
          <w:sz w:val="21"/>
          <w:szCs w:val="21"/>
        </w:rPr>
        <w:t>1、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pStyle w:val="25"/>
        <w:widowControl/>
        <w:spacing w:before="0" w:beforeLines="0" w:after="0" w:afterLines="0" w:line="360" w:lineRule="auto"/>
        <w:ind w:firstLine="420" w:firstLineChars="200"/>
        <w:jc w:val="left"/>
        <w:rPr>
          <w:rFonts w:ascii="Times New Roman" w:hAnsi="Times New Roman"/>
          <w:bCs/>
          <w:color w:val="auto"/>
          <w:sz w:val="21"/>
          <w:szCs w:val="21"/>
        </w:rPr>
      </w:pPr>
      <w:r>
        <w:rPr>
          <w:rFonts w:ascii="Times New Roman" w:hAnsi="Times New Roman"/>
          <w:bCs/>
          <w:color w:val="auto"/>
          <w:sz w:val="21"/>
          <w:szCs w:val="21"/>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pStyle w:val="25"/>
        <w:widowControl/>
        <w:spacing w:before="0" w:beforeLines="0" w:after="0" w:afterLines="0" w:line="360" w:lineRule="auto"/>
        <w:ind w:firstLine="420" w:firstLineChars="200"/>
        <w:jc w:val="left"/>
        <w:rPr>
          <w:rFonts w:ascii="Times New Roman" w:hAnsi="Times New Roman"/>
          <w:bCs/>
          <w:color w:val="auto"/>
          <w:sz w:val="21"/>
          <w:szCs w:val="21"/>
        </w:rPr>
      </w:pPr>
      <w:r>
        <w:rPr>
          <w:rFonts w:ascii="Times New Roman" w:hAnsi="Times New Roman"/>
          <w:bCs/>
          <w:color w:val="auto"/>
          <w:sz w:val="21"/>
          <w:szCs w:val="21"/>
        </w:rPr>
        <w:t>3、供应商提出质疑应当提交质疑函和必要的证明材料，质疑函应当面以书面形式提出，质疑函格式和内容须符合财政部《质疑函范本》要求，供应商可到中国政府采购网自行下载财政部《质疑函范本》。</w:t>
      </w:r>
    </w:p>
    <w:p>
      <w:pPr>
        <w:pStyle w:val="25"/>
        <w:widowControl/>
        <w:spacing w:before="0" w:beforeLines="0" w:after="0" w:afterLines="0" w:line="360" w:lineRule="auto"/>
        <w:ind w:firstLine="420" w:firstLineChars="200"/>
        <w:jc w:val="left"/>
        <w:rPr>
          <w:rFonts w:ascii="Times New Roman" w:hAnsi="Times New Roman"/>
          <w:bCs/>
          <w:color w:val="auto"/>
          <w:sz w:val="21"/>
          <w:szCs w:val="21"/>
        </w:rPr>
      </w:pPr>
      <w:r>
        <w:rPr>
          <w:rFonts w:ascii="Times New Roman" w:hAnsi="Times New Roman"/>
          <w:bCs/>
          <w:color w:val="auto"/>
          <w:sz w:val="21"/>
          <w:szCs w:val="21"/>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pPr>
        <w:pStyle w:val="25"/>
        <w:widowControl/>
        <w:spacing w:before="0" w:beforeLines="0" w:after="0" w:afterLines="0" w:line="360" w:lineRule="auto"/>
        <w:ind w:firstLine="420" w:firstLineChars="200"/>
        <w:jc w:val="left"/>
        <w:rPr>
          <w:rFonts w:ascii="Times New Roman" w:hAnsi="Times New Roman"/>
          <w:bCs/>
          <w:color w:val="auto"/>
          <w:sz w:val="21"/>
          <w:szCs w:val="21"/>
        </w:rPr>
      </w:pPr>
      <w:r>
        <w:rPr>
          <w:rFonts w:ascii="Times New Roman" w:hAnsi="Times New Roman"/>
          <w:bCs/>
          <w:color w:val="auto"/>
          <w:sz w:val="21"/>
          <w:szCs w:val="21"/>
        </w:rPr>
        <w:t>5、供应商对采购人或采购代理机构的质疑答复不满意或者采购人或采购代理机构未在规定时间内作出答复的，可以在答复期满后十五个工作日内向同级采购监管部门投诉。</w:t>
      </w:r>
    </w:p>
    <w:p>
      <w:pPr>
        <w:pStyle w:val="25"/>
        <w:spacing w:before="0" w:beforeLines="0" w:after="0" w:afterLines="0" w:line="360" w:lineRule="auto"/>
        <w:rPr>
          <w:rFonts w:ascii="Times New Roman" w:hAnsi="Times New Roman"/>
          <w:b/>
          <w:color w:val="auto"/>
          <w:sz w:val="21"/>
          <w:szCs w:val="21"/>
        </w:rPr>
      </w:pPr>
    </w:p>
    <w:p>
      <w:pPr>
        <w:pStyle w:val="25"/>
        <w:spacing w:before="0" w:beforeLines="0" w:after="0" w:afterLines="0" w:line="360" w:lineRule="auto"/>
        <w:rPr>
          <w:rFonts w:ascii="Times New Roman" w:hAnsi="Times New Roman"/>
          <w:b/>
          <w:color w:val="auto"/>
          <w:sz w:val="21"/>
          <w:szCs w:val="21"/>
        </w:rPr>
      </w:pPr>
      <w:r>
        <w:rPr>
          <w:rFonts w:ascii="Times New Roman" w:hAnsi="Times New Roman"/>
          <w:b/>
          <w:color w:val="auto"/>
          <w:sz w:val="21"/>
          <w:szCs w:val="21"/>
        </w:rPr>
        <w:t>二、招标文件</w:t>
      </w:r>
    </w:p>
    <w:p>
      <w:pPr>
        <w:spacing w:line="360" w:lineRule="auto"/>
        <w:ind w:firstLine="413" w:firstLineChars="196"/>
        <w:jc w:val="left"/>
        <w:rPr>
          <w:b/>
          <w:color w:val="auto"/>
          <w:szCs w:val="21"/>
        </w:rPr>
      </w:pPr>
      <w:r>
        <w:rPr>
          <w:b/>
          <w:color w:val="auto"/>
          <w:szCs w:val="21"/>
        </w:rPr>
        <w:t>（一）招标文件的构成。本招标文件由以下部份组成：</w:t>
      </w:r>
    </w:p>
    <w:p>
      <w:pPr>
        <w:widowControl/>
        <w:spacing w:line="360" w:lineRule="auto"/>
        <w:ind w:firstLine="420" w:firstLineChars="200"/>
        <w:jc w:val="left"/>
        <w:rPr>
          <w:color w:val="auto"/>
          <w:szCs w:val="21"/>
        </w:rPr>
      </w:pPr>
      <w:r>
        <w:rPr>
          <w:color w:val="auto"/>
          <w:szCs w:val="21"/>
        </w:rPr>
        <w:t>1.公开招标采购公告</w:t>
      </w:r>
    </w:p>
    <w:p>
      <w:pPr>
        <w:widowControl/>
        <w:spacing w:line="360" w:lineRule="auto"/>
        <w:ind w:firstLine="420" w:firstLineChars="200"/>
        <w:jc w:val="left"/>
        <w:rPr>
          <w:color w:val="auto"/>
          <w:szCs w:val="21"/>
        </w:rPr>
      </w:pPr>
      <w:r>
        <w:rPr>
          <w:color w:val="auto"/>
          <w:szCs w:val="21"/>
        </w:rPr>
        <w:t>2.招标需求</w:t>
      </w:r>
    </w:p>
    <w:p>
      <w:pPr>
        <w:widowControl/>
        <w:spacing w:line="360" w:lineRule="auto"/>
        <w:ind w:firstLine="420" w:firstLineChars="200"/>
        <w:jc w:val="left"/>
        <w:rPr>
          <w:color w:val="auto"/>
          <w:szCs w:val="21"/>
        </w:rPr>
      </w:pPr>
      <w:r>
        <w:rPr>
          <w:color w:val="auto"/>
          <w:szCs w:val="21"/>
        </w:rPr>
        <w:t>3.投标人须知</w:t>
      </w:r>
    </w:p>
    <w:p>
      <w:pPr>
        <w:widowControl/>
        <w:spacing w:line="360" w:lineRule="auto"/>
        <w:ind w:firstLine="420" w:firstLineChars="200"/>
        <w:jc w:val="left"/>
        <w:rPr>
          <w:color w:val="auto"/>
          <w:szCs w:val="21"/>
        </w:rPr>
      </w:pPr>
      <w:r>
        <w:rPr>
          <w:color w:val="auto"/>
          <w:szCs w:val="21"/>
        </w:rPr>
        <w:t>4.评标办法及评分标准</w:t>
      </w:r>
    </w:p>
    <w:p>
      <w:pPr>
        <w:widowControl/>
        <w:spacing w:line="360" w:lineRule="auto"/>
        <w:ind w:firstLine="420" w:firstLineChars="200"/>
        <w:jc w:val="left"/>
        <w:rPr>
          <w:color w:val="auto"/>
          <w:szCs w:val="21"/>
        </w:rPr>
      </w:pPr>
      <w:r>
        <w:rPr>
          <w:color w:val="auto"/>
          <w:szCs w:val="21"/>
        </w:rPr>
        <w:t>5.政府采购合同主要条款</w:t>
      </w:r>
    </w:p>
    <w:p>
      <w:pPr>
        <w:spacing w:line="360" w:lineRule="auto"/>
        <w:ind w:firstLine="420" w:firstLineChars="200"/>
        <w:jc w:val="left"/>
        <w:rPr>
          <w:color w:val="auto"/>
          <w:szCs w:val="21"/>
        </w:rPr>
      </w:pPr>
      <w:r>
        <w:rPr>
          <w:color w:val="auto"/>
          <w:szCs w:val="21"/>
        </w:rPr>
        <w:t>6.投标文件格式</w:t>
      </w:r>
    </w:p>
    <w:p>
      <w:pPr>
        <w:spacing w:line="360" w:lineRule="auto"/>
        <w:ind w:firstLine="420" w:firstLineChars="200"/>
        <w:jc w:val="left"/>
        <w:rPr>
          <w:color w:val="auto"/>
          <w:szCs w:val="21"/>
        </w:rPr>
      </w:pPr>
      <w:r>
        <w:rPr>
          <w:color w:val="auto"/>
          <w:szCs w:val="21"/>
        </w:rPr>
        <w:t>7.本项目招标文件的澄清、答复、修改、补充的内容</w:t>
      </w:r>
    </w:p>
    <w:p>
      <w:pPr>
        <w:spacing w:line="360" w:lineRule="auto"/>
        <w:ind w:firstLine="413" w:firstLineChars="196"/>
        <w:jc w:val="left"/>
        <w:rPr>
          <w:b/>
          <w:color w:val="auto"/>
          <w:szCs w:val="21"/>
        </w:rPr>
      </w:pPr>
      <w:r>
        <w:rPr>
          <w:b/>
          <w:color w:val="auto"/>
          <w:szCs w:val="21"/>
        </w:rPr>
        <w:t>（二）投标人的风险</w:t>
      </w:r>
    </w:p>
    <w:p>
      <w:pPr>
        <w:spacing w:line="360" w:lineRule="auto"/>
        <w:ind w:firstLine="420" w:firstLineChars="200"/>
        <w:rPr>
          <w:color w:val="auto"/>
          <w:szCs w:val="21"/>
        </w:rPr>
      </w:pPr>
      <w:r>
        <w:rPr>
          <w:color w:val="auto"/>
          <w:szCs w:val="21"/>
        </w:rPr>
        <w:t>1、投标人应详细阅读采购文件中的全部内容和要求，按照采购文件的要求提交投标文件，没有按照采购文件要求提供投标文件和资料导致的风险由投标人承担,并对所提供的全部资料的真实性承担法律责任。</w:t>
      </w:r>
    </w:p>
    <w:p>
      <w:pPr>
        <w:spacing w:line="360" w:lineRule="auto"/>
        <w:ind w:firstLine="420" w:firstLineChars="200"/>
        <w:rPr>
          <w:color w:val="auto"/>
          <w:szCs w:val="21"/>
        </w:rPr>
      </w:pPr>
      <w:r>
        <w:rPr>
          <w:color w:val="auto"/>
          <w:szCs w:val="21"/>
        </w:rPr>
        <w:t>2、</w:t>
      </w:r>
      <w:r>
        <w:rPr>
          <w:bCs/>
          <w:color w:val="auto"/>
          <w:szCs w:val="21"/>
        </w:rPr>
        <w:t>无论因何种原因导致本次采购活动终止致投标人损失的</w:t>
      </w:r>
      <w:r>
        <w:rPr>
          <w:color w:val="auto"/>
          <w:szCs w:val="21"/>
        </w:rPr>
        <w:t>，相关责任人均不承担任何责任。</w:t>
      </w:r>
    </w:p>
    <w:p>
      <w:pPr>
        <w:pStyle w:val="11"/>
        <w:widowControl w:val="0"/>
        <w:tabs>
          <w:tab w:val="clear" w:pos="454"/>
        </w:tabs>
        <w:spacing w:after="0" w:afterLines="0" w:line="360" w:lineRule="auto"/>
        <w:ind w:left="0" w:firstLine="413" w:firstLineChars="196"/>
        <w:rPr>
          <w:b/>
          <w:color w:val="auto"/>
          <w:sz w:val="21"/>
          <w:szCs w:val="21"/>
        </w:rPr>
      </w:pPr>
      <w:r>
        <w:rPr>
          <w:b/>
          <w:color w:val="auto"/>
          <w:sz w:val="21"/>
          <w:szCs w:val="21"/>
        </w:rPr>
        <w:t xml:space="preserve">（三）招标文件的澄清与修改 </w:t>
      </w:r>
    </w:p>
    <w:p>
      <w:pPr>
        <w:pStyle w:val="25"/>
        <w:spacing w:before="0" w:beforeLines="0" w:after="0" w:afterLines="0" w:line="360" w:lineRule="auto"/>
        <w:ind w:firstLine="413"/>
        <w:rPr>
          <w:rFonts w:ascii="Times New Roman" w:hAnsi="Times New Roman"/>
          <w:color w:val="auto"/>
          <w:sz w:val="21"/>
          <w:szCs w:val="21"/>
        </w:rPr>
      </w:pPr>
      <w:r>
        <w:rPr>
          <w:rFonts w:ascii="Times New Roman" w:hAnsi="Times New Roman"/>
          <w:color w:val="auto"/>
          <w:sz w:val="21"/>
          <w:szCs w:val="21"/>
        </w:rPr>
        <w:t>1、采购人对采购文件进行必要的澄清或者修改的，在发布招标公告的网站上发布更正公告。澄清或者修改的内容可能影响投标文件编制的，更正公告在投标截止时间至少15日前发出；不足15日的，顺延提交投标文件截止时间。</w:t>
      </w:r>
    </w:p>
    <w:p>
      <w:pPr>
        <w:pStyle w:val="25"/>
        <w:spacing w:before="0" w:beforeLines="0" w:after="0" w:afterLines="0" w:line="360" w:lineRule="auto"/>
        <w:ind w:firstLine="413"/>
        <w:rPr>
          <w:rFonts w:ascii="Times New Roman" w:hAnsi="Times New Roman"/>
          <w:color w:val="auto"/>
          <w:sz w:val="21"/>
          <w:szCs w:val="21"/>
        </w:rPr>
      </w:pPr>
      <w:r>
        <w:rPr>
          <w:rFonts w:ascii="Times New Roman" w:hAnsi="Times New Roman"/>
          <w:color w:val="auto"/>
          <w:sz w:val="21"/>
          <w:szCs w:val="21"/>
        </w:rPr>
        <w:t>2、更正公告为采购文件的组成部分，一经在网站发布，视同已通知所有采购文件的收受人，不再采用其它方式传达相关信息，若因未能及时了解到上述网站上发布的相关信息而导致的一切后果自行承担。</w:t>
      </w:r>
    </w:p>
    <w:p>
      <w:pPr>
        <w:pStyle w:val="25"/>
        <w:spacing w:before="0" w:beforeLines="0" w:after="0" w:afterLines="0" w:line="360" w:lineRule="auto"/>
        <w:ind w:firstLine="413"/>
        <w:rPr>
          <w:rFonts w:ascii="Times New Roman" w:hAnsi="Times New Roman"/>
          <w:color w:val="auto"/>
          <w:sz w:val="21"/>
          <w:szCs w:val="21"/>
        </w:rPr>
      </w:pPr>
      <w:r>
        <w:rPr>
          <w:rFonts w:ascii="Times New Roman" w:hAnsi="Times New Roman"/>
          <w:color w:val="auto"/>
          <w:sz w:val="21"/>
          <w:szCs w:val="21"/>
        </w:rPr>
        <w:t>3、如更正公告有重新发布电子采购文件的，投标人应下载最新发布的电子招标文件制作投标文件。</w:t>
      </w:r>
    </w:p>
    <w:p>
      <w:pPr>
        <w:pStyle w:val="25"/>
        <w:spacing w:before="0" w:beforeLines="0" w:after="0" w:afterLines="0" w:line="360" w:lineRule="auto"/>
        <w:ind w:firstLine="420" w:firstLineChars="200"/>
        <w:rPr>
          <w:rFonts w:ascii="Times New Roman" w:hAnsi="Times New Roman"/>
          <w:b/>
          <w:color w:val="auto"/>
          <w:sz w:val="21"/>
          <w:szCs w:val="21"/>
        </w:rPr>
      </w:pPr>
      <w:r>
        <w:rPr>
          <w:rFonts w:ascii="Times New Roman" w:hAnsi="Times New Roman"/>
          <w:color w:val="auto"/>
          <w:sz w:val="21"/>
          <w:szCs w:val="21"/>
        </w:rPr>
        <w:t>4、投标人在规定的时间内未对招标文件提出疑问、质疑或要求澄清的，将视其为无异议。对采购文件中描述有歧义或前后不一致的地方，评审小组有权进行评判，但对同一条款的评判应适用于每个投标人。</w:t>
      </w:r>
    </w:p>
    <w:p>
      <w:pPr>
        <w:pStyle w:val="25"/>
        <w:spacing w:before="0" w:beforeLines="0" w:after="0" w:afterLines="0" w:line="360" w:lineRule="auto"/>
        <w:rPr>
          <w:rFonts w:ascii="Times New Roman" w:hAnsi="Times New Roman"/>
          <w:b/>
          <w:color w:val="auto"/>
          <w:sz w:val="21"/>
          <w:szCs w:val="21"/>
        </w:rPr>
      </w:pPr>
    </w:p>
    <w:p>
      <w:pPr>
        <w:pStyle w:val="25"/>
        <w:spacing w:before="0" w:beforeLines="0" w:after="0" w:afterLines="0" w:line="360" w:lineRule="auto"/>
        <w:rPr>
          <w:rFonts w:ascii="Times New Roman" w:hAnsi="Times New Roman"/>
          <w:b/>
          <w:color w:val="auto"/>
          <w:sz w:val="21"/>
          <w:szCs w:val="21"/>
        </w:rPr>
      </w:pPr>
      <w:r>
        <w:rPr>
          <w:rFonts w:ascii="Times New Roman" w:hAnsi="Times New Roman"/>
          <w:b/>
          <w:color w:val="auto"/>
          <w:sz w:val="21"/>
          <w:szCs w:val="21"/>
        </w:rPr>
        <w:t>三、投标文件的编制</w:t>
      </w:r>
    </w:p>
    <w:p>
      <w:pPr>
        <w:pStyle w:val="25"/>
        <w:spacing w:before="0" w:beforeLines="0" w:after="0" w:afterLines="0" w:line="360" w:lineRule="auto"/>
        <w:ind w:firstLine="413" w:firstLineChars="196"/>
        <w:rPr>
          <w:rFonts w:ascii="Times New Roman" w:hAnsi="Times New Roman"/>
          <w:b/>
          <w:color w:val="auto"/>
          <w:sz w:val="21"/>
          <w:szCs w:val="21"/>
        </w:rPr>
      </w:pPr>
      <w:r>
        <w:rPr>
          <w:rFonts w:ascii="Times New Roman" w:hAnsi="Times New Roman"/>
          <w:b/>
          <w:color w:val="auto"/>
          <w:sz w:val="21"/>
          <w:szCs w:val="21"/>
        </w:rPr>
        <w:t>（一）投标文件由报价文件、资格证明文件、技术商务文件组成</w:t>
      </w:r>
    </w:p>
    <w:p>
      <w:pPr>
        <w:spacing w:line="360" w:lineRule="auto"/>
        <w:ind w:firstLine="413" w:firstLineChars="196"/>
        <w:jc w:val="left"/>
        <w:rPr>
          <w:b/>
          <w:color w:val="auto"/>
          <w:szCs w:val="21"/>
        </w:rPr>
      </w:pPr>
      <w:r>
        <w:rPr>
          <w:b/>
          <w:color w:val="auto"/>
          <w:szCs w:val="21"/>
        </w:rPr>
        <w:t>1.报价文件包括以下内容：</w:t>
      </w:r>
    </w:p>
    <w:p>
      <w:pPr>
        <w:spacing w:line="360" w:lineRule="auto"/>
        <w:ind w:firstLine="411" w:firstLineChars="196"/>
        <w:jc w:val="left"/>
        <w:rPr>
          <w:color w:val="auto"/>
          <w:szCs w:val="21"/>
        </w:rPr>
      </w:pPr>
      <w:r>
        <w:rPr>
          <w:color w:val="auto"/>
          <w:szCs w:val="21"/>
        </w:rPr>
        <w:t>（1）投标声明书（格式见附件）；</w:t>
      </w:r>
    </w:p>
    <w:p>
      <w:pPr>
        <w:spacing w:line="360" w:lineRule="auto"/>
        <w:ind w:firstLine="411" w:firstLineChars="196"/>
        <w:jc w:val="left"/>
        <w:rPr>
          <w:color w:val="auto"/>
          <w:szCs w:val="21"/>
        </w:rPr>
      </w:pPr>
      <w:r>
        <w:rPr>
          <w:color w:val="auto"/>
          <w:szCs w:val="21"/>
        </w:rPr>
        <w:t>（2）开标一览表（格式见附件）；</w:t>
      </w:r>
    </w:p>
    <w:p>
      <w:pPr>
        <w:spacing w:line="360" w:lineRule="auto"/>
        <w:ind w:firstLine="411" w:firstLineChars="196"/>
        <w:jc w:val="left"/>
        <w:rPr>
          <w:color w:val="auto"/>
          <w:szCs w:val="21"/>
        </w:rPr>
      </w:pPr>
      <w:r>
        <w:rPr>
          <w:color w:val="auto"/>
          <w:szCs w:val="21"/>
        </w:rPr>
        <w:t>（3）分项报价表（格式见附件）；</w:t>
      </w:r>
    </w:p>
    <w:p>
      <w:pPr>
        <w:spacing w:line="360" w:lineRule="auto"/>
        <w:ind w:firstLine="411" w:firstLineChars="196"/>
        <w:jc w:val="left"/>
        <w:rPr>
          <w:color w:val="auto"/>
          <w:szCs w:val="21"/>
        </w:rPr>
      </w:pPr>
      <w:r>
        <w:rPr>
          <w:color w:val="auto"/>
          <w:szCs w:val="21"/>
        </w:rPr>
        <w:t>（4）中小企业声明函（适用小微企业政策的请提供，格式见附件，未提供的不享受小微企业政策）</w:t>
      </w:r>
      <w:r>
        <w:rPr>
          <w:bCs/>
          <w:color w:val="auto"/>
          <w:szCs w:val="21"/>
        </w:rPr>
        <w:t>；</w:t>
      </w:r>
    </w:p>
    <w:p>
      <w:pPr>
        <w:spacing w:line="360" w:lineRule="auto"/>
        <w:ind w:firstLine="411" w:firstLineChars="196"/>
        <w:jc w:val="left"/>
        <w:rPr>
          <w:color w:val="auto"/>
          <w:szCs w:val="21"/>
        </w:rPr>
      </w:pPr>
      <w:r>
        <w:rPr>
          <w:color w:val="auto"/>
          <w:szCs w:val="21"/>
        </w:rPr>
        <w:t>（</w:t>
      </w:r>
      <w:r>
        <w:rPr>
          <w:rFonts w:hint="eastAsia"/>
          <w:color w:val="auto"/>
          <w:szCs w:val="21"/>
        </w:rPr>
        <w:t>5</w:t>
      </w:r>
      <w:r>
        <w:rPr>
          <w:color w:val="auto"/>
          <w:szCs w:val="21"/>
        </w:rPr>
        <w:t>）残疾人福利性单位声明函（如有，填写要求详见后款九、特别说明的条件，请对照相关政策要求如实填写，填写格式见附件）</w:t>
      </w:r>
      <w:r>
        <w:rPr>
          <w:rFonts w:hint="eastAsia"/>
          <w:color w:val="auto"/>
          <w:szCs w:val="21"/>
        </w:rPr>
        <w:t>；</w:t>
      </w:r>
    </w:p>
    <w:p>
      <w:pPr>
        <w:spacing w:line="360" w:lineRule="auto"/>
        <w:ind w:firstLine="411" w:firstLineChars="196"/>
        <w:jc w:val="left"/>
        <w:rPr>
          <w:color w:val="auto"/>
          <w:szCs w:val="21"/>
        </w:rPr>
      </w:pPr>
      <w:r>
        <w:rPr>
          <w:rFonts w:hint="eastAsia"/>
          <w:color w:val="auto"/>
          <w:szCs w:val="21"/>
        </w:rPr>
        <w:t>（6）</w:t>
      </w:r>
      <w:r>
        <w:rPr>
          <w:color w:val="auto"/>
          <w:szCs w:val="21"/>
        </w:rPr>
        <w:t>投标人针对报价需要说明的其他文件和说明</w:t>
      </w:r>
      <w:r>
        <w:rPr>
          <w:rFonts w:hint="eastAsia"/>
          <w:color w:val="auto"/>
          <w:szCs w:val="21"/>
        </w:rPr>
        <w:t>。</w:t>
      </w:r>
    </w:p>
    <w:p>
      <w:pPr>
        <w:spacing w:line="360" w:lineRule="auto"/>
        <w:ind w:firstLine="413" w:firstLineChars="196"/>
        <w:jc w:val="left"/>
        <w:rPr>
          <w:b/>
          <w:color w:val="auto"/>
          <w:szCs w:val="21"/>
        </w:rPr>
      </w:pPr>
      <w:r>
        <w:rPr>
          <w:b/>
          <w:color w:val="auto"/>
          <w:szCs w:val="21"/>
        </w:rPr>
        <w:t>2.资格证明文件包括以下内容：</w:t>
      </w:r>
    </w:p>
    <w:p>
      <w:pPr>
        <w:spacing w:line="360" w:lineRule="auto"/>
        <w:ind w:firstLine="411" w:firstLineChars="196"/>
        <w:jc w:val="left"/>
        <w:rPr>
          <w:color w:val="auto"/>
          <w:szCs w:val="21"/>
        </w:rPr>
      </w:pPr>
      <w:r>
        <w:rPr>
          <w:color w:val="auto"/>
          <w:szCs w:val="21"/>
        </w:rPr>
        <w:t>（1）资格条件自查表（格式见附件）；</w:t>
      </w:r>
    </w:p>
    <w:p>
      <w:pPr>
        <w:spacing w:line="360" w:lineRule="auto"/>
        <w:ind w:firstLine="411" w:firstLineChars="196"/>
        <w:jc w:val="left"/>
        <w:rPr>
          <w:color w:val="auto"/>
          <w:szCs w:val="21"/>
        </w:rPr>
      </w:pPr>
      <w:r>
        <w:rPr>
          <w:color w:val="auto"/>
          <w:szCs w:val="21"/>
        </w:rPr>
        <w:t>（2）</w:t>
      </w:r>
      <w:r>
        <w:rPr>
          <w:rFonts w:hint="eastAsia"/>
          <w:color w:val="auto"/>
          <w:szCs w:val="21"/>
        </w:rPr>
        <w:t>有效的企业法人营业执照（或事业法人登记证）、其他组织（个体工商户）的营业执照或者民办非企业单位登记证书复印件（加盖公章）</w:t>
      </w:r>
      <w:r>
        <w:rPr>
          <w:color w:val="auto"/>
          <w:szCs w:val="21"/>
        </w:rPr>
        <w:t>；</w:t>
      </w:r>
    </w:p>
    <w:p>
      <w:pPr>
        <w:spacing w:line="360" w:lineRule="auto"/>
        <w:ind w:firstLine="411" w:firstLineChars="196"/>
        <w:jc w:val="left"/>
        <w:rPr>
          <w:color w:val="auto"/>
          <w:szCs w:val="21"/>
        </w:rPr>
      </w:pPr>
      <w:r>
        <w:rPr>
          <w:color w:val="auto"/>
          <w:szCs w:val="21"/>
        </w:rPr>
        <w:t>（3）书面声明（格式见附件）；</w:t>
      </w:r>
    </w:p>
    <w:p>
      <w:pPr>
        <w:spacing w:line="360" w:lineRule="auto"/>
        <w:ind w:firstLine="411" w:firstLineChars="196"/>
        <w:jc w:val="left"/>
        <w:rPr>
          <w:color w:val="auto"/>
          <w:szCs w:val="21"/>
        </w:rPr>
      </w:pPr>
      <w:r>
        <w:rPr>
          <w:color w:val="auto"/>
          <w:szCs w:val="21"/>
        </w:rPr>
        <w:t>（4）联合体协议书（格式见附件），若非联合体，无需提供。</w:t>
      </w:r>
    </w:p>
    <w:p>
      <w:pPr>
        <w:spacing w:line="360" w:lineRule="auto"/>
        <w:ind w:firstLine="413" w:firstLineChars="196"/>
        <w:jc w:val="left"/>
        <w:rPr>
          <w:b/>
          <w:color w:val="auto"/>
          <w:szCs w:val="21"/>
        </w:rPr>
      </w:pPr>
      <w:r>
        <w:rPr>
          <w:b/>
          <w:color w:val="auto"/>
          <w:szCs w:val="21"/>
        </w:rPr>
        <w:t>3.技术商务文件包括以下内容：</w:t>
      </w:r>
    </w:p>
    <w:p>
      <w:pPr>
        <w:spacing w:line="360" w:lineRule="auto"/>
        <w:ind w:firstLine="411" w:firstLineChars="196"/>
        <w:jc w:val="left"/>
        <w:rPr>
          <w:color w:val="auto"/>
          <w:szCs w:val="21"/>
        </w:rPr>
      </w:pPr>
      <w:r>
        <w:rPr>
          <w:color w:val="auto"/>
          <w:szCs w:val="21"/>
        </w:rPr>
        <w:t>（1）符合性自查表（格式见附件）；</w:t>
      </w:r>
    </w:p>
    <w:p>
      <w:pPr>
        <w:spacing w:line="360" w:lineRule="auto"/>
        <w:ind w:firstLine="411" w:firstLineChars="196"/>
        <w:jc w:val="left"/>
        <w:rPr>
          <w:color w:val="auto"/>
          <w:szCs w:val="21"/>
        </w:rPr>
      </w:pPr>
      <w:r>
        <w:rPr>
          <w:color w:val="auto"/>
          <w:szCs w:val="21"/>
        </w:rPr>
        <w:t>（2）法定代表人资格证明（格式见附件）；</w:t>
      </w:r>
    </w:p>
    <w:p>
      <w:pPr>
        <w:spacing w:line="360" w:lineRule="auto"/>
        <w:ind w:firstLine="411" w:firstLineChars="196"/>
        <w:jc w:val="left"/>
        <w:rPr>
          <w:color w:val="auto"/>
          <w:szCs w:val="21"/>
        </w:rPr>
      </w:pPr>
      <w:r>
        <w:rPr>
          <w:color w:val="auto"/>
          <w:szCs w:val="21"/>
        </w:rPr>
        <w:t>（3）法定代表人授权委托书（投标人的代表若为非法定代表人的，必须提交法定代表人授权委托书原件，另请提供投标人代表的社保部门出具的开标前近三个月任意一个月的社保证明，格式见附件）；</w:t>
      </w:r>
    </w:p>
    <w:p>
      <w:pPr>
        <w:spacing w:line="360" w:lineRule="auto"/>
        <w:ind w:firstLine="411" w:firstLineChars="196"/>
        <w:jc w:val="left"/>
        <w:rPr>
          <w:color w:val="auto"/>
          <w:szCs w:val="21"/>
        </w:rPr>
      </w:pPr>
      <w:r>
        <w:rPr>
          <w:color w:val="auto"/>
          <w:szCs w:val="21"/>
        </w:rPr>
        <w:t>（4）商务条款响应（偏离）表（格式见附件，根据第二章《招标需求》一、商务要求表的要求制作）；</w:t>
      </w:r>
    </w:p>
    <w:p>
      <w:pPr>
        <w:spacing w:line="360" w:lineRule="auto"/>
        <w:ind w:firstLine="411" w:firstLineChars="196"/>
        <w:jc w:val="left"/>
        <w:rPr>
          <w:color w:val="auto"/>
          <w:szCs w:val="21"/>
        </w:rPr>
      </w:pPr>
      <w:r>
        <w:rPr>
          <w:color w:val="auto"/>
          <w:szCs w:val="21"/>
        </w:rPr>
        <w:t>（5）服务条款响应（偏离）表（格式见附件，根据第二章《招标需求》二、详细采购需求的要求制作）；</w:t>
      </w:r>
    </w:p>
    <w:p>
      <w:pPr>
        <w:spacing w:line="360" w:lineRule="auto"/>
        <w:ind w:firstLine="411" w:firstLineChars="196"/>
        <w:jc w:val="left"/>
        <w:rPr>
          <w:color w:val="auto"/>
          <w:szCs w:val="21"/>
        </w:rPr>
      </w:pPr>
      <w:r>
        <w:rPr>
          <w:color w:val="auto"/>
          <w:szCs w:val="21"/>
        </w:rPr>
        <w:t>（6）评分标准或招标文件需要提供的其他技术商务材料：</w:t>
      </w:r>
    </w:p>
    <w:p>
      <w:pPr>
        <w:spacing w:line="360" w:lineRule="auto"/>
        <w:ind w:firstLine="411" w:firstLineChars="196"/>
        <w:jc w:val="left"/>
        <w:rPr>
          <w:color w:val="auto"/>
          <w:szCs w:val="21"/>
        </w:rPr>
      </w:pPr>
      <w:r>
        <w:rPr>
          <w:color w:val="auto"/>
          <w:szCs w:val="21"/>
        </w:rPr>
        <w:t>6.1投标人响应表（格式见附件）；</w:t>
      </w:r>
    </w:p>
    <w:p>
      <w:pPr>
        <w:spacing w:line="360" w:lineRule="auto"/>
        <w:ind w:firstLine="411" w:firstLineChars="196"/>
        <w:jc w:val="left"/>
        <w:rPr>
          <w:color w:val="auto"/>
          <w:szCs w:val="21"/>
        </w:rPr>
      </w:pPr>
      <w:r>
        <w:rPr>
          <w:color w:val="auto"/>
          <w:szCs w:val="21"/>
        </w:rPr>
        <w:t>6.2分包意向协议（如有，格式自拟）；</w:t>
      </w:r>
    </w:p>
    <w:p>
      <w:pPr>
        <w:spacing w:line="360" w:lineRule="auto"/>
        <w:ind w:firstLine="411" w:firstLineChars="196"/>
        <w:jc w:val="left"/>
        <w:rPr>
          <w:color w:val="auto"/>
          <w:szCs w:val="21"/>
        </w:rPr>
      </w:pPr>
      <w:r>
        <w:rPr>
          <w:color w:val="auto"/>
          <w:szCs w:val="21"/>
        </w:rPr>
        <w:t>6.3其他（格式自拟）。</w:t>
      </w:r>
    </w:p>
    <w:p>
      <w:pPr>
        <w:spacing w:line="360" w:lineRule="auto"/>
        <w:ind w:firstLine="411" w:firstLineChars="196"/>
        <w:jc w:val="left"/>
        <w:rPr>
          <w:color w:val="auto"/>
          <w:szCs w:val="21"/>
        </w:rPr>
      </w:pPr>
      <w:r>
        <w:rPr>
          <w:color w:val="auto"/>
          <w:szCs w:val="21"/>
        </w:rPr>
        <w:t>（7）评分标准要求提供的其他技术资料及说明。</w:t>
      </w:r>
    </w:p>
    <w:p>
      <w:pPr>
        <w:spacing w:line="360" w:lineRule="auto"/>
        <w:ind w:firstLine="413" w:firstLineChars="196"/>
        <w:jc w:val="left"/>
        <w:rPr>
          <w:b/>
          <w:color w:val="auto"/>
          <w:szCs w:val="21"/>
        </w:rPr>
      </w:pPr>
      <w:r>
        <w:rPr>
          <w:b/>
          <w:color w:val="auto"/>
          <w:szCs w:val="21"/>
        </w:rPr>
        <w:t>（二）投标文件的语言及计量</w:t>
      </w:r>
    </w:p>
    <w:p>
      <w:pPr>
        <w:spacing w:line="360" w:lineRule="auto"/>
        <w:ind w:firstLine="420" w:firstLineChars="200"/>
        <w:jc w:val="left"/>
        <w:rPr>
          <w:color w:val="auto"/>
          <w:szCs w:val="21"/>
        </w:rPr>
      </w:pPr>
      <w:r>
        <w:rPr>
          <w:color w:val="auto"/>
          <w:szCs w:val="21"/>
        </w:rPr>
        <w:t>*1投标文件以及投标方与采购人就有关投标事宜的所有来往函电，均应以中文汉语书写。除签名、盖章、专用名称等特殊情形外，以中文汉语以外的文字表述的投标文件视同未提供。</w:t>
      </w:r>
    </w:p>
    <w:p>
      <w:pPr>
        <w:spacing w:line="360" w:lineRule="auto"/>
        <w:ind w:firstLine="420" w:firstLineChars="200"/>
        <w:jc w:val="left"/>
        <w:rPr>
          <w:color w:val="auto"/>
          <w:szCs w:val="21"/>
        </w:rPr>
      </w:pPr>
      <w:r>
        <w:rPr>
          <w:color w:val="auto"/>
          <w:szCs w:val="21"/>
        </w:rPr>
        <w:t>*2投标计量单位，招标文件已有明确规定的，使用招标文件规定的计量单位；招标文件没有规定的，应采用中华人民共和国法定计量单位（货币单位：人民币元），否则视同未响应。</w:t>
      </w:r>
    </w:p>
    <w:p>
      <w:pPr>
        <w:spacing w:line="360" w:lineRule="auto"/>
        <w:ind w:firstLine="413" w:firstLineChars="196"/>
        <w:jc w:val="left"/>
        <w:rPr>
          <w:b/>
          <w:color w:val="auto"/>
          <w:szCs w:val="21"/>
        </w:rPr>
      </w:pPr>
      <w:r>
        <w:rPr>
          <w:b/>
          <w:color w:val="auto"/>
          <w:szCs w:val="21"/>
        </w:rPr>
        <w:t>（三）投标报价</w:t>
      </w:r>
    </w:p>
    <w:p>
      <w:pPr>
        <w:pStyle w:val="25"/>
        <w:spacing w:before="0" w:beforeLines="0" w:after="0" w:afterLines="0" w:line="360" w:lineRule="auto"/>
        <w:ind w:firstLine="420" w:firstLineChars="200"/>
        <w:jc w:val="left"/>
        <w:rPr>
          <w:rFonts w:ascii="Times New Roman" w:hAnsi="Times New Roman"/>
          <w:color w:val="auto"/>
          <w:sz w:val="21"/>
          <w:szCs w:val="21"/>
        </w:rPr>
      </w:pPr>
      <w:r>
        <w:rPr>
          <w:rFonts w:ascii="Times New Roman" w:hAnsi="Times New Roman"/>
          <w:color w:val="auto"/>
          <w:sz w:val="21"/>
          <w:szCs w:val="21"/>
        </w:rPr>
        <w:t>1.投标报价应按招标文件中相关附表格式填写。</w:t>
      </w:r>
    </w:p>
    <w:p>
      <w:pPr>
        <w:pStyle w:val="25"/>
        <w:widowControl/>
        <w:spacing w:before="0" w:beforeLines="0" w:after="0" w:afterLines="0" w:line="360" w:lineRule="auto"/>
        <w:ind w:left="420"/>
        <w:jc w:val="left"/>
        <w:rPr>
          <w:rFonts w:ascii="Times New Roman" w:hAnsi="Times New Roman"/>
          <w:color w:val="auto"/>
          <w:sz w:val="21"/>
          <w:szCs w:val="21"/>
        </w:rPr>
      </w:pPr>
      <w:r>
        <w:rPr>
          <w:rFonts w:ascii="Times New Roman" w:hAnsi="Times New Roman"/>
          <w:color w:val="auto"/>
          <w:sz w:val="21"/>
          <w:szCs w:val="21"/>
        </w:rPr>
        <w:t>*2.报价要求：详见第三章《投标人须知》前附表第3条。</w:t>
      </w:r>
    </w:p>
    <w:p>
      <w:pPr>
        <w:tabs>
          <w:tab w:val="left" w:pos="525"/>
        </w:tabs>
        <w:spacing w:line="360" w:lineRule="auto"/>
        <w:ind w:firstLine="420" w:firstLineChars="200"/>
        <w:jc w:val="left"/>
        <w:rPr>
          <w:color w:val="auto"/>
          <w:szCs w:val="21"/>
        </w:rPr>
      </w:pPr>
      <w:r>
        <w:rPr>
          <w:color w:val="auto"/>
          <w:szCs w:val="21"/>
        </w:rPr>
        <w:t>*3.投标文件只允许有一个报价，有选择的或有条件的报价将不予接受。</w:t>
      </w:r>
    </w:p>
    <w:p>
      <w:pPr>
        <w:pStyle w:val="11"/>
        <w:widowControl w:val="0"/>
        <w:tabs>
          <w:tab w:val="clear" w:pos="454"/>
        </w:tabs>
        <w:spacing w:after="0" w:afterLines="0" w:line="360" w:lineRule="auto"/>
        <w:ind w:left="0" w:firstLine="413" w:firstLineChars="196"/>
        <w:rPr>
          <w:b/>
          <w:color w:val="auto"/>
          <w:sz w:val="21"/>
          <w:szCs w:val="21"/>
        </w:rPr>
      </w:pPr>
      <w:r>
        <w:rPr>
          <w:b/>
          <w:color w:val="auto"/>
          <w:sz w:val="21"/>
          <w:szCs w:val="21"/>
        </w:rPr>
        <w:t>4.投标人在政采云系统中就本项目填写的报价与以pdf格式上传文件中的报价不一致的，应以pdf格式上传文件中的报价为准。</w:t>
      </w:r>
    </w:p>
    <w:p>
      <w:pPr>
        <w:pStyle w:val="11"/>
        <w:widowControl w:val="0"/>
        <w:tabs>
          <w:tab w:val="clear" w:pos="454"/>
        </w:tabs>
        <w:spacing w:after="0" w:afterLines="0" w:line="360" w:lineRule="auto"/>
        <w:ind w:left="0" w:firstLine="413" w:firstLineChars="196"/>
        <w:rPr>
          <w:b/>
          <w:color w:val="auto"/>
          <w:sz w:val="21"/>
          <w:szCs w:val="21"/>
        </w:rPr>
      </w:pPr>
      <w:r>
        <w:rPr>
          <w:b/>
          <w:color w:val="auto"/>
          <w:sz w:val="21"/>
          <w:szCs w:val="21"/>
        </w:rPr>
        <w:t>（四）投标文件的有效期</w:t>
      </w:r>
    </w:p>
    <w:p>
      <w:pPr>
        <w:pStyle w:val="11"/>
        <w:widowControl w:val="0"/>
        <w:tabs>
          <w:tab w:val="clear" w:pos="454"/>
        </w:tabs>
        <w:spacing w:after="0" w:afterLines="0" w:line="360" w:lineRule="auto"/>
        <w:ind w:left="0" w:firstLine="422" w:firstLineChars="200"/>
        <w:rPr>
          <w:b/>
          <w:color w:val="auto"/>
          <w:sz w:val="21"/>
          <w:szCs w:val="21"/>
        </w:rPr>
      </w:pPr>
      <w:r>
        <w:rPr>
          <w:b/>
          <w:color w:val="auto"/>
          <w:sz w:val="21"/>
          <w:szCs w:val="21"/>
        </w:rPr>
        <w:t>*1.自投标截止之日起</w:t>
      </w:r>
      <w:r>
        <w:rPr>
          <w:b/>
          <w:color w:val="auto"/>
          <w:sz w:val="21"/>
          <w:szCs w:val="21"/>
          <w:u w:val="single"/>
        </w:rPr>
        <w:t>90</w:t>
      </w:r>
      <w:r>
        <w:rPr>
          <w:b/>
          <w:color w:val="auto"/>
          <w:sz w:val="21"/>
          <w:szCs w:val="21"/>
        </w:rPr>
        <w:t>天投标文件应保持有效。有效期不足的投标文件将被拒绝。</w:t>
      </w:r>
    </w:p>
    <w:p>
      <w:pPr>
        <w:pStyle w:val="11"/>
        <w:widowControl w:val="0"/>
        <w:tabs>
          <w:tab w:val="clear" w:pos="454"/>
        </w:tabs>
        <w:spacing w:after="0" w:afterLines="0" w:line="360" w:lineRule="auto"/>
        <w:ind w:left="0" w:firstLine="420" w:firstLineChars="200"/>
        <w:rPr>
          <w:color w:val="auto"/>
          <w:sz w:val="21"/>
          <w:szCs w:val="21"/>
        </w:rPr>
      </w:pPr>
      <w:r>
        <w:rPr>
          <w:color w:val="auto"/>
          <w:sz w:val="21"/>
          <w:szCs w:val="21"/>
        </w:rPr>
        <w:t>2.在特殊情况下，采购人可与投标人协商延长投标文件的有效期，这种要求和答复均以书面形式进行。</w:t>
      </w:r>
    </w:p>
    <w:p>
      <w:pPr>
        <w:spacing w:line="360" w:lineRule="auto"/>
        <w:ind w:firstLine="420" w:firstLineChars="200"/>
        <w:jc w:val="left"/>
        <w:rPr>
          <w:b/>
          <w:color w:val="auto"/>
          <w:szCs w:val="21"/>
        </w:rPr>
      </w:pPr>
      <w:r>
        <w:rPr>
          <w:color w:val="auto"/>
          <w:szCs w:val="21"/>
        </w:rPr>
        <w:t>3.投标人可拒绝接受延期要求，同意延长有效期，但不能修改投标文件。</w:t>
      </w:r>
      <w:r>
        <w:rPr>
          <w:b/>
          <w:color w:val="auto"/>
          <w:szCs w:val="21"/>
        </w:rPr>
        <w:t xml:space="preserve"> </w:t>
      </w:r>
    </w:p>
    <w:p>
      <w:pPr>
        <w:spacing w:line="360" w:lineRule="auto"/>
        <w:ind w:firstLine="420" w:firstLineChars="200"/>
        <w:jc w:val="left"/>
        <w:rPr>
          <w:b/>
          <w:color w:val="auto"/>
          <w:szCs w:val="21"/>
        </w:rPr>
      </w:pPr>
      <w:r>
        <w:rPr>
          <w:color w:val="auto"/>
          <w:szCs w:val="21"/>
        </w:rPr>
        <w:t>4.中标人的投标文件自开标之日起至合同履行完毕止均应保持有效。</w:t>
      </w:r>
    </w:p>
    <w:p>
      <w:pPr>
        <w:spacing w:line="360" w:lineRule="auto"/>
        <w:ind w:firstLine="413" w:firstLineChars="196"/>
        <w:jc w:val="left"/>
        <w:rPr>
          <w:b/>
          <w:color w:val="auto"/>
          <w:szCs w:val="21"/>
        </w:rPr>
      </w:pPr>
      <w:r>
        <w:rPr>
          <w:b/>
          <w:color w:val="auto"/>
          <w:szCs w:val="21"/>
        </w:rPr>
        <w:t>（五）投标文件的签署</w:t>
      </w:r>
    </w:p>
    <w:p>
      <w:pPr>
        <w:spacing w:line="360" w:lineRule="auto"/>
        <w:ind w:firstLine="422" w:firstLineChars="200"/>
        <w:jc w:val="left"/>
        <w:rPr>
          <w:color w:val="auto"/>
          <w:szCs w:val="21"/>
        </w:rPr>
      </w:pPr>
      <w:r>
        <w:rPr>
          <w:b/>
          <w:bCs/>
          <w:color w:val="auto"/>
          <w:szCs w:val="21"/>
        </w:rPr>
        <w:t>投标人应根据“政采云供应商项目采购-电子招投标操作指南”及本招标文件规定的格式和顺序编制电子投标文件并进行关联定位。</w:t>
      </w:r>
    </w:p>
    <w:p>
      <w:pPr>
        <w:spacing w:line="360" w:lineRule="auto"/>
        <w:ind w:firstLine="413" w:firstLineChars="196"/>
        <w:jc w:val="left"/>
        <w:rPr>
          <w:b/>
          <w:color w:val="auto"/>
          <w:szCs w:val="21"/>
        </w:rPr>
      </w:pPr>
      <w:r>
        <w:rPr>
          <w:b/>
          <w:color w:val="auto"/>
          <w:szCs w:val="21"/>
        </w:rPr>
        <w:t>（六）投标无效的情形</w:t>
      </w:r>
    </w:p>
    <w:p>
      <w:pPr>
        <w:spacing w:line="360" w:lineRule="auto"/>
        <w:ind w:firstLine="413" w:firstLineChars="196"/>
        <w:rPr>
          <w:b/>
          <w:bCs/>
          <w:color w:val="auto"/>
          <w:szCs w:val="21"/>
        </w:rPr>
      </w:pPr>
      <w:r>
        <w:rPr>
          <w:b/>
          <w:bCs/>
          <w:color w:val="auto"/>
          <w:szCs w:val="21"/>
        </w:rPr>
        <w:t>实质上没有响应招标文件要求的投标将被视为无效投标。</w:t>
      </w:r>
    </w:p>
    <w:p>
      <w:pPr>
        <w:pStyle w:val="19"/>
        <w:spacing w:line="360" w:lineRule="auto"/>
        <w:ind w:firstLine="398" w:firstLineChars="196"/>
        <w:rPr>
          <w:rFonts w:ascii="Times New Roman" w:hAnsi="Times New Roman"/>
          <w:b/>
          <w:color w:val="auto"/>
          <w:sz w:val="21"/>
          <w:szCs w:val="21"/>
        </w:rPr>
      </w:pPr>
      <w:r>
        <w:rPr>
          <w:rFonts w:ascii="Times New Roman" w:hAnsi="Times New Roman"/>
          <w:b/>
          <w:bCs/>
          <w:color w:val="auto"/>
          <w:sz w:val="21"/>
          <w:szCs w:val="21"/>
        </w:rPr>
        <w:t>1.在资格审查时，不具备招标文件中规定的资格要求的，或者资格证明文件不全的，</w:t>
      </w:r>
      <w:r>
        <w:rPr>
          <w:rFonts w:ascii="Times New Roman" w:hAnsi="Times New Roman"/>
          <w:b/>
          <w:color w:val="auto"/>
          <w:sz w:val="21"/>
          <w:szCs w:val="21"/>
        </w:rPr>
        <w:t>投标文件将被视为无效。</w:t>
      </w:r>
    </w:p>
    <w:p>
      <w:pPr>
        <w:pStyle w:val="19"/>
        <w:spacing w:line="360" w:lineRule="auto"/>
        <w:ind w:firstLine="398" w:firstLineChars="196"/>
        <w:rPr>
          <w:rFonts w:ascii="Times New Roman" w:hAnsi="Times New Roman"/>
          <w:b/>
          <w:color w:val="auto"/>
          <w:sz w:val="21"/>
          <w:szCs w:val="21"/>
        </w:rPr>
      </w:pPr>
      <w:r>
        <w:rPr>
          <w:rFonts w:ascii="Times New Roman" w:hAnsi="Times New Roman"/>
          <w:b/>
          <w:color w:val="auto"/>
          <w:sz w:val="21"/>
          <w:szCs w:val="21"/>
        </w:rPr>
        <w:t>2.在符合性审查时，如发现下列情形之一的，投标文件将被视为无效：</w:t>
      </w:r>
    </w:p>
    <w:p>
      <w:pPr>
        <w:pStyle w:val="19"/>
        <w:spacing w:line="360" w:lineRule="auto"/>
        <w:ind w:firstLine="398" w:firstLineChars="196"/>
        <w:rPr>
          <w:rFonts w:ascii="Times New Roman" w:hAnsi="Times New Roman"/>
          <w:b/>
          <w:color w:val="auto"/>
          <w:sz w:val="21"/>
          <w:szCs w:val="21"/>
        </w:rPr>
      </w:pPr>
      <w:r>
        <w:rPr>
          <w:rFonts w:ascii="Times New Roman" w:hAnsi="Times New Roman"/>
          <w:b/>
          <w:color w:val="auto"/>
          <w:sz w:val="21"/>
          <w:szCs w:val="21"/>
        </w:rPr>
        <w:t>（1）投标文件未按招标文件要求签署、签章的；</w:t>
      </w:r>
    </w:p>
    <w:p>
      <w:pPr>
        <w:pStyle w:val="19"/>
        <w:spacing w:line="360" w:lineRule="auto"/>
        <w:ind w:firstLine="398" w:firstLineChars="196"/>
        <w:rPr>
          <w:rFonts w:ascii="Times New Roman" w:hAnsi="Times New Roman"/>
          <w:b/>
          <w:color w:val="auto"/>
          <w:sz w:val="21"/>
          <w:szCs w:val="21"/>
        </w:rPr>
      </w:pPr>
      <w:r>
        <w:rPr>
          <w:rFonts w:ascii="Times New Roman" w:hAnsi="Times New Roman"/>
          <w:b/>
          <w:color w:val="auto"/>
          <w:sz w:val="21"/>
          <w:szCs w:val="21"/>
        </w:rPr>
        <w:t>（2）投标有效期不满足招标文件要求的；</w:t>
      </w:r>
    </w:p>
    <w:p>
      <w:pPr>
        <w:pStyle w:val="19"/>
        <w:spacing w:line="360" w:lineRule="auto"/>
        <w:ind w:firstLine="398" w:firstLineChars="196"/>
        <w:rPr>
          <w:rFonts w:ascii="Times New Roman" w:hAnsi="Times New Roman"/>
          <w:b/>
          <w:color w:val="auto"/>
          <w:sz w:val="21"/>
          <w:szCs w:val="21"/>
        </w:rPr>
      </w:pPr>
      <w:r>
        <w:rPr>
          <w:rFonts w:ascii="Times New Roman" w:hAnsi="Times New Roman"/>
          <w:b/>
          <w:color w:val="auto"/>
          <w:sz w:val="21"/>
          <w:szCs w:val="21"/>
        </w:rPr>
        <w:t>（3）明显不符合招标文件要求的，或者与招标文件中标注“*</w:t>
      </w:r>
      <w:r>
        <w:rPr>
          <w:rFonts w:hint="eastAsia" w:ascii="Times New Roman" w:hAnsi="Times New Roman"/>
          <w:b/>
          <w:color w:val="auto"/>
          <w:sz w:val="21"/>
          <w:szCs w:val="21"/>
        </w:rPr>
        <w:t>或</w:t>
      </w:r>
      <w:r>
        <w:rPr>
          <w:rFonts w:ascii="Times New Roman" w:hAnsi="Times New Roman"/>
          <w:b/>
          <w:color w:val="auto"/>
          <w:sz w:val="21"/>
          <w:szCs w:val="21"/>
        </w:rPr>
        <w:t>★”的条款发生负偏离的；</w:t>
      </w:r>
    </w:p>
    <w:p>
      <w:pPr>
        <w:pStyle w:val="19"/>
        <w:spacing w:line="360" w:lineRule="auto"/>
        <w:ind w:firstLine="398" w:firstLineChars="196"/>
        <w:rPr>
          <w:rFonts w:ascii="Times New Roman" w:hAnsi="Times New Roman"/>
          <w:b/>
          <w:color w:val="auto"/>
          <w:sz w:val="21"/>
          <w:szCs w:val="21"/>
        </w:rPr>
      </w:pPr>
      <w:r>
        <w:rPr>
          <w:rFonts w:ascii="Times New Roman" w:hAnsi="Times New Roman"/>
          <w:b/>
          <w:color w:val="auto"/>
          <w:sz w:val="21"/>
          <w:szCs w:val="21"/>
        </w:rPr>
        <w:t>（4）投标文件中含有采购人不能接受的附加条件的；</w:t>
      </w:r>
    </w:p>
    <w:p>
      <w:pPr>
        <w:pStyle w:val="19"/>
        <w:spacing w:line="360" w:lineRule="auto"/>
        <w:ind w:firstLine="398" w:firstLineChars="196"/>
        <w:rPr>
          <w:rFonts w:ascii="Times New Roman" w:hAnsi="Times New Roman"/>
          <w:b/>
          <w:color w:val="auto"/>
          <w:sz w:val="21"/>
          <w:szCs w:val="21"/>
        </w:rPr>
      </w:pPr>
      <w:r>
        <w:rPr>
          <w:rFonts w:ascii="Times New Roman" w:hAnsi="Times New Roman"/>
          <w:b/>
          <w:color w:val="auto"/>
          <w:sz w:val="21"/>
          <w:szCs w:val="21"/>
        </w:rPr>
        <w:t>（5）投标文件的实质性内容未使用中文表述、表述不明确、前后矛盾或者使用计量单位不符合招标文件要求的（经评审小组认定并允许其当场更正的笔误除外）；</w:t>
      </w:r>
    </w:p>
    <w:p>
      <w:pPr>
        <w:pStyle w:val="19"/>
        <w:spacing w:line="360" w:lineRule="auto"/>
        <w:ind w:firstLine="398" w:firstLineChars="196"/>
        <w:rPr>
          <w:rFonts w:ascii="Times New Roman" w:hAnsi="Times New Roman"/>
          <w:b/>
          <w:color w:val="auto"/>
          <w:sz w:val="21"/>
          <w:szCs w:val="21"/>
        </w:rPr>
      </w:pPr>
      <w:r>
        <w:rPr>
          <w:rFonts w:ascii="Times New Roman" w:hAnsi="Times New Roman"/>
          <w:b/>
          <w:color w:val="auto"/>
          <w:sz w:val="21"/>
          <w:szCs w:val="21"/>
        </w:rPr>
        <w:t xml:space="preserve">（6）投标文件的关键内容字迹模糊、无法辨认的，或者投标文件中经修正的内容字迹模糊难以辩认或者修改处未按规定签署、盖章的； </w:t>
      </w:r>
    </w:p>
    <w:p>
      <w:pPr>
        <w:pStyle w:val="19"/>
        <w:spacing w:line="360" w:lineRule="auto"/>
        <w:ind w:firstLine="398" w:firstLineChars="196"/>
        <w:rPr>
          <w:rFonts w:ascii="Times New Roman" w:hAnsi="Times New Roman"/>
          <w:b/>
          <w:color w:val="auto"/>
          <w:sz w:val="21"/>
          <w:szCs w:val="21"/>
        </w:rPr>
      </w:pPr>
      <w:r>
        <w:rPr>
          <w:rFonts w:ascii="Times New Roman" w:hAnsi="Times New Roman"/>
          <w:b/>
          <w:color w:val="auto"/>
          <w:sz w:val="21"/>
          <w:szCs w:val="21"/>
        </w:rPr>
        <w:t>（7）不同投标人的投标文件出自同一终端设备或在相同Internet主机分配地址（相同IP地址）网上报名投标；</w:t>
      </w:r>
    </w:p>
    <w:p>
      <w:pPr>
        <w:pStyle w:val="19"/>
        <w:spacing w:line="360" w:lineRule="auto"/>
        <w:ind w:firstLine="398" w:firstLineChars="196"/>
        <w:rPr>
          <w:rFonts w:ascii="Times New Roman" w:hAnsi="Times New Roman"/>
          <w:b/>
          <w:color w:val="auto"/>
          <w:sz w:val="21"/>
          <w:szCs w:val="21"/>
        </w:rPr>
      </w:pPr>
      <w:r>
        <w:rPr>
          <w:rFonts w:ascii="Times New Roman" w:hAnsi="Times New Roman"/>
          <w:b/>
          <w:color w:val="auto"/>
          <w:sz w:val="21"/>
          <w:szCs w:val="21"/>
        </w:rPr>
        <w:t>（8）法律、法规和招标文件规定的其他无效情形。</w:t>
      </w:r>
    </w:p>
    <w:p>
      <w:pPr>
        <w:pStyle w:val="19"/>
        <w:spacing w:line="360" w:lineRule="auto"/>
        <w:ind w:firstLine="398" w:firstLineChars="196"/>
        <w:rPr>
          <w:rFonts w:ascii="Times New Roman" w:hAnsi="Times New Roman"/>
          <w:b/>
          <w:color w:val="auto"/>
          <w:sz w:val="21"/>
          <w:szCs w:val="21"/>
        </w:rPr>
      </w:pPr>
      <w:r>
        <w:rPr>
          <w:rFonts w:ascii="Times New Roman" w:hAnsi="Times New Roman"/>
          <w:b/>
          <w:bCs/>
          <w:color w:val="auto"/>
          <w:sz w:val="21"/>
          <w:szCs w:val="21"/>
        </w:rPr>
        <w:t>3.在技术商务评审时，如发现下列情形之一的，投标文件将被视为无效：</w:t>
      </w:r>
    </w:p>
    <w:p>
      <w:pPr>
        <w:pStyle w:val="19"/>
        <w:spacing w:line="360" w:lineRule="auto"/>
        <w:ind w:firstLine="398" w:firstLineChars="196"/>
        <w:rPr>
          <w:rFonts w:ascii="Times New Roman" w:hAnsi="Times New Roman"/>
          <w:b/>
          <w:color w:val="auto"/>
          <w:sz w:val="21"/>
          <w:szCs w:val="21"/>
        </w:rPr>
      </w:pPr>
      <w:r>
        <w:rPr>
          <w:rFonts w:ascii="Times New Roman" w:hAnsi="Times New Roman"/>
          <w:b/>
          <w:color w:val="auto"/>
          <w:sz w:val="21"/>
          <w:szCs w:val="21"/>
        </w:rPr>
        <w:t>（1）未提供或未如实提供投标货物的技术参数，或者投标文件标明的响应或偏离与事实不符或虚假投标的。</w:t>
      </w:r>
    </w:p>
    <w:p>
      <w:pPr>
        <w:pStyle w:val="19"/>
        <w:spacing w:line="360" w:lineRule="auto"/>
        <w:ind w:firstLine="398" w:firstLineChars="196"/>
        <w:rPr>
          <w:rFonts w:ascii="Times New Roman" w:hAnsi="Times New Roman"/>
          <w:b/>
          <w:color w:val="auto"/>
          <w:sz w:val="21"/>
          <w:szCs w:val="21"/>
        </w:rPr>
      </w:pPr>
      <w:r>
        <w:rPr>
          <w:rFonts w:ascii="Times New Roman" w:hAnsi="Times New Roman"/>
          <w:b/>
          <w:color w:val="auto"/>
          <w:sz w:val="21"/>
          <w:szCs w:val="21"/>
        </w:rPr>
        <w:t>（2）明显不符合招标文件要求的规格型号、质量标准，或者与招标文件中标“*</w:t>
      </w:r>
      <w:r>
        <w:rPr>
          <w:rFonts w:hint="eastAsia" w:ascii="Times New Roman" w:hAnsi="Times New Roman"/>
          <w:b/>
          <w:color w:val="auto"/>
          <w:sz w:val="21"/>
          <w:szCs w:val="21"/>
        </w:rPr>
        <w:t>或</w:t>
      </w:r>
      <w:r>
        <w:rPr>
          <w:rFonts w:ascii="Times New Roman" w:hAnsi="Times New Roman"/>
          <w:b/>
          <w:color w:val="auto"/>
          <w:sz w:val="21"/>
          <w:szCs w:val="21"/>
        </w:rPr>
        <w:t>★”的条款发生实质性偏离的；或者与第二章采购需求二、详细采购需求中的服务条款发生负偏离条数超过15条（含）的。</w:t>
      </w:r>
    </w:p>
    <w:p>
      <w:pPr>
        <w:pStyle w:val="19"/>
        <w:spacing w:line="360" w:lineRule="auto"/>
        <w:ind w:firstLine="406" w:firstLineChars="200"/>
        <w:rPr>
          <w:rFonts w:ascii="Times New Roman" w:hAnsi="Times New Roman"/>
          <w:b/>
          <w:color w:val="auto"/>
          <w:sz w:val="21"/>
          <w:szCs w:val="21"/>
        </w:rPr>
      </w:pPr>
      <w:r>
        <w:rPr>
          <w:rFonts w:ascii="Times New Roman" w:hAnsi="Times New Roman"/>
          <w:b/>
          <w:color w:val="auto"/>
          <w:sz w:val="21"/>
          <w:szCs w:val="21"/>
        </w:rPr>
        <w:t>（3）投标技术方案不明确，存在一个或一个以上备选（替代）投标方案的。</w:t>
      </w:r>
    </w:p>
    <w:p>
      <w:pPr>
        <w:pStyle w:val="19"/>
        <w:spacing w:line="360" w:lineRule="auto"/>
        <w:ind w:firstLine="406" w:firstLineChars="200"/>
        <w:rPr>
          <w:rFonts w:ascii="Times New Roman" w:hAnsi="Times New Roman"/>
          <w:b/>
          <w:color w:val="auto"/>
          <w:sz w:val="21"/>
          <w:szCs w:val="21"/>
        </w:rPr>
      </w:pPr>
      <w:r>
        <w:rPr>
          <w:rFonts w:ascii="Times New Roman" w:hAnsi="Times New Roman"/>
          <w:b/>
          <w:color w:val="auto"/>
          <w:sz w:val="21"/>
          <w:szCs w:val="21"/>
        </w:rPr>
        <w:t>（4）技术商务文件出现投标总价的。</w:t>
      </w:r>
    </w:p>
    <w:p>
      <w:pPr>
        <w:pStyle w:val="19"/>
        <w:spacing w:line="360" w:lineRule="auto"/>
        <w:ind w:firstLine="398" w:firstLineChars="196"/>
        <w:rPr>
          <w:rFonts w:ascii="Times New Roman" w:hAnsi="Times New Roman"/>
          <w:b/>
          <w:bCs/>
          <w:color w:val="auto"/>
          <w:sz w:val="21"/>
          <w:szCs w:val="21"/>
        </w:rPr>
      </w:pPr>
      <w:r>
        <w:rPr>
          <w:rFonts w:ascii="Times New Roman" w:hAnsi="Times New Roman"/>
          <w:b/>
          <w:bCs/>
          <w:color w:val="auto"/>
          <w:sz w:val="21"/>
          <w:szCs w:val="21"/>
        </w:rPr>
        <w:t>4.在报价评审时，如发现下列情形之一的，投标文件将被视为无效：</w:t>
      </w:r>
    </w:p>
    <w:p>
      <w:pPr>
        <w:pStyle w:val="19"/>
        <w:spacing w:line="360" w:lineRule="auto"/>
        <w:ind w:firstLine="398" w:firstLineChars="196"/>
        <w:rPr>
          <w:rFonts w:ascii="Times New Roman" w:hAnsi="Times New Roman"/>
          <w:b/>
          <w:color w:val="auto"/>
          <w:sz w:val="21"/>
          <w:szCs w:val="21"/>
        </w:rPr>
      </w:pPr>
      <w:r>
        <w:rPr>
          <w:rFonts w:ascii="Times New Roman" w:hAnsi="Times New Roman"/>
          <w:b/>
          <w:color w:val="auto"/>
          <w:sz w:val="21"/>
          <w:szCs w:val="21"/>
        </w:rPr>
        <w:t>（1）</w:t>
      </w:r>
      <w:r>
        <w:rPr>
          <w:rFonts w:ascii="Times New Roman" w:hAnsi="Times New Roman"/>
          <w:b/>
          <w:bCs/>
          <w:color w:val="auto"/>
          <w:sz w:val="21"/>
          <w:szCs w:val="21"/>
        </w:rPr>
        <w:t>报价超过招标文件中规定的预算金额或者最高限价的</w:t>
      </w:r>
      <w:r>
        <w:rPr>
          <w:rFonts w:ascii="Times New Roman" w:hAnsi="Times New Roman"/>
          <w:b/>
          <w:color w:val="auto"/>
          <w:sz w:val="21"/>
          <w:szCs w:val="21"/>
        </w:rPr>
        <w:t>；</w:t>
      </w:r>
    </w:p>
    <w:p>
      <w:pPr>
        <w:pStyle w:val="19"/>
        <w:spacing w:line="360" w:lineRule="auto"/>
        <w:ind w:firstLine="398" w:firstLineChars="196"/>
        <w:rPr>
          <w:rFonts w:ascii="Times New Roman" w:hAnsi="Times New Roman"/>
          <w:b/>
          <w:color w:val="auto"/>
          <w:sz w:val="21"/>
          <w:szCs w:val="21"/>
        </w:rPr>
      </w:pPr>
      <w:r>
        <w:rPr>
          <w:rFonts w:ascii="Times New Roman" w:hAnsi="Times New Roman"/>
          <w:b/>
          <w:color w:val="auto"/>
          <w:sz w:val="21"/>
          <w:szCs w:val="21"/>
        </w:rPr>
        <w:t>（2）</w:t>
      </w:r>
      <w:r>
        <w:rPr>
          <w:rFonts w:ascii="Times New Roman" w:hAnsi="Times New Roman"/>
          <w:b/>
          <w:bCs/>
          <w:color w:val="auto"/>
          <w:sz w:val="21"/>
          <w:szCs w:val="21"/>
        </w:rPr>
        <w:t>未采用投标文件要求的报价形式报价的</w:t>
      </w:r>
      <w:r>
        <w:rPr>
          <w:rFonts w:ascii="Times New Roman" w:hAnsi="Times New Roman"/>
          <w:b/>
          <w:color w:val="auto"/>
          <w:sz w:val="21"/>
          <w:szCs w:val="21"/>
        </w:rPr>
        <w:t>；</w:t>
      </w:r>
    </w:p>
    <w:p>
      <w:pPr>
        <w:pStyle w:val="19"/>
        <w:spacing w:line="360" w:lineRule="auto"/>
        <w:ind w:firstLine="406" w:firstLineChars="200"/>
        <w:rPr>
          <w:rFonts w:ascii="Times New Roman" w:hAnsi="Times New Roman"/>
          <w:b/>
          <w:color w:val="auto"/>
          <w:sz w:val="21"/>
          <w:szCs w:val="21"/>
        </w:rPr>
      </w:pPr>
      <w:r>
        <w:rPr>
          <w:rFonts w:ascii="Times New Roman" w:hAnsi="Times New Roman"/>
          <w:b/>
          <w:color w:val="auto"/>
          <w:sz w:val="21"/>
          <w:szCs w:val="21"/>
        </w:rPr>
        <w:t>（3）投标报价具有选择性的；</w:t>
      </w:r>
    </w:p>
    <w:p>
      <w:pPr>
        <w:pStyle w:val="19"/>
        <w:spacing w:line="360" w:lineRule="auto"/>
        <w:ind w:firstLine="406" w:firstLineChars="200"/>
        <w:rPr>
          <w:rFonts w:ascii="Times New Roman" w:hAnsi="Times New Roman"/>
          <w:b/>
          <w:color w:val="auto"/>
          <w:sz w:val="21"/>
          <w:szCs w:val="21"/>
        </w:rPr>
      </w:pPr>
      <w:r>
        <w:rPr>
          <w:rFonts w:ascii="Times New Roman" w:hAnsi="Times New Roman"/>
          <w:b/>
          <w:color w:val="auto"/>
          <w:sz w:val="21"/>
          <w:szCs w:val="21"/>
        </w:rPr>
        <w:t xml:space="preserve">（4）评委会一致认为报价明显不合理的；     </w:t>
      </w:r>
    </w:p>
    <w:p>
      <w:pPr>
        <w:pStyle w:val="19"/>
        <w:spacing w:line="360" w:lineRule="auto"/>
        <w:ind w:firstLine="406" w:firstLineChars="200"/>
        <w:rPr>
          <w:rFonts w:ascii="Times New Roman" w:hAnsi="Times New Roman"/>
          <w:b/>
          <w:color w:val="auto"/>
          <w:sz w:val="21"/>
          <w:szCs w:val="21"/>
        </w:rPr>
      </w:pPr>
      <w:r>
        <w:rPr>
          <w:rFonts w:ascii="Times New Roman" w:hAnsi="Times New Roman"/>
          <w:b/>
          <w:color w:val="auto"/>
          <w:sz w:val="21"/>
          <w:szCs w:val="21"/>
        </w:rPr>
        <w:t>（5）投标报价中出现重大缺项、漏项或被评审小组</w:t>
      </w:r>
      <w:r>
        <w:rPr>
          <w:rFonts w:ascii="Times New Roman" w:hAnsi="Times New Roman"/>
          <w:b/>
          <w:bCs/>
          <w:color w:val="auto"/>
          <w:sz w:val="21"/>
          <w:szCs w:val="21"/>
        </w:rPr>
        <w:t>认为投标人的报价明显低于</w:t>
      </w:r>
      <w:r>
        <w:rPr>
          <w:rFonts w:ascii="Times New Roman" w:hAnsi="Times New Roman"/>
          <w:b/>
          <w:color w:val="auto"/>
          <w:sz w:val="21"/>
          <w:szCs w:val="21"/>
        </w:rPr>
        <w:t>其他通过符合性审查投标人的报价，且投标人不能证明其报价合理性的；</w:t>
      </w:r>
    </w:p>
    <w:p>
      <w:pPr>
        <w:pStyle w:val="19"/>
        <w:spacing w:line="360" w:lineRule="auto"/>
        <w:ind w:firstLine="406" w:firstLineChars="200"/>
        <w:rPr>
          <w:rFonts w:ascii="Times New Roman" w:hAnsi="Times New Roman"/>
          <w:b/>
          <w:color w:val="auto"/>
          <w:sz w:val="21"/>
          <w:szCs w:val="21"/>
        </w:rPr>
      </w:pPr>
      <w:r>
        <w:rPr>
          <w:rFonts w:ascii="Times New Roman" w:hAnsi="Times New Roman"/>
          <w:b/>
          <w:color w:val="auto"/>
          <w:sz w:val="21"/>
          <w:szCs w:val="21"/>
        </w:rPr>
        <w:t>（6）</w:t>
      </w:r>
      <w:r>
        <w:rPr>
          <w:rFonts w:ascii="Times New Roman" w:hAnsi="Times New Roman"/>
          <w:b/>
          <w:bCs/>
          <w:color w:val="auto"/>
          <w:sz w:val="21"/>
          <w:szCs w:val="21"/>
        </w:rPr>
        <w:t>招标文件规定的其他无效情形。</w:t>
      </w:r>
    </w:p>
    <w:p>
      <w:pPr>
        <w:pStyle w:val="19"/>
        <w:spacing w:line="360" w:lineRule="auto"/>
        <w:ind w:firstLine="406" w:firstLineChars="200"/>
        <w:rPr>
          <w:rFonts w:ascii="Times New Roman" w:hAnsi="Times New Roman"/>
          <w:b/>
          <w:color w:val="auto"/>
          <w:sz w:val="21"/>
          <w:szCs w:val="21"/>
        </w:rPr>
      </w:pPr>
      <w:r>
        <w:rPr>
          <w:rFonts w:ascii="Times New Roman" w:hAnsi="Times New Roman"/>
          <w:b/>
          <w:color w:val="auto"/>
          <w:sz w:val="21"/>
          <w:szCs w:val="21"/>
        </w:rPr>
        <w:t>5.被拒绝的投标文件为无效。</w:t>
      </w:r>
    </w:p>
    <w:p>
      <w:pPr>
        <w:pStyle w:val="19"/>
        <w:spacing w:line="360" w:lineRule="auto"/>
        <w:ind w:firstLine="0"/>
        <w:rPr>
          <w:rFonts w:ascii="Times New Roman" w:hAnsi="Times New Roman"/>
          <w:b/>
          <w:color w:val="auto"/>
          <w:sz w:val="21"/>
          <w:szCs w:val="21"/>
        </w:rPr>
      </w:pPr>
    </w:p>
    <w:p>
      <w:pPr>
        <w:pStyle w:val="19"/>
        <w:spacing w:line="360" w:lineRule="auto"/>
        <w:ind w:firstLine="0"/>
        <w:rPr>
          <w:rFonts w:ascii="Times New Roman" w:hAnsi="Times New Roman"/>
          <w:b/>
          <w:snapToGrid w:val="0"/>
          <w:color w:val="auto"/>
          <w:sz w:val="21"/>
          <w:szCs w:val="21"/>
        </w:rPr>
      </w:pPr>
      <w:r>
        <w:rPr>
          <w:rFonts w:ascii="Times New Roman" w:hAnsi="Times New Roman"/>
          <w:b/>
          <w:color w:val="auto"/>
          <w:sz w:val="21"/>
          <w:szCs w:val="21"/>
        </w:rPr>
        <w:t>四、开标</w:t>
      </w:r>
    </w:p>
    <w:p>
      <w:pPr>
        <w:pStyle w:val="25"/>
        <w:spacing w:before="0" w:beforeLines="0" w:after="0" w:afterLines="0" w:line="360" w:lineRule="auto"/>
        <w:ind w:firstLine="413" w:firstLineChars="196"/>
        <w:rPr>
          <w:rFonts w:ascii="Times New Roman" w:hAnsi="Times New Roman"/>
          <w:b/>
          <w:color w:val="auto"/>
          <w:sz w:val="21"/>
          <w:szCs w:val="21"/>
        </w:rPr>
      </w:pPr>
      <w:r>
        <w:rPr>
          <w:rFonts w:ascii="Times New Roman" w:hAnsi="Times New Roman"/>
          <w:b/>
          <w:color w:val="auto"/>
          <w:sz w:val="21"/>
          <w:szCs w:val="21"/>
        </w:rPr>
        <w:t>（一）开标准备</w:t>
      </w:r>
    </w:p>
    <w:p>
      <w:pPr>
        <w:pStyle w:val="25"/>
        <w:spacing w:before="0" w:beforeLines="0" w:after="0" w:afterLines="0" w:line="360" w:lineRule="auto"/>
        <w:ind w:firstLine="411" w:firstLineChars="196"/>
        <w:rPr>
          <w:rFonts w:ascii="Times New Roman" w:hAnsi="Times New Roman"/>
          <w:bCs/>
          <w:color w:val="auto"/>
          <w:sz w:val="21"/>
          <w:szCs w:val="21"/>
        </w:rPr>
      </w:pPr>
      <w:r>
        <w:rPr>
          <w:rFonts w:ascii="Times New Roman" w:hAnsi="Times New Roman"/>
          <w:bCs/>
          <w:color w:val="auto"/>
          <w:sz w:val="21"/>
          <w:szCs w:val="21"/>
        </w:rPr>
        <w:t>投标人应当在采购文件要求提交投标文件的截止时间前，将投标文件密封送达投标地点，在完成投标文件和人员信息登记后立即离开，采购代理机构将在规定的时间和地点进行开标。采购代理机构收到投标文件后，应当记载投标文件送达时间和密封情况，签收保存并向投标人出具签收回执。投标人的法定代表人或其授权代表未按时签到登记的，视同放弃开标监督权利、认可开标结果。</w:t>
      </w:r>
    </w:p>
    <w:p>
      <w:pPr>
        <w:pStyle w:val="25"/>
        <w:spacing w:before="0" w:beforeLines="0" w:after="0" w:afterLines="0" w:line="360" w:lineRule="auto"/>
        <w:ind w:firstLine="422" w:firstLineChars="200"/>
        <w:rPr>
          <w:rFonts w:ascii="Times New Roman" w:hAnsi="Times New Roman"/>
          <w:color w:val="auto"/>
          <w:sz w:val="21"/>
          <w:szCs w:val="21"/>
        </w:rPr>
      </w:pPr>
      <w:r>
        <w:rPr>
          <w:rFonts w:ascii="Times New Roman" w:hAnsi="Times New Roman"/>
          <w:b/>
          <w:bCs/>
          <w:color w:val="auto"/>
          <w:sz w:val="21"/>
          <w:szCs w:val="21"/>
        </w:rPr>
        <w:t>（二）电子招投标开标及评审程序</w:t>
      </w:r>
    </w:p>
    <w:p>
      <w:pPr>
        <w:pStyle w:val="25"/>
        <w:spacing w:before="0" w:beforeLines="0" w:after="0" w:afterLines="0" w:line="360" w:lineRule="auto"/>
        <w:ind w:firstLine="420" w:firstLineChars="200"/>
        <w:rPr>
          <w:rFonts w:ascii="Times New Roman" w:hAnsi="Times New Roman"/>
          <w:color w:val="auto"/>
          <w:sz w:val="21"/>
          <w:szCs w:val="21"/>
        </w:rPr>
      </w:pPr>
      <w:r>
        <w:rPr>
          <w:rFonts w:ascii="Times New Roman" w:hAnsi="Times New Roman"/>
          <w:color w:val="auto"/>
          <w:sz w:val="21"/>
          <w:szCs w:val="21"/>
        </w:rPr>
        <w:t>1.投标截止时间后，投标人登录政采云平台，用“项目采购-开标评标”功能对电子投标文件进行在线解密。在线解密电子投标文件时间按政采云平台规定执行；</w:t>
      </w:r>
    </w:p>
    <w:p>
      <w:pPr>
        <w:pStyle w:val="25"/>
        <w:spacing w:before="0" w:beforeLines="0" w:after="0" w:afterLines="0" w:line="360" w:lineRule="auto"/>
        <w:ind w:firstLine="420" w:firstLineChars="200"/>
        <w:rPr>
          <w:rFonts w:ascii="Times New Roman" w:hAnsi="Times New Roman"/>
          <w:color w:val="auto"/>
          <w:sz w:val="21"/>
          <w:szCs w:val="21"/>
        </w:rPr>
      </w:pPr>
      <w:r>
        <w:rPr>
          <w:rFonts w:ascii="Times New Roman" w:hAnsi="Times New Roman"/>
          <w:color w:val="auto"/>
          <w:sz w:val="21"/>
          <w:szCs w:val="21"/>
        </w:rPr>
        <w:t>2.采购人或代理机构对投标人的资格进行审查；</w:t>
      </w:r>
    </w:p>
    <w:p>
      <w:pPr>
        <w:pStyle w:val="25"/>
        <w:spacing w:before="0" w:beforeLines="0" w:after="0" w:afterLines="0" w:line="360" w:lineRule="auto"/>
        <w:ind w:firstLine="420" w:firstLineChars="200"/>
        <w:rPr>
          <w:rFonts w:ascii="Times New Roman" w:hAnsi="Times New Roman"/>
          <w:color w:val="auto"/>
          <w:sz w:val="21"/>
          <w:szCs w:val="21"/>
        </w:rPr>
      </w:pPr>
      <w:r>
        <w:rPr>
          <w:rFonts w:ascii="Times New Roman" w:hAnsi="Times New Roman"/>
          <w:color w:val="auto"/>
          <w:sz w:val="21"/>
          <w:szCs w:val="21"/>
        </w:rPr>
        <w:t>3.评标委员会对商务技术响应文件进行评审；</w:t>
      </w:r>
    </w:p>
    <w:p>
      <w:pPr>
        <w:pStyle w:val="25"/>
        <w:spacing w:before="0" w:beforeLines="0" w:after="0" w:afterLines="0" w:line="360" w:lineRule="auto"/>
        <w:ind w:firstLine="420" w:firstLineChars="200"/>
        <w:rPr>
          <w:rFonts w:ascii="Times New Roman" w:hAnsi="Times New Roman"/>
          <w:color w:val="auto"/>
          <w:sz w:val="21"/>
          <w:szCs w:val="21"/>
        </w:rPr>
      </w:pPr>
      <w:r>
        <w:rPr>
          <w:rFonts w:ascii="Times New Roman" w:hAnsi="Times New Roman"/>
          <w:color w:val="auto"/>
          <w:sz w:val="21"/>
          <w:szCs w:val="21"/>
        </w:rPr>
        <w:t>4.在系统上公开资格和商务技术评审结果；</w:t>
      </w:r>
    </w:p>
    <w:p>
      <w:pPr>
        <w:pStyle w:val="25"/>
        <w:spacing w:before="0" w:beforeLines="0" w:after="0" w:afterLines="0" w:line="360" w:lineRule="auto"/>
        <w:ind w:firstLine="420" w:firstLineChars="200"/>
        <w:rPr>
          <w:rFonts w:ascii="Times New Roman" w:hAnsi="Times New Roman"/>
          <w:color w:val="auto"/>
          <w:sz w:val="21"/>
          <w:szCs w:val="21"/>
        </w:rPr>
      </w:pPr>
      <w:r>
        <w:rPr>
          <w:rFonts w:ascii="Times New Roman" w:hAnsi="Times New Roman"/>
          <w:color w:val="auto"/>
          <w:sz w:val="21"/>
          <w:szCs w:val="21"/>
        </w:rPr>
        <w:t>5.在系统上公开报价开标情况；</w:t>
      </w:r>
    </w:p>
    <w:p>
      <w:pPr>
        <w:pStyle w:val="25"/>
        <w:spacing w:before="0" w:beforeLines="0" w:after="0" w:afterLines="0" w:line="360" w:lineRule="auto"/>
        <w:ind w:firstLine="420" w:firstLineChars="200"/>
        <w:rPr>
          <w:rFonts w:ascii="Times New Roman" w:hAnsi="Times New Roman"/>
          <w:color w:val="auto"/>
          <w:sz w:val="21"/>
          <w:szCs w:val="21"/>
        </w:rPr>
      </w:pPr>
      <w:r>
        <w:rPr>
          <w:rFonts w:ascii="Times New Roman" w:hAnsi="Times New Roman"/>
          <w:color w:val="auto"/>
          <w:sz w:val="21"/>
          <w:szCs w:val="21"/>
        </w:rPr>
        <w:t>6.评标委员会对报价情况进行评审；</w:t>
      </w:r>
    </w:p>
    <w:p>
      <w:pPr>
        <w:pStyle w:val="25"/>
        <w:spacing w:before="0" w:beforeLines="0" w:after="0" w:afterLines="0" w:line="360" w:lineRule="auto"/>
        <w:ind w:firstLine="420" w:firstLineChars="200"/>
        <w:rPr>
          <w:rFonts w:ascii="Times New Roman" w:hAnsi="Times New Roman"/>
          <w:color w:val="auto"/>
          <w:sz w:val="21"/>
          <w:szCs w:val="21"/>
        </w:rPr>
      </w:pPr>
      <w:r>
        <w:rPr>
          <w:rFonts w:ascii="Times New Roman" w:hAnsi="Times New Roman"/>
          <w:color w:val="auto"/>
          <w:sz w:val="21"/>
          <w:szCs w:val="21"/>
        </w:rPr>
        <w:t>7.在系统上公布评审结果。</w:t>
      </w:r>
    </w:p>
    <w:p>
      <w:pPr>
        <w:pStyle w:val="25"/>
        <w:spacing w:before="0" w:beforeLines="0" w:after="0" w:afterLines="0" w:line="360" w:lineRule="auto"/>
        <w:ind w:firstLine="422" w:firstLineChars="200"/>
        <w:rPr>
          <w:rFonts w:ascii="Times New Roman" w:hAnsi="Times New Roman"/>
          <w:b/>
          <w:bCs/>
          <w:color w:val="auto"/>
          <w:sz w:val="21"/>
          <w:szCs w:val="21"/>
        </w:rPr>
      </w:pPr>
      <w:r>
        <w:rPr>
          <w:rFonts w:ascii="Times New Roman" w:hAnsi="Times New Roman"/>
          <w:b/>
          <w:bCs/>
          <w:color w:val="auto"/>
          <w:sz w:val="21"/>
          <w:szCs w:val="21"/>
        </w:rPr>
        <w:t>特别说明：政采云公司如对电子化开标及评审程序有调整的，按调整后的程序操作。</w:t>
      </w:r>
    </w:p>
    <w:p>
      <w:pPr>
        <w:pStyle w:val="25"/>
        <w:spacing w:before="0" w:beforeLines="0" w:after="0" w:afterLines="0" w:line="360" w:lineRule="auto"/>
        <w:rPr>
          <w:rFonts w:ascii="Times New Roman" w:hAnsi="Times New Roman"/>
          <w:b/>
          <w:color w:val="auto"/>
          <w:sz w:val="21"/>
          <w:szCs w:val="21"/>
        </w:rPr>
      </w:pPr>
    </w:p>
    <w:p>
      <w:pPr>
        <w:pStyle w:val="25"/>
        <w:spacing w:before="0" w:beforeLines="0" w:after="0" w:afterLines="0" w:line="360" w:lineRule="auto"/>
        <w:rPr>
          <w:rFonts w:ascii="Times New Roman" w:hAnsi="Times New Roman"/>
          <w:b/>
          <w:color w:val="auto"/>
          <w:sz w:val="21"/>
          <w:szCs w:val="21"/>
        </w:rPr>
      </w:pPr>
      <w:r>
        <w:rPr>
          <w:rFonts w:ascii="Times New Roman" w:hAnsi="Times New Roman"/>
          <w:b/>
          <w:color w:val="auto"/>
          <w:sz w:val="21"/>
          <w:szCs w:val="21"/>
        </w:rPr>
        <w:t>五、评标</w:t>
      </w:r>
    </w:p>
    <w:p>
      <w:pPr>
        <w:pStyle w:val="25"/>
        <w:spacing w:before="0" w:beforeLines="0" w:after="0" w:afterLines="0" w:line="360" w:lineRule="auto"/>
        <w:ind w:left="690" w:leftChars="228" w:hanging="211" w:hangingChars="100"/>
        <w:rPr>
          <w:rFonts w:ascii="Times New Roman" w:hAnsi="Times New Roman"/>
          <w:b/>
          <w:color w:val="auto"/>
          <w:sz w:val="21"/>
          <w:szCs w:val="21"/>
        </w:rPr>
      </w:pPr>
      <w:r>
        <w:rPr>
          <w:rFonts w:ascii="Times New Roman" w:hAnsi="Times New Roman"/>
          <w:b/>
          <w:color w:val="auto"/>
          <w:sz w:val="21"/>
          <w:szCs w:val="21"/>
        </w:rPr>
        <w:t>（一）组建评审小组</w:t>
      </w:r>
    </w:p>
    <w:p>
      <w:pPr>
        <w:pStyle w:val="25"/>
        <w:spacing w:before="0" w:beforeLines="0" w:after="0" w:afterLines="0" w:line="360" w:lineRule="auto"/>
        <w:ind w:firstLine="420" w:firstLineChars="200"/>
        <w:rPr>
          <w:rFonts w:ascii="Times New Roman" w:hAnsi="Times New Roman"/>
          <w:color w:val="auto"/>
          <w:sz w:val="21"/>
          <w:szCs w:val="21"/>
        </w:rPr>
      </w:pPr>
      <w:r>
        <w:rPr>
          <w:rFonts w:ascii="Times New Roman" w:hAnsi="Times New Roman"/>
          <w:color w:val="auto"/>
          <w:sz w:val="21"/>
          <w:szCs w:val="21"/>
        </w:rPr>
        <w:t xml:space="preserve"> 本项目评审小组依法组建。</w:t>
      </w:r>
    </w:p>
    <w:p>
      <w:pPr>
        <w:pStyle w:val="25"/>
        <w:spacing w:before="0" w:beforeLines="0" w:after="0" w:afterLines="0" w:line="360" w:lineRule="auto"/>
        <w:ind w:left="690" w:leftChars="228" w:hanging="211" w:hangingChars="100"/>
        <w:rPr>
          <w:rFonts w:ascii="Times New Roman" w:hAnsi="Times New Roman"/>
          <w:b/>
          <w:color w:val="auto"/>
          <w:sz w:val="21"/>
          <w:szCs w:val="21"/>
        </w:rPr>
      </w:pPr>
      <w:r>
        <w:rPr>
          <w:rFonts w:ascii="Times New Roman" w:hAnsi="Times New Roman"/>
          <w:b/>
          <w:color w:val="auto"/>
          <w:sz w:val="21"/>
          <w:szCs w:val="21"/>
        </w:rPr>
        <w:t>（二）评标原则</w:t>
      </w:r>
    </w:p>
    <w:p>
      <w:pPr>
        <w:pStyle w:val="25"/>
        <w:spacing w:before="0" w:beforeLines="0" w:after="0" w:afterLines="0" w:line="360" w:lineRule="auto"/>
        <w:ind w:firstLine="420"/>
        <w:rPr>
          <w:rFonts w:ascii="Times New Roman" w:hAnsi="Times New Roman"/>
          <w:b/>
          <w:color w:val="auto"/>
          <w:sz w:val="21"/>
          <w:szCs w:val="21"/>
        </w:rPr>
      </w:pPr>
      <w:r>
        <w:rPr>
          <w:rFonts w:ascii="Times New Roman" w:hAnsi="Times New Roman"/>
          <w:color w:val="auto"/>
          <w:sz w:val="21"/>
          <w:szCs w:val="21"/>
        </w:rPr>
        <w:t>本项目采用不公开方式评标，评标的依据为招标文件和投标文件。</w:t>
      </w:r>
    </w:p>
    <w:p>
      <w:pPr>
        <w:pStyle w:val="25"/>
        <w:spacing w:before="0" w:beforeLines="0" w:after="0" w:afterLines="0" w:line="360" w:lineRule="auto"/>
        <w:ind w:left="690" w:leftChars="228" w:hanging="211" w:hangingChars="100"/>
        <w:rPr>
          <w:rFonts w:ascii="Times New Roman" w:hAnsi="Times New Roman"/>
          <w:b/>
          <w:color w:val="auto"/>
          <w:sz w:val="21"/>
          <w:szCs w:val="21"/>
        </w:rPr>
      </w:pPr>
      <w:r>
        <w:rPr>
          <w:rFonts w:ascii="Times New Roman" w:hAnsi="Times New Roman"/>
          <w:b/>
          <w:color w:val="auto"/>
          <w:sz w:val="21"/>
          <w:szCs w:val="21"/>
        </w:rPr>
        <w:t>（三）</w:t>
      </w:r>
      <w:r>
        <w:rPr>
          <w:rFonts w:ascii="Times New Roman" w:hAnsi="Times New Roman"/>
          <w:b/>
          <w:bCs/>
          <w:color w:val="auto"/>
          <w:sz w:val="21"/>
          <w:szCs w:val="21"/>
        </w:rPr>
        <w:t>评标程序</w:t>
      </w:r>
    </w:p>
    <w:p>
      <w:pPr>
        <w:spacing w:line="360" w:lineRule="auto"/>
        <w:ind w:firstLine="413" w:firstLineChars="196"/>
        <w:rPr>
          <w:b/>
          <w:bCs/>
          <w:color w:val="auto"/>
          <w:szCs w:val="21"/>
        </w:rPr>
      </w:pPr>
      <w:r>
        <w:rPr>
          <w:b/>
          <w:bCs/>
          <w:color w:val="auto"/>
          <w:szCs w:val="21"/>
        </w:rPr>
        <w:t>1.资格审查</w:t>
      </w:r>
    </w:p>
    <w:p>
      <w:pPr>
        <w:spacing w:line="360" w:lineRule="auto"/>
        <w:ind w:firstLine="420" w:firstLineChars="200"/>
        <w:rPr>
          <w:color w:val="auto"/>
          <w:szCs w:val="21"/>
        </w:rPr>
      </w:pPr>
      <w:r>
        <w:rPr>
          <w:color w:val="auto"/>
          <w:szCs w:val="21"/>
        </w:rPr>
        <w:t>采购人代表或代理机构工作人员对投标人的资格进行审查。</w:t>
      </w:r>
    </w:p>
    <w:p>
      <w:pPr>
        <w:spacing w:line="360" w:lineRule="auto"/>
        <w:ind w:firstLine="422" w:firstLineChars="200"/>
        <w:rPr>
          <w:b/>
          <w:color w:val="auto"/>
          <w:szCs w:val="21"/>
        </w:rPr>
      </w:pPr>
      <w:r>
        <w:rPr>
          <w:b/>
          <w:color w:val="auto"/>
          <w:szCs w:val="21"/>
        </w:rPr>
        <w:t>2.符合性检查</w:t>
      </w:r>
    </w:p>
    <w:p>
      <w:pPr>
        <w:spacing w:line="360" w:lineRule="auto"/>
        <w:ind w:firstLine="420" w:firstLineChars="200"/>
        <w:rPr>
          <w:b/>
          <w:color w:val="auto"/>
          <w:szCs w:val="21"/>
        </w:rPr>
      </w:pPr>
      <w:r>
        <w:rPr>
          <w:color w:val="auto"/>
          <w:szCs w:val="21"/>
        </w:rPr>
        <w:t>评审小组对通过资格审查的投标人的投标文件的完整性、合法性进行符合性检查。</w:t>
      </w:r>
    </w:p>
    <w:p>
      <w:pPr>
        <w:spacing w:line="360" w:lineRule="auto"/>
        <w:ind w:firstLine="413" w:firstLineChars="196"/>
        <w:rPr>
          <w:b/>
          <w:bCs/>
          <w:color w:val="auto"/>
          <w:szCs w:val="21"/>
        </w:rPr>
      </w:pPr>
      <w:r>
        <w:rPr>
          <w:b/>
          <w:bCs/>
          <w:color w:val="auto"/>
          <w:szCs w:val="21"/>
        </w:rPr>
        <w:t>3.实质审查与比较</w:t>
      </w:r>
    </w:p>
    <w:p>
      <w:pPr>
        <w:spacing w:line="360" w:lineRule="auto"/>
        <w:ind w:firstLine="420" w:firstLineChars="200"/>
        <w:rPr>
          <w:color w:val="auto"/>
          <w:szCs w:val="21"/>
        </w:rPr>
      </w:pPr>
      <w:r>
        <w:rPr>
          <w:color w:val="auto"/>
          <w:szCs w:val="21"/>
        </w:rPr>
        <w:t>（1）评审小组审查投标文件的实质性内容是否符合招标文件的实质性要求。</w:t>
      </w:r>
    </w:p>
    <w:p>
      <w:pPr>
        <w:spacing w:line="360" w:lineRule="auto"/>
        <w:ind w:firstLine="420" w:firstLineChars="200"/>
        <w:rPr>
          <w:color w:val="auto"/>
          <w:szCs w:val="21"/>
        </w:rPr>
      </w:pPr>
      <w:r>
        <w:rPr>
          <w:color w:val="auto"/>
          <w:szCs w:val="21"/>
        </w:rPr>
        <w:t>（2）评审小组将根据投标人的投标文件进行审查、核对，如有疑问，将对投标人进行询标,投标人要向评审小组澄清有关问题,并最终以书面形式进行答复。</w:t>
      </w:r>
    </w:p>
    <w:p>
      <w:pPr>
        <w:spacing w:line="360" w:lineRule="auto"/>
        <w:ind w:firstLine="420" w:firstLineChars="200"/>
        <w:rPr>
          <w:color w:val="auto"/>
          <w:szCs w:val="21"/>
        </w:rPr>
      </w:pPr>
      <w:r>
        <w:rPr>
          <w:color w:val="auto"/>
          <w:szCs w:val="21"/>
        </w:rPr>
        <w:t>投标人代表未到场或者拒绝澄清或者澄清的内容改变了投标文件的实质性内容的，评审小组有权对该投标文件作出不利于投标人的评判。</w:t>
      </w:r>
    </w:p>
    <w:p>
      <w:pPr>
        <w:spacing w:line="360" w:lineRule="auto"/>
        <w:ind w:firstLine="420" w:firstLineChars="200"/>
        <w:rPr>
          <w:color w:val="auto"/>
          <w:szCs w:val="21"/>
        </w:rPr>
      </w:pPr>
      <w:r>
        <w:rPr>
          <w:color w:val="auto"/>
          <w:szCs w:val="21"/>
        </w:rPr>
        <w:t>（3）各投标人的技术得分为所有评委的有效评分的算术平均数，由指定专人进行计算复核。</w:t>
      </w:r>
    </w:p>
    <w:p>
      <w:pPr>
        <w:spacing w:line="360" w:lineRule="auto"/>
        <w:ind w:firstLine="420" w:firstLineChars="200"/>
        <w:rPr>
          <w:color w:val="auto"/>
          <w:szCs w:val="21"/>
        </w:rPr>
      </w:pPr>
      <w:r>
        <w:rPr>
          <w:color w:val="auto"/>
          <w:szCs w:val="21"/>
        </w:rPr>
        <w:t>（4）代理机构工作人员协助评审小组根据本项目的评分标准计算各投标人的商务报价得分。</w:t>
      </w:r>
    </w:p>
    <w:p>
      <w:pPr>
        <w:spacing w:line="360" w:lineRule="auto"/>
        <w:ind w:firstLine="420" w:firstLineChars="200"/>
        <w:rPr>
          <w:color w:val="auto"/>
          <w:szCs w:val="21"/>
        </w:rPr>
      </w:pPr>
      <w:r>
        <w:rPr>
          <w:color w:val="auto"/>
          <w:szCs w:val="21"/>
        </w:rPr>
        <w:t>（5）评审小组完成评标后,评委或代理机构对各部分得分汇总，计算出本项目最终得分。评审小组按评标原则推荐中标候选人同时起草评标报告。</w:t>
      </w:r>
    </w:p>
    <w:p>
      <w:pPr>
        <w:spacing w:line="360" w:lineRule="auto"/>
        <w:ind w:firstLine="422" w:firstLineChars="200"/>
        <w:rPr>
          <w:b/>
          <w:color w:val="auto"/>
          <w:szCs w:val="21"/>
        </w:rPr>
      </w:pPr>
      <w:r>
        <w:rPr>
          <w:b/>
          <w:bCs/>
          <w:color w:val="auto"/>
          <w:szCs w:val="21"/>
        </w:rPr>
        <w:t>（四）</w:t>
      </w:r>
      <w:r>
        <w:rPr>
          <w:b/>
          <w:color w:val="auto"/>
          <w:szCs w:val="21"/>
        </w:rPr>
        <w:t>澄清问题的形式</w:t>
      </w:r>
    </w:p>
    <w:p>
      <w:pPr>
        <w:spacing w:line="360" w:lineRule="auto"/>
        <w:ind w:firstLine="420" w:firstLineChars="200"/>
        <w:rPr>
          <w:color w:val="auto"/>
          <w:szCs w:val="21"/>
        </w:rPr>
      </w:pPr>
      <w:r>
        <w:rPr>
          <w:color w:val="auto"/>
          <w:szCs w:val="21"/>
        </w:rPr>
        <w:t>1.对于投标文件中含义不明确、同类问题表述不一致或者有明显文字和计算错误的内容，评审小组应当以书面形式要求投标人作出必要的澄清、说明或者补正。</w:t>
      </w:r>
    </w:p>
    <w:p>
      <w:pPr>
        <w:spacing w:line="360" w:lineRule="auto"/>
        <w:ind w:firstLine="420" w:firstLineChars="200"/>
        <w:rPr>
          <w:color w:val="auto"/>
          <w:szCs w:val="21"/>
        </w:rPr>
      </w:pPr>
      <w:r>
        <w:rPr>
          <w:color w:val="auto"/>
          <w:szCs w:val="21"/>
        </w:rPr>
        <w:t>2.投标人的澄清、说明或者补正应当采用书面形式，并加盖公章，或者由法定代表人或其授权的代表签名。投标人的澄清、说明或者补正不得超出投标文件的范围或者改变投标文件的实质性内容。</w:t>
      </w:r>
    </w:p>
    <w:p>
      <w:pPr>
        <w:pStyle w:val="25"/>
        <w:spacing w:before="0" w:beforeLines="0" w:after="0" w:afterLines="0" w:line="360" w:lineRule="auto"/>
        <w:ind w:left="690" w:leftChars="228" w:hanging="211" w:hangingChars="100"/>
        <w:rPr>
          <w:rFonts w:ascii="Times New Roman" w:hAnsi="Times New Roman"/>
          <w:b/>
          <w:color w:val="auto"/>
          <w:sz w:val="21"/>
          <w:szCs w:val="21"/>
        </w:rPr>
      </w:pPr>
      <w:r>
        <w:rPr>
          <w:rFonts w:ascii="Times New Roman" w:hAnsi="Times New Roman"/>
          <w:b/>
          <w:bCs/>
          <w:color w:val="auto"/>
          <w:sz w:val="21"/>
          <w:szCs w:val="21"/>
        </w:rPr>
        <w:t>（五）</w:t>
      </w:r>
      <w:r>
        <w:rPr>
          <w:rFonts w:ascii="Times New Roman" w:hAnsi="Times New Roman"/>
          <w:b/>
          <w:color w:val="auto"/>
          <w:sz w:val="21"/>
          <w:szCs w:val="21"/>
        </w:rPr>
        <w:t>投标文件错误修正原则</w:t>
      </w:r>
    </w:p>
    <w:p>
      <w:pPr>
        <w:pStyle w:val="25"/>
        <w:spacing w:before="0" w:beforeLines="0" w:after="0" w:afterLines="0" w:line="360" w:lineRule="auto"/>
        <w:ind w:firstLine="422"/>
        <w:rPr>
          <w:rFonts w:ascii="Times New Roman" w:hAnsi="Times New Roman"/>
          <w:color w:val="auto"/>
          <w:sz w:val="21"/>
          <w:szCs w:val="21"/>
        </w:rPr>
      </w:pPr>
      <w:r>
        <w:rPr>
          <w:rFonts w:ascii="Times New Roman" w:hAnsi="Times New Roman"/>
          <w:color w:val="auto"/>
          <w:sz w:val="21"/>
          <w:szCs w:val="21"/>
        </w:rPr>
        <w:t>投标文件如果出现计算或表达上的错误，修正错误的原则如下：</w:t>
      </w:r>
    </w:p>
    <w:p>
      <w:pPr>
        <w:pStyle w:val="25"/>
        <w:spacing w:before="0" w:beforeLines="0" w:after="0" w:afterLines="0" w:line="360" w:lineRule="auto"/>
        <w:ind w:firstLine="422"/>
        <w:rPr>
          <w:rFonts w:ascii="Times New Roman" w:hAnsi="Times New Roman"/>
          <w:color w:val="auto"/>
          <w:sz w:val="21"/>
          <w:szCs w:val="21"/>
        </w:rPr>
      </w:pPr>
      <w:r>
        <w:rPr>
          <w:rFonts w:ascii="Times New Roman" w:hAnsi="Times New Roman"/>
          <w:color w:val="auto"/>
          <w:sz w:val="21"/>
          <w:szCs w:val="21"/>
        </w:rPr>
        <w:t>1、投标文件中开标一览表（报价表）内容与投标文件中相应内容不一致的，以开标一览表（报价表）为准；</w:t>
      </w:r>
    </w:p>
    <w:p>
      <w:pPr>
        <w:pStyle w:val="25"/>
        <w:spacing w:before="0" w:beforeLines="0" w:after="0" w:afterLines="0" w:line="360" w:lineRule="auto"/>
        <w:ind w:firstLine="422"/>
        <w:rPr>
          <w:rFonts w:ascii="Times New Roman" w:hAnsi="Times New Roman"/>
          <w:color w:val="auto"/>
          <w:sz w:val="21"/>
          <w:szCs w:val="21"/>
        </w:rPr>
      </w:pPr>
      <w:r>
        <w:rPr>
          <w:rFonts w:ascii="Times New Roman" w:hAnsi="Times New Roman"/>
          <w:color w:val="auto"/>
          <w:sz w:val="21"/>
          <w:szCs w:val="21"/>
        </w:rPr>
        <w:t>2、大写金额和小写金额不一致的，以大写金额为准；</w:t>
      </w:r>
    </w:p>
    <w:p>
      <w:pPr>
        <w:pStyle w:val="25"/>
        <w:spacing w:before="0" w:beforeLines="0" w:after="0" w:afterLines="0" w:line="360" w:lineRule="auto"/>
        <w:ind w:firstLine="422"/>
        <w:rPr>
          <w:rFonts w:ascii="Times New Roman" w:hAnsi="Times New Roman"/>
          <w:color w:val="auto"/>
          <w:sz w:val="21"/>
          <w:szCs w:val="21"/>
        </w:rPr>
      </w:pPr>
      <w:r>
        <w:rPr>
          <w:rFonts w:ascii="Times New Roman" w:hAnsi="Times New Roman"/>
          <w:color w:val="auto"/>
          <w:sz w:val="21"/>
          <w:szCs w:val="21"/>
        </w:rPr>
        <w:t>3、单价金额小数点或者百分比有明显错位的，以开标一览表的总价为准，并修改单价；</w:t>
      </w:r>
    </w:p>
    <w:p>
      <w:pPr>
        <w:pStyle w:val="25"/>
        <w:spacing w:before="0" w:beforeLines="0" w:after="0" w:afterLines="0" w:line="360" w:lineRule="auto"/>
        <w:ind w:firstLine="422"/>
        <w:rPr>
          <w:rFonts w:ascii="Times New Roman" w:hAnsi="Times New Roman"/>
          <w:color w:val="auto"/>
          <w:sz w:val="21"/>
          <w:szCs w:val="21"/>
        </w:rPr>
      </w:pPr>
      <w:r>
        <w:rPr>
          <w:rFonts w:ascii="Times New Roman" w:hAnsi="Times New Roman"/>
          <w:color w:val="auto"/>
          <w:sz w:val="21"/>
          <w:szCs w:val="21"/>
        </w:rPr>
        <w:t>4、总价金额与按单价汇总金额不一致的，以单价金额计算结果为准。</w:t>
      </w:r>
    </w:p>
    <w:p>
      <w:pPr>
        <w:pStyle w:val="25"/>
        <w:spacing w:before="0" w:beforeLines="0" w:after="0" w:afterLines="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5、投标人在政采云系统中就本项目填写的报价与以pdf格式上传文件中的报价不一致的，应以pdf格式上传文件中的报价为准。</w:t>
      </w:r>
    </w:p>
    <w:p>
      <w:pPr>
        <w:pStyle w:val="25"/>
        <w:spacing w:before="0" w:beforeLines="0" w:after="0" w:afterLines="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同时出现两种以上不一致的，按照前款规定的顺序修正。修正后的报价经投标人确认后产生约束力，投标人不确认的，其投标无效。</w:t>
      </w:r>
    </w:p>
    <w:p>
      <w:pPr>
        <w:pStyle w:val="25"/>
        <w:tabs>
          <w:tab w:val="left" w:pos="630"/>
        </w:tabs>
        <w:spacing w:before="0" w:beforeLines="0" w:after="0" w:afterLines="0" w:line="360" w:lineRule="auto"/>
        <w:ind w:firstLine="413" w:firstLineChars="196"/>
        <w:rPr>
          <w:rFonts w:ascii="Times New Roman" w:hAnsi="Times New Roman"/>
          <w:b/>
          <w:color w:val="auto"/>
          <w:sz w:val="21"/>
          <w:szCs w:val="21"/>
        </w:rPr>
      </w:pPr>
      <w:r>
        <w:rPr>
          <w:rFonts w:ascii="Times New Roman" w:hAnsi="Times New Roman"/>
          <w:b/>
          <w:color w:val="auto"/>
          <w:sz w:val="21"/>
          <w:szCs w:val="21"/>
        </w:rPr>
        <w:t>（六）评标原则和评标办法</w:t>
      </w:r>
    </w:p>
    <w:p>
      <w:pPr>
        <w:pStyle w:val="25"/>
        <w:spacing w:before="0" w:beforeLines="0" w:after="0" w:afterLines="0" w:line="360" w:lineRule="auto"/>
        <w:ind w:firstLine="420" w:firstLineChars="200"/>
        <w:rPr>
          <w:rFonts w:ascii="Times New Roman" w:hAnsi="Times New Roman"/>
          <w:color w:val="auto"/>
          <w:sz w:val="21"/>
          <w:szCs w:val="21"/>
        </w:rPr>
      </w:pPr>
      <w:r>
        <w:rPr>
          <w:rFonts w:ascii="Times New Roman" w:hAnsi="Times New Roman"/>
          <w:color w:val="auto"/>
          <w:sz w:val="21"/>
          <w:szCs w:val="21"/>
        </w:rPr>
        <w:t>1.评标原则。评审小组必须公平、公正、客观，不带任何倾向性和启发性；不得向外界透露任何与评标有关的内容；任何单位和个人不得干扰、影响评标的正常进行；评审小组及有关工作人员不得私下与投标人接触。</w:t>
      </w:r>
    </w:p>
    <w:p>
      <w:pPr>
        <w:pStyle w:val="25"/>
        <w:spacing w:before="0" w:beforeLines="0" w:after="0" w:afterLines="0" w:line="360" w:lineRule="auto"/>
        <w:ind w:firstLine="420" w:firstLineChars="200"/>
        <w:rPr>
          <w:rFonts w:ascii="Times New Roman" w:hAnsi="Times New Roman"/>
          <w:color w:val="auto"/>
          <w:sz w:val="21"/>
          <w:szCs w:val="21"/>
        </w:rPr>
      </w:pPr>
      <w:r>
        <w:rPr>
          <w:rFonts w:ascii="Times New Roman" w:hAnsi="Times New Roman"/>
          <w:color w:val="auto"/>
          <w:sz w:val="21"/>
          <w:szCs w:val="21"/>
        </w:rPr>
        <w:t>2.评标办法。本项目评标办法是</w:t>
      </w:r>
      <w:r>
        <w:rPr>
          <w:rFonts w:ascii="Times New Roman" w:hAnsi="Times New Roman"/>
          <w:color w:val="auto"/>
          <w:sz w:val="21"/>
          <w:szCs w:val="21"/>
          <w:u w:val="single"/>
        </w:rPr>
        <w:t>综合评分法</w:t>
      </w:r>
      <w:r>
        <w:rPr>
          <w:rFonts w:ascii="Times New Roman" w:hAnsi="Times New Roman"/>
          <w:color w:val="auto"/>
          <w:sz w:val="21"/>
          <w:szCs w:val="21"/>
        </w:rPr>
        <w:t>，具体评标内容及评分标准等详见第四章《评标办法及评分标准》。</w:t>
      </w:r>
    </w:p>
    <w:p>
      <w:pPr>
        <w:pStyle w:val="25"/>
        <w:spacing w:before="0" w:beforeLines="0" w:after="0" w:afterLines="0" w:line="360" w:lineRule="auto"/>
        <w:rPr>
          <w:rFonts w:ascii="Times New Roman" w:hAnsi="Times New Roman"/>
          <w:b/>
          <w:color w:val="auto"/>
          <w:sz w:val="21"/>
          <w:szCs w:val="21"/>
        </w:rPr>
      </w:pPr>
    </w:p>
    <w:p>
      <w:pPr>
        <w:pStyle w:val="25"/>
        <w:spacing w:before="0" w:beforeLines="0" w:after="0" w:afterLines="0" w:line="360" w:lineRule="auto"/>
        <w:rPr>
          <w:rFonts w:ascii="Times New Roman" w:hAnsi="Times New Roman"/>
          <w:b/>
          <w:color w:val="auto"/>
          <w:sz w:val="21"/>
          <w:szCs w:val="21"/>
        </w:rPr>
      </w:pPr>
      <w:r>
        <w:rPr>
          <w:rFonts w:ascii="Times New Roman" w:hAnsi="Times New Roman"/>
          <w:b/>
          <w:color w:val="auto"/>
          <w:sz w:val="21"/>
          <w:szCs w:val="21"/>
        </w:rPr>
        <w:t>六、定标</w:t>
      </w:r>
    </w:p>
    <w:p>
      <w:pPr>
        <w:spacing w:line="360" w:lineRule="auto"/>
        <w:ind w:firstLine="420" w:firstLineChars="200"/>
        <w:rPr>
          <w:bCs/>
          <w:color w:val="auto"/>
          <w:szCs w:val="21"/>
        </w:rPr>
      </w:pPr>
      <w:r>
        <w:rPr>
          <w:bCs/>
          <w:color w:val="auto"/>
          <w:szCs w:val="21"/>
        </w:rPr>
        <w:t>1.确定中标人。本项目由评审小组推荐中标候选人。</w:t>
      </w:r>
    </w:p>
    <w:p>
      <w:pPr>
        <w:spacing w:line="360" w:lineRule="auto"/>
        <w:ind w:firstLine="420" w:firstLineChars="200"/>
        <w:rPr>
          <w:bCs/>
          <w:color w:val="auto"/>
          <w:szCs w:val="21"/>
        </w:rPr>
      </w:pPr>
      <w:r>
        <w:rPr>
          <w:bCs/>
          <w:color w:val="auto"/>
          <w:szCs w:val="21"/>
        </w:rPr>
        <w:t>2.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第一中标候选人为中标人。</w:t>
      </w:r>
    </w:p>
    <w:p>
      <w:pPr>
        <w:spacing w:line="360" w:lineRule="auto"/>
        <w:ind w:firstLine="420" w:firstLineChars="200"/>
        <w:rPr>
          <w:bCs/>
          <w:color w:val="auto"/>
          <w:szCs w:val="21"/>
        </w:rPr>
      </w:pPr>
      <w:r>
        <w:rPr>
          <w:bCs/>
          <w:color w:val="auto"/>
          <w:szCs w:val="21"/>
        </w:rPr>
        <w:t>3.代理机构自中标人确定之日起2个工作日内，在发布招标公告的网站上对中标结果进行公示，中标结果公告期限为1个工作日。</w:t>
      </w:r>
    </w:p>
    <w:p>
      <w:pPr>
        <w:spacing w:line="360" w:lineRule="auto"/>
        <w:ind w:firstLine="420" w:firstLineChars="200"/>
        <w:rPr>
          <w:bCs/>
          <w:color w:val="auto"/>
          <w:szCs w:val="21"/>
        </w:rPr>
      </w:pPr>
      <w:r>
        <w:rPr>
          <w:bCs/>
          <w:color w:val="auto"/>
          <w:szCs w:val="21"/>
        </w:rPr>
        <w:t>4.凡发现中标人有下列行为之一的，将移交政府采购监督管理部门依法处理：</w:t>
      </w:r>
    </w:p>
    <w:p>
      <w:pPr>
        <w:numPr>
          <w:ilvl w:val="0"/>
          <w:numId w:val="6"/>
        </w:numPr>
        <w:spacing w:line="360" w:lineRule="auto"/>
        <w:ind w:firstLine="420" w:firstLineChars="200"/>
        <w:rPr>
          <w:bCs/>
          <w:color w:val="auto"/>
          <w:szCs w:val="21"/>
        </w:rPr>
      </w:pPr>
      <w:r>
        <w:rPr>
          <w:bCs/>
          <w:color w:val="auto"/>
          <w:szCs w:val="21"/>
        </w:rPr>
        <w:t>提供虚假材料谋取中标的；</w:t>
      </w:r>
    </w:p>
    <w:p>
      <w:pPr>
        <w:numPr>
          <w:ilvl w:val="0"/>
          <w:numId w:val="6"/>
        </w:numPr>
        <w:spacing w:line="360" w:lineRule="auto"/>
        <w:ind w:firstLine="420" w:firstLineChars="200"/>
        <w:rPr>
          <w:bCs/>
          <w:color w:val="auto"/>
          <w:szCs w:val="21"/>
        </w:rPr>
      </w:pPr>
      <w:r>
        <w:rPr>
          <w:bCs/>
          <w:color w:val="auto"/>
          <w:szCs w:val="21"/>
        </w:rPr>
        <w:t>采取不正当手段诋毁、排挤其他投标人的；</w:t>
      </w:r>
    </w:p>
    <w:p>
      <w:pPr>
        <w:numPr>
          <w:ilvl w:val="0"/>
          <w:numId w:val="6"/>
        </w:numPr>
        <w:spacing w:line="360" w:lineRule="auto"/>
        <w:ind w:firstLine="420" w:firstLineChars="200"/>
        <w:rPr>
          <w:bCs/>
          <w:color w:val="auto"/>
          <w:szCs w:val="21"/>
        </w:rPr>
      </w:pPr>
      <w:r>
        <w:rPr>
          <w:bCs/>
          <w:color w:val="auto"/>
          <w:szCs w:val="21"/>
        </w:rPr>
        <w:t>与采购人、其他投标人或者采购代理机构工作人员恶意串通的；</w:t>
      </w:r>
    </w:p>
    <w:p>
      <w:pPr>
        <w:numPr>
          <w:ilvl w:val="0"/>
          <w:numId w:val="6"/>
        </w:numPr>
        <w:spacing w:line="360" w:lineRule="auto"/>
        <w:ind w:firstLine="420" w:firstLineChars="200"/>
        <w:rPr>
          <w:bCs/>
          <w:color w:val="auto"/>
          <w:szCs w:val="21"/>
        </w:rPr>
      </w:pPr>
      <w:r>
        <w:rPr>
          <w:bCs/>
          <w:color w:val="auto"/>
          <w:szCs w:val="21"/>
        </w:rPr>
        <w:t>向采购人或采购代理机构人员行贿或者提供其他不正当利益的；</w:t>
      </w:r>
    </w:p>
    <w:p>
      <w:pPr>
        <w:numPr>
          <w:ilvl w:val="0"/>
          <w:numId w:val="6"/>
        </w:numPr>
        <w:spacing w:line="360" w:lineRule="auto"/>
        <w:ind w:firstLine="420" w:firstLineChars="200"/>
        <w:rPr>
          <w:bCs/>
          <w:color w:val="auto"/>
          <w:szCs w:val="21"/>
        </w:rPr>
      </w:pPr>
      <w:r>
        <w:rPr>
          <w:bCs/>
          <w:color w:val="auto"/>
          <w:szCs w:val="21"/>
        </w:rPr>
        <w:t>拒绝有关部门监督检查或者提供虚假情况的；</w:t>
      </w:r>
    </w:p>
    <w:p>
      <w:pPr>
        <w:spacing w:line="360" w:lineRule="auto"/>
        <w:ind w:firstLine="420" w:firstLineChars="200"/>
        <w:rPr>
          <w:b/>
          <w:color w:val="auto"/>
          <w:szCs w:val="21"/>
        </w:rPr>
      </w:pPr>
      <w:r>
        <w:rPr>
          <w:bCs/>
          <w:color w:val="auto"/>
          <w:szCs w:val="21"/>
        </w:rPr>
        <w:t>有法律、法规规定的其他损害采购人利益和社会公共利益情形的。</w:t>
      </w:r>
    </w:p>
    <w:p>
      <w:pPr>
        <w:spacing w:line="360" w:lineRule="auto"/>
        <w:rPr>
          <w:b/>
          <w:color w:val="auto"/>
          <w:szCs w:val="21"/>
        </w:rPr>
      </w:pPr>
    </w:p>
    <w:p>
      <w:pPr>
        <w:spacing w:line="360" w:lineRule="auto"/>
        <w:rPr>
          <w:b/>
          <w:color w:val="auto"/>
          <w:szCs w:val="21"/>
        </w:rPr>
      </w:pPr>
      <w:r>
        <w:rPr>
          <w:b/>
          <w:color w:val="auto"/>
          <w:szCs w:val="21"/>
        </w:rPr>
        <w:t>七、评标过程的监控与保密</w:t>
      </w:r>
    </w:p>
    <w:p>
      <w:pPr>
        <w:spacing w:line="360" w:lineRule="auto"/>
        <w:ind w:firstLine="420" w:firstLineChars="200"/>
        <w:rPr>
          <w:color w:val="auto"/>
          <w:szCs w:val="21"/>
        </w:rPr>
      </w:pPr>
      <w:r>
        <w:rPr>
          <w:color w:val="auto"/>
          <w:szCs w:val="21"/>
        </w:rPr>
        <w:t>1.本项目评标过程实行全程录音、录像监控，投标人在评标过程中所进行的试图影响评标结果的不公正活动，可能导致其投标被拒绝。</w:t>
      </w:r>
    </w:p>
    <w:p>
      <w:pPr>
        <w:spacing w:line="360" w:lineRule="auto"/>
        <w:ind w:firstLine="420" w:firstLineChars="200"/>
        <w:rPr>
          <w:b/>
          <w:color w:val="auto"/>
          <w:szCs w:val="21"/>
          <w:lang w:bidi="ar"/>
        </w:rPr>
      </w:pPr>
      <w:r>
        <w:rPr>
          <w:color w:val="auto"/>
          <w:szCs w:val="21"/>
        </w:rPr>
        <w:t>2.开标后到中标通知书发出之前，所有涉及评审小组名单以及对投标文件的澄清、评价、比较等情况，评审小组成员、采购人和采购代理机构的有关人员均不得向投标人或其他无关人员透露。</w:t>
      </w:r>
    </w:p>
    <w:p>
      <w:pPr>
        <w:widowControl/>
        <w:spacing w:line="360" w:lineRule="auto"/>
        <w:jc w:val="left"/>
        <w:rPr>
          <w:b/>
          <w:color w:val="auto"/>
          <w:szCs w:val="21"/>
          <w:lang w:bidi="ar"/>
        </w:rPr>
      </w:pPr>
    </w:p>
    <w:p>
      <w:pPr>
        <w:widowControl/>
        <w:spacing w:line="360" w:lineRule="auto"/>
        <w:jc w:val="left"/>
        <w:rPr>
          <w:b/>
          <w:color w:val="auto"/>
          <w:szCs w:val="21"/>
          <w:lang w:bidi="ar"/>
        </w:rPr>
      </w:pPr>
      <w:r>
        <w:rPr>
          <w:b/>
          <w:color w:val="auto"/>
          <w:szCs w:val="21"/>
          <w:lang w:bidi="ar"/>
        </w:rPr>
        <w:t>八、合同授予</w:t>
      </w:r>
    </w:p>
    <w:p>
      <w:pPr>
        <w:widowControl/>
        <w:spacing w:line="360" w:lineRule="auto"/>
        <w:ind w:firstLine="420" w:firstLineChars="200"/>
        <w:jc w:val="left"/>
        <w:rPr>
          <w:b/>
          <w:bCs/>
          <w:color w:val="auto"/>
          <w:szCs w:val="21"/>
        </w:rPr>
      </w:pPr>
      <w:r>
        <w:rPr>
          <w:color w:val="auto"/>
          <w:szCs w:val="21"/>
          <w:lang w:bidi="ar"/>
        </w:rPr>
        <w:t>1.采购人与中标人应当在《中标通知书》发出之日起</w:t>
      </w:r>
      <w:r>
        <w:rPr>
          <w:b/>
          <w:color w:val="auto"/>
          <w:szCs w:val="21"/>
          <w:u w:val="single"/>
          <w:lang w:bidi="ar"/>
        </w:rPr>
        <w:t>30</w:t>
      </w:r>
      <w:r>
        <w:rPr>
          <w:color w:val="auto"/>
          <w:szCs w:val="21"/>
          <w:lang w:bidi="ar"/>
        </w:rPr>
        <w:t>日内签订政府采购合同。</w:t>
      </w:r>
    </w:p>
    <w:p>
      <w:pPr>
        <w:pStyle w:val="25"/>
        <w:spacing w:before="0" w:beforeLines="0" w:after="0" w:afterLines="0" w:line="360" w:lineRule="auto"/>
        <w:rPr>
          <w:rFonts w:ascii="Times New Roman" w:hAnsi="Times New Roman"/>
          <w:b/>
          <w:bCs/>
          <w:color w:val="auto"/>
          <w:sz w:val="21"/>
          <w:szCs w:val="21"/>
        </w:rPr>
      </w:pPr>
    </w:p>
    <w:p>
      <w:pPr>
        <w:pStyle w:val="25"/>
        <w:spacing w:before="0" w:beforeLines="0" w:after="0" w:afterLines="0" w:line="360" w:lineRule="auto"/>
        <w:rPr>
          <w:rFonts w:ascii="Times New Roman" w:hAnsi="Times New Roman"/>
          <w:b/>
          <w:bCs/>
          <w:color w:val="auto"/>
          <w:sz w:val="21"/>
          <w:szCs w:val="21"/>
        </w:rPr>
      </w:pPr>
      <w:r>
        <w:rPr>
          <w:rFonts w:ascii="Times New Roman" w:hAnsi="Times New Roman"/>
          <w:b/>
          <w:bCs/>
          <w:color w:val="auto"/>
          <w:sz w:val="21"/>
          <w:szCs w:val="21"/>
        </w:rPr>
        <w:t>九、特别说明</w:t>
      </w:r>
    </w:p>
    <w:p>
      <w:pPr>
        <w:widowControl/>
        <w:spacing w:line="360" w:lineRule="auto"/>
        <w:ind w:firstLine="420" w:firstLineChars="200"/>
        <w:rPr>
          <w:color w:val="auto"/>
          <w:szCs w:val="21"/>
        </w:rPr>
      </w:pPr>
      <w:bookmarkStart w:id="106" w:name="_Toc15093_WPSOffice_Level1"/>
      <w:r>
        <w:rPr>
          <w:color w:val="auto"/>
          <w:szCs w:val="21"/>
        </w:rPr>
        <w:t>1、本项目</w:t>
      </w:r>
      <w:r>
        <w:rPr>
          <w:color w:val="auto"/>
          <w:szCs w:val="21"/>
          <w:u w:val="single"/>
        </w:rPr>
        <w:t xml:space="preserve"> </w:t>
      </w:r>
      <w:r>
        <w:rPr>
          <w:rFonts w:hint="eastAsia"/>
          <w:b/>
          <w:bCs/>
          <w:color w:val="auto"/>
          <w:szCs w:val="21"/>
          <w:u w:val="single"/>
        </w:rPr>
        <w:t>非</w:t>
      </w:r>
      <w:r>
        <w:rPr>
          <w:b/>
          <w:bCs/>
          <w:color w:val="auto"/>
          <w:szCs w:val="21"/>
          <w:u w:val="single"/>
        </w:rPr>
        <w:t xml:space="preserve"> </w:t>
      </w:r>
      <w:r>
        <w:rPr>
          <w:color w:val="auto"/>
          <w:szCs w:val="21"/>
        </w:rPr>
        <w:t>专门面向中小企业采购，专门面向中小企业采购的项目，不再执行价格评审优惠的扶持政策。</w:t>
      </w:r>
    </w:p>
    <w:p>
      <w:pPr>
        <w:widowControl/>
        <w:spacing w:line="360" w:lineRule="auto"/>
        <w:ind w:firstLine="420" w:firstLineChars="200"/>
        <w:rPr>
          <w:color w:val="auto"/>
          <w:szCs w:val="21"/>
        </w:rPr>
      </w:pPr>
      <w:r>
        <w:rPr>
          <w:color w:val="auto"/>
          <w:szCs w:val="21"/>
        </w:rPr>
        <w:t>2、本项目对应的中小企业划分标准所属行业：</w:t>
      </w:r>
      <w:r>
        <w:rPr>
          <w:rFonts w:hint="eastAsia"/>
          <w:b/>
          <w:bCs/>
          <w:color w:val="auto"/>
          <w:szCs w:val="21"/>
          <w:u w:val="single"/>
        </w:rPr>
        <w:t>软件和信息技术服务业</w:t>
      </w:r>
      <w:r>
        <w:rPr>
          <w:color w:val="auto"/>
          <w:szCs w:val="21"/>
        </w:rPr>
        <w:t>。</w:t>
      </w:r>
    </w:p>
    <w:p>
      <w:pPr>
        <w:spacing w:line="360" w:lineRule="auto"/>
        <w:ind w:firstLine="420" w:firstLineChars="200"/>
        <w:contextualSpacing/>
        <w:textAlignment w:val="baseline"/>
        <w:rPr>
          <w:color w:val="auto"/>
        </w:rPr>
      </w:pPr>
      <w:r>
        <w:rPr>
          <w:color w:val="auto"/>
          <w:szCs w:val="21"/>
        </w:rPr>
        <w:t>3、</w:t>
      </w:r>
      <w:r>
        <w:rPr>
          <w:color w:val="auto"/>
        </w:rPr>
        <w:t xml:space="preserve">小微企业是指中华人民共和国境内依法设立，依据国务院批准的中小企业划分标准确定的小型企业和微型企业，但与大企业的负责人为同一人，或者与大企业存在直接控股、管理关系的除外。 </w:t>
      </w:r>
    </w:p>
    <w:p>
      <w:pPr>
        <w:spacing w:line="360" w:lineRule="auto"/>
        <w:ind w:firstLine="420" w:firstLineChars="200"/>
        <w:contextualSpacing/>
        <w:textAlignment w:val="baseline"/>
        <w:rPr>
          <w:color w:val="auto"/>
        </w:rPr>
      </w:pPr>
      <w:r>
        <w:rPr>
          <w:color w:val="auto"/>
        </w:rPr>
        <w:t xml:space="preserve">符合中小企业划分标准的个体工商户，在政府采购活动中视同中小企业。 </w:t>
      </w:r>
    </w:p>
    <w:p>
      <w:pPr>
        <w:spacing w:line="360" w:lineRule="auto"/>
        <w:ind w:firstLine="420" w:firstLineChars="200"/>
        <w:contextualSpacing/>
        <w:textAlignment w:val="baseline"/>
        <w:rPr>
          <w:color w:val="auto"/>
        </w:rPr>
      </w:pPr>
      <w:r>
        <w:rPr>
          <w:color w:val="auto"/>
        </w:rPr>
        <w:t xml:space="preserve">国务院批准的中小企业划分标准：具体见工信部联企业【2011】300号。 </w:t>
      </w:r>
    </w:p>
    <w:p>
      <w:pPr>
        <w:spacing w:line="360" w:lineRule="auto"/>
        <w:ind w:firstLine="420" w:firstLineChars="200"/>
        <w:contextualSpacing/>
        <w:textAlignment w:val="baseline"/>
        <w:rPr>
          <w:color w:val="auto"/>
        </w:rPr>
      </w:pPr>
      <w:r>
        <w:rPr>
          <w:color w:val="auto"/>
        </w:rPr>
        <w:t xml:space="preserve">4、在政府采购活动中，供应商提供的货物、工程或者服务符合下列情形的，可享受小型、微型企业（以下简称小微企业）的价格扣除： </w:t>
      </w:r>
    </w:p>
    <w:p>
      <w:pPr>
        <w:spacing w:line="360" w:lineRule="auto"/>
        <w:ind w:firstLine="420" w:firstLineChars="200"/>
        <w:contextualSpacing/>
        <w:textAlignment w:val="baseline"/>
        <w:rPr>
          <w:color w:val="auto"/>
        </w:rPr>
      </w:pPr>
      <w:r>
        <w:rPr>
          <w:color w:val="auto"/>
        </w:rPr>
        <w:t xml:space="preserve">（1）在货物采购项目中，货物由小微企业制造，即货物由小微企业生产且使用该小微企业商号或者注册商标； </w:t>
      </w:r>
    </w:p>
    <w:p>
      <w:pPr>
        <w:spacing w:line="360" w:lineRule="auto"/>
        <w:ind w:firstLine="420" w:firstLineChars="200"/>
        <w:contextualSpacing/>
        <w:textAlignment w:val="baseline"/>
        <w:rPr>
          <w:color w:val="auto"/>
        </w:rPr>
      </w:pPr>
      <w:r>
        <w:rPr>
          <w:color w:val="auto"/>
        </w:rPr>
        <w:t xml:space="preserve">（2）在工程采购项目中，工程由小微企业承建，即工程施工单位为小微企业； </w:t>
      </w:r>
    </w:p>
    <w:p>
      <w:pPr>
        <w:spacing w:line="360" w:lineRule="auto"/>
        <w:ind w:firstLine="420" w:firstLineChars="200"/>
        <w:contextualSpacing/>
        <w:textAlignment w:val="baseline"/>
        <w:rPr>
          <w:color w:val="auto"/>
        </w:rPr>
      </w:pPr>
      <w:r>
        <w:rPr>
          <w:color w:val="auto"/>
        </w:rPr>
        <w:t xml:space="preserve">（3）在服务采购项目中，服务由小微企业承接，即提供服务的人员为小微企业依照《中华人民共和国劳动合同法》订立劳动合同的从业人员。 </w:t>
      </w:r>
    </w:p>
    <w:p>
      <w:pPr>
        <w:spacing w:line="360" w:lineRule="auto"/>
        <w:ind w:firstLine="420" w:firstLineChars="200"/>
        <w:contextualSpacing/>
        <w:textAlignment w:val="baseline"/>
        <w:rPr>
          <w:color w:val="auto"/>
        </w:rPr>
      </w:pPr>
      <w:r>
        <w:rPr>
          <w:color w:val="auto"/>
        </w:rPr>
        <w:t xml:space="preserve">以联合体形式参加政府采购活动，联合体各方均为小微企业的，联合体视同小微企业。5、在货物采购项目中，供应商提供的货物既有中小企业制造货物，也有大型企业制造货物的，不享受的小微企业价格扣除。 </w:t>
      </w:r>
    </w:p>
    <w:p>
      <w:pPr>
        <w:spacing w:line="360" w:lineRule="auto"/>
        <w:ind w:firstLine="420" w:firstLineChars="200"/>
        <w:contextualSpacing/>
        <w:textAlignment w:val="baseline"/>
        <w:rPr>
          <w:color w:val="auto"/>
        </w:rPr>
      </w:pPr>
      <w:r>
        <w:rPr>
          <w:color w:val="auto"/>
        </w:rPr>
        <w:t>6、本项目对小微企业报价给予</w:t>
      </w:r>
      <w:r>
        <w:rPr>
          <w:rFonts w:hint="eastAsia"/>
          <w:color w:val="auto"/>
        </w:rPr>
        <w:t>1</w:t>
      </w:r>
      <w:r>
        <w:rPr>
          <w:color w:val="auto"/>
        </w:rPr>
        <w:t xml:space="preserve">0%（工程项目为5%）的扣除，用扣除后的价格参加评审。 </w:t>
      </w:r>
    </w:p>
    <w:p>
      <w:pPr>
        <w:spacing w:line="360" w:lineRule="auto"/>
        <w:ind w:firstLine="420" w:firstLineChars="200"/>
        <w:contextualSpacing/>
        <w:textAlignment w:val="baseline"/>
        <w:rPr>
          <w:color w:val="auto"/>
        </w:rPr>
      </w:pPr>
      <w:r>
        <w:rPr>
          <w:color w:val="auto"/>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color w:val="auto"/>
        </w:rPr>
        <w:t>4</w:t>
      </w:r>
      <w:r>
        <w:rPr>
          <w:color w:val="auto"/>
        </w:rPr>
        <w:t>%（工程项目为</w:t>
      </w:r>
      <w:r>
        <w:rPr>
          <w:rFonts w:hint="eastAsia"/>
          <w:color w:val="auto"/>
        </w:rPr>
        <w:t>1</w:t>
      </w:r>
      <w:r>
        <w:rPr>
          <w:color w:val="auto"/>
        </w:rPr>
        <w:t>%）的扣除，用扣除后的价格参加评审。组成联合体或者接受分包的小微企业与联合体内其他企业、分包企业之间存在直接控股、管理关系的，不享受价格扣除优惠政策。</w:t>
      </w:r>
    </w:p>
    <w:p>
      <w:pPr>
        <w:spacing w:line="360" w:lineRule="auto"/>
        <w:ind w:firstLine="420" w:firstLineChars="200"/>
        <w:contextualSpacing/>
        <w:textAlignment w:val="baseline"/>
        <w:rPr>
          <w:color w:val="auto"/>
        </w:rPr>
      </w:pPr>
      <w:r>
        <w:rPr>
          <w:color w:val="auto"/>
        </w:rPr>
        <w:t xml:space="preserve">7、小微企业应按照采购文件格式要求提供《中小企业声明函》。 </w:t>
      </w:r>
    </w:p>
    <w:p>
      <w:pPr>
        <w:spacing w:line="360" w:lineRule="auto"/>
        <w:ind w:firstLine="420" w:firstLineChars="200"/>
        <w:contextualSpacing/>
        <w:textAlignment w:val="baseline"/>
        <w:rPr>
          <w:color w:val="auto"/>
        </w:rPr>
      </w:pPr>
      <w:r>
        <w:rPr>
          <w:color w:val="auto"/>
        </w:rPr>
        <w:t xml:space="preserve">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 </w:t>
      </w:r>
    </w:p>
    <w:p>
      <w:pPr>
        <w:spacing w:line="360" w:lineRule="auto"/>
        <w:ind w:firstLine="420" w:firstLineChars="200"/>
        <w:contextualSpacing/>
        <w:textAlignment w:val="baseline"/>
        <w:rPr>
          <w:color w:val="auto"/>
        </w:rPr>
      </w:pPr>
      <w:r>
        <w:rPr>
          <w:color w:val="auto"/>
        </w:rPr>
        <w:t>9、根据《关于促进残疾人就业政府采购政策的通知》（财库【2017】141号）规定，在政府采购活动中，残疾人福利性单位视同小型、微型企业。残疾人福利性单位参加政府采购活动时，提供《残疾人福利性单位声明函》。</w:t>
      </w:r>
    </w:p>
    <w:p>
      <w:pPr>
        <w:spacing w:line="360" w:lineRule="auto"/>
        <w:ind w:firstLine="420" w:firstLineChars="200"/>
        <w:contextualSpacing/>
        <w:textAlignment w:val="baseline"/>
        <w:rPr>
          <w:color w:val="auto"/>
        </w:rPr>
      </w:pPr>
      <w:r>
        <w:rPr>
          <w:color w:val="auto"/>
        </w:rPr>
        <w:t xml:space="preserve">10、按规定享受扶持政策获得政府采购合同的，小微企业不得将合同分包给大中型企业，中型企业不得将合同分包给大型企业。 </w:t>
      </w:r>
    </w:p>
    <w:p>
      <w:pPr>
        <w:spacing w:line="360" w:lineRule="auto"/>
        <w:ind w:firstLine="420" w:firstLineChars="200"/>
        <w:contextualSpacing/>
        <w:textAlignment w:val="baseline"/>
        <w:rPr>
          <w:color w:val="auto"/>
        </w:rPr>
      </w:pPr>
      <w:r>
        <w:rPr>
          <w:color w:val="auto"/>
        </w:rPr>
        <w:t xml:space="preserve">11、采购活动过程中，对供应商的“中小企业”资格认定，以供应商提交的《中小企业声明函》为准，供应商必须实事求是地提交声明函，如有虚假，将依法承担法律责任。如果在采 购活动过程中相关采购当事人对供应商“中小企业”资格有异议的，由货物制造商或者工程、服务供应商注册登记所在地的县级以上人民政府中小企业主管部门负责认定。供应商按照《政府采购促进中小企业发展管理办法》（财库【2020】46号）规定提供声明函内容不实的，供应商需承担相应的法律责任。 </w:t>
      </w:r>
    </w:p>
    <w:p>
      <w:pPr>
        <w:pStyle w:val="25"/>
        <w:spacing w:before="0" w:beforeLines="0" w:after="0" w:afterLines="0" w:line="360" w:lineRule="auto"/>
        <w:ind w:firstLine="420" w:firstLineChars="200"/>
        <w:rPr>
          <w:rFonts w:ascii="Times New Roman" w:hAnsi="Times New Roman"/>
          <w:color w:val="auto"/>
          <w:sz w:val="21"/>
        </w:rPr>
      </w:pPr>
      <w:r>
        <w:rPr>
          <w:rFonts w:ascii="Times New Roman" w:hAnsi="Times New Roman"/>
          <w:color w:val="auto"/>
          <w:sz w:val="21"/>
        </w:rPr>
        <w:t>12、《中小企业声明函》由参加响应的供应商提交，如供应商为代理商，须自行采集制造商的中小企业划分类型信息填入相应栏目并对其真实性负责</w:t>
      </w:r>
      <w:r>
        <w:rPr>
          <w:rFonts w:ascii="Times New Roman" w:hAnsi="Times New Roman"/>
          <w:color w:val="auto"/>
          <w:sz w:val="21"/>
          <w:szCs w:val="21"/>
        </w:rPr>
        <w:t>。</w:t>
      </w:r>
    </w:p>
    <w:p>
      <w:pPr>
        <w:pStyle w:val="25"/>
        <w:spacing w:before="0" w:beforeLines="0" w:after="0" w:afterLines="0" w:line="360" w:lineRule="auto"/>
        <w:rPr>
          <w:rFonts w:ascii="Times New Roman" w:hAnsi="Times New Roman"/>
          <w:b/>
          <w:bCs/>
          <w:color w:val="auto"/>
          <w:sz w:val="21"/>
          <w:szCs w:val="21"/>
        </w:rPr>
      </w:pPr>
      <w:r>
        <w:rPr>
          <w:rFonts w:ascii="Times New Roman" w:hAnsi="Times New Roman"/>
          <w:b/>
          <w:bCs/>
          <w:color w:val="auto"/>
          <w:sz w:val="21"/>
          <w:szCs w:val="21"/>
        </w:rPr>
        <w:t>十、关于联合体投标</w:t>
      </w:r>
    </w:p>
    <w:p>
      <w:pPr>
        <w:widowControl/>
        <w:spacing w:line="360" w:lineRule="auto"/>
        <w:ind w:firstLine="420" w:firstLineChars="200"/>
        <w:rPr>
          <w:color w:val="auto"/>
          <w:szCs w:val="21"/>
        </w:rPr>
      </w:pPr>
      <w:r>
        <w:rPr>
          <w:color w:val="auto"/>
          <w:szCs w:val="21"/>
        </w:rPr>
        <w:t>本项目接受联合体参加投标。</w:t>
      </w:r>
    </w:p>
    <w:p>
      <w:pPr>
        <w:widowControl/>
        <w:spacing w:line="360" w:lineRule="auto"/>
        <w:ind w:firstLine="420" w:firstLineChars="200"/>
        <w:rPr>
          <w:color w:val="auto"/>
          <w:szCs w:val="21"/>
        </w:rPr>
      </w:pPr>
      <w:r>
        <w:rPr>
          <w:color w:val="auto"/>
          <w:szCs w:val="21"/>
        </w:rPr>
        <w:t>1、本项目接受联合体参与投标，若为联合体参与投标的，须在投标文件中提供联合体协议书，明确各联合体成员单位的责任和义务。</w:t>
      </w:r>
    </w:p>
    <w:p>
      <w:pPr>
        <w:widowControl/>
        <w:spacing w:line="360" w:lineRule="auto"/>
        <w:ind w:firstLine="420" w:firstLineChars="200"/>
        <w:rPr>
          <w:color w:val="auto"/>
          <w:szCs w:val="21"/>
        </w:rPr>
      </w:pPr>
      <w:r>
        <w:rPr>
          <w:color w:val="auto"/>
          <w:szCs w:val="21"/>
        </w:rPr>
        <w:t>2、招标公告规定接受联合体参加投标的，除应符合招标公告规定的申请人的资格要求外，还应遵守以下规定：</w:t>
      </w:r>
    </w:p>
    <w:p>
      <w:pPr>
        <w:widowControl/>
        <w:spacing w:line="360" w:lineRule="auto"/>
        <w:ind w:firstLine="420" w:firstLineChars="200"/>
        <w:rPr>
          <w:color w:val="auto"/>
          <w:szCs w:val="21"/>
        </w:rPr>
      </w:pPr>
      <w:r>
        <w:rPr>
          <w:color w:val="auto"/>
          <w:szCs w:val="21"/>
        </w:rPr>
        <w:t>（1）联合体各方应按招标文件提供的格式签订联合体协议书，明确联合体牵头人和各方工作内容和义务，在该协议书中必须指定牵头单位，授权其代表所有联合体成员负责投标和合同实施阶段的主办、协调工作，并约定各方拟承担的工作责任和权利义务。联合体协议书必须加盖所有联合体成员公章并由其法定代表人签字或盖章确认；</w:t>
      </w:r>
    </w:p>
    <w:p>
      <w:pPr>
        <w:widowControl/>
        <w:spacing w:line="360" w:lineRule="auto"/>
        <w:ind w:firstLine="420" w:firstLineChars="200"/>
        <w:rPr>
          <w:color w:val="auto"/>
          <w:szCs w:val="21"/>
        </w:rPr>
      </w:pPr>
      <w:r>
        <w:rPr>
          <w:color w:val="auto"/>
          <w:szCs w:val="21"/>
        </w:rPr>
        <w:t>（2）联合体中有同类资质的供应商按照联合体分工承担相同工作的，应当按照资质等级较低的供应商确定联合体的资质等级；</w:t>
      </w:r>
    </w:p>
    <w:p>
      <w:pPr>
        <w:widowControl/>
        <w:spacing w:line="360" w:lineRule="auto"/>
        <w:ind w:firstLine="420" w:firstLineChars="200"/>
        <w:rPr>
          <w:color w:val="auto"/>
          <w:szCs w:val="21"/>
        </w:rPr>
      </w:pPr>
      <w:r>
        <w:rPr>
          <w:color w:val="auto"/>
          <w:szCs w:val="21"/>
        </w:rPr>
        <w:t>（3）联合体各方签订联合体协议书后，不得再以自己名义单独参加本项目的投标活动，也不得组成新的联合体或参加其他联合体在同一项目中参与投标，如有违反，其投标和与此有关的联合体的投标将被拒绝；</w:t>
      </w:r>
    </w:p>
    <w:p>
      <w:pPr>
        <w:widowControl/>
        <w:spacing w:line="360" w:lineRule="auto"/>
        <w:ind w:firstLine="420" w:firstLineChars="200"/>
        <w:rPr>
          <w:color w:val="auto"/>
          <w:szCs w:val="21"/>
        </w:rPr>
      </w:pPr>
      <w:r>
        <w:rPr>
          <w:color w:val="auto"/>
          <w:szCs w:val="21"/>
        </w:rPr>
        <w:t>（4）联合体中标或成交后，联合体各方应当共同与招标人签订合同，为履行合同向招标人承担连带责任。联合体牵头单位应被授权作为联合体各方的代表，向招标人提交履约担保（若有）、承担责任和接受指令，并负责整个合同的全面履行和接受本项目合同款的支付；</w:t>
      </w:r>
    </w:p>
    <w:p>
      <w:pPr>
        <w:widowControl/>
        <w:spacing w:line="360" w:lineRule="auto"/>
        <w:ind w:firstLine="420" w:firstLineChars="200"/>
        <w:rPr>
          <w:color w:val="auto"/>
          <w:szCs w:val="21"/>
        </w:rPr>
      </w:pPr>
      <w:r>
        <w:rPr>
          <w:color w:val="auto"/>
          <w:szCs w:val="21"/>
        </w:rPr>
        <w:t>（5）除非另有规定和说明，若联合体参与投标的，</w:t>
      </w:r>
      <w:bookmarkStart w:id="107" w:name="_Toc11738"/>
      <w:bookmarkStart w:id="108" w:name="_Toc3769"/>
      <w:r>
        <w:rPr>
          <w:color w:val="auto"/>
          <w:szCs w:val="21"/>
        </w:rPr>
        <w:t>涉及签字或盖章的可由联合体牵头人执行，本采购文件中涉及“供应商或投标人”一词亦指联合体各方。</w:t>
      </w:r>
    </w:p>
    <w:p>
      <w:pPr>
        <w:widowControl/>
        <w:spacing w:line="360" w:lineRule="auto"/>
        <w:ind w:firstLine="420" w:firstLineChars="200"/>
        <w:rPr>
          <w:color w:val="auto"/>
          <w:szCs w:val="21"/>
        </w:rPr>
        <w:sectPr>
          <w:headerReference r:id="rId13" w:type="default"/>
          <w:footerReference r:id="rId14" w:type="default"/>
          <w:pgSz w:w="11906" w:h="16838"/>
          <w:pgMar w:top="1440" w:right="1803" w:bottom="1440" w:left="1803" w:header="851" w:footer="850" w:gutter="0"/>
          <w:cols w:space="720" w:num="1"/>
          <w:docGrid w:linePitch="312" w:charSpace="0"/>
        </w:sectPr>
      </w:pPr>
      <w:bookmarkStart w:id="109" w:name="_Toc2900"/>
      <w:r>
        <w:rPr>
          <w:rFonts w:hint="eastAsia"/>
          <w:color w:val="auto"/>
          <w:szCs w:val="21"/>
        </w:rPr>
        <w:t>（6）联合体形式参与投标的，联合体组成总数不得超过2家。</w:t>
      </w:r>
    </w:p>
    <w:p>
      <w:pPr>
        <w:pStyle w:val="25"/>
        <w:snapToGrid w:val="0"/>
        <w:spacing w:before="120" w:beforeLines="0" w:after="120" w:afterLines="0" w:line="360" w:lineRule="auto"/>
        <w:jc w:val="center"/>
        <w:outlineLvl w:val="0"/>
        <w:rPr>
          <w:rFonts w:ascii="Times New Roman" w:hAnsi="Times New Roman"/>
          <w:b/>
          <w:color w:val="auto"/>
        </w:rPr>
      </w:pPr>
      <w:bookmarkStart w:id="110" w:name="_Toc15101"/>
      <w:bookmarkStart w:id="111" w:name="_Toc12610"/>
      <w:bookmarkStart w:id="112" w:name="_Toc1873"/>
      <w:r>
        <w:rPr>
          <w:rFonts w:ascii="Times New Roman" w:hAnsi="Times New Roman"/>
          <w:b/>
          <w:color w:val="auto"/>
        </w:rPr>
        <w:t>第四章 评标办法及评分标准</w:t>
      </w:r>
      <w:bookmarkEnd w:id="106"/>
      <w:bookmarkEnd w:id="107"/>
      <w:bookmarkEnd w:id="108"/>
      <w:bookmarkEnd w:id="109"/>
      <w:bookmarkEnd w:id="110"/>
      <w:bookmarkEnd w:id="111"/>
      <w:bookmarkEnd w:id="112"/>
    </w:p>
    <w:p>
      <w:pPr>
        <w:spacing w:line="360" w:lineRule="auto"/>
        <w:rPr>
          <w:b/>
          <w:bCs/>
          <w:color w:val="auto"/>
          <w:szCs w:val="21"/>
        </w:rPr>
      </w:pPr>
      <w:r>
        <w:rPr>
          <w:b/>
          <w:bCs/>
          <w:color w:val="auto"/>
          <w:szCs w:val="21"/>
        </w:rPr>
        <w:t>一、总则</w:t>
      </w:r>
    </w:p>
    <w:p>
      <w:pPr>
        <w:spacing w:line="360" w:lineRule="auto"/>
        <w:ind w:firstLine="420" w:firstLineChars="200"/>
        <w:rPr>
          <w:color w:val="auto"/>
          <w:szCs w:val="21"/>
        </w:rPr>
      </w:pPr>
      <w:r>
        <w:rPr>
          <w:color w:val="auto"/>
          <w:szCs w:val="21"/>
        </w:rPr>
        <w:t>招标活动遵循公平、公正、科学、择优的原则依法进行，招标活动及当事人接受依法实施的监督。本次招标采用综合评分法。</w:t>
      </w:r>
    </w:p>
    <w:p>
      <w:pPr>
        <w:spacing w:line="360" w:lineRule="auto"/>
        <w:rPr>
          <w:b/>
          <w:bCs/>
          <w:color w:val="auto"/>
          <w:szCs w:val="21"/>
        </w:rPr>
      </w:pPr>
      <w:r>
        <w:rPr>
          <w:b/>
          <w:bCs/>
          <w:color w:val="auto"/>
          <w:szCs w:val="21"/>
        </w:rPr>
        <w:t>二、评标组织</w:t>
      </w:r>
      <w:r>
        <w:rPr>
          <w:b/>
          <w:bCs/>
          <w:color w:val="auto"/>
          <w:szCs w:val="21"/>
        </w:rPr>
        <w:tab/>
      </w:r>
    </w:p>
    <w:p>
      <w:pPr>
        <w:spacing w:line="360" w:lineRule="auto"/>
        <w:ind w:firstLine="420" w:firstLineChars="200"/>
        <w:rPr>
          <w:color w:val="auto"/>
          <w:szCs w:val="21"/>
        </w:rPr>
      </w:pPr>
      <w:r>
        <w:rPr>
          <w:color w:val="auto"/>
          <w:szCs w:val="21"/>
        </w:rPr>
        <w:t>评审小组依法组建。</w:t>
      </w:r>
    </w:p>
    <w:p>
      <w:pPr>
        <w:spacing w:line="360" w:lineRule="auto"/>
        <w:rPr>
          <w:b/>
          <w:bCs/>
          <w:color w:val="auto"/>
          <w:szCs w:val="21"/>
        </w:rPr>
      </w:pPr>
      <w:r>
        <w:rPr>
          <w:b/>
          <w:bCs/>
          <w:color w:val="auto"/>
          <w:szCs w:val="21"/>
        </w:rPr>
        <w:t>三、评标程序</w:t>
      </w:r>
    </w:p>
    <w:p>
      <w:pPr>
        <w:spacing w:line="360" w:lineRule="auto"/>
        <w:ind w:firstLine="420" w:firstLineChars="200"/>
        <w:rPr>
          <w:color w:val="auto"/>
          <w:szCs w:val="21"/>
        </w:rPr>
      </w:pPr>
      <w:r>
        <w:rPr>
          <w:color w:val="auto"/>
          <w:szCs w:val="21"/>
        </w:rPr>
        <w:t>1.采购代理机构按《招标文件》规定的时间、地点组织进行开标。开标会议由采购代理机构组织，按《招标文件》的规定对投标人的基本情况进行审核。</w:t>
      </w:r>
    </w:p>
    <w:p>
      <w:pPr>
        <w:spacing w:line="360" w:lineRule="auto"/>
        <w:ind w:firstLine="420" w:firstLineChars="200"/>
        <w:rPr>
          <w:color w:val="auto"/>
          <w:szCs w:val="21"/>
        </w:rPr>
      </w:pPr>
      <w:r>
        <w:rPr>
          <w:color w:val="auto"/>
          <w:szCs w:val="21"/>
        </w:rPr>
        <w:t>2.采购机构首先开启各投标人的技术商务文件和资格证明文件，技术商务文件和资格证明文件开标结束后，采购人或者采购代理机构对投标人的资格进行审查，评审小组根据《招标文件》规定对投标人的技术商务文件进行符合商务性审查和详细评审。对投标人表述不清的内容，评审小组将向投标人进行询标，请其澄清其技术商务内容，评标委员再根据各投标人的技术商务文件进行综合评分，并进行技术分的汇总（技术商务部分得分保留小数点后二位）。</w:t>
      </w:r>
    </w:p>
    <w:p>
      <w:pPr>
        <w:spacing w:line="360" w:lineRule="auto"/>
        <w:ind w:firstLine="420" w:firstLineChars="200"/>
        <w:rPr>
          <w:color w:val="auto"/>
          <w:szCs w:val="21"/>
        </w:rPr>
      </w:pPr>
      <w:r>
        <w:rPr>
          <w:color w:val="auto"/>
          <w:szCs w:val="21"/>
        </w:rPr>
        <w:t>3.技术商务文件评审结束后，采购代理机构宣布无效投标人名称及原因（如有）、各有效投标人的技术商务得分；再由采购代理机构开启报价文件，公布投标人名称、投标内容、投标价格等以及代理机构认为合适的其他内容，并做开标记录。评审小组对报价文件进行评审，计算价格分得分（报价文件得分保留小数点后二位）。</w:t>
      </w:r>
    </w:p>
    <w:p>
      <w:pPr>
        <w:spacing w:line="360" w:lineRule="auto"/>
        <w:ind w:firstLine="420" w:firstLineChars="200"/>
        <w:rPr>
          <w:color w:val="auto"/>
          <w:szCs w:val="21"/>
        </w:rPr>
      </w:pPr>
      <w:r>
        <w:rPr>
          <w:color w:val="auto"/>
          <w:szCs w:val="21"/>
        </w:rPr>
        <w:t>4.按照投标人的综合得分排名，评审小组推荐中标候选人，并由采购代理机构宣布中标候选人推荐情况。</w:t>
      </w:r>
    </w:p>
    <w:p>
      <w:pPr>
        <w:spacing w:line="360" w:lineRule="auto"/>
        <w:rPr>
          <w:b/>
          <w:bCs/>
          <w:color w:val="auto"/>
          <w:szCs w:val="21"/>
        </w:rPr>
      </w:pPr>
      <w:r>
        <w:rPr>
          <w:b/>
          <w:bCs/>
          <w:color w:val="auto"/>
          <w:szCs w:val="21"/>
        </w:rPr>
        <w:t>四、评标过程</w:t>
      </w:r>
    </w:p>
    <w:p>
      <w:pPr>
        <w:spacing w:line="360" w:lineRule="auto"/>
        <w:ind w:firstLine="420" w:firstLineChars="200"/>
        <w:rPr>
          <w:color w:val="auto"/>
          <w:szCs w:val="21"/>
        </w:rPr>
      </w:pPr>
      <w:r>
        <w:rPr>
          <w:color w:val="auto"/>
          <w:szCs w:val="21"/>
        </w:rPr>
        <w:t>1.资格审查</w:t>
      </w:r>
    </w:p>
    <w:p>
      <w:pPr>
        <w:spacing w:line="360" w:lineRule="auto"/>
        <w:ind w:firstLine="420" w:firstLineChars="200"/>
        <w:rPr>
          <w:color w:val="auto"/>
          <w:szCs w:val="21"/>
        </w:rPr>
      </w:pPr>
      <w:r>
        <w:rPr>
          <w:color w:val="auto"/>
          <w:szCs w:val="21"/>
        </w:rPr>
        <w:t>采购人或者采购代理机构对投标人的资格进行审查。依据法律法规和招标文件的规定，对投标文件中的资格证明进行审查，以确定投标人是否具备投标资格。</w:t>
      </w:r>
    </w:p>
    <w:p>
      <w:pPr>
        <w:spacing w:line="360" w:lineRule="auto"/>
        <w:ind w:firstLine="420" w:firstLineChars="200"/>
        <w:rPr>
          <w:color w:val="auto"/>
          <w:szCs w:val="21"/>
        </w:rPr>
      </w:pPr>
      <w:r>
        <w:rPr>
          <w:color w:val="auto"/>
          <w:szCs w:val="21"/>
        </w:rPr>
        <w:t>2.符合性审查</w:t>
      </w:r>
    </w:p>
    <w:p>
      <w:pPr>
        <w:spacing w:line="360" w:lineRule="auto"/>
        <w:ind w:firstLine="420" w:firstLineChars="200"/>
        <w:rPr>
          <w:color w:val="auto"/>
          <w:szCs w:val="21"/>
        </w:rPr>
      </w:pPr>
      <w:r>
        <w:rPr>
          <w:color w:val="auto"/>
          <w:szCs w:val="21"/>
        </w:rPr>
        <w:t>依据招标文件的规定，从投标人投标文件的有效性、完整性和对招标文件的响应程度进行审查，以确定是否对招标文件的实质性要求作出响应。</w:t>
      </w:r>
    </w:p>
    <w:p>
      <w:pPr>
        <w:spacing w:line="360" w:lineRule="auto"/>
        <w:ind w:firstLine="420" w:firstLineChars="200"/>
        <w:rPr>
          <w:color w:val="auto"/>
          <w:szCs w:val="21"/>
        </w:rPr>
      </w:pPr>
      <w:r>
        <w:rPr>
          <w:color w:val="auto"/>
          <w:szCs w:val="21"/>
        </w:rPr>
        <w:t>澄清问题</w:t>
      </w:r>
    </w:p>
    <w:p>
      <w:pPr>
        <w:spacing w:line="360" w:lineRule="auto"/>
        <w:ind w:firstLine="420" w:firstLineChars="200"/>
        <w:rPr>
          <w:color w:val="auto"/>
          <w:szCs w:val="21"/>
        </w:rPr>
      </w:pPr>
      <w:r>
        <w:rPr>
          <w:color w:val="auto"/>
          <w:szCs w:val="21"/>
        </w:rPr>
        <w:t>对于投标文件中含义不明确、同类问题表述不一致或者有明显文字和计算错误的内容，评审小组可要求投标人以书面形式作出必要的澄清、说明或者补正。</w:t>
      </w:r>
    </w:p>
    <w:p>
      <w:pPr>
        <w:spacing w:line="360" w:lineRule="auto"/>
        <w:ind w:firstLine="420" w:firstLineChars="200"/>
        <w:rPr>
          <w:color w:val="auto"/>
          <w:szCs w:val="21"/>
        </w:rPr>
      </w:pPr>
      <w:r>
        <w:rPr>
          <w:color w:val="auto"/>
          <w:szCs w:val="21"/>
        </w:rPr>
        <w:t>投标人的澄清、说明或者补正应当采用书面形式，并加盖公章，投标人的澄清、说明或者补正不得超出投标文件的范围或者改变投标文件的实质性内容。</w:t>
      </w:r>
    </w:p>
    <w:p>
      <w:pPr>
        <w:spacing w:line="360" w:lineRule="auto"/>
        <w:ind w:firstLine="420" w:firstLineChars="200"/>
        <w:rPr>
          <w:color w:val="auto"/>
          <w:szCs w:val="21"/>
        </w:rPr>
      </w:pPr>
      <w:r>
        <w:rPr>
          <w:color w:val="auto"/>
          <w:szCs w:val="21"/>
        </w:rPr>
        <w:t>4.详细评审</w:t>
      </w:r>
    </w:p>
    <w:p>
      <w:pPr>
        <w:spacing w:line="360" w:lineRule="auto"/>
        <w:ind w:firstLine="420" w:firstLineChars="200"/>
        <w:rPr>
          <w:color w:val="auto"/>
          <w:szCs w:val="21"/>
        </w:rPr>
      </w:pPr>
      <w:r>
        <w:rPr>
          <w:color w:val="auto"/>
          <w:szCs w:val="21"/>
        </w:rPr>
        <w:t>评审小组对初步评审合格的投标文件，依照本办法对投标文件作进一步评审、比较。评审小组成员经过阅标、审标和询标，对各投标人进行打分。</w:t>
      </w:r>
    </w:p>
    <w:p>
      <w:pPr>
        <w:spacing w:line="360" w:lineRule="auto"/>
        <w:ind w:firstLine="420" w:firstLineChars="200"/>
        <w:rPr>
          <w:color w:val="auto"/>
          <w:szCs w:val="21"/>
        </w:rPr>
      </w:pPr>
      <w:r>
        <w:rPr>
          <w:color w:val="auto"/>
          <w:szCs w:val="21"/>
        </w:rPr>
        <w:t>评委打分参照本部分五、评分标准。技术商务得分由各评审小组成员打分，根据投标人的投标文件及相关澄清文件，进行独立打分。价格分由评审小组统一核算。评委打分采用记名方式，取所有评委汇总得分的算术平均分（小数点后保留二位小数）。</w:t>
      </w:r>
    </w:p>
    <w:p>
      <w:pPr>
        <w:spacing w:line="360" w:lineRule="auto"/>
        <w:ind w:firstLine="422" w:firstLineChars="200"/>
        <w:rPr>
          <w:b/>
          <w:color w:val="auto"/>
          <w:szCs w:val="21"/>
        </w:rPr>
      </w:pPr>
      <w:r>
        <w:rPr>
          <w:b/>
          <w:color w:val="auto"/>
          <w:szCs w:val="21"/>
        </w:rPr>
        <w:t>注：1）评审小组对拟认定为投标文件无效的，应组织相关投标人代表进行陈述、澄清或申辩；</w:t>
      </w:r>
    </w:p>
    <w:p>
      <w:pPr>
        <w:spacing w:line="360" w:lineRule="auto"/>
        <w:ind w:firstLine="422" w:firstLineChars="200"/>
        <w:rPr>
          <w:b/>
          <w:color w:val="auto"/>
          <w:szCs w:val="21"/>
        </w:rPr>
      </w:pPr>
      <w:r>
        <w:rPr>
          <w:b/>
          <w:color w:val="auto"/>
          <w:szCs w:val="21"/>
        </w:rPr>
        <w:t>2）代理机构可协助评审小组组长评委对打分结果进行校对、核对并汇总统计；对明显畸高、畸低的评分（评审小组成员个人主观打分偏离所有评审小组成员主观打分平均值30%），评审小组组长评委应提醒相关评审小组成员进行复核或书面说明理由，评审小组成员拒绝说明的，由现场监督员据实记录；评审小组成员的评审、修改记录应保留原件，随项目其他资料一并存档；</w:t>
      </w:r>
    </w:p>
    <w:p>
      <w:pPr>
        <w:spacing w:line="360" w:lineRule="auto"/>
        <w:ind w:firstLine="422" w:firstLineChars="200"/>
        <w:rPr>
          <w:b/>
          <w:bCs/>
          <w:color w:val="auto"/>
          <w:szCs w:val="21"/>
        </w:rPr>
      </w:pPr>
      <w:r>
        <w:rPr>
          <w:b/>
          <w:bCs/>
          <w:color w:val="auto"/>
          <w:szCs w:val="21"/>
        </w:rPr>
        <w:t>3）评审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小组应当将其作为无效投标处理。</w:t>
      </w:r>
    </w:p>
    <w:p>
      <w:pPr>
        <w:pStyle w:val="27"/>
        <w:spacing w:line="360" w:lineRule="auto"/>
        <w:ind w:firstLine="420" w:firstLineChars="200"/>
        <w:rPr>
          <w:rFonts w:ascii="Times New Roman" w:hAnsi="Times New Roman" w:cs="Times New Roman"/>
          <w:b w:val="0"/>
          <w:bCs w:val="0"/>
          <w:color w:val="auto"/>
          <w:sz w:val="21"/>
          <w:szCs w:val="21"/>
        </w:rPr>
      </w:pPr>
      <w:r>
        <w:rPr>
          <w:rFonts w:ascii="Times New Roman" w:hAnsi="Times New Roman" w:cs="Times New Roman"/>
          <w:b w:val="0"/>
          <w:bCs w:val="0"/>
          <w:color w:val="auto"/>
          <w:sz w:val="21"/>
          <w:szCs w:val="21"/>
        </w:rPr>
        <w:t>5.中标原则</w:t>
      </w:r>
    </w:p>
    <w:p>
      <w:pPr>
        <w:spacing w:line="360" w:lineRule="auto"/>
        <w:ind w:firstLine="420" w:firstLineChars="200"/>
        <w:rPr>
          <w:color w:val="auto"/>
          <w:szCs w:val="21"/>
        </w:rPr>
      </w:pPr>
      <w:r>
        <w:rPr>
          <w:color w:val="auto"/>
          <w:szCs w:val="21"/>
        </w:rPr>
        <w:t>评审小组根据投标人的综合得分由高到低排定顺序，推荐综合得分排名第一的投标人为本项目的第一中标候选人。如</w:t>
      </w:r>
      <w:r>
        <w:rPr>
          <w:bCs/>
          <w:color w:val="auto"/>
          <w:szCs w:val="21"/>
        </w:rPr>
        <w:t>投标人综合得分相同的则价格低者优先中标；若技术商务标得分也相同，则由投标人抽签决定。如评标过程中出现本招标文件未尽事宜，则由评审小组讨论决定。</w:t>
      </w:r>
    </w:p>
    <w:p>
      <w:pPr>
        <w:pStyle w:val="27"/>
        <w:spacing w:line="360" w:lineRule="auto"/>
        <w:ind w:firstLine="420" w:firstLineChars="200"/>
        <w:rPr>
          <w:rFonts w:ascii="Times New Roman" w:hAnsi="Times New Roman" w:cs="Times New Roman"/>
          <w:b w:val="0"/>
          <w:bCs w:val="0"/>
          <w:color w:val="auto"/>
          <w:sz w:val="21"/>
          <w:szCs w:val="21"/>
        </w:rPr>
      </w:pPr>
      <w:r>
        <w:rPr>
          <w:rFonts w:ascii="Times New Roman" w:hAnsi="Times New Roman" w:cs="Times New Roman"/>
          <w:b w:val="0"/>
          <w:bCs w:val="0"/>
          <w:color w:val="auto"/>
          <w:sz w:val="21"/>
          <w:szCs w:val="21"/>
        </w:rPr>
        <w:t>6.中标结果</w:t>
      </w:r>
    </w:p>
    <w:p>
      <w:pPr>
        <w:spacing w:line="360" w:lineRule="auto"/>
        <w:ind w:firstLine="420" w:firstLineChars="200"/>
        <w:rPr>
          <w:color w:val="auto"/>
          <w:szCs w:val="21"/>
        </w:rPr>
      </w:pPr>
      <w:r>
        <w:rPr>
          <w:color w:val="auto"/>
          <w:szCs w:val="21"/>
        </w:rPr>
        <w:t>代理机构将中标结果在政府采购指定媒体上公示，并向中标人发出中标通知书。</w:t>
      </w:r>
    </w:p>
    <w:p>
      <w:pPr>
        <w:spacing w:line="360" w:lineRule="auto"/>
        <w:rPr>
          <w:b/>
          <w:color w:val="auto"/>
          <w:szCs w:val="21"/>
        </w:rPr>
      </w:pPr>
      <w:r>
        <w:rPr>
          <w:b/>
          <w:color w:val="auto"/>
          <w:szCs w:val="21"/>
        </w:rPr>
        <w:t>五、评分标准</w:t>
      </w:r>
    </w:p>
    <w:p>
      <w:pPr>
        <w:spacing w:line="360" w:lineRule="auto"/>
        <w:rPr>
          <w:b/>
          <w:color w:val="auto"/>
          <w:szCs w:val="21"/>
        </w:rPr>
      </w:pPr>
      <w:r>
        <w:rPr>
          <w:b/>
          <w:color w:val="auto"/>
          <w:szCs w:val="21"/>
        </w:rPr>
        <w:t>第一阶段：技术商务部分评审</w:t>
      </w:r>
    </w:p>
    <w:tbl>
      <w:tblPr>
        <w:tblStyle w:val="41"/>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129"/>
        <w:gridCol w:w="1184"/>
        <w:gridCol w:w="659"/>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9" w:type="dxa"/>
            <w:shd w:val="clear" w:color="auto" w:fill="auto"/>
            <w:noWrap/>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序号</w:t>
            </w:r>
          </w:p>
        </w:tc>
        <w:tc>
          <w:tcPr>
            <w:tcW w:w="1129" w:type="dxa"/>
            <w:shd w:val="clear" w:color="auto" w:fill="auto"/>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评标项目</w:t>
            </w:r>
          </w:p>
        </w:tc>
        <w:tc>
          <w:tcPr>
            <w:tcW w:w="1184" w:type="dxa"/>
            <w:shd w:val="clear" w:color="auto" w:fill="auto"/>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分值类型</w:t>
            </w:r>
          </w:p>
        </w:tc>
        <w:tc>
          <w:tcPr>
            <w:tcW w:w="659" w:type="dxa"/>
            <w:shd w:val="clear" w:color="auto" w:fill="auto"/>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分值</w:t>
            </w:r>
          </w:p>
        </w:tc>
        <w:tc>
          <w:tcPr>
            <w:tcW w:w="5675" w:type="dxa"/>
            <w:shd w:val="clear" w:color="auto" w:fill="auto"/>
            <w:noWrap/>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09" w:type="dxa"/>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1129" w:type="dxa"/>
            <w:vMerge w:val="restart"/>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企业综合实力</w:t>
            </w:r>
          </w:p>
        </w:tc>
        <w:tc>
          <w:tcPr>
            <w:tcW w:w="1184" w:type="dxa"/>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客观</w:t>
            </w:r>
          </w:p>
        </w:tc>
        <w:tc>
          <w:tcPr>
            <w:tcW w:w="659" w:type="dxa"/>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8</w:t>
            </w:r>
          </w:p>
        </w:tc>
        <w:tc>
          <w:tcPr>
            <w:tcW w:w="5675" w:type="dxa"/>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1.投标人具备CMMI5级得3分，CMMI4级得2分，CMMI3级得1分，不提供不得分；</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2.投标人具备电子与智能化工程专业承包壹级资质的得2分，其余不得分；</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3.投标人同时具备以下证书的得2分，缺1项扣1分，扣完为止：（1）ITSS信息技术服务运行维护资质；（2）安防工程企业设计施工维护能力资质；</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投标人同时具备以下证书的得1分，缺1项扣0.5分，扣完为止：（1）IS09001质量管理体系认证证书；（2）ISO27001信息安全管理体系认证证书；（3）ISO20000信息技术服务管理体系认证证书；（4）GB/T29490知识产权管理体系认证证书。</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注：</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1.需提供以上相关资质证书复印件。</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2.若为联合体参与投标，联合体任意成员单位即可。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709" w:type="dxa"/>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1129" w:type="dxa"/>
            <w:vMerge w:val="continue"/>
            <w:shd w:val="clear" w:color="auto" w:fill="auto"/>
            <w:vAlign w:val="center"/>
          </w:tcPr>
          <w:p>
            <w:pPr>
              <w:jc w:val="center"/>
              <w:rPr>
                <w:rFonts w:ascii="宋体" w:hAnsi="宋体" w:cs="宋体"/>
                <w:color w:val="auto"/>
                <w:szCs w:val="21"/>
              </w:rPr>
            </w:pPr>
          </w:p>
        </w:tc>
        <w:tc>
          <w:tcPr>
            <w:tcW w:w="1184" w:type="dxa"/>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客观</w:t>
            </w:r>
          </w:p>
        </w:tc>
        <w:tc>
          <w:tcPr>
            <w:tcW w:w="659" w:type="dxa"/>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5675" w:type="dxa"/>
            <w:shd w:val="clear" w:color="auto" w:fill="auto"/>
            <w:vAlign w:val="center"/>
          </w:tcPr>
          <w:p>
            <w:pPr>
              <w:widowControl/>
              <w:jc w:val="left"/>
              <w:rPr>
                <w:rFonts w:ascii="宋体" w:hAnsi="宋体" w:cs="宋体"/>
                <w:color w:val="auto"/>
                <w:kern w:val="0"/>
                <w:szCs w:val="21"/>
                <w:lang w:bidi="ar"/>
              </w:rPr>
            </w:pPr>
            <w:r>
              <w:rPr>
                <w:rFonts w:hint="eastAsia" w:ascii="宋体" w:hAnsi="宋体" w:cs="宋体"/>
                <w:color w:val="auto"/>
                <w:kern w:val="0"/>
                <w:szCs w:val="21"/>
                <w:lang w:bidi="ar"/>
              </w:rPr>
              <w:t>投标人自2020年1月1日起（以合同签订之日为准）至今承担过类似项目业绩的得1分，其他或不提供的得0分。本项最高得分为1分。</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注：</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1.类似项目指：人脸识别设备或车辆识别设备或视频监控设备的建设项目。</w:t>
            </w:r>
          </w:p>
          <w:p>
            <w:pPr>
              <w:widowControl/>
              <w:jc w:val="left"/>
              <w:rPr>
                <w:rFonts w:ascii="宋体" w:hAnsi="宋体" w:cs="宋体"/>
                <w:color w:val="auto"/>
                <w:kern w:val="0"/>
                <w:szCs w:val="21"/>
                <w:lang w:bidi="ar"/>
              </w:rPr>
            </w:pPr>
            <w:r>
              <w:rPr>
                <w:rFonts w:hint="eastAsia" w:ascii="宋体" w:hAnsi="宋体" w:cs="宋体"/>
                <w:color w:val="auto"/>
                <w:kern w:val="0"/>
                <w:szCs w:val="21"/>
                <w:lang w:bidi="ar"/>
              </w:rPr>
              <w:t>2.需提供项目合同关键页（须体现人脸识别设备或车辆识别设备或视频监控设备建设内容）复印件，并加盖投标人单位公章，如合同中无法体现人脸识别设备或车辆识别设备或视频监控设备建设内容的，还须提供其他证明资料，否则不得分。</w:t>
            </w:r>
          </w:p>
          <w:p>
            <w:pPr>
              <w:widowControl/>
              <w:jc w:val="left"/>
              <w:rPr>
                <w:rFonts w:ascii="宋体" w:hAnsi="宋体" w:cs="宋体"/>
                <w:color w:val="auto"/>
                <w:szCs w:val="21"/>
              </w:rPr>
            </w:pPr>
            <w:r>
              <w:rPr>
                <w:rFonts w:hint="eastAsia" w:ascii="宋体" w:hAnsi="宋体" w:cs="宋体"/>
                <w:color w:val="auto"/>
                <w:kern w:val="0"/>
                <w:szCs w:val="21"/>
                <w:lang w:bidi="ar"/>
              </w:rPr>
              <w:t>3.若为联合体参与投标，联合体任意成员单位即可。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709" w:type="dxa"/>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w:t>
            </w:r>
          </w:p>
        </w:tc>
        <w:tc>
          <w:tcPr>
            <w:tcW w:w="1129" w:type="dxa"/>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项目组人员配备</w:t>
            </w:r>
          </w:p>
        </w:tc>
        <w:tc>
          <w:tcPr>
            <w:tcW w:w="1184" w:type="dxa"/>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客观</w:t>
            </w:r>
          </w:p>
        </w:tc>
        <w:tc>
          <w:tcPr>
            <w:tcW w:w="659" w:type="dxa"/>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9</w:t>
            </w:r>
          </w:p>
        </w:tc>
        <w:tc>
          <w:tcPr>
            <w:tcW w:w="5675" w:type="dxa"/>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投标人针对本项目配备团队人员满足：</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1.项目负责人1人（3分）：具有高级信息系统项目管理师证书、系统分析师证书、项目管理专业认证证书（PMP）、系统集成相关专业高级工程师职称证书的得3分，缺少一项扣1.5分，扣完为止；</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2.技术负责人1人（2分）：具有系统集成相关专业高级工程师职称证书、高级信息系统项目管理师证书的得2分，缺少一项扣1分，扣完为止；</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3.项目运维负责人（2分）：具有注册信息安全专业人员认证（CISP）证书、项目管理专业认证证书（PMP）、大数据相关专业工程师职称证书的得2分，缺少一项扣1分，扣完为止；</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项目组其他成员（2分）：具有系统集成相关专业高级工程师职称证书、软件评测师证书、大数据相关专业工程师及以上职称证书的得2分，缺少一项扣1分，扣完为止。（若1人同时具有多类证书，只能按其中一类证书计算其得分）</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注：</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1.项目负责人、技术负责人和项目运维负责人不得相互兼任；</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2.提供人员证书及社保部门出具的开标前近三个月任意一个月投标人为其缴纳的的社保证明材料，否则不得分。</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3.若为联合体参与投标，联合体任意成员单位即可。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709" w:type="dxa"/>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w:t>
            </w:r>
          </w:p>
        </w:tc>
        <w:tc>
          <w:tcPr>
            <w:tcW w:w="1129" w:type="dxa"/>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应用服务能力</w:t>
            </w:r>
          </w:p>
        </w:tc>
        <w:tc>
          <w:tcPr>
            <w:tcW w:w="1184" w:type="dxa"/>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客观</w:t>
            </w:r>
          </w:p>
        </w:tc>
        <w:tc>
          <w:tcPr>
            <w:tcW w:w="659" w:type="dxa"/>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5675" w:type="dxa"/>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投标人2020年1月1日至今(以国家标准颁布日期为准)参与过智慧城市或智慧社区相关国家标准编写的得2分，其他或没有的得0分。</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本项最高得分为2分。</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注：</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1.需提供相关证明文件（含中华人民共和国国家标准号及网页截图证明）复印件，并加盖投标人单位公章，否则不得分。</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2.若为联合体参与投标，联合体任意成员单位即可。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9" w:type="dxa"/>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w:t>
            </w:r>
          </w:p>
        </w:tc>
        <w:tc>
          <w:tcPr>
            <w:tcW w:w="1129" w:type="dxa"/>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软件服务能力</w:t>
            </w:r>
          </w:p>
        </w:tc>
        <w:tc>
          <w:tcPr>
            <w:tcW w:w="1184" w:type="dxa"/>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客观</w:t>
            </w:r>
          </w:p>
        </w:tc>
        <w:tc>
          <w:tcPr>
            <w:tcW w:w="659" w:type="dxa"/>
            <w:shd w:val="clear" w:color="auto" w:fill="auto"/>
            <w:vAlign w:val="center"/>
          </w:tcPr>
          <w:p>
            <w:pPr>
              <w:widowControl/>
              <w:jc w:val="center"/>
              <w:textAlignment w:val="center"/>
              <w:rPr>
                <w:rFonts w:ascii="宋体" w:hAnsi="宋体" w:cs="宋体"/>
                <w:color w:val="auto"/>
                <w:szCs w:val="21"/>
              </w:rPr>
            </w:pPr>
            <w:r>
              <w:rPr>
                <w:rFonts w:ascii="宋体" w:hAnsi="宋体" w:cs="宋体"/>
                <w:color w:val="auto"/>
                <w:kern w:val="0"/>
                <w:szCs w:val="21"/>
                <w:lang w:bidi="ar"/>
              </w:rPr>
              <w:t>2</w:t>
            </w:r>
          </w:p>
        </w:tc>
        <w:tc>
          <w:tcPr>
            <w:tcW w:w="5675" w:type="dxa"/>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投标人具有下列软件著作权登记证书：驾驶舱平台类、指标中心类、填报中心类、可视化引擎类、数据比对类的得</w:t>
            </w:r>
            <w:r>
              <w:rPr>
                <w:rFonts w:ascii="宋体" w:hAnsi="宋体" w:cs="宋体"/>
                <w:color w:val="auto"/>
                <w:kern w:val="0"/>
                <w:szCs w:val="21"/>
                <w:lang w:bidi="ar"/>
              </w:rPr>
              <w:t>2</w:t>
            </w:r>
            <w:r>
              <w:rPr>
                <w:rFonts w:hint="eastAsia" w:ascii="宋体" w:hAnsi="宋体" w:cs="宋体"/>
                <w:color w:val="auto"/>
                <w:kern w:val="0"/>
                <w:szCs w:val="21"/>
                <w:lang w:bidi="ar"/>
              </w:rPr>
              <w:t>分，每缺一类证书扣</w:t>
            </w:r>
            <w:r>
              <w:rPr>
                <w:rFonts w:ascii="宋体" w:hAnsi="宋体" w:cs="宋体"/>
                <w:color w:val="auto"/>
                <w:kern w:val="0"/>
                <w:szCs w:val="21"/>
                <w:lang w:bidi="ar"/>
              </w:rPr>
              <w:t>0.5</w:t>
            </w:r>
            <w:r>
              <w:rPr>
                <w:rFonts w:hint="eastAsia" w:ascii="宋体" w:hAnsi="宋体" w:cs="宋体"/>
                <w:color w:val="auto"/>
                <w:kern w:val="0"/>
                <w:szCs w:val="21"/>
                <w:lang w:bidi="ar"/>
              </w:rPr>
              <w:t>分，扣完为止。</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注：</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1.需提供以上软件著作权复印件。</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2.若为联合体参与投标，联合体任意成员单位即可。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709" w:type="dxa"/>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6</w:t>
            </w:r>
          </w:p>
        </w:tc>
        <w:tc>
          <w:tcPr>
            <w:tcW w:w="1129" w:type="dxa"/>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技术参数响应（</w:t>
            </w:r>
            <w:r>
              <w:rPr>
                <w:rFonts w:ascii="宋体" w:hAnsi="宋体" w:cs="宋体"/>
                <w:color w:val="auto"/>
                <w:kern w:val="0"/>
                <w:szCs w:val="21"/>
                <w:lang w:bidi="ar"/>
              </w:rPr>
              <w:t>24</w:t>
            </w:r>
            <w:r>
              <w:rPr>
                <w:rFonts w:hint="eastAsia" w:ascii="宋体" w:hAnsi="宋体" w:cs="宋体"/>
                <w:color w:val="auto"/>
                <w:kern w:val="0"/>
                <w:szCs w:val="21"/>
                <w:lang w:bidi="ar"/>
              </w:rPr>
              <w:t>分）</w:t>
            </w:r>
          </w:p>
        </w:tc>
        <w:tc>
          <w:tcPr>
            <w:tcW w:w="1184" w:type="dxa"/>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客观</w:t>
            </w:r>
          </w:p>
        </w:tc>
        <w:tc>
          <w:tcPr>
            <w:tcW w:w="659" w:type="dxa"/>
            <w:shd w:val="clear" w:color="auto" w:fill="auto"/>
            <w:vAlign w:val="center"/>
          </w:tcPr>
          <w:p>
            <w:pPr>
              <w:widowControl/>
              <w:jc w:val="center"/>
              <w:textAlignment w:val="center"/>
              <w:rPr>
                <w:rFonts w:ascii="宋体" w:hAnsi="宋体" w:cs="宋体"/>
                <w:color w:val="auto"/>
                <w:szCs w:val="21"/>
              </w:rPr>
            </w:pPr>
            <w:r>
              <w:rPr>
                <w:rFonts w:ascii="宋体" w:hAnsi="宋体" w:cs="宋体"/>
                <w:color w:val="auto"/>
                <w:kern w:val="0"/>
                <w:szCs w:val="21"/>
                <w:lang w:bidi="ar"/>
              </w:rPr>
              <w:t>24</w:t>
            </w:r>
          </w:p>
        </w:tc>
        <w:tc>
          <w:tcPr>
            <w:tcW w:w="5675" w:type="dxa"/>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根据招标文件的招标清单中的设备参数指标，对照投标文件中的功能截图、相关证明材料及检测报告，从满足需求、响应和偏离情况进行评分：</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设备参数全部无偏离的得</w:t>
            </w:r>
            <w:r>
              <w:rPr>
                <w:rFonts w:ascii="宋体" w:hAnsi="宋体" w:cs="宋体"/>
                <w:color w:val="auto"/>
                <w:kern w:val="0"/>
                <w:szCs w:val="21"/>
                <w:lang w:bidi="ar"/>
              </w:rPr>
              <w:t>24</w:t>
            </w:r>
            <w:r>
              <w:rPr>
                <w:rFonts w:hint="eastAsia" w:ascii="宋体" w:hAnsi="宋体" w:cs="宋体"/>
                <w:color w:val="auto"/>
                <w:kern w:val="0"/>
                <w:szCs w:val="21"/>
                <w:lang w:bidi="ar"/>
              </w:rPr>
              <w:t>分，其中带“▲”系重要参数，每负偏离一项扣</w:t>
            </w:r>
            <w:r>
              <w:rPr>
                <w:rFonts w:ascii="宋体" w:hAnsi="宋体" w:cs="宋体"/>
                <w:color w:val="auto"/>
                <w:kern w:val="0"/>
                <w:szCs w:val="21"/>
                <w:lang w:bidi="ar"/>
              </w:rPr>
              <w:t>2</w:t>
            </w:r>
            <w:r>
              <w:rPr>
                <w:rFonts w:hint="eastAsia" w:ascii="宋体" w:hAnsi="宋体" w:cs="宋体"/>
                <w:color w:val="auto"/>
                <w:kern w:val="0"/>
                <w:szCs w:val="21"/>
                <w:lang w:bidi="ar"/>
              </w:rPr>
              <w:t>分，其他参数每负偏离一项扣</w:t>
            </w:r>
            <w:r>
              <w:rPr>
                <w:rFonts w:ascii="宋体" w:hAnsi="宋体" w:cs="宋体"/>
                <w:color w:val="auto"/>
                <w:kern w:val="0"/>
                <w:szCs w:val="21"/>
                <w:lang w:bidi="ar"/>
              </w:rPr>
              <w:t>1</w:t>
            </w:r>
            <w:r>
              <w:rPr>
                <w:rFonts w:hint="eastAsia" w:ascii="宋体" w:hAnsi="宋体" w:cs="宋体"/>
                <w:color w:val="auto"/>
                <w:kern w:val="0"/>
                <w:szCs w:val="21"/>
                <w:lang w:bidi="ar"/>
              </w:rPr>
              <w:t>分，扣完为止。</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非量化类的，若是功能一样，表述方式不一样则为符合，量化类的由评委视情况讨论决定。</w:t>
            </w:r>
            <w:r>
              <w:rPr>
                <w:rFonts w:hint="eastAsia" w:ascii="宋体" w:hAnsi="宋体" w:cs="宋体"/>
                <w:color w:val="auto"/>
                <w:kern w:val="0"/>
                <w:szCs w:val="21"/>
                <w:lang w:bidi="ar"/>
              </w:rPr>
              <w:br w:type="textWrapping"/>
            </w:r>
            <w:r>
              <w:rPr>
                <w:rFonts w:hint="eastAsia" w:ascii="宋体" w:hAnsi="宋体" w:cs="宋体"/>
                <w:b/>
                <w:bCs/>
                <w:color w:val="auto"/>
                <w:kern w:val="0"/>
                <w:szCs w:val="21"/>
                <w:lang w:bidi="ar"/>
              </w:rPr>
              <w:t>备注：如招标文件中任一项指标或参数要求提供证明材料、功能截图、检测报告的，依据投标文件中响应的材料进行判定偏离情况，投标文件无相应材料提供的按负偏离判定。其他指标或参与要求，结合投标文件技术响应表中响应情况进行偏离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09" w:type="dxa"/>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7</w:t>
            </w:r>
          </w:p>
        </w:tc>
        <w:tc>
          <w:tcPr>
            <w:tcW w:w="1129" w:type="dxa"/>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对项目的需求理解</w:t>
            </w:r>
          </w:p>
        </w:tc>
        <w:tc>
          <w:tcPr>
            <w:tcW w:w="1184" w:type="dxa"/>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主观</w:t>
            </w:r>
          </w:p>
        </w:tc>
        <w:tc>
          <w:tcPr>
            <w:tcW w:w="659" w:type="dxa"/>
            <w:shd w:val="clear" w:color="auto" w:fill="auto"/>
            <w:vAlign w:val="center"/>
          </w:tcPr>
          <w:p>
            <w:pPr>
              <w:widowControl/>
              <w:jc w:val="center"/>
              <w:textAlignment w:val="center"/>
              <w:rPr>
                <w:rFonts w:ascii="宋体" w:hAnsi="宋体" w:cs="宋体"/>
                <w:color w:val="auto"/>
                <w:szCs w:val="21"/>
              </w:rPr>
            </w:pPr>
            <w:r>
              <w:rPr>
                <w:rFonts w:ascii="宋体" w:hAnsi="宋体" w:cs="宋体"/>
                <w:color w:val="auto"/>
                <w:kern w:val="0"/>
                <w:szCs w:val="21"/>
                <w:lang w:bidi="ar"/>
              </w:rPr>
              <w:t>12</w:t>
            </w:r>
          </w:p>
        </w:tc>
        <w:tc>
          <w:tcPr>
            <w:tcW w:w="5675" w:type="dxa"/>
            <w:shd w:val="clear" w:color="auto" w:fill="auto"/>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1、根据投标人对本项目现状分析、需求理解、建设重难点分析及应对方案是否清晰、到位，措施是否合理、有效、可操作进行综合评议：</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对本项目现状分析、需求理解、建设重难点分析及应对方案清晰、到位，措施合理、有效、可操作性强的，得</w:t>
            </w:r>
            <w:r>
              <w:rPr>
                <w:rFonts w:ascii="宋体" w:hAnsi="宋体" w:cs="宋体"/>
                <w:color w:val="auto"/>
                <w:kern w:val="0"/>
                <w:szCs w:val="21"/>
                <w:lang w:bidi="ar"/>
              </w:rPr>
              <w:t>2</w:t>
            </w:r>
            <w:r>
              <w:rPr>
                <w:rFonts w:hint="eastAsia" w:ascii="宋体" w:hAnsi="宋体" w:cs="宋体"/>
                <w:color w:val="auto"/>
                <w:kern w:val="0"/>
                <w:szCs w:val="21"/>
                <w:lang w:bidi="ar"/>
              </w:rPr>
              <w:t>（含）-</w:t>
            </w:r>
            <w:r>
              <w:rPr>
                <w:rFonts w:ascii="宋体" w:hAnsi="宋体" w:cs="宋体"/>
                <w:color w:val="auto"/>
                <w:kern w:val="0"/>
                <w:szCs w:val="21"/>
                <w:lang w:bidi="ar"/>
              </w:rPr>
              <w:t>4</w:t>
            </w:r>
            <w:r>
              <w:rPr>
                <w:rFonts w:hint="eastAsia" w:ascii="宋体" w:hAnsi="宋体" w:cs="宋体"/>
                <w:color w:val="auto"/>
                <w:kern w:val="0"/>
                <w:szCs w:val="21"/>
                <w:lang w:bidi="ar"/>
              </w:rPr>
              <w:t>分；</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对本项目现状分析、需求理解、建设重难点分析及应对方案基本清晰、基本到位，措施合理性、有效性、可操作性一般的，得</w:t>
            </w:r>
            <w:r>
              <w:rPr>
                <w:rFonts w:ascii="宋体" w:hAnsi="宋体" w:cs="宋体"/>
                <w:color w:val="auto"/>
                <w:kern w:val="0"/>
                <w:szCs w:val="21"/>
                <w:lang w:bidi="ar"/>
              </w:rPr>
              <w:t>1</w:t>
            </w:r>
            <w:r>
              <w:rPr>
                <w:rFonts w:hint="eastAsia" w:ascii="宋体" w:hAnsi="宋体" w:cs="宋体"/>
                <w:color w:val="auto"/>
                <w:kern w:val="0"/>
                <w:szCs w:val="21"/>
                <w:lang w:bidi="ar"/>
              </w:rPr>
              <w:t>（含）-</w:t>
            </w:r>
            <w:r>
              <w:rPr>
                <w:rFonts w:ascii="宋体" w:hAnsi="宋体" w:cs="宋体"/>
                <w:color w:val="auto"/>
                <w:kern w:val="0"/>
                <w:szCs w:val="21"/>
                <w:lang w:bidi="ar"/>
              </w:rPr>
              <w:t>2</w:t>
            </w:r>
            <w:r>
              <w:rPr>
                <w:rFonts w:hint="eastAsia" w:ascii="宋体" w:hAnsi="宋体" w:cs="宋体"/>
                <w:color w:val="auto"/>
                <w:kern w:val="0"/>
                <w:szCs w:val="21"/>
                <w:lang w:bidi="ar"/>
              </w:rPr>
              <w:t>分；</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对本项目现状分析、需求理解、建设重难点分析及应对方案不够清晰、不够到位，措施方案合理性、有效性、可操作性较差的，得0-</w:t>
            </w:r>
            <w:r>
              <w:rPr>
                <w:rFonts w:ascii="宋体" w:hAnsi="宋体" w:cs="宋体"/>
                <w:color w:val="auto"/>
                <w:kern w:val="0"/>
                <w:szCs w:val="21"/>
                <w:lang w:bidi="ar"/>
              </w:rPr>
              <w:t>1</w:t>
            </w:r>
            <w:r>
              <w:rPr>
                <w:rFonts w:hint="eastAsia" w:ascii="宋体" w:hAnsi="宋体" w:cs="宋体"/>
                <w:color w:val="auto"/>
                <w:kern w:val="0"/>
                <w:szCs w:val="21"/>
                <w:lang w:bidi="ar"/>
              </w:rPr>
              <w:t>分；</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 xml:space="preserve">其余或不提供的不得分。 </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投标人需自行现场勘查，根据各投标人对本项目所提供的“一小区一方案”勘察报告（格式详见第六章投标文件格式）及实景照片（实景照片中应至少标注小区名称、经纬度基本信息）的完整有效性进行综合评议：</w:t>
            </w:r>
          </w:p>
          <w:p>
            <w:pPr>
              <w:widowControl/>
              <w:jc w:val="left"/>
              <w:textAlignment w:val="center"/>
              <w:rPr>
                <w:rFonts w:ascii="宋体" w:hAnsi="宋体" w:cs="宋体"/>
                <w:color w:val="auto"/>
                <w:szCs w:val="21"/>
              </w:rPr>
            </w:pPr>
            <w:r>
              <w:rPr>
                <w:rFonts w:hint="eastAsia" w:ascii="宋体" w:hAnsi="宋体" w:cs="宋体"/>
                <w:color w:val="auto"/>
                <w:kern w:val="0"/>
                <w:szCs w:val="21"/>
                <w:lang w:bidi="ar"/>
              </w:rPr>
              <w:t>提供完整有效的350个小区及以上勘察报告及实景照片的，得</w:t>
            </w:r>
            <w:r>
              <w:rPr>
                <w:rFonts w:ascii="宋体" w:hAnsi="宋体" w:cs="宋体"/>
                <w:color w:val="auto"/>
                <w:kern w:val="0"/>
                <w:szCs w:val="21"/>
                <w:lang w:bidi="ar"/>
              </w:rPr>
              <w:t>8</w:t>
            </w:r>
            <w:r>
              <w:rPr>
                <w:rFonts w:hint="eastAsia" w:ascii="宋体" w:hAnsi="宋体" w:cs="宋体"/>
                <w:color w:val="auto"/>
                <w:kern w:val="0"/>
                <w:szCs w:val="21"/>
                <w:lang w:bidi="ar"/>
              </w:rPr>
              <w:t>分；</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提供完整有效的350个小区以下，250个小区及以上勘察报告及实景照片的，得</w:t>
            </w:r>
            <w:r>
              <w:rPr>
                <w:rFonts w:ascii="宋体" w:hAnsi="宋体" w:cs="宋体"/>
                <w:color w:val="auto"/>
                <w:kern w:val="0"/>
                <w:szCs w:val="21"/>
                <w:lang w:bidi="ar"/>
              </w:rPr>
              <w:t>5</w:t>
            </w:r>
            <w:r>
              <w:rPr>
                <w:rFonts w:hint="eastAsia" w:ascii="宋体" w:hAnsi="宋体" w:cs="宋体"/>
                <w:color w:val="auto"/>
                <w:kern w:val="0"/>
                <w:szCs w:val="21"/>
                <w:lang w:bidi="ar"/>
              </w:rPr>
              <w:t>分；</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提供完整有效的250个小区以下，150个小区及以上勘察报告及实景照片的，得</w:t>
            </w:r>
            <w:r>
              <w:rPr>
                <w:rFonts w:ascii="宋体" w:hAnsi="宋体" w:cs="宋体"/>
                <w:color w:val="auto"/>
                <w:kern w:val="0"/>
                <w:szCs w:val="21"/>
                <w:lang w:bidi="ar"/>
              </w:rPr>
              <w:t>3</w:t>
            </w:r>
            <w:r>
              <w:rPr>
                <w:rFonts w:hint="eastAsia" w:ascii="宋体" w:hAnsi="宋体" w:cs="宋体"/>
                <w:color w:val="auto"/>
                <w:kern w:val="0"/>
                <w:szCs w:val="21"/>
                <w:lang w:bidi="ar"/>
              </w:rPr>
              <w:t>分；</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提供完整有效的150个小区以下，</w:t>
            </w:r>
            <w:r>
              <w:rPr>
                <w:rFonts w:ascii="宋体" w:hAnsi="宋体" w:cs="宋体"/>
                <w:color w:val="auto"/>
                <w:kern w:val="0"/>
                <w:szCs w:val="21"/>
                <w:lang w:bidi="ar"/>
              </w:rPr>
              <w:t>5</w:t>
            </w:r>
            <w:r>
              <w:rPr>
                <w:rFonts w:hint="eastAsia" w:ascii="宋体" w:hAnsi="宋体" w:cs="宋体"/>
                <w:color w:val="auto"/>
                <w:kern w:val="0"/>
                <w:szCs w:val="21"/>
                <w:lang w:bidi="ar"/>
              </w:rPr>
              <w:t>0个小区及以上勘察报告及实景照片的，得</w:t>
            </w:r>
            <w:r>
              <w:rPr>
                <w:rFonts w:ascii="宋体" w:hAnsi="宋体" w:cs="宋体"/>
                <w:color w:val="auto"/>
                <w:kern w:val="0"/>
                <w:szCs w:val="21"/>
                <w:lang w:bidi="ar"/>
              </w:rPr>
              <w:t>1</w:t>
            </w:r>
            <w:r>
              <w:rPr>
                <w:rFonts w:hint="eastAsia" w:ascii="宋体" w:hAnsi="宋体" w:cs="宋体"/>
                <w:color w:val="auto"/>
                <w:kern w:val="0"/>
                <w:szCs w:val="21"/>
                <w:lang w:bidi="ar"/>
              </w:rPr>
              <w:t>分；</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其余或不提供的不得分。</w:t>
            </w:r>
            <w:r>
              <w:rPr>
                <w:rFonts w:hint="eastAsia" w:ascii="宋体" w:hAnsi="宋体" w:cs="宋体"/>
                <w:color w:val="auto"/>
                <w:szCs w:val="21"/>
                <w:lang w:bidi="ar"/>
              </w:rPr>
              <w:t>如投标人提供“一小区一方案”勘察报告及实景照片不真实，本项做0分处理。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0" w:hRule="atLeast"/>
          <w:jc w:val="center"/>
        </w:trPr>
        <w:tc>
          <w:tcPr>
            <w:tcW w:w="709" w:type="dxa"/>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8</w:t>
            </w:r>
          </w:p>
        </w:tc>
        <w:tc>
          <w:tcPr>
            <w:tcW w:w="1129" w:type="dxa"/>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服务方案</w:t>
            </w:r>
          </w:p>
        </w:tc>
        <w:tc>
          <w:tcPr>
            <w:tcW w:w="1184" w:type="dxa"/>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主观</w:t>
            </w:r>
          </w:p>
        </w:tc>
        <w:tc>
          <w:tcPr>
            <w:tcW w:w="659" w:type="dxa"/>
            <w:shd w:val="clear" w:color="auto" w:fill="auto"/>
            <w:vAlign w:val="center"/>
          </w:tcPr>
          <w:p>
            <w:pPr>
              <w:widowControl/>
              <w:jc w:val="center"/>
              <w:textAlignment w:val="center"/>
              <w:rPr>
                <w:rFonts w:ascii="宋体" w:hAnsi="宋体" w:cs="宋体"/>
                <w:color w:val="auto"/>
                <w:szCs w:val="21"/>
              </w:rPr>
            </w:pPr>
            <w:r>
              <w:rPr>
                <w:rFonts w:ascii="宋体" w:hAnsi="宋体" w:cs="宋体"/>
                <w:color w:val="auto"/>
                <w:kern w:val="0"/>
                <w:szCs w:val="21"/>
                <w:lang w:bidi="ar"/>
              </w:rPr>
              <w:t>9</w:t>
            </w:r>
          </w:p>
        </w:tc>
        <w:tc>
          <w:tcPr>
            <w:tcW w:w="5675" w:type="dxa"/>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 xml:space="preserve">根据各投标人对本项目所提供的服务方案是否科学、合理、完整及可操作性进行综合评议： </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1、提供总体服务方案，服务方案需包含总体架构、系统拓扑、已有利旧、数据架构、网络拓扑部分。</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 xml:space="preserve">总体服务方案科学、合理、完整，可操作性强的，得2（含）-3分； </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 xml:space="preserve">总体服务方案较科学、基本合理、基本完整，可操作性较强，得1（含）-2分； </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 xml:space="preserve">总体服务方案不够科学、不够合理、不够完整，可操作性相对较差，得0-1分。 </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 xml:space="preserve">其余或不提供的不得分。 </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提供详细方案，方案需至少包含基础设施方案、传输网络方案、存储系统方案、应用平台方案、安全保障方案、系统对接共享方案，根据投标人提供的详细方案科学性、合理性及可行性进行综合评分；方案科学、合理且可行性强的得</w:t>
            </w:r>
            <w:r>
              <w:rPr>
                <w:rFonts w:ascii="宋体" w:hAnsi="宋体" w:cs="宋体"/>
                <w:color w:val="auto"/>
                <w:kern w:val="0"/>
                <w:szCs w:val="21"/>
                <w:lang w:bidi="ar"/>
              </w:rPr>
              <w:t>6</w:t>
            </w:r>
            <w:r>
              <w:rPr>
                <w:rFonts w:hint="eastAsia" w:ascii="宋体" w:hAnsi="宋体" w:cs="宋体"/>
                <w:color w:val="auto"/>
                <w:kern w:val="0"/>
                <w:szCs w:val="21"/>
                <w:lang w:bidi="ar"/>
              </w:rPr>
              <w:t>-</w:t>
            </w:r>
            <w:r>
              <w:rPr>
                <w:rFonts w:ascii="宋体" w:hAnsi="宋体" w:cs="宋体"/>
                <w:color w:val="auto"/>
                <w:kern w:val="0"/>
                <w:szCs w:val="21"/>
                <w:lang w:bidi="ar"/>
              </w:rPr>
              <w:t>4</w:t>
            </w:r>
            <w:r>
              <w:rPr>
                <w:rFonts w:hint="eastAsia" w:ascii="宋体" w:hAnsi="宋体" w:cs="宋体"/>
                <w:color w:val="auto"/>
                <w:kern w:val="0"/>
                <w:szCs w:val="21"/>
                <w:lang w:bidi="ar"/>
              </w:rPr>
              <w:t>（含）分；方案科学性、合理性、可行性一般的得</w:t>
            </w:r>
            <w:r>
              <w:rPr>
                <w:rFonts w:ascii="宋体" w:hAnsi="宋体" w:cs="宋体"/>
                <w:color w:val="auto"/>
                <w:kern w:val="0"/>
                <w:szCs w:val="21"/>
                <w:lang w:bidi="ar"/>
              </w:rPr>
              <w:t>4</w:t>
            </w:r>
            <w:r>
              <w:rPr>
                <w:rFonts w:hint="eastAsia" w:ascii="宋体" w:hAnsi="宋体" w:cs="宋体"/>
                <w:color w:val="auto"/>
                <w:kern w:val="0"/>
                <w:szCs w:val="21"/>
                <w:lang w:bidi="ar"/>
              </w:rPr>
              <w:t>-</w:t>
            </w:r>
            <w:r>
              <w:rPr>
                <w:rFonts w:ascii="宋体" w:hAnsi="宋体" w:cs="宋体"/>
                <w:color w:val="auto"/>
                <w:kern w:val="0"/>
                <w:szCs w:val="21"/>
                <w:lang w:bidi="ar"/>
              </w:rPr>
              <w:t>2</w:t>
            </w:r>
            <w:r>
              <w:rPr>
                <w:rFonts w:hint="eastAsia" w:ascii="宋体" w:hAnsi="宋体" w:cs="宋体"/>
                <w:color w:val="auto"/>
                <w:kern w:val="0"/>
                <w:szCs w:val="21"/>
                <w:lang w:bidi="ar"/>
              </w:rPr>
              <w:t>(含）分；方案科学性、合理性、可行性较差的得</w:t>
            </w:r>
            <w:r>
              <w:rPr>
                <w:rFonts w:ascii="宋体" w:hAnsi="宋体" w:cs="宋体"/>
                <w:color w:val="auto"/>
                <w:kern w:val="0"/>
                <w:szCs w:val="21"/>
                <w:lang w:bidi="ar"/>
              </w:rPr>
              <w:t>2</w:t>
            </w:r>
            <w:r>
              <w:rPr>
                <w:rFonts w:hint="eastAsia" w:ascii="宋体" w:hAnsi="宋体" w:cs="宋体"/>
                <w:color w:val="auto"/>
                <w:kern w:val="0"/>
                <w:szCs w:val="21"/>
                <w:lang w:bidi="ar"/>
              </w:rPr>
              <w:t>-0分；其他情况不得分。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709" w:type="dxa"/>
            <w:shd w:val="clear" w:color="auto" w:fill="auto"/>
            <w:noWrap/>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lang w:val="en-US" w:eastAsia="zh-CN" w:bidi="ar"/>
              </w:rPr>
              <w:t>9</w:t>
            </w:r>
          </w:p>
        </w:tc>
        <w:tc>
          <w:tcPr>
            <w:tcW w:w="1129" w:type="dxa"/>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施工组织方案</w:t>
            </w:r>
          </w:p>
        </w:tc>
        <w:tc>
          <w:tcPr>
            <w:tcW w:w="1184" w:type="dxa"/>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主观</w:t>
            </w:r>
          </w:p>
        </w:tc>
        <w:tc>
          <w:tcPr>
            <w:tcW w:w="659" w:type="dxa"/>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w:t>
            </w:r>
          </w:p>
        </w:tc>
        <w:tc>
          <w:tcPr>
            <w:tcW w:w="5675" w:type="dxa"/>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根据各投标人提供的施工组织方案进行评价，方案需包括不限于针对项目施工组织方法、施工进度计划、施工组织部署、施工准备方案、项目采购方案、安装调试方案、测试组织方案、验收组织方案及施工保障措施：</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 xml:space="preserve">施工组织方案内容齐全，符合实际情况，方案科学、可行性高，满足项目实际需要的，得3（含）-5分； </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 xml:space="preserve">施工组织方案内容较齐全，较符合实际情况，方案较科学、可行性较高，较满足项目实际需要的，得1（含）-3分； </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施工组织方案内容差，可行性差，不够满足项目实际需要的，得0-1分；</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 xml:space="preserve">不提供方案不得分。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709" w:type="dxa"/>
            <w:shd w:val="clear" w:color="auto" w:fill="auto"/>
            <w:noWrap/>
            <w:vAlign w:val="center"/>
          </w:tcPr>
          <w:p>
            <w:pPr>
              <w:widowControl/>
              <w:jc w:val="center"/>
              <w:textAlignment w:val="center"/>
              <w:rPr>
                <w:rFonts w:hint="default" w:ascii="宋体" w:hAnsi="宋体" w:eastAsia="宋体" w:cs="宋体"/>
                <w:color w:val="auto"/>
                <w:szCs w:val="21"/>
                <w:lang w:val="en-US" w:eastAsia="zh-CN"/>
              </w:rPr>
            </w:pPr>
            <w:r>
              <w:rPr>
                <w:rFonts w:hint="eastAsia" w:ascii="宋体" w:hAnsi="宋体" w:cs="宋体"/>
                <w:color w:val="auto"/>
                <w:kern w:val="0"/>
                <w:szCs w:val="21"/>
                <w:lang w:val="en-US" w:eastAsia="zh-CN" w:bidi="ar"/>
              </w:rPr>
              <w:t>10</w:t>
            </w:r>
          </w:p>
        </w:tc>
        <w:tc>
          <w:tcPr>
            <w:tcW w:w="1129" w:type="dxa"/>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技术培训方案</w:t>
            </w:r>
          </w:p>
        </w:tc>
        <w:tc>
          <w:tcPr>
            <w:tcW w:w="1184" w:type="dxa"/>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主观</w:t>
            </w:r>
          </w:p>
        </w:tc>
        <w:tc>
          <w:tcPr>
            <w:tcW w:w="659" w:type="dxa"/>
            <w:shd w:val="clear" w:color="auto" w:fill="auto"/>
            <w:vAlign w:val="center"/>
          </w:tcPr>
          <w:p>
            <w:pPr>
              <w:widowControl/>
              <w:jc w:val="center"/>
              <w:textAlignment w:val="center"/>
              <w:rPr>
                <w:rFonts w:ascii="宋体" w:hAnsi="宋体" w:cs="宋体"/>
                <w:color w:val="auto"/>
                <w:szCs w:val="21"/>
              </w:rPr>
            </w:pPr>
            <w:r>
              <w:rPr>
                <w:rFonts w:ascii="宋体" w:hAnsi="宋体" w:cs="宋体"/>
                <w:color w:val="auto"/>
                <w:kern w:val="0"/>
                <w:szCs w:val="21"/>
                <w:lang w:bidi="ar"/>
              </w:rPr>
              <w:t>3</w:t>
            </w:r>
          </w:p>
        </w:tc>
        <w:tc>
          <w:tcPr>
            <w:tcW w:w="5675" w:type="dxa"/>
            <w:shd w:val="clear" w:color="auto" w:fill="auto"/>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 xml:space="preserve">根据投标人提供的技术培训方案进行评价，培训方案至少包括培训目标、培训组织、培训计划、培训内容、培训措施，根据各投标人提供的技术培训方案是否合理、科学、到位，措施是否合理、有效、可操作进行综合评议： </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方案内容齐全，符合实际情况，方案科学、可行性高，满足采购项目需要的，得</w:t>
            </w:r>
            <w:r>
              <w:rPr>
                <w:rFonts w:ascii="宋体" w:hAnsi="宋体" w:cs="宋体"/>
                <w:color w:val="auto"/>
                <w:kern w:val="0"/>
                <w:szCs w:val="21"/>
                <w:lang w:bidi="ar"/>
              </w:rPr>
              <w:t>2</w:t>
            </w:r>
            <w:r>
              <w:rPr>
                <w:rFonts w:hint="eastAsia" w:ascii="宋体" w:hAnsi="宋体" w:cs="宋体"/>
                <w:color w:val="auto"/>
                <w:kern w:val="0"/>
                <w:szCs w:val="21"/>
                <w:lang w:bidi="ar"/>
              </w:rPr>
              <w:t>（含）-</w:t>
            </w:r>
            <w:r>
              <w:rPr>
                <w:rFonts w:ascii="宋体" w:hAnsi="宋体" w:cs="宋体"/>
                <w:color w:val="auto"/>
                <w:kern w:val="0"/>
                <w:szCs w:val="21"/>
                <w:lang w:bidi="ar"/>
              </w:rPr>
              <w:t>3</w:t>
            </w:r>
            <w:r>
              <w:rPr>
                <w:rFonts w:hint="eastAsia" w:ascii="宋体" w:hAnsi="宋体" w:cs="宋体"/>
                <w:color w:val="auto"/>
                <w:kern w:val="0"/>
                <w:szCs w:val="21"/>
                <w:lang w:bidi="ar"/>
              </w:rPr>
              <w:t xml:space="preserve">分； </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方案内容较齐全，较符合实际情况，方案较科学、可行性较高，较满足采购项目需要的，得1（含）-</w:t>
            </w:r>
            <w:r>
              <w:rPr>
                <w:rFonts w:ascii="宋体" w:hAnsi="宋体" w:cs="宋体"/>
                <w:color w:val="auto"/>
                <w:kern w:val="0"/>
                <w:szCs w:val="21"/>
                <w:lang w:bidi="ar"/>
              </w:rPr>
              <w:t>2</w:t>
            </w:r>
            <w:r>
              <w:rPr>
                <w:rFonts w:hint="eastAsia" w:ascii="宋体" w:hAnsi="宋体" w:cs="宋体"/>
                <w:color w:val="auto"/>
                <w:kern w:val="0"/>
                <w:szCs w:val="21"/>
                <w:lang w:bidi="ar"/>
              </w:rPr>
              <w:t xml:space="preserve">分； </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方案内容差，可行性差，</w:t>
            </w:r>
          </w:p>
          <w:p>
            <w:pPr>
              <w:widowControl/>
              <w:jc w:val="left"/>
              <w:textAlignment w:val="center"/>
              <w:rPr>
                <w:rFonts w:ascii="宋体" w:hAnsi="宋体" w:cs="宋体"/>
                <w:color w:val="auto"/>
                <w:szCs w:val="21"/>
              </w:rPr>
            </w:pPr>
            <w:r>
              <w:rPr>
                <w:rFonts w:hint="eastAsia" w:ascii="宋体" w:hAnsi="宋体" w:cs="宋体"/>
                <w:color w:val="auto"/>
                <w:kern w:val="0"/>
                <w:szCs w:val="21"/>
                <w:lang w:bidi="ar"/>
              </w:rPr>
              <w:t>不够满足采购项目需要的，得0-1分；</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 xml:space="preserve">不提供方案不得分。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09" w:type="dxa"/>
            <w:shd w:val="clear" w:color="auto" w:fill="auto"/>
            <w:noWrap/>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lang w:bidi="ar"/>
              </w:rPr>
              <w:t>1</w:t>
            </w:r>
            <w:r>
              <w:rPr>
                <w:rFonts w:hint="eastAsia" w:ascii="宋体" w:hAnsi="宋体" w:cs="宋体"/>
                <w:color w:val="auto"/>
                <w:kern w:val="0"/>
                <w:szCs w:val="21"/>
                <w:lang w:val="en-US" w:eastAsia="zh-CN" w:bidi="ar"/>
              </w:rPr>
              <w:t>1</w:t>
            </w:r>
          </w:p>
        </w:tc>
        <w:tc>
          <w:tcPr>
            <w:tcW w:w="1129" w:type="dxa"/>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售后服务方案</w:t>
            </w:r>
          </w:p>
        </w:tc>
        <w:tc>
          <w:tcPr>
            <w:tcW w:w="1184" w:type="dxa"/>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主观</w:t>
            </w:r>
          </w:p>
        </w:tc>
        <w:tc>
          <w:tcPr>
            <w:tcW w:w="659" w:type="dxa"/>
            <w:shd w:val="clear" w:color="auto" w:fill="auto"/>
            <w:vAlign w:val="center"/>
          </w:tcPr>
          <w:p>
            <w:pPr>
              <w:widowControl/>
              <w:jc w:val="center"/>
              <w:textAlignment w:val="center"/>
              <w:rPr>
                <w:rFonts w:ascii="宋体" w:hAnsi="宋体" w:cs="宋体"/>
                <w:color w:val="auto"/>
                <w:szCs w:val="21"/>
              </w:rPr>
            </w:pPr>
            <w:r>
              <w:rPr>
                <w:rFonts w:ascii="宋体" w:hAnsi="宋体" w:cs="宋体"/>
                <w:color w:val="auto"/>
                <w:kern w:val="0"/>
                <w:szCs w:val="21"/>
                <w:lang w:bidi="ar"/>
              </w:rPr>
              <w:t>5</w:t>
            </w:r>
          </w:p>
        </w:tc>
        <w:tc>
          <w:tcPr>
            <w:tcW w:w="5675" w:type="dxa"/>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根据投标人提供的售后服务方案进行评价，方案需包括不限于针对所有设备、设施及其相关软件的维护服务方案、维护保障措施：</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售后服务方案内容齐全，符合实际情况，方案科学、可行性高，满足项目实际需要的，得</w:t>
            </w:r>
            <w:r>
              <w:rPr>
                <w:rFonts w:ascii="宋体" w:hAnsi="宋体" w:cs="宋体"/>
                <w:color w:val="auto"/>
                <w:kern w:val="0"/>
                <w:szCs w:val="21"/>
                <w:lang w:bidi="ar"/>
              </w:rPr>
              <w:t>3</w:t>
            </w:r>
            <w:r>
              <w:rPr>
                <w:rFonts w:hint="eastAsia" w:ascii="宋体" w:hAnsi="宋体" w:cs="宋体"/>
                <w:color w:val="auto"/>
                <w:kern w:val="0"/>
                <w:szCs w:val="21"/>
                <w:lang w:bidi="ar"/>
              </w:rPr>
              <w:t>（含）-</w:t>
            </w:r>
            <w:r>
              <w:rPr>
                <w:rFonts w:ascii="宋体" w:hAnsi="宋体" w:cs="宋体"/>
                <w:color w:val="auto"/>
                <w:kern w:val="0"/>
                <w:szCs w:val="21"/>
                <w:lang w:bidi="ar"/>
              </w:rPr>
              <w:t>5</w:t>
            </w:r>
            <w:r>
              <w:rPr>
                <w:rFonts w:hint="eastAsia" w:ascii="宋体" w:hAnsi="宋体" w:cs="宋体"/>
                <w:color w:val="auto"/>
                <w:kern w:val="0"/>
                <w:szCs w:val="21"/>
                <w:lang w:bidi="ar"/>
              </w:rPr>
              <w:t xml:space="preserve">分； </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售后服务方案内容较齐全，较符合实际情况，方案较科学、可行性较高，较满足项目实际需要的，得1（含）-</w:t>
            </w:r>
            <w:r>
              <w:rPr>
                <w:rFonts w:ascii="宋体" w:hAnsi="宋体" w:cs="宋体"/>
                <w:color w:val="auto"/>
                <w:kern w:val="0"/>
                <w:szCs w:val="21"/>
                <w:lang w:bidi="ar"/>
              </w:rPr>
              <w:t>3</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售后服务方案内容差，可行性差，不够满足项目实际需要的，得0-1分；</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 xml:space="preserve">其余或不提供的不得分。 </w:t>
            </w:r>
          </w:p>
        </w:tc>
      </w:tr>
    </w:tbl>
    <w:p>
      <w:pPr>
        <w:pStyle w:val="25"/>
        <w:spacing w:before="0" w:beforeLines="0" w:after="0" w:afterLines="0" w:line="360" w:lineRule="auto"/>
        <w:rPr>
          <w:rFonts w:ascii="Times New Roman" w:hAnsi="Times New Roman"/>
          <w:b/>
          <w:color w:val="auto"/>
          <w:sz w:val="21"/>
          <w:szCs w:val="21"/>
        </w:rPr>
      </w:pPr>
    </w:p>
    <w:p>
      <w:pPr>
        <w:pStyle w:val="25"/>
        <w:spacing w:before="0" w:beforeLines="0" w:after="0" w:afterLines="0" w:line="360" w:lineRule="auto"/>
        <w:rPr>
          <w:rFonts w:ascii="Times New Roman" w:hAnsi="Times New Roman"/>
          <w:b/>
          <w:color w:val="auto"/>
        </w:rPr>
      </w:pPr>
      <w:r>
        <w:rPr>
          <w:rFonts w:ascii="Times New Roman" w:hAnsi="Times New Roman"/>
          <w:b/>
          <w:color w:val="auto"/>
          <w:sz w:val="21"/>
          <w:szCs w:val="21"/>
        </w:rPr>
        <w:t>第二阶段：报价文件评审</w:t>
      </w:r>
    </w:p>
    <w:tbl>
      <w:tblPr>
        <w:tblStyle w:val="41"/>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8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349" w:type="dxa"/>
            <w:vAlign w:val="center"/>
          </w:tcPr>
          <w:p>
            <w:pPr>
              <w:tabs>
                <w:tab w:val="left" w:pos="0"/>
              </w:tabs>
              <w:autoSpaceDE w:val="0"/>
              <w:autoSpaceDN w:val="0"/>
              <w:spacing w:line="300" w:lineRule="exact"/>
              <w:jc w:val="center"/>
              <w:rPr>
                <w:b/>
                <w:bCs/>
                <w:color w:val="auto"/>
                <w:szCs w:val="21"/>
                <w:lang w:val="zh-CN"/>
              </w:rPr>
            </w:pPr>
            <w:r>
              <w:rPr>
                <w:b/>
                <w:bCs/>
                <w:color w:val="auto"/>
                <w:szCs w:val="21"/>
                <w:lang w:val="zh-CN"/>
              </w:rPr>
              <w:t>分值</w:t>
            </w:r>
          </w:p>
        </w:tc>
        <w:tc>
          <w:tcPr>
            <w:tcW w:w="8159" w:type="dxa"/>
            <w:vAlign w:val="center"/>
          </w:tcPr>
          <w:p>
            <w:pPr>
              <w:tabs>
                <w:tab w:val="left" w:pos="0"/>
              </w:tabs>
              <w:autoSpaceDE w:val="0"/>
              <w:autoSpaceDN w:val="0"/>
              <w:spacing w:line="300" w:lineRule="exact"/>
              <w:jc w:val="center"/>
              <w:rPr>
                <w:b/>
                <w:bCs/>
                <w:color w:val="auto"/>
                <w:szCs w:val="21"/>
                <w:lang w:val="zh-CN"/>
              </w:rPr>
            </w:pPr>
            <w:r>
              <w:rPr>
                <w:b/>
                <w:bCs/>
                <w:color w:val="auto"/>
                <w:szCs w:val="21"/>
                <w:lang w:val="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9" w:type="dxa"/>
            <w:vAlign w:val="center"/>
          </w:tcPr>
          <w:p>
            <w:pPr>
              <w:tabs>
                <w:tab w:val="left" w:pos="0"/>
              </w:tabs>
              <w:spacing w:line="300" w:lineRule="exact"/>
              <w:jc w:val="center"/>
              <w:rPr>
                <w:b/>
                <w:bCs/>
                <w:color w:val="auto"/>
                <w:szCs w:val="21"/>
              </w:rPr>
            </w:pPr>
            <w:r>
              <w:rPr>
                <w:b/>
                <w:bCs/>
                <w:color w:val="auto"/>
                <w:szCs w:val="21"/>
              </w:rPr>
              <w:t>价格</w:t>
            </w:r>
          </w:p>
          <w:p>
            <w:pPr>
              <w:tabs>
                <w:tab w:val="left" w:pos="0"/>
              </w:tabs>
              <w:spacing w:line="300" w:lineRule="exact"/>
              <w:jc w:val="center"/>
              <w:rPr>
                <w:b/>
                <w:bCs/>
                <w:color w:val="auto"/>
                <w:szCs w:val="21"/>
              </w:rPr>
            </w:pPr>
            <w:r>
              <w:rPr>
                <w:b/>
                <w:bCs/>
                <w:color w:val="auto"/>
                <w:szCs w:val="21"/>
              </w:rPr>
              <w:t>得分</w:t>
            </w:r>
          </w:p>
          <w:p>
            <w:pPr>
              <w:tabs>
                <w:tab w:val="left" w:pos="0"/>
              </w:tabs>
              <w:spacing w:line="300" w:lineRule="exact"/>
              <w:jc w:val="center"/>
              <w:rPr>
                <w:color w:val="auto"/>
                <w:szCs w:val="21"/>
              </w:rPr>
            </w:pPr>
            <w:r>
              <w:rPr>
                <w:b/>
                <w:bCs/>
                <w:color w:val="auto"/>
                <w:szCs w:val="21"/>
              </w:rPr>
              <w:t>20分</w:t>
            </w:r>
          </w:p>
        </w:tc>
        <w:tc>
          <w:tcPr>
            <w:tcW w:w="8159" w:type="dxa"/>
            <w:vAlign w:val="center"/>
          </w:tcPr>
          <w:p>
            <w:pPr>
              <w:spacing w:line="360" w:lineRule="auto"/>
              <w:jc w:val="left"/>
              <w:rPr>
                <w:color w:val="auto"/>
                <w:kern w:val="0"/>
                <w:szCs w:val="21"/>
              </w:rPr>
            </w:pPr>
            <w:r>
              <w:rPr>
                <w:color w:val="auto"/>
                <w:kern w:val="0"/>
                <w:szCs w:val="21"/>
              </w:rPr>
              <w:t>评标基准价指的是满足招标文件要求且最低的参与评审的价格。</w:t>
            </w:r>
          </w:p>
          <w:p>
            <w:pPr>
              <w:spacing w:line="360" w:lineRule="auto"/>
              <w:jc w:val="left"/>
              <w:rPr>
                <w:color w:val="auto"/>
                <w:kern w:val="0"/>
                <w:szCs w:val="21"/>
              </w:rPr>
            </w:pPr>
            <w:r>
              <w:rPr>
                <w:color w:val="auto"/>
                <w:kern w:val="0"/>
                <w:szCs w:val="21"/>
              </w:rPr>
              <w:t>参与评审的价格=投标报价</w:t>
            </w:r>
            <w:r>
              <w:rPr>
                <w:rFonts w:hint="eastAsia" w:ascii="宋体" w:hAnsi="宋体" w:cs="宋体"/>
                <w:color w:val="auto"/>
                <w:szCs w:val="21"/>
              </w:rPr>
              <w:t>－小微企业价格优惠值10%（如有）</w:t>
            </w:r>
            <w:r>
              <w:rPr>
                <w:color w:val="auto"/>
                <w:kern w:val="0"/>
                <w:szCs w:val="21"/>
              </w:rPr>
              <w:t>。</w:t>
            </w:r>
          </w:p>
          <w:p>
            <w:pPr>
              <w:spacing w:line="360" w:lineRule="auto"/>
              <w:jc w:val="left"/>
              <w:rPr>
                <w:color w:val="auto"/>
                <w:kern w:val="0"/>
                <w:szCs w:val="21"/>
              </w:rPr>
            </w:pPr>
            <w:r>
              <w:rPr>
                <w:color w:val="auto"/>
                <w:kern w:val="0"/>
                <w:szCs w:val="21"/>
              </w:rPr>
              <w:t>参与评审的价格为评标基准价的其价格得分得满分20分。</w:t>
            </w:r>
          </w:p>
          <w:p>
            <w:pPr>
              <w:spacing w:line="360" w:lineRule="auto"/>
              <w:jc w:val="left"/>
              <w:rPr>
                <w:color w:val="auto"/>
                <w:kern w:val="0"/>
                <w:szCs w:val="21"/>
              </w:rPr>
            </w:pPr>
            <w:r>
              <w:rPr>
                <w:color w:val="auto"/>
                <w:kern w:val="0"/>
                <w:szCs w:val="21"/>
              </w:rPr>
              <w:t>其他供应商价格得分按照下列公式计算：</w:t>
            </w:r>
          </w:p>
          <w:p>
            <w:pPr>
              <w:spacing w:line="360" w:lineRule="auto"/>
              <w:jc w:val="left"/>
              <w:rPr>
                <w:color w:val="auto"/>
                <w:kern w:val="0"/>
                <w:szCs w:val="21"/>
              </w:rPr>
            </w:pPr>
            <w:r>
              <w:rPr>
                <w:color w:val="auto"/>
                <w:kern w:val="0"/>
                <w:szCs w:val="21"/>
              </w:rPr>
              <w:t>价格得分=（评标基准价/各供应商参与评审的价格）×20%×100。</w:t>
            </w:r>
          </w:p>
          <w:p>
            <w:pPr>
              <w:spacing w:line="360" w:lineRule="auto"/>
              <w:jc w:val="left"/>
              <w:rPr>
                <w:b/>
                <w:bCs/>
                <w:color w:val="auto"/>
                <w:kern w:val="0"/>
                <w:szCs w:val="21"/>
              </w:rPr>
            </w:pPr>
            <w:r>
              <w:rPr>
                <w:b/>
                <w:bCs/>
                <w:color w:val="auto"/>
                <w:kern w:val="0"/>
                <w:szCs w:val="21"/>
              </w:rPr>
              <w:t>注：1、投标报价超过对应最高限价的作无效标处理。</w:t>
            </w:r>
          </w:p>
          <w:p>
            <w:pPr>
              <w:spacing w:line="360" w:lineRule="auto"/>
              <w:jc w:val="left"/>
              <w:rPr>
                <w:color w:val="auto"/>
                <w:szCs w:val="21"/>
              </w:rPr>
            </w:pPr>
            <w:r>
              <w:rPr>
                <w:b/>
                <w:bCs/>
                <w:color w:val="auto"/>
                <w:kern w:val="0"/>
                <w:szCs w:val="21"/>
              </w:rPr>
              <w:t>2、价格得分小数点后保留2位小数，第3位小数四舍五入。</w:t>
            </w:r>
          </w:p>
        </w:tc>
      </w:tr>
    </w:tbl>
    <w:p>
      <w:pPr>
        <w:pStyle w:val="58"/>
        <w:rPr>
          <w:b/>
          <w:color w:val="auto"/>
          <w:szCs w:val="21"/>
        </w:rPr>
      </w:pPr>
    </w:p>
    <w:p>
      <w:pPr>
        <w:pStyle w:val="25"/>
        <w:spacing w:before="0" w:beforeLines="0" w:after="0" w:afterLines="0" w:line="360" w:lineRule="auto"/>
        <w:jc w:val="center"/>
        <w:outlineLvl w:val="0"/>
        <w:rPr>
          <w:rFonts w:ascii="Times New Roman" w:hAnsi="Times New Roman"/>
          <w:b/>
          <w:color w:val="auto"/>
        </w:rPr>
      </w:pPr>
      <w:r>
        <w:rPr>
          <w:rFonts w:ascii="Times New Roman" w:hAnsi="Times New Roman"/>
          <w:b/>
          <w:color w:val="auto"/>
        </w:rPr>
        <w:br w:type="page"/>
      </w:r>
      <w:bookmarkStart w:id="113" w:name="_Toc7246_WPSOffice_Level1"/>
      <w:bookmarkStart w:id="114" w:name="_Toc16326"/>
      <w:bookmarkStart w:id="115" w:name="_Toc4356"/>
      <w:bookmarkStart w:id="116" w:name="_Toc28623"/>
      <w:bookmarkStart w:id="117" w:name="_Toc15147"/>
      <w:bookmarkStart w:id="118" w:name="_Toc14036"/>
      <w:bookmarkStart w:id="119" w:name="_Toc22860"/>
      <w:r>
        <w:rPr>
          <w:rFonts w:ascii="Times New Roman" w:hAnsi="Times New Roman"/>
          <w:b/>
          <w:color w:val="auto"/>
        </w:rPr>
        <w:t>第五章 政府采购合同主要条款</w:t>
      </w:r>
      <w:bookmarkEnd w:id="113"/>
      <w:bookmarkEnd w:id="114"/>
      <w:bookmarkEnd w:id="115"/>
      <w:bookmarkEnd w:id="116"/>
      <w:bookmarkEnd w:id="117"/>
      <w:bookmarkEnd w:id="118"/>
      <w:bookmarkEnd w:id="119"/>
    </w:p>
    <w:p>
      <w:pPr>
        <w:spacing w:line="440" w:lineRule="exact"/>
        <w:jc w:val="center"/>
        <w:rPr>
          <w:rFonts w:ascii="宋体" w:hAnsi="宋体" w:cs="宋体"/>
          <w:color w:val="auto"/>
          <w:szCs w:val="21"/>
        </w:rPr>
      </w:pPr>
      <w:r>
        <w:rPr>
          <w:rFonts w:hint="eastAsia" w:ascii="宋体" w:hAnsi="宋体" w:cs="宋体"/>
          <w:color w:val="auto"/>
          <w:szCs w:val="21"/>
        </w:rPr>
        <w:t>(本合同为合同格式，双方协商后确定）</w:t>
      </w:r>
    </w:p>
    <w:p>
      <w:pPr>
        <w:spacing w:line="500" w:lineRule="exact"/>
        <w:jc w:val="center"/>
        <w:rPr>
          <w:rFonts w:ascii="宋体" w:hAnsi="宋体" w:cs="宋体"/>
          <w:b/>
          <w:color w:val="auto"/>
          <w:sz w:val="48"/>
        </w:rPr>
      </w:pPr>
    </w:p>
    <w:p>
      <w:pPr>
        <w:spacing w:line="500" w:lineRule="exact"/>
        <w:jc w:val="center"/>
        <w:rPr>
          <w:rFonts w:ascii="宋体" w:hAnsi="宋体" w:cs="宋体"/>
          <w:b/>
          <w:color w:val="auto"/>
          <w:sz w:val="40"/>
          <w:szCs w:val="21"/>
        </w:rPr>
      </w:pPr>
    </w:p>
    <w:p>
      <w:pPr>
        <w:spacing w:line="500" w:lineRule="exact"/>
        <w:jc w:val="center"/>
        <w:rPr>
          <w:rFonts w:ascii="宋体" w:hAnsi="宋体" w:cs="宋体"/>
          <w:color w:val="auto"/>
          <w:sz w:val="18"/>
          <w:szCs w:val="21"/>
        </w:rPr>
      </w:pPr>
      <w:r>
        <w:rPr>
          <w:rFonts w:hint="eastAsia" w:ascii="宋体" w:hAnsi="宋体" w:cs="宋体"/>
          <w:b/>
          <w:color w:val="auto"/>
          <w:sz w:val="40"/>
          <w:szCs w:val="21"/>
        </w:rPr>
        <w:t>合  同  书</w:t>
      </w:r>
    </w:p>
    <w:p>
      <w:pPr>
        <w:spacing w:line="500" w:lineRule="exact"/>
        <w:rPr>
          <w:rFonts w:ascii="宋体" w:hAnsi="宋体" w:cs="宋体"/>
          <w:color w:val="auto"/>
          <w:sz w:val="32"/>
        </w:rPr>
      </w:pPr>
    </w:p>
    <w:p>
      <w:pPr>
        <w:spacing w:line="500" w:lineRule="exact"/>
        <w:rPr>
          <w:rFonts w:ascii="宋体" w:hAnsi="宋体" w:cs="宋体"/>
          <w:color w:val="auto"/>
          <w:sz w:val="32"/>
        </w:rPr>
      </w:pPr>
    </w:p>
    <w:p>
      <w:pPr>
        <w:spacing w:line="600" w:lineRule="exact"/>
        <w:ind w:left="2250" w:leftChars="405" w:hanging="1400" w:hangingChars="500"/>
        <w:rPr>
          <w:rFonts w:ascii="宋体" w:hAnsi="宋体" w:cs="宋体"/>
          <w:color w:val="auto"/>
          <w:sz w:val="28"/>
          <w:szCs w:val="18"/>
          <w:u w:val="single"/>
        </w:rPr>
      </w:pPr>
      <w:r>
        <w:rPr>
          <w:rFonts w:hint="eastAsia" w:ascii="宋体" w:hAnsi="宋体" w:cs="宋体"/>
          <w:color w:val="auto"/>
          <w:sz w:val="28"/>
          <w:szCs w:val="18"/>
        </w:rPr>
        <w:t>项目名称：</w:t>
      </w:r>
      <w:r>
        <w:rPr>
          <w:rFonts w:hint="eastAsia" w:ascii="宋体" w:hAnsi="宋体" w:cs="宋体"/>
          <w:color w:val="auto"/>
          <w:sz w:val="28"/>
          <w:szCs w:val="18"/>
          <w:u w:val="single"/>
        </w:rPr>
        <w:t>余姚市智安小区建设项目</w:t>
      </w:r>
    </w:p>
    <w:p>
      <w:pPr>
        <w:spacing w:line="600" w:lineRule="exact"/>
        <w:ind w:left="850" w:leftChars="405"/>
        <w:rPr>
          <w:rFonts w:ascii="宋体" w:hAnsi="宋体" w:cs="宋体"/>
          <w:color w:val="auto"/>
          <w:sz w:val="28"/>
          <w:szCs w:val="18"/>
          <w:u w:val="single"/>
        </w:rPr>
      </w:pPr>
    </w:p>
    <w:p>
      <w:pPr>
        <w:spacing w:line="600" w:lineRule="exact"/>
        <w:ind w:left="850" w:leftChars="405"/>
        <w:rPr>
          <w:rFonts w:ascii="宋体" w:hAnsi="宋体" w:cs="宋体"/>
          <w:color w:val="auto"/>
          <w:sz w:val="28"/>
          <w:szCs w:val="18"/>
          <w:u w:val="single"/>
        </w:rPr>
      </w:pPr>
      <w:r>
        <w:rPr>
          <w:rFonts w:hint="eastAsia" w:ascii="宋体" w:hAnsi="宋体" w:cs="宋体"/>
          <w:color w:val="auto"/>
          <w:sz w:val="28"/>
          <w:szCs w:val="18"/>
        </w:rPr>
        <w:t>采购人(甲方)：</w:t>
      </w:r>
      <w:r>
        <w:rPr>
          <w:rFonts w:hint="eastAsia" w:ascii="宋体" w:hAnsi="宋体" w:cs="宋体"/>
          <w:color w:val="auto"/>
          <w:sz w:val="28"/>
          <w:szCs w:val="18"/>
          <w:u w:val="single"/>
        </w:rPr>
        <w:t>余姚舜智投资发展有限公司</w:t>
      </w:r>
    </w:p>
    <w:p>
      <w:pPr>
        <w:spacing w:line="600" w:lineRule="exact"/>
        <w:ind w:left="850" w:leftChars="405"/>
        <w:rPr>
          <w:rFonts w:ascii="宋体" w:hAnsi="宋体" w:cs="宋体"/>
          <w:color w:val="auto"/>
          <w:sz w:val="28"/>
          <w:szCs w:val="18"/>
        </w:rPr>
      </w:pPr>
    </w:p>
    <w:p>
      <w:pPr>
        <w:spacing w:line="600" w:lineRule="exact"/>
        <w:ind w:left="850" w:leftChars="405"/>
        <w:rPr>
          <w:rFonts w:ascii="宋体" w:hAnsi="宋体" w:cs="宋体"/>
          <w:color w:val="auto"/>
          <w:sz w:val="28"/>
          <w:szCs w:val="18"/>
        </w:rPr>
      </w:pPr>
      <w:r>
        <w:rPr>
          <w:rFonts w:hint="eastAsia" w:ascii="宋体" w:hAnsi="宋体" w:cs="宋体"/>
          <w:color w:val="auto"/>
          <w:sz w:val="28"/>
          <w:szCs w:val="18"/>
        </w:rPr>
        <w:t xml:space="preserve">服务商(乙方)： </w:t>
      </w:r>
      <w:r>
        <w:rPr>
          <w:rFonts w:hint="eastAsia" w:ascii="宋体" w:hAnsi="宋体" w:cs="宋体"/>
          <w:color w:val="auto"/>
          <w:sz w:val="28"/>
          <w:szCs w:val="18"/>
          <w:u w:val="single"/>
        </w:rPr>
        <w:t xml:space="preserve">                      </w:t>
      </w:r>
    </w:p>
    <w:p>
      <w:pPr>
        <w:spacing w:before="840" w:beforeLines="350" w:line="600" w:lineRule="exact"/>
        <w:ind w:firstLine="840" w:firstLineChars="300"/>
        <w:rPr>
          <w:rFonts w:ascii="宋体" w:hAnsi="宋体" w:cs="宋体"/>
          <w:color w:val="auto"/>
          <w:sz w:val="28"/>
          <w:szCs w:val="18"/>
        </w:rPr>
      </w:pPr>
      <w:r>
        <w:rPr>
          <w:rFonts w:hint="eastAsia" w:ascii="宋体" w:hAnsi="宋体" w:cs="宋体"/>
          <w:color w:val="auto"/>
          <w:sz w:val="28"/>
          <w:szCs w:val="18"/>
        </w:rPr>
        <w:t xml:space="preserve">签订时间：2023年   月    日 </w:t>
      </w:r>
    </w:p>
    <w:p>
      <w:pPr>
        <w:spacing w:before="840" w:beforeLines="350" w:line="600" w:lineRule="exact"/>
        <w:ind w:firstLine="840" w:firstLineChars="300"/>
        <w:rPr>
          <w:rFonts w:ascii="宋体" w:hAnsi="宋体" w:cs="宋体"/>
          <w:color w:val="auto"/>
          <w:sz w:val="28"/>
          <w:szCs w:val="18"/>
        </w:rPr>
      </w:pPr>
      <w:r>
        <w:rPr>
          <w:rFonts w:hint="eastAsia" w:ascii="宋体" w:hAnsi="宋体" w:cs="宋体"/>
          <w:color w:val="auto"/>
          <w:sz w:val="28"/>
          <w:szCs w:val="18"/>
        </w:rPr>
        <w:t>签订地点：</w:t>
      </w:r>
    </w:p>
    <w:p>
      <w:pPr>
        <w:widowControl/>
        <w:jc w:val="left"/>
        <w:rPr>
          <w:color w:val="auto"/>
          <w:szCs w:val="21"/>
        </w:rPr>
      </w:pPr>
    </w:p>
    <w:p>
      <w:pPr>
        <w:widowControl/>
        <w:jc w:val="left"/>
        <w:rPr>
          <w:rFonts w:ascii="宋体" w:hAnsi="宋体" w:cs="宋体"/>
          <w:b/>
          <w:color w:val="auto"/>
          <w:sz w:val="30"/>
          <w:szCs w:val="30"/>
        </w:rPr>
      </w:pPr>
      <w:r>
        <w:rPr>
          <w:rFonts w:ascii="宋体" w:hAnsi="宋体" w:cs="宋体"/>
          <w:b/>
          <w:color w:val="auto"/>
          <w:sz w:val="30"/>
          <w:szCs w:val="30"/>
        </w:rPr>
        <w:br w:type="page"/>
      </w:r>
    </w:p>
    <w:p>
      <w:pPr>
        <w:jc w:val="center"/>
        <w:rPr>
          <w:rFonts w:ascii="宋体" w:hAnsi="宋体" w:cs="宋体"/>
          <w:b/>
          <w:color w:val="auto"/>
          <w:sz w:val="30"/>
          <w:szCs w:val="30"/>
        </w:rPr>
      </w:pPr>
      <w:r>
        <w:rPr>
          <w:rFonts w:hint="eastAsia" w:ascii="宋体" w:hAnsi="宋体" w:cs="宋体"/>
          <w:b/>
          <w:color w:val="auto"/>
          <w:sz w:val="30"/>
          <w:szCs w:val="30"/>
        </w:rPr>
        <w:t>余姚市智安小区建设项目服务合同</w:t>
      </w:r>
    </w:p>
    <w:p>
      <w:pPr>
        <w:adjustRightInd w:val="0"/>
        <w:snapToGrid w:val="0"/>
        <w:spacing w:line="360" w:lineRule="auto"/>
        <w:rPr>
          <w:rFonts w:ascii="宋体" w:hAnsi="宋体" w:cs="宋体"/>
          <w:color w:val="auto"/>
          <w:szCs w:val="21"/>
          <w:u w:val="single"/>
        </w:rPr>
      </w:pPr>
    </w:p>
    <w:p>
      <w:pPr>
        <w:adjustRightInd w:val="0"/>
        <w:snapToGrid w:val="0"/>
        <w:spacing w:line="360" w:lineRule="auto"/>
        <w:rPr>
          <w:rFonts w:ascii="宋体" w:hAnsi="宋体" w:cs="宋体"/>
          <w:color w:val="auto"/>
          <w:szCs w:val="21"/>
        </w:rPr>
      </w:pPr>
      <w:r>
        <w:rPr>
          <w:rFonts w:hint="eastAsia" w:ascii="宋体" w:hAnsi="宋体" w:cs="宋体"/>
          <w:color w:val="auto"/>
          <w:szCs w:val="21"/>
          <w:u w:val="single"/>
        </w:rPr>
        <w:t xml:space="preserve">   余姚舜智投资发展有限公司   </w:t>
      </w:r>
      <w:r>
        <w:rPr>
          <w:rFonts w:hint="eastAsia" w:ascii="宋体" w:hAnsi="宋体" w:cs="宋体"/>
          <w:color w:val="auto"/>
          <w:szCs w:val="21"/>
        </w:rPr>
        <w:t>（以下称甲方）</w:t>
      </w:r>
    </w:p>
    <w:p>
      <w:pPr>
        <w:adjustRightInd w:val="0"/>
        <w:snapToGrid w:val="0"/>
        <w:spacing w:line="360" w:lineRule="auto"/>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 xml:space="preserve">（以下称乙方）                  </w:t>
      </w:r>
    </w:p>
    <w:p>
      <w:pPr>
        <w:tabs>
          <w:tab w:val="left" w:pos="960"/>
        </w:tabs>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余姚市智安小区建设项目通过公开招投标方式落实服务单位，根据招评标结果，乙方中标。现根据《中华人民共和国民法典》和采购文件相关规定，甲、乙双方在平等的基础上经充分协商，订立本合同。</w:t>
      </w:r>
    </w:p>
    <w:p>
      <w:pPr>
        <w:numPr>
          <w:ilvl w:val="0"/>
          <w:numId w:val="7"/>
        </w:numPr>
        <w:tabs>
          <w:tab w:val="left" w:pos="709"/>
        </w:tabs>
        <w:adjustRightInd w:val="0"/>
        <w:snapToGrid w:val="0"/>
        <w:spacing w:line="360" w:lineRule="auto"/>
        <w:ind w:left="0" w:firstLine="0"/>
        <w:jc w:val="left"/>
        <w:rPr>
          <w:rFonts w:ascii="宋体" w:hAnsi="宋体" w:cs="宋体"/>
          <w:b/>
          <w:color w:val="auto"/>
          <w:szCs w:val="21"/>
        </w:rPr>
      </w:pPr>
      <w:r>
        <w:rPr>
          <w:rFonts w:hint="eastAsia" w:ascii="宋体" w:hAnsi="宋体" w:cs="宋体"/>
          <w:b/>
          <w:color w:val="auto"/>
          <w:szCs w:val="21"/>
        </w:rPr>
        <w:t>项目服务内容</w:t>
      </w:r>
    </w:p>
    <w:p>
      <w:pPr>
        <w:spacing w:line="360" w:lineRule="auto"/>
        <w:ind w:firstLine="420" w:firstLineChars="200"/>
        <w:rPr>
          <w:rFonts w:ascii="宋体" w:hAnsi="宋体" w:cs="宋体"/>
          <w:color w:val="auto"/>
          <w:szCs w:val="21"/>
        </w:rPr>
      </w:pPr>
      <w:r>
        <w:rPr>
          <w:rFonts w:hint="eastAsia" w:ascii="宋体" w:hAnsi="宋体" w:cs="宋体"/>
          <w:color w:val="auto"/>
          <w:szCs w:val="21"/>
        </w:rPr>
        <w:t>本期项目建设包括余姚市范围内的4</w:t>
      </w:r>
      <w:r>
        <w:rPr>
          <w:rFonts w:ascii="宋体" w:hAnsi="宋体" w:cs="宋体"/>
          <w:color w:val="auto"/>
          <w:szCs w:val="21"/>
        </w:rPr>
        <w:t>07</w:t>
      </w:r>
      <w:r>
        <w:rPr>
          <w:rFonts w:hint="eastAsia" w:ascii="宋体" w:hAnsi="宋体" w:cs="宋体"/>
          <w:color w:val="auto"/>
          <w:szCs w:val="21"/>
        </w:rPr>
        <w:t>个小区的前端监控点位建设、传输网络建设及网络安全建设、中心存储建设及公安视频专网云存储扩容建设、应用平台建设及配套的机房租赁等。</w:t>
      </w:r>
    </w:p>
    <w:p>
      <w:pPr>
        <w:numPr>
          <w:ilvl w:val="0"/>
          <w:numId w:val="7"/>
        </w:numPr>
        <w:tabs>
          <w:tab w:val="left" w:pos="709"/>
        </w:tabs>
        <w:spacing w:line="360" w:lineRule="auto"/>
        <w:ind w:left="0" w:firstLine="0"/>
        <w:jc w:val="left"/>
        <w:rPr>
          <w:rFonts w:ascii="宋体" w:hAnsi="宋体" w:cs="宋体"/>
          <w:b/>
          <w:color w:val="auto"/>
          <w:szCs w:val="21"/>
        </w:rPr>
      </w:pPr>
      <w:r>
        <w:rPr>
          <w:rFonts w:hint="eastAsia" w:ascii="宋体" w:hAnsi="宋体" w:cs="宋体"/>
          <w:b/>
          <w:color w:val="auto"/>
          <w:szCs w:val="21"/>
        </w:rPr>
        <w:t>合同履行期限</w:t>
      </w:r>
    </w:p>
    <w:p>
      <w:pPr>
        <w:tabs>
          <w:tab w:val="left" w:pos="960"/>
        </w:tabs>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合同签订后至2023年</w:t>
      </w:r>
      <w:r>
        <w:rPr>
          <w:rFonts w:ascii="宋体" w:hAnsi="宋体" w:cs="宋体"/>
          <w:color w:val="auto"/>
          <w:szCs w:val="21"/>
        </w:rPr>
        <w:t>8</w:t>
      </w:r>
      <w:r>
        <w:rPr>
          <w:rFonts w:hint="eastAsia" w:ascii="宋体" w:hAnsi="宋体" w:cs="宋体"/>
          <w:color w:val="auto"/>
          <w:szCs w:val="21"/>
        </w:rPr>
        <w:t>月30日前完成设备安装并投入试运行，试运行期满且稳定后于2023年</w:t>
      </w:r>
      <w:r>
        <w:rPr>
          <w:rFonts w:ascii="宋体" w:hAnsi="宋体" w:cs="宋体"/>
          <w:color w:val="auto"/>
          <w:szCs w:val="21"/>
        </w:rPr>
        <w:t>11</w:t>
      </w:r>
      <w:r>
        <w:rPr>
          <w:rFonts w:hint="eastAsia" w:ascii="宋体" w:hAnsi="宋体" w:cs="宋体"/>
          <w:color w:val="auto"/>
          <w:szCs w:val="21"/>
        </w:rPr>
        <w:t>月30日前完成验收。</w:t>
      </w:r>
    </w:p>
    <w:p>
      <w:pPr>
        <w:numPr>
          <w:ilvl w:val="0"/>
          <w:numId w:val="7"/>
        </w:numPr>
        <w:tabs>
          <w:tab w:val="left" w:pos="709"/>
        </w:tabs>
        <w:spacing w:line="360" w:lineRule="auto"/>
        <w:ind w:left="0" w:firstLine="0"/>
        <w:jc w:val="left"/>
        <w:rPr>
          <w:rFonts w:ascii="宋体" w:hAnsi="宋体" w:cs="宋体"/>
          <w:b/>
          <w:color w:val="auto"/>
          <w:szCs w:val="21"/>
        </w:rPr>
      </w:pPr>
      <w:r>
        <w:rPr>
          <w:rFonts w:hint="eastAsia" w:ascii="宋体" w:hAnsi="宋体" w:cs="宋体"/>
          <w:b/>
          <w:color w:val="auto"/>
          <w:szCs w:val="21"/>
        </w:rPr>
        <w:t>质量要求</w:t>
      </w:r>
    </w:p>
    <w:p>
      <w:pPr>
        <w:tabs>
          <w:tab w:val="left" w:pos="960"/>
        </w:tabs>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合格，满足相关规定的技术指标要求。</w:t>
      </w:r>
    </w:p>
    <w:p>
      <w:pPr>
        <w:numPr>
          <w:ilvl w:val="0"/>
          <w:numId w:val="7"/>
        </w:numPr>
        <w:tabs>
          <w:tab w:val="left" w:pos="709"/>
        </w:tabs>
        <w:spacing w:line="360" w:lineRule="auto"/>
        <w:ind w:left="0" w:firstLine="0"/>
        <w:jc w:val="left"/>
        <w:rPr>
          <w:rFonts w:ascii="宋体" w:hAnsi="宋体" w:cs="宋体"/>
          <w:b/>
          <w:color w:val="auto"/>
          <w:szCs w:val="21"/>
        </w:rPr>
      </w:pPr>
      <w:r>
        <w:rPr>
          <w:rFonts w:hint="eastAsia" w:ascii="宋体" w:hAnsi="宋体" w:cs="宋体"/>
          <w:b/>
          <w:color w:val="auto"/>
          <w:szCs w:val="21"/>
        </w:rPr>
        <w:t>交付地点</w:t>
      </w:r>
    </w:p>
    <w:p>
      <w:pPr>
        <w:tabs>
          <w:tab w:val="left" w:pos="960"/>
        </w:tabs>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宁波市余姚市。</w:t>
      </w:r>
    </w:p>
    <w:p>
      <w:pPr>
        <w:numPr>
          <w:ilvl w:val="0"/>
          <w:numId w:val="7"/>
        </w:numPr>
        <w:tabs>
          <w:tab w:val="left" w:pos="709"/>
        </w:tabs>
        <w:spacing w:line="360" w:lineRule="auto"/>
        <w:ind w:left="0" w:firstLine="0"/>
        <w:jc w:val="left"/>
        <w:rPr>
          <w:rFonts w:ascii="宋体" w:hAnsi="宋体" w:cs="宋体"/>
          <w:b/>
          <w:color w:val="auto"/>
          <w:szCs w:val="21"/>
        </w:rPr>
      </w:pPr>
      <w:r>
        <w:rPr>
          <w:rFonts w:hint="eastAsia" w:ascii="宋体" w:hAnsi="宋体" w:cs="宋体"/>
          <w:b/>
          <w:color w:val="auto"/>
          <w:szCs w:val="21"/>
        </w:rPr>
        <w:t>付款方式</w:t>
      </w:r>
    </w:p>
    <w:p>
      <w:pPr>
        <w:spacing w:line="360" w:lineRule="auto"/>
        <w:ind w:firstLine="420" w:firstLineChars="200"/>
        <w:rPr>
          <w:rFonts w:ascii="宋体" w:hAnsi="宋体" w:cs="宋体"/>
          <w:color w:val="auto"/>
          <w:szCs w:val="21"/>
        </w:rPr>
      </w:pPr>
      <w:r>
        <w:rPr>
          <w:rFonts w:hint="eastAsia" w:ascii="宋体" w:hAnsi="宋体" w:cs="宋体"/>
          <w:color w:val="auto"/>
          <w:szCs w:val="21"/>
        </w:rPr>
        <w:t>5.1项目合同生效以及具备实施条件后7个工作日内，采购人向中标人支付合同总金额的15%作为预付款；</w:t>
      </w:r>
    </w:p>
    <w:p>
      <w:pPr>
        <w:spacing w:line="360" w:lineRule="auto"/>
        <w:ind w:firstLine="420" w:firstLineChars="200"/>
        <w:rPr>
          <w:rFonts w:ascii="宋体" w:hAnsi="宋体" w:cs="宋体"/>
          <w:color w:val="auto"/>
          <w:szCs w:val="21"/>
        </w:rPr>
      </w:pPr>
      <w:r>
        <w:rPr>
          <w:rFonts w:hint="eastAsia" w:ascii="宋体" w:hAnsi="宋体" w:cs="宋体"/>
          <w:color w:val="auto"/>
          <w:szCs w:val="21"/>
        </w:rPr>
        <w:t>5.2本项目进度款按月结算，在收到监理工程师审核的月结账单，当完成的工程量达到工程总量的30%时，经采购人审批后付至实际完成工程量的75%（累计支付不超过合同总金额的75%）；</w:t>
      </w:r>
    </w:p>
    <w:p>
      <w:pPr>
        <w:spacing w:line="360" w:lineRule="auto"/>
        <w:ind w:firstLine="420" w:firstLineChars="200"/>
        <w:rPr>
          <w:rFonts w:ascii="宋体" w:hAnsi="宋体" w:cs="宋体"/>
          <w:color w:val="auto"/>
          <w:szCs w:val="21"/>
        </w:rPr>
      </w:pPr>
      <w:r>
        <w:rPr>
          <w:rFonts w:hint="eastAsia" w:ascii="宋体" w:hAnsi="宋体" w:cs="宋体"/>
          <w:color w:val="auto"/>
          <w:szCs w:val="21"/>
        </w:rPr>
        <w:t>5.3项目竣工验收合格并移交完整竣工资料给相关部门后7个工作日内，采购人向中标人支付至合同总金额的80%；</w:t>
      </w:r>
    </w:p>
    <w:p>
      <w:pPr>
        <w:spacing w:line="360" w:lineRule="auto"/>
        <w:ind w:firstLine="420" w:firstLineChars="200"/>
        <w:rPr>
          <w:rFonts w:ascii="宋体" w:hAnsi="宋体" w:cs="宋体"/>
          <w:color w:val="auto"/>
          <w:szCs w:val="21"/>
        </w:rPr>
      </w:pPr>
      <w:r>
        <w:rPr>
          <w:rFonts w:hint="eastAsia" w:ascii="宋体" w:hAnsi="宋体" w:cs="宋体"/>
          <w:color w:val="auto"/>
          <w:szCs w:val="21"/>
        </w:rPr>
        <w:t>5.4项目完成最终审计并出具审计报告，且经采购人确认后7个工作日内，采购人向中标人支付至最终结算价的90%；</w:t>
      </w:r>
    </w:p>
    <w:p>
      <w:pPr>
        <w:spacing w:line="360" w:lineRule="auto"/>
        <w:ind w:firstLine="420" w:firstLineChars="200"/>
        <w:rPr>
          <w:rFonts w:ascii="宋体" w:hAnsi="宋体" w:cs="宋体"/>
          <w:color w:val="auto"/>
          <w:szCs w:val="21"/>
        </w:rPr>
      </w:pPr>
      <w:r>
        <w:rPr>
          <w:rFonts w:hint="eastAsia" w:ascii="宋体" w:hAnsi="宋体" w:cs="宋体"/>
          <w:color w:val="auto"/>
          <w:szCs w:val="21"/>
        </w:rPr>
        <w:t>5.5项目运维期满三年，经采购人确认后7个工作日内，采购人向中标人一次性付清余款（含质量保证金）。</w:t>
      </w:r>
    </w:p>
    <w:p>
      <w:pPr>
        <w:spacing w:line="360" w:lineRule="auto"/>
        <w:ind w:firstLine="420" w:firstLineChars="200"/>
        <w:rPr>
          <w:rFonts w:ascii="宋体" w:hAnsi="宋体" w:cs="宋体"/>
          <w:color w:val="auto"/>
        </w:rPr>
      </w:pPr>
      <w:r>
        <w:rPr>
          <w:rFonts w:hint="eastAsia" w:ascii="宋体" w:hAnsi="宋体" w:cs="宋体"/>
          <w:color w:val="auto"/>
          <w:szCs w:val="21"/>
        </w:rPr>
        <w:t>注：①如有违约扣款在支付时直接扣除；②乙方须在支付服务费前向甲方开具符合甲方当地财务部门要求的发票，否则甲方不承担逾付的责任。</w:t>
      </w:r>
    </w:p>
    <w:p>
      <w:pPr>
        <w:spacing w:line="360" w:lineRule="auto"/>
        <w:ind w:firstLine="420" w:firstLineChars="200"/>
        <w:rPr>
          <w:rFonts w:ascii="宋体" w:hAnsi="宋体" w:cs="宋体"/>
          <w:color w:val="auto"/>
          <w:szCs w:val="21"/>
        </w:rPr>
      </w:pPr>
      <w:r>
        <w:rPr>
          <w:rFonts w:hint="eastAsia" w:ascii="宋体" w:hAnsi="宋体" w:cs="宋体"/>
          <w:color w:val="auto"/>
          <w:szCs w:val="21"/>
        </w:rPr>
        <w:t>在每次付款前，乙方应向甲方出具增值税发票，否则甲方有权拒绝付款。</w:t>
      </w:r>
    </w:p>
    <w:p>
      <w:pPr>
        <w:tabs>
          <w:tab w:val="left" w:pos="960"/>
        </w:tabs>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szCs w:val="21"/>
        </w:rPr>
        <w:t>合同价款内涵：本项目合同价款为固定总价合同形式，该合同价应包含但不限于为完成采购内容所发生的诸如</w:t>
      </w:r>
      <w:r>
        <w:rPr>
          <w:rFonts w:hint="eastAsia" w:ascii="宋体" w:hAnsi="宋体" w:cs="宋体"/>
          <w:color w:val="auto"/>
          <w:kern w:val="0"/>
          <w:szCs w:val="21"/>
        </w:rPr>
        <w:t>设备购置费、平台开发费、数据存储费、安装调试费、资料费、培训费及运维服务费、管理费、税金、资料费、风险费、采购代理服务费等服务过程中可能涉及的及合同中明示或暗示的一切费用。</w:t>
      </w:r>
    </w:p>
    <w:p>
      <w:pPr>
        <w:numPr>
          <w:ilvl w:val="0"/>
          <w:numId w:val="7"/>
        </w:numPr>
        <w:tabs>
          <w:tab w:val="left" w:pos="709"/>
        </w:tabs>
        <w:spacing w:line="360" w:lineRule="auto"/>
        <w:ind w:left="0" w:firstLine="0"/>
        <w:jc w:val="left"/>
        <w:rPr>
          <w:rFonts w:ascii="宋体" w:hAnsi="宋体" w:cs="宋体"/>
          <w:b/>
          <w:color w:val="auto"/>
          <w:szCs w:val="21"/>
        </w:rPr>
      </w:pPr>
      <w:r>
        <w:rPr>
          <w:rFonts w:hint="eastAsia" w:ascii="宋体" w:hAnsi="宋体" w:cs="宋体"/>
          <w:b/>
          <w:color w:val="auto"/>
          <w:szCs w:val="21"/>
        </w:rPr>
        <w:t>具体服务要求</w:t>
      </w:r>
    </w:p>
    <w:p>
      <w:pPr>
        <w:spacing w:line="360" w:lineRule="auto"/>
        <w:ind w:firstLine="525" w:firstLineChars="250"/>
        <w:rPr>
          <w:rFonts w:ascii="宋体" w:hAnsi="宋体" w:cs="宋体"/>
          <w:color w:val="auto"/>
          <w:szCs w:val="21"/>
        </w:rPr>
      </w:pPr>
      <w:r>
        <w:rPr>
          <w:rFonts w:hint="eastAsia" w:ascii="宋体" w:hAnsi="宋体" w:cs="宋体"/>
          <w:color w:val="auto"/>
          <w:szCs w:val="21"/>
        </w:rPr>
        <w:t>6.1乙方在项目所在地应能提供长期售后服务配套设施，在三年免费运维期内派驻至少2名驻场运维人员，提供7*24小时软硬件和系统支持服务。驻场人员应具备相关软硬件设备维护和系统支持基础能力和工作经验。在服务期内变更驻场人员需甲方同意。</w:t>
      </w:r>
    </w:p>
    <w:p>
      <w:pPr>
        <w:spacing w:line="360" w:lineRule="auto"/>
        <w:ind w:firstLine="525" w:firstLineChars="250"/>
        <w:rPr>
          <w:rFonts w:ascii="宋体" w:hAnsi="宋体" w:cs="宋体"/>
          <w:color w:val="auto"/>
          <w:szCs w:val="21"/>
        </w:rPr>
      </w:pPr>
      <w:r>
        <w:rPr>
          <w:rFonts w:hint="eastAsia" w:ascii="宋体" w:hAnsi="宋体" w:cs="宋体"/>
          <w:color w:val="auto"/>
          <w:szCs w:val="21"/>
        </w:rPr>
        <w:t>6.2运行维护服务期内免费提供设备软件升级服务，在网络和设备扩容及软件升级时，乙方需派技术人员到场免费实施或指导。</w:t>
      </w:r>
    </w:p>
    <w:p>
      <w:pPr>
        <w:spacing w:line="360" w:lineRule="auto"/>
        <w:ind w:firstLine="525" w:firstLineChars="250"/>
        <w:rPr>
          <w:rFonts w:ascii="宋体" w:hAnsi="宋体" w:cs="宋体"/>
          <w:color w:val="auto"/>
          <w:szCs w:val="21"/>
        </w:rPr>
      </w:pPr>
      <w:r>
        <w:rPr>
          <w:rFonts w:hint="eastAsia" w:ascii="宋体" w:hAnsi="宋体" w:cs="宋体"/>
          <w:color w:val="auto"/>
          <w:szCs w:val="21"/>
        </w:rPr>
        <w:t>6.3在系统验收时，乙方为甲方提供详细的建设文档、设备操作使用指南和维护手册、以及详细的安装调试文档，并提供文档更新服务。</w:t>
      </w:r>
    </w:p>
    <w:p>
      <w:pPr>
        <w:spacing w:line="360" w:lineRule="auto"/>
        <w:ind w:firstLine="525" w:firstLineChars="250"/>
        <w:rPr>
          <w:rFonts w:ascii="宋体" w:hAnsi="宋体" w:cs="宋体"/>
          <w:color w:val="auto"/>
          <w:szCs w:val="21"/>
        </w:rPr>
      </w:pPr>
      <w:r>
        <w:rPr>
          <w:rFonts w:hint="eastAsia" w:ascii="宋体" w:hAnsi="宋体" w:cs="宋体"/>
          <w:color w:val="auto"/>
          <w:szCs w:val="21"/>
        </w:rPr>
        <w:t>6.4设备安装、调试结束后，乙方应立即派有经验的工程师对甲方人员进行操作和日常管理的培训，并确保甲方参与培训的人员能独立、熟练地进行操作。</w:t>
      </w:r>
    </w:p>
    <w:p>
      <w:pPr>
        <w:spacing w:line="360" w:lineRule="auto"/>
        <w:ind w:firstLine="525" w:firstLineChars="250"/>
        <w:rPr>
          <w:rFonts w:ascii="宋体" w:hAnsi="宋体" w:cs="宋体"/>
          <w:color w:val="auto"/>
          <w:szCs w:val="21"/>
        </w:rPr>
      </w:pPr>
      <w:r>
        <w:rPr>
          <w:rFonts w:hint="eastAsia" w:ascii="宋体" w:hAnsi="宋体" w:cs="宋体"/>
          <w:color w:val="auto"/>
          <w:szCs w:val="21"/>
        </w:rPr>
        <w:t>6.5乙方必须有可靠的售后服务保障，当发生故障时，乙方在接到甲方通知后，4小时内派人赴现场处理设备质量问题。24小时内不能修复的，则无偿提供备机或备用零件供甲方使用。</w:t>
      </w:r>
    </w:p>
    <w:p>
      <w:pPr>
        <w:spacing w:line="360" w:lineRule="auto"/>
        <w:ind w:firstLine="525" w:firstLineChars="250"/>
        <w:rPr>
          <w:rFonts w:ascii="宋体" w:hAnsi="宋体" w:cs="宋体"/>
          <w:color w:val="auto"/>
          <w:szCs w:val="21"/>
        </w:rPr>
      </w:pPr>
      <w:r>
        <w:rPr>
          <w:rFonts w:hint="eastAsia" w:ascii="宋体" w:hAnsi="宋体" w:cs="宋体"/>
          <w:color w:val="auto"/>
          <w:szCs w:val="21"/>
        </w:rPr>
        <w:t>6.6项目验收要求：项目建设完成后，乙方向甲方提出终验申请，甲方组织相关单位进行项目终验。项目终验通过，进入正式运行阶段。项目终验收合格的条件必须至少满足以下三个要求：</w:t>
      </w:r>
    </w:p>
    <w:p>
      <w:pPr>
        <w:spacing w:line="360" w:lineRule="auto"/>
        <w:ind w:firstLine="525" w:firstLineChars="250"/>
        <w:rPr>
          <w:rFonts w:ascii="宋体" w:hAnsi="宋体" w:cs="宋体"/>
          <w:color w:val="auto"/>
          <w:szCs w:val="21"/>
        </w:rPr>
      </w:pPr>
      <w:r>
        <w:rPr>
          <w:rFonts w:hint="eastAsia" w:ascii="宋体" w:hAnsi="宋体" w:cs="宋体"/>
          <w:color w:val="auto"/>
          <w:szCs w:val="21"/>
        </w:rPr>
        <w:t>（1）已提供了合同要求的全部软件和资料；</w:t>
      </w:r>
    </w:p>
    <w:p>
      <w:pPr>
        <w:spacing w:line="360" w:lineRule="auto"/>
        <w:ind w:firstLine="525" w:firstLineChars="250"/>
        <w:rPr>
          <w:rFonts w:ascii="宋体" w:hAnsi="宋体" w:cs="宋体"/>
          <w:color w:val="auto"/>
          <w:szCs w:val="21"/>
        </w:rPr>
      </w:pPr>
      <w:r>
        <w:rPr>
          <w:rFonts w:hint="eastAsia" w:ascii="宋体" w:hAnsi="宋体" w:cs="宋体"/>
          <w:color w:val="auto"/>
          <w:szCs w:val="21"/>
        </w:rPr>
        <w:t>（2）试运行时性能满足合同要求，稳定试运行满3个月；</w:t>
      </w:r>
    </w:p>
    <w:p>
      <w:pPr>
        <w:spacing w:line="360" w:lineRule="auto"/>
        <w:ind w:firstLine="525" w:firstLineChars="250"/>
        <w:rPr>
          <w:rFonts w:ascii="宋体" w:hAnsi="宋体" w:cs="宋体"/>
          <w:color w:val="auto"/>
          <w:szCs w:val="21"/>
        </w:rPr>
      </w:pPr>
      <w:r>
        <w:rPr>
          <w:rFonts w:hint="eastAsia" w:ascii="宋体" w:hAnsi="宋体" w:cs="宋体"/>
          <w:color w:val="auto"/>
          <w:szCs w:val="21"/>
        </w:rPr>
        <w:t>（3）性能测试和试运行时出现的问题已被解决。</w:t>
      </w:r>
    </w:p>
    <w:p>
      <w:pPr>
        <w:spacing w:line="360" w:lineRule="auto"/>
        <w:ind w:firstLine="525" w:firstLineChars="250"/>
        <w:rPr>
          <w:rFonts w:ascii="宋体" w:hAnsi="宋体" w:cs="宋体"/>
          <w:color w:val="auto"/>
          <w:szCs w:val="21"/>
        </w:rPr>
      </w:pPr>
      <w:r>
        <w:rPr>
          <w:rFonts w:hint="eastAsia" w:ascii="宋体" w:hAnsi="宋体" w:cs="宋体"/>
          <w:color w:val="auto"/>
          <w:szCs w:val="21"/>
        </w:rPr>
        <w:t>6.7培训服务：</w:t>
      </w:r>
    </w:p>
    <w:p>
      <w:pPr>
        <w:spacing w:line="360" w:lineRule="auto"/>
        <w:ind w:firstLine="525" w:firstLineChars="250"/>
        <w:rPr>
          <w:rFonts w:ascii="宋体" w:hAnsi="宋体" w:cs="宋体"/>
          <w:color w:val="auto"/>
          <w:szCs w:val="21"/>
        </w:rPr>
      </w:pPr>
      <w:r>
        <w:rPr>
          <w:rFonts w:hint="eastAsia" w:ascii="宋体" w:hAnsi="宋体" w:cs="宋体"/>
          <w:color w:val="auto"/>
          <w:szCs w:val="21"/>
        </w:rPr>
        <w:t>（1）乙方有义务对采购人本次采购软件及设备的正常使用和维护提供必要的培训；</w:t>
      </w:r>
    </w:p>
    <w:p>
      <w:pPr>
        <w:spacing w:line="360" w:lineRule="auto"/>
        <w:ind w:firstLine="525" w:firstLineChars="250"/>
        <w:rPr>
          <w:rFonts w:ascii="宋体" w:hAnsi="宋体" w:cs="宋体"/>
          <w:color w:val="auto"/>
          <w:szCs w:val="21"/>
        </w:rPr>
      </w:pPr>
      <w:r>
        <w:rPr>
          <w:rFonts w:hint="eastAsia" w:ascii="宋体" w:hAnsi="宋体" w:cs="宋体"/>
          <w:color w:val="auto"/>
          <w:szCs w:val="21"/>
        </w:rPr>
        <w:t>（2）培训对象包括本系统的全体用户；</w:t>
      </w:r>
    </w:p>
    <w:p>
      <w:pPr>
        <w:spacing w:line="360" w:lineRule="auto"/>
        <w:ind w:firstLine="525" w:firstLineChars="250"/>
        <w:rPr>
          <w:rFonts w:ascii="宋体" w:hAnsi="宋体" w:cs="宋体"/>
          <w:color w:val="auto"/>
          <w:szCs w:val="21"/>
        </w:rPr>
      </w:pPr>
      <w:r>
        <w:rPr>
          <w:rFonts w:hint="eastAsia" w:ascii="宋体" w:hAnsi="宋体" w:cs="宋体"/>
          <w:color w:val="auto"/>
          <w:szCs w:val="21"/>
        </w:rPr>
        <w:t>（3）培训内容包含主要设备和软件的安装、使用、配置管理、性能优化以及相关基本维护知识培训，需针对不同用户对象设计培训课程；</w:t>
      </w:r>
    </w:p>
    <w:p>
      <w:pPr>
        <w:spacing w:line="360" w:lineRule="auto"/>
        <w:ind w:firstLine="525" w:firstLineChars="250"/>
        <w:rPr>
          <w:rFonts w:ascii="宋体" w:hAnsi="宋体" w:cs="宋体"/>
          <w:color w:val="auto"/>
          <w:szCs w:val="21"/>
        </w:rPr>
      </w:pPr>
      <w:bookmarkStart w:id="120" w:name="_Toc520363060"/>
      <w:bookmarkStart w:id="121" w:name="_Toc522278807"/>
      <w:bookmarkStart w:id="122" w:name="_Toc352672062"/>
      <w:bookmarkStart w:id="123" w:name="_Toc287607888"/>
      <w:r>
        <w:rPr>
          <w:rFonts w:hint="eastAsia" w:ascii="宋体" w:hAnsi="宋体" w:cs="宋体"/>
          <w:color w:val="auto"/>
          <w:szCs w:val="21"/>
        </w:rPr>
        <w:t>6.8项目协调沟通管理</w:t>
      </w:r>
      <w:bookmarkEnd w:id="120"/>
      <w:bookmarkEnd w:id="121"/>
      <w:bookmarkEnd w:id="122"/>
      <w:r>
        <w:rPr>
          <w:rFonts w:hint="eastAsia" w:ascii="宋体" w:hAnsi="宋体" w:cs="宋体"/>
          <w:color w:val="auto"/>
          <w:szCs w:val="21"/>
        </w:rPr>
        <w:t>：</w:t>
      </w:r>
    </w:p>
    <w:p>
      <w:pPr>
        <w:spacing w:line="360" w:lineRule="auto"/>
        <w:ind w:firstLine="525" w:firstLineChars="250"/>
        <w:rPr>
          <w:rFonts w:ascii="宋体" w:hAnsi="宋体" w:cs="宋体"/>
          <w:color w:val="auto"/>
          <w:szCs w:val="21"/>
        </w:rPr>
      </w:pPr>
      <w:r>
        <w:rPr>
          <w:rFonts w:hint="eastAsia" w:ascii="宋体" w:hAnsi="宋体" w:cs="宋体"/>
          <w:color w:val="auto"/>
          <w:szCs w:val="21"/>
        </w:rPr>
        <w:t>经采购人委托，负责协调本项目所涉及的各相关单位之间的工作关系，并协调解决项目建设过程中的各类纠纷。</w:t>
      </w:r>
      <w:bookmarkEnd w:id="123"/>
      <w:r>
        <w:rPr>
          <w:rFonts w:hint="eastAsia" w:ascii="宋体" w:hAnsi="宋体" w:cs="宋体"/>
          <w:color w:val="auto"/>
          <w:szCs w:val="21"/>
        </w:rPr>
        <w:t xml:space="preserve"> </w:t>
      </w:r>
    </w:p>
    <w:p>
      <w:pPr>
        <w:spacing w:line="360" w:lineRule="auto"/>
        <w:ind w:firstLine="525" w:firstLineChars="250"/>
        <w:rPr>
          <w:rFonts w:ascii="宋体" w:hAnsi="宋体" w:cs="宋体"/>
          <w:color w:val="auto"/>
          <w:szCs w:val="21"/>
        </w:rPr>
      </w:pPr>
      <w:bookmarkStart w:id="124" w:name="_Toc352672063"/>
      <w:bookmarkStart w:id="125" w:name="_Toc520363061"/>
      <w:bookmarkStart w:id="126" w:name="_Toc522278808"/>
      <w:bookmarkStart w:id="127" w:name="_Toc287607889"/>
      <w:r>
        <w:rPr>
          <w:rFonts w:hint="eastAsia" w:ascii="宋体" w:hAnsi="宋体" w:cs="宋体"/>
          <w:color w:val="auto"/>
          <w:szCs w:val="21"/>
        </w:rPr>
        <w:t>6.9项目安全管理</w:t>
      </w:r>
      <w:bookmarkEnd w:id="124"/>
      <w:bookmarkEnd w:id="125"/>
      <w:bookmarkEnd w:id="126"/>
      <w:bookmarkEnd w:id="127"/>
      <w:r>
        <w:rPr>
          <w:rFonts w:hint="eastAsia" w:ascii="宋体" w:hAnsi="宋体" w:cs="宋体"/>
          <w:color w:val="auto"/>
          <w:szCs w:val="21"/>
        </w:rPr>
        <w:t>：</w:t>
      </w:r>
    </w:p>
    <w:p>
      <w:pPr>
        <w:spacing w:line="360" w:lineRule="auto"/>
        <w:ind w:firstLine="525" w:firstLineChars="250"/>
        <w:rPr>
          <w:rFonts w:ascii="宋体" w:hAnsi="宋体" w:cs="宋体"/>
          <w:color w:val="auto"/>
          <w:szCs w:val="21"/>
          <w:lang w:val="zh-CN"/>
        </w:rPr>
      </w:pPr>
      <w:r>
        <w:rPr>
          <w:rFonts w:hint="eastAsia" w:ascii="宋体" w:hAnsi="宋体" w:cs="宋体"/>
          <w:color w:val="auto"/>
          <w:szCs w:val="21"/>
        </w:rPr>
        <w:t>（1）</w:t>
      </w:r>
      <w:r>
        <w:rPr>
          <w:rFonts w:hint="eastAsia" w:ascii="宋体" w:hAnsi="宋体" w:cs="宋体"/>
          <w:color w:val="auto"/>
          <w:szCs w:val="21"/>
          <w:lang w:val="zh-CN"/>
        </w:rPr>
        <w:t>负责项目建设过程中所涉及的公安及政府敏感数据和资料的保护，保证不被非授权使用；</w:t>
      </w:r>
    </w:p>
    <w:p>
      <w:pPr>
        <w:spacing w:line="360" w:lineRule="auto"/>
        <w:ind w:firstLine="525" w:firstLineChars="250"/>
        <w:rPr>
          <w:rFonts w:ascii="宋体" w:hAnsi="宋体" w:cs="宋体"/>
          <w:color w:val="auto"/>
          <w:szCs w:val="21"/>
          <w:lang w:val="zh-CN"/>
        </w:rPr>
      </w:pPr>
      <w:r>
        <w:rPr>
          <w:rFonts w:hint="eastAsia" w:ascii="宋体" w:hAnsi="宋体" w:cs="宋体"/>
          <w:color w:val="auto"/>
          <w:szCs w:val="21"/>
        </w:rPr>
        <w:t>（2）</w:t>
      </w:r>
      <w:r>
        <w:rPr>
          <w:rFonts w:hint="eastAsia" w:ascii="宋体" w:hAnsi="宋体" w:cs="宋体"/>
          <w:color w:val="auto"/>
          <w:szCs w:val="21"/>
          <w:lang w:val="zh-CN"/>
        </w:rPr>
        <w:t>不泄漏项目需保密的事项。</w:t>
      </w:r>
    </w:p>
    <w:p>
      <w:pPr>
        <w:spacing w:line="360" w:lineRule="auto"/>
        <w:ind w:firstLine="525" w:firstLineChars="250"/>
        <w:rPr>
          <w:color w:val="auto"/>
        </w:rPr>
      </w:pPr>
      <w:r>
        <w:rPr>
          <w:rFonts w:hint="eastAsia" w:ascii="宋体" w:hAnsi="宋体" w:cs="宋体"/>
          <w:color w:val="auto"/>
          <w:szCs w:val="21"/>
        </w:rPr>
        <w:t>6.10乙方须无条件配合本项目所在不同区域的对接单位，并配合相关单位进行相关档案资料的整理等工作。</w:t>
      </w:r>
    </w:p>
    <w:p>
      <w:pPr>
        <w:numPr>
          <w:ilvl w:val="0"/>
          <w:numId w:val="7"/>
        </w:numPr>
        <w:tabs>
          <w:tab w:val="left" w:pos="709"/>
          <w:tab w:val="left" w:pos="993"/>
          <w:tab w:val="clear" w:pos="960"/>
        </w:tabs>
        <w:spacing w:line="360" w:lineRule="auto"/>
        <w:ind w:left="0" w:firstLine="0"/>
        <w:jc w:val="left"/>
        <w:rPr>
          <w:rFonts w:ascii="宋体" w:hAnsi="宋体" w:cs="宋体"/>
          <w:b/>
          <w:color w:val="auto"/>
          <w:szCs w:val="21"/>
        </w:rPr>
      </w:pPr>
      <w:r>
        <w:rPr>
          <w:rFonts w:hint="eastAsia" w:ascii="宋体" w:hAnsi="宋体" w:cs="宋体"/>
          <w:b/>
          <w:color w:val="auto"/>
          <w:szCs w:val="21"/>
        </w:rPr>
        <w:t>违约责任</w:t>
      </w:r>
    </w:p>
    <w:p>
      <w:pPr>
        <w:spacing w:line="360" w:lineRule="auto"/>
        <w:ind w:firstLine="525" w:firstLineChars="250"/>
        <w:rPr>
          <w:rFonts w:ascii="宋体" w:hAnsi="宋体" w:cs="宋体"/>
          <w:color w:val="auto"/>
          <w:szCs w:val="21"/>
        </w:rPr>
      </w:pPr>
      <w:r>
        <w:rPr>
          <w:rFonts w:hint="eastAsia" w:ascii="宋体" w:hAnsi="宋体" w:cs="宋体"/>
          <w:color w:val="auto"/>
          <w:szCs w:val="21"/>
        </w:rPr>
        <w:t>1、交付违约。乙方应在合同所规定的时间内完成和交付本合同规定的项目。如交付时间延时，甲方同意给予乙方</w:t>
      </w:r>
      <w:r>
        <w:rPr>
          <w:rFonts w:hint="eastAsia" w:ascii="宋体" w:hAnsi="宋体" w:cs="宋体"/>
          <w:color w:val="auto"/>
          <w:szCs w:val="21"/>
          <w:u w:val="single"/>
        </w:rPr>
        <w:t xml:space="preserve">  / </w:t>
      </w:r>
      <w:r>
        <w:rPr>
          <w:rFonts w:hint="eastAsia" w:ascii="宋体" w:hAnsi="宋体" w:cs="宋体"/>
          <w:color w:val="auto"/>
          <w:szCs w:val="21"/>
        </w:rPr>
        <w:t xml:space="preserve"> 日的宽限期，宽限期内不追究乙方的违约责任。如乙方在宽限期内仍未依据本合同的规定完成和交付本合同所规定的项目，除依约支付违约金为</w:t>
      </w:r>
      <w:r>
        <w:rPr>
          <w:rFonts w:hint="eastAsia" w:ascii="宋体" w:hAnsi="宋体" w:cs="宋体"/>
          <w:b/>
          <w:bCs/>
          <w:color w:val="auto"/>
          <w:szCs w:val="21"/>
          <w:u w:val="single"/>
        </w:rPr>
        <w:t>2000</w:t>
      </w:r>
      <w:r>
        <w:rPr>
          <w:rFonts w:hint="eastAsia" w:ascii="宋体" w:hAnsi="宋体" w:cs="宋体"/>
          <w:color w:val="auto"/>
          <w:szCs w:val="21"/>
          <w:u w:val="single"/>
        </w:rPr>
        <w:t>元</w:t>
      </w:r>
      <w:r>
        <w:rPr>
          <w:rFonts w:hint="eastAsia" w:ascii="宋体" w:hAnsi="宋体" w:cs="宋体"/>
          <w:color w:val="auto"/>
          <w:szCs w:val="21"/>
        </w:rPr>
        <w:t>/天外，甲方有权要求乙方作出补偿和采取补救措施，并继续履行本合同所规定的义务。</w:t>
      </w:r>
    </w:p>
    <w:p>
      <w:pPr>
        <w:spacing w:line="360" w:lineRule="auto"/>
        <w:ind w:firstLine="420" w:firstLineChars="200"/>
        <w:rPr>
          <w:rFonts w:ascii="宋体" w:hAnsi="宋体" w:cs="宋体"/>
          <w:color w:val="auto"/>
          <w:szCs w:val="21"/>
        </w:rPr>
      </w:pPr>
      <w:r>
        <w:rPr>
          <w:rFonts w:hint="eastAsia" w:ascii="宋体" w:hAnsi="宋体" w:cs="宋体"/>
          <w:color w:val="auto"/>
          <w:szCs w:val="21"/>
        </w:rPr>
        <w:t>（1）每延期</w:t>
      </w:r>
      <w:r>
        <w:rPr>
          <w:rFonts w:hint="eastAsia" w:ascii="宋体" w:hAnsi="宋体" w:cs="宋体"/>
          <w:color w:val="auto"/>
          <w:szCs w:val="21"/>
          <w:u w:val="single"/>
        </w:rPr>
        <w:t xml:space="preserve"> </w:t>
      </w:r>
      <w:r>
        <w:rPr>
          <w:rFonts w:hint="eastAsia" w:ascii="宋体" w:hAnsi="宋体" w:cs="宋体"/>
          <w:b/>
          <w:bCs/>
          <w:color w:val="auto"/>
          <w:szCs w:val="21"/>
          <w:u w:val="single"/>
        </w:rPr>
        <w:t xml:space="preserve"> 1  </w:t>
      </w:r>
      <w:r>
        <w:rPr>
          <w:rFonts w:hint="eastAsia" w:ascii="宋体" w:hAnsi="宋体" w:cs="宋体"/>
          <w:b/>
          <w:bCs/>
          <w:color w:val="auto"/>
          <w:szCs w:val="21"/>
        </w:rPr>
        <w:t>天</w:t>
      </w:r>
      <w:r>
        <w:rPr>
          <w:rFonts w:hint="eastAsia" w:ascii="宋体" w:hAnsi="宋体" w:cs="宋体"/>
          <w:color w:val="auto"/>
          <w:szCs w:val="21"/>
        </w:rPr>
        <w:t>，乙方应向甲方支付</w:t>
      </w:r>
      <w:r>
        <w:rPr>
          <w:rFonts w:hint="eastAsia" w:ascii="宋体" w:hAnsi="宋体" w:cs="宋体"/>
          <w:b/>
          <w:bCs/>
          <w:color w:val="auto"/>
          <w:szCs w:val="21"/>
          <w:u w:val="single"/>
        </w:rPr>
        <w:t>2000</w:t>
      </w:r>
      <w:r>
        <w:rPr>
          <w:rFonts w:hint="eastAsia" w:ascii="宋体" w:hAnsi="宋体" w:cs="宋体"/>
          <w:color w:val="auto"/>
          <w:szCs w:val="21"/>
        </w:rPr>
        <w:t>元/天的违约金；</w:t>
      </w:r>
    </w:p>
    <w:p>
      <w:pPr>
        <w:spacing w:line="360" w:lineRule="auto"/>
        <w:ind w:firstLine="420" w:firstLineChars="200"/>
        <w:rPr>
          <w:rFonts w:ascii="宋体" w:hAnsi="宋体" w:cs="宋体"/>
          <w:color w:val="auto"/>
          <w:szCs w:val="21"/>
        </w:rPr>
      </w:pPr>
      <w:r>
        <w:rPr>
          <w:rFonts w:hint="eastAsia" w:ascii="宋体" w:hAnsi="宋体" w:cs="宋体"/>
          <w:color w:val="auto"/>
          <w:szCs w:val="21"/>
        </w:rPr>
        <w:t>（2）如延期时间超过</w:t>
      </w:r>
      <w:r>
        <w:rPr>
          <w:rFonts w:hint="eastAsia" w:ascii="宋体" w:hAnsi="宋体" w:cs="宋体"/>
          <w:color w:val="auto"/>
          <w:szCs w:val="21"/>
          <w:u w:val="single"/>
        </w:rPr>
        <w:t xml:space="preserve"> </w:t>
      </w:r>
      <w:r>
        <w:rPr>
          <w:rFonts w:hint="eastAsia" w:ascii="宋体" w:hAnsi="宋体" w:cs="宋体"/>
          <w:b/>
          <w:bCs/>
          <w:color w:val="auto"/>
          <w:szCs w:val="21"/>
          <w:u w:val="single"/>
        </w:rPr>
        <w:t xml:space="preserve"> 30 </w:t>
      </w:r>
      <w:r>
        <w:rPr>
          <w:rFonts w:hint="eastAsia" w:ascii="宋体" w:hAnsi="宋体" w:cs="宋体"/>
          <w:b/>
          <w:bCs/>
          <w:color w:val="auto"/>
          <w:szCs w:val="21"/>
        </w:rPr>
        <w:t>天</w:t>
      </w:r>
      <w:r>
        <w:rPr>
          <w:rFonts w:hint="eastAsia" w:ascii="宋体" w:hAnsi="宋体" w:cs="宋体"/>
          <w:color w:val="auto"/>
          <w:szCs w:val="21"/>
        </w:rPr>
        <w:t>，甲方有权终止合同，除前款所约定的违约金外，并要求乙方支付合同总价的</w:t>
      </w:r>
      <w:r>
        <w:rPr>
          <w:rFonts w:hint="eastAsia" w:ascii="宋体" w:hAnsi="宋体" w:cs="宋体"/>
          <w:color w:val="auto"/>
          <w:szCs w:val="21"/>
          <w:u w:val="single"/>
        </w:rPr>
        <w:t xml:space="preserve">  </w:t>
      </w:r>
      <w:r>
        <w:rPr>
          <w:rFonts w:hint="eastAsia" w:ascii="宋体" w:hAnsi="宋体" w:cs="宋体"/>
          <w:b/>
          <w:bCs/>
          <w:color w:val="auto"/>
          <w:szCs w:val="21"/>
          <w:u w:val="single"/>
        </w:rPr>
        <w:t>10</w:t>
      </w:r>
      <w:r>
        <w:rPr>
          <w:rFonts w:hint="eastAsia" w:ascii="宋体" w:hAnsi="宋体" w:cs="宋体"/>
          <w:color w:val="auto"/>
          <w:szCs w:val="21"/>
          <w:u w:val="single"/>
        </w:rPr>
        <w:t xml:space="preserve"> </w:t>
      </w:r>
      <w:r>
        <w:rPr>
          <w:rFonts w:hint="eastAsia" w:ascii="宋体" w:hAnsi="宋体" w:cs="宋体"/>
          <w:color w:val="auto"/>
          <w:szCs w:val="21"/>
        </w:rPr>
        <w:t>％作为对甲方的赔偿。如甲方由此终止本合同，乙方应在两个星期内返还甲方所支付的费用和报酬并依甲方的指示退还或销毁所有的基础性文件和原始资料，并赔偿甲方由此而引起的直接／直接和间接损失。</w:t>
      </w:r>
    </w:p>
    <w:p>
      <w:pPr>
        <w:spacing w:line="360" w:lineRule="auto"/>
        <w:ind w:firstLine="420" w:firstLineChars="200"/>
        <w:rPr>
          <w:rFonts w:ascii="宋体" w:hAnsi="宋体" w:cs="宋体"/>
          <w:color w:val="auto"/>
          <w:szCs w:val="21"/>
        </w:rPr>
      </w:pPr>
      <w:r>
        <w:rPr>
          <w:rFonts w:hint="eastAsia" w:ascii="宋体" w:hAnsi="宋体" w:cs="宋体"/>
          <w:color w:val="auto"/>
          <w:szCs w:val="21"/>
        </w:rPr>
        <w:t>2、保密违约：乙方违反本合同所规定的保密义务，违约方应按本合同总价的</w:t>
      </w:r>
      <w:r>
        <w:rPr>
          <w:rFonts w:hint="eastAsia" w:ascii="宋体" w:hAnsi="宋体" w:cs="宋体"/>
          <w:color w:val="auto"/>
          <w:szCs w:val="21"/>
          <w:u w:val="single"/>
        </w:rPr>
        <w:t xml:space="preserve">  </w:t>
      </w:r>
      <w:r>
        <w:rPr>
          <w:rFonts w:hint="eastAsia" w:ascii="宋体" w:hAnsi="宋体" w:cs="宋体"/>
          <w:b/>
          <w:bCs/>
          <w:color w:val="auto"/>
          <w:szCs w:val="21"/>
          <w:u w:val="single"/>
        </w:rPr>
        <w:t>10</w:t>
      </w:r>
      <w:r>
        <w:rPr>
          <w:rFonts w:hint="eastAsia" w:ascii="宋体" w:hAnsi="宋体" w:cs="宋体"/>
          <w:color w:val="auto"/>
          <w:szCs w:val="21"/>
          <w:u w:val="single"/>
        </w:rPr>
        <w:t xml:space="preserve"> </w:t>
      </w:r>
      <w:r>
        <w:rPr>
          <w:rFonts w:hint="eastAsia" w:ascii="宋体" w:hAnsi="宋体" w:cs="宋体"/>
          <w:color w:val="auto"/>
          <w:szCs w:val="21"/>
        </w:rPr>
        <w:t>％支付违约金。如包括利润在内的实际损失超过该违约金的，受损失一方有权要求对方赔偿超过部分。</w:t>
      </w:r>
    </w:p>
    <w:p>
      <w:pPr>
        <w:spacing w:line="360" w:lineRule="auto"/>
        <w:ind w:firstLine="420" w:firstLineChars="200"/>
        <w:rPr>
          <w:rFonts w:ascii="宋体" w:hAnsi="宋体" w:cs="宋体"/>
          <w:color w:val="auto"/>
          <w:szCs w:val="21"/>
        </w:rPr>
      </w:pPr>
      <w:r>
        <w:rPr>
          <w:rFonts w:hint="eastAsia" w:ascii="宋体" w:hAnsi="宋体" w:cs="宋体"/>
          <w:color w:val="auto"/>
          <w:szCs w:val="21"/>
        </w:rPr>
        <w:t>3、运维违约：运维期内，乙方需制定详尽的服务计划，乙方应定期对系统进行全面维护，每季度不少于一次的巡检，每次巡检要有详细记录并由甲方书面确认；乙方每年应对杆件和箱体进行一次维护，确保表面整洁，无锈迹；当系统出现技术问题时，乙方必须为运维工作提供专业的相关技术团队，要能及时分析出原因并给出解决方案；当系统不能正常运行时，应按照应急预案和流程处置，乙方在发现或接到通知后，技术人员应在30 分钟内响应，4小时内排除故障，严重故障8 小时内排除；若因乙方运维服务不到位，导致甲方未能获得其应享有的服务(如数据传输中断、影像传输模糊不清，或数据等资料丢失)的，每发生一次，甲方有权要求乙方支付10000元/次的违约金作为对甲方的赔偿。</w:t>
      </w:r>
    </w:p>
    <w:p>
      <w:pPr>
        <w:spacing w:line="360" w:lineRule="auto"/>
        <w:ind w:firstLine="420" w:firstLineChars="200"/>
        <w:rPr>
          <w:rFonts w:ascii="宋体" w:hAnsi="宋体" w:cs="宋体"/>
          <w:color w:val="auto"/>
          <w:szCs w:val="21"/>
        </w:rPr>
      </w:pPr>
      <w:r>
        <w:rPr>
          <w:rFonts w:hint="eastAsia" w:ascii="宋体" w:hAnsi="宋体" w:cs="宋体"/>
          <w:color w:val="auto"/>
          <w:szCs w:val="21"/>
        </w:rPr>
        <w:t>4、其它条款违约：乙方违反本合同所规定的义务，除本合同另有规定外，违约方应按合同总价</w:t>
      </w:r>
      <w:r>
        <w:rPr>
          <w:rFonts w:hint="eastAsia" w:ascii="宋体" w:hAnsi="宋体" w:cs="宋体"/>
          <w:color w:val="auto"/>
          <w:szCs w:val="21"/>
          <w:u w:val="single"/>
        </w:rPr>
        <w:t xml:space="preserve">  </w:t>
      </w:r>
      <w:r>
        <w:rPr>
          <w:rFonts w:hint="eastAsia" w:ascii="宋体" w:hAnsi="宋体" w:cs="宋体"/>
          <w:b/>
          <w:bCs/>
          <w:color w:val="auto"/>
          <w:szCs w:val="21"/>
          <w:u w:val="single"/>
        </w:rPr>
        <w:t>2</w:t>
      </w:r>
      <w:r>
        <w:rPr>
          <w:rFonts w:hint="eastAsia" w:ascii="宋体" w:hAnsi="宋体" w:cs="宋体"/>
          <w:color w:val="auto"/>
          <w:szCs w:val="21"/>
          <w:u w:val="single"/>
        </w:rPr>
        <w:t xml:space="preserve"> </w:t>
      </w:r>
      <w:r>
        <w:rPr>
          <w:rFonts w:hint="eastAsia" w:ascii="宋体" w:hAnsi="宋体" w:cs="宋体"/>
          <w:color w:val="auto"/>
          <w:szCs w:val="21"/>
        </w:rPr>
        <w:t>％的金额向对方支付违约金。</w:t>
      </w:r>
    </w:p>
    <w:p>
      <w:pPr>
        <w:spacing w:line="360" w:lineRule="auto"/>
        <w:ind w:firstLine="420" w:firstLineChars="200"/>
        <w:rPr>
          <w:rFonts w:ascii="宋体" w:hAnsi="宋体" w:cs="宋体"/>
          <w:color w:val="auto"/>
          <w:szCs w:val="21"/>
        </w:rPr>
      </w:pPr>
      <w:r>
        <w:rPr>
          <w:rFonts w:hint="eastAsia" w:ascii="宋体" w:hAnsi="宋体" w:cs="宋体"/>
          <w:color w:val="auto"/>
          <w:szCs w:val="21"/>
        </w:rPr>
        <w:t>5、如发生违约事件，守约方要求违约方支付违约金时，应以书面方式通知违约方，内容包括违约事件、违约金、支付时间和方式等。违约方在收到上述通知后，应于</w:t>
      </w:r>
      <w:r>
        <w:rPr>
          <w:rFonts w:hint="eastAsia" w:ascii="宋体" w:hAnsi="宋体" w:cs="宋体"/>
          <w:color w:val="auto"/>
          <w:szCs w:val="21"/>
          <w:u w:val="single"/>
        </w:rPr>
        <w:t xml:space="preserve">  </w:t>
      </w:r>
      <w:r>
        <w:rPr>
          <w:rFonts w:hint="eastAsia" w:ascii="宋体" w:hAnsi="宋体" w:cs="宋体"/>
          <w:b/>
          <w:bCs/>
          <w:color w:val="auto"/>
          <w:szCs w:val="21"/>
          <w:u w:val="single"/>
        </w:rPr>
        <w:t>7</w:t>
      </w:r>
      <w:r>
        <w:rPr>
          <w:rFonts w:hint="eastAsia" w:ascii="宋体" w:hAnsi="宋体" w:cs="宋体"/>
          <w:color w:val="auto"/>
          <w:szCs w:val="21"/>
          <w:u w:val="single"/>
        </w:rPr>
        <w:t xml:space="preserve"> </w:t>
      </w:r>
      <w:r>
        <w:rPr>
          <w:rFonts w:hint="eastAsia" w:ascii="宋体" w:hAnsi="宋体" w:cs="宋体"/>
          <w:color w:val="auto"/>
          <w:szCs w:val="21"/>
        </w:rPr>
        <w:t>天内答复对方，并支付违约金。如双方不能就此达成一致意见，将按照本合同所规定的争议解决条款解决双方的纠纷，但任何一方不得采取非法手段或以损害本项目的方式实现违约金。</w:t>
      </w:r>
    </w:p>
    <w:p>
      <w:pPr>
        <w:pStyle w:val="178"/>
        <w:spacing w:line="360" w:lineRule="auto"/>
        <w:ind w:firstLine="420"/>
        <w:rPr>
          <w:color w:val="auto"/>
        </w:rPr>
      </w:pPr>
    </w:p>
    <w:p>
      <w:pPr>
        <w:numPr>
          <w:ilvl w:val="0"/>
          <w:numId w:val="7"/>
        </w:numPr>
        <w:tabs>
          <w:tab w:val="left" w:pos="709"/>
          <w:tab w:val="left" w:pos="993"/>
          <w:tab w:val="clear" w:pos="960"/>
        </w:tabs>
        <w:spacing w:line="360" w:lineRule="auto"/>
        <w:ind w:left="0" w:firstLine="0"/>
        <w:jc w:val="left"/>
        <w:rPr>
          <w:rFonts w:ascii="宋体" w:hAnsi="宋体" w:cs="宋体"/>
          <w:b/>
          <w:color w:val="auto"/>
          <w:szCs w:val="21"/>
        </w:rPr>
      </w:pPr>
      <w:r>
        <w:rPr>
          <w:rFonts w:hint="eastAsia" w:ascii="宋体" w:hAnsi="宋体" w:cs="宋体"/>
          <w:b/>
          <w:color w:val="auto"/>
          <w:szCs w:val="21"/>
        </w:rPr>
        <w:t>不可抗力</w:t>
      </w:r>
    </w:p>
    <w:p>
      <w:pPr>
        <w:spacing w:line="360" w:lineRule="auto"/>
        <w:ind w:firstLine="525" w:firstLineChars="250"/>
        <w:rPr>
          <w:rFonts w:ascii="宋体" w:hAnsi="宋体" w:cs="宋体"/>
          <w:color w:val="auto"/>
          <w:szCs w:val="21"/>
        </w:rPr>
      </w:pPr>
      <w:r>
        <w:rPr>
          <w:rFonts w:hint="eastAsia" w:ascii="宋体" w:hAnsi="宋体" w:cs="宋体"/>
          <w:color w:val="auto"/>
          <w:szCs w:val="21"/>
        </w:rPr>
        <w:t>1. 合同任何一方因不可抗力事件不能履行合同的全部或部分义务时，根据不可抗力的影响，部分或全部免除责任。但因一方迟延履行合同后发生不可抗力的，责任不能免除。</w:t>
      </w:r>
    </w:p>
    <w:p>
      <w:pPr>
        <w:spacing w:line="360" w:lineRule="auto"/>
        <w:ind w:firstLine="525" w:firstLineChars="250"/>
        <w:rPr>
          <w:rFonts w:ascii="宋体" w:hAnsi="宋体" w:cs="宋体"/>
          <w:color w:val="auto"/>
          <w:szCs w:val="21"/>
        </w:rPr>
      </w:pPr>
      <w:r>
        <w:rPr>
          <w:rFonts w:hint="eastAsia" w:ascii="宋体" w:hAnsi="宋体" w:cs="宋体"/>
          <w:color w:val="auto"/>
          <w:szCs w:val="21"/>
        </w:rPr>
        <w:t>2. 本合同所称不可抗力事件是指双方在订立合同时不能预见、对其发生和后果不能避免并不能克服的客观事件，如：战争、火灾、地震等。</w:t>
      </w:r>
    </w:p>
    <w:p>
      <w:pPr>
        <w:spacing w:line="360" w:lineRule="auto"/>
        <w:ind w:firstLine="525" w:firstLineChars="250"/>
        <w:rPr>
          <w:rFonts w:ascii="宋体" w:hAnsi="宋体" w:cs="宋体"/>
          <w:color w:val="auto"/>
          <w:szCs w:val="21"/>
        </w:rPr>
      </w:pPr>
      <w:r>
        <w:rPr>
          <w:rFonts w:hint="eastAsia" w:ascii="宋体" w:hAnsi="宋体" w:cs="宋体"/>
          <w:color w:val="auto"/>
          <w:szCs w:val="21"/>
        </w:rPr>
        <w:t>3. 遭受不可抗力一方须在事故发生后立即传真告知另一方并在事故发生后15天内将事故发生地相关机构出具的事故证明书用航空邮寄另一方为证。如果乙方遭受不可抗力且不可抗力事件持续60天以上，甲方可解除合同或解除合同中未装运部分的内容。甲方解除合同时，应向乙方发出解除通知，合同自通知到达乙方时解除。</w:t>
      </w:r>
    </w:p>
    <w:p>
      <w:pPr>
        <w:numPr>
          <w:ilvl w:val="0"/>
          <w:numId w:val="7"/>
        </w:numPr>
        <w:tabs>
          <w:tab w:val="left" w:pos="709"/>
        </w:tabs>
        <w:adjustRightInd w:val="0"/>
        <w:snapToGrid w:val="0"/>
        <w:spacing w:line="360" w:lineRule="auto"/>
        <w:ind w:left="0" w:firstLine="0"/>
        <w:jc w:val="left"/>
        <w:rPr>
          <w:rFonts w:ascii="宋体" w:hAnsi="宋体" w:cs="宋体"/>
          <w:b/>
          <w:color w:val="auto"/>
          <w:szCs w:val="21"/>
        </w:rPr>
      </w:pPr>
      <w:r>
        <w:rPr>
          <w:rFonts w:hint="eastAsia" w:ascii="宋体" w:hAnsi="宋体" w:cs="宋体"/>
          <w:b/>
          <w:color w:val="auto"/>
          <w:szCs w:val="21"/>
        </w:rPr>
        <w:t>争议解决</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11.1凡因执行本合同及保险合同产生的一切争议，双方均应友好协商解决。</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11.2如协商不能解决的，甲、乙双方均有权向保单签发地法院提起诉讼，通过诉讼方式解决争议的内容。</w:t>
      </w:r>
    </w:p>
    <w:p>
      <w:pPr>
        <w:numPr>
          <w:ilvl w:val="0"/>
          <w:numId w:val="7"/>
        </w:numPr>
        <w:tabs>
          <w:tab w:val="left" w:pos="709"/>
        </w:tabs>
        <w:adjustRightInd w:val="0"/>
        <w:snapToGrid w:val="0"/>
        <w:spacing w:line="360" w:lineRule="auto"/>
        <w:ind w:left="0" w:firstLine="0"/>
        <w:jc w:val="left"/>
        <w:rPr>
          <w:rFonts w:ascii="宋体" w:hAnsi="宋体" w:cs="宋体"/>
          <w:color w:val="auto"/>
        </w:rPr>
      </w:pPr>
      <w:r>
        <w:rPr>
          <w:rFonts w:hint="eastAsia" w:ascii="宋体" w:hAnsi="宋体" w:cs="宋体"/>
          <w:b/>
          <w:color w:val="auto"/>
          <w:szCs w:val="21"/>
        </w:rPr>
        <w:t>履约保证金</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11.1履约保证金金额：合同金额的3%；</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11.2履约保证金形式：以银行或保险公司出具的保函形式或其他非现金形式递交至采购人；</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11.3履约保证金提交时间：合同签订后15日内；</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11.4履约保证金的有效期：履约保证金在乙方履行合同规定义务期间必须保持有效；</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11.5履约保证金的退还：甲方在乙方完成所有工作并经甲方验收通过后退还（退还履约保证金时乙方应向甲方发起退款申请，甲方在收到乙方的退还履约保证金申请后10日内一次性无息退还）；乙方未按要求履行义务的，甲方有权扣罚其履约保证金。</w:t>
      </w:r>
    </w:p>
    <w:p>
      <w:pPr>
        <w:numPr>
          <w:ilvl w:val="0"/>
          <w:numId w:val="7"/>
        </w:numPr>
        <w:tabs>
          <w:tab w:val="left" w:pos="709"/>
        </w:tabs>
        <w:adjustRightInd w:val="0"/>
        <w:snapToGrid w:val="0"/>
        <w:spacing w:line="360" w:lineRule="auto"/>
        <w:ind w:left="0" w:firstLine="0"/>
        <w:jc w:val="left"/>
        <w:rPr>
          <w:rFonts w:ascii="宋体" w:hAnsi="宋体" w:cs="宋体"/>
          <w:b/>
          <w:color w:val="auto"/>
          <w:szCs w:val="21"/>
        </w:rPr>
      </w:pPr>
      <w:r>
        <w:rPr>
          <w:rFonts w:hint="eastAsia" w:ascii="宋体" w:hAnsi="宋体" w:cs="宋体"/>
          <w:b/>
          <w:color w:val="auto"/>
          <w:szCs w:val="21"/>
        </w:rPr>
        <w:t>合同生效及其它约定事项</w:t>
      </w:r>
    </w:p>
    <w:p>
      <w:pPr>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13.1合同经双方法定代表人或授权委托代理人签字并加盖单位公章且合同上传“政采云系统”后生效。</w:t>
      </w:r>
    </w:p>
    <w:p>
      <w:pPr>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13.2本合同执行中相关的税费均由各方自理。</w:t>
      </w:r>
    </w:p>
    <w:p>
      <w:pPr>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13.3本项目采购过程中形成的文件资料为合同组成部分。</w:t>
      </w:r>
    </w:p>
    <w:p>
      <w:pPr>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13.4 本合同未尽事宜，可向双方约定后作为本合同附件，与本合同具有同等法律效力</w:t>
      </w:r>
    </w:p>
    <w:p>
      <w:pPr>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13.5</w:t>
      </w:r>
      <w:r>
        <w:rPr>
          <w:rFonts w:hint="eastAsia" w:ascii="宋体" w:hAnsi="宋体" w:cs="宋体"/>
          <w:color w:val="auto"/>
          <w:szCs w:val="21"/>
        </w:rPr>
        <w:t>本合同壹式</w:t>
      </w:r>
      <w:r>
        <w:rPr>
          <w:rFonts w:hint="eastAsia" w:ascii="宋体" w:hAnsi="宋体" w:cs="宋体"/>
          <w:color w:val="auto"/>
          <w:szCs w:val="21"/>
          <w:u w:val="single"/>
        </w:rPr>
        <w:t xml:space="preserve">   肆   </w:t>
      </w:r>
      <w:r>
        <w:rPr>
          <w:rFonts w:hint="eastAsia" w:ascii="宋体" w:hAnsi="宋体" w:cs="宋体"/>
          <w:color w:val="auto"/>
          <w:szCs w:val="21"/>
        </w:rPr>
        <w:t>份，甲方及乙方各执正本</w:t>
      </w:r>
      <w:r>
        <w:rPr>
          <w:rFonts w:hint="eastAsia" w:ascii="宋体" w:hAnsi="宋体" w:cs="宋体"/>
          <w:color w:val="auto"/>
          <w:szCs w:val="21"/>
          <w:u w:val="single"/>
        </w:rPr>
        <w:t xml:space="preserve"> 壹 </w:t>
      </w:r>
      <w:r>
        <w:rPr>
          <w:rFonts w:hint="eastAsia" w:ascii="宋体" w:hAnsi="宋体" w:cs="宋体"/>
          <w:color w:val="auto"/>
          <w:szCs w:val="21"/>
        </w:rPr>
        <w:t>份，副本</w:t>
      </w:r>
      <w:r>
        <w:rPr>
          <w:rFonts w:hint="eastAsia" w:ascii="宋体" w:hAnsi="宋体" w:cs="宋体"/>
          <w:color w:val="auto"/>
          <w:szCs w:val="21"/>
          <w:u w:val="single"/>
        </w:rPr>
        <w:t xml:space="preserve">壹 </w:t>
      </w:r>
      <w:r>
        <w:rPr>
          <w:rFonts w:hint="eastAsia" w:ascii="宋体" w:hAnsi="宋体" w:cs="宋体"/>
          <w:color w:val="auto"/>
          <w:szCs w:val="21"/>
        </w:rPr>
        <w:t>份。</w:t>
      </w:r>
    </w:p>
    <w:tbl>
      <w:tblPr>
        <w:tblStyle w:val="41"/>
        <w:tblW w:w="9420" w:type="dxa"/>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5"/>
        <w:gridCol w:w="4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4575" w:type="dxa"/>
          </w:tcPr>
          <w:p>
            <w:pPr>
              <w:spacing w:line="720" w:lineRule="auto"/>
              <w:rPr>
                <w:rFonts w:ascii="宋体" w:hAnsi="宋体" w:cs="宋体"/>
                <w:color w:val="auto"/>
                <w:szCs w:val="21"/>
              </w:rPr>
            </w:pPr>
            <w:r>
              <w:rPr>
                <w:rFonts w:hint="eastAsia" w:ascii="宋体" w:hAnsi="宋体" w:cs="宋体"/>
                <w:color w:val="auto"/>
                <w:szCs w:val="21"/>
              </w:rPr>
              <w:t>甲方名称：</w:t>
            </w:r>
          </w:p>
          <w:p>
            <w:pPr>
              <w:spacing w:line="720" w:lineRule="auto"/>
              <w:rPr>
                <w:rFonts w:ascii="宋体" w:hAnsi="宋体" w:cs="宋体"/>
                <w:color w:val="auto"/>
                <w:szCs w:val="21"/>
              </w:rPr>
            </w:pPr>
            <w:r>
              <w:rPr>
                <w:rFonts w:hint="eastAsia" w:ascii="宋体" w:hAnsi="宋体" w:cs="宋体"/>
                <w:color w:val="auto"/>
                <w:szCs w:val="21"/>
              </w:rPr>
              <w:t xml:space="preserve">            （盖章）</w:t>
            </w:r>
          </w:p>
        </w:tc>
        <w:tc>
          <w:tcPr>
            <w:tcW w:w="4845" w:type="dxa"/>
          </w:tcPr>
          <w:p>
            <w:pPr>
              <w:spacing w:line="720" w:lineRule="auto"/>
              <w:rPr>
                <w:rFonts w:ascii="宋体" w:hAnsi="宋体" w:cs="宋体"/>
                <w:color w:val="auto"/>
                <w:szCs w:val="21"/>
              </w:rPr>
            </w:pPr>
            <w:r>
              <w:rPr>
                <w:rFonts w:hint="eastAsia" w:ascii="宋体" w:hAnsi="宋体" w:cs="宋体"/>
                <w:color w:val="auto"/>
                <w:szCs w:val="21"/>
              </w:rPr>
              <w:t xml:space="preserve"> 乙方名称：</w:t>
            </w:r>
          </w:p>
          <w:p>
            <w:pPr>
              <w:spacing w:line="720" w:lineRule="auto"/>
              <w:rPr>
                <w:rFonts w:ascii="宋体" w:hAnsi="宋体" w:cs="宋体"/>
                <w:color w:val="auto"/>
                <w:szCs w:val="21"/>
              </w:rPr>
            </w:pPr>
            <w:r>
              <w:rPr>
                <w:rFonts w:hint="eastAsia" w:ascii="宋体" w:hAnsi="宋体" w:cs="宋体"/>
                <w:color w:val="auto"/>
                <w:szCs w:val="21"/>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75" w:type="dxa"/>
          </w:tcPr>
          <w:p>
            <w:pPr>
              <w:spacing w:line="480" w:lineRule="auto"/>
              <w:ind w:left="2" w:hanging="2" w:hangingChars="1"/>
              <w:rPr>
                <w:rFonts w:ascii="宋体" w:hAnsi="宋体" w:cs="宋体"/>
                <w:color w:val="auto"/>
                <w:szCs w:val="21"/>
              </w:rPr>
            </w:pPr>
            <w:r>
              <w:rPr>
                <w:rFonts w:hint="eastAsia" w:ascii="宋体" w:hAnsi="宋体" w:cs="宋体"/>
                <w:color w:val="auto"/>
                <w:szCs w:val="21"/>
              </w:rPr>
              <w:t xml:space="preserve"> 法定代表人(或单位负责人)：</w:t>
            </w:r>
          </w:p>
          <w:p>
            <w:pPr>
              <w:tabs>
                <w:tab w:val="left" w:pos="1830"/>
              </w:tabs>
              <w:spacing w:line="480" w:lineRule="auto"/>
              <w:ind w:left="2" w:hanging="2" w:hangingChars="1"/>
              <w:rPr>
                <w:rFonts w:ascii="宋体" w:hAnsi="宋体" w:cs="宋体"/>
                <w:color w:val="auto"/>
                <w:szCs w:val="21"/>
              </w:rPr>
            </w:pPr>
            <w:r>
              <w:rPr>
                <w:rFonts w:hint="eastAsia" w:ascii="宋体" w:hAnsi="宋体" w:cs="宋体"/>
                <w:color w:val="auto"/>
                <w:szCs w:val="21"/>
              </w:rPr>
              <w:t xml:space="preserve"> 签约代表：</w:t>
            </w:r>
            <w:r>
              <w:rPr>
                <w:rFonts w:hint="eastAsia" w:ascii="宋体" w:hAnsi="宋体" w:cs="宋体"/>
                <w:color w:val="auto"/>
                <w:szCs w:val="21"/>
              </w:rPr>
              <w:tab/>
            </w:r>
          </w:p>
          <w:p>
            <w:pPr>
              <w:spacing w:line="480" w:lineRule="auto"/>
              <w:ind w:left="2" w:hanging="2" w:hangingChars="1"/>
              <w:rPr>
                <w:rFonts w:ascii="宋体" w:hAnsi="宋体" w:cs="宋体"/>
                <w:color w:val="auto"/>
                <w:szCs w:val="21"/>
              </w:rPr>
            </w:pPr>
            <w:r>
              <w:rPr>
                <w:rFonts w:hint="eastAsia" w:ascii="宋体" w:hAnsi="宋体" w:cs="宋体"/>
                <w:color w:val="auto"/>
                <w:szCs w:val="21"/>
              </w:rPr>
              <w:t xml:space="preserve"> 邮政编码：</w:t>
            </w:r>
          </w:p>
          <w:p>
            <w:pPr>
              <w:spacing w:line="480" w:lineRule="auto"/>
              <w:ind w:left="2" w:hanging="2" w:hangingChars="1"/>
              <w:rPr>
                <w:rFonts w:ascii="宋体" w:hAnsi="宋体" w:cs="宋体"/>
                <w:color w:val="auto"/>
                <w:szCs w:val="21"/>
              </w:rPr>
            </w:pPr>
            <w:r>
              <w:rPr>
                <w:rFonts w:hint="eastAsia" w:ascii="宋体" w:hAnsi="宋体" w:cs="宋体"/>
                <w:color w:val="auto"/>
                <w:szCs w:val="21"/>
              </w:rPr>
              <w:t xml:space="preserve"> 电    话：</w:t>
            </w:r>
          </w:p>
          <w:p>
            <w:pPr>
              <w:spacing w:line="480" w:lineRule="auto"/>
              <w:ind w:firstLine="105" w:firstLineChars="50"/>
              <w:rPr>
                <w:rFonts w:ascii="宋体" w:hAnsi="宋体" w:cs="宋体"/>
                <w:color w:val="auto"/>
                <w:szCs w:val="21"/>
              </w:rPr>
            </w:pPr>
            <w:r>
              <w:rPr>
                <w:rFonts w:hint="eastAsia" w:ascii="宋体" w:hAnsi="宋体" w:cs="宋体"/>
                <w:color w:val="auto"/>
                <w:szCs w:val="21"/>
              </w:rPr>
              <w:t>传    真：</w:t>
            </w:r>
          </w:p>
          <w:p>
            <w:pPr>
              <w:spacing w:line="480" w:lineRule="auto"/>
              <w:ind w:left="2" w:hanging="2" w:hangingChars="1"/>
              <w:rPr>
                <w:rFonts w:ascii="宋体" w:hAnsi="宋体" w:cs="宋体"/>
                <w:color w:val="auto"/>
                <w:szCs w:val="21"/>
              </w:rPr>
            </w:pPr>
            <w:r>
              <w:rPr>
                <w:rFonts w:hint="eastAsia" w:ascii="宋体" w:hAnsi="宋体" w:cs="宋体"/>
                <w:color w:val="auto"/>
                <w:szCs w:val="21"/>
              </w:rPr>
              <w:t xml:space="preserve"> 开户银行：</w:t>
            </w:r>
          </w:p>
          <w:p>
            <w:pPr>
              <w:spacing w:line="480" w:lineRule="auto"/>
              <w:ind w:left="2" w:hanging="2" w:hangingChars="1"/>
              <w:rPr>
                <w:rFonts w:ascii="宋体" w:hAnsi="宋体" w:cs="宋体"/>
                <w:color w:val="auto"/>
                <w:szCs w:val="21"/>
              </w:rPr>
            </w:pPr>
            <w:r>
              <w:rPr>
                <w:rFonts w:hint="eastAsia" w:ascii="宋体" w:hAnsi="宋体" w:cs="宋体"/>
                <w:color w:val="auto"/>
                <w:szCs w:val="21"/>
              </w:rPr>
              <w:t xml:space="preserve"> 银行帐号：</w:t>
            </w:r>
          </w:p>
          <w:p>
            <w:pPr>
              <w:spacing w:line="480" w:lineRule="auto"/>
              <w:ind w:left="2" w:hanging="2" w:hangingChars="1"/>
              <w:rPr>
                <w:rFonts w:ascii="宋体" w:hAnsi="宋体" w:cs="宋体"/>
                <w:color w:val="auto"/>
                <w:szCs w:val="21"/>
              </w:rPr>
            </w:pPr>
            <w:r>
              <w:rPr>
                <w:rFonts w:hint="eastAsia" w:ascii="宋体" w:hAnsi="宋体" w:cs="宋体"/>
                <w:color w:val="auto"/>
                <w:szCs w:val="21"/>
              </w:rPr>
              <w:t xml:space="preserve"> 单位地址：</w:t>
            </w:r>
          </w:p>
          <w:p>
            <w:pPr>
              <w:spacing w:line="480" w:lineRule="auto"/>
              <w:ind w:left="2" w:hanging="2" w:hangingChars="1"/>
              <w:rPr>
                <w:rFonts w:ascii="宋体" w:hAnsi="宋体" w:cs="宋体"/>
                <w:color w:val="auto"/>
                <w:szCs w:val="21"/>
              </w:rPr>
            </w:pPr>
            <w:r>
              <w:rPr>
                <w:rFonts w:hint="eastAsia" w:ascii="宋体" w:hAnsi="宋体" w:cs="宋体"/>
                <w:color w:val="auto"/>
                <w:szCs w:val="21"/>
              </w:rPr>
              <w:t xml:space="preserve"> 日    期：   年   月   日</w:t>
            </w:r>
          </w:p>
        </w:tc>
        <w:tc>
          <w:tcPr>
            <w:tcW w:w="4845" w:type="dxa"/>
          </w:tcPr>
          <w:p>
            <w:pPr>
              <w:spacing w:line="480" w:lineRule="auto"/>
              <w:ind w:left="2" w:hanging="2" w:hangingChars="1"/>
              <w:rPr>
                <w:rFonts w:ascii="宋体" w:hAnsi="宋体" w:cs="宋体"/>
                <w:color w:val="auto"/>
                <w:szCs w:val="21"/>
              </w:rPr>
            </w:pPr>
            <w:r>
              <w:rPr>
                <w:rFonts w:hint="eastAsia" w:ascii="宋体" w:hAnsi="宋体" w:cs="宋体"/>
                <w:color w:val="auto"/>
                <w:szCs w:val="21"/>
              </w:rPr>
              <w:t xml:space="preserve"> 法定代表人(或单位负责人)：</w:t>
            </w:r>
          </w:p>
          <w:p>
            <w:pPr>
              <w:spacing w:line="480" w:lineRule="auto"/>
              <w:ind w:left="2" w:hanging="2" w:hangingChars="1"/>
              <w:rPr>
                <w:rFonts w:ascii="宋体" w:hAnsi="宋体" w:cs="宋体"/>
                <w:color w:val="auto"/>
                <w:szCs w:val="21"/>
              </w:rPr>
            </w:pPr>
            <w:r>
              <w:rPr>
                <w:rFonts w:hint="eastAsia" w:ascii="宋体" w:hAnsi="宋体" w:cs="宋体"/>
                <w:color w:val="auto"/>
                <w:szCs w:val="21"/>
              </w:rPr>
              <w:t xml:space="preserve"> 签约代表：</w:t>
            </w:r>
          </w:p>
          <w:p>
            <w:pPr>
              <w:spacing w:line="480" w:lineRule="auto"/>
              <w:ind w:left="2" w:hanging="2" w:hangingChars="1"/>
              <w:rPr>
                <w:rFonts w:ascii="宋体" w:hAnsi="宋体" w:cs="宋体"/>
                <w:color w:val="auto"/>
                <w:szCs w:val="21"/>
              </w:rPr>
            </w:pPr>
            <w:r>
              <w:rPr>
                <w:rFonts w:hint="eastAsia" w:ascii="宋体" w:hAnsi="宋体" w:cs="宋体"/>
                <w:color w:val="auto"/>
                <w:szCs w:val="21"/>
              </w:rPr>
              <w:t xml:space="preserve"> 邮政编码： </w:t>
            </w:r>
          </w:p>
          <w:p>
            <w:pPr>
              <w:spacing w:line="480" w:lineRule="auto"/>
              <w:ind w:left="2" w:hanging="2" w:hangingChars="1"/>
              <w:rPr>
                <w:rFonts w:ascii="宋体" w:hAnsi="宋体" w:cs="宋体"/>
                <w:color w:val="auto"/>
                <w:szCs w:val="21"/>
              </w:rPr>
            </w:pPr>
            <w:r>
              <w:rPr>
                <w:rFonts w:hint="eastAsia" w:ascii="宋体" w:hAnsi="宋体" w:cs="宋体"/>
                <w:color w:val="auto"/>
                <w:szCs w:val="21"/>
              </w:rPr>
              <w:t xml:space="preserve"> 电    话： </w:t>
            </w:r>
          </w:p>
          <w:p>
            <w:pPr>
              <w:spacing w:line="480" w:lineRule="auto"/>
              <w:ind w:firstLine="88" w:firstLineChars="42"/>
              <w:rPr>
                <w:rFonts w:ascii="宋体" w:hAnsi="宋体" w:cs="宋体"/>
                <w:color w:val="auto"/>
                <w:szCs w:val="21"/>
              </w:rPr>
            </w:pPr>
            <w:r>
              <w:rPr>
                <w:rFonts w:hint="eastAsia" w:ascii="宋体" w:hAnsi="宋体" w:cs="宋体"/>
                <w:color w:val="auto"/>
                <w:szCs w:val="21"/>
              </w:rPr>
              <w:t xml:space="preserve">传    真：  </w:t>
            </w:r>
          </w:p>
          <w:p>
            <w:pPr>
              <w:spacing w:line="480" w:lineRule="auto"/>
              <w:ind w:left="2" w:hanging="2" w:hangingChars="1"/>
              <w:rPr>
                <w:rFonts w:ascii="宋体" w:hAnsi="宋体" w:cs="宋体"/>
                <w:color w:val="auto"/>
                <w:szCs w:val="21"/>
              </w:rPr>
            </w:pPr>
            <w:r>
              <w:rPr>
                <w:rFonts w:hint="eastAsia" w:ascii="宋体" w:hAnsi="宋体" w:cs="宋体"/>
                <w:color w:val="auto"/>
                <w:szCs w:val="21"/>
              </w:rPr>
              <w:t>开户银行：</w:t>
            </w:r>
          </w:p>
          <w:p>
            <w:pPr>
              <w:spacing w:line="480" w:lineRule="auto"/>
              <w:ind w:left="2" w:hanging="2" w:hangingChars="1"/>
              <w:jc w:val="left"/>
              <w:rPr>
                <w:rFonts w:ascii="宋体" w:hAnsi="宋体" w:cs="宋体"/>
                <w:color w:val="auto"/>
                <w:szCs w:val="21"/>
              </w:rPr>
            </w:pPr>
            <w:r>
              <w:rPr>
                <w:rFonts w:hint="eastAsia" w:ascii="宋体" w:hAnsi="宋体" w:cs="宋体"/>
                <w:color w:val="auto"/>
                <w:szCs w:val="21"/>
              </w:rPr>
              <w:t>银行帐号：</w:t>
            </w:r>
          </w:p>
          <w:p>
            <w:pPr>
              <w:spacing w:line="480" w:lineRule="auto"/>
              <w:ind w:left="2" w:hanging="2" w:hangingChars="1"/>
              <w:rPr>
                <w:rFonts w:ascii="宋体" w:hAnsi="宋体" w:cs="宋体"/>
                <w:color w:val="auto"/>
                <w:szCs w:val="21"/>
              </w:rPr>
            </w:pPr>
            <w:r>
              <w:rPr>
                <w:rFonts w:hint="eastAsia" w:ascii="宋体" w:hAnsi="宋体" w:cs="宋体"/>
                <w:color w:val="auto"/>
                <w:szCs w:val="21"/>
              </w:rPr>
              <w:t xml:space="preserve"> 单位地址： </w:t>
            </w:r>
          </w:p>
          <w:p>
            <w:pPr>
              <w:spacing w:line="480" w:lineRule="auto"/>
              <w:ind w:left="2" w:hanging="2" w:hangingChars="1"/>
              <w:rPr>
                <w:rFonts w:ascii="宋体" w:hAnsi="宋体" w:cs="宋体"/>
                <w:color w:val="auto"/>
                <w:szCs w:val="21"/>
              </w:rPr>
            </w:pPr>
            <w:r>
              <w:rPr>
                <w:rFonts w:hint="eastAsia" w:ascii="宋体" w:hAnsi="宋体" w:cs="宋体"/>
                <w:color w:val="auto"/>
                <w:szCs w:val="21"/>
              </w:rPr>
              <w:t>日    期：   年   月   日</w:t>
            </w:r>
          </w:p>
        </w:tc>
      </w:tr>
    </w:tbl>
    <w:p>
      <w:pPr>
        <w:pStyle w:val="25"/>
        <w:spacing w:before="0" w:beforeLines="0" w:after="0" w:afterLines="0" w:line="360" w:lineRule="auto"/>
        <w:ind w:firstLine="630" w:firstLineChars="300"/>
        <w:rPr>
          <w:rFonts w:ascii="Times New Roman" w:hAnsi="Times New Roman"/>
          <w:color w:val="auto"/>
          <w:sz w:val="21"/>
          <w:szCs w:val="21"/>
        </w:rPr>
      </w:pPr>
    </w:p>
    <w:p>
      <w:pPr>
        <w:pStyle w:val="25"/>
        <w:snapToGrid w:val="0"/>
        <w:spacing w:before="0" w:beforeLines="0" w:after="0" w:afterLines="0" w:line="360" w:lineRule="auto"/>
        <w:ind w:firstLine="420" w:firstLineChars="200"/>
        <w:jc w:val="center"/>
        <w:rPr>
          <w:rFonts w:ascii="Times New Roman" w:hAnsi="Times New Roman"/>
          <w:color w:val="auto"/>
          <w:sz w:val="21"/>
          <w:szCs w:val="21"/>
        </w:rPr>
      </w:pPr>
    </w:p>
    <w:p>
      <w:pPr>
        <w:pStyle w:val="25"/>
        <w:tabs>
          <w:tab w:val="left" w:pos="2472"/>
        </w:tabs>
        <w:spacing w:before="0" w:beforeLines="0" w:after="0" w:afterLines="0" w:line="360" w:lineRule="auto"/>
        <w:jc w:val="center"/>
        <w:outlineLvl w:val="0"/>
        <w:rPr>
          <w:rFonts w:ascii="Times New Roman" w:hAnsi="Times New Roman"/>
          <w:b/>
          <w:color w:val="auto"/>
        </w:rPr>
      </w:pPr>
      <w:bookmarkStart w:id="128" w:name="_Toc29070"/>
      <w:bookmarkStart w:id="129" w:name="_Toc29243"/>
      <w:bookmarkStart w:id="130" w:name="_Toc30939"/>
      <w:bookmarkStart w:id="131" w:name="_Toc18068_WPSOffice_Level1"/>
      <w:bookmarkStart w:id="132" w:name="_Toc29461"/>
      <w:bookmarkStart w:id="133" w:name="_Toc22922"/>
      <w:bookmarkStart w:id="134" w:name="_Toc30522"/>
      <w:r>
        <w:rPr>
          <w:rFonts w:ascii="Times New Roman" w:hAnsi="Times New Roman"/>
          <w:b/>
          <w:color w:val="auto"/>
        </w:rPr>
        <w:br w:type="page"/>
      </w:r>
      <w:r>
        <w:rPr>
          <w:rFonts w:ascii="Times New Roman" w:hAnsi="Times New Roman"/>
          <w:b/>
          <w:color w:val="auto"/>
        </w:rPr>
        <w:t>第六章 投标文件格式</w:t>
      </w:r>
      <w:bookmarkEnd w:id="128"/>
      <w:bookmarkEnd w:id="129"/>
      <w:bookmarkEnd w:id="130"/>
      <w:bookmarkEnd w:id="131"/>
      <w:bookmarkEnd w:id="132"/>
      <w:bookmarkEnd w:id="133"/>
      <w:bookmarkEnd w:id="134"/>
    </w:p>
    <w:p>
      <w:pPr>
        <w:pStyle w:val="25"/>
        <w:tabs>
          <w:tab w:val="left" w:pos="2472"/>
        </w:tabs>
        <w:spacing w:before="0" w:beforeLines="0" w:after="0" w:afterLines="0" w:line="360" w:lineRule="auto"/>
        <w:jc w:val="center"/>
        <w:rPr>
          <w:rFonts w:ascii="Times New Roman" w:hAnsi="Times New Roman"/>
          <w:b/>
          <w:color w:val="auto"/>
          <w:sz w:val="21"/>
          <w:szCs w:val="21"/>
        </w:rPr>
      </w:pPr>
    </w:p>
    <w:p>
      <w:pPr>
        <w:spacing w:line="360" w:lineRule="auto"/>
        <w:rPr>
          <w:color w:val="auto"/>
          <w:szCs w:val="21"/>
        </w:rPr>
      </w:pPr>
      <w:r>
        <w:rPr>
          <w:color w:val="auto"/>
          <w:szCs w:val="21"/>
        </w:rPr>
        <w:t xml:space="preserve">封面格式： </w:t>
      </w:r>
    </w:p>
    <w:p>
      <w:pPr>
        <w:spacing w:line="360" w:lineRule="auto"/>
        <w:rPr>
          <w:b/>
          <w:bCs/>
          <w:color w:val="auto"/>
          <w:szCs w:val="21"/>
        </w:rPr>
      </w:pPr>
      <w:r>
        <w:rPr>
          <w:color w:val="auto"/>
          <w:szCs w:val="21"/>
        </w:rPr>
        <w:t xml:space="preserve">                                                    </w:t>
      </w:r>
    </w:p>
    <w:p>
      <w:pPr>
        <w:spacing w:line="360" w:lineRule="auto"/>
        <w:rPr>
          <w:bCs/>
          <w:color w:val="auto"/>
          <w:szCs w:val="21"/>
        </w:rPr>
      </w:pPr>
    </w:p>
    <w:p>
      <w:pPr>
        <w:spacing w:line="360" w:lineRule="auto"/>
        <w:jc w:val="center"/>
        <w:rPr>
          <w:b/>
          <w:bCs/>
          <w:color w:val="auto"/>
          <w:szCs w:val="21"/>
        </w:rPr>
      </w:pPr>
      <w:r>
        <w:rPr>
          <w:b/>
          <w:bCs/>
          <w:color w:val="auto"/>
          <w:szCs w:val="21"/>
        </w:rPr>
        <w:t>投 标 文 件</w:t>
      </w:r>
    </w:p>
    <w:p>
      <w:pPr>
        <w:spacing w:line="360" w:lineRule="auto"/>
        <w:rPr>
          <w:bCs/>
          <w:color w:val="auto"/>
          <w:szCs w:val="21"/>
        </w:rPr>
      </w:pPr>
    </w:p>
    <w:p>
      <w:pPr>
        <w:spacing w:line="360" w:lineRule="auto"/>
        <w:ind w:firstLine="1575" w:firstLineChars="750"/>
        <w:rPr>
          <w:bCs/>
          <w:color w:val="auto"/>
          <w:szCs w:val="21"/>
        </w:rPr>
      </w:pPr>
      <w:r>
        <w:rPr>
          <w:bCs/>
          <w:color w:val="auto"/>
          <w:szCs w:val="21"/>
        </w:rPr>
        <w:t xml:space="preserve">项目名称： </w:t>
      </w:r>
    </w:p>
    <w:p>
      <w:pPr>
        <w:spacing w:line="360" w:lineRule="auto"/>
        <w:rPr>
          <w:bCs/>
          <w:color w:val="auto"/>
          <w:szCs w:val="21"/>
        </w:rPr>
      </w:pPr>
      <w:r>
        <w:rPr>
          <w:bCs/>
          <w:color w:val="auto"/>
          <w:szCs w:val="21"/>
        </w:rPr>
        <w:t xml:space="preserve">               项目编号： </w:t>
      </w:r>
    </w:p>
    <w:p>
      <w:pPr>
        <w:spacing w:line="360" w:lineRule="auto"/>
        <w:ind w:firstLine="1575" w:firstLineChars="750"/>
        <w:rPr>
          <w:bCs/>
          <w:color w:val="auto"/>
          <w:szCs w:val="21"/>
        </w:rPr>
      </w:pPr>
      <w:r>
        <w:rPr>
          <w:bCs/>
          <w:color w:val="auto"/>
          <w:szCs w:val="21"/>
        </w:rPr>
        <w:t>投标文件名称：报价文件/资格证明文件/技术商务文件</w:t>
      </w:r>
    </w:p>
    <w:p>
      <w:pPr>
        <w:pStyle w:val="6"/>
        <w:spacing w:line="360" w:lineRule="auto"/>
        <w:ind w:firstLine="1575" w:firstLineChars="750"/>
        <w:rPr>
          <w:bCs/>
          <w:color w:val="auto"/>
          <w:szCs w:val="21"/>
        </w:rPr>
      </w:pPr>
      <w:r>
        <w:rPr>
          <w:bCs/>
          <w:color w:val="auto"/>
          <w:szCs w:val="21"/>
        </w:rPr>
        <w:t>投标人名称（公章）：</w:t>
      </w:r>
    </w:p>
    <w:p>
      <w:pPr>
        <w:pStyle w:val="6"/>
        <w:spacing w:line="360" w:lineRule="auto"/>
        <w:ind w:firstLine="1575" w:firstLineChars="750"/>
        <w:rPr>
          <w:bCs/>
          <w:color w:val="auto"/>
          <w:szCs w:val="21"/>
        </w:rPr>
      </w:pPr>
      <w:r>
        <w:rPr>
          <w:bCs/>
          <w:color w:val="auto"/>
          <w:szCs w:val="21"/>
        </w:rPr>
        <w:t>投标人地址：</w:t>
      </w:r>
    </w:p>
    <w:p>
      <w:pPr>
        <w:pStyle w:val="6"/>
        <w:spacing w:line="360" w:lineRule="auto"/>
        <w:ind w:firstLine="840" w:firstLineChars="400"/>
        <w:rPr>
          <w:bCs/>
          <w:color w:val="auto"/>
          <w:szCs w:val="21"/>
        </w:rPr>
      </w:pPr>
    </w:p>
    <w:p>
      <w:pPr>
        <w:pStyle w:val="6"/>
        <w:spacing w:line="360" w:lineRule="auto"/>
        <w:ind w:firstLine="873" w:firstLineChars="416"/>
        <w:rPr>
          <w:color w:val="auto"/>
          <w:szCs w:val="21"/>
        </w:rPr>
      </w:pPr>
    </w:p>
    <w:p>
      <w:pPr>
        <w:spacing w:line="360" w:lineRule="auto"/>
        <w:ind w:firstLine="645"/>
        <w:jc w:val="center"/>
        <w:rPr>
          <w:color w:val="auto"/>
          <w:szCs w:val="21"/>
        </w:rPr>
      </w:pPr>
      <w:r>
        <w:rPr>
          <w:color w:val="auto"/>
          <w:szCs w:val="21"/>
        </w:rPr>
        <w:t xml:space="preserve">                        年  月  日</w:t>
      </w:r>
    </w:p>
    <w:p>
      <w:pPr>
        <w:spacing w:line="360" w:lineRule="auto"/>
        <w:rPr>
          <w:b/>
          <w:color w:val="auto"/>
          <w:szCs w:val="21"/>
        </w:rPr>
      </w:pPr>
    </w:p>
    <w:p>
      <w:pPr>
        <w:spacing w:line="360" w:lineRule="auto"/>
        <w:rPr>
          <w:b/>
          <w:color w:val="auto"/>
          <w:szCs w:val="21"/>
        </w:rPr>
      </w:pPr>
    </w:p>
    <w:p>
      <w:pPr>
        <w:spacing w:line="440" w:lineRule="exact"/>
        <w:rPr>
          <w:color w:val="auto"/>
          <w:sz w:val="24"/>
        </w:rPr>
      </w:pPr>
      <w:r>
        <w:rPr>
          <w:color w:val="auto"/>
          <w:lang w:bidi="ar"/>
        </w:rPr>
        <w:t>（若联合体参加投标的，联合体牵头单位盖公章即可）</w:t>
      </w:r>
    </w:p>
    <w:p>
      <w:pPr>
        <w:spacing w:line="360" w:lineRule="auto"/>
        <w:rPr>
          <w:b/>
          <w:color w:val="auto"/>
          <w:szCs w:val="21"/>
        </w:rPr>
      </w:pPr>
    </w:p>
    <w:p>
      <w:pPr>
        <w:spacing w:line="360" w:lineRule="auto"/>
        <w:rPr>
          <w:b/>
          <w:bCs/>
          <w:color w:val="auto"/>
          <w:szCs w:val="21"/>
        </w:rPr>
      </w:pPr>
      <w:r>
        <w:rPr>
          <w:b/>
          <w:color w:val="auto"/>
          <w:szCs w:val="21"/>
        </w:rPr>
        <w:br w:type="page"/>
      </w:r>
      <w:r>
        <w:rPr>
          <w:b/>
          <w:color w:val="auto"/>
          <w:szCs w:val="21"/>
        </w:rPr>
        <w:t>格式一：</w:t>
      </w:r>
    </w:p>
    <w:p>
      <w:pPr>
        <w:pStyle w:val="19"/>
        <w:widowControl/>
        <w:spacing w:line="360" w:lineRule="auto"/>
        <w:jc w:val="center"/>
        <w:rPr>
          <w:rFonts w:ascii="Times New Roman" w:hAnsi="Times New Roman"/>
          <w:b/>
          <w:color w:val="auto"/>
          <w:sz w:val="24"/>
        </w:rPr>
      </w:pPr>
      <w:r>
        <w:rPr>
          <w:rFonts w:ascii="Times New Roman" w:hAnsi="Times New Roman"/>
          <w:b/>
          <w:color w:val="auto"/>
          <w:sz w:val="24"/>
        </w:rPr>
        <w:t>投标声明书</w:t>
      </w:r>
    </w:p>
    <w:p>
      <w:pPr>
        <w:pStyle w:val="19"/>
        <w:spacing w:line="360" w:lineRule="auto"/>
        <w:rPr>
          <w:rFonts w:ascii="Times New Roman" w:hAnsi="Times New Roman"/>
          <w:color w:val="auto"/>
          <w:sz w:val="21"/>
          <w:szCs w:val="21"/>
          <w:u w:val="single"/>
        </w:rPr>
      </w:pPr>
    </w:p>
    <w:p>
      <w:pPr>
        <w:snapToGrid w:val="0"/>
        <w:spacing w:line="360" w:lineRule="auto"/>
        <w:rPr>
          <w:color w:val="auto"/>
          <w:szCs w:val="21"/>
        </w:rPr>
      </w:pPr>
      <w:r>
        <w:rPr>
          <w:color w:val="auto"/>
          <w:szCs w:val="21"/>
        </w:rPr>
        <w:t>致：</w:t>
      </w:r>
      <w:r>
        <w:rPr>
          <w:color w:val="auto"/>
          <w:szCs w:val="21"/>
          <w:u w:val="single"/>
        </w:rPr>
        <w:t xml:space="preserve">                  </w:t>
      </w:r>
      <w:r>
        <w:rPr>
          <w:color w:val="auto"/>
          <w:szCs w:val="21"/>
        </w:rPr>
        <w:t>（采购单位名称）：</w:t>
      </w:r>
    </w:p>
    <w:p>
      <w:pPr>
        <w:snapToGrid w:val="0"/>
        <w:spacing w:line="360" w:lineRule="auto"/>
        <w:ind w:firstLine="420" w:firstLineChars="200"/>
        <w:rPr>
          <w:color w:val="auto"/>
          <w:szCs w:val="21"/>
        </w:rPr>
      </w:pPr>
      <w:r>
        <w:rPr>
          <w:color w:val="auto"/>
          <w:szCs w:val="21"/>
        </w:rPr>
        <w:t>根据贵方为</w:t>
      </w:r>
      <w:r>
        <w:rPr>
          <w:color w:val="auto"/>
          <w:szCs w:val="21"/>
          <w:u w:val="single"/>
        </w:rPr>
        <w:t xml:space="preserve">                       </w:t>
      </w:r>
      <w:r>
        <w:rPr>
          <w:color w:val="auto"/>
          <w:szCs w:val="21"/>
        </w:rPr>
        <w:t>项目的采购公告/投标邀请书（项目编号：</w:t>
      </w:r>
      <w:r>
        <w:rPr>
          <w:color w:val="auto"/>
          <w:szCs w:val="21"/>
          <w:u w:val="single"/>
        </w:rPr>
        <w:t xml:space="preserve">        </w:t>
      </w:r>
      <w:r>
        <w:rPr>
          <w:color w:val="auto"/>
          <w:szCs w:val="21"/>
        </w:rPr>
        <w:t>），签字代表</w:t>
      </w:r>
      <w:r>
        <w:rPr>
          <w:color w:val="auto"/>
          <w:szCs w:val="21"/>
          <w:u w:val="single"/>
        </w:rPr>
        <w:t xml:space="preserve">         </w:t>
      </w:r>
      <w:r>
        <w:rPr>
          <w:color w:val="auto"/>
          <w:szCs w:val="21"/>
        </w:rPr>
        <w:t>（全名）经正式授权并代表供应商</w:t>
      </w:r>
      <w:r>
        <w:rPr>
          <w:color w:val="auto"/>
          <w:szCs w:val="21"/>
          <w:u w:val="single"/>
        </w:rPr>
        <w:t xml:space="preserve">            </w:t>
      </w:r>
      <w:r>
        <w:rPr>
          <w:color w:val="auto"/>
          <w:szCs w:val="21"/>
        </w:rPr>
        <w:t>（供应商名称）提交投标文件。</w:t>
      </w:r>
    </w:p>
    <w:p>
      <w:pPr>
        <w:snapToGrid w:val="0"/>
        <w:spacing w:line="360" w:lineRule="auto"/>
        <w:ind w:firstLine="420" w:firstLineChars="200"/>
        <w:rPr>
          <w:color w:val="auto"/>
          <w:szCs w:val="21"/>
        </w:rPr>
      </w:pPr>
      <w:r>
        <w:rPr>
          <w:color w:val="auto"/>
          <w:szCs w:val="21"/>
        </w:rPr>
        <w:t>据此函，签字代表宣布同意如下：</w:t>
      </w:r>
    </w:p>
    <w:p>
      <w:pPr>
        <w:snapToGrid w:val="0"/>
        <w:spacing w:line="360" w:lineRule="auto"/>
        <w:ind w:firstLine="420" w:firstLineChars="200"/>
        <w:rPr>
          <w:color w:val="auto"/>
          <w:szCs w:val="21"/>
        </w:rPr>
      </w:pPr>
      <w:r>
        <w:rPr>
          <w:color w:val="auto"/>
          <w:szCs w:val="21"/>
        </w:rPr>
        <w:t>1.供应商已详细审查全部“采购文件”，包括修改文件（如有的话）以及全部参考资料和有关附件，已经了解我方对于采购文件、采购过程、采购结果有依法进行询问、质疑、投诉的权利及相关渠道和要求。</w:t>
      </w:r>
    </w:p>
    <w:p>
      <w:pPr>
        <w:snapToGrid w:val="0"/>
        <w:spacing w:line="360" w:lineRule="auto"/>
        <w:ind w:firstLine="420" w:firstLineChars="200"/>
        <w:rPr>
          <w:color w:val="auto"/>
          <w:szCs w:val="21"/>
        </w:rPr>
      </w:pPr>
      <w:r>
        <w:rPr>
          <w:color w:val="auto"/>
          <w:szCs w:val="21"/>
        </w:rPr>
        <w:t>2.供应商在投标之前已经与贵方进行了充分的沟通，完全理解并接受采购文件的各项规定和要求，对采购文件的合理性、合法性不再有异议。</w:t>
      </w:r>
    </w:p>
    <w:p>
      <w:pPr>
        <w:snapToGrid w:val="0"/>
        <w:spacing w:line="360" w:lineRule="auto"/>
        <w:ind w:firstLine="420" w:firstLineChars="200"/>
        <w:rPr>
          <w:color w:val="auto"/>
          <w:szCs w:val="21"/>
        </w:rPr>
      </w:pPr>
      <w:r>
        <w:rPr>
          <w:color w:val="auto"/>
          <w:szCs w:val="21"/>
        </w:rPr>
        <w:t>3.本投标自投标截止之日起</w:t>
      </w:r>
      <w:r>
        <w:rPr>
          <w:color w:val="auto"/>
          <w:szCs w:val="21"/>
          <w:u w:val="single"/>
        </w:rPr>
        <w:t>90</w:t>
      </w:r>
      <w:r>
        <w:rPr>
          <w:color w:val="auto"/>
          <w:szCs w:val="21"/>
        </w:rPr>
        <w:t>天内有效。</w:t>
      </w:r>
    </w:p>
    <w:p>
      <w:pPr>
        <w:snapToGrid w:val="0"/>
        <w:spacing w:line="360" w:lineRule="auto"/>
        <w:ind w:firstLine="420" w:firstLineChars="200"/>
        <w:rPr>
          <w:color w:val="auto"/>
          <w:szCs w:val="21"/>
        </w:rPr>
      </w:pPr>
      <w:r>
        <w:rPr>
          <w:color w:val="auto"/>
          <w:szCs w:val="21"/>
        </w:rPr>
        <w:t>4.如中标，本投标文件至本项目合同履行完毕止均保持有效，本供应商将按“采购文件”及法律、法规的规定履行合同责任和义务。</w:t>
      </w:r>
    </w:p>
    <w:p>
      <w:pPr>
        <w:snapToGrid w:val="0"/>
        <w:spacing w:line="360" w:lineRule="auto"/>
        <w:ind w:firstLine="420" w:firstLineChars="200"/>
        <w:rPr>
          <w:color w:val="auto"/>
          <w:szCs w:val="21"/>
        </w:rPr>
      </w:pPr>
      <w:r>
        <w:rPr>
          <w:color w:val="auto"/>
          <w:szCs w:val="21"/>
        </w:rPr>
        <w:t>5.供应商同意按照贵方要求提供与投标有关的一切数据或资料。</w:t>
      </w:r>
    </w:p>
    <w:p>
      <w:pPr>
        <w:snapToGrid w:val="0"/>
        <w:spacing w:line="360" w:lineRule="auto"/>
        <w:ind w:firstLine="420" w:firstLineChars="200"/>
        <w:rPr>
          <w:color w:val="auto"/>
          <w:szCs w:val="21"/>
        </w:rPr>
      </w:pPr>
      <w:r>
        <w:rPr>
          <w:color w:val="auto"/>
          <w:szCs w:val="21"/>
        </w:rPr>
        <w:t>6.与本投标有关的一切正式往来信函请寄：</w:t>
      </w:r>
    </w:p>
    <w:p>
      <w:pPr>
        <w:snapToGrid w:val="0"/>
        <w:spacing w:line="360" w:lineRule="auto"/>
        <w:ind w:firstLine="420" w:firstLineChars="200"/>
        <w:rPr>
          <w:color w:val="auto"/>
          <w:szCs w:val="21"/>
        </w:rPr>
      </w:pPr>
      <w:r>
        <w:rPr>
          <w:color w:val="auto"/>
          <w:szCs w:val="21"/>
        </w:rPr>
        <w:t>地址：</w:t>
      </w:r>
      <w:r>
        <w:rPr>
          <w:color w:val="auto"/>
          <w:szCs w:val="21"/>
          <w:u w:val="single"/>
        </w:rPr>
        <w:t xml:space="preserve">         </w:t>
      </w:r>
      <w:r>
        <w:rPr>
          <w:color w:val="auto"/>
          <w:szCs w:val="21"/>
        </w:rPr>
        <w:t>邮编：</w:t>
      </w:r>
      <w:r>
        <w:rPr>
          <w:color w:val="auto"/>
          <w:szCs w:val="21"/>
          <w:u w:val="single"/>
        </w:rPr>
        <w:t xml:space="preserve">         </w:t>
      </w:r>
      <w:r>
        <w:rPr>
          <w:color w:val="auto"/>
          <w:szCs w:val="21"/>
        </w:rPr>
        <w:t>电话：</w:t>
      </w:r>
      <w:r>
        <w:rPr>
          <w:color w:val="auto"/>
          <w:szCs w:val="21"/>
          <w:u w:val="single"/>
        </w:rPr>
        <w:t xml:space="preserve">         </w:t>
      </w:r>
    </w:p>
    <w:p>
      <w:pPr>
        <w:snapToGrid w:val="0"/>
        <w:spacing w:line="360" w:lineRule="auto"/>
        <w:ind w:firstLine="420" w:firstLineChars="200"/>
        <w:rPr>
          <w:color w:val="auto"/>
          <w:szCs w:val="21"/>
        </w:rPr>
      </w:pPr>
      <w:r>
        <w:rPr>
          <w:color w:val="auto"/>
          <w:szCs w:val="21"/>
        </w:rPr>
        <w:t>传真：</w:t>
      </w:r>
      <w:r>
        <w:rPr>
          <w:color w:val="auto"/>
          <w:szCs w:val="21"/>
          <w:u w:val="single"/>
        </w:rPr>
        <w:t xml:space="preserve">         </w:t>
      </w:r>
      <w:r>
        <w:rPr>
          <w:color w:val="auto"/>
          <w:szCs w:val="21"/>
        </w:rPr>
        <w:t>供应商代表姓名：</w:t>
      </w:r>
      <w:r>
        <w:rPr>
          <w:color w:val="auto"/>
          <w:szCs w:val="21"/>
          <w:u w:val="single"/>
        </w:rPr>
        <w:t xml:space="preserve">         </w:t>
      </w:r>
      <w:r>
        <w:rPr>
          <w:color w:val="auto"/>
          <w:szCs w:val="21"/>
        </w:rPr>
        <w:t>职务：</w:t>
      </w:r>
      <w:r>
        <w:rPr>
          <w:color w:val="auto"/>
          <w:szCs w:val="21"/>
          <w:u w:val="single"/>
        </w:rPr>
        <w:t xml:space="preserve">         </w:t>
      </w:r>
    </w:p>
    <w:p>
      <w:pPr>
        <w:snapToGrid w:val="0"/>
        <w:spacing w:line="360" w:lineRule="auto"/>
        <w:ind w:firstLine="420" w:firstLineChars="200"/>
        <w:rPr>
          <w:color w:val="auto"/>
          <w:szCs w:val="21"/>
        </w:rPr>
      </w:pPr>
      <w:r>
        <w:rPr>
          <w:color w:val="auto"/>
          <w:szCs w:val="21"/>
        </w:rPr>
        <w:t>供应商名称（公章）：</w:t>
      </w:r>
      <w:r>
        <w:rPr>
          <w:color w:val="auto"/>
          <w:szCs w:val="21"/>
          <w:u w:val="single"/>
        </w:rPr>
        <w:t xml:space="preserve">         </w:t>
      </w:r>
    </w:p>
    <w:p>
      <w:pPr>
        <w:snapToGrid w:val="0"/>
        <w:spacing w:line="360" w:lineRule="auto"/>
        <w:ind w:firstLine="420" w:firstLineChars="200"/>
        <w:rPr>
          <w:color w:val="auto"/>
          <w:szCs w:val="21"/>
        </w:rPr>
      </w:pPr>
      <w:r>
        <w:rPr>
          <w:color w:val="auto"/>
          <w:szCs w:val="21"/>
        </w:rPr>
        <w:t>开户银行：</w:t>
      </w:r>
      <w:r>
        <w:rPr>
          <w:color w:val="auto"/>
          <w:szCs w:val="21"/>
          <w:u w:val="single"/>
        </w:rPr>
        <w:t xml:space="preserve">         </w:t>
      </w:r>
      <w:r>
        <w:rPr>
          <w:color w:val="auto"/>
          <w:szCs w:val="21"/>
        </w:rPr>
        <w:t>银行账号：</w:t>
      </w:r>
      <w:r>
        <w:rPr>
          <w:color w:val="auto"/>
          <w:szCs w:val="21"/>
          <w:u w:val="single"/>
        </w:rPr>
        <w:t xml:space="preserve">         </w:t>
      </w:r>
    </w:p>
    <w:p>
      <w:pPr>
        <w:snapToGrid w:val="0"/>
        <w:spacing w:line="360" w:lineRule="auto"/>
        <w:ind w:firstLine="420" w:firstLineChars="200"/>
        <w:rPr>
          <w:color w:val="auto"/>
          <w:szCs w:val="21"/>
        </w:rPr>
      </w:pPr>
      <w:r>
        <w:rPr>
          <w:color w:val="auto"/>
          <w:szCs w:val="21"/>
        </w:rPr>
        <w:t>授权代表签字或盖章：</w:t>
      </w:r>
      <w:r>
        <w:rPr>
          <w:color w:val="auto"/>
          <w:szCs w:val="21"/>
          <w:u w:val="single"/>
        </w:rPr>
        <w:t xml:space="preserve">         </w:t>
      </w:r>
      <w:r>
        <w:rPr>
          <w:color w:val="auto"/>
          <w:szCs w:val="21"/>
        </w:rPr>
        <w:t xml:space="preserve">                   日期：_____年___月___日</w:t>
      </w:r>
    </w:p>
    <w:p>
      <w:pPr>
        <w:spacing w:line="360" w:lineRule="auto"/>
        <w:rPr>
          <w:b/>
          <w:bCs/>
          <w:color w:val="auto"/>
          <w:szCs w:val="21"/>
        </w:rPr>
      </w:pPr>
    </w:p>
    <w:p>
      <w:pPr>
        <w:spacing w:line="440" w:lineRule="exact"/>
        <w:ind w:firstLine="420" w:firstLineChars="200"/>
        <w:rPr>
          <w:color w:val="auto"/>
          <w:lang w:bidi="ar"/>
        </w:rPr>
      </w:pPr>
    </w:p>
    <w:p>
      <w:pPr>
        <w:spacing w:line="440" w:lineRule="exact"/>
        <w:rPr>
          <w:color w:val="auto"/>
          <w:sz w:val="24"/>
        </w:rPr>
      </w:pPr>
      <w:r>
        <w:rPr>
          <w:color w:val="auto"/>
          <w:lang w:bidi="ar"/>
        </w:rPr>
        <w:t>（若联合体参加投标的，联合体牵头单位提供）</w:t>
      </w:r>
    </w:p>
    <w:p>
      <w:pPr>
        <w:spacing w:line="360" w:lineRule="auto"/>
        <w:rPr>
          <w:b/>
          <w:bCs/>
          <w:color w:val="auto"/>
          <w:szCs w:val="21"/>
        </w:rPr>
      </w:pPr>
      <w:r>
        <w:rPr>
          <w:b/>
          <w:bCs/>
          <w:color w:val="auto"/>
          <w:szCs w:val="21"/>
        </w:rPr>
        <w:br w:type="page"/>
      </w:r>
      <w:r>
        <w:rPr>
          <w:b/>
          <w:color w:val="auto"/>
          <w:szCs w:val="21"/>
        </w:rPr>
        <w:t>格式二：</w:t>
      </w:r>
    </w:p>
    <w:p>
      <w:pPr>
        <w:pStyle w:val="19"/>
        <w:tabs>
          <w:tab w:val="left" w:pos="4841"/>
        </w:tabs>
        <w:spacing w:line="360" w:lineRule="auto"/>
        <w:ind w:firstLine="0"/>
        <w:jc w:val="center"/>
        <w:rPr>
          <w:rFonts w:ascii="Times New Roman" w:hAnsi="Times New Roman"/>
          <w:b/>
          <w:color w:val="auto"/>
          <w:sz w:val="24"/>
        </w:rPr>
      </w:pPr>
      <w:r>
        <w:rPr>
          <w:rFonts w:ascii="Times New Roman" w:hAnsi="Times New Roman"/>
          <w:b/>
          <w:color w:val="auto"/>
          <w:sz w:val="24"/>
        </w:rPr>
        <w:t>开标一览表</w:t>
      </w:r>
    </w:p>
    <w:p>
      <w:pPr>
        <w:pStyle w:val="19"/>
        <w:spacing w:line="360" w:lineRule="auto"/>
        <w:rPr>
          <w:rFonts w:ascii="Times New Roman" w:hAnsi="Times New Roman"/>
          <w:color w:val="auto"/>
          <w:sz w:val="21"/>
          <w:szCs w:val="21"/>
        </w:rPr>
      </w:pPr>
    </w:p>
    <w:p>
      <w:pPr>
        <w:pStyle w:val="19"/>
        <w:spacing w:line="360" w:lineRule="auto"/>
        <w:ind w:firstLine="0"/>
        <w:rPr>
          <w:rFonts w:ascii="Times New Roman" w:hAnsi="Times New Roman"/>
          <w:color w:val="auto"/>
          <w:sz w:val="21"/>
          <w:szCs w:val="21"/>
        </w:rPr>
      </w:pPr>
      <w:r>
        <w:rPr>
          <w:rFonts w:ascii="Times New Roman" w:hAnsi="Times New Roman"/>
          <w:color w:val="auto"/>
          <w:sz w:val="21"/>
          <w:szCs w:val="21"/>
        </w:rPr>
        <w:t>项目名称：</w:t>
      </w:r>
      <w:r>
        <w:rPr>
          <w:rFonts w:ascii="Times New Roman" w:hAnsi="Times New Roman"/>
          <w:color w:val="auto"/>
          <w:sz w:val="21"/>
          <w:szCs w:val="21"/>
          <w:u w:val="single"/>
        </w:rPr>
        <w:t xml:space="preserve">                                       </w:t>
      </w:r>
      <w:r>
        <w:rPr>
          <w:rFonts w:ascii="Times New Roman" w:hAnsi="Times New Roman"/>
          <w:color w:val="auto"/>
          <w:sz w:val="21"/>
          <w:szCs w:val="21"/>
        </w:rPr>
        <w:t>项目编号：</w:t>
      </w:r>
      <w:r>
        <w:rPr>
          <w:rFonts w:ascii="Times New Roman" w:hAnsi="Times New Roman"/>
          <w:color w:val="auto"/>
          <w:sz w:val="21"/>
          <w:szCs w:val="21"/>
          <w:u w:val="single"/>
        </w:rPr>
        <w:t xml:space="preserve">                          </w:t>
      </w:r>
      <w:r>
        <w:rPr>
          <w:rFonts w:ascii="Times New Roman" w:hAnsi="Times New Roman"/>
          <w:color w:val="auto"/>
          <w:sz w:val="21"/>
          <w:szCs w:val="21"/>
        </w:rPr>
        <w:t xml:space="preserve"> </w:t>
      </w:r>
    </w:p>
    <w:tbl>
      <w:tblPr>
        <w:tblStyle w:val="41"/>
        <w:tblW w:w="8597" w:type="dxa"/>
        <w:tblInd w:w="11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891"/>
        <w:gridCol w:w="1001"/>
        <w:gridCol w:w="2778"/>
        <w:gridCol w:w="21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3" w:type="dxa"/>
            <w:vAlign w:val="center"/>
          </w:tcPr>
          <w:p>
            <w:pPr>
              <w:spacing w:line="400" w:lineRule="exact"/>
              <w:jc w:val="center"/>
              <w:rPr>
                <w:color w:val="auto"/>
                <w:szCs w:val="21"/>
              </w:rPr>
            </w:pPr>
            <w:r>
              <w:rPr>
                <w:color w:val="auto"/>
                <w:szCs w:val="21"/>
              </w:rPr>
              <w:t>序号</w:t>
            </w:r>
          </w:p>
        </w:tc>
        <w:tc>
          <w:tcPr>
            <w:tcW w:w="1891" w:type="dxa"/>
            <w:vAlign w:val="center"/>
          </w:tcPr>
          <w:p>
            <w:pPr>
              <w:spacing w:line="400" w:lineRule="exact"/>
              <w:jc w:val="center"/>
              <w:rPr>
                <w:color w:val="auto"/>
                <w:szCs w:val="21"/>
              </w:rPr>
            </w:pPr>
            <w:r>
              <w:rPr>
                <w:color w:val="auto"/>
                <w:szCs w:val="21"/>
              </w:rPr>
              <w:t>设备名称</w:t>
            </w:r>
          </w:p>
        </w:tc>
        <w:tc>
          <w:tcPr>
            <w:tcW w:w="1001" w:type="dxa"/>
            <w:vAlign w:val="center"/>
          </w:tcPr>
          <w:p>
            <w:pPr>
              <w:spacing w:line="400" w:lineRule="exact"/>
              <w:jc w:val="center"/>
              <w:rPr>
                <w:color w:val="auto"/>
                <w:szCs w:val="21"/>
              </w:rPr>
            </w:pPr>
            <w:r>
              <w:rPr>
                <w:color w:val="auto"/>
                <w:szCs w:val="21"/>
              </w:rPr>
              <w:t>数量</w:t>
            </w:r>
          </w:p>
        </w:tc>
        <w:tc>
          <w:tcPr>
            <w:tcW w:w="2778" w:type="dxa"/>
            <w:vAlign w:val="center"/>
          </w:tcPr>
          <w:p>
            <w:pPr>
              <w:spacing w:line="400" w:lineRule="exact"/>
              <w:jc w:val="center"/>
              <w:rPr>
                <w:color w:val="auto"/>
                <w:szCs w:val="21"/>
              </w:rPr>
            </w:pPr>
            <w:r>
              <w:rPr>
                <w:color w:val="auto"/>
                <w:szCs w:val="21"/>
              </w:rPr>
              <w:t>投标报价</w:t>
            </w:r>
          </w:p>
          <w:p>
            <w:pPr>
              <w:spacing w:line="400" w:lineRule="exact"/>
              <w:jc w:val="center"/>
              <w:rPr>
                <w:color w:val="auto"/>
                <w:szCs w:val="21"/>
              </w:rPr>
            </w:pPr>
            <w:r>
              <w:rPr>
                <w:color w:val="auto"/>
                <w:szCs w:val="21"/>
              </w:rPr>
              <w:t>（人民币元）</w:t>
            </w:r>
          </w:p>
        </w:tc>
        <w:tc>
          <w:tcPr>
            <w:tcW w:w="2174" w:type="dxa"/>
            <w:vAlign w:val="center"/>
          </w:tcPr>
          <w:p>
            <w:pPr>
              <w:spacing w:line="400" w:lineRule="exact"/>
              <w:jc w:val="center"/>
              <w:rPr>
                <w:color w:val="auto"/>
                <w:szCs w:val="21"/>
              </w:rPr>
            </w:pPr>
            <w:r>
              <w:rPr>
                <w:rFonts w:hint="eastAsia" w:ascii="宋体" w:hAnsi="宋体" w:cs="宋体"/>
                <w:color w:val="auto"/>
                <w:szCs w:val="21"/>
              </w:rPr>
              <w:t>合同履约期限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753" w:type="dxa"/>
            <w:vAlign w:val="center"/>
          </w:tcPr>
          <w:p>
            <w:pPr>
              <w:spacing w:line="400" w:lineRule="exact"/>
              <w:jc w:val="center"/>
              <w:rPr>
                <w:color w:val="auto"/>
                <w:szCs w:val="21"/>
              </w:rPr>
            </w:pPr>
            <w:r>
              <w:rPr>
                <w:color w:val="auto"/>
                <w:szCs w:val="21"/>
              </w:rPr>
              <w:t>1</w:t>
            </w:r>
          </w:p>
        </w:tc>
        <w:tc>
          <w:tcPr>
            <w:tcW w:w="1891" w:type="dxa"/>
            <w:vAlign w:val="center"/>
          </w:tcPr>
          <w:p>
            <w:pPr>
              <w:spacing w:line="360" w:lineRule="exact"/>
              <w:jc w:val="center"/>
              <w:rPr>
                <w:color w:val="auto"/>
                <w:szCs w:val="21"/>
              </w:rPr>
            </w:pPr>
            <w:r>
              <w:rPr>
                <w:rFonts w:hint="eastAsia" w:ascii="宋体" w:hAnsi="宋体" w:cs="宋体"/>
                <w:color w:val="auto"/>
                <w:szCs w:val="21"/>
              </w:rPr>
              <w:t>余姚市智安小区建设项目</w:t>
            </w:r>
          </w:p>
        </w:tc>
        <w:tc>
          <w:tcPr>
            <w:tcW w:w="1001" w:type="dxa"/>
            <w:vAlign w:val="center"/>
          </w:tcPr>
          <w:p>
            <w:pPr>
              <w:spacing w:line="360" w:lineRule="exact"/>
              <w:jc w:val="center"/>
              <w:rPr>
                <w:color w:val="auto"/>
                <w:szCs w:val="21"/>
              </w:rPr>
            </w:pPr>
            <w:r>
              <w:rPr>
                <w:rFonts w:hint="eastAsia" w:ascii="宋体" w:hAnsi="宋体"/>
                <w:color w:val="auto"/>
                <w:szCs w:val="21"/>
              </w:rPr>
              <w:t>1项</w:t>
            </w:r>
          </w:p>
        </w:tc>
        <w:tc>
          <w:tcPr>
            <w:tcW w:w="2778" w:type="dxa"/>
            <w:vAlign w:val="center"/>
          </w:tcPr>
          <w:p>
            <w:pPr>
              <w:snapToGrid w:val="0"/>
              <w:spacing w:before="50" w:after="50" w:line="360" w:lineRule="auto"/>
              <w:rPr>
                <w:rFonts w:ascii="宋体" w:hAnsi="宋体" w:cs="宋体"/>
                <w:color w:val="auto"/>
                <w:szCs w:val="21"/>
              </w:rPr>
            </w:pPr>
            <w:r>
              <w:rPr>
                <w:rFonts w:hint="eastAsia" w:ascii="宋体" w:hAnsi="宋体" w:cs="宋体"/>
                <w:color w:val="auto"/>
                <w:szCs w:val="21"/>
              </w:rPr>
              <w:t>大写：人民币</w:t>
            </w:r>
            <w:r>
              <w:rPr>
                <w:rFonts w:hint="eastAsia" w:ascii="宋体" w:hAnsi="宋体" w:cs="宋体"/>
                <w:color w:val="auto"/>
                <w:szCs w:val="21"/>
                <w:u w:val="single"/>
              </w:rPr>
              <w:t xml:space="preserve">         </w:t>
            </w:r>
            <w:r>
              <w:rPr>
                <w:rFonts w:hint="eastAsia" w:ascii="宋体" w:hAnsi="宋体" w:cs="宋体"/>
                <w:color w:val="auto"/>
                <w:szCs w:val="21"/>
              </w:rPr>
              <w:t>元</w:t>
            </w:r>
          </w:p>
          <w:p>
            <w:pPr>
              <w:spacing w:line="360" w:lineRule="exact"/>
              <w:rPr>
                <w:color w:val="auto"/>
                <w:szCs w:val="21"/>
              </w:rPr>
            </w:pPr>
            <w:r>
              <w:rPr>
                <w:rFonts w:hint="eastAsia" w:ascii="宋体" w:hAnsi="宋体" w:cs="宋体"/>
                <w:color w:val="auto"/>
                <w:szCs w:val="21"/>
              </w:rPr>
              <w:t xml:space="preserve">小写：人民币 </w:t>
            </w:r>
            <w:r>
              <w:rPr>
                <w:rFonts w:hint="eastAsia" w:ascii="宋体" w:hAnsi="宋体" w:cs="宋体"/>
                <w:color w:val="auto"/>
                <w:szCs w:val="21"/>
                <w:u w:val="single"/>
              </w:rPr>
              <w:t xml:space="preserve">        </w:t>
            </w:r>
            <w:r>
              <w:rPr>
                <w:rFonts w:hint="eastAsia" w:ascii="宋体" w:hAnsi="宋体" w:cs="宋体"/>
                <w:color w:val="auto"/>
                <w:szCs w:val="21"/>
              </w:rPr>
              <w:t>元</w:t>
            </w:r>
          </w:p>
        </w:tc>
        <w:tc>
          <w:tcPr>
            <w:tcW w:w="2174" w:type="dxa"/>
            <w:vAlign w:val="center"/>
          </w:tcPr>
          <w:p>
            <w:pPr>
              <w:spacing w:line="400" w:lineRule="exact"/>
              <w:jc w:val="center"/>
              <w:rPr>
                <w:color w:val="auto"/>
                <w:szCs w:val="21"/>
              </w:rPr>
            </w:pPr>
            <w:r>
              <w:rPr>
                <w:rFonts w:hint="eastAsia" w:ascii="宋体" w:hAnsi="宋体"/>
                <w:color w:val="auto"/>
                <w:szCs w:val="21"/>
              </w:rPr>
              <w:t>合同签订后至2023年8月30日前完成设备安装并投入试运行，试运行期满且稳定后于2023年1</w:t>
            </w:r>
            <w:r>
              <w:rPr>
                <w:rFonts w:ascii="宋体" w:hAnsi="宋体"/>
                <w:color w:val="auto"/>
                <w:szCs w:val="21"/>
              </w:rPr>
              <w:t>1</w:t>
            </w:r>
            <w:r>
              <w:rPr>
                <w:rFonts w:hint="eastAsia" w:ascii="宋体" w:hAnsi="宋体"/>
                <w:color w:val="auto"/>
                <w:szCs w:val="21"/>
              </w:rPr>
              <w:t>月30日前完成验收</w:t>
            </w:r>
            <w:r>
              <w:rPr>
                <w:rFonts w:hint="eastAsia" w:ascii="宋体" w:hAnsi="宋体" w:cs="宋体"/>
                <w:color w:val="auto"/>
                <w:szCs w:val="21"/>
              </w:rPr>
              <w:t>。</w:t>
            </w:r>
          </w:p>
        </w:tc>
      </w:tr>
    </w:tbl>
    <w:p>
      <w:pPr>
        <w:pStyle w:val="19"/>
        <w:spacing w:line="360" w:lineRule="auto"/>
        <w:ind w:firstLine="0"/>
        <w:rPr>
          <w:rFonts w:ascii="Times New Roman" w:hAnsi="Times New Roman"/>
          <w:b/>
          <w:bCs/>
          <w:color w:val="auto"/>
          <w:sz w:val="21"/>
          <w:szCs w:val="21"/>
        </w:rPr>
      </w:pPr>
    </w:p>
    <w:p>
      <w:pPr>
        <w:pStyle w:val="19"/>
        <w:spacing w:line="360" w:lineRule="auto"/>
        <w:ind w:firstLine="0"/>
        <w:rPr>
          <w:rFonts w:ascii="Times New Roman" w:hAnsi="Times New Roman"/>
          <w:b/>
          <w:bCs/>
          <w:color w:val="auto"/>
          <w:sz w:val="21"/>
          <w:szCs w:val="21"/>
        </w:rPr>
      </w:pPr>
      <w:r>
        <w:rPr>
          <w:rFonts w:ascii="Times New Roman" w:hAnsi="Times New Roman"/>
          <w:b/>
          <w:bCs/>
          <w:color w:val="auto"/>
          <w:sz w:val="21"/>
          <w:szCs w:val="21"/>
        </w:rPr>
        <w:t>注：1.报价一经涂改，应在涂改处加盖单位公章或者由法定代表人或授权委托人签名或盖章，否则其投标作无效标处理。</w:t>
      </w:r>
    </w:p>
    <w:p>
      <w:pPr>
        <w:pStyle w:val="19"/>
        <w:spacing w:line="360" w:lineRule="auto"/>
        <w:ind w:firstLine="0"/>
        <w:rPr>
          <w:rFonts w:ascii="Times New Roman" w:hAnsi="Times New Roman"/>
          <w:color w:val="auto"/>
          <w:sz w:val="21"/>
          <w:szCs w:val="21"/>
        </w:rPr>
      </w:pPr>
    </w:p>
    <w:p>
      <w:pPr>
        <w:pStyle w:val="19"/>
        <w:spacing w:line="360" w:lineRule="auto"/>
        <w:ind w:left="693" w:hanging="692" w:hangingChars="343"/>
        <w:rPr>
          <w:rFonts w:ascii="Times New Roman" w:hAnsi="Times New Roman"/>
          <w:color w:val="auto"/>
          <w:sz w:val="21"/>
          <w:szCs w:val="21"/>
        </w:rPr>
      </w:pPr>
    </w:p>
    <w:p>
      <w:pPr>
        <w:pStyle w:val="19"/>
        <w:widowControl/>
        <w:spacing w:line="360" w:lineRule="auto"/>
        <w:jc w:val="left"/>
        <w:rPr>
          <w:rFonts w:ascii="Times New Roman" w:hAnsi="Times New Roman"/>
          <w:color w:val="auto"/>
          <w:sz w:val="21"/>
          <w:szCs w:val="21"/>
        </w:rPr>
      </w:pPr>
      <w:r>
        <w:rPr>
          <w:rFonts w:ascii="Times New Roman" w:hAnsi="Times New Roman"/>
          <w:color w:val="auto"/>
          <w:sz w:val="21"/>
          <w:szCs w:val="21"/>
        </w:rPr>
        <w:t>投标人全称（盖公章）：</w:t>
      </w:r>
    </w:p>
    <w:p>
      <w:pPr>
        <w:pStyle w:val="19"/>
        <w:widowControl/>
        <w:spacing w:line="360" w:lineRule="auto"/>
        <w:jc w:val="left"/>
        <w:rPr>
          <w:rFonts w:ascii="Times New Roman" w:hAnsi="Times New Roman"/>
          <w:color w:val="auto"/>
          <w:sz w:val="21"/>
          <w:szCs w:val="21"/>
        </w:rPr>
      </w:pPr>
    </w:p>
    <w:p>
      <w:pPr>
        <w:pStyle w:val="19"/>
        <w:spacing w:line="360" w:lineRule="auto"/>
        <w:rPr>
          <w:rFonts w:ascii="Times New Roman" w:hAnsi="Times New Roman"/>
          <w:color w:val="auto"/>
          <w:sz w:val="21"/>
          <w:szCs w:val="21"/>
        </w:rPr>
      </w:pPr>
      <w:r>
        <w:rPr>
          <w:rFonts w:ascii="Times New Roman" w:hAnsi="Times New Roman"/>
          <w:color w:val="auto"/>
          <w:sz w:val="21"/>
          <w:szCs w:val="21"/>
        </w:rPr>
        <w:t>日期：年 月 日</w:t>
      </w:r>
    </w:p>
    <w:p>
      <w:pPr>
        <w:spacing w:line="440" w:lineRule="exact"/>
        <w:rPr>
          <w:color w:val="auto"/>
          <w:lang w:bidi="ar"/>
        </w:rPr>
      </w:pPr>
    </w:p>
    <w:p>
      <w:pPr>
        <w:spacing w:line="440" w:lineRule="exact"/>
        <w:rPr>
          <w:color w:val="auto"/>
          <w:sz w:val="24"/>
        </w:rPr>
      </w:pPr>
      <w:r>
        <w:rPr>
          <w:color w:val="auto"/>
          <w:lang w:bidi="ar"/>
        </w:rPr>
        <w:t>（若联合体参加投标的，联合体牵头单位提供）</w:t>
      </w:r>
    </w:p>
    <w:p>
      <w:pPr>
        <w:pStyle w:val="19"/>
        <w:spacing w:line="360" w:lineRule="auto"/>
        <w:ind w:firstLine="0"/>
        <w:rPr>
          <w:rFonts w:ascii="Times New Roman" w:hAnsi="Times New Roman"/>
          <w:b/>
          <w:color w:val="auto"/>
          <w:spacing w:val="0"/>
          <w:sz w:val="21"/>
          <w:szCs w:val="21"/>
        </w:rPr>
      </w:pPr>
      <w:r>
        <w:rPr>
          <w:rFonts w:ascii="Times New Roman" w:hAnsi="Times New Roman"/>
          <w:color w:val="auto"/>
          <w:szCs w:val="21"/>
        </w:rPr>
        <w:br w:type="page"/>
      </w:r>
      <w:r>
        <w:rPr>
          <w:rFonts w:ascii="Times New Roman" w:hAnsi="Times New Roman"/>
          <w:b/>
          <w:color w:val="auto"/>
          <w:spacing w:val="0"/>
          <w:sz w:val="21"/>
          <w:szCs w:val="21"/>
        </w:rPr>
        <w:t>格式三：</w:t>
      </w:r>
    </w:p>
    <w:p>
      <w:pPr>
        <w:rPr>
          <w:b/>
          <w:color w:val="auto"/>
          <w:szCs w:val="21"/>
        </w:rPr>
      </w:pPr>
    </w:p>
    <w:p>
      <w:pPr>
        <w:pStyle w:val="19"/>
        <w:tabs>
          <w:tab w:val="left" w:pos="4841"/>
        </w:tabs>
        <w:spacing w:line="360" w:lineRule="auto"/>
        <w:ind w:firstLine="0"/>
        <w:jc w:val="center"/>
        <w:rPr>
          <w:rFonts w:ascii="Times New Roman" w:hAnsi="Times New Roman"/>
          <w:b/>
          <w:color w:val="auto"/>
          <w:sz w:val="24"/>
        </w:rPr>
      </w:pPr>
      <w:r>
        <w:rPr>
          <w:rFonts w:ascii="Times New Roman" w:hAnsi="Times New Roman"/>
          <w:b/>
          <w:color w:val="auto"/>
          <w:sz w:val="24"/>
        </w:rPr>
        <w:t>分项报价表</w:t>
      </w:r>
    </w:p>
    <w:p>
      <w:pPr>
        <w:pStyle w:val="19"/>
        <w:spacing w:line="360" w:lineRule="auto"/>
        <w:rPr>
          <w:rFonts w:ascii="Times New Roman" w:hAnsi="Times New Roman"/>
          <w:color w:val="auto"/>
          <w:sz w:val="21"/>
          <w:szCs w:val="21"/>
        </w:rPr>
      </w:pPr>
    </w:p>
    <w:p>
      <w:pPr>
        <w:pStyle w:val="19"/>
        <w:spacing w:line="360" w:lineRule="auto"/>
        <w:ind w:firstLine="0"/>
        <w:rPr>
          <w:rFonts w:ascii="Times New Roman" w:hAnsi="Times New Roman"/>
          <w:color w:val="auto"/>
          <w:sz w:val="21"/>
          <w:szCs w:val="21"/>
        </w:rPr>
      </w:pPr>
      <w:r>
        <w:rPr>
          <w:rFonts w:ascii="Times New Roman" w:hAnsi="Times New Roman"/>
          <w:color w:val="auto"/>
          <w:sz w:val="21"/>
          <w:szCs w:val="21"/>
        </w:rPr>
        <w:t>项目名称：</w:t>
      </w:r>
      <w:r>
        <w:rPr>
          <w:rFonts w:ascii="Times New Roman" w:hAnsi="Times New Roman"/>
          <w:color w:val="auto"/>
          <w:sz w:val="21"/>
          <w:szCs w:val="21"/>
          <w:u w:val="single"/>
        </w:rPr>
        <w:t xml:space="preserve">                                       </w:t>
      </w:r>
      <w:r>
        <w:rPr>
          <w:rFonts w:ascii="Times New Roman" w:hAnsi="Times New Roman"/>
          <w:color w:val="auto"/>
          <w:sz w:val="21"/>
          <w:szCs w:val="21"/>
        </w:rPr>
        <w:t>项目编号：</w:t>
      </w:r>
      <w:r>
        <w:rPr>
          <w:rFonts w:ascii="Times New Roman" w:hAnsi="Times New Roman"/>
          <w:color w:val="auto"/>
          <w:sz w:val="21"/>
          <w:szCs w:val="21"/>
          <w:u w:val="single"/>
        </w:rPr>
        <w:t xml:space="preserve">                          </w:t>
      </w:r>
      <w:r>
        <w:rPr>
          <w:rFonts w:ascii="Times New Roman" w:hAnsi="Times New Roman"/>
          <w:color w:val="auto"/>
          <w:sz w:val="21"/>
          <w:szCs w:val="21"/>
        </w:rPr>
        <w:t xml:space="preserve"> </w:t>
      </w:r>
    </w:p>
    <w:tbl>
      <w:tblPr>
        <w:tblStyle w:val="41"/>
        <w:tblW w:w="865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
      <w:tblGrid>
        <w:gridCol w:w="865"/>
        <w:gridCol w:w="1691"/>
        <w:gridCol w:w="2288"/>
        <w:gridCol w:w="867"/>
        <w:gridCol w:w="867"/>
        <w:gridCol w:w="867"/>
        <w:gridCol w:w="12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1134" w:hRule="atLeast"/>
          <w:jc w:val="center"/>
        </w:trPr>
        <w:tc>
          <w:tcPr>
            <w:tcW w:w="865" w:type="dxa"/>
            <w:vAlign w:val="center"/>
          </w:tcPr>
          <w:p>
            <w:pPr>
              <w:spacing w:line="400" w:lineRule="exact"/>
              <w:jc w:val="center"/>
              <w:rPr>
                <w:color w:val="auto"/>
                <w:szCs w:val="21"/>
              </w:rPr>
            </w:pPr>
            <w:r>
              <w:rPr>
                <w:color w:val="auto"/>
                <w:szCs w:val="21"/>
              </w:rPr>
              <w:t>序号</w:t>
            </w:r>
          </w:p>
        </w:tc>
        <w:tc>
          <w:tcPr>
            <w:tcW w:w="1691" w:type="dxa"/>
            <w:vAlign w:val="center"/>
          </w:tcPr>
          <w:p>
            <w:pPr>
              <w:spacing w:line="400" w:lineRule="exact"/>
              <w:jc w:val="center"/>
              <w:rPr>
                <w:color w:val="auto"/>
                <w:szCs w:val="21"/>
              </w:rPr>
            </w:pPr>
            <w:r>
              <w:rPr>
                <w:rFonts w:hint="eastAsia"/>
                <w:color w:val="auto"/>
                <w:szCs w:val="21"/>
              </w:rPr>
              <w:t>货物/</w:t>
            </w:r>
            <w:r>
              <w:rPr>
                <w:color w:val="auto"/>
                <w:szCs w:val="21"/>
              </w:rPr>
              <w:t>服务名称</w:t>
            </w:r>
          </w:p>
        </w:tc>
        <w:tc>
          <w:tcPr>
            <w:tcW w:w="2288" w:type="dxa"/>
            <w:vAlign w:val="center"/>
          </w:tcPr>
          <w:p>
            <w:pPr>
              <w:spacing w:line="400" w:lineRule="exact"/>
              <w:jc w:val="center"/>
              <w:rPr>
                <w:color w:val="auto"/>
                <w:szCs w:val="21"/>
              </w:rPr>
            </w:pPr>
            <w:r>
              <w:rPr>
                <w:color w:val="auto"/>
                <w:szCs w:val="21"/>
              </w:rPr>
              <w:t>单价（人民币元）</w:t>
            </w:r>
          </w:p>
        </w:tc>
        <w:tc>
          <w:tcPr>
            <w:tcW w:w="867" w:type="dxa"/>
            <w:vAlign w:val="center"/>
          </w:tcPr>
          <w:p>
            <w:pPr>
              <w:spacing w:line="400" w:lineRule="exact"/>
              <w:jc w:val="center"/>
              <w:rPr>
                <w:color w:val="auto"/>
                <w:szCs w:val="21"/>
              </w:rPr>
            </w:pPr>
            <w:r>
              <w:rPr>
                <w:color w:val="auto"/>
                <w:szCs w:val="21"/>
              </w:rPr>
              <w:t>数量</w:t>
            </w:r>
          </w:p>
        </w:tc>
        <w:tc>
          <w:tcPr>
            <w:tcW w:w="867" w:type="dxa"/>
            <w:tcBorders>
              <w:right w:val="single" w:color="auto" w:sz="4" w:space="0"/>
            </w:tcBorders>
            <w:vAlign w:val="center"/>
          </w:tcPr>
          <w:p>
            <w:pPr>
              <w:spacing w:line="400" w:lineRule="exact"/>
              <w:jc w:val="center"/>
              <w:rPr>
                <w:rFonts w:hint="eastAsia"/>
                <w:color w:val="auto"/>
                <w:szCs w:val="21"/>
                <w:lang w:val="en-US" w:eastAsia="zh-CN"/>
              </w:rPr>
            </w:pPr>
            <w:r>
              <w:rPr>
                <w:rFonts w:hint="eastAsia"/>
                <w:color w:val="auto"/>
                <w:szCs w:val="21"/>
                <w:lang w:val="en-US" w:eastAsia="zh-CN"/>
              </w:rPr>
              <w:t>产地</w:t>
            </w:r>
          </w:p>
          <w:p>
            <w:pPr>
              <w:spacing w:line="400" w:lineRule="exact"/>
              <w:jc w:val="center"/>
              <w:rPr>
                <w:rFonts w:hint="default" w:eastAsia="宋体"/>
                <w:color w:val="auto"/>
                <w:szCs w:val="21"/>
                <w:lang w:val="en-US" w:eastAsia="zh-CN"/>
              </w:rPr>
            </w:pPr>
            <w:r>
              <w:rPr>
                <w:rFonts w:hint="eastAsia"/>
                <w:color w:val="auto"/>
                <w:szCs w:val="21"/>
                <w:lang w:val="en-US" w:eastAsia="zh-CN"/>
              </w:rPr>
              <w:t>品牌</w:t>
            </w:r>
          </w:p>
        </w:tc>
        <w:tc>
          <w:tcPr>
            <w:tcW w:w="867" w:type="dxa"/>
            <w:tcBorders>
              <w:left w:val="single" w:color="auto" w:sz="4" w:space="0"/>
              <w:right w:val="single" w:color="auto" w:sz="4" w:space="0"/>
            </w:tcBorders>
            <w:vAlign w:val="center"/>
          </w:tcPr>
          <w:p>
            <w:pPr>
              <w:spacing w:line="400" w:lineRule="exact"/>
              <w:jc w:val="center"/>
              <w:rPr>
                <w:rFonts w:hint="eastAsia"/>
                <w:color w:val="auto"/>
                <w:szCs w:val="21"/>
                <w:lang w:val="en-US" w:eastAsia="zh-CN"/>
              </w:rPr>
            </w:pPr>
            <w:r>
              <w:rPr>
                <w:rFonts w:hint="eastAsia"/>
                <w:color w:val="auto"/>
                <w:szCs w:val="21"/>
                <w:lang w:val="en-US" w:eastAsia="zh-CN"/>
              </w:rPr>
              <w:t>规格</w:t>
            </w:r>
          </w:p>
          <w:p>
            <w:pPr>
              <w:spacing w:line="400" w:lineRule="exact"/>
              <w:jc w:val="center"/>
              <w:rPr>
                <w:rFonts w:hint="default" w:eastAsia="宋体"/>
                <w:color w:val="auto"/>
                <w:szCs w:val="21"/>
                <w:lang w:val="en-US" w:eastAsia="zh-CN"/>
              </w:rPr>
            </w:pPr>
            <w:r>
              <w:rPr>
                <w:rFonts w:hint="eastAsia"/>
                <w:color w:val="auto"/>
                <w:szCs w:val="21"/>
                <w:lang w:val="en-US" w:eastAsia="zh-CN"/>
              </w:rPr>
              <w:t>型号</w:t>
            </w:r>
          </w:p>
        </w:tc>
        <w:tc>
          <w:tcPr>
            <w:tcW w:w="1207" w:type="dxa"/>
            <w:tcBorders>
              <w:left w:val="single" w:color="auto" w:sz="4" w:space="0"/>
            </w:tcBorders>
            <w:vAlign w:val="center"/>
          </w:tcPr>
          <w:p>
            <w:pPr>
              <w:spacing w:line="400" w:lineRule="exact"/>
              <w:jc w:val="center"/>
              <w:rPr>
                <w:color w:val="auto"/>
                <w:szCs w:val="21"/>
              </w:rPr>
            </w:pPr>
            <w:r>
              <w:rPr>
                <w:color w:val="auto"/>
                <w:szCs w:val="21"/>
              </w:rPr>
              <w:t>小计（人民币元）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1134" w:hRule="atLeast"/>
          <w:jc w:val="center"/>
        </w:trPr>
        <w:tc>
          <w:tcPr>
            <w:tcW w:w="865" w:type="dxa"/>
            <w:vAlign w:val="center"/>
          </w:tcPr>
          <w:p>
            <w:pPr>
              <w:spacing w:line="400" w:lineRule="exact"/>
              <w:jc w:val="center"/>
              <w:rPr>
                <w:color w:val="auto"/>
                <w:szCs w:val="21"/>
              </w:rPr>
            </w:pPr>
          </w:p>
        </w:tc>
        <w:tc>
          <w:tcPr>
            <w:tcW w:w="1691" w:type="dxa"/>
            <w:vAlign w:val="center"/>
          </w:tcPr>
          <w:p>
            <w:pPr>
              <w:spacing w:line="400" w:lineRule="exact"/>
              <w:jc w:val="center"/>
              <w:rPr>
                <w:color w:val="auto"/>
                <w:szCs w:val="21"/>
              </w:rPr>
            </w:pPr>
          </w:p>
        </w:tc>
        <w:tc>
          <w:tcPr>
            <w:tcW w:w="2288" w:type="dxa"/>
            <w:vAlign w:val="center"/>
          </w:tcPr>
          <w:p>
            <w:pPr>
              <w:spacing w:line="400" w:lineRule="exact"/>
              <w:jc w:val="center"/>
              <w:rPr>
                <w:color w:val="auto"/>
                <w:szCs w:val="21"/>
              </w:rPr>
            </w:pPr>
          </w:p>
        </w:tc>
        <w:tc>
          <w:tcPr>
            <w:tcW w:w="867" w:type="dxa"/>
            <w:vAlign w:val="center"/>
          </w:tcPr>
          <w:p>
            <w:pPr>
              <w:spacing w:line="400" w:lineRule="exact"/>
              <w:jc w:val="center"/>
              <w:rPr>
                <w:color w:val="auto"/>
                <w:szCs w:val="21"/>
              </w:rPr>
            </w:pPr>
          </w:p>
        </w:tc>
        <w:tc>
          <w:tcPr>
            <w:tcW w:w="867" w:type="dxa"/>
            <w:tcBorders>
              <w:right w:val="single" w:color="auto" w:sz="4" w:space="0"/>
            </w:tcBorders>
            <w:vAlign w:val="center"/>
          </w:tcPr>
          <w:p>
            <w:pPr>
              <w:spacing w:line="400" w:lineRule="exact"/>
              <w:rPr>
                <w:color w:val="auto"/>
                <w:szCs w:val="21"/>
              </w:rPr>
            </w:pPr>
          </w:p>
        </w:tc>
        <w:tc>
          <w:tcPr>
            <w:tcW w:w="867" w:type="dxa"/>
            <w:tcBorders>
              <w:left w:val="single" w:color="auto" w:sz="4" w:space="0"/>
              <w:right w:val="single" w:color="auto" w:sz="4" w:space="0"/>
            </w:tcBorders>
            <w:vAlign w:val="center"/>
          </w:tcPr>
          <w:p>
            <w:pPr>
              <w:spacing w:line="400" w:lineRule="exact"/>
              <w:rPr>
                <w:color w:val="auto"/>
                <w:szCs w:val="21"/>
              </w:rPr>
            </w:pPr>
          </w:p>
        </w:tc>
        <w:tc>
          <w:tcPr>
            <w:tcW w:w="1207" w:type="dxa"/>
            <w:tcBorders>
              <w:left w:val="single" w:color="auto" w:sz="4" w:space="0"/>
            </w:tcBorders>
            <w:vAlign w:val="center"/>
          </w:tcPr>
          <w:p>
            <w:pPr>
              <w:spacing w:line="400" w:lineRule="exac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1134" w:hRule="atLeast"/>
          <w:jc w:val="center"/>
        </w:trPr>
        <w:tc>
          <w:tcPr>
            <w:tcW w:w="865" w:type="dxa"/>
            <w:vAlign w:val="center"/>
          </w:tcPr>
          <w:p>
            <w:pPr>
              <w:spacing w:line="400" w:lineRule="exact"/>
              <w:jc w:val="center"/>
              <w:rPr>
                <w:color w:val="auto"/>
                <w:szCs w:val="21"/>
              </w:rPr>
            </w:pPr>
          </w:p>
        </w:tc>
        <w:tc>
          <w:tcPr>
            <w:tcW w:w="1691" w:type="dxa"/>
            <w:vAlign w:val="center"/>
          </w:tcPr>
          <w:p>
            <w:pPr>
              <w:spacing w:line="400" w:lineRule="exact"/>
              <w:jc w:val="center"/>
              <w:rPr>
                <w:color w:val="auto"/>
                <w:szCs w:val="21"/>
              </w:rPr>
            </w:pPr>
          </w:p>
        </w:tc>
        <w:tc>
          <w:tcPr>
            <w:tcW w:w="2288" w:type="dxa"/>
            <w:vAlign w:val="center"/>
          </w:tcPr>
          <w:p>
            <w:pPr>
              <w:spacing w:line="400" w:lineRule="exact"/>
              <w:jc w:val="center"/>
              <w:rPr>
                <w:color w:val="auto"/>
                <w:szCs w:val="21"/>
              </w:rPr>
            </w:pPr>
          </w:p>
        </w:tc>
        <w:tc>
          <w:tcPr>
            <w:tcW w:w="867" w:type="dxa"/>
            <w:vAlign w:val="center"/>
          </w:tcPr>
          <w:p>
            <w:pPr>
              <w:spacing w:line="400" w:lineRule="exact"/>
              <w:jc w:val="center"/>
              <w:rPr>
                <w:color w:val="auto"/>
                <w:szCs w:val="21"/>
              </w:rPr>
            </w:pPr>
          </w:p>
        </w:tc>
        <w:tc>
          <w:tcPr>
            <w:tcW w:w="867" w:type="dxa"/>
            <w:tcBorders>
              <w:right w:val="single" w:color="auto" w:sz="4" w:space="0"/>
            </w:tcBorders>
            <w:vAlign w:val="center"/>
          </w:tcPr>
          <w:p>
            <w:pPr>
              <w:spacing w:line="400" w:lineRule="exact"/>
              <w:rPr>
                <w:color w:val="auto"/>
                <w:szCs w:val="21"/>
              </w:rPr>
            </w:pPr>
          </w:p>
        </w:tc>
        <w:tc>
          <w:tcPr>
            <w:tcW w:w="867" w:type="dxa"/>
            <w:tcBorders>
              <w:left w:val="single" w:color="auto" w:sz="4" w:space="0"/>
              <w:right w:val="single" w:color="auto" w:sz="4" w:space="0"/>
            </w:tcBorders>
            <w:vAlign w:val="center"/>
          </w:tcPr>
          <w:p>
            <w:pPr>
              <w:spacing w:line="400" w:lineRule="exact"/>
              <w:rPr>
                <w:color w:val="auto"/>
                <w:szCs w:val="21"/>
              </w:rPr>
            </w:pPr>
          </w:p>
        </w:tc>
        <w:tc>
          <w:tcPr>
            <w:tcW w:w="1207" w:type="dxa"/>
            <w:tcBorders>
              <w:left w:val="single" w:color="auto" w:sz="4" w:space="0"/>
            </w:tcBorders>
            <w:vAlign w:val="center"/>
          </w:tcPr>
          <w:p>
            <w:pPr>
              <w:spacing w:line="400" w:lineRule="exac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1134" w:hRule="atLeast"/>
          <w:jc w:val="center"/>
        </w:trPr>
        <w:tc>
          <w:tcPr>
            <w:tcW w:w="865" w:type="dxa"/>
            <w:vAlign w:val="center"/>
          </w:tcPr>
          <w:p>
            <w:pPr>
              <w:spacing w:line="400" w:lineRule="exact"/>
              <w:jc w:val="center"/>
              <w:rPr>
                <w:color w:val="auto"/>
                <w:szCs w:val="21"/>
              </w:rPr>
            </w:pPr>
          </w:p>
        </w:tc>
        <w:tc>
          <w:tcPr>
            <w:tcW w:w="1691" w:type="dxa"/>
            <w:vAlign w:val="center"/>
          </w:tcPr>
          <w:p>
            <w:pPr>
              <w:spacing w:line="400" w:lineRule="exact"/>
              <w:jc w:val="center"/>
              <w:rPr>
                <w:color w:val="auto"/>
                <w:szCs w:val="21"/>
              </w:rPr>
            </w:pPr>
          </w:p>
        </w:tc>
        <w:tc>
          <w:tcPr>
            <w:tcW w:w="2288" w:type="dxa"/>
            <w:vAlign w:val="center"/>
          </w:tcPr>
          <w:p>
            <w:pPr>
              <w:spacing w:line="400" w:lineRule="exact"/>
              <w:jc w:val="center"/>
              <w:rPr>
                <w:color w:val="auto"/>
                <w:szCs w:val="21"/>
              </w:rPr>
            </w:pPr>
          </w:p>
        </w:tc>
        <w:tc>
          <w:tcPr>
            <w:tcW w:w="867" w:type="dxa"/>
            <w:vAlign w:val="center"/>
          </w:tcPr>
          <w:p>
            <w:pPr>
              <w:spacing w:line="400" w:lineRule="exact"/>
              <w:jc w:val="center"/>
              <w:rPr>
                <w:color w:val="auto"/>
                <w:szCs w:val="21"/>
              </w:rPr>
            </w:pPr>
          </w:p>
        </w:tc>
        <w:tc>
          <w:tcPr>
            <w:tcW w:w="867" w:type="dxa"/>
            <w:tcBorders>
              <w:right w:val="single" w:color="auto" w:sz="4" w:space="0"/>
            </w:tcBorders>
            <w:vAlign w:val="center"/>
          </w:tcPr>
          <w:p>
            <w:pPr>
              <w:spacing w:line="400" w:lineRule="exact"/>
              <w:rPr>
                <w:color w:val="auto"/>
                <w:szCs w:val="21"/>
              </w:rPr>
            </w:pPr>
          </w:p>
        </w:tc>
        <w:tc>
          <w:tcPr>
            <w:tcW w:w="867" w:type="dxa"/>
            <w:tcBorders>
              <w:left w:val="single" w:color="auto" w:sz="4" w:space="0"/>
              <w:right w:val="single" w:color="auto" w:sz="4" w:space="0"/>
            </w:tcBorders>
            <w:vAlign w:val="center"/>
          </w:tcPr>
          <w:p>
            <w:pPr>
              <w:spacing w:line="400" w:lineRule="exact"/>
              <w:rPr>
                <w:color w:val="auto"/>
                <w:szCs w:val="21"/>
              </w:rPr>
            </w:pPr>
          </w:p>
        </w:tc>
        <w:tc>
          <w:tcPr>
            <w:tcW w:w="1207" w:type="dxa"/>
            <w:tcBorders>
              <w:left w:val="single" w:color="auto" w:sz="4" w:space="0"/>
            </w:tcBorders>
            <w:vAlign w:val="center"/>
          </w:tcPr>
          <w:p>
            <w:pPr>
              <w:spacing w:line="400" w:lineRule="exac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1134" w:hRule="atLeast"/>
          <w:jc w:val="center"/>
        </w:trPr>
        <w:tc>
          <w:tcPr>
            <w:tcW w:w="865" w:type="dxa"/>
            <w:vAlign w:val="center"/>
          </w:tcPr>
          <w:p>
            <w:pPr>
              <w:spacing w:line="400" w:lineRule="exact"/>
              <w:jc w:val="center"/>
              <w:rPr>
                <w:color w:val="auto"/>
                <w:szCs w:val="21"/>
              </w:rPr>
            </w:pPr>
          </w:p>
        </w:tc>
        <w:tc>
          <w:tcPr>
            <w:tcW w:w="1691" w:type="dxa"/>
            <w:vAlign w:val="center"/>
          </w:tcPr>
          <w:p>
            <w:pPr>
              <w:spacing w:line="400" w:lineRule="exact"/>
              <w:jc w:val="center"/>
              <w:rPr>
                <w:color w:val="auto"/>
                <w:szCs w:val="21"/>
              </w:rPr>
            </w:pPr>
          </w:p>
        </w:tc>
        <w:tc>
          <w:tcPr>
            <w:tcW w:w="2288" w:type="dxa"/>
            <w:vAlign w:val="center"/>
          </w:tcPr>
          <w:p>
            <w:pPr>
              <w:spacing w:line="400" w:lineRule="exact"/>
              <w:jc w:val="center"/>
              <w:rPr>
                <w:color w:val="auto"/>
                <w:szCs w:val="21"/>
              </w:rPr>
            </w:pPr>
          </w:p>
        </w:tc>
        <w:tc>
          <w:tcPr>
            <w:tcW w:w="867" w:type="dxa"/>
            <w:vAlign w:val="center"/>
          </w:tcPr>
          <w:p>
            <w:pPr>
              <w:spacing w:line="400" w:lineRule="exact"/>
              <w:jc w:val="center"/>
              <w:rPr>
                <w:color w:val="auto"/>
                <w:szCs w:val="21"/>
              </w:rPr>
            </w:pPr>
          </w:p>
        </w:tc>
        <w:tc>
          <w:tcPr>
            <w:tcW w:w="867" w:type="dxa"/>
            <w:tcBorders>
              <w:right w:val="single" w:color="auto" w:sz="4" w:space="0"/>
            </w:tcBorders>
            <w:vAlign w:val="center"/>
          </w:tcPr>
          <w:p>
            <w:pPr>
              <w:spacing w:line="400" w:lineRule="exact"/>
              <w:rPr>
                <w:color w:val="auto"/>
                <w:szCs w:val="21"/>
              </w:rPr>
            </w:pPr>
          </w:p>
        </w:tc>
        <w:tc>
          <w:tcPr>
            <w:tcW w:w="867" w:type="dxa"/>
            <w:tcBorders>
              <w:left w:val="single" w:color="auto" w:sz="4" w:space="0"/>
              <w:right w:val="single" w:color="auto" w:sz="4" w:space="0"/>
            </w:tcBorders>
            <w:vAlign w:val="center"/>
          </w:tcPr>
          <w:p>
            <w:pPr>
              <w:spacing w:line="400" w:lineRule="exact"/>
              <w:rPr>
                <w:color w:val="auto"/>
                <w:szCs w:val="21"/>
              </w:rPr>
            </w:pPr>
          </w:p>
        </w:tc>
        <w:tc>
          <w:tcPr>
            <w:tcW w:w="1207" w:type="dxa"/>
            <w:tcBorders>
              <w:left w:val="single" w:color="auto" w:sz="4" w:space="0"/>
            </w:tcBorders>
            <w:vAlign w:val="center"/>
          </w:tcPr>
          <w:p>
            <w:pPr>
              <w:spacing w:line="400" w:lineRule="exac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1134" w:hRule="atLeast"/>
          <w:jc w:val="center"/>
        </w:trPr>
        <w:tc>
          <w:tcPr>
            <w:tcW w:w="2556" w:type="dxa"/>
            <w:gridSpan w:val="2"/>
            <w:vAlign w:val="center"/>
          </w:tcPr>
          <w:p>
            <w:pPr>
              <w:spacing w:line="400" w:lineRule="exact"/>
              <w:jc w:val="center"/>
              <w:rPr>
                <w:color w:val="auto"/>
                <w:szCs w:val="21"/>
              </w:rPr>
            </w:pPr>
            <w:r>
              <w:rPr>
                <w:color w:val="auto"/>
                <w:szCs w:val="21"/>
              </w:rPr>
              <w:t>投标报价</w:t>
            </w:r>
          </w:p>
          <w:p>
            <w:pPr>
              <w:spacing w:line="400" w:lineRule="exact"/>
              <w:jc w:val="center"/>
              <w:rPr>
                <w:color w:val="auto"/>
                <w:szCs w:val="21"/>
              </w:rPr>
            </w:pPr>
            <w:r>
              <w:rPr>
                <w:color w:val="auto"/>
                <w:szCs w:val="21"/>
              </w:rPr>
              <w:t>（人民币元）</w:t>
            </w:r>
          </w:p>
        </w:tc>
        <w:tc>
          <w:tcPr>
            <w:tcW w:w="6096" w:type="dxa"/>
            <w:gridSpan w:val="5"/>
            <w:vAlign w:val="center"/>
          </w:tcPr>
          <w:p>
            <w:pPr>
              <w:spacing w:line="400" w:lineRule="exact"/>
              <w:rPr>
                <w:color w:val="auto"/>
                <w:szCs w:val="21"/>
              </w:rPr>
            </w:pPr>
            <w:r>
              <w:rPr>
                <w:color w:val="auto"/>
                <w:szCs w:val="21"/>
              </w:rPr>
              <w:t>大写：</w:t>
            </w:r>
          </w:p>
          <w:p>
            <w:pPr>
              <w:spacing w:line="400" w:lineRule="exact"/>
              <w:rPr>
                <w:color w:val="auto"/>
                <w:szCs w:val="21"/>
              </w:rPr>
            </w:pPr>
            <w:r>
              <w:rPr>
                <w:color w:val="auto"/>
                <w:szCs w:val="21"/>
              </w:rPr>
              <w:t>小写：</w:t>
            </w:r>
          </w:p>
        </w:tc>
      </w:tr>
    </w:tbl>
    <w:p>
      <w:pPr>
        <w:pStyle w:val="19"/>
        <w:spacing w:line="360" w:lineRule="auto"/>
        <w:ind w:left="683" w:leftChars="187" w:hanging="290" w:hangingChars="143"/>
        <w:rPr>
          <w:rFonts w:ascii="Times New Roman" w:hAnsi="Times New Roman"/>
          <w:b/>
          <w:bCs/>
          <w:color w:val="auto"/>
          <w:sz w:val="21"/>
          <w:szCs w:val="21"/>
        </w:rPr>
      </w:pPr>
      <w:r>
        <w:rPr>
          <w:rFonts w:ascii="Times New Roman" w:hAnsi="Times New Roman"/>
          <w:b/>
          <w:bCs/>
          <w:color w:val="auto"/>
          <w:sz w:val="21"/>
          <w:szCs w:val="21"/>
        </w:rPr>
        <w:t>注：</w:t>
      </w:r>
      <w:r>
        <w:rPr>
          <w:rFonts w:hint="eastAsia" w:ascii="Times New Roman" w:hAnsi="Times New Roman"/>
          <w:b/>
          <w:bCs/>
          <w:color w:val="auto"/>
          <w:sz w:val="21"/>
          <w:szCs w:val="21"/>
        </w:rPr>
        <w:t>1、</w:t>
      </w:r>
      <w:r>
        <w:rPr>
          <w:rFonts w:ascii="Times New Roman" w:hAnsi="Times New Roman"/>
          <w:b/>
          <w:bCs/>
          <w:color w:val="auto"/>
          <w:sz w:val="21"/>
          <w:szCs w:val="21"/>
        </w:rPr>
        <w:t>“分项报价表”中“投标报价”应与“开标一览表”中“投标报价”一致</w:t>
      </w:r>
      <w:r>
        <w:rPr>
          <w:rFonts w:hint="eastAsia" w:ascii="Times New Roman" w:hAnsi="Times New Roman"/>
          <w:b/>
          <w:bCs/>
          <w:color w:val="auto"/>
          <w:sz w:val="21"/>
          <w:szCs w:val="21"/>
        </w:rPr>
        <w:t>；</w:t>
      </w:r>
    </w:p>
    <w:p>
      <w:pPr>
        <w:pStyle w:val="19"/>
        <w:spacing w:line="360" w:lineRule="auto"/>
        <w:ind w:left="683" w:leftChars="187" w:hanging="290" w:hangingChars="143"/>
        <w:rPr>
          <w:color w:val="auto"/>
        </w:rPr>
      </w:pPr>
      <w:r>
        <w:rPr>
          <w:rFonts w:hint="eastAsia"/>
          <w:b/>
          <w:bCs/>
          <w:color w:val="auto"/>
          <w:sz w:val="21"/>
          <w:szCs w:val="21"/>
        </w:rPr>
        <w:t>2、本项目预备费</w:t>
      </w:r>
      <w:r>
        <w:rPr>
          <w:b/>
          <w:bCs/>
          <w:color w:val="auto"/>
          <w:sz w:val="21"/>
          <w:szCs w:val="21"/>
        </w:rPr>
        <w:t>140</w:t>
      </w:r>
      <w:r>
        <w:rPr>
          <w:rFonts w:hint="eastAsia"/>
          <w:b/>
          <w:bCs/>
          <w:color w:val="auto"/>
          <w:sz w:val="21"/>
          <w:szCs w:val="21"/>
        </w:rPr>
        <w:t>万元不得调整，否则其投标作无效标处理。</w:t>
      </w:r>
    </w:p>
    <w:p>
      <w:pPr>
        <w:pStyle w:val="19"/>
        <w:spacing w:line="360" w:lineRule="auto"/>
        <w:ind w:left="693" w:hanging="692" w:hangingChars="343"/>
        <w:rPr>
          <w:rFonts w:ascii="Times New Roman" w:hAnsi="Times New Roman"/>
          <w:color w:val="auto"/>
          <w:sz w:val="21"/>
          <w:szCs w:val="21"/>
        </w:rPr>
      </w:pPr>
    </w:p>
    <w:p>
      <w:pPr>
        <w:pStyle w:val="19"/>
        <w:widowControl/>
        <w:spacing w:line="360" w:lineRule="auto"/>
        <w:jc w:val="left"/>
        <w:rPr>
          <w:rFonts w:ascii="Times New Roman" w:hAnsi="Times New Roman"/>
          <w:color w:val="auto"/>
          <w:sz w:val="21"/>
          <w:szCs w:val="21"/>
        </w:rPr>
      </w:pPr>
      <w:r>
        <w:rPr>
          <w:rFonts w:ascii="Times New Roman" w:hAnsi="Times New Roman"/>
          <w:color w:val="auto"/>
          <w:sz w:val="21"/>
          <w:szCs w:val="21"/>
        </w:rPr>
        <w:t>投标人全称（盖公章）：</w:t>
      </w:r>
    </w:p>
    <w:p>
      <w:pPr>
        <w:pStyle w:val="19"/>
        <w:widowControl/>
        <w:spacing w:line="360" w:lineRule="auto"/>
        <w:jc w:val="left"/>
        <w:rPr>
          <w:rFonts w:ascii="Times New Roman" w:hAnsi="Times New Roman"/>
          <w:color w:val="auto"/>
          <w:sz w:val="21"/>
          <w:szCs w:val="21"/>
        </w:rPr>
      </w:pPr>
    </w:p>
    <w:p>
      <w:pPr>
        <w:pStyle w:val="19"/>
        <w:spacing w:line="360" w:lineRule="auto"/>
        <w:rPr>
          <w:rFonts w:ascii="Times New Roman" w:hAnsi="Times New Roman"/>
          <w:color w:val="auto"/>
          <w:sz w:val="21"/>
          <w:szCs w:val="21"/>
        </w:rPr>
      </w:pPr>
      <w:r>
        <w:rPr>
          <w:rFonts w:ascii="Times New Roman" w:hAnsi="Times New Roman"/>
          <w:color w:val="auto"/>
          <w:sz w:val="21"/>
          <w:szCs w:val="21"/>
        </w:rPr>
        <w:t>日期：年 月 日</w:t>
      </w:r>
    </w:p>
    <w:p>
      <w:pPr>
        <w:pStyle w:val="39"/>
        <w:ind w:firstLine="344"/>
        <w:rPr>
          <w:color w:val="auto"/>
        </w:rPr>
      </w:pPr>
    </w:p>
    <w:p>
      <w:pPr>
        <w:rPr>
          <w:color w:val="auto"/>
        </w:rPr>
      </w:pPr>
    </w:p>
    <w:p>
      <w:pPr>
        <w:spacing w:line="440" w:lineRule="exact"/>
        <w:rPr>
          <w:color w:val="auto"/>
          <w:sz w:val="24"/>
        </w:rPr>
      </w:pPr>
      <w:r>
        <w:rPr>
          <w:color w:val="auto"/>
          <w:lang w:bidi="ar"/>
        </w:rPr>
        <w:t>（若联合体参加投标的，联合体牵头单位提供）</w:t>
      </w:r>
    </w:p>
    <w:p>
      <w:pPr>
        <w:pStyle w:val="17"/>
        <w:ind w:firstLine="210"/>
        <w:rPr>
          <w:rFonts w:ascii="Times New Roman" w:hAnsi="Times New Roman"/>
          <w:color w:val="auto"/>
        </w:rPr>
        <w:sectPr>
          <w:pgSz w:w="11906" w:h="16838"/>
          <w:pgMar w:top="1440" w:right="1803" w:bottom="1440" w:left="1803" w:header="851" w:footer="850" w:gutter="0"/>
          <w:cols w:space="720" w:num="1"/>
          <w:docGrid w:linePitch="312" w:charSpace="0"/>
        </w:sectPr>
      </w:pPr>
    </w:p>
    <w:p>
      <w:pPr>
        <w:pStyle w:val="19"/>
        <w:spacing w:line="360" w:lineRule="auto"/>
        <w:ind w:firstLine="0"/>
        <w:rPr>
          <w:rFonts w:ascii="Times New Roman" w:hAnsi="Times New Roman"/>
          <w:b/>
          <w:color w:val="auto"/>
          <w:szCs w:val="21"/>
        </w:rPr>
      </w:pPr>
      <w:r>
        <w:rPr>
          <w:rFonts w:ascii="Times New Roman" w:hAnsi="Times New Roman"/>
          <w:b/>
          <w:color w:val="auto"/>
          <w:spacing w:val="0"/>
          <w:sz w:val="21"/>
          <w:szCs w:val="21"/>
        </w:rPr>
        <w:t>格式四：</w:t>
      </w:r>
    </w:p>
    <w:p>
      <w:pPr>
        <w:adjustRightInd w:val="0"/>
        <w:spacing w:line="360" w:lineRule="auto"/>
        <w:jc w:val="center"/>
        <w:rPr>
          <w:b/>
          <w:color w:val="auto"/>
          <w:sz w:val="24"/>
        </w:rPr>
      </w:pPr>
      <w:r>
        <w:rPr>
          <w:b/>
          <w:color w:val="auto"/>
          <w:sz w:val="24"/>
        </w:rPr>
        <w:t>资格条件自查表</w:t>
      </w:r>
    </w:p>
    <w:tbl>
      <w:tblPr>
        <w:tblStyle w:val="41"/>
        <w:tblW w:w="8295" w:type="dxa"/>
        <w:tblInd w:w="12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0"/>
        <w:gridCol w:w="4320"/>
        <w:gridCol w:w="1167"/>
        <w:gridCol w:w="20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5" w:hRule="atLeast"/>
          <w:tblHeader/>
        </w:trPr>
        <w:tc>
          <w:tcPr>
            <w:tcW w:w="780" w:type="dxa"/>
            <w:vAlign w:val="center"/>
          </w:tcPr>
          <w:p>
            <w:pPr>
              <w:widowControl/>
              <w:adjustRightInd w:val="0"/>
              <w:spacing w:line="400" w:lineRule="exact"/>
              <w:jc w:val="center"/>
              <w:rPr>
                <w:b/>
                <w:color w:val="auto"/>
                <w:sz w:val="24"/>
              </w:rPr>
            </w:pPr>
            <w:r>
              <w:rPr>
                <w:rStyle w:val="44"/>
                <w:color w:val="auto"/>
                <w:szCs w:val="21"/>
              </w:rPr>
              <w:t>评审内容</w:t>
            </w:r>
          </w:p>
        </w:tc>
        <w:tc>
          <w:tcPr>
            <w:tcW w:w="4320" w:type="dxa"/>
            <w:vAlign w:val="center"/>
          </w:tcPr>
          <w:p>
            <w:pPr>
              <w:widowControl/>
              <w:adjustRightInd w:val="0"/>
              <w:spacing w:line="400" w:lineRule="exact"/>
              <w:jc w:val="center"/>
              <w:rPr>
                <w:b/>
                <w:color w:val="auto"/>
                <w:sz w:val="24"/>
              </w:rPr>
            </w:pPr>
            <w:r>
              <w:rPr>
                <w:rStyle w:val="44"/>
                <w:color w:val="auto"/>
                <w:szCs w:val="21"/>
              </w:rPr>
              <w:t>招标文件要求</w:t>
            </w:r>
          </w:p>
        </w:tc>
        <w:tc>
          <w:tcPr>
            <w:tcW w:w="1167" w:type="dxa"/>
            <w:vAlign w:val="center"/>
          </w:tcPr>
          <w:p>
            <w:pPr>
              <w:widowControl/>
              <w:adjustRightInd w:val="0"/>
              <w:spacing w:line="400" w:lineRule="exact"/>
              <w:jc w:val="center"/>
              <w:rPr>
                <w:b/>
                <w:color w:val="auto"/>
                <w:sz w:val="24"/>
              </w:rPr>
            </w:pPr>
            <w:r>
              <w:rPr>
                <w:rStyle w:val="44"/>
                <w:color w:val="auto"/>
                <w:szCs w:val="21"/>
              </w:rPr>
              <w:t>自查结论</w:t>
            </w:r>
          </w:p>
        </w:tc>
        <w:tc>
          <w:tcPr>
            <w:tcW w:w="2028" w:type="dxa"/>
            <w:vAlign w:val="center"/>
          </w:tcPr>
          <w:p>
            <w:pPr>
              <w:widowControl/>
              <w:adjustRightInd w:val="0"/>
              <w:spacing w:line="400" w:lineRule="exact"/>
              <w:jc w:val="center"/>
              <w:rPr>
                <w:b/>
                <w:color w:val="auto"/>
                <w:sz w:val="24"/>
              </w:rPr>
            </w:pPr>
            <w:r>
              <w:rPr>
                <w:rStyle w:val="44"/>
                <w:color w:val="auto"/>
                <w:szCs w:val="21"/>
              </w:rPr>
              <w:t>证明资料页码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Merge w:val="restart"/>
            <w:vAlign w:val="center"/>
          </w:tcPr>
          <w:p>
            <w:pPr>
              <w:pStyle w:val="140"/>
              <w:adjustRightInd w:val="0"/>
              <w:spacing w:before="0" w:beforeAutospacing="0" w:after="0" w:afterAutospacing="0" w:line="400" w:lineRule="exact"/>
              <w:jc w:val="center"/>
              <w:rPr>
                <w:rFonts w:ascii="Times New Roman" w:hAnsi="Times New Roman"/>
                <w:b/>
                <w:color w:val="auto"/>
                <w:sz w:val="21"/>
                <w:szCs w:val="21"/>
              </w:rPr>
            </w:pPr>
            <w:r>
              <w:rPr>
                <w:rFonts w:ascii="Times New Roman" w:hAnsi="Times New Roman"/>
                <w:b/>
                <w:color w:val="auto"/>
                <w:sz w:val="21"/>
                <w:szCs w:val="21"/>
              </w:rPr>
              <w:t>资</w:t>
            </w:r>
          </w:p>
          <w:p>
            <w:pPr>
              <w:pStyle w:val="140"/>
              <w:adjustRightInd w:val="0"/>
              <w:spacing w:before="0" w:beforeAutospacing="0" w:after="0" w:afterAutospacing="0" w:line="400" w:lineRule="exact"/>
              <w:jc w:val="center"/>
              <w:rPr>
                <w:rFonts w:ascii="Times New Roman" w:hAnsi="Times New Roman"/>
                <w:b/>
                <w:color w:val="auto"/>
                <w:sz w:val="21"/>
                <w:szCs w:val="21"/>
              </w:rPr>
            </w:pPr>
            <w:r>
              <w:rPr>
                <w:rFonts w:ascii="Times New Roman" w:hAnsi="Times New Roman"/>
                <w:b/>
                <w:color w:val="auto"/>
                <w:sz w:val="21"/>
                <w:szCs w:val="21"/>
              </w:rPr>
              <w:t>格</w:t>
            </w:r>
          </w:p>
          <w:p>
            <w:pPr>
              <w:pStyle w:val="140"/>
              <w:adjustRightInd w:val="0"/>
              <w:spacing w:before="0" w:beforeAutospacing="0" w:after="0" w:afterAutospacing="0" w:line="400" w:lineRule="exact"/>
              <w:jc w:val="center"/>
              <w:rPr>
                <w:rFonts w:ascii="Times New Roman" w:hAnsi="Times New Roman"/>
                <w:b/>
                <w:color w:val="auto"/>
                <w:sz w:val="21"/>
                <w:szCs w:val="21"/>
              </w:rPr>
            </w:pPr>
            <w:r>
              <w:rPr>
                <w:rFonts w:ascii="Times New Roman" w:hAnsi="Times New Roman"/>
                <w:b/>
                <w:color w:val="auto"/>
                <w:sz w:val="21"/>
                <w:szCs w:val="21"/>
              </w:rPr>
              <w:t>性</w:t>
            </w:r>
          </w:p>
          <w:p>
            <w:pPr>
              <w:pStyle w:val="140"/>
              <w:adjustRightInd w:val="0"/>
              <w:spacing w:before="0" w:beforeAutospacing="0" w:after="0" w:afterAutospacing="0" w:line="400" w:lineRule="exact"/>
              <w:jc w:val="center"/>
              <w:rPr>
                <w:rFonts w:ascii="Times New Roman" w:hAnsi="Times New Roman"/>
                <w:b/>
                <w:color w:val="auto"/>
                <w:sz w:val="21"/>
                <w:szCs w:val="21"/>
              </w:rPr>
            </w:pPr>
            <w:r>
              <w:rPr>
                <w:rFonts w:ascii="Times New Roman" w:hAnsi="Times New Roman"/>
                <w:b/>
                <w:color w:val="auto"/>
                <w:sz w:val="21"/>
                <w:szCs w:val="21"/>
              </w:rPr>
              <w:t>审</w:t>
            </w:r>
          </w:p>
          <w:p>
            <w:pPr>
              <w:widowControl/>
              <w:adjustRightInd w:val="0"/>
              <w:spacing w:line="400" w:lineRule="exact"/>
              <w:jc w:val="center"/>
              <w:rPr>
                <w:b/>
                <w:color w:val="auto"/>
                <w:sz w:val="24"/>
              </w:rPr>
            </w:pPr>
            <w:r>
              <w:rPr>
                <w:b/>
                <w:color w:val="auto"/>
                <w:szCs w:val="21"/>
              </w:rPr>
              <w:t>查</w:t>
            </w:r>
          </w:p>
        </w:tc>
        <w:tc>
          <w:tcPr>
            <w:tcW w:w="4320" w:type="dxa"/>
            <w:vAlign w:val="center"/>
          </w:tcPr>
          <w:p>
            <w:pPr>
              <w:widowControl/>
              <w:adjustRightInd w:val="0"/>
              <w:spacing w:line="400" w:lineRule="exact"/>
              <w:rPr>
                <w:b/>
                <w:color w:val="auto"/>
                <w:sz w:val="24"/>
              </w:rPr>
            </w:pPr>
            <w:r>
              <w:rPr>
                <w:color w:val="auto"/>
                <w:szCs w:val="21"/>
              </w:rPr>
              <w:t>一、投标人具备《</w:t>
            </w:r>
            <w:r>
              <w:rPr>
                <w:color w:val="auto"/>
              </w:rPr>
              <w:t>中华人民共和国政府采购法</w:t>
            </w:r>
            <w:r>
              <w:rPr>
                <w:color w:val="auto"/>
                <w:szCs w:val="21"/>
              </w:rPr>
              <w:t>》第二十二条所规定的条件</w:t>
            </w:r>
            <w:r>
              <w:rPr>
                <w:color w:val="auto"/>
                <w:kern w:val="0"/>
                <w:szCs w:val="21"/>
                <w:lang w:bidi="ar"/>
              </w:rPr>
              <w:t>（提供《</w:t>
            </w:r>
            <w:r>
              <w:rPr>
                <w:color w:val="auto"/>
              </w:rPr>
              <w:t>书面声明</w:t>
            </w:r>
            <w:r>
              <w:rPr>
                <w:color w:val="auto"/>
                <w:kern w:val="0"/>
                <w:szCs w:val="21"/>
                <w:lang w:bidi="ar"/>
              </w:rPr>
              <w:t>》）</w:t>
            </w:r>
            <w:r>
              <w:rPr>
                <w:color w:val="auto"/>
                <w:szCs w:val="21"/>
              </w:rPr>
              <w:t>：</w:t>
            </w:r>
          </w:p>
        </w:tc>
        <w:tc>
          <w:tcPr>
            <w:tcW w:w="1167" w:type="dxa"/>
            <w:vAlign w:val="center"/>
          </w:tcPr>
          <w:p>
            <w:pPr>
              <w:widowControl/>
              <w:adjustRightInd w:val="0"/>
              <w:spacing w:line="400" w:lineRule="exact"/>
              <w:rPr>
                <w:color w:val="auto"/>
                <w:szCs w:val="21"/>
              </w:rPr>
            </w:pPr>
            <w:r>
              <w:rPr>
                <w:color w:val="auto"/>
                <w:szCs w:val="21"/>
              </w:rPr>
              <w:t xml:space="preserve">□通过 </w:t>
            </w:r>
          </w:p>
          <w:p>
            <w:pPr>
              <w:widowControl/>
              <w:adjustRightInd w:val="0"/>
              <w:spacing w:line="400" w:lineRule="exact"/>
              <w:rPr>
                <w:b/>
                <w:color w:val="auto"/>
                <w:sz w:val="24"/>
              </w:rPr>
            </w:pPr>
            <w:r>
              <w:rPr>
                <w:color w:val="auto"/>
                <w:szCs w:val="21"/>
              </w:rPr>
              <w:t>□不通过</w:t>
            </w:r>
          </w:p>
        </w:tc>
        <w:tc>
          <w:tcPr>
            <w:tcW w:w="2028" w:type="dxa"/>
            <w:vAlign w:val="center"/>
          </w:tcPr>
          <w:p>
            <w:pPr>
              <w:widowControl/>
              <w:adjustRightInd w:val="0"/>
              <w:spacing w:line="400" w:lineRule="exact"/>
              <w:jc w:val="center"/>
              <w:rPr>
                <w:b/>
                <w:color w:val="auto"/>
                <w:sz w:val="24"/>
              </w:rPr>
            </w:pPr>
            <w:r>
              <w:rPr>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Merge w:val="continue"/>
          </w:tcPr>
          <w:p>
            <w:pPr>
              <w:widowControl/>
              <w:adjustRightInd w:val="0"/>
              <w:spacing w:line="400" w:lineRule="exact"/>
              <w:rPr>
                <w:bCs/>
                <w:color w:val="auto"/>
                <w:szCs w:val="28"/>
              </w:rPr>
            </w:pPr>
          </w:p>
        </w:tc>
        <w:tc>
          <w:tcPr>
            <w:tcW w:w="4320" w:type="dxa"/>
            <w:vAlign w:val="center"/>
          </w:tcPr>
          <w:p>
            <w:pPr>
              <w:widowControl/>
              <w:adjustRightInd w:val="0"/>
              <w:spacing w:line="400" w:lineRule="exact"/>
              <w:rPr>
                <w:bCs/>
                <w:color w:val="auto"/>
                <w:szCs w:val="28"/>
              </w:rPr>
            </w:pPr>
            <w:r>
              <w:rPr>
                <w:bCs/>
                <w:color w:val="auto"/>
                <w:szCs w:val="28"/>
              </w:rPr>
              <w:t>二、</w:t>
            </w:r>
            <w:r>
              <w:rPr>
                <w:color w:val="auto"/>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及中国政府采购网查询结果为准，如相关失信记录已失效，投标人需提供相关证明资料）。</w:t>
            </w:r>
          </w:p>
        </w:tc>
        <w:tc>
          <w:tcPr>
            <w:tcW w:w="1167" w:type="dxa"/>
            <w:vAlign w:val="center"/>
          </w:tcPr>
          <w:p>
            <w:pPr>
              <w:widowControl/>
              <w:adjustRightInd w:val="0"/>
              <w:spacing w:line="400" w:lineRule="exact"/>
              <w:rPr>
                <w:color w:val="auto"/>
                <w:szCs w:val="21"/>
              </w:rPr>
            </w:pPr>
            <w:r>
              <w:rPr>
                <w:color w:val="auto"/>
                <w:szCs w:val="21"/>
              </w:rPr>
              <w:t xml:space="preserve">□通过 </w:t>
            </w:r>
          </w:p>
          <w:p>
            <w:pPr>
              <w:widowControl/>
              <w:adjustRightInd w:val="0"/>
              <w:spacing w:line="400" w:lineRule="exact"/>
              <w:rPr>
                <w:bCs/>
                <w:color w:val="auto"/>
                <w:szCs w:val="28"/>
              </w:rPr>
            </w:pPr>
            <w:r>
              <w:rPr>
                <w:color w:val="auto"/>
                <w:szCs w:val="21"/>
              </w:rPr>
              <w:t>□不通过</w:t>
            </w:r>
          </w:p>
        </w:tc>
        <w:tc>
          <w:tcPr>
            <w:tcW w:w="2028" w:type="dxa"/>
            <w:vAlign w:val="center"/>
          </w:tcPr>
          <w:p>
            <w:pPr>
              <w:widowControl/>
              <w:adjustRightInd w:val="0"/>
              <w:spacing w:line="400" w:lineRule="exact"/>
              <w:jc w:val="center"/>
              <w:rPr>
                <w:bCs/>
                <w:color w:val="auto"/>
                <w:szCs w:val="28"/>
                <w:u w:val="single"/>
              </w:rPr>
            </w:pPr>
            <w:r>
              <w:rPr>
                <w:bCs/>
                <w:color w:val="auto"/>
                <w:szCs w:val="28"/>
              </w:rPr>
              <w:t xml:space="preserve">信用记录 </w:t>
            </w:r>
            <w:r>
              <w:rPr>
                <w:bCs/>
                <w:color w:val="auto"/>
                <w:szCs w:val="28"/>
                <w:u w:val="single"/>
              </w:rPr>
              <w:t>是/否</w:t>
            </w:r>
            <w:r>
              <w:rPr>
                <w:bCs/>
                <w:color w:val="auto"/>
                <w:szCs w:val="28"/>
              </w:rPr>
              <w:t xml:space="preserve"> 已失效，如失效，证明材料详见</w:t>
            </w:r>
            <w:r>
              <w:rPr>
                <w:color w:val="auto"/>
                <w:szCs w:val="21"/>
              </w:rPr>
              <w:t>第（ ）页-（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Merge w:val="continue"/>
          </w:tcPr>
          <w:p>
            <w:pPr>
              <w:widowControl/>
              <w:adjustRightInd w:val="0"/>
              <w:spacing w:line="400" w:lineRule="exact"/>
              <w:rPr>
                <w:bCs/>
                <w:color w:val="auto"/>
                <w:szCs w:val="28"/>
              </w:rPr>
            </w:pPr>
          </w:p>
        </w:tc>
        <w:tc>
          <w:tcPr>
            <w:tcW w:w="4320" w:type="dxa"/>
            <w:vAlign w:val="center"/>
          </w:tcPr>
          <w:p>
            <w:pPr>
              <w:widowControl/>
              <w:adjustRightInd w:val="0"/>
              <w:spacing w:line="400" w:lineRule="exact"/>
              <w:rPr>
                <w:bCs/>
                <w:color w:val="auto"/>
                <w:szCs w:val="28"/>
              </w:rPr>
            </w:pPr>
            <w:r>
              <w:rPr>
                <w:rFonts w:hint="eastAsia"/>
                <w:bCs/>
                <w:color w:val="auto"/>
                <w:szCs w:val="28"/>
              </w:rPr>
              <w:t>三</w:t>
            </w:r>
            <w:r>
              <w:rPr>
                <w:bCs/>
                <w:color w:val="auto"/>
                <w:szCs w:val="28"/>
              </w:rPr>
              <w:t>、</w:t>
            </w:r>
            <w:r>
              <w:rPr>
                <w:color w:val="auto"/>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本项目投标（提供《书面声明》）。</w:t>
            </w:r>
          </w:p>
        </w:tc>
        <w:tc>
          <w:tcPr>
            <w:tcW w:w="1167" w:type="dxa"/>
            <w:vAlign w:val="center"/>
          </w:tcPr>
          <w:p>
            <w:pPr>
              <w:widowControl/>
              <w:adjustRightInd w:val="0"/>
              <w:spacing w:line="400" w:lineRule="exact"/>
              <w:rPr>
                <w:color w:val="auto"/>
                <w:szCs w:val="21"/>
              </w:rPr>
            </w:pPr>
            <w:r>
              <w:rPr>
                <w:color w:val="auto"/>
                <w:szCs w:val="21"/>
              </w:rPr>
              <w:t xml:space="preserve">□通过 </w:t>
            </w:r>
          </w:p>
          <w:p>
            <w:pPr>
              <w:widowControl/>
              <w:adjustRightInd w:val="0"/>
              <w:spacing w:line="400" w:lineRule="exact"/>
              <w:rPr>
                <w:bCs/>
                <w:color w:val="auto"/>
                <w:szCs w:val="28"/>
              </w:rPr>
            </w:pPr>
            <w:r>
              <w:rPr>
                <w:color w:val="auto"/>
                <w:szCs w:val="21"/>
              </w:rPr>
              <w:t>□不通过</w:t>
            </w:r>
          </w:p>
        </w:tc>
        <w:tc>
          <w:tcPr>
            <w:tcW w:w="2028" w:type="dxa"/>
            <w:vAlign w:val="center"/>
          </w:tcPr>
          <w:p>
            <w:pPr>
              <w:widowControl/>
              <w:adjustRightInd w:val="0"/>
              <w:spacing w:line="400" w:lineRule="exact"/>
              <w:jc w:val="center"/>
              <w:rPr>
                <w:bCs/>
                <w:color w:val="auto"/>
                <w:szCs w:val="28"/>
              </w:rPr>
            </w:pPr>
            <w:r>
              <w:rPr>
                <w:bCs/>
                <w:color w:val="auto"/>
                <w:szCs w:val="2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Merge w:val="continue"/>
          </w:tcPr>
          <w:p>
            <w:pPr>
              <w:widowControl/>
              <w:adjustRightInd w:val="0"/>
              <w:spacing w:line="400" w:lineRule="exact"/>
              <w:rPr>
                <w:bCs/>
                <w:color w:val="auto"/>
                <w:szCs w:val="28"/>
              </w:rPr>
            </w:pPr>
          </w:p>
        </w:tc>
        <w:tc>
          <w:tcPr>
            <w:tcW w:w="4320" w:type="dxa"/>
            <w:vAlign w:val="center"/>
          </w:tcPr>
          <w:p>
            <w:pPr>
              <w:widowControl/>
              <w:adjustRightInd w:val="0"/>
              <w:spacing w:line="400" w:lineRule="exact"/>
              <w:rPr>
                <w:bCs/>
                <w:color w:val="auto"/>
                <w:szCs w:val="28"/>
              </w:rPr>
            </w:pPr>
            <w:r>
              <w:rPr>
                <w:rFonts w:hint="eastAsia"/>
                <w:bCs/>
                <w:color w:val="auto"/>
                <w:szCs w:val="28"/>
              </w:rPr>
              <w:t>四</w:t>
            </w:r>
            <w:r>
              <w:rPr>
                <w:bCs/>
                <w:color w:val="auto"/>
                <w:szCs w:val="28"/>
              </w:rPr>
              <w:t>、</w:t>
            </w:r>
            <w:r>
              <w:rPr>
                <w:color w:val="auto"/>
                <w:szCs w:val="21"/>
              </w:rPr>
              <w:t>本项目接受联合体投标。</w:t>
            </w:r>
          </w:p>
        </w:tc>
        <w:tc>
          <w:tcPr>
            <w:tcW w:w="1167" w:type="dxa"/>
            <w:vAlign w:val="center"/>
          </w:tcPr>
          <w:p>
            <w:pPr>
              <w:widowControl/>
              <w:adjustRightInd w:val="0"/>
              <w:spacing w:line="400" w:lineRule="exact"/>
              <w:rPr>
                <w:color w:val="auto"/>
                <w:szCs w:val="21"/>
              </w:rPr>
            </w:pPr>
            <w:r>
              <w:rPr>
                <w:color w:val="auto"/>
                <w:szCs w:val="21"/>
              </w:rPr>
              <w:t xml:space="preserve">□通过 </w:t>
            </w:r>
          </w:p>
          <w:p>
            <w:pPr>
              <w:widowControl/>
              <w:adjustRightInd w:val="0"/>
              <w:spacing w:line="400" w:lineRule="exact"/>
              <w:rPr>
                <w:bCs/>
                <w:color w:val="auto"/>
                <w:szCs w:val="28"/>
              </w:rPr>
            </w:pPr>
            <w:r>
              <w:rPr>
                <w:color w:val="auto"/>
                <w:szCs w:val="21"/>
              </w:rPr>
              <w:t>□不通过</w:t>
            </w:r>
          </w:p>
        </w:tc>
        <w:tc>
          <w:tcPr>
            <w:tcW w:w="2028" w:type="dxa"/>
            <w:vAlign w:val="center"/>
          </w:tcPr>
          <w:p>
            <w:pPr>
              <w:widowControl/>
              <w:adjustRightInd w:val="0"/>
              <w:spacing w:line="400" w:lineRule="exact"/>
              <w:jc w:val="center"/>
              <w:rPr>
                <w:bCs/>
                <w:color w:val="auto"/>
                <w:szCs w:val="28"/>
              </w:rPr>
            </w:pPr>
            <w:r>
              <w:rPr>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80" w:type="dxa"/>
            <w:vMerge w:val="continue"/>
          </w:tcPr>
          <w:p>
            <w:pPr>
              <w:widowControl/>
              <w:adjustRightInd w:val="0"/>
              <w:spacing w:line="400" w:lineRule="exact"/>
              <w:rPr>
                <w:bCs/>
                <w:color w:val="auto"/>
                <w:szCs w:val="28"/>
              </w:rPr>
            </w:pPr>
          </w:p>
        </w:tc>
        <w:tc>
          <w:tcPr>
            <w:tcW w:w="4320" w:type="dxa"/>
            <w:vAlign w:val="center"/>
          </w:tcPr>
          <w:p>
            <w:pPr>
              <w:widowControl/>
              <w:adjustRightInd w:val="0"/>
              <w:spacing w:line="400" w:lineRule="exact"/>
              <w:rPr>
                <w:bCs/>
                <w:color w:val="auto"/>
                <w:szCs w:val="28"/>
              </w:rPr>
            </w:pPr>
            <w:r>
              <w:rPr>
                <w:rFonts w:hint="eastAsia"/>
                <w:bCs/>
                <w:color w:val="auto"/>
                <w:szCs w:val="28"/>
              </w:rPr>
              <w:t>五</w:t>
            </w:r>
            <w:r>
              <w:rPr>
                <w:bCs/>
                <w:color w:val="auto"/>
                <w:szCs w:val="28"/>
              </w:rPr>
              <w:t>、其他采购文件规定的要求。</w:t>
            </w:r>
          </w:p>
        </w:tc>
        <w:tc>
          <w:tcPr>
            <w:tcW w:w="1167" w:type="dxa"/>
            <w:vAlign w:val="center"/>
          </w:tcPr>
          <w:p>
            <w:pPr>
              <w:widowControl/>
              <w:adjustRightInd w:val="0"/>
              <w:spacing w:line="400" w:lineRule="exact"/>
              <w:rPr>
                <w:color w:val="auto"/>
                <w:szCs w:val="21"/>
              </w:rPr>
            </w:pPr>
            <w:r>
              <w:rPr>
                <w:color w:val="auto"/>
                <w:szCs w:val="21"/>
              </w:rPr>
              <w:t xml:space="preserve">□通过 </w:t>
            </w:r>
          </w:p>
          <w:p>
            <w:pPr>
              <w:widowControl/>
              <w:adjustRightInd w:val="0"/>
              <w:spacing w:line="400" w:lineRule="exact"/>
              <w:rPr>
                <w:color w:val="auto"/>
                <w:szCs w:val="21"/>
              </w:rPr>
            </w:pPr>
            <w:r>
              <w:rPr>
                <w:color w:val="auto"/>
                <w:szCs w:val="21"/>
              </w:rPr>
              <w:t>□不通过</w:t>
            </w:r>
          </w:p>
        </w:tc>
        <w:tc>
          <w:tcPr>
            <w:tcW w:w="2028" w:type="dxa"/>
            <w:vAlign w:val="center"/>
          </w:tcPr>
          <w:p>
            <w:pPr>
              <w:widowControl/>
              <w:adjustRightInd w:val="0"/>
              <w:spacing w:line="400" w:lineRule="exact"/>
              <w:jc w:val="center"/>
              <w:rPr>
                <w:color w:val="auto"/>
                <w:szCs w:val="21"/>
              </w:rPr>
            </w:pPr>
            <w:r>
              <w:rPr>
                <w:bCs/>
                <w:color w:val="auto"/>
                <w:szCs w:val="28"/>
              </w:rPr>
              <w:t>/</w:t>
            </w:r>
          </w:p>
        </w:tc>
      </w:tr>
    </w:tbl>
    <w:p>
      <w:pPr>
        <w:widowControl/>
        <w:spacing w:line="360" w:lineRule="auto"/>
        <w:rPr>
          <w:color w:val="auto"/>
          <w:lang w:bidi="ar"/>
        </w:rPr>
      </w:pPr>
    </w:p>
    <w:p>
      <w:pPr>
        <w:widowControl/>
        <w:spacing w:line="360" w:lineRule="auto"/>
        <w:rPr>
          <w:color w:val="auto"/>
        </w:rPr>
      </w:pPr>
      <w:r>
        <w:rPr>
          <w:color w:val="auto"/>
          <w:lang w:bidi="ar"/>
        </w:rPr>
        <w:t>（若联合体参加投标的，联合体各方须分别提供、分别盖公章）</w:t>
      </w:r>
    </w:p>
    <w:p>
      <w:pPr>
        <w:spacing w:line="360" w:lineRule="auto"/>
        <w:rPr>
          <w:b/>
          <w:color w:val="auto"/>
          <w:spacing w:val="-4"/>
          <w:szCs w:val="21"/>
        </w:rPr>
      </w:pPr>
      <w:r>
        <w:rPr>
          <w:b/>
          <w:color w:val="auto"/>
          <w:szCs w:val="21"/>
        </w:rPr>
        <w:br w:type="page"/>
      </w:r>
      <w:r>
        <w:rPr>
          <w:b/>
          <w:color w:val="auto"/>
          <w:szCs w:val="21"/>
        </w:rPr>
        <w:t>格式五：</w:t>
      </w:r>
    </w:p>
    <w:p>
      <w:pPr>
        <w:spacing w:line="360" w:lineRule="auto"/>
        <w:jc w:val="center"/>
        <w:rPr>
          <w:b/>
          <w:bCs/>
          <w:color w:val="auto"/>
          <w:szCs w:val="21"/>
        </w:rPr>
      </w:pPr>
      <w:r>
        <w:rPr>
          <w:b/>
          <w:bCs/>
          <w:color w:val="auto"/>
          <w:sz w:val="24"/>
        </w:rPr>
        <w:t>书面声明</w:t>
      </w:r>
    </w:p>
    <w:p>
      <w:pPr>
        <w:spacing w:line="360" w:lineRule="auto"/>
        <w:rPr>
          <w:b/>
          <w:color w:val="auto"/>
          <w:szCs w:val="21"/>
        </w:rPr>
      </w:pPr>
    </w:p>
    <w:p>
      <w:pPr>
        <w:spacing w:line="360" w:lineRule="auto"/>
        <w:rPr>
          <w:b/>
          <w:color w:val="auto"/>
          <w:szCs w:val="21"/>
        </w:rPr>
      </w:pPr>
      <w:r>
        <w:rPr>
          <w:b/>
          <w:color w:val="auto"/>
          <w:szCs w:val="21"/>
        </w:rPr>
        <w:t>致：浙江科信联合工程项目管理咨询有限公司</w:t>
      </w:r>
    </w:p>
    <w:p>
      <w:pPr>
        <w:adjustRightInd w:val="0"/>
        <w:spacing w:line="360" w:lineRule="auto"/>
        <w:ind w:firstLine="422" w:firstLineChars="200"/>
        <w:textAlignment w:val="baseline"/>
        <w:rPr>
          <w:b/>
          <w:color w:val="auto"/>
          <w:szCs w:val="21"/>
        </w:rPr>
      </w:pPr>
      <w:bookmarkStart w:id="135" w:name="_Toc399148312"/>
      <w:r>
        <w:rPr>
          <w:b/>
          <w:color w:val="auto"/>
          <w:szCs w:val="21"/>
        </w:rPr>
        <w:t>我方郑重</w:t>
      </w:r>
      <w:bookmarkEnd w:id="135"/>
      <w:r>
        <w:rPr>
          <w:b/>
          <w:color w:val="auto"/>
          <w:szCs w:val="21"/>
        </w:rPr>
        <w:t>声明：</w:t>
      </w:r>
    </w:p>
    <w:p>
      <w:pPr>
        <w:spacing w:line="360" w:lineRule="auto"/>
        <w:ind w:firstLine="420" w:firstLineChars="200"/>
        <w:rPr>
          <w:bCs/>
          <w:color w:val="auto"/>
          <w:szCs w:val="21"/>
        </w:rPr>
      </w:pPr>
      <w:r>
        <w:rPr>
          <w:bCs/>
          <w:color w:val="auto"/>
          <w:szCs w:val="21"/>
        </w:rPr>
        <w:t>1、具有独立承担民事责任的能力。</w:t>
      </w:r>
    </w:p>
    <w:p>
      <w:pPr>
        <w:spacing w:line="360" w:lineRule="auto"/>
        <w:ind w:firstLine="420" w:firstLineChars="200"/>
        <w:rPr>
          <w:bCs/>
          <w:color w:val="auto"/>
          <w:szCs w:val="21"/>
        </w:rPr>
      </w:pPr>
      <w:r>
        <w:rPr>
          <w:bCs/>
          <w:color w:val="auto"/>
          <w:szCs w:val="21"/>
        </w:rPr>
        <w:t>2、具有良好的商业信誉和健全的财务会计制度。</w:t>
      </w:r>
    </w:p>
    <w:p>
      <w:pPr>
        <w:spacing w:line="360" w:lineRule="auto"/>
        <w:ind w:firstLine="420" w:firstLineChars="200"/>
        <w:rPr>
          <w:bCs/>
          <w:color w:val="auto"/>
          <w:szCs w:val="21"/>
        </w:rPr>
      </w:pPr>
      <w:r>
        <w:rPr>
          <w:bCs/>
          <w:color w:val="auto"/>
          <w:szCs w:val="21"/>
        </w:rPr>
        <w:t>3、具有履行合同所必需的设备和专业技术能力。</w:t>
      </w:r>
    </w:p>
    <w:p>
      <w:pPr>
        <w:spacing w:line="360" w:lineRule="auto"/>
        <w:ind w:firstLine="420" w:firstLineChars="200"/>
        <w:rPr>
          <w:bCs/>
          <w:color w:val="auto"/>
          <w:szCs w:val="21"/>
        </w:rPr>
      </w:pPr>
      <w:r>
        <w:rPr>
          <w:bCs/>
          <w:color w:val="auto"/>
          <w:szCs w:val="21"/>
        </w:rPr>
        <w:t>4、有依法缴纳税收和社会保障资金的良好记录。</w:t>
      </w:r>
    </w:p>
    <w:p>
      <w:pPr>
        <w:spacing w:line="360" w:lineRule="auto"/>
        <w:ind w:firstLine="420" w:firstLineChars="200"/>
        <w:rPr>
          <w:bCs/>
          <w:color w:val="auto"/>
          <w:szCs w:val="21"/>
        </w:rPr>
      </w:pPr>
      <w:r>
        <w:rPr>
          <w:bCs/>
          <w:color w:val="auto"/>
          <w:szCs w:val="21"/>
        </w:rPr>
        <w:t>5、参加政府采购活动前三年内，在经营活动中没有重大违法记录。</w:t>
      </w:r>
    </w:p>
    <w:p>
      <w:pPr>
        <w:spacing w:line="360" w:lineRule="auto"/>
        <w:ind w:firstLine="420" w:firstLineChars="200"/>
        <w:rPr>
          <w:bCs/>
          <w:color w:val="auto"/>
          <w:szCs w:val="21"/>
        </w:rPr>
      </w:pPr>
      <w:r>
        <w:rPr>
          <w:bCs/>
          <w:color w:val="auto"/>
          <w:szCs w:val="21"/>
        </w:rPr>
        <w:t>6、我单位符合以下条件：</w:t>
      </w:r>
    </w:p>
    <w:p>
      <w:pPr>
        <w:adjustRightInd w:val="0"/>
        <w:spacing w:line="360" w:lineRule="auto"/>
        <w:ind w:firstLine="420" w:firstLineChars="200"/>
        <w:textAlignment w:val="baseline"/>
        <w:rPr>
          <w:bCs/>
          <w:color w:val="auto"/>
          <w:szCs w:val="21"/>
        </w:rPr>
      </w:pPr>
      <w:r>
        <w:rPr>
          <w:color w:val="auto"/>
        </w:rPr>
        <w:t>我单位与其他投标人不存在单位负责人为同一人或者</w:t>
      </w:r>
      <w:r>
        <w:rPr>
          <w:bCs/>
          <w:color w:val="auto"/>
          <w:szCs w:val="21"/>
        </w:rPr>
        <w:t>存在直接控股、管理关系；我单位不是本项目提供整体设计、规范编制或者项目管理、监理、检测等服务的单位。</w:t>
      </w:r>
    </w:p>
    <w:p>
      <w:pPr>
        <w:spacing w:line="360" w:lineRule="auto"/>
        <w:ind w:firstLine="422" w:firstLineChars="200"/>
        <w:rPr>
          <w:b/>
          <w:bCs/>
          <w:color w:val="auto"/>
          <w:szCs w:val="21"/>
        </w:rPr>
      </w:pPr>
      <w:r>
        <w:rPr>
          <w:b/>
          <w:color w:val="auto"/>
          <w:szCs w:val="21"/>
        </w:rPr>
        <w:t>特此声明。</w:t>
      </w:r>
    </w:p>
    <w:p>
      <w:pPr>
        <w:spacing w:line="360" w:lineRule="auto"/>
        <w:rPr>
          <w:b/>
          <w:bCs/>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p>
    <w:p>
      <w:pPr>
        <w:pStyle w:val="19"/>
        <w:widowControl/>
        <w:spacing w:line="360" w:lineRule="auto"/>
        <w:jc w:val="left"/>
        <w:rPr>
          <w:rFonts w:ascii="Times New Roman" w:hAnsi="Times New Roman"/>
          <w:color w:val="auto"/>
          <w:sz w:val="21"/>
          <w:szCs w:val="21"/>
        </w:rPr>
      </w:pPr>
      <w:r>
        <w:rPr>
          <w:rFonts w:ascii="Times New Roman" w:hAnsi="Times New Roman"/>
          <w:color w:val="auto"/>
          <w:sz w:val="21"/>
          <w:szCs w:val="21"/>
        </w:rPr>
        <w:t>投标人全称（盖公章）：</w:t>
      </w:r>
    </w:p>
    <w:p>
      <w:pPr>
        <w:pStyle w:val="19"/>
        <w:widowControl/>
        <w:spacing w:line="360" w:lineRule="auto"/>
        <w:jc w:val="left"/>
        <w:rPr>
          <w:rFonts w:ascii="Times New Roman" w:hAnsi="Times New Roman"/>
          <w:color w:val="auto"/>
          <w:sz w:val="21"/>
          <w:szCs w:val="21"/>
        </w:rPr>
      </w:pPr>
    </w:p>
    <w:p>
      <w:pPr>
        <w:pStyle w:val="19"/>
        <w:spacing w:line="360" w:lineRule="auto"/>
        <w:rPr>
          <w:rFonts w:ascii="Times New Roman" w:hAnsi="Times New Roman"/>
          <w:color w:val="auto"/>
          <w:sz w:val="21"/>
          <w:szCs w:val="21"/>
        </w:rPr>
      </w:pPr>
      <w:r>
        <w:rPr>
          <w:rFonts w:ascii="Times New Roman" w:hAnsi="Times New Roman"/>
          <w:color w:val="auto"/>
          <w:sz w:val="21"/>
          <w:szCs w:val="21"/>
        </w:rPr>
        <w:t>日期：年  月  日</w:t>
      </w:r>
    </w:p>
    <w:p>
      <w:pPr>
        <w:spacing w:line="440" w:lineRule="exact"/>
        <w:rPr>
          <w:color w:val="auto"/>
          <w:lang w:bidi="ar"/>
        </w:rPr>
      </w:pPr>
    </w:p>
    <w:p>
      <w:pPr>
        <w:spacing w:line="440" w:lineRule="exact"/>
        <w:rPr>
          <w:color w:val="auto"/>
          <w:lang w:bidi="ar"/>
        </w:rPr>
      </w:pPr>
    </w:p>
    <w:p>
      <w:pPr>
        <w:spacing w:line="440" w:lineRule="exact"/>
        <w:rPr>
          <w:color w:val="auto"/>
          <w:sz w:val="24"/>
        </w:rPr>
      </w:pPr>
      <w:r>
        <w:rPr>
          <w:color w:val="auto"/>
          <w:lang w:bidi="ar"/>
        </w:rPr>
        <w:t>（若联合体参加投标的，联合体牵头单位提供）</w:t>
      </w:r>
    </w:p>
    <w:p>
      <w:pPr>
        <w:spacing w:line="360" w:lineRule="auto"/>
        <w:rPr>
          <w:b/>
          <w:color w:val="auto"/>
          <w:spacing w:val="-4"/>
          <w:sz w:val="24"/>
        </w:rPr>
      </w:pPr>
      <w:r>
        <w:rPr>
          <w:b/>
          <w:color w:val="auto"/>
          <w:szCs w:val="21"/>
        </w:rPr>
        <w:br w:type="page"/>
      </w:r>
      <w:r>
        <w:rPr>
          <w:b/>
          <w:color w:val="auto"/>
          <w:szCs w:val="21"/>
        </w:rPr>
        <w:t>格式六：</w:t>
      </w:r>
    </w:p>
    <w:p>
      <w:pPr>
        <w:spacing w:line="360" w:lineRule="auto"/>
        <w:jc w:val="center"/>
        <w:rPr>
          <w:color w:val="auto"/>
          <w:sz w:val="24"/>
        </w:rPr>
      </w:pPr>
      <w:r>
        <w:rPr>
          <w:b/>
          <w:color w:val="auto"/>
          <w:spacing w:val="-4"/>
          <w:sz w:val="24"/>
        </w:rPr>
        <w:t>符合性自查表</w:t>
      </w:r>
    </w:p>
    <w:tbl>
      <w:tblPr>
        <w:tblStyle w:val="41"/>
        <w:tblW w:w="8933"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31"/>
        <w:gridCol w:w="4725"/>
        <w:gridCol w:w="1418"/>
        <w:gridCol w:w="1959"/>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tcBorders>
              <w:top w:val="single" w:color="auto" w:sz="12" w:space="0"/>
              <w:left w:val="single" w:color="auto" w:sz="12" w:space="0"/>
              <w:bottom w:val="outset" w:color="111111" w:sz="6" w:space="0"/>
              <w:right w:val="outset" w:color="111111" w:sz="6" w:space="0"/>
            </w:tcBorders>
            <w:vAlign w:val="center"/>
          </w:tcPr>
          <w:p>
            <w:pPr>
              <w:spacing w:line="300" w:lineRule="exact"/>
              <w:jc w:val="center"/>
              <w:rPr>
                <w:color w:val="auto"/>
                <w:szCs w:val="21"/>
              </w:rPr>
            </w:pPr>
            <w:r>
              <w:rPr>
                <w:color w:val="auto"/>
                <w:szCs w:val="21"/>
              </w:rPr>
              <w:t>评审内容</w:t>
            </w:r>
          </w:p>
        </w:tc>
        <w:tc>
          <w:tcPr>
            <w:tcW w:w="4725" w:type="dxa"/>
            <w:tcBorders>
              <w:top w:val="single" w:color="auto" w:sz="12" w:space="0"/>
              <w:left w:val="outset" w:color="111111" w:sz="6" w:space="0"/>
              <w:bottom w:val="outset" w:color="111111" w:sz="6" w:space="0"/>
              <w:right w:val="outset" w:color="111111" w:sz="6" w:space="0"/>
            </w:tcBorders>
            <w:vAlign w:val="center"/>
          </w:tcPr>
          <w:p>
            <w:pPr>
              <w:spacing w:line="300" w:lineRule="exact"/>
              <w:jc w:val="center"/>
              <w:rPr>
                <w:color w:val="auto"/>
                <w:szCs w:val="21"/>
              </w:rPr>
            </w:pPr>
            <w:r>
              <w:rPr>
                <w:color w:val="auto"/>
                <w:szCs w:val="21"/>
              </w:rPr>
              <w:t>采购文件要求</w:t>
            </w:r>
          </w:p>
        </w:tc>
        <w:tc>
          <w:tcPr>
            <w:tcW w:w="1418" w:type="dxa"/>
            <w:tcBorders>
              <w:top w:val="single" w:color="auto" w:sz="12" w:space="0"/>
              <w:left w:val="outset" w:color="111111" w:sz="6" w:space="0"/>
              <w:bottom w:val="outset" w:color="111111" w:sz="6" w:space="0"/>
              <w:right w:val="outset" w:color="111111" w:sz="6" w:space="0"/>
            </w:tcBorders>
            <w:vAlign w:val="center"/>
          </w:tcPr>
          <w:p>
            <w:pPr>
              <w:spacing w:line="300" w:lineRule="exact"/>
              <w:jc w:val="center"/>
              <w:rPr>
                <w:color w:val="auto"/>
                <w:szCs w:val="21"/>
              </w:rPr>
            </w:pPr>
            <w:r>
              <w:rPr>
                <w:color w:val="auto"/>
                <w:szCs w:val="21"/>
              </w:rPr>
              <w:t>自查结论</w:t>
            </w:r>
          </w:p>
        </w:tc>
        <w:tc>
          <w:tcPr>
            <w:tcW w:w="1959" w:type="dxa"/>
            <w:tcBorders>
              <w:top w:val="single" w:color="auto" w:sz="12" w:space="0"/>
              <w:left w:val="outset" w:color="111111" w:sz="6" w:space="0"/>
              <w:bottom w:val="outset" w:color="111111" w:sz="6" w:space="0"/>
              <w:right w:val="single" w:color="auto" w:sz="12" w:space="0"/>
            </w:tcBorders>
            <w:vAlign w:val="center"/>
          </w:tcPr>
          <w:p>
            <w:pPr>
              <w:spacing w:line="300" w:lineRule="exact"/>
              <w:jc w:val="center"/>
              <w:rPr>
                <w:color w:val="auto"/>
                <w:szCs w:val="21"/>
              </w:rPr>
            </w:pPr>
            <w:r>
              <w:rPr>
                <w:color w:val="auto"/>
                <w:szCs w:val="21"/>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57" w:hRule="atLeast"/>
          <w:jc w:val="center"/>
        </w:trPr>
        <w:tc>
          <w:tcPr>
            <w:tcW w:w="831" w:type="dxa"/>
            <w:vMerge w:val="restart"/>
            <w:tcBorders>
              <w:top w:val="outset" w:color="111111" w:sz="6" w:space="0"/>
              <w:left w:val="single" w:color="auto" w:sz="12" w:space="0"/>
              <w:right w:val="outset" w:color="111111" w:sz="6" w:space="0"/>
            </w:tcBorders>
            <w:vAlign w:val="center"/>
          </w:tcPr>
          <w:p>
            <w:pPr>
              <w:spacing w:line="300" w:lineRule="exact"/>
              <w:jc w:val="center"/>
              <w:rPr>
                <w:color w:val="auto"/>
                <w:szCs w:val="21"/>
              </w:rPr>
            </w:pPr>
            <w:r>
              <w:rPr>
                <w:color w:val="auto"/>
                <w:szCs w:val="21"/>
              </w:rPr>
              <w:t>符</w:t>
            </w:r>
          </w:p>
          <w:p>
            <w:pPr>
              <w:spacing w:line="300" w:lineRule="exact"/>
              <w:jc w:val="center"/>
              <w:rPr>
                <w:color w:val="auto"/>
                <w:szCs w:val="21"/>
              </w:rPr>
            </w:pPr>
            <w:r>
              <w:rPr>
                <w:color w:val="auto"/>
                <w:szCs w:val="21"/>
              </w:rPr>
              <w:t>合</w:t>
            </w:r>
          </w:p>
          <w:p>
            <w:pPr>
              <w:spacing w:line="300" w:lineRule="exact"/>
              <w:jc w:val="center"/>
              <w:rPr>
                <w:color w:val="auto"/>
                <w:szCs w:val="21"/>
              </w:rPr>
            </w:pPr>
            <w:r>
              <w:rPr>
                <w:color w:val="auto"/>
                <w:szCs w:val="21"/>
              </w:rPr>
              <w:t>性</w:t>
            </w:r>
          </w:p>
          <w:p>
            <w:pPr>
              <w:spacing w:line="300" w:lineRule="exact"/>
              <w:jc w:val="center"/>
              <w:rPr>
                <w:color w:val="auto"/>
                <w:szCs w:val="21"/>
              </w:rPr>
            </w:pPr>
            <w:r>
              <w:rPr>
                <w:color w:val="auto"/>
                <w:szCs w:val="21"/>
              </w:rPr>
              <w:t>审</w:t>
            </w:r>
          </w:p>
          <w:p>
            <w:pPr>
              <w:spacing w:line="300" w:lineRule="exact"/>
              <w:jc w:val="center"/>
              <w:rPr>
                <w:color w:val="auto"/>
                <w:szCs w:val="21"/>
              </w:rPr>
            </w:pPr>
            <w:r>
              <w:rPr>
                <w:color w:val="auto"/>
                <w:szCs w:val="21"/>
              </w:rPr>
              <w:t>查</w:t>
            </w:r>
          </w:p>
        </w:tc>
        <w:tc>
          <w:tcPr>
            <w:tcW w:w="4725" w:type="dxa"/>
            <w:tcBorders>
              <w:top w:val="outset" w:color="111111" w:sz="6" w:space="0"/>
              <w:left w:val="outset" w:color="111111" w:sz="6" w:space="0"/>
              <w:right w:val="outset" w:color="111111" w:sz="6" w:space="0"/>
            </w:tcBorders>
            <w:vAlign w:val="center"/>
          </w:tcPr>
          <w:p>
            <w:pPr>
              <w:spacing w:line="300" w:lineRule="exact"/>
              <w:rPr>
                <w:color w:val="auto"/>
                <w:szCs w:val="21"/>
              </w:rPr>
            </w:pPr>
            <w:r>
              <w:rPr>
                <w:color w:val="auto"/>
                <w:szCs w:val="21"/>
              </w:rPr>
              <w:t>1、投标人按招标文件要求签署、签章；</w:t>
            </w:r>
          </w:p>
        </w:tc>
        <w:tc>
          <w:tcPr>
            <w:tcW w:w="1418" w:type="dxa"/>
            <w:tcBorders>
              <w:top w:val="outset" w:color="111111" w:sz="6" w:space="0"/>
              <w:left w:val="outset" w:color="111111" w:sz="6" w:space="0"/>
              <w:right w:val="outset" w:color="111111" w:sz="6" w:space="0"/>
            </w:tcBorders>
            <w:vAlign w:val="center"/>
          </w:tcPr>
          <w:p>
            <w:pPr>
              <w:spacing w:line="300" w:lineRule="exact"/>
              <w:rPr>
                <w:color w:val="auto"/>
                <w:szCs w:val="21"/>
              </w:rPr>
            </w:pPr>
            <w:r>
              <w:rPr>
                <w:color w:val="auto"/>
                <w:szCs w:val="21"/>
              </w:rPr>
              <w:t xml:space="preserve">□通过 </w:t>
            </w:r>
          </w:p>
          <w:p>
            <w:pPr>
              <w:spacing w:line="300" w:lineRule="exact"/>
              <w:rPr>
                <w:color w:val="auto"/>
                <w:szCs w:val="21"/>
              </w:rPr>
            </w:pPr>
            <w:r>
              <w:rPr>
                <w:color w:val="auto"/>
                <w:szCs w:val="21"/>
              </w:rPr>
              <w:t>□不通过</w:t>
            </w:r>
          </w:p>
        </w:tc>
        <w:tc>
          <w:tcPr>
            <w:tcW w:w="1959" w:type="dxa"/>
            <w:tcBorders>
              <w:top w:val="outset" w:color="111111" w:sz="6" w:space="0"/>
              <w:left w:val="outset" w:color="111111" w:sz="6" w:space="0"/>
              <w:right w:val="single" w:color="auto" w:sz="12" w:space="0"/>
            </w:tcBorders>
            <w:vAlign w:val="center"/>
          </w:tcPr>
          <w:p>
            <w:pPr>
              <w:spacing w:line="300" w:lineRule="exact"/>
              <w:jc w:val="center"/>
              <w:rPr>
                <w:color w:val="auto"/>
                <w:szCs w:val="21"/>
              </w:rPr>
            </w:pPr>
            <w:r>
              <w:rPr>
                <w:color w:val="auto"/>
                <w:szCs w:val="21"/>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vAlign w:val="center"/>
          </w:tcPr>
          <w:p>
            <w:pPr>
              <w:spacing w:line="300" w:lineRule="exact"/>
              <w:rPr>
                <w:color w:val="auto"/>
                <w:szCs w:val="21"/>
              </w:rPr>
            </w:pPr>
          </w:p>
        </w:tc>
        <w:tc>
          <w:tcPr>
            <w:tcW w:w="4725" w:type="dxa"/>
            <w:tcBorders>
              <w:top w:val="outset" w:color="111111" w:sz="6" w:space="0"/>
              <w:left w:val="outset" w:color="111111" w:sz="6" w:space="0"/>
              <w:bottom w:val="outset" w:color="111111" w:sz="6" w:space="0"/>
              <w:right w:val="outset" w:color="111111" w:sz="6" w:space="0"/>
            </w:tcBorders>
            <w:vAlign w:val="center"/>
          </w:tcPr>
          <w:p>
            <w:pPr>
              <w:spacing w:line="300" w:lineRule="exact"/>
              <w:rPr>
                <w:color w:val="auto"/>
                <w:szCs w:val="21"/>
              </w:rPr>
            </w:pPr>
            <w:r>
              <w:rPr>
                <w:color w:val="auto"/>
                <w:szCs w:val="21"/>
              </w:rPr>
              <w:t>2、投标有效期满足招标文件要求；</w:t>
            </w:r>
          </w:p>
        </w:tc>
        <w:tc>
          <w:tcPr>
            <w:tcW w:w="1418" w:type="dxa"/>
            <w:tcBorders>
              <w:top w:val="outset" w:color="111111" w:sz="6" w:space="0"/>
              <w:left w:val="outset" w:color="111111" w:sz="6" w:space="0"/>
              <w:bottom w:val="outset" w:color="111111" w:sz="6" w:space="0"/>
              <w:right w:val="outset" w:color="111111" w:sz="6" w:space="0"/>
            </w:tcBorders>
            <w:vAlign w:val="center"/>
          </w:tcPr>
          <w:p>
            <w:pPr>
              <w:spacing w:line="300" w:lineRule="exact"/>
              <w:rPr>
                <w:color w:val="auto"/>
                <w:szCs w:val="21"/>
              </w:rPr>
            </w:pPr>
            <w:r>
              <w:rPr>
                <w:color w:val="auto"/>
                <w:szCs w:val="21"/>
              </w:rPr>
              <w:t xml:space="preserve">□通过 </w:t>
            </w:r>
          </w:p>
          <w:p>
            <w:pPr>
              <w:spacing w:line="300" w:lineRule="exact"/>
              <w:rPr>
                <w:color w:val="auto"/>
                <w:szCs w:val="21"/>
              </w:rPr>
            </w:pPr>
            <w:r>
              <w:rPr>
                <w:color w:val="auto"/>
                <w:szCs w:val="21"/>
              </w:rPr>
              <w:t>□不通过</w:t>
            </w:r>
          </w:p>
        </w:tc>
        <w:tc>
          <w:tcPr>
            <w:tcW w:w="1959" w:type="dxa"/>
            <w:tcBorders>
              <w:top w:val="outset" w:color="111111" w:sz="6" w:space="0"/>
              <w:left w:val="outset" w:color="111111" w:sz="6" w:space="0"/>
              <w:bottom w:val="outset" w:color="111111" w:sz="6" w:space="0"/>
              <w:right w:val="single" w:color="auto" w:sz="12" w:space="0"/>
            </w:tcBorders>
            <w:vAlign w:val="center"/>
          </w:tcPr>
          <w:p>
            <w:pPr>
              <w:spacing w:line="300" w:lineRule="exact"/>
              <w:jc w:val="center"/>
              <w:rPr>
                <w:color w:val="auto"/>
                <w:szCs w:val="21"/>
              </w:rPr>
            </w:pPr>
            <w:r>
              <w:rPr>
                <w:color w:val="auto"/>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vAlign w:val="center"/>
          </w:tcPr>
          <w:p>
            <w:pPr>
              <w:spacing w:line="300" w:lineRule="exact"/>
              <w:rPr>
                <w:color w:val="auto"/>
                <w:szCs w:val="21"/>
              </w:rPr>
            </w:pPr>
          </w:p>
        </w:tc>
        <w:tc>
          <w:tcPr>
            <w:tcW w:w="4725" w:type="dxa"/>
            <w:tcBorders>
              <w:top w:val="outset" w:color="111111" w:sz="6" w:space="0"/>
              <w:left w:val="outset" w:color="111111" w:sz="6" w:space="0"/>
              <w:bottom w:val="outset" w:color="111111" w:sz="6" w:space="0"/>
              <w:right w:val="outset" w:color="111111" w:sz="6" w:space="0"/>
            </w:tcBorders>
            <w:vAlign w:val="center"/>
          </w:tcPr>
          <w:p>
            <w:pPr>
              <w:spacing w:line="300" w:lineRule="exact"/>
              <w:rPr>
                <w:color w:val="auto"/>
                <w:szCs w:val="21"/>
              </w:rPr>
            </w:pPr>
            <w:r>
              <w:rPr>
                <w:color w:val="auto"/>
                <w:szCs w:val="21"/>
              </w:rPr>
              <w:t>3. 投标文件完全满足招标文件的实质性条款（即标注“*</w:t>
            </w:r>
            <w:r>
              <w:rPr>
                <w:rFonts w:hint="eastAsia"/>
                <w:color w:val="auto"/>
                <w:szCs w:val="21"/>
              </w:rPr>
              <w:t>或</w:t>
            </w:r>
            <w:r>
              <w:rPr>
                <w:b/>
                <w:color w:val="auto"/>
                <w:szCs w:val="21"/>
              </w:rPr>
              <w:t>★</w:t>
            </w:r>
            <w:r>
              <w:rPr>
                <w:color w:val="auto"/>
                <w:szCs w:val="21"/>
              </w:rPr>
              <w:t>”号条款）无负偏离的；</w:t>
            </w:r>
          </w:p>
        </w:tc>
        <w:tc>
          <w:tcPr>
            <w:tcW w:w="1418" w:type="dxa"/>
            <w:tcBorders>
              <w:top w:val="outset" w:color="111111" w:sz="6" w:space="0"/>
              <w:left w:val="outset" w:color="111111" w:sz="6" w:space="0"/>
              <w:bottom w:val="outset" w:color="111111" w:sz="6" w:space="0"/>
              <w:right w:val="outset" w:color="111111" w:sz="6" w:space="0"/>
            </w:tcBorders>
            <w:vAlign w:val="center"/>
          </w:tcPr>
          <w:p>
            <w:pPr>
              <w:spacing w:line="300" w:lineRule="exact"/>
              <w:rPr>
                <w:color w:val="auto"/>
                <w:szCs w:val="21"/>
              </w:rPr>
            </w:pPr>
            <w:r>
              <w:rPr>
                <w:color w:val="auto"/>
                <w:szCs w:val="21"/>
              </w:rPr>
              <w:t xml:space="preserve">□通过 </w:t>
            </w:r>
          </w:p>
          <w:p>
            <w:pPr>
              <w:spacing w:line="300" w:lineRule="exact"/>
              <w:rPr>
                <w:color w:val="auto"/>
                <w:szCs w:val="21"/>
              </w:rPr>
            </w:pPr>
            <w:r>
              <w:rPr>
                <w:color w:val="auto"/>
                <w:szCs w:val="21"/>
              </w:rPr>
              <w:t>□不通过</w:t>
            </w:r>
          </w:p>
        </w:tc>
        <w:tc>
          <w:tcPr>
            <w:tcW w:w="1959" w:type="dxa"/>
            <w:tcBorders>
              <w:top w:val="outset" w:color="111111" w:sz="6" w:space="0"/>
              <w:left w:val="outset" w:color="111111" w:sz="6" w:space="0"/>
              <w:bottom w:val="outset" w:color="111111" w:sz="6" w:space="0"/>
              <w:right w:val="single" w:color="auto" w:sz="12" w:space="0"/>
            </w:tcBorders>
            <w:vAlign w:val="center"/>
          </w:tcPr>
          <w:p>
            <w:pPr>
              <w:spacing w:line="300" w:lineRule="exact"/>
              <w:jc w:val="center"/>
              <w:rPr>
                <w:color w:val="auto"/>
                <w:szCs w:val="21"/>
              </w:rPr>
            </w:pPr>
            <w:r>
              <w:rPr>
                <w:color w:val="auto"/>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vAlign w:val="center"/>
          </w:tcPr>
          <w:p>
            <w:pPr>
              <w:spacing w:line="300" w:lineRule="exact"/>
              <w:rPr>
                <w:color w:val="auto"/>
                <w:szCs w:val="21"/>
              </w:rPr>
            </w:pPr>
          </w:p>
        </w:tc>
        <w:tc>
          <w:tcPr>
            <w:tcW w:w="4725" w:type="dxa"/>
            <w:tcBorders>
              <w:top w:val="outset" w:color="111111" w:sz="6" w:space="0"/>
              <w:left w:val="outset" w:color="111111" w:sz="6" w:space="0"/>
              <w:bottom w:val="outset" w:color="111111" w:sz="6" w:space="0"/>
              <w:right w:val="outset" w:color="111111" w:sz="6" w:space="0"/>
            </w:tcBorders>
            <w:vAlign w:val="center"/>
          </w:tcPr>
          <w:p>
            <w:pPr>
              <w:spacing w:line="300" w:lineRule="exact"/>
              <w:rPr>
                <w:color w:val="auto"/>
                <w:szCs w:val="21"/>
              </w:rPr>
            </w:pPr>
            <w:r>
              <w:rPr>
                <w:color w:val="auto"/>
                <w:szCs w:val="21"/>
              </w:rPr>
              <w:t>4、投标文件没有采购人不能接受的附加的条件；</w:t>
            </w:r>
          </w:p>
        </w:tc>
        <w:tc>
          <w:tcPr>
            <w:tcW w:w="1418" w:type="dxa"/>
            <w:tcBorders>
              <w:top w:val="outset" w:color="111111" w:sz="6" w:space="0"/>
              <w:left w:val="outset" w:color="111111" w:sz="6" w:space="0"/>
              <w:bottom w:val="outset" w:color="111111" w:sz="6" w:space="0"/>
              <w:right w:val="outset" w:color="111111" w:sz="6" w:space="0"/>
            </w:tcBorders>
            <w:vAlign w:val="center"/>
          </w:tcPr>
          <w:p>
            <w:pPr>
              <w:spacing w:line="300" w:lineRule="exact"/>
              <w:rPr>
                <w:color w:val="auto"/>
                <w:szCs w:val="21"/>
              </w:rPr>
            </w:pPr>
            <w:r>
              <w:rPr>
                <w:color w:val="auto"/>
                <w:szCs w:val="21"/>
              </w:rPr>
              <w:t xml:space="preserve">□通过 </w:t>
            </w:r>
          </w:p>
          <w:p>
            <w:pPr>
              <w:spacing w:line="300" w:lineRule="exact"/>
              <w:rPr>
                <w:color w:val="auto"/>
                <w:szCs w:val="21"/>
              </w:rPr>
            </w:pPr>
            <w:r>
              <w:rPr>
                <w:color w:val="auto"/>
                <w:szCs w:val="21"/>
              </w:rPr>
              <w:t>□不通过</w:t>
            </w:r>
          </w:p>
        </w:tc>
        <w:tc>
          <w:tcPr>
            <w:tcW w:w="1959" w:type="dxa"/>
            <w:tcBorders>
              <w:top w:val="outset" w:color="111111" w:sz="6" w:space="0"/>
              <w:left w:val="outset" w:color="111111" w:sz="6" w:space="0"/>
              <w:bottom w:val="outset" w:color="111111" w:sz="6" w:space="0"/>
              <w:right w:val="single" w:color="auto" w:sz="12" w:space="0"/>
            </w:tcBorders>
            <w:vAlign w:val="center"/>
          </w:tcPr>
          <w:p>
            <w:pPr>
              <w:spacing w:line="300" w:lineRule="exact"/>
              <w:jc w:val="center"/>
              <w:rPr>
                <w:color w:val="auto"/>
                <w:szCs w:val="21"/>
              </w:rPr>
            </w:pPr>
            <w:r>
              <w:rPr>
                <w:color w:val="auto"/>
                <w:szCs w:val="21"/>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vAlign w:val="center"/>
          </w:tcPr>
          <w:p>
            <w:pPr>
              <w:spacing w:line="300" w:lineRule="exact"/>
              <w:rPr>
                <w:color w:val="auto"/>
                <w:szCs w:val="21"/>
              </w:rPr>
            </w:pPr>
          </w:p>
        </w:tc>
        <w:tc>
          <w:tcPr>
            <w:tcW w:w="4725" w:type="dxa"/>
            <w:tcBorders>
              <w:top w:val="outset" w:color="111111" w:sz="6" w:space="0"/>
              <w:left w:val="outset" w:color="111111" w:sz="6" w:space="0"/>
              <w:bottom w:val="outset" w:color="111111" w:sz="6" w:space="0"/>
              <w:right w:val="outset" w:color="111111" w:sz="6" w:space="0"/>
            </w:tcBorders>
            <w:vAlign w:val="center"/>
          </w:tcPr>
          <w:p>
            <w:pPr>
              <w:spacing w:line="300" w:lineRule="exact"/>
              <w:rPr>
                <w:color w:val="auto"/>
                <w:szCs w:val="21"/>
              </w:rPr>
            </w:pPr>
            <w:r>
              <w:rPr>
                <w:color w:val="auto"/>
                <w:szCs w:val="21"/>
              </w:rPr>
              <w:t>5、委托人提供法定代表人授权委托书，填写项目齐全；</w:t>
            </w:r>
          </w:p>
        </w:tc>
        <w:tc>
          <w:tcPr>
            <w:tcW w:w="1418" w:type="dxa"/>
            <w:tcBorders>
              <w:top w:val="outset" w:color="111111" w:sz="6" w:space="0"/>
              <w:left w:val="outset" w:color="111111" w:sz="6" w:space="0"/>
              <w:bottom w:val="outset" w:color="111111" w:sz="6" w:space="0"/>
              <w:right w:val="outset" w:color="111111" w:sz="6" w:space="0"/>
            </w:tcBorders>
            <w:vAlign w:val="center"/>
          </w:tcPr>
          <w:p>
            <w:pPr>
              <w:spacing w:line="300" w:lineRule="exact"/>
              <w:rPr>
                <w:color w:val="auto"/>
                <w:szCs w:val="21"/>
              </w:rPr>
            </w:pPr>
            <w:r>
              <w:rPr>
                <w:color w:val="auto"/>
                <w:szCs w:val="21"/>
              </w:rPr>
              <w:t xml:space="preserve">□通过 </w:t>
            </w:r>
          </w:p>
          <w:p>
            <w:pPr>
              <w:spacing w:line="300" w:lineRule="exact"/>
              <w:rPr>
                <w:color w:val="auto"/>
                <w:szCs w:val="21"/>
              </w:rPr>
            </w:pPr>
            <w:r>
              <w:rPr>
                <w:color w:val="auto"/>
                <w:szCs w:val="21"/>
              </w:rPr>
              <w:t>□不通过</w:t>
            </w:r>
          </w:p>
        </w:tc>
        <w:tc>
          <w:tcPr>
            <w:tcW w:w="1959" w:type="dxa"/>
            <w:tcBorders>
              <w:top w:val="outset" w:color="111111" w:sz="6" w:space="0"/>
              <w:left w:val="outset" w:color="111111" w:sz="6" w:space="0"/>
              <w:bottom w:val="outset" w:color="111111" w:sz="6" w:space="0"/>
              <w:right w:val="single" w:color="auto" w:sz="12" w:space="0"/>
            </w:tcBorders>
            <w:vAlign w:val="center"/>
          </w:tcPr>
          <w:p>
            <w:pPr>
              <w:spacing w:line="300" w:lineRule="exact"/>
              <w:jc w:val="center"/>
              <w:rPr>
                <w:color w:val="auto"/>
                <w:szCs w:val="21"/>
              </w:rPr>
            </w:pPr>
            <w:r>
              <w:rPr>
                <w:color w:val="auto"/>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vAlign w:val="center"/>
          </w:tcPr>
          <w:p>
            <w:pPr>
              <w:spacing w:line="300" w:lineRule="exact"/>
              <w:rPr>
                <w:color w:val="auto"/>
                <w:szCs w:val="21"/>
              </w:rPr>
            </w:pPr>
          </w:p>
        </w:tc>
        <w:tc>
          <w:tcPr>
            <w:tcW w:w="4725" w:type="dxa"/>
            <w:tcBorders>
              <w:top w:val="outset" w:color="111111" w:sz="6" w:space="0"/>
              <w:left w:val="outset" w:color="111111" w:sz="6" w:space="0"/>
              <w:bottom w:val="outset" w:color="111111" w:sz="6" w:space="0"/>
              <w:right w:val="outset" w:color="111111" w:sz="6" w:space="0"/>
            </w:tcBorders>
            <w:vAlign w:val="center"/>
          </w:tcPr>
          <w:p>
            <w:pPr>
              <w:spacing w:line="300" w:lineRule="exact"/>
              <w:rPr>
                <w:color w:val="auto"/>
                <w:szCs w:val="21"/>
              </w:rPr>
            </w:pPr>
            <w:r>
              <w:rPr>
                <w:color w:val="auto"/>
                <w:szCs w:val="21"/>
              </w:rPr>
              <w:t>6、投标文件提供资料齐全并且不存在内容虚假；</w:t>
            </w:r>
          </w:p>
        </w:tc>
        <w:tc>
          <w:tcPr>
            <w:tcW w:w="1418" w:type="dxa"/>
            <w:tcBorders>
              <w:top w:val="outset" w:color="111111" w:sz="6" w:space="0"/>
              <w:left w:val="outset" w:color="111111" w:sz="6" w:space="0"/>
              <w:bottom w:val="outset" w:color="111111" w:sz="6" w:space="0"/>
              <w:right w:val="outset" w:color="111111" w:sz="6" w:space="0"/>
            </w:tcBorders>
            <w:vAlign w:val="center"/>
          </w:tcPr>
          <w:p>
            <w:pPr>
              <w:spacing w:line="300" w:lineRule="exact"/>
              <w:rPr>
                <w:color w:val="auto"/>
                <w:szCs w:val="21"/>
              </w:rPr>
            </w:pPr>
            <w:r>
              <w:rPr>
                <w:color w:val="auto"/>
                <w:szCs w:val="21"/>
              </w:rPr>
              <w:t xml:space="preserve">□通过 </w:t>
            </w:r>
          </w:p>
          <w:p>
            <w:pPr>
              <w:spacing w:line="300" w:lineRule="exact"/>
              <w:rPr>
                <w:color w:val="auto"/>
                <w:szCs w:val="21"/>
              </w:rPr>
            </w:pPr>
            <w:r>
              <w:rPr>
                <w:color w:val="auto"/>
                <w:szCs w:val="21"/>
              </w:rPr>
              <w:t>□不通过</w:t>
            </w:r>
          </w:p>
        </w:tc>
        <w:tc>
          <w:tcPr>
            <w:tcW w:w="1959" w:type="dxa"/>
            <w:tcBorders>
              <w:top w:val="outset" w:color="111111" w:sz="6" w:space="0"/>
              <w:left w:val="outset" w:color="111111" w:sz="6" w:space="0"/>
              <w:bottom w:val="outset" w:color="111111" w:sz="6" w:space="0"/>
              <w:right w:val="single" w:color="auto" w:sz="12" w:space="0"/>
            </w:tcBorders>
            <w:vAlign w:val="center"/>
          </w:tcPr>
          <w:p>
            <w:pPr>
              <w:spacing w:line="300" w:lineRule="exact"/>
              <w:jc w:val="center"/>
              <w:rPr>
                <w:color w:val="auto"/>
                <w:szCs w:val="21"/>
              </w:rPr>
            </w:pPr>
            <w:r>
              <w:rPr>
                <w:color w:val="auto"/>
                <w:szCs w:val="21"/>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vAlign w:val="center"/>
          </w:tcPr>
          <w:p>
            <w:pPr>
              <w:spacing w:line="300" w:lineRule="exact"/>
              <w:rPr>
                <w:color w:val="auto"/>
                <w:szCs w:val="21"/>
              </w:rPr>
            </w:pPr>
          </w:p>
        </w:tc>
        <w:tc>
          <w:tcPr>
            <w:tcW w:w="4725" w:type="dxa"/>
            <w:tcBorders>
              <w:top w:val="outset" w:color="111111" w:sz="6" w:space="0"/>
              <w:left w:val="outset" w:color="111111" w:sz="6" w:space="0"/>
              <w:bottom w:val="outset" w:color="111111" w:sz="6" w:space="0"/>
              <w:right w:val="outset" w:color="111111" w:sz="6" w:space="0"/>
            </w:tcBorders>
            <w:vAlign w:val="center"/>
          </w:tcPr>
          <w:p>
            <w:pPr>
              <w:spacing w:line="300" w:lineRule="exact"/>
              <w:rPr>
                <w:color w:val="auto"/>
                <w:szCs w:val="21"/>
              </w:rPr>
            </w:pPr>
            <w:r>
              <w:rPr>
                <w:color w:val="auto"/>
                <w:szCs w:val="21"/>
              </w:rPr>
              <w:t>7、投标文件的实质性内容使用中文表述、表述明确、前后不存在矛盾且使用计量单位均符合招标文件要求；</w:t>
            </w:r>
          </w:p>
        </w:tc>
        <w:tc>
          <w:tcPr>
            <w:tcW w:w="1418" w:type="dxa"/>
            <w:tcBorders>
              <w:top w:val="outset" w:color="111111" w:sz="6" w:space="0"/>
              <w:left w:val="outset" w:color="111111" w:sz="6" w:space="0"/>
              <w:bottom w:val="outset" w:color="111111" w:sz="6" w:space="0"/>
              <w:right w:val="outset" w:color="111111" w:sz="6" w:space="0"/>
            </w:tcBorders>
            <w:vAlign w:val="center"/>
          </w:tcPr>
          <w:p>
            <w:pPr>
              <w:spacing w:line="300" w:lineRule="exact"/>
              <w:rPr>
                <w:color w:val="auto"/>
                <w:szCs w:val="21"/>
              </w:rPr>
            </w:pPr>
            <w:r>
              <w:rPr>
                <w:color w:val="auto"/>
                <w:szCs w:val="21"/>
              </w:rPr>
              <w:t xml:space="preserve">□通过 </w:t>
            </w:r>
          </w:p>
          <w:p>
            <w:pPr>
              <w:spacing w:line="300" w:lineRule="exact"/>
              <w:rPr>
                <w:color w:val="auto"/>
                <w:szCs w:val="21"/>
              </w:rPr>
            </w:pPr>
            <w:r>
              <w:rPr>
                <w:color w:val="auto"/>
                <w:szCs w:val="21"/>
              </w:rPr>
              <w:t>□不通过</w:t>
            </w:r>
          </w:p>
        </w:tc>
        <w:tc>
          <w:tcPr>
            <w:tcW w:w="1959" w:type="dxa"/>
            <w:tcBorders>
              <w:top w:val="outset" w:color="111111" w:sz="6" w:space="0"/>
              <w:left w:val="outset" w:color="111111" w:sz="6" w:space="0"/>
              <w:bottom w:val="outset" w:color="111111" w:sz="6" w:space="0"/>
              <w:right w:val="single" w:color="auto" w:sz="12" w:space="0"/>
            </w:tcBorders>
            <w:vAlign w:val="center"/>
          </w:tcPr>
          <w:p>
            <w:pPr>
              <w:spacing w:line="300" w:lineRule="exact"/>
              <w:jc w:val="center"/>
              <w:rPr>
                <w:color w:val="auto"/>
                <w:szCs w:val="21"/>
              </w:rPr>
            </w:pPr>
            <w:r>
              <w:rPr>
                <w:color w:val="auto"/>
                <w:szCs w:val="21"/>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vAlign w:val="center"/>
          </w:tcPr>
          <w:p>
            <w:pPr>
              <w:spacing w:line="300" w:lineRule="exact"/>
              <w:rPr>
                <w:color w:val="auto"/>
                <w:szCs w:val="21"/>
              </w:rPr>
            </w:pPr>
          </w:p>
        </w:tc>
        <w:tc>
          <w:tcPr>
            <w:tcW w:w="4725" w:type="dxa"/>
            <w:tcBorders>
              <w:top w:val="outset" w:color="111111" w:sz="6" w:space="0"/>
              <w:left w:val="outset" w:color="111111" w:sz="6" w:space="0"/>
              <w:bottom w:val="outset" w:color="111111" w:sz="6" w:space="0"/>
              <w:right w:val="outset" w:color="111111" w:sz="6" w:space="0"/>
            </w:tcBorders>
            <w:vAlign w:val="center"/>
          </w:tcPr>
          <w:p>
            <w:pPr>
              <w:spacing w:line="300" w:lineRule="exact"/>
              <w:rPr>
                <w:color w:val="auto"/>
                <w:szCs w:val="21"/>
              </w:rPr>
            </w:pPr>
            <w:r>
              <w:rPr>
                <w:color w:val="auto"/>
                <w:szCs w:val="21"/>
              </w:rPr>
              <w:t>8、投标文件的关键内容字迹清晰、能够辨认，且投标文件中经修正的内容（如有）字迹清晰可以辩认并且修改处均按规定签署、盖章；</w:t>
            </w:r>
          </w:p>
        </w:tc>
        <w:tc>
          <w:tcPr>
            <w:tcW w:w="1418" w:type="dxa"/>
            <w:tcBorders>
              <w:top w:val="outset" w:color="111111" w:sz="6" w:space="0"/>
              <w:left w:val="outset" w:color="111111" w:sz="6" w:space="0"/>
              <w:bottom w:val="outset" w:color="111111" w:sz="6" w:space="0"/>
              <w:right w:val="outset" w:color="111111" w:sz="6" w:space="0"/>
            </w:tcBorders>
            <w:vAlign w:val="center"/>
          </w:tcPr>
          <w:p>
            <w:pPr>
              <w:spacing w:line="300" w:lineRule="exact"/>
              <w:rPr>
                <w:color w:val="auto"/>
                <w:szCs w:val="21"/>
              </w:rPr>
            </w:pPr>
            <w:r>
              <w:rPr>
                <w:color w:val="auto"/>
                <w:szCs w:val="21"/>
              </w:rPr>
              <w:t xml:space="preserve">□通过 </w:t>
            </w:r>
          </w:p>
          <w:p>
            <w:pPr>
              <w:spacing w:line="300" w:lineRule="exact"/>
              <w:rPr>
                <w:color w:val="auto"/>
                <w:szCs w:val="21"/>
              </w:rPr>
            </w:pPr>
            <w:r>
              <w:rPr>
                <w:color w:val="auto"/>
                <w:szCs w:val="21"/>
              </w:rPr>
              <w:t>□不通过</w:t>
            </w:r>
          </w:p>
        </w:tc>
        <w:tc>
          <w:tcPr>
            <w:tcW w:w="1959" w:type="dxa"/>
            <w:tcBorders>
              <w:top w:val="outset" w:color="111111" w:sz="6" w:space="0"/>
              <w:left w:val="outset" w:color="111111" w:sz="6" w:space="0"/>
              <w:bottom w:val="outset" w:color="111111" w:sz="6" w:space="0"/>
              <w:right w:val="single" w:color="auto" w:sz="12" w:space="0"/>
            </w:tcBorders>
            <w:vAlign w:val="center"/>
          </w:tcPr>
          <w:p>
            <w:pPr>
              <w:spacing w:line="300" w:lineRule="exact"/>
              <w:jc w:val="center"/>
              <w:rPr>
                <w:color w:val="auto"/>
                <w:szCs w:val="21"/>
              </w:rPr>
            </w:pPr>
            <w:r>
              <w:rPr>
                <w:color w:val="auto"/>
                <w:szCs w:val="21"/>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bottom w:val="single" w:color="auto" w:sz="12" w:space="0"/>
              <w:right w:val="outset" w:color="111111" w:sz="6" w:space="0"/>
            </w:tcBorders>
            <w:vAlign w:val="center"/>
          </w:tcPr>
          <w:p>
            <w:pPr>
              <w:spacing w:line="300" w:lineRule="exact"/>
              <w:rPr>
                <w:color w:val="auto"/>
                <w:szCs w:val="21"/>
              </w:rPr>
            </w:pPr>
          </w:p>
        </w:tc>
        <w:tc>
          <w:tcPr>
            <w:tcW w:w="4725" w:type="dxa"/>
            <w:tcBorders>
              <w:top w:val="outset" w:color="111111" w:sz="6" w:space="0"/>
              <w:left w:val="outset" w:color="111111" w:sz="6" w:space="0"/>
              <w:bottom w:val="single" w:color="auto" w:sz="12" w:space="0"/>
              <w:right w:val="outset" w:color="111111" w:sz="6" w:space="0"/>
            </w:tcBorders>
            <w:vAlign w:val="center"/>
          </w:tcPr>
          <w:p>
            <w:pPr>
              <w:spacing w:line="300" w:lineRule="exact"/>
              <w:rPr>
                <w:color w:val="auto"/>
                <w:szCs w:val="21"/>
              </w:rPr>
            </w:pPr>
            <w:r>
              <w:rPr>
                <w:color w:val="auto"/>
                <w:szCs w:val="21"/>
              </w:rPr>
              <w:t>9、不含法律、法规和招标文件规定的其他无效情形。</w:t>
            </w:r>
          </w:p>
        </w:tc>
        <w:tc>
          <w:tcPr>
            <w:tcW w:w="1418" w:type="dxa"/>
            <w:tcBorders>
              <w:top w:val="outset" w:color="111111" w:sz="6" w:space="0"/>
              <w:left w:val="outset" w:color="111111" w:sz="6" w:space="0"/>
              <w:bottom w:val="single" w:color="auto" w:sz="12" w:space="0"/>
              <w:right w:val="outset" w:color="111111" w:sz="6" w:space="0"/>
            </w:tcBorders>
            <w:vAlign w:val="center"/>
          </w:tcPr>
          <w:p>
            <w:pPr>
              <w:spacing w:line="300" w:lineRule="exact"/>
              <w:rPr>
                <w:color w:val="auto"/>
                <w:szCs w:val="21"/>
              </w:rPr>
            </w:pPr>
            <w:r>
              <w:rPr>
                <w:color w:val="auto"/>
                <w:szCs w:val="21"/>
              </w:rPr>
              <w:t xml:space="preserve">□通过 </w:t>
            </w:r>
          </w:p>
          <w:p>
            <w:pPr>
              <w:spacing w:line="300" w:lineRule="exact"/>
              <w:rPr>
                <w:color w:val="auto"/>
                <w:szCs w:val="21"/>
              </w:rPr>
            </w:pPr>
            <w:r>
              <w:rPr>
                <w:color w:val="auto"/>
                <w:szCs w:val="21"/>
              </w:rPr>
              <w:t>□不通过</w:t>
            </w:r>
          </w:p>
        </w:tc>
        <w:tc>
          <w:tcPr>
            <w:tcW w:w="1959" w:type="dxa"/>
            <w:tcBorders>
              <w:top w:val="outset" w:color="111111" w:sz="6" w:space="0"/>
              <w:left w:val="outset" w:color="111111" w:sz="6" w:space="0"/>
              <w:bottom w:val="single" w:color="auto" w:sz="12" w:space="0"/>
              <w:right w:val="single" w:color="auto" w:sz="12" w:space="0"/>
            </w:tcBorders>
            <w:vAlign w:val="center"/>
          </w:tcPr>
          <w:p>
            <w:pPr>
              <w:spacing w:line="300" w:lineRule="exact"/>
              <w:jc w:val="center"/>
              <w:rPr>
                <w:color w:val="auto"/>
                <w:szCs w:val="21"/>
              </w:rPr>
            </w:pPr>
            <w:r>
              <w:rPr>
                <w:color w:val="auto"/>
                <w:szCs w:val="21"/>
              </w:rPr>
              <w:t>/</w:t>
            </w:r>
          </w:p>
        </w:tc>
      </w:tr>
    </w:tbl>
    <w:p>
      <w:pPr>
        <w:spacing w:line="360" w:lineRule="auto"/>
        <w:ind w:firstLine="422" w:firstLineChars="200"/>
        <w:rPr>
          <w:b/>
          <w:color w:val="auto"/>
          <w:szCs w:val="21"/>
        </w:rPr>
      </w:pPr>
      <w:r>
        <w:rPr>
          <w:b/>
          <w:color w:val="auto"/>
          <w:szCs w:val="21"/>
        </w:rPr>
        <w:t>备注：投标人自查表将作为投标投标人有效性审查的重要内容之一，投标人请按照其内容及序列要求在投标文件中对应如实提供。</w:t>
      </w:r>
    </w:p>
    <w:p>
      <w:pPr>
        <w:spacing w:line="360" w:lineRule="auto"/>
        <w:ind w:firstLine="422" w:firstLineChars="200"/>
        <w:rPr>
          <w:b/>
          <w:color w:val="auto"/>
          <w:szCs w:val="21"/>
        </w:rPr>
      </w:pPr>
    </w:p>
    <w:p>
      <w:pPr>
        <w:spacing w:line="440" w:lineRule="exact"/>
        <w:rPr>
          <w:color w:val="auto"/>
          <w:sz w:val="24"/>
        </w:rPr>
      </w:pPr>
      <w:r>
        <w:rPr>
          <w:color w:val="auto"/>
          <w:lang w:bidi="ar"/>
        </w:rPr>
        <w:t>（若联合体参加投标的，联合体牵头单位提供）</w:t>
      </w:r>
    </w:p>
    <w:p>
      <w:pPr>
        <w:spacing w:line="360" w:lineRule="auto"/>
        <w:rPr>
          <w:b/>
          <w:color w:val="auto"/>
          <w:szCs w:val="21"/>
        </w:rPr>
      </w:pPr>
      <w:r>
        <w:rPr>
          <w:b/>
          <w:color w:val="auto"/>
          <w:szCs w:val="21"/>
        </w:rPr>
        <w:br w:type="page"/>
      </w:r>
      <w:r>
        <w:rPr>
          <w:b/>
          <w:color w:val="auto"/>
          <w:szCs w:val="21"/>
        </w:rPr>
        <w:t>格式七：</w:t>
      </w:r>
    </w:p>
    <w:p>
      <w:pPr>
        <w:spacing w:line="360" w:lineRule="auto"/>
        <w:jc w:val="center"/>
        <w:rPr>
          <w:b/>
          <w:color w:val="auto"/>
          <w:sz w:val="24"/>
        </w:rPr>
      </w:pPr>
      <w:r>
        <w:rPr>
          <w:b/>
          <w:color w:val="auto"/>
          <w:sz w:val="24"/>
        </w:rPr>
        <w:t>法定代表人资格证明</w:t>
      </w:r>
    </w:p>
    <w:p>
      <w:pPr>
        <w:spacing w:line="360" w:lineRule="auto"/>
        <w:rPr>
          <w:bCs/>
          <w:color w:val="auto"/>
          <w:szCs w:val="21"/>
        </w:rPr>
      </w:pPr>
    </w:p>
    <w:p>
      <w:pPr>
        <w:spacing w:line="360" w:lineRule="auto"/>
        <w:rPr>
          <w:bCs/>
          <w:color w:val="auto"/>
          <w:szCs w:val="21"/>
          <w:u w:val="single"/>
        </w:rPr>
      </w:pPr>
      <w:r>
        <w:rPr>
          <w:bCs/>
          <w:color w:val="auto"/>
          <w:szCs w:val="21"/>
        </w:rPr>
        <w:t>单位名称：</w:t>
      </w:r>
      <w:r>
        <w:rPr>
          <w:bCs/>
          <w:color w:val="auto"/>
          <w:szCs w:val="21"/>
          <w:u w:val="single"/>
        </w:rPr>
        <w:t xml:space="preserve">                                                                    </w:t>
      </w:r>
    </w:p>
    <w:p>
      <w:pPr>
        <w:spacing w:line="360" w:lineRule="auto"/>
        <w:rPr>
          <w:bCs/>
          <w:color w:val="auto"/>
          <w:szCs w:val="21"/>
        </w:rPr>
      </w:pPr>
      <w:r>
        <w:rPr>
          <w:bCs/>
          <w:color w:val="auto"/>
          <w:szCs w:val="21"/>
        </w:rPr>
        <w:t>地    址：</w:t>
      </w:r>
      <w:r>
        <w:rPr>
          <w:bCs/>
          <w:color w:val="auto"/>
          <w:szCs w:val="21"/>
          <w:u w:val="single"/>
        </w:rPr>
        <w:t xml:space="preserve">                                                                    </w:t>
      </w:r>
    </w:p>
    <w:p>
      <w:pPr>
        <w:spacing w:line="360" w:lineRule="auto"/>
        <w:rPr>
          <w:bCs/>
          <w:color w:val="auto"/>
          <w:szCs w:val="21"/>
        </w:rPr>
      </w:pPr>
      <w:r>
        <w:rPr>
          <w:bCs/>
          <w:color w:val="auto"/>
          <w:szCs w:val="21"/>
        </w:rPr>
        <w:t>姓    名：</w:t>
      </w:r>
      <w:r>
        <w:rPr>
          <w:bCs/>
          <w:color w:val="auto"/>
          <w:szCs w:val="21"/>
          <w:u w:val="single"/>
        </w:rPr>
        <w:t xml:space="preserve">                          </w:t>
      </w:r>
      <w:r>
        <w:rPr>
          <w:bCs/>
          <w:color w:val="auto"/>
          <w:szCs w:val="21"/>
        </w:rPr>
        <w:t xml:space="preserve">  性    别：</w:t>
      </w:r>
      <w:r>
        <w:rPr>
          <w:bCs/>
          <w:color w:val="auto"/>
          <w:szCs w:val="21"/>
          <w:u w:val="single"/>
        </w:rPr>
        <w:t xml:space="preserve">                              </w:t>
      </w:r>
    </w:p>
    <w:p>
      <w:pPr>
        <w:spacing w:line="360" w:lineRule="auto"/>
        <w:rPr>
          <w:bCs/>
          <w:color w:val="auto"/>
          <w:szCs w:val="21"/>
        </w:rPr>
      </w:pPr>
      <w:r>
        <w:rPr>
          <w:bCs/>
          <w:color w:val="auto"/>
          <w:szCs w:val="21"/>
        </w:rPr>
        <w:t>年    龄：</w:t>
      </w:r>
      <w:r>
        <w:rPr>
          <w:bCs/>
          <w:color w:val="auto"/>
          <w:szCs w:val="21"/>
          <w:u w:val="single"/>
        </w:rPr>
        <w:t xml:space="preserve">                          </w:t>
      </w:r>
      <w:r>
        <w:rPr>
          <w:bCs/>
          <w:color w:val="auto"/>
          <w:szCs w:val="21"/>
        </w:rPr>
        <w:t xml:space="preserve">  职    务：</w:t>
      </w:r>
      <w:r>
        <w:rPr>
          <w:bCs/>
          <w:color w:val="auto"/>
          <w:szCs w:val="21"/>
          <w:u w:val="single"/>
        </w:rPr>
        <w:t xml:space="preserve">                              </w:t>
      </w:r>
    </w:p>
    <w:p>
      <w:pPr>
        <w:spacing w:line="360" w:lineRule="auto"/>
        <w:rPr>
          <w:bCs/>
          <w:color w:val="auto"/>
          <w:szCs w:val="21"/>
        </w:rPr>
      </w:pPr>
      <w:r>
        <w:rPr>
          <w:bCs/>
          <w:color w:val="auto"/>
          <w:szCs w:val="21"/>
        </w:rPr>
        <w:t>身份证号码：</w:t>
      </w:r>
      <w:r>
        <w:rPr>
          <w:bCs/>
          <w:color w:val="auto"/>
          <w:szCs w:val="21"/>
          <w:u w:val="single"/>
        </w:rPr>
        <w:t xml:space="preserve">                     </w:t>
      </w:r>
      <w:r>
        <w:rPr>
          <w:bCs/>
          <w:color w:val="auto"/>
          <w:szCs w:val="21"/>
        </w:rPr>
        <w:t>系</w:t>
      </w:r>
      <w:r>
        <w:rPr>
          <w:bCs/>
          <w:color w:val="auto"/>
          <w:szCs w:val="21"/>
          <w:u w:val="single"/>
        </w:rPr>
        <w:t xml:space="preserve">               </w:t>
      </w:r>
      <w:r>
        <w:rPr>
          <w:bCs/>
          <w:color w:val="auto"/>
          <w:szCs w:val="21"/>
        </w:rPr>
        <w:t>（投标人单位全称）的法定代表人。</w:t>
      </w:r>
    </w:p>
    <w:p>
      <w:pPr>
        <w:spacing w:line="360" w:lineRule="auto"/>
        <w:ind w:firstLine="420" w:firstLineChars="200"/>
        <w:rPr>
          <w:bCs/>
          <w:color w:val="auto"/>
          <w:szCs w:val="21"/>
        </w:rPr>
      </w:pPr>
    </w:p>
    <w:p>
      <w:pPr>
        <w:spacing w:line="360" w:lineRule="auto"/>
        <w:ind w:firstLine="420" w:firstLineChars="200"/>
        <w:rPr>
          <w:bCs/>
          <w:color w:val="auto"/>
          <w:szCs w:val="21"/>
        </w:rPr>
      </w:pPr>
      <w:r>
        <w:rPr>
          <w:bCs/>
          <w:color w:val="auto"/>
          <w:szCs w:val="21"/>
        </w:rPr>
        <w:t>特此证明。</w:t>
      </w:r>
    </w:p>
    <w:p>
      <w:pPr>
        <w:spacing w:line="360" w:lineRule="auto"/>
        <w:ind w:firstLine="420" w:firstLineChars="200"/>
        <w:rPr>
          <w:bCs/>
          <w:color w:val="auto"/>
          <w:szCs w:val="21"/>
        </w:rPr>
      </w:pPr>
    </w:p>
    <w:p>
      <w:pPr>
        <w:spacing w:line="360" w:lineRule="auto"/>
        <w:ind w:firstLine="422" w:firstLineChars="200"/>
        <w:rPr>
          <w:b/>
          <w:color w:val="auto"/>
          <w:szCs w:val="21"/>
        </w:rPr>
      </w:pPr>
      <w:r>
        <w:rPr>
          <w:b/>
          <w:color w:val="auto"/>
          <w:szCs w:val="21"/>
        </w:rPr>
        <w:t>后附法定代表人身份证正反面复印件，加盖公章。</w:t>
      </w:r>
    </w:p>
    <w:p>
      <w:pPr>
        <w:spacing w:line="360" w:lineRule="auto"/>
        <w:rPr>
          <w:bCs/>
          <w:color w:val="auto"/>
          <w:szCs w:val="21"/>
        </w:rPr>
      </w:pPr>
    </w:p>
    <w:p>
      <w:pPr>
        <w:spacing w:line="360" w:lineRule="auto"/>
        <w:rPr>
          <w:bCs/>
          <w:color w:val="auto"/>
          <w:szCs w:val="21"/>
        </w:rPr>
      </w:pPr>
    </w:p>
    <w:p>
      <w:pPr>
        <w:spacing w:line="360" w:lineRule="auto"/>
        <w:rPr>
          <w:bCs/>
          <w:color w:val="auto"/>
          <w:szCs w:val="21"/>
        </w:rPr>
      </w:pPr>
    </w:p>
    <w:p>
      <w:pPr>
        <w:spacing w:line="360" w:lineRule="auto"/>
        <w:rPr>
          <w:bCs/>
          <w:color w:val="auto"/>
          <w:szCs w:val="21"/>
        </w:rPr>
      </w:pPr>
    </w:p>
    <w:p>
      <w:pPr>
        <w:spacing w:line="360" w:lineRule="auto"/>
        <w:rPr>
          <w:bCs/>
          <w:color w:val="auto"/>
          <w:szCs w:val="21"/>
        </w:rPr>
      </w:pPr>
    </w:p>
    <w:p>
      <w:pPr>
        <w:spacing w:line="360" w:lineRule="auto"/>
        <w:rPr>
          <w:bCs/>
          <w:color w:val="auto"/>
          <w:szCs w:val="21"/>
        </w:rPr>
      </w:pPr>
      <w:r>
        <w:rPr>
          <w:bCs/>
          <w:color w:val="auto"/>
          <w:szCs w:val="21"/>
        </w:rPr>
        <w:t>投标人全称（盖公章）：</w:t>
      </w:r>
    </w:p>
    <w:p>
      <w:pPr>
        <w:spacing w:line="360" w:lineRule="auto"/>
        <w:rPr>
          <w:bCs/>
          <w:color w:val="auto"/>
          <w:szCs w:val="21"/>
        </w:rPr>
      </w:pPr>
      <w:r>
        <w:rPr>
          <w:bCs/>
          <w:color w:val="auto"/>
          <w:szCs w:val="21"/>
        </w:rPr>
        <w:t>投标人法定代表人（</w:t>
      </w:r>
      <w:r>
        <w:rPr>
          <w:color w:val="auto"/>
          <w:szCs w:val="21"/>
        </w:rPr>
        <w:t>签字或盖章</w:t>
      </w:r>
      <w:r>
        <w:rPr>
          <w:bCs/>
          <w:color w:val="auto"/>
          <w:szCs w:val="21"/>
        </w:rPr>
        <w:t xml:space="preserve">）：                       </w:t>
      </w:r>
    </w:p>
    <w:p>
      <w:pPr>
        <w:spacing w:line="360" w:lineRule="auto"/>
        <w:rPr>
          <w:bCs/>
          <w:color w:val="auto"/>
          <w:szCs w:val="21"/>
        </w:rPr>
      </w:pPr>
      <w:r>
        <w:rPr>
          <w:bCs/>
          <w:color w:val="auto"/>
          <w:szCs w:val="21"/>
        </w:rPr>
        <w:t>日期：年  月  日</w:t>
      </w:r>
    </w:p>
    <w:p>
      <w:pPr>
        <w:spacing w:line="360" w:lineRule="auto"/>
        <w:jc w:val="center"/>
        <w:rPr>
          <w:b/>
          <w:color w:val="auto"/>
          <w:szCs w:val="21"/>
        </w:rPr>
      </w:pPr>
    </w:p>
    <w:p>
      <w:pPr>
        <w:spacing w:line="360" w:lineRule="auto"/>
        <w:jc w:val="center"/>
        <w:rPr>
          <w:b/>
          <w:color w:val="auto"/>
          <w:szCs w:val="21"/>
        </w:rPr>
      </w:pPr>
    </w:p>
    <w:p>
      <w:pPr>
        <w:spacing w:line="440" w:lineRule="exact"/>
        <w:rPr>
          <w:color w:val="auto"/>
          <w:sz w:val="24"/>
        </w:rPr>
      </w:pPr>
      <w:r>
        <w:rPr>
          <w:color w:val="auto"/>
          <w:lang w:bidi="ar"/>
        </w:rPr>
        <w:t>（若联合体参加投标的，联合体牵头单位提供）</w:t>
      </w:r>
    </w:p>
    <w:p>
      <w:pPr>
        <w:spacing w:line="360" w:lineRule="auto"/>
        <w:jc w:val="center"/>
        <w:rPr>
          <w:b/>
          <w:color w:val="auto"/>
          <w:szCs w:val="21"/>
        </w:rPr>
      </w:pPr>
    </w:p>
    <w:p>
      <w:pPr>
        <w:spacing w:line="360" w:lineRule="auto"/>
        <w:jc w:val="center"/>
        <w:rPr>
          <w:b/>
          <w:color w:val="auto"/>
          <w:szCs w:val="21"/>
        </w:rPr>
      </w:pPr>
    </w:p>
    <w:p>
      <w:pPr>
        <w:spacing w:line="360" w:lineRule="auto"/>
        <w:jc w:val="center"/>
        <w:rPr>
          <w:b/>
          <w:color w:val="auto"/>
          <w:szCs w:val="21"/>
        </w:rPr>
      </w:pPr>
    </w:p>
    <w:p>
      <w:pPr>
        <w:spacing w:line="360" w:lineRule="auto"/>
        <w:jc w:val="center"/>
        <w:rPr>
          <w:b/>
          <w:color w:val="auto"/>
          <w:szCs w:val="21"/>
        </w:rPr>
      </w:pPr>
    </w:p>
    <w:p>
      <w:pPr>
        <w:spacing w:line="360" w:lineRule="auto"/>
        <w:jc w:val="center"/>
        <w:rPr>
          <w:b/>
          <w:color w:val="auto"/>
          <w:szCs w:val="21"/>
        </w:rPr>
      </w:pPr>
    </w:p>
    <w:p>
      <w:pPr>
        <w:spacing w:line="360" w:lineRule="auto"/>
        <w:jc w:val="center"/>
        <w:rPr>
          <w:b/>
          <w:color w:val="auto"/>
          <w:szCs w:val="21"/>
        </w:rPr>
      </w:pPr>
    </w:p>
    <w:p>
      <w:pPr>
        <w:spacing w:line="360" w:lineRule="auto"/>
        <w:jc w:val="center"/>
        <w:rPr>
          <w:b/>
          <w:color w:val="auto"/>
          <w:szCs w:val="21"/>
        </w:rPr>
      </w:pPr>
    </w:p>
    <w:p>
      <w:pPr>
        <w:spacing w:line="360" w:lineRule="auto"/>
        <w:jc w:val="center"/>
        <w:rPr>
          <w:b/>
          <w:color w:val="auto"/>
          <w:szCs w:val="21"/>
        </w:rPr>
      </w:pPr>
    </w:p>
    <w:p>
      <w:pPr>
        <w:spacing w:line="360" w:lineRule="auto"/>
        <w:jc w:val="center"/>
        <w:rPr>
          <w:b/>
          <w:color w:val="auto"/>
          <w:szCs w:val="21"/>
        </w:rPr>
      </w:pPr>
    </w:p>
    <w:p>
      <w:pPr>
        <w:spacing w:line="360" w:lineRule="auto"/>
        <w:jc w:val="center"/>
        <w:rPr>
          <w:b/>
          <w:color w:val="auto"/>
          <w:szCs w:val="21"/>
        </w:rPr>
      </w:pPr>
    </w:p>
    <w:p>
      <w:pPr>
        <w:spacing w:line="360" w:lineRule="auto"/>
        <w:jc w:val="center"/>
        <w:rPr>
          <w:b/>
          <w:color w:val="auto"/>
          <w:szCs w:val="21"/>
        </w:rPr>
      </w:pPr>
    </w:p>
    <w:p>
      <w:pPr>
        <w:spacing w:line="360" w:lineRule="auto"/>
        <w:jc w:val="center"/>
        <w:rPr>
          <w:b/>
          <w:color w:val="auto"/>
          <w:szCs w:val="21"/>
        </w:rPr>
      </w:pPr>
    </w:p>
    <w:p>
      <w:pPr>
        <w:spacing w:line="360" w:lineRule="auto"/>
        <w:jc w:val="left"/>
        <w:rPr>
          <w:b/>
          <w:color w:val="auto"/>
          <w:szCs w:val="21"/>
        </w:rPr>
      </w:pPr>
      <w:r>
        <w:rPr>
          <w:b/>
          <w:color w:val="auto"/>
          <w:szCs w:val="21"/>
        </w:rPr>
        <w:br w:type="page"/>
      </w:r>
      <w:r>
        <w:rPr>
          <w:b/>
          <w:color w:val="auto"/>
          <w:szCs w:val="21"/>
        </w:rPr>
        <w:t>格式八：</w:t>
      </w:r>
    </w:p>
    <w:p>
      <w:pPr>
        <w:spacing w:line="360" w:lineRule="auto"/>
        <w:jc w:val="center"/>
        <w:rPr>
          <w:b/>
          <w:color w:val="auto"/>
          <w:sz w:val="24"/>
        </w:rPr>
      </w:pPr>
      <w:r>
        <w:rPr>
          <w:b/>
          <w:color w:val="auto"/>
          <w:sz w:val="24"/>
        </w:rPr>
        <w:t>法定代表人授权委托书</w:t>
      </w:r>
    </w:p>
    <w:p>
      <w:pPr>
        <w:spacing w:line="360" w:lineRule="auto"/>
        <w:jc w:val="center"/>
        <w:rPr>
          <w:b/>
          <w:color w:val="auto"/>
          <w:szCs w:val="21"/>
        </w:rPr>
      </w:pPr>
    </w:p>
    <w:p>
      <w:pPr>
        <w:spacing w:line="360" w:lineRule="auto"/>
        <w:rPr>
          <w:color w:val="auto"/>
          <w:szCs w:val="21"/>
        </w:rPr>
      </w:pPr>
      <w:r>
        <w:rPr>
          <w:color w:val="auto"/>
          <w:szCs w:val="21"/>
          <w:u w:val="single"/>
        </w:rPr>
        <w:t>致 （代理机构）</w:t>
      </w:r>
      <w:r>
        <w:rPr>
          <w:color w:val="auto"/>
          <w:szCs w:val="21"/>
        </w:rPr>
        <w:t>：</w:t>
      </w:r>
    </w:p>
    <w:p>
      <w:pPr>
        <w:spacing w:line="360" w:lineRule="auto"/>
        <w:rPr>
          <w:color w:val="auto"/>
          <w:szCs w:val="21"/>
        </w:rPr>
      </w:pPr>
      <w:r>
        <w:rPr>
          <w:color w:val="auto"/>
          <w:szCs w:val="21"/>
        </w:rPr>
        <w:t xml:space="preserve">    </w:t>
      </w:r>
      <w:r>
        <w:rPr>
          <w:color w:val="auto"/>
          <w:szCs w:val="21"/>
          <w:u w:val="single"/>
        </w:rPr>
        <w:t xml:space="preserve">  （投标人全称）   </w:t>
      </w:r>
      <w:r>
        <w:rPr>
          <w:color w:val="auto"/>
          <w:szCs w:val="21"/>
        </w:rPr>
        <w:t>法定代表人</w:t>
      </w:r>
      <w:r>
        <w:rPr>
          <w:color w:val="auto"/>
          <w:szCs w:val="21"/>
          <w:u w:val="single"/>
        </w:rPr>
        <w:t xml:space="preserve"> （姓名、职务） </w:t>
      </w:r>
      <w:r>
        <w:rPr>
          <w:color w:val="auto"/>
          <w:szCs w:val="21"/>
        </w:rPr>
        <w:t>授权</w:t>
      </w:r>
      <w:r>
        <w:rPr>
          <w:color w:val="auto"/>
          <w:szCs w:val="21"/>
          <w:u w:val="single"/>
        </w:rPr>
        <w:t xml:space="preserve"> （授权代表姓名、职务）</w:t>
      </w:r>
      <w:r>
        <w:rPr>
          <w:color w:val="auto"/>
          <w:szCs w:val="21"/>
        </w:rPr>
        <w:t>为本公司合法代理人，参加贵招标代理公司组织的</w:t>
      </w:r>
      <w:r>
        <w:rPr>
          <w:color w:val="auto"/>
          <w:szCs w:val="21"/>
          <w:u w:val="single"/>
        </w:rPr>
        <w:t xml:space="preserve"> （项目编号、项目名称)  </w:t>
      </w:r>
      <w:r>
        <w:rPr>
          <w:color w:val="auto"/>
          <w:szCs w:val="21"/>
        </w:rPr>
        <w:t>项目的招标投标活动，代表本公司处理招标投标活动中的一切事宜。</w:t>
      </w:r>
    </w:p>
    <w:p>
      <w:pPr>
        <w:spacing w:line="360" w:lineRule="auto"/>
        <w:rPr>
          <w:color w:val="auto"/>
          <w:szCs w:val="21"/>
        </w:rPr>
      </w:pPr>
      <w:r>
        <w:rPr>
          <w:color w:val="auto"/>
          <w:szCs w:val="21"/>
        </w:rPr>
        <w:t xml:space="preserve">    本授权书于</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日签名生效，特此声明。</w:t>
      </w:r>
    </w:p>
    <w:p>
      <w:pPr>
        <w:spacing w:line="360" w:lineRule="auto"/>
        <w:rPr>
          <w:color w:val="auto"/>
          <w:szCs w:val="21"/>
        </w:rPr>
      </w:pPr>
    </w:p>
    <w:p>
      <w:pPr>
        <w:spacing w:line="360" w:lineRule="auto"/>
        <w:rPr>
          <w:color w:val="auto"/>
          <w:szCs w:val="21"/>
        </w:rPr>
      </w:pPr>
    </w:p>
    <w:p>
      <w:pPr>
        <w:spacing w:line="360" w:lineRule="auto"/>
        <w:rPr>
          <w:color w:val="auto"/>
          <w:szCs w:val="21"/>
        </w:rPr>
      </w:pPr>
    </w:p>
    <w:p>
      <w:pPr>
        <w:pStyle w:val="19"/>
        <w:widowControl/>
        <w:spacing w:line="360" w:lineRule="auto"/>
        <w:jc w:val="left"/>
        <w:rPr>
          <w:rFonts w:ascii="Times New Roman" w:hAnsi="Times New Roman"/>
          <w:color w:val="auto"/>
          <w:sz w:val="21"/>
          <w:szCs w:val="21"/>
        </w:rPr>
      </w:pPr>
      <w:r>
        <w:rPr>
          <w:rFonts w:ascii="Times New Roman" w:hAnsi="Times New Roman"/>
          <w:color w:val="auto"/>
          <w:sz w:val="21"/>
          <w:szCs w:val="21"/>
        </w:rPr>
        <w:t xml:space="preserve">                                         投标人全称（盖公章）：</w:t>
      </w:r>
    </w:p>
    <w:p>
      <w:pPr>
        <w:pStyle w:val="19"/>
        <w:widowControl/>
        <w:spacing w:line="360" w:lineRule="auto"/>
        <w:jc w:val="left"/>
        <w:rPr>
          <w:rFonts w:ascii="Times New Roman" w:hAnsi="Times New Roman"/>
          <w:color w:val="auto"/>
          <w:sz w:val="21"/>
          <w:szCs w:val="21"/>
        </w:rPr>
      </w:pPr>
      <w:r>
        <w:rPr>
          <w:rFonts w:ascii="Times New Roman" w:hAnsi="Times New Roman"/>
          <w:color w:val="auto"/>
          <w:sz w:val="21"/>
          <w:szCs w:val="21"/>
        </w:rPr>
        <w:t xml:space="preserve">                                         投标人法定代表人（签字或盖章）：</w:t>
      </w:r>
    </w:p>
    <w:p>
      <w:pPr>
        <w:pStyle w:val="19"/>
        <w:spacing w:line="360" w:lineRule="auto"/>
        <w:rPr>
          <w:rFonts w:ascii="Times New Roman" w:hAnsi="Times New Roman"/>
          <w:b/>
          <w:color w:val="auto"/>
          <w:sz w:val="21"/>
          <w:szCs w:val="21"/>
        </w:rPr>
      </w:pPr>
      <w:r>
        <w:rPr>
          <w:rFonts w:ascii="Times New Roman" w:hAnsi="Times New Roman"/>
          <w:color w:val="auto"/>
          <w:sz w:val="21"/>
          <w:szCs w:val="21"/>
        </w:rPr>
        <w:t xml:space="preserve">                                         日期：年  月  日</w:t>
      </w: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r>
        <w:rPr>
          <w:color w:val="auto"/>
          <w:szCs w:val="21"/>
        </w:rPr>
        <w:t>附：</w:t>
      </w:r>
    </w:p>
    <w:p>
      <w:pPr>
        <w:spacing w:line="360" w:lineRule="auto"/>
        <w:rPr>
          <w:color w:val="auto"/>
          <w:szCs w:val="21"/>
        </w:rPr>
      </w:pPr>
      <w:r>
        <w:rPr>
          <w:color w:val="auto"/>
          <w:szCs w:val="21"/>
        </w:rPr>
        <w:t xml:space="preserve">  授权代表姓名：</w:t>
      </w:r>
    </w:p>
    <w:p>
      <w:pPr>
        <w:spacing w:line="360" w:lineRule="auto"/>
        <w:rPr>
          <w:color w:val="auto"/>
          <w:szCs w:val="21"/>
        </w:rPr>
      </w:pPr>
      <w:r>
        <w:rPr>
          <w:color w:val="auto"/>
          <w:szCs w:val="21"/>
        </w:rPr>
        <w:t xml:space="preserve">  职        务：</w:t>
      </w:r>
    </w:p>
    <w:p>
      <w:pPr>
        <w:spacing w:line="360" w:lineRule="auto"/>
        <w:ind w:firstLine="210" w:firstLineChars="100"/>
        <w:rPr>
          <w:color w:val="auto"/>
          <w:szCs w:val="21"/>
        </w:rPr>
      </w:pPr>
      <w:r>
        <w:rPr>
          <w:color w:val="auto"/>
          <w:szCs w:val="21"/>
        </w:rPr>
        <w:t>授权代表签字或盖章：</w:t>
      </w:r>
    </w:p>
    <w:p>
      <w:pPr>
        <w:spacing w:line="360" w:lineRule="auto"/>
        <w:rPr>
          <w:color w:val="auto"/>
          <w:szCs w:val="21"/>
        </w:rPr>
      </w:pPr>
      <w:r>
        <w:rPr>
          <w:color w:val="auto"/>
          <w:szCs w:val="21"/>
        </w:rPr>
        <w:t xml:space="preserve">  详细通讯地址：</w:t>
      </w:r>
    </w:p>
    <w:p>
      <w:pPr>
        <w:spacing w:line="360" w:lineRule="auto"/>
        <w:rPr>
          <w:color w:val="auto"/>
          <w:szCs w:val="21"/>
        </w:rPr>
      </w:pPr>
      <w:r>
        <w:rPr>
          <w:color w:val="auto"/>
          <w:szCs w:val="21"/>
        </w:rPr>
        <w:t xml:space="preserve">  邮 政 编  码：</w:t>
      </w:r>
    </w:p>
    <w:p>
      <w:pPr>
        <w:spacing w:line="360" w:lineRule="auto"/>
        <w:rPr>
          <w:color w:val="auto"/>
          <w:szCs w:val="21"/>
        </w:rPr>
      </w:pPr>
      <w:r>
        <w:rPr>
          <w:color w:val="auto"/>
          <w:szCs w:val="21"/>
        </w:rPr>
        <w:t xml:space="preserve">  传        真：</w:t>
      </w:r>
    </w:p>
    <w:p>
      <w:pPr>
        <w:spacing w:line="360" w:lineRule="auto"/>
        <w:rPr>
          <w:color w:val="auto"/>
          <w:szCs w:val="21"/>
        </w:rPr>
      </w:pPr>
      <w:r>
        <w:rPr>
          <w:color w:val="auto"/>
          <w:szCs w:val="21"/>
        </w:rPr>
        <w:t xml:space="preserve">  电        话：</w:t>
      </w:r>
    </w:p>
    <w:p>
      <w:pPr>
        <w:spacing w:line="360" w:lineRule="auto"/>
        <w:jc w:val="center"/>
        <w:rPr>
          <w:color w:val="auto"/>
          <w:szCs w:val="21"/>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spacing w:line="360" w:lineRule="auto"/>
              <w:jc w:val="center"/>
              <w:rPr>
                <w:b/>
                <w:bCs/>
                <w:color w:val="auto"/>
                <w:szCs w:val="21"/>
              </w:rPr>
            </w:pPr>
            <w:r>
              <w:rPr>
                <w:b/>
                <w:bCs/>
                <w:color w:val="auto"/>
                <w:szCs w:val="21"/>
              </w:rPr>
              <w:t>此处请附法定代表人和授权代表的身份证复印件并加盖公章，也可另起一页。</w:t>
            </w:r>
          </w:p>
          <w:p>
            <w:pPr>
              <w:spacing w:line="360" w:lineRule="auto"/>
              <w:ind w:firstLine="316" w:firstLineChars="150"/>
              <w:rPr>
                <w:color w:val="auto"/>
                <w:szCs w:val="21"/>
              </w:rPr>
            </w:pPr>
            <w:r>
              <w:rPr>
                <w:b/>
                <w:bCs/>
                <w:color w:val="auto"/>
                <w:szCs w:val="21"/>
              </w:rPr>
              <w:t>另请提供投标人代表的社保部门出具的开标日近三个月内任意一个月的社保证明。</w:t>
            </w:r>
          </w:p>
        </w:tc>
      </w:tr>
    </w:tbl>
    <w:p>
      <w:pPr>
        <w:spacing w:line="360" w:lineRule="auto"/>
        <w:ind w:firstLine="3150" w:firstLineChars="1500"/>
        <w:rPr>
          <w:color w:val="auto"/>
          <w:szCs w:val="21"/>
        </w:rPr>
      </w:pPr>
    </w:p>
    <w:p>
      <w:pPr>
        <w:spacing w:line="360" w:lineRule="auto"/>
        <w:rPr>
          <w:b/>
          <w:color w:val="auto"/>
          <w:szCs w:val="21"/>
        </w:rPr>
      </w:pPr>
      <w:r>
        <w:rPr>
          <w:b/>
          <w:color w:val="auto"/>
          <w:szCs w:val="21"/>
        </w:rPr>
        <w:t>说明：法定代表人参加本项目的，无须提供本授权委托书。</w:t>
      </w:r>
    </w:p>
    <w:p>
      <w:pPr>
        <w:spacing w:line="360" w:lineRule="auto"/>
        <w:rPr>
          <w:color w:val="auto"/>
          <w:szCs w:val="21"/>
        </w:rPr>
      </w:pPr>
    </w:p>
    <w:p>
      <w:pPr>
        <w:spacing w:line="440" w:lineRule="exact"/>
        <w:rPr>
          <w:color w:val="auto"/>
          <w:sz w:val="24"/>
        </w:rPr>
      </w:pPr>
      <w:r>
        <w:rPr>
          <w:color w:val="auto"/>
          <w:lang w:bidi="ar"/>
        </w:rPr>
        <w:t>（若联合体参加投标的，联合体牵头单位提供）</w:t>
      </w:r>
    </w:p>
    <w:p>
      <w:pPr>
        <w:spacing w:line="360" w:lineRule="auto"/>
        <w:rPr>
          <w:b/>
          <w:bCs/>
          <w:color w:val="auto"/>
          <w:szCs w:val="21"/>
        </w:rPr>
      </w:pPr>
      <w:r>
        <w:rPr>
          <w:b/>
          <w:bCs/>
          <w:color w:val="auto"/>
          <w:szCs w:val="21"/>
        </w:rPr>
        <w:br w:type="page"/>
      </w:r>
      <w:r>
        <w:rPr>
          <w:b/>
          <w:bCs/>
          <w:color w:val="auto"/>
          <w:szCs w:val="21"/>
        </w:rPr>
        <w:t>格式九：</w:t>
      </w:r>
    </w:p>
    <w:p>
      <w:pPr>
        <w:spacing w:line="360" w:lineRule="auto"/>
        <w:jc w:val="center"/>
        <w:rPr>
          <w:color w:val="auto"/>
          <w:sz w:val="24"/>
        </w:rPr>
      </w:pPr>
      <w:r>
        <w:rPr>
          <w:b/>
          <w:bCs/>
          <w:color w:val="auto"/>
          <w:sz w:val="24"/>
        </w:rPr>
        <w:t>商务条款响应（偏离）表</w:t>
      </w:r>
    </w:p>
    <w:p>
      <w:pPr>
        <w:spacing w:line="360" w:lineRule="auto"/>
        <w:rPr>
          <w:color w:val="auto"/>
          <w:szCs w:val="21"/>
        </w:rPr>
      </w:pPr>
    </w:p>
    <w:p>
      <w:pPr>
        <w:spacing w:line="360" w:lineRule="auto"/>
        <w:rPr>
          <w:color w:val="auto"/>
          <w:szCs w:val="21"/>
          <w:u w:val="single"/>
        </w:rPr>
      </w:pPr>
      <w:r>
        <w:rPr>
          <w:color w:val="auto"/>
          <w:szCs w:val="21"/>
        </w:rPr>
        <w:t>项目名称：</w:t>
      </w:r>
      <w:r>
        <w:rPr>
          <w:color w:val="auto"/>
          <w:szCs w:val="21"/>
          <w:u w:val="single"/>
        </w:rPr>
        <w:t xml:space="preserve">                                         </w:t>
      </w:r>
      <w:r>
        <w:rPr>
          <w:color w:val="auto"/>
          <w:szCs w:val="21"/>
        </w:rPr>
        <w:t>项目编号：</w:t>
      </w:r>
      <w:r>
        <w:rPr>
          <w:color w:val="auto"/>
          <w:szCs w:val="21"/>
          <w:u w:val="single"/>
        </w:rPr>
        <w:t xml:space="preserve">                      </w:t>
      </w:r>
    </w:p>
    <w:tbl>
      <w:tblPr>
        <w:tblStyle w:val="4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700"/>
        <w:gridCol w:w="1260"/>
        <w:gridCol w:w="30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vAlign w:val="center"/>
          </w:tcPr>
          <w:p>
            <w:pPr>
              <w:spacing w:line="400" w:lineRule="exact"/>
              <w:jc w:val="center"/>
              <w:rPr>
                <w:b/>
                <w:color w:val="auto"/>
                <w:szCs w:val="21"/>
              </w:rPr>
            </w:pPr>
            <w:r>
              <w:rPr>
                <w:b/>
                <w:color w:val="auto"/>
                <w:szCs w:val="21"/>
              </w:rPr>
              <w:t>项目</w:t>
            </w:r>
          </w:p>
        </w:tc>
        <w:tc>
          <w:tcPr>
            <w:tcW w:w="2700" w:type="dxa"/>
            <w:vAlign w:val="center"/>
          </w:tcPr>
          <w:p>
            <w:pPr>
              <w:spacing w:line="400" w:lineRule="exact"/>
              <w:jc w:val="center"/>
              <w:rPr>
                <w:b/>
                <w:color w:val="auto"/>
                <w:szCs w:val="21"/>
              </w:rPr>
            </w:pPr>
            <w:r>
              <w:rPr>
                <w:b/>
                <w:color w:val="auto"/>
                <w:szCs w:val="21"/>
              </w:rPr>
              <w:t>采购文件要求</w:t>
            </w:r>
          </w:p>
        </w:tc>
        <w:tc>
          <w:tcPr>
            <w:tcW w:w="1260" w:type="dxa"/>
            <w:vAlign w:val="center"/>
          </w:tcPr>
          <w:p>
            <w:pPr>
              <w:spacing w:line="400" w:lineRule="exact"/>
              <w:jc w:val="center"/>
              <w:rPr>
                <w:b/>
                <w:color w:val="auto"/>
                <w:szCs w:val="21"/>
              </w:rPr>
            </w:pPr>
            <w:r>
              <w:rPr>
                <w:b/>
                <w:color w:val="auto"/>
                <w:szCs w:val="21"/>
              </w:rPr>
              <w:t>是否响应</w:t>
            </w:r>
          </w:p>
        </w:tc>
        <w:tc>
          <w:tcPr>
            <w:tcW w:w="3020" w:type="dxa"/>
            <w:vAlign w:val="center"/>
          </w:tcPr>
          <w:p>
            <w:pPr>
              <w:spacing w:line="400" w:lineRule="exact"/>
              <w:jc w:val="center"/>
              <w:rPr>
                <w:b/>
                <w:color w:val="auto"/>
                <w:szCs w:val="21"/>
              </w:rPr>
            </w:pPr>
            <w:r>
              <w:rPr>
                <w:b/>
                <w:color w:val="auto"/>
                <w:szCs w:val="21"/>
              </w:rPr>
              <w:t>投标人的承诺或说明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vAlign w:val="center"/>
          </w:tcPr>
          <w:p>
            <w:pPr>
              <w:spacing w:line="400" w:lineRule="exact"/>
              <w:rPr>
                <w:color w:val="auto"/>
                <w:szCs w:val="21"/>
              </w:rPr>
            </w:pPr>
          </w:p>
        </w:tc>
        <w:tc>
          <w:tcPr>
            <w:tcW w:w="2700" w:type="dxa"/>
            <w:vAlign w:val="center"/>
          </w:tcPr>
          <w:p>
            <w:pPr>
              <w:spacing w:line="400" w:lineRule="exact"/>
              <w:rPr>
                <w:color w:val="auto"/>
                <w:szCs w:val="21"/>
              </w:rPr>
            </w:pPr>
          </w:p>
        </w:tc>
        <w:tc>
          <w:tcPr>
            <w:tcW w:w="1260" w:type="dxa"/>
            <w:vAlign w:val="center"/>
          </w:tcPr>
          <w:p>
            <w:pPr>
              <w:spacing w:line="400" w:lineRule="exact"/>
              <w:rPr>
                <w:color w:val="auto"/>
                <w:szCs w:val="21"/>
              </w:rPr>
            </w:pPr>
          </w:p>
        </w:tc>
        <w:tc>
          <w:tcPr>
            <w:tcW w:w="3020" w:type="dxa"/>
            <w:vAlign w:val="center"/>
          </w:tcPr>
          <w:p>
            <w:pPr>
              <w:spacing w:line="400" w:lineRule="exac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vAlign w:val="center"/>
          </w:tcPr>
          <w:p>
            <w:pPr>
              <w:spacing w:line="400" w:lineRule="exact"/>
              <w:rPr>
                <w:color w:val="auto"/>
                <w:szCs w:val="21"/>
              </w:rPr>
            </w:pPr>
          </w:p>
        </w:tc>
        <w:tc>
          <w:tcPr>
            <w:tcW w:w="2700" w:type="dxa"/>
            <w:vAlign w:val="center"/>
          </w:tcPr>
          <w:p>
            <w:pPr>
              <w:spacing w:line="400" w:lineRule="exact"/>
              <w:rPr>
                <w:color w:val="auto"/>
                <w:szCs w:val="21"/>
              </w:rPr>
            </w:pPr>
          </w:p>
        </w:tc>
        <w:tc>
          <w:tcPr>
            <w:tcW w:w="1260" w:type="dxa"/>
            <w:vAlign w:val="center"/>
          </w:tcPr>
          <w:p>
            <w:pPr>
              <w:spacing w:line="400" w:lineRule="exact"/>
              <w:rPr>
                <w:color w:val="auto"/>
                <w:szCs w:val="21"/>
              </w:rPr>
            </w:pPr>
          </w:p>
        </w:tc>
        <w:tc>
          <w:tcPr>
            <w:tcW w:w="3020" w:type="dxa"/>
            <w:vAlign w:val="center"/>
          </w:tcPr>
          <w:p>
            <w:pPr>
              <w:spacing w:line="400" w:lineRule="exac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vAlign w:val="center"/>
          </w:tcPr>
          <w:p>
            <w:pPr>
              <w:spacing w:line="400" w:lineRule="exact"/>
              <w:rPr>
                <w:color w:val="auto"/>
                <w:szCs w:val="21"/>
              </w:rPr>
            </w:pPr>
          </w:p>
        </w:tc>
        <w:tc>
          <w:tcPr>
            <w:tcW w:w="2700" w:type="dxa"/>
            <w:vAlign w:val="center"/>
          </w:tcPr>
          <w:p>
            <w:pPr>
              <w:spacing w:line="400" w:lineRule="exact"/>
              <w:rPr>
                <w:color w:val="auto"/>
                <w:szCs w:val="21"/>
              </w:rPr>
            </w:pPr>
          </w:p>
        </w:tc>
        <w:tc>
          <w:tcPr>
            <w:tcW w:w="1260" w:type="dxa"/>
            <w:vAlign w:val="center"/>
          </w:tcPr>
          <w:p>
            <w:pPr>
              <w:spacing w:line="400" w:lineRule="exact"/>
              <w:rPr>
                <w:color w:val="auto"/>
                <w:szCs w:val="21"/>
              </w:rPr>
            </w:pPr>
          </w:p>
        </w:tc>
        <w:tc>
          <w:tcPr>
            <w:tcW w:w="3020" w:type="dxa"/>
            <w:vAlign w:val="center"/>
          </w:tcPr>
          <w:p>
            <w:pPr>
              <w:spacing w:line="400" w:lineRule="exac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vAlign w:val="center"/>
          </w:tcPr>
          <w:p>
            <w:pPr>
              <w:spacing w:line="400" w:lineRule="exact"/>
              <w:rPr>
                <w:color w:val="auto"/>
                <w:szCs w:val="21"/>
              </w:rPr>
            </w:pPr>
          </w:p>
        </w:tc>
        <w:tc>
          <w:tcPr>
            <w:tcW w:w="2700" w:type="dxa"/>
            <w:vAlign w:val="center"/>
          </w:tcPr>
          <w:p>
            <w:pPr>
              <w:spacing w:line="400" w:lineRule="exact"/>
              <w:rPr>
                <w:color w:val="auto"/>
                <w:szCs w:val="21"/>
              </w:rPr>
            </w:pPr>
          </w:p>
        </w:tc>
        <w:tc>
          <w:tcPr>
            <w:tcW w:w="1260" w:type="dxa"/>
            <w:vAlign w:val="center"/>
          </w:tcPr>
          <w:p>
            <w:pPr>
              <w:spacing w:line="400" w:lineRule="exact"/>
              <w:rPr>
                <w:color w:val="auto"/>
                <w:szCs w:val="21"/>
              </w:rPr>
            </w:pPr>
          </w:p>
        </w:tc>
        <w:tc>
          <w:tcPr>
            <w:tcW w:w="3020" w:type="dxa"/>
            <w:vAlign w:val="center"/>
          </w:tcPr>
          <w:p>
            <w:pPr>
              <w:spacing w:line="400" w:lineRule="exac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vAlign w:val="center"/>
          </w:tcPr>
          <w:p>
            <w:pPr>
              <w:spacing w:line="400" w:lineRule="exact"/>
              <w:rPr>
                <w:color w:val="auto"/>
                <w:szCs w:val="21"/>
              </w:rPr>
            </w:pPr>
          </w:p>
        </w:tc>
        <w:tc>
          <w:tcPr>
            <w:tcW w:w="2700" w:type="dxa"/>
            <w:vAlign w:val="center"/>
          </w:tcPr>
          <w:p>
            <w:pPr>
              <w:spacing w:line="400" w:lineRule="exact"/>
              <w:rPr>
                <w:color w:val="auto"/>
                <w:szCs w:val="21"/>
              </w:rPr>
            </w:pPr>
          </w:p>
        </w:tc>
        <w:tc>
          <w:tcPr>
            <w:tcW w:w="1260" w:type="dxa"/>
            <w:vAlign w:val="center"/>
          </w:tcPr>
          <w:p>
            <w:pPr>
              <w:spacing w:line="400" w:lineRule="exact"/>
              <w:rPr>
                <w:color w:val="auto"/>
                <w:szCs w:val="21"/>
              </w:rPr>
            </w:pPr>
          </w:p>
        </w:tc>
        <w:tc>
          <w:tcPr>
            <w:tcW w:w="3020" w:type="dxa"/>
            <w:vAlign w:val="center"/>
          </w:tcPr>
          <w:p>
            <w:pPr>
              <w:spacing w:line="400" w:lineRule="exac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vAlign w:val="center"/>
          </w:tcPr>
          <w:p>
            <w:pPr>
              <w:spacing w:line="400" w:lineRule="exact"/>
              <w:rPr>
                <w:color w:val="auto"/>
                <w:szCs w:val="21"/>
              </w:rPr>
            </w:pPr>
          </w:p>
        </w:tc>
        <w:tc>
          <w:tcPr>
            <w:tcW w:w="2700" w:type="dxa"/>
            <w:vAlign w:val="center"/>
          </w:tcPr>
          <w:p>
            <w:pPr>
              <w:spacing w:line="400" w:lineRule="exact"/>
              <w:rPr>
                <w:color w:val="auto"/>
                <w:szCs w:val="21"/>
              </w:rPr>
            </w:pPr>
          </w:p>
        </w:tc>
        <w:tc>
          <w:tcPr>
            <w:tcW w:w="1260" w:type="dxa"/>
            <w:vAlign w:val="center"/>
          </w:tcPr>
          <w:p>
            <w:pPr>
              <w:spacing w:line="400" w:lineRule="exact"/>
              <w:rPr>
                <w:color w:val="auto"/>
                <w:szCs w:val="21"/>
              </w:rPr>
            </w:pPr>
          </w:p>
        </w:tc>
        <w:tc>
          <w:tcPr>
            <w:tcW w:w="3020" w:type="dxa"/>
            <w:vAlign w:val="center"/>
          </w:tcPr>
          <w:p>
            <w:pPr>
              <w:spacing w:line="400" w:lineRule="exac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vAlign w:val="center"/>
          </w:tcPr>
          <w:p>
            <w:pPr>
              <w:spacing w:line="400" w:lineRule="exact"/>
              <w:rPr>
                <w:color w:val="auto"/>
                <w:szCs w:val="21"/>
              </w:rPr>
            </w:pPr>
          </w:p>
        </w:tc>
        <w:tc>
          <w:tcPr>
            <w:tcW w:w="2700" w:type="dxa"/>
            <w:vAlign w:val="center"/>
          </w:tcPr>
          <w:p>
            <w:pPr>
              <w:spacing w:line="400" w:lineRule="exact"/>
              <w:rPr>
                <w:color w:val="auto"/>
                <w:szCs w:val="21"/>
              </w:rPr>
            </w:pPr>
          </w:p>
        </w:tc>
        <w:tc>
          <w:tcPr>
            <w:tcW w:w="1260" w:type="dxa"/>
            <w:vAlign w:val="center"/>
          </w:tcPr>
          <w:p>
            <w:pPr>
              <w:spacing w:line="400" w:lineRule="exact"/>
              <w:rPr>
                <w:color w:val="auto"/>
                <w:szCs w:val="21"/>
              </w:rPr>
            </w:pPr>
          </w:p>
        </w:tc>
        <w:tc>
          <w:tcPr>
            <w:tcW w:w="3020" w:type="dxa"/>
            <w:vAlign w:val="center"/>
          </w:tcPr>
          <w:p>
            <w:pPr>
              <w:spacing w:line="400" w:lineRule="exac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vAlign w:val="center"/>
          </w:tcPr>
          <w:p>
            <w:pPr>
              <w:spacing w:line="400" w:lineRule="exact"/>
              <w:rPr>
                <w:color w:val="auto"/>
                <w:szCs w:val="21"/>
              </w:rPr>
            </w:pPr>
          </w:p>
        </w:tc>
        <w:tc>
          <w:tcPr>
            <w:tcW w:w="2700" w:type="dxa"/>
            <w:vAlign w:val="center"/>
          </w:tcPr>
          <w:p>
            <w:pPr>
              <w:spacing w:line="400" w:lineRule="exact"/>
              <w:rPr>
                <w:color w:val="auto"/>
                <w:szCs w:val="21"/>
              </w:rPr>
            </w:pPr>
          </w:p>
        </w:tc>
        <w:tc>
          <w:tcPr>
            <w:tcW w:w="1260" w:type="dxa"/>
            <w:vAlign w:val="center"/>
          </w:tcPr>
          <w:p>
            <w:pPr>
              <w:spacing w:line="400" w:lineRule="exact"/>
              <w:rPr>
                <w:color w:val="auto"/>
                <w:szCs w:val="21"/>
              </w:rPr>
            </w:pPr>
          </w:p>
        </w:tc>
        <w:tc>
          <w:tcPr>
            <w:tcW w:w="3020" w:type="dxa"/>
            <w:vAlign w:val="center"/>
          </w:tcPr>
          <w:p>
            <w:pPr>
              <w:spacing w:line="400" w:lineRule="exact"/>
              <w:rPr>
                <w:color w:val="auto"/>
                <w:szCs w:val="21"/>
              </w:rPr>
            </w:pPr>
          </w:p>
        </w:tc>
      </w:tr>
    </w:tbl>
    <w:p>
      <w:pPr>
        <w:pStyle w:val="17"/>
        <w:spacing w:line="360" w:lineRule="auto"/>
        <w:ind w:firstLine="0" w:firstLineChars="0"/>
        <w:rPr>
          <w:rFonts w:ascii="Times New Roman" w:hAnsi="Times New Roman"/>
          <w:b/>
          <w:bCs/>
          <w:color w:val="auto"/>
          <w:szCs w:val="21"/>
        </w:rPr>
      </w:pPr>
      <w:r>
        <w:rPr>
          <w:rFonts w:ascii="Times New Roman" w:hAnsi="Times New Roman"/>
          <w:b/>
          <w:bCs/>
          <w:color w:val="auto"/>
          <w:szCs w:val="21"/>
        </w:rPr>
        <w:t>注：1、本表根据第二章《招标需求》一、商务要求表的要求制作。2、若无偏离应在本表空白处醒目地注明“无商务条款偏离，完全响应采购文件要求”的类似字样。</w:t>
      </w:r>
    </w:p>
    <w:p>
      <w:pPr>
        <w:pStyle w:val="17"/>
        <w:spacing w:line="360" w:lineRule="auto"/>
        <w:ind w:firstLine="0" w:firstLineChars="0"/>
        <w:rPr>
          <w:rFonts w:ascii="Times New Roman" w:hAnsi="Times New Roman"/>
          <w:color w:val="auto"/>
          <w:szCs w:val="21"/>
          <w:u w:val="single"/>
        </w:rPr>
      </w:pPr>
    </w:p>
    <w:p>
      <w:pPr>
        <w:pStyle w:val="17"/>
        <w:ind w:firstLine="210"/>
        <w:rPr>
          <w:rFonts w:ascii="Times New Roman" w:hAnsi="Times New Roman"/>
          <w:color w:val="auto"/>
          <w:szCs w:val="21"/>
          <w:u w:val="single"/>
        </w:rPr>
      </w:pPr>
    </w:p>
    <w:p>
      <w:pPr>
        <w:pStyle w:val="19"/>
        <w:widowControl/>
        <w:spacing w:line="360" w:lineRule="auto"/>
        <w:jc w:val="left"/>
        <w:rPr>
          <w:rFonts w:ascii="Times New Roman" w:hAnsi="Times New Roman"/>
          <w:color w:val="auto"/>
          <w:sz w:val="21"/>
          <w:szCs w:val="21"/>
        </w:rPr>
      </w:pPr>
    </w:p>
    <w:p>
      <w:pPr>
        <w:pStyle w:val="19"/>
        <w:widowControl/>
        <w:spacing w:line="360" w:lineRule="auto"/>
        <w:jc w:val="left"/>
        <w:rPr>
          <w:rFonts w:ascii="Times New Roman" w:hAnsi="Times New Roman"/>
          <w:color w:val="auto"/>
          <w:sz w:val="21"/>
          <w:szCs w:val="21"/>
        </w:rPr>
      </w:pPr>
      <w:r>
        <w:rPr>
          <w:rFonts w:ascii="Times New Roman" w:hAnsi="Times New Roman"/>
          <w:color w:val="auto"/>
          <w:sz w:val="21"/>
          <w:szCs w:val="21"/>
        </w:rPr>
        <w:t>投标人全称（盖公章）：</w:t>
      </w:r>
    </w:p>
    <w:p>
      <w:pPr>
        <w:pStyle w:val="19"/>
        <w:widowControl/>
        <w:spacing w:line="360" w:lineRule="auto"/>
        <w:jc w:val="left"/>
        <w:rPr>
          <w:rFonts w:ascii="Times New Roman" w:hAnsi="Times New Roman"/>
          <w:color w:val="auto"/>
          <w:sz w:val="21"/>
          <w:szCs w:val="21"/>
        </w:rPr>
      </w:pPr>
    </w:p>
    <w:p>
      <w:pPr>
        <w:pStyle w:val="19"/>
        <w:spacing w:line="360" w:lineRule="auto"/>
        <w:rPr>
          <w:rFonts w:ascii="Times New Roman" w:hAnsi="Times New Roman"/>
          <w:color w:val="auto"/>
          <w:sz w:val="21"/>
          <w:szCs w:val="21"/>
        </w:rPr>
      </w:pPr>
      <w:r>
        <w:rPr>
          <w:rFonts w:ascii="Times New Roman" w:hAnsi="Times New Roman"/>
          <w:color w:val="auto"/>
          <w:sz w:val="21"/>
          <w:szCs w:val="21"/>
        </w:rPr>
        <w:t>日期：年  月  日</w:t>
      </w:r>
    </w:p>
    <w:p>
      <w:pPr>
        <w:spacing w:line="360" w:lineRule="auto"/>
        <w:rPr>
          <w:b/>
          <w:bCs/>
          <w:color w:val="auto"/>
          <w:szCs w:val="21"/>
        </w:rPr>
      </w:pPr>
    </w:p>
    <w:p>
      <w:pPr>
        <w:spacing w:line="440" w:lineRule="exact"/>
        <w:rPr>
          <w:color w:val="auto"/>
          <w:sz w:val="24"/>
        </w:rPr>
      </w:pPr>
      <w:r>
        <w:rPr>
          <w:color w:val="auto"/>
          <w:lang w:bidi="ar"/>
        </w:rPr>
        <w:t>（若联合体参加投标的，联合体牵头单位提供）</w:t>
      </w:r>
    </w:p>
    <w:p>
      <w:pPr>
        <w:spacing w:line="360" w:lineRule="auto"/>
        <w:rPr>
          <w:b/>
          <w:bCs/>
          <w:color w:val="auto"/>
          <w:szCs w:val="21"/>
        </w:rPr>
      </w:pPr>
      <w:r>
        <w:rPr>
          <w:b/>
          <w:bCs/>
          <w:color w:val="auto"/>
          <w:szCs w:val="21"/>
        </w:rPr>
        <w:br w:type="page"/>
      </w:r>
      <w:r>
        <w:rPr>
          <w:b/>
          <w:bCs/>
          <w:color w:val="auto"/>
          <w:szCs w:val="21"/>
        </w:rPr>
        <w:t>格式十：</w:t>
      </w:r>
    </w:p>
    <w:p>
      <w:pPr>
        <w:spacing w:line="360" w:lineRule="auto"/>
        <w:jc w:val="center"/>
        <w:rPr>
          <w:color w:val="auto"/>
          <w:sz w:val="24"/>
        </w:rPr>
      </w:pPr>
      <w:r>
        <w:rPr>
          <w:b/>
          <w:bCs/>
          <w:color w:val="auto"/>
          <w:sz w:val="24"/>
        </w:rPr>
        <w:t>服务条款响应（偏离）表</w:t>
      </w:r>
    </w:p>
    <w:p>
      <w:pPr>
        <w:spacing w:line="360" w:lineRule="auto"/>
        <w:rPr>
          <w:color w:val="auto"/>
          <w:szCs w:val="21"/>
        </w:rPr>
      </w:pPr>
    </w:p>
    <w:p>
      <w:pPr>
        <w:spacing w:line="360" w:lineRule="auto"/>
        <w:rPr>
          <w:color w:val="auto"/>
          <w:szCs w:val="21"/>
          <w:u w:val="single"/>
        </w:rPr>
      </w:pPr>
      <w:r>
        <w:rPr>
          <w:color w:val="auto"/>
          <w:szCs w:val="21"/>
        </w:rPr>
        <w:t>项目名称：</w:t>
      </w:r>
      <w:r>
        <w:rPr>
          <w:color w:val="auto"/>
          <w:szCs w:val="21"/>
          <w:u w:val="single"/>
        </w:rPr>
        <w:t xml:space="preserve">                                         </w:t>
      </w:r>
      <w:r>
        <w:rPr>
          <w:color w:val="auto"/>
          <w:szCs w:val="21"/>
        </w:rPr>
        <w:t>项目编号：</w:t>
      </w:r>
      <w:r>
        <w:rPr>
          <w:color w:val="auto"/>
          <w:szCs w:val="21"/>
          <w:u w:val="single"/>
        </w:rPr>
        <w:t xml:space="preserve">                    </w:t>
      </w:r>
      <w:r>
        <w:rPr>
          <w:color w:val="auto"/>
          <w:szCs w:val="21"/>
        </w:rPr>
        <w:t xml:space="preserve"> </w:t>
      </w:r>
    </w:p>
    <w:tbl>
      <w:tblPr>
        <w:tblStyle w:val="4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6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4" w:type="dxa"/>
            <w:vAlign w:val="center"/>
          </w:tcPr>
          <w:p>
            <w:pPr>
              <w:spacing w:line="400" w:lineRule="exact"/>
              <w:jc w:val="center"/>
              <w:rPr>
                <w:b/>
                <w:bCs/>
                <w:color w:val="auto"/>
                <w:szCs w:val="21"/>
              </w:rPr>
            </w:pPr>
            <w:r>
              <w:rPr>
                <w:b/>
                <w:bCs/>
                <w:color w:val="auto"/>
                <w:szCs w:val="21"/>
              </w:rPr>
              <w:t>序号</w:t>
            </w:r>
          </w:p>
        </w:tc>
        <w:tc>
          <w:tcPr>
            <w:tcW w:w="3360" w:type="dxa"/>
            <w:vAlign w:val="center"/>
          </w:tcPr>
          <w:p>
            <w:pPr>
              <w:spacing w:line="400" w:lineRule="exact"/>
              <w:jc w:val="center"/>
              <w:rPr>
                <w:b/>
                <w:bCs/>
                <w:color w:val="auto"/>
                <w:szCs w:val="21"/>
              </w:rPr>
            </w:pPr>
            <w:r>
              <w:rPr>
                <w:b/>
                <w:bCs/>
                <w:color w:val="auto"/>
                <w:szCs w:val="21"/>
              </w:rPr>
              <w:t>招标文件技术要求</w:t>
            </w:r>
          </w:p>
        </w:tc>
        <w:tc>
          <w:tcPr>
            <w:tcW w:w="2908" w:type="dxa"/>
            <w:vAlign w:val="center"/>
          </w:tcPr>
          <w:p>
            <w:pPr>
              <w:spacing w:line="400" w:lineRule="exact"/>
              <w:jc w:val="center"/>
              <w:rPr>
                <w:b/>
                <w:bCs/>
                <w:color w:val="auto"/>
                <w:szCs w:val="21"/>
              </w:rPr>
            </w:pPr>
            <w:r>
              <w:rPr>
                <w:b/>
                <w:bCs/>
                <w:color w:val="auto"/>
                <w:szCs w:val="21"/>
              </w:rPr>
              <w:t>投标文件对应技术描述</w:t>
            </w:r>
          </w:p>
        </w:tc>
        <w:tc>
          <w:tcPr>
            <w:tcW w:w="1635" w:type="dxa"/>
            <w:vAlign w:val="center"/>
          </w:tcPr>
          <w:p>
            <w:pPr>
              <w:spacing w:line="400" w:lineRule="exact"/>
              <w:jc w:val="center"/>
              <w:rPr>
                <w:b/>
                <w:bCs/>
                <w:color w:val="auto"/>
                <w:szCs w:val="21"/>
              </w:rPr>
            </w:pPr>
            <w:r>
              <w:rPr>
                <w:b/>
                <w:bCs/>
                <w:color w:val="auto"/>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4" w:type="dxa"/>
            <w:vAlign w:val="center"/>
          </w:tcPr>
          <w:p>
            <w:pPr>
              <w:spacing w:line="400" w:lineRule="exact"/>
              <w:jc w:val="center"/>
              <w:rPr>
                <w:color w:val="auto"/>
                <w:szCs w:val="21"/>
              </w:rPr>
            </w:pPr>
          </w:p>
        </w:tc>
        <w:tc>
          <w:tcPr>
            <w:tcW w:w="3360" w:type="dxa"/>
            <w:vAlign w:val="center"/>
          </w:tcPr>
          <w:p>
            <w:pPr>
              <w:spacing w:line="400" w:lineRule="exact"/>
              <w:jc w:val="center"/>
              <w:rPr>
                <w:color w:val="auto"/>
                <w:szCs w:val="21"/>
              </w:rPr>
            </w:pPr>
          </w:p>
        </w:tc>
        <w:tc>
          <w:tcPr>
            <w:tcW w:w="2908" w:type="dxa"/>
            <w:vAlign w:val="center"/>
          </w:tcPr>
          <w:p>
            <w:pPr>
              <w:spacing w:line="400" w:lineRule="exact"/>
              <w:jc w:val="center"/>
              <w:rPr>
                <w:color w:val="auto"/>
                <w:szCs w:val="21"/>
              </w:rPr>
            </w:pPr>
          </w:p>
        </w:tc>
        <w:tc>
          <w:tcPr>
            <w:tcW w:w="1635" w:type="dxa"/>
            <w:vAlign w:val="center"/>
          </w:tcPr>
          <w:p>
            <w:pPr>
              <w:spacing w:line="40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4" w:type="dxa"/>
            <w:vAlign w:val="center"/>
          </w:tcPr>
          <w:p>
            <w:pPr>
              <w:spacing w:line="400" w:lineRule="exact"/>
              <w:jc w:val="center"/>
              <w:rPr>
                <w:color w:val="auto"/>
                <w:szCs w:val="21"/>
              </w:rPr>
            </w:pPr>
          </w:p>
        </w:tc>
        <w:tc>
          <w:tcPr>
            <w:tcW w:w="3360" w:type="dxa"/>
            <w:vAlign w:val="center"/>
          </w:tcPr>
          <w:p>
            <w:pPr>
              <w:spacing w:line="400" w:lineRule="exact"/>
              <w:jc w:val="center"/>
              <w:rPr>
                <w:color w:val="auto"/>
                <w:szCs w:val="21"/>
              </w:rPr>
            </w:pPr>
          </w:p>
        </w:tc>
        <w:tc>
          <w:tcPr>
            <w:tcW w:w="2908" w:type="dxa"/>
            <w:vAlign w:val="center"/>
          </w:tcPr>
          <w:p>
            <w:pPr>
              <w:spacing w:line="400" w:lineRule="exact"/>
              <w:jc w:val="center"/>
              <w:rPr>
                <w:color w:val="auto"/>
                <w:szCs w:val="21"/>
              </w:rPr>
            </w:pPr>
          </w:p>
        </w:tc>
        <w:tc>
          <w:tcPr>
            <w:tcW w:w="1635" w:type="dxa"/>
            <w:vAlign w:val="center"/>
          </w:tcPr>
          <w:p>
            <w:pPr>
              <w:spacing w:line="40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4" w:type="dxa"/>
            <w:vAlign w:val="center"/>
          </w:tcPr>
          <w:p>
            <w:pPr>
              <w:spacing w:line="400" w:lineRule="exact"/>
              <w:jc w:val="center"/>
              <w:rPr>
                <w:color w:val="auto"/>
                <w:szCs w:val="21"/>
              </w:rPr>
            </w:pPr>
          </w:p>
        </w:tc>
        <w:tc>
          <w:tcPr>
            <w:tcW w:w="3360" w:type="dxa"/>
            <w:vAlign w:val="center"/>
          </w:tcPr>
          <w:p>
            <w:pPr>
              <w:spacing w:line="400" w:lineRule="exact"/>
              <w:jc w:val="center"/>
              <w:rPr>
                <w:color w:val="auto"/>
                <w:szCs w:val="21"/>
              </w:rPr>
            </w:pPr>
          </w:p>
        </w:tc>
        <w:tc>
          <w:tcPr>
            <w:tcW w:w="2908" w:type="dxa"/>
            <w:vAlign w:val="center"/>
          </w:tcPr>
          <w:p>
            <w:pPr>
              <w:spacing w:line="400" w:lineRule="exact"/>
              <w:jc w:val="center"/>
              <w:rPr>
                <w:color w:val="auto"/>
                <w:szCs w:val="21"/>
              </w:rPr>
            </w:pPr>
          </w:p>
        </w:tc>
        <w:tc>
          <w:tcPr>
            <w:tcW w:w="1635" w:type="dxa"/>
            <w:vAlign w:val="center"/>
          </w:tcPr>
          <w:p>
            <w:pPr>
              <w:spacing w:line="40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4" w:type="dxa"/>
            <w:vAlign w:val="center"/>
          </w:tcPr>
          <w:p>
            <w:pPr>
              <w:spacing w:line="400" w:lineRule="exact"/>
              <w:jc w:val="center"/>
              <w:rPr>
                <w:color w:val="auto"/>
                <w:szCs w:val="21"/>
              </w:rPr>
            </w:pPr>
          </w:p>
        </w:tc>
        <w:tc>
          <w:tcPr>
            <w:tcW w:w="3360" w:type="dxa"/>
            <w:vAlign w:val="center"/>
          </w:tcPr>
          <w:p>
            <w:pPr>
              <w:spacing w:line="400" w:lineRule="exact"/>
              <w:jc w:val="center"/>
              <w:rPr>
                <w:color w:val="auto"/>
                <w:szCs w:val="21"/>
              </w:rPr>
            </w:pPr>
          </w:p>
        </w:tc>
        <w:tc>
          <w:tcPr>
            <w:tcW w:w="2908" w:type="dxa"/>
            <w:vAlign w:val="center"/>
          </w:tcPr>
          <w:p>
            <w:pPr>
              <w:spacing w:line="400" w:lineRule="exact"/>
              <w:jc w:val="center"/>
              <w:rPr>
                <w:color w:val="auto"/>
                <w:szCs w:val="21"/>
              </w:rPr>
            </w:pPr>
          </w:p>
        </w:tc>
        <w:tc>
          <w:tcPr>
            <w:tcW w:w="1635" w:type="dxa"/>
            <w:vAlign w:val="center"/>
          </w:tcPr>
          <w:p>
            <w:pPr>
              <w:spacing w:line="40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4" w:type="dxa"/>
            <w:vAlign w:val="center"/>
          </w:tcPr>
          <w:p>
            <w:pPr>
              <w:spacing w:line="400" w:lineRule="exact"/>
              <w:jc w:val="center"/>
              <w:rPr>
                <w:color w:val="auto"/>
                <w:szCs w:val="21"/>
              </w:rPr>
            </w:pPr>
          </w:p>
        </w:tc>
        <w:tc>
          <w:tcPr>
            <w:tcW w:w="3360" w:type="dxa"/>
            <w:vAlign w:val="center"/>
          </w:tcPr>
          <w:p>
            <w:pPr>
              <w:spacing w:line="400" w:lineRule="exact"/>
              <w:jc w:val="center"/>
              <w:rPr>
                <w:color w:val="auto"/>
                <w:szCs w:val="21"/>
              </w:rPr>
            </w:pPr>
          </w:p>
        </w:tc>
        <w:tc>
          <w:tcPr>
            <w:tcW w:w="2908" w:type="dxa"/>
            <w:vAlign w:val="center"/>
          </w:tcPr>
          <w:p>
            <w:pPr>
              <w:spacing w:line="400" w:lineRule="exact"/>
              <w:jc w:val="center"/>
              <w:rPr>
                <w:color w:val="auto"/>
                <w:szCs w:val="21"/>
              </w:rPr>
            </w:pPr>
          </w:p>
        </w:tc>
        <w:tc>
          <w:tcPr>
            <w:tcW w:w="1635" w:type="dxa"/>
            <w:vAlign w:val="center"/>
          </w:tcPr>
          <w:p>
            <w:pPr>
              <w:spacing w:line="40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4" w:type="dxa"/>
            <w:vAlign w:val="center"/>
          </w:tcPr>
          <w:p>
            <w:pPr>
              <w:spacing w:line="400" w:lineRule="exact"/>
              <w:jc w:val="center"/>
              <w:rPr>
                <w:color w:val="auto"/>
                <w:szCs w:val="21"/>
              </w:rPr>
            </w:pPr>
          </w:p>
        </w:tc>
        <w:tc>
          <w:tcPr>
            <w:tcW w:w="3360" w:type="dxa"/>
            <w:vAlign w:val="center"/>
          </w:tcPr>
          <w:p>
            <w:pPr>
              <w:spacing w:line="400" w:lineRule="exact"/>
              <w:jc w:val="center"/>
              <w:rPr>
                <w:color w:val="auto"/>
                <w:szCs w:val="21"/>
              </w:rPr>
            </w:pPr>
          </w:p>
        </w:tc>
        <w:tc>
          <w:tcPr>
            <w:tcW w:w="2908" w:type="dxa"/>
            <w:vAlign w:val="center"/>
          </w:tcPr>
          <w:p>
            <w:pPr>
              <w:spacing w:line="400" w:lineRule="exact"/>
              <w:jc w:val="center"/>
              <w:rPr>
                <w:color w:val="auto"/>
                <w:szCs w:val="21"/>
              </w:rPr>
            </w:pPr>
          </w:p>
        </w:tc>
        <w:tc>
          <w:tcPr>
            <w:tcW w:w="1635" w:type="dxa"/>
            <w:vAlign w:val="center"/>
          </w:tcPr>
          <w:p>
            <w:pPr>
              <w:spacing w:line="40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4" w:type="dxa"/>
            <w:vAlign w:val="center"/>
          </w:tcPr>
          <w:p>
            <w:pPr>
              <w:spacing w:line="400" w:lineRule="exact"/>
              <w:jc w:val="center"/>
              <w:rPr>
                <w:color w:val="auto"/>
                <w:szCs w:val="21"/>
              </w:rPr>
            </w:pPr>
          </w:p>
        </w:tc>
        <w:tc>
          <w:tcPr>
            <w:tcW w:w="3360" w:type="dxa"/>
            <w:vAlign w:val="center"/>
          </w:tcPr>
          <w:p>
            <w:pPr>
              <w:spacing w:line="400" w:lineRule="exact"/>
              <w:jc w:val="center"/>
              <w:rPr>
                <w:color w:val="auto"/>
                <w:szCs w:val="21"/>
              </w:rPr>
            </w:pPr>
          </w:p>
        </w:tc>
        <w:tc>
          <w:tcPr>
            <w:tcW w:w="2908" w:type="dxa"/>
            <w:vAlign w:val="center"/>
          </w:tcPr>
          <w:p>
            <w:pPr>
              <w:spacing w:line="400" w:lineRule="exact"/>
              <w:jc w:val="center"/>
              <w:rPr>
                <w:color w:val="auto"/>
                <w:szCs w:val="21"/>
              </w:rPr>
            </w:pPr>
          </w:p>
        </w:tc>
        <w:tc>
          <w:tcPr>
            <w:tcW w:w="1635" w:type="dxa"/>
            <w:vAlign w:val="center"/>
          </w:tcPr>
          <w:p>
            <w:pPr>
              <w:spacing w:line="40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4" w:type="dxa"/>
            <w:vAlign w:val="center"/>
          </w:tcPr>
          <w:p>
            <w:pPr>
              <w:spacing w:line="400" w:lineRule="exact"/>
              <w:jc w:val="center"/>
              <w:rPr>
                <w:color w:val="auto"/>
                <w:szCs w:val="21"/>
              </w:rPr>
            </w:pPr>
          </w:p>
        </w:tc>
        <w:tc>
          <w:tcPr>
            <w:tcW w:w="3360" w:type="dxa"/>
            <w:vAlign w:val="center"/>
          </w:tcPr>
          <w:p>
            <w:pPr>
              <w:spacing w:line="400" w:lineRule="exact"/>
              <w:jc w:val="center"/>
              <w:rPr>
                <w:color w:val="auto"/>
                <w:szCs w:val="21"/>
              </w:rPr>
            </w:pPr>
          </w:p>
        </w:tc>
        <w:tc>
          <w:tcPr>
            <w:tcW w:w="2908" w:type="dxa"/>
            <w:vAlign w:val="center"/>
          </w:tcPr>
          <w:p>
            <w:pPr>
              <w:spacing w:line="400" w:lineRule="exact"/>
              <w:jc w:val="center"/>
              <w:rPr>
                <w:color w:val="auto"/>
                <w:szCs w:val="21"/>
              </w:rPr>
            </w:pPr>
          </w:p>
        </w:tc>
        <w:tc>
          <w:tcPr>
            <w:tcW w:w="1635" w:type="dxa"/>
            <w:vAlign w:val="center"/>
          </w:tcPr>
          <w:p>
            <w:pPr>
              <w:spacing w:line="40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4" w:type="dxa"/>
            <w:vAlign w:val="center"/>
          </w:tcPr>
          <w:p>
            <w:pPr>
              <w:spacing w:line="400" w:lineRule="exact"/>
              <w:jc w:val="center"/>
              <w:rPr>
                <w:color w:val="auto"/>
                <w:szCs w:val="21"/>
              </w:rPr>
            </w:pPr>
          </w:p>
        </w:tc>
        <w:tc>
          <w:tcPr>
            <w:tcW w:w="3360" w:type="dxa"/>
            <w:vAlign w:val="center"/>
          </w:tcPr>
          <w:p>
            <w:pPr>
              <w:spacing w:line="400" w:lineRule="exact"/>
              <w:jc w:val="center"/>
              <w:rPr>
                <w:color w:val="auto"/>
                <w:szCs w:val="21"/>
              </w:rPr>
            </w:pPr>
          </w:p>
        </w:tc>
        <w:tc>
          <w:tcPr>
            <w:tcW w:w="2908" w:type="dxa"/>
            <w:vAlign w:val="center"/>
          </w:tcPr>
          <w:p>
            <w:pPr>
              <w:spacing w:line="400" w:lineRule="exact"/>
              <w:jc w:val="center"/>
              <w:rPr>
                <w:color w:val="auto"/>
                <w:szCs w:val="21"/>
              </w:rPr>
            </w:pPr>
          </w:p>
        </w:tc>
        <w:tc>
          <w:tcPr>
            <w:tcW w:w="1635" w:type="dxa"/>
            <w:vAlign w:val="center"/>
          </w:tcPr>
          <w:p>
            <w:pPr>
              <w:spacing w:line="40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4" w:type="dxa"/>
            <w:vAlign w:val="center"/>
          </w:tcPr>
          <w:p>
            <w:pPr>
              <w:spacing w:line="400" w:lineRule="exact"/>
              <w:jc w:val="center"/>
              <w:rPr>
                <w:color w:val="auto"/>
                <w:szCs w:val="21"/>
              </w:rPr>
            </w:pPr>
          </w:p>
        </w:tc>
        <w:tc>
          <w:tcPr>
            <w:tcW w:w="3360" w:type="dxa"/>
            <w:vAlign w:val="center"/>
          </w:tcPr>
          <w:p>
            <w:pPr>
              <w:spacing w:line="400" w:lineRule="exact"/>
              <w:jc w:val="center"/>
              <w:rPr>
                <w:color w:val="auto"/>
                <w:szCs w:val="21"/>
              </w:rPr>
            </w:pPr>
          </w:p>
        </w:tc>
        <w:tc>
          <w:tcPr>
            <w:tcW w:w="2908" w:type="dxa"/>
            <w:vAlign w:val="center"/>
          </w:tcPr>
          <w:p>
            <w:pPr>
              <w:spacing w:line="400" w:lineRule="exact"/>
              <w:jc w:val="center"/>
              <w:rPr>
                <w:color w:val="auto"/>
                <w:szCs w:val="21"/>
              </w:rPr>
            </w:pPr>
          </w:p>
        </w:tc>
        <w:tc>
          <w:tcPr>
            <w:tcW w:w="1635" w:type="dxa"/>
            <w:vAlign w:val="center"/>
          </w:tcPr>
          <w:p>
            <w:pPr>
              <w:spacing w:line="400" w:lineRule="exact"/>
              <w:jc w:val="center"/>
              <w:rPr>
                <w:color w:val="auto"/>
                <w:szCs w:val="21"/>
              </w:rPr>
            </w:pPr>
          </w:p>
        </w:tc>
      </w:tr>
    </w:tbl>
    <w:p>
      <w:pPr>
        <w:pStyle w:val="17"/>
        <w:spacing w:line="360" w:lineRule="auto"/>
        <w:ind w:firstLine="0" w:firstLineChars="0"/>
        <w:rPr>
          <w:rFonts w:ascii="Times New Roman" w:hAnsi="Times New Roman"/>
          <w:b/>
          <w:bCs/>
          <w:color w:val="auto"/>
          <w:szCs w:val="21"/>
        </w:rPr>
      </w:pPr>
      <w:r>
        <w:rPr>
          <w:rFonts w:ascii="Times New Roman" w:hAnsi="Times New Roman"/>
          <w:b/>
          <w:bCs/>
          <w:color w:val="auto"/>
          <w:szCs w:val="21"/>
        </w:rPr>
        <w:t>注：1、本表根据第二章《招标需求》二、详细采购需求的要求制作。</w:t>
      </w:r>
      <w:r>
        <w:rPr>
          <w:rFonts w:ascii="Times New Roman" w:hAnsi="Times New Roman"/>
          <w:b/>
          <w:color w:val="auto"/>
        </w:rPr>
        <w:t>2、</w:t>
      </w:r>
      <w:r>
        <w:rPr>
          <w:rFonts w:ascii="Times New Roman" w:hAnsi="Times New Roman"/>
          <w:b/>
          <w:bCs/>
          <w:color w:val="auto"/>
          <w:szCs w:val="21"/>
        </w:rPr>
        <w:t>若无偏离应在本表空白处醒目地注明“无服务条款偏离，完全响应采购文件要求”的类似字样。</w:t>
      </w:r>
    </w:p>
    <w:p>
      <w:pPr>
        <w:spacing w:line="360" w:lineRule="auto"/>
        <w:ind w:firstLine="422" w:firstLineChars="200"/>
        <w:rPr>
          <w:b/>
          <w:bCs/>
          <w:color w:val="auto"/>
          <w:szCs w:val="21"/>
        </w:rPr>
      </w:pPr>
    </w:p>
    <w:p>
      <w:pPr>
        <w:spacing w:line="360" w:lineRule="auto"/>
        <w:rPr>
          <w:color w:val="auto"/>
          <w:szCs w:val="21"/>
        </w:rPr>
      </w:pPr>
    </w:p>
    <w:p>
      <w:pPr>
        <w:pStyle w:val="16"/>
        <w:rPr>
          <w:color w:val="auto"/>
        </w:rPr>
      </w:pPr>
    </w:p>
    <w:p>
      <w:pPr>
        <w:pStyle w:val="19"/>
        <w:widowControl/>
        <w:spacing w:line="360" w:lineRule="auto"/>
        <w:jc w:val="left"/>
        <w:rPr>
          <w:rFonts w:ascii="Times New Roman" w:hAnsi="Times New Roman"/>
          <w:color w:val="auto"/>
          <w:sz w:val="21"/>
          <w:szCs w:val="21"/>
        </w:rPr>
      </w:pPr>
      <w:r>
        <w:rPr>
          <w:rFonts w:ascii="Times New Roman" w:hAnsi="Times New Roman"/>
          <w:color w:val="auto"/>
          <w:sz w:val="21"/>
          <w:szCs w:val="21"/>
        </w:rPr>
        <w:t>投标人全称（盖公章）：</w:t>
      </w:r>
    </w:p>
    <w:p>
      <w:pPr>
        <w:pStyle w:val="19"/>
        <w:widowControl/>
        <w:spacing w:line="360" w:lineRule="auto"/>
        <w:jc w:val="left"/>
        <w:rPr>
          <w:rFonts w:ascii="Times New Roman" w:hAnsi="Times New Roman"/>
          <w:color w:val="auto"/>
          <w:sz w:val="21"/>
          <w:szCs w:val="21"/>
        </w:rPr>
      </w:pPr>
    </w:p>
    <w:p>
      <w:pPr>
        <w:pStyle w:val="19"/>
        <w:spacing w:line="360" w:lineRule="auto"/>
        <w:rPr>
          <w:rFonts w:ascii="Times New Roman" w:hAnsi="Times New Roman"/>
          <w:color w:val="auto"/>
          <w:sz w:val="21"/>
          <w:szCs w:val="21"/>
        </w:rPr>
      </w:pPr>
      <w:r>
        <w:rPr>
          <w:rFonts w:ascii="Times New Roman" w:hAnsi="Times New Roman"/>
          <w:color w:val="auto"/>
          <w:sz w:val="21"/>
          <w:szCs w:val="21"/>
        </w:rPr>
        <w:t>日期：年  月  日</w:t>
      </w:r>
    </w:p>
    <w:p>
      <w:pPr>
        <w:pStyle w:val="19"/>
        <w:spacing w:line="360" w:lineRule="auto"/>
        <w:rPr>
          <w:rFonts w:ascii="Times New Roman" w:hAnsi="Times New Roman"/>
          <w:color w:val="auto"/>
          <w:sz w:val="21"/>
          <w:szCs w:val="21"/>
        </w:rPr>
      </w:pPr>
    </w:p>
    <w:p>
      <w:pPr>
        <w:spacing w:line="440" w:lineRule="exact"/>
        <w:rPr>
          <w:color w:val="auto"/>
          <w:sz w:val="24"/>
        </w:rPr>
      </w:pPr>
      <w:r>
        <w:rPr>
          <w:color w:val="auto"/>
          <w:lang w:bidi="ar"/>
        </w:rPr>
        <w:t>（若联合体参加投标的，联合体牵头单位提供）</w:t>
      </w:r>
    </w:p>
    <w:p>
      <w:pPr>
        <w:pStyle w:val="19"/>
        <w:spacing w:line="360" w:lineRule="auto"/>
        <w:ind w:firstLine="0"/>
        <w:rPr>
          <w:rFonts w:ascii="Times New Roman" w:hAnsi="Times New Roman"/>
          <w:b/>
          <w:color w:val="auto"/>
          <w:sz w:val="21"/>
          <w:szCs w:val="21"/>
        </w:rPr>
      </w:pPr>
      <w:r>
        <w:rPr>
          <w:rFonts w:ascii="Times New Roman" w:hAnsi="Times New Roman"/>
          <w:color w:val="auto"/>
          <w:szCs w:val="21"/>
        </w:rPr>
        <w:br w:type="page"/>
      </w:r>
      <w:r>
        <w:rPr>
          <w:rFonts w:ascii="Times New Roman" w:hAnsi="Times New Roman"/>
          <w:b/>
          <w:color w:val="auto"/>
          <w:sz w:val="21"/>
          <w:szCs w:val="21"/>
        </w:rPr>
        <w:t>格式十一：</w:t>
      </w:r>
    </w:p>
    <w:p>
      <w:pPr>
        <w:pStyle w:val="19"/>
        <w:spacing w:line="360" w:lineRule="auto"/>
        <w:ind w:firstLine="0"/>
        <w:jc w:val="center"/>
        <w:rPr>
          <w:rFonts w:ascii="Times New Roman" w:hAnsi="Times New Roman"/>
          <w:b/>
          <w:color w:val="auto"/>
          <w:sz w:val="24"/>
        </w:rPr>
      </w:pPr>
      <w:r>
        <w:rPr>
          <w:rFonts w:ascii="Times New Roman" w:hAnsi="Times New Roman"/>
          <w:b/>
          <w:color w:val="auto"/>
          <w:sz w:val="24"/>
        </w:rPr>
        <w:t>中小企业声明函</w:t>
      </w:r>
    </w:p>
    <w:p>
      <w:pPr>
        <w:spacing w:line="360" w:lineRule="auto"/>
        <w:rPr>
          <w:b/>
          <w:color w:val="auto"/>
          <w:spacing w:val="6"/>
          <w:szCs w:val="21"/>
        </w:rPr>
      </w:pPr>
    </w:p>
    <w:p>
      <w:pPr>
        <w:spacing w:line="500" w:lineRule="exact"/>
        <w:ind w:firstLine="420" w:firstLineChars="200"/>
        <w:rPr>
          <w:color w:val="auto"/>
          <w:szCs w:val="21"/>
        </w:rPr>
      </w:pPr>
      <w:r>
        <w:rPr>
          <w:color w:val="auto"/>
          <w:szCs w:val="21"/>
        </w:rPr>
        <w:t>本公司（联合体）郑重声明，根据《政府采购促进中小企业发展管理办法》（财库【2020】46 号）的规定，本公司（联合体）参加</w:t>
      </w:r>
      <w:r>
        <w:rPr>
          <w:color w:val="auto"/>
          <w:szCs w:val="21"/>
          <w:u w:val="single"/>
        </w:rPr>
        <w:t>（单位名称）</w:t>
      </w:r>
      <w:r>
        <w:rPr>
          <w:color w:val="auto"/>
          <w:szCs w:val="21"/>
        </w:rPr>
        <w:t>的</w:t>
      </w:r>
      <w:r>
        <w:rPr>
          <w:color w:val="auto"/>
          <w:szCs w:val="21"/>
          <w:u w:val="single"/>
        </w:rPr>
        <w:t>（项目名称）</w:t>
      </w:r>
      <w:r>
        <w:rPr>
          <w:color w:val="auto"/>
          <w:szCs w:val="21"/>
        </w:rPr>
        <w:t>采购活动，服务全部由符合政策要求的中小企业承接。相关企业（含联合体中的中小企业、签订分包意向协议的中小企业）的具体情况如下：</w:t>
      </w:r>
    </w:p>
    <w:p>
      <w:pPr>
        <w:spacing w:line="500" w:lineRule="exact"/>
        <w:ind w:firstLine="420" w:firstLineChars="200"/>
        <w:rPr>
          <w:color w:val="auto"/>
          <w:szCs w:val="21"/>
        </w:rPr>
      </w:pPr>
      <w:r>
        <w:rPr>
          <w:color w:val="auto"/>
          <w:szCs w:val="21"/>
        </w:rPr>
        <w:t>1.</w:t>
      </w:r>
      <w:r>
        <w:rPr>
          <w:i/>
          <w:color w:val="auto"/>
          <w:szCs w:val="21"/>
          <w:u w:val="single"/>
        </w:rPr>
        <w:t xml:space="preserve"> （标的名称） </w:t>
      </w:r>
      <w:r>
        <w:rPr>
          <w:color w:val="auto"/>
          <w:szCs w:val="21"/>
        </w:rPr>
        <w:t>，属于</w:t>
      </w:r>
      <w:r>
        <w:rPr>
          <w:rFonts w:hint="eastAsia"/>
          <w:b/>
          <w:bCs/>
          <w:iCs/>
          <w:color w:val="auto"/>
          <w:kern w:val="0"/>
          <w:szCs w:val="21"/>
          <w:u w:val="single"/>
          <w:lang w:bidi="ar"/>
        </w:rPr>
        <w:t>软件和信息技术服务业</w:t>
      </w:r>
      <w:r>
        <w:rPr>
          <w:color w:val="auto"/>
          <w:szCs w:val="21"/>
        </w:rPr>
        <w:t>；承接企业为</w:t>
      </w:r>
      <w:r>
        <w:rPr>
          <w:i/>
          <w:color w:val="auto"/>
          <w:szCs w:val="21"/>
          <w:u w:val="single"/>
        </w:rPr>
        <w:t>（企业名称）</w:t>
      </w:r>
      <w:r>
        <w:rPr>
          <w:color w:val="auto"/>
          <w:szCs w:val="21"/>
        </w:rPr>
        <w:t>，</w:t>
      </w:r>
      <w:r>
        <w:rPr>
          <w:color w:val="auto"/>
          <w:kern w:val="0"/>
          <w:szCs w:val="21"/>
          <w:lang w:bidi="ar"/>
        </w:rPr>
        <w:t>从业人员</w:t>
      </w:r>
      <w:r>
        <w:rPr>
          <w:color w:val="auto"/>
          <w:kern w:val="0"/>
          <w:szCs w:val="21"/>
          <w:u w:val="single"/>
          <w:lang w:bidi="ar"/>
        </w:rPr>
        <w:t xml:space="preserve">    </w:t>
      </w:r>
      <w:r>
        <w:rPr>
          <w:color w:val="auto"/>
          <w:kern w:val="0"/>
          <w:szCs w:val="21"/>
          <w:lang w:bidi="ar"/>
        </w:rPr>
        <w:t>人，营业收入为</w:t>
      </w:r>
      <w:r>
        <w:rPr>
          <w:color w:val="auto"/>
          <w:kern w:val="0"/>
          <w:szCs w:val="21"/>
          <w:u w:val="single"/>
          <w:lang w:bidi="ar"/>
        </w:rPr>
        <w:t xml:space="preserve">    </w:t>
      </w:r>
      <w:r>
        <w:rPr>
          <w:color w:val="auto"/>
          <w:kern w:val="0"/>
          <w:szCs w:val="21"/>
          <w:lang w:bidi="ar"/>
        </w:rPr>
        <w:t>万元，资产总额为</w:t>
      </w:r>
      <w:r>
        <w:rPr>
          <w:color w:val="auto"/>
          <w:kern w:val="0"/>
          <w:szCs w:val="21"/>
          <w:u w:val="single"/>
          <w:lang w:bidi="ar"/>
        </w:rPr>
        <w:t xml:space="preserve">    </w:t>
      </w:r>
      <w:r>
        <w:rPr>
          <w:color w:val="auto"/>
          <w:kern w:val="0"/>
          <w:szCs w:val="21"/>
          <w:lang w:bidi="ar"/>
        </w:rPr>
        <w:t>万元</w:t>
      </w:r>
      <w:r>
        <w:rPr>
          <w:color w:val="auto"/>
          <w:kern w:val="0"/>
          <w:szCs w:val="21"/>
          <w:vertAlign w:val="superscript"/>
          <w:lang w:bidi="ar"/>
        </w:rPr>
        <w:t>1</w:t>
      </w:r>
      <w:r>
        <w:rPr>
          <w:color w:val="auto"/>
          <w:kern w:val="0"/>
          <w:szCs w:val="21"/>
          <w:lang w:bidi="ar"/>
        </w:rPr>
        <w:t>，属于</w:t>
      </w:r>
      <w:r>
        <w:rPr>
          <w:i/>
          <w:color w:val="auto"/>
          <w:kern w:val="0"/>
          <w:szCs w:val="21"/>
          <w:u w:val="single"/>
          <w:lang w:bidi="ar"/>
        </w:rPr>
        <w:t>（中型企业、小型企业、微型企业）</w:t>
      </w:r>
      <w:r>
        <w:rPr>
          <w:color w:val="auto"/>
          <w:kern w:val="0"/>
          <w:szCs w:val="21"/>
          <w:lang w:bidi="ar"/>
        </w:rPr>
        <w:t>；</w:t>
      </w:r>
    </w:p>
    <w:p>
      <w:pPr>
        <w:spacing w:line="500" w:lineRule="exact"/>
        <w:ind w:firstLine="420" w:firstLineChars="200"/>
        <w:rPr>
          <w:color w:val="auto"/>
          <w:kern w:val="0"/>
          <w:szCs w:val="21"/>
          <w:lang w:bidi="ar"/>
        </w:rPr>
      </w:pPr>
      <w:r>
        <w:rPr>
          <w:color w:val="auto"/>
          <w:szCs w:val="21"/>
        </w:rPr>
        <w:t>2.</w:t>
      </w:r>
      <w:r>
        <w:rPr>
          <w:i/>
          <w:color w:val="auto"/>
          <w:szCs w:val="21"/>
          <w:u w:val="single"/>
        </w:rPr>
        <w:t xml:space="preserve"> （标的名称） </w:t>
      </w:r>
      <w:r>
        <w:rPr>
          <w:color w:val="auto"/>
          <w:szCs w:val="21"/>
        </w:rPr>
        <w:t>，属于</w:t>
      </w:r>
      <w:r>
        <w:rPr>
          <w:rFonts w:hint="eastAsia"/>
          <w:b/>
          <w:bCs/>
          <w:iCs/>
          <w:color w:val="auto"/>
          <w:kern w:val="0"/>
          <w:szCs w:val="21"/>
          <w:u w:val="single"/>
          <w:lang w:bidi="ar"/>
        </w:rPr>
        <w:t>软件和信息技术服务业</w:t>
      </w:r>
      <w:r>
        <w:rPr>
          <w:color w:val="auto"/>
          <w:szCs w:val="21"/>
        </w:rPr>
        <w:t>；承接企业为</w:t>
      </w:r>
      <w:r>
        <w:rPr>
          <w:i/>
          <w:color w:val="auto"/>
          <w:szCs w:val="21"/>
          <w:u w:val="single"/>
        </w:rPr>
        <w:t>（企业名称）</w:t>
      </w:r>
      <w:r>
        <w:rPr>
          <w:color w:val="auto"/>
          <w:szCs w:val="21"/>
        </w:rPr>
        <w:t>，</w:t>
      </w:r>
      <w:r>
        <w:rPr>
          <w:color w:val="auto"/>
          <w:kern w:val="0"/>
          <w:szCs w:val="21"/>
          <w:lang w:bidi="ar"/>
        </w:rPr>
        <w:t>从业人员</w:t>
      </w:r>
      <w:r>
        <w:rPr>
          <w:color w:val="auto"/>
          <w:kern w:val="0"/>
          <w:szCs w:val="21"/>
          <w:u w:val="single"/>
          <w:lang w:bidi="ar"/>
        </w:rPr>
        <w:t xml:space="preserve">    </w:t>
      </w:r>
      <w:r>
        <w:rPr>
          <w:color w:val="auto"/>
          <w:kern w:val="0"/>
          <w:szCs w:val="21"/>
          <w:lang w:bidi="ar"/>
        </w:rPr>
        <w:t>人，营业收入为</w:t>
      </w:r>
      <w:r>
        <w:rPr>
          <w:color w:val="auto"/>
          <w:kern w:val="0"/>
          <w:szCs w:val="21"/>
          <w:u w:val="single"/>
          <w:lang w:bidi="ar"/>
        </w:rPr>
        <w:t xml:space="preserve">    </w:t>
      </w:r>
      <w:r>
        <w:rPr>
          <w:color w:val="auto"/>
          <w:kern w:val="0"/>
          <w:szCs w:val="21"/>
          <w:lang w:bidi="ar"/>
        </w:rPr>
        <w:t>万元，资产总额为</w:t>
      </w:r>
      <w:r>
        <w:rPr>
          <w:color w:val="auto"/>
          <w:kern w:val="0"/>
          <w:szCs w:val="21"/>
          <w:u w:val="single"/>
          <w:lang w:bidi="ar"/>
        </w:rPr>
        <w:t xml:space="preserve">    </w:t>
      </w:r>
      <w:r>
        <w:rPr>
          <w:color w:val="auto"/>
          <w:kern w:val="0"/>
          <w:szCs w:val="21"/>
          <w:lang w:bidi="ar"/>
        </w:rPr>
        <w:t>万元</w:t>
      </w:r>
      <w:r>
        <w:rPr>
          <w:color w:val="auto"/>
          <w:kern w:val="0"/>
          <w:szCs w:val="21"/>
          <w:vertAlign w:val="superscript"/>
          <w:lang w:bidi="ar"/>
        </w:rPr>
        <w:t>1</w:t>
      </w:r>
      <w:r>
        <w:rPr>
          <w:color w:val="auto"/>
          <w:kern w:val="0"/>
          <w:szCs w:val="21"/>
          <w:lang w:bidi="ar"/>
        </w:rPr>
        <w:t>，属于</w:t>
      </w:r>
      <w:r>
        <w:rPr>
          <w:i/>
          <w:color w:val="auto"/>
          <w:kern w:val="0"/>
          <w:szCs w:val="21"/>
          <w:u w:val="single"/>
          <w:lang w:bidi="ar"/>
        </w:rPr>
        <w:t>（中型企业、小型企业、微型企业）</w:t>
      </w:r>
      <w:r>
        <w:rPr>
          <w:color w:val="auto"/>
          <w:kern w:val="0"/>
          <w:szCs w:val="21"/>
          <w:lang w:bidi="ar"/>
        </w:rPr>
        <w:t>；</w:t>
      </w:r>
    </w:p>
    <w:p>
      <w:pPr>
        <w:spacing w:line="500" w:lineRule="exact"/>
        <w:ind w:firstLine="420" w:firstLineChars="200"/>
        <w:rPr>
          <w:color w:val="auto"/>
          <w:szCs w:val="21"/>
        </w:rPr>
      </w:pPr>
      <w:r>
        <w:rPr>
          <w:color w:val="auto"/>
          <w:szCs w:val="21"/>
        </w:rPr>
        <w:t>……</w:t>
      </w:r>
    </w:p>
    <w:p>
      <w:pPr>
        <w:spacing w:line="500" w:lineRule="exact"/>
        <w:ind w:firstLine="420" w:firstLineChars="200"/>
        <w:rPr>
          <w:color w:val="auto"/>
          <w:szCs w:val="21"/>
        </w:rPr>
      </w:pPr>
      <w:r>
        <w:rPr>
          <w:color w:val="auto"/>
          <w:szCs w:val="21"/>
        </w:rPr>
        <w:t>以上企业，不属于大企业的分支机构，不存在控股股东为大企业的情形，也不存在与大企业的负责人为同一人的情形。</w:t>
      </w:r>
    </w:p>
    <w:p>
      <w:pPr>
        <w:spacing w:line="500" w:lineRule="exact"/>
        <w:ind w:firstLine="420" w:firstLineChars="200"/>
        <w:rPr>
          <w:color w:val="auto"/>
          <w:szCs w:val="21"/>
        </w:rPr>
      </w:pPr>
      <w:r>
        <w:rPr>
          <w:color w:val="auto"/>
          <w:szCs w:val="21"/>
        </w:rPr>
        <w:t>本企业对上述声明内容的真实性负责。如有虚假，将依法承担相应责任。</w:t>
      </w:r>
    </w:p>
    <w:p>
      <w:pPr>
        <w:spacing w:line="500" w:lineRule="exact"/>
        <w:rPr>
          <w:color w:val="auto"/>
          <w:szCs w:val="21"/>
        </w:rPr>
      </w:pPr>
    </w:p>
    <w:p>
      <w:pPr>
        <w:spacing w:line="500" w:lineRule="exact"/>
        <w:rPr>
          <w:color w:val="auto"/>
          <w:szCs w:val="21"/>
        </w:rPr>
      </w:pPr>
    </w:p>
    <w:p>
      <w:pPr>
        <w:spacing w:line="500" w:lineRule="exact"/>
        <w:ind w:firstLine="5880" w:firstLineChars="2800"/>
        <w:jc w:val="left"/>
        <w:rPr>
          <w:color w:val="auto"/>
          <w:szCs w:val="21"/>
        </w:rPr>
      </w:pPr>
      <w:r>
        <w:rPr>
          <w:color w:val="auto"/>
          <w:szCs w:val="21"/>
        </w:rPr>
        <w:t>企业名称（盖章）：</w:t>
      </w:r>
    </w:p>
    <w:p>
      <w:pPr>
        <w:spacing w:line="500" w:lineRule="exact"/>
        <w:jc w:val="left"/>
        <w:rPr>
          <w:color w:val="auto"/>
          <w:szCs w:val="21"/>
        </w:rPr>
      </w:pPr>
    </w:p>
    <w:p>
      <w:pPr>
        <w:spacing w:line="500" w:lineRule="exact"/>
        <w:ind w:firstLine="6300" w:firstLineChars="3000"/>
        <w:jc w:val="left"/>
        <w:rPr>
          <w:color w:val="auto"/>
          <w:szCs w:val="21"/>
        </w:rPr>
      </w:pPr>
      <w:r>
        <w:rPr>
          <w:color w:val="auto"/>
          <w:szCs w:val="21"/>
        </w:rPr>
        <w:t>日 期：</w:t>
      </w:r>
    </w:p>
    <w:p>
      <w:pPr>
        <w:spacing w:line="360" w:lineRule="auto"/>
        <w:ind w:firstLine="420" w:firstLineChars="200"/>
        <w:rPr>
          <w:color w:val="auto"/>
          <w:szCs w:val="21"/>
        </w:rPr>
      </w:pPr>
    </w:p>
    <w:p>
      <w:pPr>
        <w:spacing w:line="360" w:lineRule="auto"/>
        <w:ind w:firstLine="420" w:firstLineChars="200"/>
        <w:rPr>
          <w:color w:val="auto"/>
          <w:szCs w:val="21"/>
        </w:rPr>
      </w:pPr>
      <w:r>
        <w:rPr>
          <w:color w:val="auto"/>
          <w:szCs w:val="21"/>
        </w:rPr>
        <w:t>注：1、从业人员、营业收入、资产总额填报上一年度数据，无上一年度数据的新成立企业可不填报。</w:t>
      </w:r>
    </w:p>
    <w:p>
      <w:pPr>
        <w:widowControl/>
        <w:spacing w:line="360" w:lineRule="auto"/>
        <w:rPr>
          <w:color w:val="auto"/>
          <w:spacing w:val="6"/>
          <w:szCs w:val="21"/>
        </w:rPr>
      </w:pPr>
      <w:r>
        <w:rPr>
          <w:rFonts w:hint="eastAsia" w:ascii="宋体" w:hAnsi="宋体" w:cs="宋体"/>
          <w:color w:val="auto"/>
          <w:szCs w:val="21"/>
        </w:rPr>
        <w:t xml:space="preserve">2、从业⼈员300⼈以下或营业收⼊10000万元以下的为中⼩微型企业。其中，从业⼈员100⼈及以上，且营业收⼊1000万元及以上的为中型企业；从业⼈员10⼈及以上，且营业收⼊50万元及以上的为⼩型企业；从业⼈员10⼈以下或营业收⼊50万元以下的为微型企业。（中小企业划型标准按工信部联企业【2011】300号文件，提供虚假资料者责任自负。） </w:t>
      </w:r>
      <w:r>
        <w:rPr>
          <w:color w:val="auto"/>
          <w:spacing w:val="6"/>
          <w:szCs w:val="21"/>
        </w:rPr>
        <w:t xml:space="preserve">  </w:t>
      </w:r>
    </w:p>
    <w:p>
      <w:pPr>
        <w:widowControl/>
        <w:spacing w:line="360" w:lineRule="auto"/>
        <w:rPr>
          <w:color w:val="auto"/>
          <w:lang w:bidi="ar"/>
        </w:rPr>
      </w:pPr>
    </w:p>
    <w:p>
      <w:pPr>
        <w:widowControl/>
        <w:spacing w:line="360" w:lineRule="auto"/>
        <w:rPr>
          <w:b/>
          <w:bCs/>
          <w:color w:val="auto"/>
        </w:rPr>
      </w:pPr>
      <w:r>
        <w:rPr>
          <w:b/>
          <w:bCs/>
          <w:color w:val="auto"/>
          <w:lang w:bidi="ar"/>
        </w:rPr>
        <w:t>（若联合体参加投标的，联合体各成员中存在中小微企业的，这些企业须分别提供上述声明函，另存在非中小微企业的，须另行说明（格式自拟），须各自盖公章）</w:t>
      </w:r>
    </w:p>
    <w:p>
      <w:pPr>
        <w:widowControl/>
        <w:spacing w:line="360" w:lineRule="auto"/>
        <w:rPr>
          <w:color w:val="auto"/>
          <w:spacing w:val="6"/>
          <w:szCs w:val="21"/>
        </w:rPr>
      </w:pPr>
      <w:r>
        <w:rPr>
          <w:b/>
          <w:color w:val="auto"/>
          <w:spacing w:val="6"/>
          <w:szCs w:val="21"/>
        </w:rPr>
        <w:t>格式十二：</w:t>
      </w:r>
    </w:p>
    <w:p>
      <w:pPr>
        <w:spacing w:line="360" w:lineRule="auto"/>
        <w:jc w:val="center"/>
        <w:rPr>
          <w:b/>
          <w:color w:val="auto"/>
          <w:sz w:val="24"/>
        </w:rPr>
      </w:pPr>
      <w:r>
        <w:rPr>
          <w:b/>
          <w:color w:val="auto"/>
          <w:sz w:val="24"/>
        </w:rPr>
        <w:t>投标人响应表</w:t>
      </w:r>
    </w:p>
    <w:p>
      <w:pPr>
        <w:spacing w:line="360" w:lineRule="auto"/>
        <w:jc w:val="left"/>
        <w:rPr>
          <w:color w:val="auto"/>
          <w:szCs w:val="21"/>
        </w:rPr>
      </w:pPr>
    </w:p>
    <w:p>
      <w:pPr>
        <w:spacing w:line="360" w:lineRule="auto"/>
        <w:jc w:val="left"/>
        <w:rPr>
          <w:color w:val="auto"/>
          <w:kern w:val="0"/>
          <w:szCs w:val="21"/>
        </w:rPr>
      </w:pPr>
      <w:r>
        <w:rPr>
          <w:color w:val="auto"/>
          <w:szCs w:val="21"/>
        </w:rPr>
        <w:t>项目名称：</w:t>
      </w:r>
      <w:r>
        <w:rPr>
          <w:color w:val="auto"/>
          <w:szCs w:val="21"/>
          <w:u w:val="single"/>
        </w:rPr>
        <w:t xml:space="preserve">                                             </w:t>
      </w:r>
      <w:r>
        <w:rPr>
          <w:color w:val="auto"/>
          <w:szCs w:val="21"/>
        </w:rPr>
        <w:t>项目编号：</w:t>
      </w:r>
      <w:r>
        <w:rPr>
          <w:color w:val="auto"/>
          <w:szCs w:val="21"/>
          <w:u w:val="single"/>
        </w:rPr>
        <w:t xml:space="preserve">                      </w:t>
      </w:r>
    </w:p>
    <w:tbl>
      <w:tblPr>
        <w:tblStyle w:val="41"/>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24"/>
        <w:gridCol w:w="6237"/>
        <w:gridCol w:w="184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4" w:type="dxa"/>
            <w:vAlign w:val="center"/>
          </w:tcPr>
          <w:p>
            <w:pPr>
              <w:spacing w:line="400" w:lineRule="exact"/>
              <w:jc w:val="center"/>
              <w:rPr>
                <w:color w:val="auto"/>
                <w:szCs w:val="21"/>
              </w:rPr>
            </w:pPr>
            <w:r>
              <w:rPr>
                <w:color w:val="auto"/>
                <w:szCs w:val="21"/>
              </w:rPr>
              <w:t>序号</w:t>
            </w:r>
          </w:p>
        </w:tc>
        <w:tc>
          <w:tcPr>
            <w:tcW w:w="6237" w:type="dxa"/>
            <w:vAlign w:val="center"/>
          </w:tcPr>
          <w:p>
            <w:pPr>
              <w:spacing w:line="400" w:lineRule="exact"/>
              <w:jc w:val="center"/>
              <w:rPr>
                <w:color w:val="auto"/>
                <w:szCs w:val="21"/>
              </w:rPr>
            </w:pPr>
            <w:r>
              <w:rPr>
                <w:color w:val="auto"/>
                <w:szCs w:val="21"/>
              </w:rPr>
              <w:t>评审内容</w:t>
            </w:r>
          </w:p>
        </w:tc>
        <w:tc>
          <w:tcPr>
            <w:tcW w:w="1843" w:type="dxa"/>
            <w:vAlign w:val="center"/>
          </w:tcPr>
          <w:p>
            <w:pPr>
              <w:spacing w:line="400" w:lineRule="exact"/>
              <w:jc w:val="center"/>
              <w:rPr>
                <w:color w:val="auto"/>
                <w:szCs w:val="21"/>
              </w:rPr>
            </w:pPr>
            <w:r>
              <w:rPr>
                <w:color w:val="auto"/>
                <w:szCs w:val="21"/>
              </w:rPr>
              <w:t>证明文件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4" w:type="dxa"/>
            <w:vAlign w:val="center"/>
          </w:tcPr>
          <w:p>
            <w:pPr>
              <w:spacing w:line="400" w:lineRule="exact"/>
              <w:rPr>
                <w:color w:val="auto"/>
                <w:szCs w:val="21"/>
              </w:rPr>
            </w:pPr>
          </w:p>
        </w:tc>
        <w:tc>
          <w:tcPr>
            <w:tcW w:w="6237" w:type="dxa"/>
            <w:vAlign w:val="center"/>
          </w:tcPr>
          <w:p>
            <w:pPr>
              <w:spacing w:line="400" w:lineRule="exact"/>
              <w:rPr>
                <w:color w:val="auto"/>
                <w:szCs w:val="21"/>
              </w:rPr>
            </w:pPr>
          </w:p>
        </w:tc>
        <w:tc>
          <w:tcPr>
            <w:tcW w:w="1843" w:type="dxa"/>
            <w:vAlign w:val="center"/>
          </w:tcPr>
          <w:p>
            <w:pPr>
              <w:spacing w:line="400" w:lineRule="exact"/>
              <w:jc w:val="center"/>
              <w:rPr>
                <w:color w:val="auto"/>
                <w:szCs w:val="21"/>
              </w:rPr>
            </w:pPr>
            <w:r>
              <w:rPr>
                <w:color w:val="auto"/>
                <w:szCs w:val="21"/>
              </w:rPr>
              <w:t>见（  ）页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4" w:type="dxa"/>
            <w:vAlign w:val="center"/>
          </w:tcPr>
          <w:p>
            <w:pPr>
              <w:spacing w:line="400" w:lineRule="exact"/>
              <w:rPr>
                <w:color w:val="auto"/>
                <w:szCs w:val="21"/>
              </w:rPr>
            </w:pPr>
          </w:p>
        </w:tc>
        <w:tc>
          <w:tcPr>
            <w:tcW w:w="6237" w:type="dxa"/>
            <w:vAlign w:val="center"/>
          </w:tcPr>
          <w:p>
            <w:pPr>
              <w:spacing w:line="400" w:lineRule="exact"/>
              <w:rPr>
                <w:color w:val="auto"/>
                <w:szCs w:val="21"/>
              </w:rPr>
            </w:pPr>
          </w:p>
        </w:tc>
        <w:tc>
          <w:tcPr>
            <w:tcW w:w="1843" w:type="dxa"/>
            <w:vAlign w:val="center"/>
          </w:tcPr>
          <w:p>
            <w:pPr>
              <w:spacing w:line="400" w:lineRule="exact"/>
              <w:jc w:val="center"/>
              <w:rPr>
                <w:color w:val="auto"/>
                <w:szCs w:val="21"/>
              </w:rPr>
            </w:pPr>
            <w:r>
              <w:rPr>
                <w:color w:val="auto"/>
                <w:szCs w:val="21"/>
              </w:rPr>
              <w:t>见（  ）页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4" w:type="dxa"/>
            <w:vAlign w:val="center"/>
          </w:tcPr>
          <w:p>
            <w:pPr>
              <w:spacing w:line="400" w:lineRule="exact"/>
              <w:rPr>
                <w:color w:val="auto"/>
                <w:szCs w:val="21"/>
              </w:rPr>
            </w:pPr>
          </w:p>
        </w:tc>
        <w:tc>
          <w:tcPr>
            <w:tcW w:w="6237" w:type="dxa"/>
            <w:vAlign w:val="center"/>
          </w:tcPr>
          <w:p>
            <w:pPr>
              <w:spacing w:line="400" w:lineRule="exact"/>
              <w:rPr>
                <w:color w:val="auto"/>
                <w:szCs w:val="21"/>
              </w:rPr>
            </w:pPr>
          </w:p>
        </w:tc>
        <w:tc>
          <w:tcPr>
            <w:tcW w:w="1843" w:type="dxa"/>
            <w:vAlign w:val="center"/>
          </w:tcPr>
          <w:p>
            <w:pPr>
              <w:spacing w:line="400" w:lineRule="exact"/>
              <w:jc w:val="center"/>
              <w:rPr>
                <w:color w:val="auto"/>
                <w:szCs w:val="21"/>
              </w:rPr>
            </w:pPr>
            <w:r>
              <w:rPr>
                <w:color w:val="auto"/>
                <w:szCs w:val="21"/>
              </w:rPr>
              <w:t>见（  ）页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4" w:type="dxa"/>
            <w:vAlign w:val="center"/>
          </w:tcPr>
          <w:p>
            <w:pPr>
              <w:spacing w:line="400" w:lineRule="exact"/>
              <w:rPr>
                <w:color w:val="auto"/>
                <w:szCs w:val="21"/>
              </w:rPr>
            </w:pPr>
          </w:p>
        </w:tc>
        <w:tc>
          <w:tcPr>
            <w:tcW w:w="6237" w:type="dxa"/>
            <w:vAlign w:val="center"/>
          </w:tcPr>
          <w:p>
            <w:pPr>
              <w:spacing w:line="400" w:lineRule="exact"/>
              <w:rPr>
                <w:color w:val="auto"/>
                <w:szCs w:val="21"/>
              </w:rPr>
            </w:pPr>
          </w:p>
        </w:tc>
        <w:tc>
          <w:tcPr>
            <w:tcW w:w="1843" w:type="dxa"/>
            <w:vAlign w:val="center"/>
          </w:tcPr>
          <w:p>
            <w:pPr>
              <w:spacing w:line="400" w:lineRule="exact"/>
              <w:jc w:val="center"/>
              <w:rPr>
                <w:color w:val="auto"/>
                <w:szCs w:val="21"/>
              </w:rPr>
            </w:pPr>
            <w:r>
              <w:rPr>
                <w:color w:val="auto"/>
                <w:szCs w:val="21"/>
              </w:rPr>
              <w:t>见（  ）页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4" w:type="dxa"/>
            <w:vAlign w:val="center"/>
          </w:tcPr>
          <w:p>
            <w:pPr>
              <w:spacing w:line="400" w:lineRule="exact"/>
              <w:rPr>
                <w:color w:val="auto"/>
                <w:szCs w:val="21"/>
              </w:rPr>
            </w:pPr>
          </w:p>
        </w:tc>
        <w:tc>
          <w:tcPr>
            <w:tcW w:w="6237" w:type="dxa"/>
            <w:vAlign w:val="center"/>
          </w:tcPr>
          <w:p>
            <w:pPr>
              <w:spacing w:line="400" w:lineRule="exact"/>
              <w:rPr>
                <w:color w:val="auto"/>
                <w:szCs w:val="21"/>
              </w:rPr>
            </w:pPr>
          </w:p>
        </w:tc>
        <w:tc>
          <w:tcPr>
            <w:tcW w:w="1843" w:type="dxa"/>
            <w:vAlign w:val="center"/>
          </w:tcPr>
          <w:p>
            <w:pPr>
              <w:spacing w:line="400" w:lineRule="exact"/>
              <w:jc w:val="center"/>
              <w:rPr>
                <w:color w:val="auto"/>
                <w:szCs w:val="21"/>
              </w:rPr>
            </w:pPr>
            <w:r>
              <w:rPr>
                <w:color w:val="auto"/>
                <w:szCs w:val="21"/>
              </w:rPr>
              <w:t>见（  ）页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4" w:type="dxa"/>
            <w:vAlign w:val="center"/>
          </w:tcPr>
          <w:p>
            <w:pPr>
              <w:spacing w:line="400" w:lineRule="exact"/>
              <w:rPr>
                <w:color w:val="auto"/>
                <w:szCs w:val="21"/>
              </w:rPr>
            </w:pPr>
          </w:p>
        </w:tc>
        <w:tc>
          <w:tcPr>
            <w:tcW w:w="6237" w:type="dxa"/>
            <w:vAlign w:val="center"/>
          </w:tcPr>
          <w:p>
            <w:pPr>
              <w:spacing w:line="400" w:lineRule="exact"/>
              <w:rPr>
                <w:color w:val="auto"/>
                <w:szCs w:val="21"/>
              </w:rPr>
            </w:pPr>
          </w:p>
        </w:tc>
        <w:tc>
          <w:tcPr>
            <w:tcW w:w="1843" w:type="dxa"/>
            <w:vAlign w:val="center"/>
          </w:tcPr>
          <w:p>
            <w:pPr>
              <w:spacing w:line="400" w:lineRule="exact"/>
              <w:jc w:val="center"/>
              <w:rPr>
                <w:color w:val="auto"/>
                <w:szCs w:val="21"/>
              </w:rPr>
            </w:pPr>
            <w:r>
              <w:rPr>
                <w:color w:val="auto"/>
                <w:szCs w:val="21"/>
              </w:rPr>
              <w:t>见（  ）页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4" w:type="dxa"/>
            <w:vAlign w:val="center"/>
          </w:tcPr>
          <w:p>
            <w:pPr>
              <w:spacing w:line="400" w:lineRule="exact"/>
              <w:rPr>
                <w:color w:val="auto"/>
                <w:szCs w:val="21"/>
              </w:rPr>
            </w:pPr>
          </w:p>
        </w:tc>
        <w:tc>
          <w:tcPr>
            <w:tcW w:w="6237" w:type="dxa"/>
            <w:vAlign w:val="center"/>
          </w:tcPr>
          <w:p>
            <w:pPr>
              <w:spacing w:line="400" w:lineRule="exact"/>
              <w:rPr>
                <w:color w:val="auto"/>
                <w:szCs w:val="21"/>
              </w:rPr>
            </w:pPr>
          </w:p>
        </w:tc>
        <w:tc>
          <w:tcPr>
            <w:tcW w:w="1843" w:type="dxa"/>
            <w:vAlign w:val="center"/>
          </w:tcPr>
          <w:p>
            <w:pPr>
              <w:spacing w:line="400" w:lineRule="exact"/>
              <w:jc w:val="center"/>
              <w:rPr>
                <w:color w:val="auto"/>
                <w:szCs w:val="21"/>
              </w:rPr>
            </w:pPr>
            <w:r>
              <w:rPr>
                <w:color w:val="auto"/>
                <w:szCs w:val="21"/>
              </w:rPr>
              <w:t>见（  ）页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4" w:type="dxa"/>
            <w:vAlign w:val="center"/>
          </w:tcPr>
          <w:p>
            <w:pPr>
              <w:spacing w:line="400" w:lineRule="exact"/>
              <w:rPr>
                <w:color w:val="auto"/>
                <w:szCs w:val="21"/>
              </w:rPr>
            </w:pPr>
          </w:p>
        </w:tc>
        <w:tc>
          <w:tcPr>
            <w:tcW w:w="6237" w:type="dxa"/>
            <w:vAlign w:val="center"/>
          </w:tcPr>
          <w:p>
            <w:pPr>
              <w:spacing w:line="400" w:lineRule="exact"/>
              <w:rPr>
                <w:color w:val="auto"/>
                <w:szCs w:val="21"/>
              </w:rPr>
            </w:pPr>
          </w:p>
        </w:tc>
        <w:tc>
          <w:tcPr>
            <w:tcW w:w="1843" w:type="dxa"/>
            <w:vAlign w:val="center"/>
          </w:tcPr>
          <w:p>
            <w:pPr>
              <w:spacing w:line="400" w:lineRule="exact"/>
              <w:jc w:val="center"/>
              <w:rPr>
                <w:color w:val="auto"/>
                <w:szCs w:val="21"/>
              </w:rPr>
            </w:pPr>
            <w:r>
              <w:rPr>
                <w:color w:val="auto"/>
                <w:szCs w:val="21"/>
              </w:rPr>
              <w:t>见（  ）页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4" w:type="dxa"/>
            <w:vAlign w:val="center"/>
          </w:tcPr>
          <w:p>
            <w:pPr>
              <w:spacing w:line="400" w:lineRule="exact"/>
              <w:rPr>
                <w:color w:val="auto"/>
                <w:szCs w:val="21"/>
              </w:rPr>
            </w:pPr>
          </w:p>
        </w:tc>
        <w:tc>
          <w:tcPr>
            <w:tcW w:w="6237" w:type="dxa"/>
            <w:vAlign w:val="center"/>
          </w:tcPr>
          <w:p>
            <w:pPr>
              <w:spacing w:line="400" w:lineRule="exact"/>
              <w:rPr>
                <w:color w:val="auto"/>
                <w:szCs w:val="21"/>
              </w:rPr>
            </w:pPr>
          </w:p>
        </w:tc>
        <w:tc>
          <w:tcPr>
            <w:tcW w:w="1843" w:type="dxa"/>
            <w:vAlign w:val="center"/>
          </w:tcPr>
          <w:p>
            <w:pPr>
              <w:spacing w:line="400" w:lineRule="exact"/>
              <w:jc w:val="center"/>
              <w:rPr>
                <w:color w:val="auto"/>
                <w:szCs w:val="21"/>
              </w:rPr>
            </w:pPr>
            <w:r>
              <w:rPr>
                <w:color w:val="auto"/>
                <w:szCs w:val="21"/>
              </w:rPr>
              <w:t>见（  ）页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4" w:type="dxa"/>
            <w:vAlign w:val="center"/>
          </w:tcPr>
          <w:p>
            <w:pPr>
              <w:spacing w:line="400" w:lineRule="exact"/>
              <w:rPr>
                <w:color w:val="auto"/>
                <w:szCs w:val="21"/>
              </w:rPr>
            </w:pPr>
          </w:p>
        </w:tc>
        <w:tc>
          <w:tcPr>
            <w:tcW w:w="6237" w:type="dxa"/>
            <w:vAlign w:val="center"/>
          </w:tcPr>
          <w:p>
            <w:pPr>
              <w:spacing w:line="400" w:lineRule="exact"/>
              <w:rPr>
                <w:color w:val="auto"/>
                <w:szCs w:val="21"/>
              </w:rPr>
            </w:pPr>
          </w:p>
        </w:tc>
        <w:tc>
          <w:tcPr>
            <w:tcW w:w="1843" w:type="dxa"/>
            <w:vAlign w:val="center"/>
          </w:tcPr>
          <w:p>
            <w:pPr>
              <w:spacing w:line="400" w:lineRule="exact"/>
              <w:jc w:val="center"/>
              <w:rPr>
                <w:color w:val="auto"/>
                <w:szCs w:val="21"/>
              </w:rPr>
            </w:pPr>
            <w:r>
              <w:rPr>
                <w:color w:val="auto"/>
                <w:szCs w:val="21"/>
              </w:rPr>
              <w:t>见（  ）页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4" w:type="dxa"/>
            <w:vAlign w:val="center"/>
          </w:tcPr>
          <w:p>
            <w:pPr>
              <w:spacing w:line="400" w:lineRule="exact"/>
              <w:rPr>
                <w:color w:val="auto"/>
                <w:szCs w:val="21"/>
              </w:rPr>
            </w:pPr>
          </w:p>
        </w:tc>
        <w:tc>
          <w:tcPr>
            <w:tcW w:w="6237" w:type="dxa"/>
            <w:vAlign w:val="center"/>
          </w:tcPr>
          <w:p>
            <w:pPr>
              <w:spacing w:line="400" w:lineRule="exact"/>
              <w:rPr>
                <w:color w:val="auto"/>
                <w:szCs w:val="21"/>
              </w:rPr>
            </w:pPr>
          </w:p>
        </w:tc>
        <w:tc>
          <w:tcPr>
            <w:tcW w:w="1843" w:type="dxa"/>
            <w:vAlign w:val="center"/>
          </w:tcPr>
          <w:p>
            <w:pPr>
              <w:spacing w:line="400" w:lineRule="exact"/>
              <w:jc w:val="center"/>
              <w:rPr>
                <w:color w:val="auto"/>
                <w:szCs w:val="21"/>
              </w:rPr>
            </w:pPr>
            <w:r>
              <w:rPr>
                <w:color w:val="auto"/>
                <w:szCs w:val="21"/>
              </w:rPr>
              <w:t>见（  ）页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4" w:type="dxa"/>
            <w:vAlign w:val="center"/>
          </w:tcPr>
          <w:p>
            <w:pPr>
              <w:spacing w:line="400" w:lineRule="exact"/>
              <w:rPr>
                <w:color w:val="auto"/>
                <w:szCs w:val="21"/>
              </w:rPr>
            </w:pPr>
          </w:p>
        </w:tc>
        <w:tc>
          <w:tcPr>
            <w:tcW w:w="6237" w:type="dxa"/>
            <w:vAlign w:val="center"/>
          </w:tcPr>
          <w:p>
            <w:pPr>
              <w:spacing w:line="400" w:lineRule="exact"/>
              <w:rPr>
                <w:color w:val="auto"/>
                <w:szCs w:val="21"/>
              </w:rPr>
            </w:pPr>
          </w:p>
        </w:tc>
        <w:tc>
          <w:tcPr>
            <w:tcW w:w="1843" w:type="dxa"/>
            <w:vAlign w:val="center"/>
          </w:tcPr>
          <w:p>
            <w:pPr>
              <w:spacing w:line="400" w:lineRule="exact"/>
              <w:jc w:val="center"/>
              <w:rPr>
                <w:color w:val="auto"/>
                <w:szCs w:val="21"/>
              </w:rPr>
            </w:pPr>
            <w:r>
              <w:rPr>
                <w:color w:val="auto"/>
                <w:szCs w:val="21"/>
              </w:rPr>
              <w:t>见（  ）页</w:t>
            </w:r>
          </w:p>
        </w:tc>
      </w:tr>
    </w:tbl>
    <w:p>
      <w:pPr>
        <w:widowControl/>
        <w:spacing w:line="360" w:lineRule="auto"/>
        <w:jc w:val="left"/>
        <w:rPr>
          <w:b/>
          <w:color w:val="auto"/>
          <w:spacing w:val="6"/>
          <w:szCs w:val="21"/>
        </w:rPr>
      </w:pPr>
      <w:r>
        <w:rPr>
          <w:b/>
          <w:bCs/>
          <w:color w:val="auto"/>
          <w:szCs w:val="21"/>
        </w:rPr>
        <w:t>注：根据评分标准逐条填写。</w:t>
      </w:r>
    </w:p>
    <w:p>
      <w:pPr>
        <w:widowControl/>
        <w:spacing w:line="360" w:lineRule="auto"/>
        <w:jc w:val="left"/>
        <w:rPr>
          <w:b/>
          <w:color w:val="auto"/>
          <w:spacing w:val="6"/>
          <w:szCs w:val="21"/>
        </w:rPr>
      </w:pPr>
    </w:p>
    <w:p>
      <w:pPr>
        <w:pStyle w:val="16"/>
        <w:rPr>
          <w:color w:val="auto"/>
        </w:rPr>
      </w:pPr>
    </w:p>
    <w:p>
      <w:pPr>
        <w:pStyle w:val="19"/>
        <w:widowControl/>
        <w:spacing w:line="360" w:lineRule="auto"/>
        <w:jc w:val="left"/>
        <w:rPr>
          <w:rFonts w:ascii="Times New Roman" w:hAnsi="Times New Roman"/>
          <w:color w:val="auto"/>
          <w:sz w:val="21"/>
          <w:szCs w:val="21"/>
        </w:rPr>
      </w:pPr>
      <w:r>
        <w:rPr>
          <w:rFonts w:ascii="Times New Roman" w:hAnsi="Times New Roman"/>
          <w:color w:val="auto"/>
          <w:sz w:val="21"/>
          <w:szCs w:val="21"/>
        </w:rPr>
        <w:t>投标人全称（盖公章）：</w:t>
      </w:r>
    </w:p>
    <w:p>
      <w:pPr>
        <w:pStyle w:val="19"/>
        <w:widowControl/>
        <w:spacing w:line="360" w:lineRule="auto"/>
        <w:jc w:val="left"/>
        <w:rPr>
          <w:rFonts w:ascii="Times New Roman" w:hAnsi="Times New Roman"/>
          <w:color w:val="auto"/>
          <w:sz w:val="21"/>
          <w:szCs w:val="21"/>
        </w:rPr>
      </w:pPr>
    </w:p>
    <w:p>
      <w:pPr>
        <w:pStyle w:val="19"/>
        <w:spacing w:line="360" w:lineRule="auto"/>
        <w:rPr>
          <w:rFonts w:ascii="Times New Roman" w:hAnsi="Times New Roman"/>
          <w:color w:val="auto"/>
          <w:sz w:val="21"/>
          <w:szCs w:val="21"/>
        </w:rPr>
      </w:pPr>
      <w:r>
        <w:rPr>
          <w:rFonts w:ascii="Times New Roman" w:hAnsi="Times New Roman"/>
          <w:color w:val="auto"/>
          <w:sz w:val="21"/>
          <w:szCs w:val="21"/>
        </w:rPr>
        <w:t>日期：年  月  日</w:t>
      </w:r>
    </w:p>
    <w:p>
      <w:pPr>
        <w:spacing w:line="440" w:lineRule="exact"/>
        <w:rPr>
          <w:color w:val="auto"/>
          <w:lang w:bidi="ar"/>
        </w:rPr>
      </w:pPr>
    </w:p>
    <w:p>
      <w:pPr>
        <w:spacing w:line="440" w:lineRule="exact"/>
        <w:rPr>
          <w:color w:val="auto"/>
          <w:sz w:val="24"/>
        </w:rPr>
      </w:pPr>
      <w:r>
        <w:rPr>
          <w:color w:val="auto"/>
          <w:lang w:bidi="ar"/>
        </w:rPr>
        <w:t>（若联合体参加投标的，联合体牵头单位提供）</w:t>
      </w:r>
    </w:p>
    <w:p>
      <w:pPr>
        <w:widowControl/>
        <w:spacing w:line="360" w:lineRule="auto"/>
        <w:jc w:val="left"/>
        <w:rPr>
          <w:b/>
          <w:color w:val="auto"/>
          <w:szCs w:val="21"/>
        </w:rPr>
      </w:pPr>
      <w:r>
        <w:rPr>
          <w:b/>
          <w:color w:val="auto"/>
          <w:spacing w:val="6"/>
          <w:szCs w:val="21"/>
        </w:rPr>
        <w:br w:type="page"/>
      </w:r>
      <w:r>
        <w:rPr>
          <w:b/>
          <w:color w:val="auto"/>
          <w:spacing w:val="6"/>
          <w:szCs w:val="21"/>
        </w:rPr>
        <w:t>格式十三：</w:t>
      </w:r>
    </w:p>
    <w:p>
      <w:pPr>
        <w:pStyle w:val="19"/>
        <w:spacing w:line="360" w:lineRule="auto"/>
        <w:ind w:firstLine="0"/>
        <w:jc w:val="center"/>
        <w:rPr>
          <w:rFonts w:ascii="Times New Roman" w:hAnsi="Times New Roman"/>
          <w:b/>
          <w:color w:val="auto"/>
          <w:sz w:val="24"/>
        </w:rPr>
      </w:pPr>
      <w:bookmarkStart w:id="136" w:name="OLE_LINK13"/>
      <w:bookmarkStart w:id="137" w:name="OLE_LINK14"/>
      <w:r>
        <w:rPr>
          <w:rFonts w:ascii="Times New Roman" w:hAnsi="Times New Roman"/>
          <w:b/>
          <w:color w:val="auto"/>
          <w:sz w:val="24"/>
        </w:rPr>
        <w:t>残疾人福利性单位声明函</w:t>
      </w:r>
      <w:bookmarkEnd w:id="136"/>
      <w:bookmarkEnd w:id="137"/>
    </w:p>
    <w:p>
      <w:pPr>
        <w:spacing w:line="360" w:lineRule="auto"/>
        <w:ind w:firstLine="420" w:firstLineChars="200"/>
        <w:rPr>
          <w:color w:val="auto"/>
          <w:szCs w:val="21"/>
        </w:rPr>
      </w:pPr>
    </w:p>
    <w:p>
      <w:pPr>
        <w:spacing w:line="360" w:lineRule="auto"/>
        <w:ind w:firstLine="420" w:firstLineChars="200"/>
        <w:rPr>
          <w:color w:val="auto"/>
          <w:szCs w:val="21"/>
        </w:rPr>
      </w:pPr>
      <w:r>
        <w:rPr>
          <w:color w:val="auto"/>
          <w:szCs w:val="21"/>
        </w:rPr>
        <w:t>本单位郑重声明，根据《财政部 民政部 中国残疾人联合会关于促进残疾人就业政府采购政策的通知》（财库【2017】141号）的规定，本单位</w:t>
      </w:r>
      <w:r>
        <w:rPr>
          <w:color w:val="auto"/>
          <w:szCs w:val="21"/>
          <w:u w:val="single"/>
        </w:rPr>
        <w:t xml:space="preserve">    </w:t>
      </w:r>
      <w:r>
        <w:rPr>
          <w:color w:val="auto"/>
          <w:kern w:val="0"/>
          <w:szCs w:val="21"/>
          <w:lang w:bidi="ar"/>
        </w:rPr>
        <w:t>（请填写：为符合、不符合）</w:t>
      </w:r>
      <w:r>
        <w:rPr>
          <w:color w:val="auto"/>
          <w:szCs w:val="21"/>
        </w:rPr>
        <w:t>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color w:val="auto"/>
        </w:rPr>
      </w:pPr>
      <w:r>
        <w:rPr>
          <w:color w:val="auto"/>
          <w:szCs w:val="21"/>
        </w:rPr>
        <w:t>本单位对上述声明的真实性负责。如有虚假，将依法承担相应责任。</w:t>
      </w:r>
    </w:p>
    <w:p>
      <w:pPr>
        <w:spacing w:line="360" w:lineRule="auto"/>
        <w:ind w:firstLine="444" w:firstLineChars="200"/>
        <w:rPr>
          <w:color w:val="auto"/>
          <w:spacing w:val="6"/>
          <w:szCs w:val="21"/>
        </w:rPr>
      </w:pPr>
    </w:p>
    <w:p>
      <w:pPr>
        <w:spacing w:line="360" w:lineRule="auto"/>
        <w:ind w:firstLine="444" w:firstLineChars="200"/>
        <w:rPr>
          <w:color w:val="auto"/>
          <w:spacing w:val="6"/>
          <w:szCs w:val="21"/>
        </w:rPr>
      </w:pPr>
    </w:p>
    <w:p>
      <w:pPr>
        <w:tabs>
          <w:tab w:val="left" w:pos="4860"/>
        </w:tabs>
        <w:spacing w:line="360" w:lineRule="auto"/>
        <w:ind w:right="1560" w:firstLine="444" w:firstLineChars="200"/>
        <w:jc w:val="center"/>
        <w:rPr>
          <w:color w:val="auto"/>
          <w:spacing w:val="6"/>
          <w:szCs w:val="21"/>
        </w:rPr>
      </w:pPr>
      <w:r>
        <w:rPr>
          <w:color w:val="auto"/>
          <w:spacing w:val="6"/>
          <w:szCs w:val="21"/>
        </w:rPr>
        <w:t xml:space="preserve">                                   企业名称（盖章）： </w:t>
      </w:r>
    </w:p>
    <w:p>
      <w:pPr>
        <w:spacing w:line="360" w:lineRule="auto"/>
        <w:jc w:val="left"/>
        <w:rPr>
          <w:color w:val="auto"/>
          <w:spacing w:val="6"/>
          <w:szCs w:val="21"/>
        </w:rPr>
      </w:pPr>
      <w:r>
        <w:rPr>
          <w:color w:val="auto"/>
          <w:spacing w:val="6"/>
          <w:szCs w:val="21"/>
        </w:rPr>
        <w:t xml:space="preserve">                                        日  期：</w:t>
      </w:r>
    </w:p>
    <w:p>
      <w:pPr>
        <w:pStyle w:val="17"/>
        <w:ind w:firstLine="222"/>
        <w:rPr>
          <w:rFonts w:ascii="Times New Roman" w:hAnsi="Times New Roman"/>
          <w:color w:val="auto"/>
          <w:spacing w:val="6"/>
          <w:szCs w:val="21"/>
        </w:rPr>
      </w:pPr>
    </w:p>
    <w:p>
      <w:pPr>
        <w:rPr>
          <w:color w:val="auto"/>
        </w:rPr>
      </w:pPr>
    </w:p>
    <w:p>
      <w:pPr>
        <w:widowControl/>
        <w:spacing w:line="360" w:lineRule="auto"/>
        <w:rPr>
          <w:color w:val="auto"/>
        </w:rPr>
      </w:pPr>
      <w:r>
        <w:rPr>
          <w:color w:val="auto"/>
          <w:lang w:bidi="ar"/>
        </w:rPr>
        <w:t>（若联合体参加投标的，联合体双方须分别提供）</w:t>
      </w:r>
    </w:p>
    <w:p>
      <w:pPr>
        <w:pStyle w:val="17"/>
        <w:ind w:firstLine="210"/>
        <w:rPr>
          <w:rFonts w:ascii="Times New Roman" w:hAnsi="Times New Roman"/>
          <w:color w:val="auto"/>
        </w:rPr>
        <w:sectPr>
          <w:pgSz w:w="11906" w:h="16838"/>
          <w:pgMar w:top="1440" w:right="1803" w:bottom="1440" w:left="1803" w:header="851" w:footer="850" w:gutter="0"/>
          <w:cols w:space="720" w:num="1"/>
          <w:docGrid w:linePitch="312" w:charSpace="0"/>
        </w:sectPr>
      </w:pPr>
    </w:p>
    <w:p>
      <w:pPr>
        <w:spacing w:line="440" w:lineRule="exact"/>
        <w:rPr>
          <w:b/>
          <w:color w:val="auto"/>
          <w:sz w:val="24"/>
          <w:lang w:bidi="ar"/>
        </w:rPr>
      </w:pPr>
      <w:r>
        <w:rPr>
          <w:b/>
          <w:color w:val="auto"/>
          <w:szCs w:val="21"/>
        </w:rPr>
        <w:t>格式十四：</w:t>
      </w:r>
    </w:p>
    <w:p>
      <w:pPr>
        <w:jc w:val="center"/>
        <w:rPr>
          <w:b/>
          <w:color w:val="auto"/>
          <w:sz w:val="24"/>
          <w:lang w:bidi="ar"/>
        </w:rPr>
      </w:pPr>
    </w:p>
    <w:p>
      <w:pPr>
        <w:pStyle w:val="19"/>
        <w:spacing w:line="360" w:lineRule="auto"/>
        <w:ind w:firstLine="0"/>
        <w:jc w:val="center"/>
        <w:rPr>
          <w:rFonts w:ascii="Times New Roman" w:hAnsi="Times New Roman"/>
          <w:b/>
          <w:color w:val="auto"/>
          <w:sz w:val="24"/>
        </w:rPr>
      </w:pPr>
      <w:r>
        <w:rPr>
          <w:rFonts w:ascii="Times New Roman" w:hAnsi="Times New Roman"/>
          <w:b/>
          <w:color w:val="auto"/>
          <w:sz w:val="24"/>
        </w:rPr>
        <w:t>联合体协议书</w:t>
      </w:r>
    </w:p>
    <w:p>
      <w:pPr>
        <w:spacing w:line="360" w:lineRule="auto"/>
        <w:ind w:firstLine="420" w:firstLineChars="200"/>
        <w:rPr>
          <w:color w:val="auto"/>
          <w:szCs w:val="21"/>
          <w:u w:val="single"/>
        </w:rPr>
      </w:pPr>
    </w:p>
    <w:p>
      <w:pPr>
        <w:spacing w:line="360" w:lineRule="auto"/>
        <w:ind w:firstLine="420" w:firstLineChars="200"/>
        <w:rPr>
          <w:color w:val="auto"/>
          <w:szCs w:val="21"/>
        </w:rPr>
      </w:pPr>
      <w:r>
        <w:rPr>
          <w:color w:val="auto"/>
          <w:szCs w:val="21"/>
          <w:u w:val="single"/>
        </w:rPr>
        <w:t xml:space="preserve">          </w:t>
      </w:r>
      <w:r>
        <w:rPr>
          <w:color w:val="auto"/>
          <w:szCs w:val="21"/>
        </w:rPr>
        <w:t>与</w:t>
      </w:r>
      <w:r>
        <w:rPr>
          <w:color w:val="auto"/>
          <w:szCs w:val="21"/>
          <w:u w:val="single"/>
        </w:rPr>
        <w:t xml:space="preserve">          </w:t>
      </w:r>
      <w:r>
        <w:rPr>
          <w:color w:val="auto"/>
          <w:szCs w:val="21"/>
        </w:rPr>
        <w:t>在</w:t>
      </w:r>
      <w:r>
        <w:rPr>
          <w:color w:val="auto"/>
          <w:szCs w:val="21"/>
          <w:u w:val="single"/>
        </w:rPr>
        <w:t xml:space="preserve">          </w:t>
      </w:r>
      <w:r>
        <w:rPr>
          <w:color w:val="auto"/>
          <w:szCs w:val="21"/>
        </w:rPr>
        <w:t>（项目编号</w:t>
      </w:r>
      <w:r>
        <w:rPr>
          <w:color w:val="auto"/>
          <w:szCs w:val="21"/>
          <w:u w:val="single"/>
        </w:rPr>
        <w:t xml:space="preserve">          </w:t>
      </w:r>
      <w:r>
        <w:rPr>
          <w:color w:val="auto"/>
          <w:szCs w:val="21"/>
        </w:rPr>
        <w:t>）中组成联合体，共同参加投标。就本项目有关事宜，经各方充分协商一致，达成如下协议：</w:t>
      </w:r>
    </w:p>
    <w:p>
      <w:pPr>
        <w:numPr>
          <w:ilvl w:val="0"/>
          <w:numId w:val="8"/>
        </w:numPr>
        <w:spacing w:line="360" w:lineRule="auto"/>
        <w:ind w:firstLine="420" w:firstLineChars="200"/>
        <w:rPr>
          <w:color w:val="auto"/>
          <w:szCs w:val="21"/>
        </w:rPr>
      </w:pPr>
      <w:r>
        <w:rPr>
          <w:color w:val="auto"/>
          <w:szCs w:val="21"/>
        </w:rPr>
        <w:t>由</w:t>
      </w:r>
      <w:r>
        <w:rPr>
          <w:color w:val="auto"/>
          <w:szCs w:val="21"/>
          <w:u w:val="single"/>
        </w:rPr>
        <w:t xml:space="preserve">          </w:t>
      </w:r>
      <w:r>
        <w:rPr>
          <w:color w:val="auto"/>
          <w:szCs w:val="21"/>
        </w:rPr>
        <w:t>为本次投标联合体主体方，</w:t>
      </w:r>
      <w:r>
        <w:rPr>
          <w:color w:val="auto"/>
          <w:szCs w:val="21"/>
          <w:u w:val="single"/>
        </w:rPr>
        <w:t xml:space="preserve">          </w:t>
      </w:r>
      <w:r>
        <w:rPr>
          <w:color w:val="auto"/>
          <w:szCs w:val="21"/>
        </w:rPr>
        <w:t>为协办方，组成联合体共同进行本项目的投标工作。</w:t>
      </w:r>
    </w:p>
    <w:p>
      <w:pPr>
        <w:numPr>
          <w:ilvl w:val="0"/>
          <w:numId w:val="8"/>
        </w:numPr>
        <w:spacing w:line="360" w:lineRule="auto"/>
        <w:ind w:firstLine="420" w:firstLineChars="200"/>
        <w:rPr>
          <w:color w:val="auto"/>
          <w:szCs w:val="21"/>
        </w:rPr>
      </w:pPr>
      <w:r>
        <w:rPr>
          <w:color w:val="auto"/>
          <w:szCs w:val="21"/>
        </w:rPr>
        <w:t>联合体主体方与协办方之间</w:t>
      </w:r>
      <w:r>
        <w:rPr>
          <w:color w:val="auto"/>
          <w:szCs w:val="21"/>
          <w:u w:val="single"/>
        </w:rPr>
        <w:t xml:space="preserve">          </w:t>
      </w:r>
      <w:r>
        <w:rPr>
          <w:color w:val="auto"/>
          <w:szCs w:val="21"/>
        </w:rPr>
        <w:t>（存在/不存在）直接控股、管理关系。</w:t>
      </w:r>
    </w:p>
    <w:p>
      <w:pPr>
        <w:spacing w:line="360" w:lineRule="auto"/>
        <w:ind w:firstLine="420" w:firstLineChars="200"/>
        <w:rPr>
          <w:color w:val="auto"/>
          <w:szCs w:val="21"/>
        </w:rPr>
      </w:pPr>
      <w:r>
        <w:rPr>
          <w:color w:val="auto"/>
          <w:szCs w:val="21"/>
        </w:rPr>
        <w:t>三、</w:t>
      </w:r>
      <w:r>
        <w:rPr>
          <w:color w:val="auto"/>
          <w:szCs w:val="21"/>
          <w:u w:val="single"/>
        </w:rPr>
        <w:t xml:space="preserve">          </w:t>
      </w:r>
      <w:r>
        <w:rPr>
          <w:color w:val="auto"/>
          <w:szCs w:val="21"/>
        </w:rPr>
        <w:t>为本项目工作的主体方，联合体以主体方的名义参加投标，中标后，联合体双方与招标人同时联合签订合同。</w:t>
      </w:r>
    </w:p>
    <w:p>
      <w:pPr>
        <w:spacing w:line="360" w:lineRule="auto"/>
        <w:ind w:firstLine="420" w:firstLineChars="200"/>
        <w:rPr>
          <w:color w:val="auto"/>
          <w:szCs w:val="21"/>
        </w:rPr>
      </w:pPr>
      <w:r>
        <w:rPr>
          <w:color w:val="auto"/>
          <w:szCs w:val="21"/>
        </w:rPr>
        <w:t>四、主体方（联合体牵头人）</w:t>
      </w:r>
      <w:r>
        <w:rPr>
          <w:color w:val="auto"/>
          <w:szCs w:val="21"/>
          <w:u w:val="single"/>
        </w:rPr>
        <w:t xml:space="preserve">          </w:t>
      </w:r>
      <w:r>
        <w:rPr>
          <w:color w:val="auto"/>
          <w:szCs w:val="21"/>
        </w:rPr>
        <w:t>负责其中</w:t>
      </w:r>
      <w:r>
        <w:rPr>
          <w:color w:val="auto"/>
          <w:szCs w:val="21"/>
          <w:u w:val="single"/>
        </w:rPr>
        <w:t xml:space="preserve">          </w:t>
      </w:r>
      <w:r>
        <w:rPr>
          <w:color w:val="auto"/>
          <w:szCs w:val="21"/>
        </w:rPr>
        <w:t>工作，</w:t>
      </w:r>
      <w:r>
        <w:rPr>
          <w:color w:val="auto"/>
          <w:szCs w:val="21"/>
          <w:lang w:val="zh-CN"/>
        </w:rPr>
        <w:t>合同份额占到合同总金额</w:t>
      </w:r>
      <w:r>
        <w:rPr>
          <w:color w:val="auto"/>
          <w:szCs w:val="21"/>
        </w:rPr>
        <w:t>的</w:t>
      </w:r>
      <w:r>
        <w:rPr>
          <w:color w:val="auto"/>
          <w:szCs w:val="21"/>
          <w:u w:val="single"/>
        </w:rPr>
        <w:t xml:space="preserve">  %（预计金额，最终以合同实施时的金额为准）</w:t>
      </w:r>
      <w:r>
        <w:rPr>
          <w:color w:val="auto"/>
          <w:szCs w:val="21"/>
        </w:rPr>
        <w:t>；协办方</w:t>
      </w:r>
      <w:r>
        <w:rPr>
          <w:color w:val="auto"/>
          <w:szCs w:val="21"/>
          <w:u w:val="single"/>
        </w:rPr>
        <w:t xml:space="preserve">          </w:t>
      </w:r>
      <w:r>
        <w:rPr>
          <w:color w:val="auto"/>
          <w:szCs w:val="21"/>
        </w:rPr>
        <w:t>负责</w:t>
      </w:r>
      <w:r>
        <w:rPr>
          <w:color w:val="auto"/>
          <w:szCs w:val="21"/>
          <w:u w:val="single"/>
        </w:rPr>
        <w:t xml:space="preserve">                                         </w:t>
      </w:r>
      <w:r>
        <w:rPr>
          <w:color w:val="auto"/>
          <w:szCs w:val="21"/>
        </w:rPr>
        <w:t>工作，</w:t>
      </w:r>
      <w:r>
        <w:rPr>
          <w:color w:val="auto"/>
          <w:szCs w:val="21"/>
          <w:lang w:val="zh-CN"/>
        </w:rPr>
        <w:t>合同份额占到合同总金额</w:t>
      </w:r>
      <w:r>
        <w:rPr>
          <w:color w:val="auto"/>
          <w:szCs w:val="21"/>
        </w:rPr>
        <w:t>的</w:t>
      </w:r>
      <w:r>
        <w:rPr>
          <w:color w:val="auto"/>
          <w:szCs w:val="21"/>
          <w:u w:val="single"/>
        </w:rPr>
        <w:t xml:space="preserve">  %（预计金额，最终以合同实施时的金额为准）</w:t>
      </w:r>
      <w:r>
        <w:rPr>
          <w:color w:val="auto"/>
          <w:szCs w:val="21"/>
        </w:rPr>
        <w:t>。</w:t>
      </w:r>
    </w:p>
    <w:p>
      <w:pPr>
        <w:spacing w:line="360" w:lineRule="auto"/>
        <w:ind w:firstLine="420" w:firstLineChars="200"/>
        <w:rPr>
          <w:color w:val="auto"/>
          <w:szCs w:val="21"/>
        </w:rPr>
      </w:pPr>
      <w:r>
        <w:rPr>
          <w:color w:val="auto"/>
          <w:szCs w:val="21"/>
        </w:rPr>
        <w:t>五、本次项目中因</w:t>
      </w:r>
      <w:r>
        <w:rPr>
          <w:color w:val="auto"/>
          <w:szCs w:val="21"/>
          <w:u w:val="single"/>
        </w:rPr>
        <w:t xml:space="preserve">          </w:t>
      </w:r>
      <w:r>
        <w:rPr>
          <w:color w:val="auto"/>
          <w:szCs w:val="21"/>
        </w:rPr>
        <w:t>引起的问题由</w:t>
      </w:r>
      <w:r>
        <w:rPr>
          <w:color w:val="auto"/>
          <w:szCs w:val="21"/>
          <w:u w:val="single"/>
        </w:rPr>
        <w:t xml:space="preserve">          </w:t>
      </w:r>
      <w:r>
        <w:rPr>
          <w:color w:val="auto"/>
          <w:szCs w:val="21"/>
        </w:rPr>
        <w:t>（主体方）负责；因</w:t>
      </w:r>
      <w:r>
        <w:rPr>
          <w:color w:val="auto"/>
          <w:szCs w:val="21"/>
          <w:u w:val="single"/>
        </w:rPr>
        <w:t xml:space="preserve">          </w:t>
      </w:r>
      <w:r>
        <w:rPr>
          <w:color w:val="auto"/>
          <w:szCs w:val="21"/>
        </w:rPr>
        <w:t>引起的问题由</w:t>
      </w:r>
      <w:r>
        <w:rPr>
          <w:color w:val="auto"/>
          <w:szCs w:val="21"/>
          <w:u w:val="single"/>
        </w:rPr>
        <w:t xml:space="preserve">          </w:t>
      </w:r>
      <w:r>
        <w:rPr>
          <w:color w:val="auto"/>
          <w:szCs w:val="21"/>
        </w:rPr>
        <w:t>（协办方）负责，联合体双方的责任、权利和义务的详细内容和规定在中标后经双方协商后报招标人同意另行签署协议或者合同。</w:t>
      </w:r>
    </w:p>
    <w:p>
      <w:pPr>
        <w:spacing w:line="360" w:lineRule="auto"/>
        <w:ind w:firstLine="420" w:firstLineChars="200"/>
        <w:rPr>
          <w:color w:val="auto"/>
          <w:szCs w:val="21"/>
        </w:rPr>
      </w:pPr>
      <w:r>
        <w:rPr>
          <w:color w:val="auto"/>
          <w:szCs w:val="21"/>
        </w:rPr>
        <w:t>六、联合体各方不得再以自己的名义在本项目中单独投标</w:t>
      </w:r>
      <w:r>
        <w:rPr>
          <w:color w:val="auto"/>
          <w:szCs w:val="21"/>
          <w:lang w:bidi="ar"/>
        </w:rPr>
        <w:t>。</w:t>
      </w:r>
    </w:p>
    <w:p>
      <w:pPr>
        <w:spacing w:line="360" w:lineRule="auto"/>
        <w:ind w:firstLine="420" w:firstLineChars="200"/>
        <w:rPr>
          <w:color w:val="auto"/>
          <w:szCs w:val="21"/>
        </w:rPr>
      </w:pPr>
    </w:p>
    <w:p>
      <w:pPr>
        <w:topLinePunct/>
        <w:spacing w:line="360" w:lineRule="auto"/>
        <w:ind w:firstLine="420" w:firstLineChars="200"/>
        <w:rPr>
          <w:color w:val="auto"/>
          <w:szCs w:val="21"/>
        </w:rPr>
      </w:pPr>
      <w:r>
        <w:rPr>
          <w:color w:val="auto"/>
          <w:szCs w:val="21"/>
          <w:lang w:bidi="ar"/>
        </w:rPr>
        <w:t>牵头单位名称：</w:t>
      </w:r>
      <w:r>
        <w:rPr>
          <w:color w:val="auto"/>
          <w:szCs w:val="21"/>
          <w:u w:val="single"/>
          <w:lang w:bidi="ar"/>
        </w:rPr>
        <w:t xml:space="preserve">                                 </w:t>
      </w:r>
      <w:r>
        <w:rPr>
          <w:color w:val="auto"/>
          <w:szCs w:val="21"/>
        </w:rPr>
        <w:t>（盖公章）</w:t>
      </w:r>
    </w:p>
    <w:p>
      <w:pPr>
        <w:topLinePunct/>
        <w:spacing w:line="360" w:lineRule="auto"/>
        <w:ind w:firstLine="420" w:firstLineChars="200"/>
        <w:rPr>
          <w:color w:val="auto"/>
          <w:szCs w:val="21"/>
        </w:rPr>
      </w:pPr>
      <w:r>
        <w:rPr>
          <w:color w:val="auto"/>
          <w:szCs w:val="21"/>
          <w:lang w:bidi="ar"/>
        </w:rPr>
        <w:t>法定代表人：</w:t>
      </w:r>
      <w:r>
        <w:rPr>
          <w:color w:val="auto"/>
          <w:szCs w:val="21"/>
          <w:u w:val="single"/>
          <w:lang w:bidi="ar"/>
        </w:rPr>
        <w:t xml:space="preserve">                        </w:t>
      </w:r>
      <w:r>
        <w:rPr>
          <w:color w:val="auto"/>
          <w:szCs w:val="21"/>
          <w:lang w:bidi="ar"/>
        </w:rPr>
        <w:t>（签字或盖章）</w:t>
      </w:r>
    </w:p>
    <w:p>
      <w:pPr>
        <w:topLinePunct/>
        <w:spacing w:line="360" w:lineRule="auto"/>
        <w:ind w:firstLine="420" w:firstLineChars="200"/>
        <w:rPr>
          <w:color w:val="auto"/>
          <w:szCs w:val="21"/>
        </w:rPr>
      </w:pPr>
    </w:p>
    <w:p>
      <w:pPr>
        <w:topLinePunct/>
        <w:spacing w:line="360" w:lineRule="auto"/>
        <w:ind w:firstLine="420" w:firstLineChars="200"/>
        <w:rPr>
          <w:color w:val="auto"/>
          <w:szCs w:val="21"/>
        </w:rPr>
      </w:pPr>
      <w:r>
        <w:rPr>
          <w:color w:val="auto"/>
          <w:szCs w:val="21"/>
          <w:lang w:bidi="ar"/>
        </w:rPr>
        <w:t>成员单位名称：</w:t>
      </w:r>
      <w:r>
        <w:rPr>
          <w:color w:val="auto"/>
          <w:szCs w:val="21"/>
          <w:u w:val="single"/>
          <w:lang w:bidi="ar"/>
        </w:rPr>
        <w:t xml:space="preserve">                                 </w:t>
      </w:r>
      <w:r>
        <w:rPr>
          <w:color w:val="auto"/>
          <w:szCs w:val="21"/>
        </w:rPr>
        <w:t>（盖公章）</w:t>
      </w:r>
    </w:p>
    <w:p>
      <w:pPr>
        <w:topLinePunct/>
        <w:spacing w:line="360" w:lineRule="auto"/>
        <w:ind w:firstLine="420" w:firstLineChars="200"/>
        <w:rPr>
          <w:color w:val="auto"/>
          <w:szCs w:val="21"/>
        </w:rPr>
      </w:pPr>
      <w:r>
        <w:rPr>
          <w:color w:val="auto"/>
          <w:szCs w:val="21"/>
          <w:lang w:bidi="ar"/>
        </w:rPr>
        <w:t>法定代表人：</w:t>
      </w:r>
      <w:r>
        <w:rPr>
          <w:color w:val="auto"/>
          <w:szCs w:val="21"/>
          <w:u w:val="single"/>
          <w:lang w:bidi="ar"/>
        </w:rPr>
        <w:t xml:space="preserve">                         </w:t>
      </w:r>
      <w:r>
        <w:rPr>
          <w:color w:val="auto"/>
          <w:szCs w:val="21"/>
          <w:lang w:bidi="ar"/>
        </w:rPr>
        <w:t>（签字或盖章）</w:t>
      </w:r>
    </w:p>
    <w:p>
      <w:pPr>
        <w:topLinePunct/>
        <w:spacing w:line="360" w:lineRule="auto"/>
        <w:ind w:firstLine="420" w:firstLineChars="200"/>
        <w:rPr>
          <w:color w:val="auto"/>
          <w:szCs w:val="21"/>
          <w:lang w:bidi="ar"/>
        </w:rPr>
      </w:pPr>
      <w:r>
        <w:rPr>
          <w:color w:val="auto"/>
          <w:szCs w:val="21"/>
          <w:lang w:bidi="ar"/>
        </w:rPr>
        <w:t>.....</w:t>
      </w:r>
    </w:p>
    <w:p>
      <w:pPr>
        <w:topLinePunct/>
        <w:spacing w:line="360" w:lineRule="auto"/>
        <w:ind w:firstLine="420" w:firstLineChars="200"/>
        <w:rPr>
          <w:color w:val="auto"/>
          <w:szCs w:val="21"/>
          <w:lang w:bidi="ar"/>
        </w:rPr>
      </w:pPr>
      <w:r>
        <w:rPr>
          <w:color w:val="auto"/>
          <w:szCs w:val="21"/>
          <w:lang w:bidi="ar"/>
        </w:rPr>
        <w:t>.....</w:t>
      </w:r>
    </w:p>
    <w:p>
      <w:pPr>
        <w:pStyle w:val="17"/>
        <w:ind w:firstLine="210"/>
        <w:rPr>
          <w:rFonts w:ascii="Times New Roman" w:hAnsi="Times New Roman"/>
          <w:color w:val="auto"/>
          <w:szCs w:val="21"/>
          <w:lang w:bidi="ar"/>
        </w:rPr>
      </w:pPr>
    </w:p>
    <w:p>
      <w:pPr>
        <w:widowControl/>
        <w:spacing w:line="360" w:lineRule="auto"/>
        <w:rPr>
          <w:color w:val="auto"/>
          <w:lang w:bidi="ar"/>
        </w:rPr>
      </w:pPr>
    </w:p>
    <w:p>
      <w:pPr>
        <w:widowControl/>
        <w:spacing w:line="360" w:lineRule="auto"/>
        <w:rPr>
          <w:color w:val="auto"/>
        </w:rPr>
      </w:pPr>
      <w:r>
        <w:rPr>
          <w:color w:val="auto"/>
          <w:lang w:bidi="ar"/>
        </w:rPr>
        <w:t>（联合体投标须提供联合体协议书，若非联合体，无需提供）</w:t>
      </w:r>
    </w:p>
    <w:p>
      <w:pPr>
        <w:rPr>
          <w:color w:val="auto"/>
        </w:rPr>
      </w:pPr>
    </w:p>
    <w:p>
      <w:pPr>
        <w:rPr>
          <w:color w:val="auto"/>
        </w:rPr>
      </w:pPr>
    </w:p>
    <w:p>
      <w:pPr>
        <w:pStyle w:val="16"/>
        <w:rPr>
          <w:color w:val="auto"/>
        </w:rPr>
      </w:pPr>
      <w:r>
        <w:rPr>
          <w:color w:val="auto"/>
        </w:rPr>
        <w:br w:type="page"/>
      </w:r>
    </w:p>
    <w:p>
      <w:pPr>
        <w:pStyle w:val="16"/>
        <w:spacing w:line="360" w:lineRule="auto"/>
        <w:jc w:val="left"/>
        <w:rPr>
          <w:b/>
          <w:color w:val="auto"/>
          <w:szCs w:val="21"/>
        </w:rPr>
      </w:pPr>
      <w:r>
        <w:rPr>
          <w:b/>
          <w:color w:val="auto"/>
          <w:szCs w:val="21"/>
        </w:rPr>
        <w:t>格式十</w:t>
      </w:r>
      <w:r>
        <w:rPr>
          <w:rFonts w:hint="eastAsia"/>
          <w:b/>
          <w:color w:val="auto"/>
          <w:szCs w:val="21"/>
        </w:rPr>
        <w:t>五</w:t>
      </w:r>
      <w:r>
        <w:rPr>
          <w:b/>
          <w:color w:val="auto"/>
          <w:szCs w:val="21"/>
        </w:rPr>
        <w:t>：</w:t>
      </w:r>
    </w:p>
    <w:tbl>
      <w:tblPr>
        <w:tblStyle w:val="41"/>
        <w:tblW w:w="5000" w:type="pct"/>
        <w:jc w:val="center"/>
        <w:tblLayout w:type="fixed"/>
        <w:tblCellMar>
          <w:top w:w="0" w:type="dxa"/>
          <w:left w:w="108" w:type="dxa"/>
          <w:bottom w:w="0" w:type="dxa"/>
          <w:right w:w="108" w:type="dxa"/>
        </w:tblCellMar>
      </w:tblPr>
      <w:tblGrid>
        <w:gridCol w:w="960"/>
        <w:gridCol w:w="1275"/>
        <w:gridCol w:w="2122"/>
        <w:gridCol w:w="1283"/>
        <w:gridCol w:w="1410"/>
        <w:gridCol w:w="1466"/>
      </w:tblGrid>
      <w:tr>
        <w:tblPrEx>
          <w:tblCellMar>
            <w:top w:w="0" w:type="dxa"/>
            <w:left w:w="108" w:type="dxa"/>
            <w:bottom w:w="0" w:type="dxa"/>
            <w:right w:w="108" w:type="dxa"/>
          </w:tblCellMar>
        </w:tblPrEx>
        <w:trPr>
          <w:trHeight w:val="398" w:hRule="atLeast"/>
          <w:jc w:val="center"/>
        </w:trPr>
        <w:tc>
          <w:tcPr>
            <w:tcW w:w="5000" w:type="pct"/>
            <w:gridSpan w:val="6"/>
            <w:tcBorders>
              <w:top w:val="nil"/>
              <w:left w:val="nil"/>
              <w:bottom w:val="single" w:color="auto" w:sz="4" w:space="0"/>
              <w:right w:val="nil"/>
            </w:tcBorders>
            <w:noWrap/>
            <w:vAlign w:val="center"/>
          </w:tcPr>
          <w:p>
            <w:pPr>
              <w:pStyle w:val="16"/>
              <w:spacing w:line="360" w:lineRule="auto"/>
              <w:jc w:val="center"/>
              <w:rPr>
                <w:rFonts w:ascii="宋体" w:hAnsi="宋体" w:cs="宋体"/>
                <w:b/>
                <w:bCs/>
                <w:color w:val="auto"/>
                <w:kern w:val="0"/>
                <w:szCs w:val="21"/>
              </w:rPr>
            </w:pPr>
            <w:r>
              <w:rPr>
                <w:rFonts w:hint="eastAsia" w:ascii="宋体" w:hAnsi="宋体" w:cs="宋体"/>
                <w:b/>
                <w:bCs/>
                <w:color w:val="auto"/>
                <w:kern w:val="0"/>
                <w:szCs w:val="21"/>
              </w:rPr>
              <w:t>“一小区一方案”勘察报告（示例）</w:t>
            </w:r>
          </w:p>
        </w:tc>
      </w:tr>
      <w:tr>
        <w:tblPrEx>
          <w:tblCellMar>
            <w:top w:w="0" w:type="dxa"/>
            <w:left w:w="108" w:type="dxa"/>
            <w:bottom w:w="0" w:type="dxa"/>
            <w:right w:w="108" w:type="dxa"/>
          </w:tblCellMar>
        </w:tblPrEx>
        <w:trPr>
          <w:trHeight w:val="579" w:hRule="atLeast"/>
          <w:jc w:val="center"/>
        </w:trPr>
        <w:tc>
          <w:tcPr>
            <w:tcW w:w="563" w:type="pct"/>
            <w:tcBorders>
              <w:top w:val="nil"/>
              <w:left w:val="single" w:color="auto" w:sz="4" w:space="0"/>
              <w:bottom w:val="single" w:color="auto" w:sz="4" w:space="0"/>
              <w:right w:val="single" w:color="auto" w:sz="4" w:space="0"/>
            </w:tcBorders>
            <w:vAlign w:val="center"/>
          </w:tcPr>
          <w:p>
            <w:pPr>
              <w:pStyle w:val="16"/>
              <w:jc w:val="center"/>
              <w:rPr>
                <w:rFonts w:ascii="宋体" w:hAnsi="宋体" w:cs="宋体"/>
                <w:bCs/>
                <w:color w:val="auto"/>
                <w:kern w:val="0"/>
                <w:szCs w:val="21"/>
              </w:rPr>
            </w:pPr>
            <w:r>
              <w:rPr>
                <w:rFonts w:hint="eastAsia" w:ascii="宋体" w:hAnsi="宋体" w:cs="宋体"/>
                <w:bCs/>
                <w:color w:val="auto"/>
                <w:kern w:val="0"/>
                <w:szCs w:val="21"/>
              </w:rPr>
              <w:t>小区名称</w:t>
            </w:r>
          </w:p>
        </w:tc>
        <w:tc>
          <w:tcPr>
            <w:tcW w:w="1995" w:type="pct"/>
            <w:gridSpan w:val="2"/>
            <w:tcBorders>
              <w:top w:val="nil"/>
              <w:left w:val="nil"/>
              <w:bottom w:val="single" w:color="auto" w:sz="4" w:space="0"/>
              <w:right w:val="single" w:color="auto" w:sz="4" w:space="0"/>
            </w:tcBorders>
            <w:vAlign w:val="center"/>
          </w:tcPr>
          <w:p>
            <w:pPr>
              <w:pStyle w:val="16"/>
              <w:rPr>
                <w:rFonts w:ascii="宋体" w:hAnsi="宋体" w:cs="宋体"/>
                <w:bCs/>
                <w:i/>
                <w:color w:val="auto"/>
                <w:kern w:val="0"/>
                <w:szCs w:val="21"/>
              </w:rPr>
            </w:pPr>
          </w:p>
        </w:tc>
        <w:tc>
          <w:tcPr>
            <w:tcW w:w="753" w:type="pct"/>
            <w:tcBorders>
              <w:top w:val="nil"/>
              <w:left w:val="nil"/>
              <w:bottom w:val="single" w:color="auto" w:sz="4" w:space="0"/>
              <w:right w:val="single" w:color="auto" w:sz="4" w:space="0"/>
            </w:tcBorders>
            <w:vAlign w:val="center"/>
          </w:tcPr>
          <w:p>
            <w:pPr>
              <w:pStyle w:val="16"/>
              <w:jc w:val="center"/>
              <w:rPr>
                <w:rFonts w:ascii="宋体" w:hAnsi="宋体" w:cs="宋体"/>
                <w:bCs/>
                <w:color w:val="auto"/>
                <w:kern w:val="0"/>
                <w:szCs w:val="21"/>
              </w:rPr>
            </w:pPr>
            <w:r>
              <w:rPr>
                <w:rFonts w:hint="eastAsia" w:ascii="宋体" w:hAnsi="宋体" w:cs="宋体"/>
                <w:bCs/>
                <w:color w:val="auto"/>
                <w:kern w:val="0"/>
                <w:szCs w:val="21"/>
              </w:rPr>
              <w:t>小区地址</w:t>
            </w:r>
          </w:p>
        </w:tc>
        <w:tc>
          <w:tcPr>
            <w:tcW w:w="1689" w:type="pct"/>
            <w:gridSpan w:val="2"/>
            <w:tcBorders>
              <w:top w:val="nil"/>
              <w:left w:val="nil"/>
              <w:bottom w:val="single" w:color="auto" w:sz="4" w:space="0"/>
              <w:right w:val="single" w:color="auto" w:sz="4" w:space="0"/>
            </w:tcBorders>
            <w:vAlign w:val="center"/>
          </w:tcPr>
          <w:p>
            <w:pPr>
              <w:pStyle w:val="16"/>
              <w:rPr>
                <w:rFonts w:ascii="宋体" w:hAnsi="宋体" w:cs="宋体"/>
                <w:bCs/>
                <w:i/>
                <w:color w:val="auto"/>
                <w:kern w:val="0"/>
                <w:szCs w:val="21"/>
              </w:rPr>
            </w:pPr>
          </w:p>
        </w:tc>
      </w:tr>
      <w:tr>
        <w:tblPrEx>
          <w:tblCellMar>
            <w:top w:w="0" w:type="dxa"/>
            <w:left w:w="108" w:type="dxa"/>
            <w:bottom w:w="0" w:type="dxa"/>
            <w:right w:w="108" w:type="dxa"/>
          </w:tblCellMar>
        </w:tblPrEx>
        <w:trPr>
          <w:trHeight w:val="630" w:hRule="atLeast"/>
          <w:jc w:val="center"/>
        </w:trPr>
        <w:tc>
          <w:tcPr>
            <w:tcW w:w="563" w:type="pct"/>
            <w:tcBorders>
              <w:top w:val="nil"/>
              <w:left w:val="single" w:color="auto" w:sz="4" w:space="0"/>
              <w:bottom w:val="single" w:color="auto" w:sz="4" w:space="0"/>
              <w:right w:val="single" w:color="auto" w:sz="4" w:space="0"/>
            </w:tcBorders>
            <w:vAlign w:val="center"/>
          </w:tcPr>
          <w:p>
            <w:pPr>
              <w:pStyle w:val="16"/>
              <w:jc w:val="center"/>
              <w:rPr>
                <w:rFonts w:ascii="宋体" w:hAnsi="宋体" w:cs="宋体"/>
                <w:bCs/>
                <w:color w:val="auto"/>
                <w:kern w:val="0"/>
                <w:szCs w:val="21"/>
              </w:rPr>
            </w:pPr>
            <w:r>
              <w:rPr>
                <w:rFonts w:hint="eastAsia" w:ascii="宋体" w:hAnsi="宋体" w:cs="宋体"/>
                <w:bCs/>
                <w:color w:val="auto"/>
                <w:kern w:val="0"/>
                <w:szCs w:val="21"/>
              </w:rPr>
              <w:t>所属社区</w:t>
            </w:r>
          </w:p>
        </w:tc>
        <w:tc>
          <w:tcPr>
            <w:tcW w:w="1995" w:type="pct"/>
            <w:gridSpan w:val="2"/>
            <w:tcBorders>
              <w:top w:val="nil"/>
              <w:left w:val="nil"/>
              <w:bottom w:val="single" w:color="auto" w:sz="4" w:space="0"/>
              <w:right w:val="single" w:color="auto" w:sz="4" w:space="0"/>
            </w:tcBorders>
            <w:vAlign w:val="center"/>
          </w:tcPr>
          <w:p>
            <w:pPr>
              <w:pStyle w:val="16"/>
              <w:rPr>
                <w:rFonts w:ascii="宋体" w:hAnsi="宋体" w:cs="宋体"/>
                <w:bCs/>
                <w:color w:val="auto"/>
                <w:kern w:val="0"/>
                <w:szCs w:val="21"/>
              </w:rPr>
            </w:pPr>
          </w:p>
        </w:tc>
        <w:tc>
          <w:tcPr>
            <w:tcW w:w="753" w:type="pct"/>
            <w:tcBorders>
              <w:top w:val="single" w:color="auto" w:sz="4" w:space="0"/>
              <w:left w:val="nil"/>
              <w:bottom w:val="single" w:color="auto" w:sz="4" w:space="0"/>
              <w:right w:val="single" w:color="auto" w:sz="4" w:space="0"/>
            </w:tcBorders>
            <w:vAlign w:val="center"/>
          </w:tcPr>
          <w:p>
            <w:pPr>
              <w:pStyle w:val="16"/>
              <w:jc w:val="center"/>
              <w:rPr>
                <w:rFonts w:ascii="宋体" w:hAnsi="宋体" w:cs="宋体"/>
                <w:bCs/>
                <w:color w:val="auto"/>
                <w:kern w:val="0"/>
                <w:szCs w:val="21"/>
              </w:rPr>
            </w:pPr>
            <w:r>
              <w:rPr>
                <w:rFonts w:hint="eastAsia" w:ascii="宋体" w:hAnsi="宋体" w:cs="宋体"/>
                <w:bCs/>
                <w:color w:val="auto"/>
                <w:kern w:val="0"/>
                <w:szCs w:val="21"/>
              </w:rPr>
              <w:t>所属乡镇</w:t>
            </w:r>
          </w:p>
          <w:p>
            <w:pPr>
              <w:pStyle w:val="16"/>
              <w:jc w:val="center"/>
              <w:rPr>
                <w:rFonts w:ascii="宋体" w:hAnsi="宋体" w:cs="宋体"/>
                <w:bCs/>
                <w:color w:val="auto"/>
                <w:kern w:val="0"/>
                <w:szCs w:val="21"/>
              </w:rPr>
            </w:pPr>
            <w:r>
              <w:rPr>
                <w:rFonts w:hint="eastAsia" w:ascii="宋体" w:hAnsi="宋体" w:cs="宋体"/>
                <w:bCs/>
                <w:color w:val="auto"/>
                <w:kern w:val="0"/>
                <w:szCs w:val="21"/>
              </w:rPr>
              <w:t>（街道）</w:t>
            </w:r>
          </w:p>
        </w:tc>
        <w:tc>
          <w:tcPr>
            <w:tcW w:w="1689" w:type="pct"/>
            <w:gridSpan w:val="2"/>
            <w:tcBorders>
              <w:top w:val="single" w:color="auto" w:sz="4" w:space="0"/>
              <w:left w:val="nil"/>
              <w:bottom w:val="single" w:color="auto" w:sz="4" w:space="0"/>
              <w:right w:val="single" w:color="auto" w:sz="4" w:space="0"/>
            </w:tcBorders>
            <w:vAlign w:val="center"/>
          </w:tcPr>
          <w:p>
            <w:pPr>
              <w:pStyle w:val="16"/>
              <w:rPr>
                <w:rFonts w:ascii="宋体" w:hAnsi="宋体" w:cs="宋体"/>
                <w:bCs/>
                <w:i/>
                <w:color w:val="auto"/>
                <w:kern w:val="0"/>
                <w:szCs w:val="21"/>
              </w:rPr>
            </w:pPr>
          </w:p>
        </w:tc>
      </w:tr>
      <w:tr>
        <w:tblPrEx>
          <w:tblCellMar>
            <w:top w:w="0" w:type="dxa"/>
            <w:left w:w="108" w:type="dxa"/>
            <w:bottom w:w="0" w:type="dxa"/>
            <w:right w:w="108" w:type="dxa"/>
          </w:tblCellMar>
        </w:tblPrEx>
        <w:trPr>
          <w:trHeight w:val="630" w:hRule="atLeast"/>
          <w:jc w:val="center"/>
        </w:trPr>
        <w:tc>
          <w:tcPr>
            <w:tcW w:w="563" w:type="pct"/>
            <w:tcBorders>
              <w:top w:val="nil"/>
              <w:left w:val="single" w:color="auto" w:sz="4" w:space="0"/>
              <w:bottom w:val="single" w:color="auto" w:sz="4" w:space="0"/>
              <w:right w:val="single" w:color="auto" w:sz="4" w:space="0"/>
            </w:tcBorders>
            <w:vAlign w:val="center"/>
          </w:tcPr>
          <w:p>
            <w:pPr>
              <w:pStyle w:val="16"/>
              <w:jc w:val="center"/>
              <w:rPr>
                <w:rFonts w:ascii="宋体" w:hAnsi="宋体" w:cs="宋体"/>
                <w:bCs/>
                <w:color w:val="auto"/>
                <w:kern w:val="0"/>
                <w:szCs w:val="21"/>
              </w:rPr>
            </w:pPr>
            <w:r>
              <w:rPr>
                <w:rFonts w:hint="eastAsia" w:ascii="宋体" w:hAnsi="宋体" w:cs="宋体"/>
                <w:bCs/>
                <w:color w:val="auto"/>
                <w:kern w:val="0"/>
                <w:szCs w:val="21"/>
              </w:rPr>
              <w:t>小区类型</w:t>
            </w:r>
          </w:p>
        </w:tc>
        <w:tc>
          <w:tcPr>
            <w:tcW w:w="4437" w:type="pct"/>
            <w:gridSpan w:val="5"/>
            <w:tcBorders>
              <w:top w:val="nil"/>
              <w:left w:val="nil"/>
              <w:bottom w:val="single" w:color="auto" w:sz="4" w:space="0"/>
              <w:right w:val="single" w:color="auto" w:sz="4" w:space="0"/>
            </w:tcBorders>
            <w:vAlign w:val="center"/>
          </w:tcPr>
          <w:p>
            <w:pPr>
              <w:pStyle w:val="16"/>
              <w:rPr>
                <w:rFonts w:ascii="宋体" w:hAnsi="宋体" w:cs="宋体"/>
                <w:bCs/>
                <w:i/>
                <w:color w:val="auto"/>
                <w:kern w:val="0"/>
                <w:szCs w:val="21"/>
              </w:rPr>
            </w:pPr>
          </w:p>
        </w:tc>
      </w:tr>
      <w:tr>
        <w:tblPrEx>
          <w:tblCellMar>
            <w:top w:w="0" w:type="dxa"/>
            <w:left w:w="108" w:type="dxa"/>
            <w:bottom w:w="0" w:type="dxa"/>
            <w:right w:w="108" w:type="dxa"/>
          </w:tblCellMar>
        </w:tblPrEx>
        <w:trPr>
          <w:trHeight w:val="630" w:hRule="atLeast"/>
          <w:jc w:val="center"/>
        </w:trPr>
        <w:tc>
          <w:tcPr>
            <w:tcW w:w="563" w:type="pct"/>
            <w:tcBorders>
              <w:top w:val="nil"/>
              <w:left w:val="single" w:color="auto" w:sz="4" w:space="0"/>
              <w:bottom w:val="single" w:color="auto" w:sz="4" w:space="0"/>
              <w:right w:val="single" w:color="auto" w:sz="4" w:space="0"/>
            </w:tcBorders>
            <w:vAlign w:val="center"/>
          </w:tcPr>
          <w:p>
            <w:pPr>
              <w:pStyle w:val="16"/>
              <w:jc w:val="center"/>
              <w:rPr>
                <w:rFonts w:ascii="宋体" w:hAnsi="宋体" w:cs="宋体"/>
                <w:bCs/>
                <w:color w:val="auto"/>
                <w:kern w:val="0"/>
                <w:szCs w:val="21"/>
              </w:rPr>
            </w:pPr>
            <w:r>
              <w:rPr>
                <w:rFonts w:hint="eastAsia" w:ascii="宋体" w:hAnsi="宋体" w:cs="宋体"/>
                <w:bCs/>
                <w:color w:val="auto"/>
                <w:kern w:val="0"/>
                <w:szCs w:val="21"/>
              </w:rPr>
              <w:t>物业公司</w:t>
            </w:r>
          </w:p>
        </w:tc>
        <w:tc>
          <w:tcPr>
            <w:tcW w:w="749" w:type="pct"/>
            <w:tcBorders>
              <w:top w:val="nil"/>
              <w:left w:val="nil"/>
              <w:bottom w:val="single" w:color="auto" w:sz="4" w:space="0"/>
              <w:right w:val="single" w:color="auto" w:sz="4" w:space="0"/>
            </w:tcBorders>
            <w:vAlign w:val="center"/>
          </w:tcPr>
          <w:p>
            <w:pPr>
              <w:pStyle w:val="16"/>
              <w:jc w:val="center"/>
              <w:rPr>
                <w:rFonts w:ascii="宋体" w:hAnsi="宋体" w:cs="宋体"/>
                <w:bCs/>
                <w:i/>
                <w:color w:val="auto"/>
                <w:kern w:val="0"/>
                <w:szCs w:val="21"/>
              </w:rPr>
            </w:pPr>
          </w:p>
        </w:tc>
        <w:tc>
          <w:tcPr>
            <w:tcW w:w="1246" w:type="pct"/>
            <w:tcBorders>
              <w:top w:val="nil"/>
              <w:left w:val="nil"/>
              <w:bottom w:val="single" w:color="auto" w:sz="4" w:space="0"/>
              <w:right w:val="single" w:color="auto" w:sz="4" w:space="0"/>
            </w:tcBorders>
            <w:vAlign w:val="center"/>
          </w:tcPr>
          <w:p>
            <w:pPr>
              <w:pStyle w:val="16"/>
              <w:jc w:val="center"/>
              <w:rPr>
                <w:rFonts w:ascii="宋体" w:hAnsi="宋体" w:cs="宋体"/>
                <w:bCs/>
                <w:color w:val="auto"/>
                <w:kern w:val="0"/>
                <w:szCs w:val="21"/>
              </w:rPr>
            </w:pPr>
            <w:r>
              <w:rPr>
                <w:rFonts w:hint="eastAsia" w:ascii="宋体" w:hAnsi="宋体" w:cs="宋体"/>
                <w:bCs/>
                <w:color w:val="auto"/>
                <w:kern w:val="0"/>
                <w:szCs w:val="21"/>
              </w:rPr>
              <w:t>物业平台</w:t>
            </w:r>
          </w:p>
        </w:tc>
        <w:tc>
          <w:tcPr>
            <w:tcW w:w="753" w:type="pct"/>
            <w:tcBorders>
              <w:top w:val="nil"/>
              <w:left w:val="nil"/>
              <w:bottom w:val="single" w:color="auto" w:sz="4" w:space="0"/>
              <w:right w:val="single" w:color="auto" w:sz="4" w:space="0"/>
            </w:tcBorders>
            <w:vAlign w:val="center"/>
          </w:tcPr>
          <w:p>
            <w:pPr>
              <w:pStyle w:val="16"/>
              <w:jc w:val="center"/>
              <w:rPr>
                <w:rFonts w:ascii="宋体" w:hAnsi="宋体" w:cs="宋体"/>
                <w:bCs/>
                <w:i/>
                <w:color w:val="auto"/>
                <w:kern w:val="0"/>
                <w:szCs w:val="21"/>
              </w:rPr>
            </w:pPr>
          </w:p>
        </w:tc>
        <w:tc>
          <w:tcPr>
            <w:tcW w:w="828" w:type="pct"/>
            <w:tcBorders>
              <w:top w:val="nil"/>
              <w:left w:val="nil"/>
              <w:bottom w:val="single" w:color="auto" w:sz="4" w:space="0"/>
              <w:right w:val="single" w:color="auto" w:sz="4" w:space="0"/>
            </w:tcBorders>
            <w:vAlign w:val="center"/>
          </w:tcPr>
          <w:p>
            <w:pPr>
              <w:pStyle w:val="16"/>
              <w:jc w:val="center"/>
              <w:rPr>
                <w:rFonts w:ascii="宋体" w:hAnsi="宋体" w:cs="宋体"/>
                <w:bCs/>
                <w:color w:val="auto"/>
                <w:kern w:val="0"/>
                <w:szCs w:val="21"/>
              </w:rPr>
            </w:pPr>
            <w:r>
              <w:rPr>
                <w:rFonts w:hint="eastAsia" w:ascii="宋体" w:hAnsi="宋体" w:cs="宋体"/>
                <w:bCs/>
                <w:color w:val="auto"/>
                <w:kern w:val="0"/>
                <w:szCs w:val="21"/>
              </w:rPr>
              <w:t>监控室</w:t>
            </w:r>
          </w:p>
        </w:tc>
        <w:tc>
          <w:tcPr>
            <w:tcW w:w="861" w:type="pct"/>
            <w:tcBorders>
              <w:top w:val="nil"/>
              <w:left w:val="nil"/>
              <w:bottom w:val="single" w:color="auto" w:sz="4" w:space="0"/>
              <w:right w:val="single" w:color="auto" w:sz="4" w:space="0"/>
            </w:tcBorders>
            <w:vAlign w:val="center"/>
          </w:tcPr>
          <w:p>
            <w:pPr>
              <w:pStyle w:val="16"/>
              <w:jc w:val="center"/>
              <w:rPr>
                <w:rFonts w:ascii="宋体" w:hAnsi="宋体" w:cs="宋体"/>
                <w:bCs/>
                <w:i/>
                <w:color w:val="auto"/>
                <w:kern w:val="0"/>
                <w:szCs w:val="21"/>
              </w:rPr>
            </w:pPr>
          </w:p>
        </w:tc>
      </w:tr>
      <w:tr>
        <w:tblPrEx>
          <w:tblCellMar>
            <w:top w:w="0" w:type="dxa"/>
            <w:left w:w="108" w:type="dxa"/>
            <w:bottom w:w="0" w:type="dxa"/>
            <w:right w:w="108" w:type="dxa"/>
          </w:tblCellMar>
        </w:tblPrEx>
        <w:trPr>
          <w:trHeight w:val="345" w:hRule="atLeast"/>
          <w:jc w:val="center"/>
        </w:trPr>
        <w:tc>
          <w:tcPr>
            <w:tcW w:w="563" w:type="pct"/>
            <w:tcBorders>
              <w:top w:val="nil"/>
              <w:left w:val="single" w:color="auto" w:sz="4" w:space="0"/>
              <w:bottom w:val="single" w:color="auto" w:sz="4" w:space="0"/>
              <w:right w:val="single" w:color="auto" w:sz="4" w:space="0"/>
            </w:tcBorders>
            <w:vAlign w:val="center"/>
          </w:tcPr>
          <w:p>
            <w:pPr>
              <w:pStyle w:val="16"/>
              <w:jc w:val="center"/>
              <w:rPr>
                <w:rFonts w:ascii="宋体" w:hAnsi="宋体" w:cs="宋体"/>
                <w:bCs/>
                <w:color w:val="auto"/>
                <w:kern w:val="0"/>
                <w:szCs w:val="21"/>
              </w:rPr>
            </w:pPr>
            <w:r>
              <w:rPr>
                <w:rFonts w:hint="eastAsia" w:ascii="宋体" w:hAnsi="宋体" w:cs="宋体"/>
                <w:bCs/>
                <w:color w:val="auto"/>
                <w:kern w:val="0"/>
                <w:szCs w:val="21"/>
              </w:rPr>
              <w:t>楼栋数</w:t>
            </w:r>
          </w:p>
        </w:tc>
        <w:tc>
          <w:tcPr>
            <w:tcW w:w="749" w:type="pct"/>
            <w:tcBorders>
              <w:top w:val="nil"/>
              <w:left w:val="nil"/>
              <w:bottom w:val="single" w:color="auto" w:sz="4" w:space="0"/>
              <w:right w:val="single" w:color="auto" w:sz="4" w:space="0"/>
            </w:tcBorders>
            <w:vAlign w:val="center"/>
          </w:tcPr>
          <w:p>
            <w:pPr>
              <w:pStyle w:val="16"/>
              <w:jc w:val="center"/>
              <w:rPr>
                <w:rFonts w:ascii="宋体" w:hAnsi="宋体" w:cs="宋体"/>
                <w:bCs/>
                <w:i/>
                <w:color w:val="auto"/>
                <w:kern w:val="0"/>
                <w:szCs w:val="21"/>
              </w:rPr>
            </w:pPr>
          </w:p>
        </w:tc>
        <w:tc>
          <w:tcPr>
            <w:tcW w:w="1246" w:type="pct"/>
            <w:tcBorders>
              <w:top w:val="nil"/>
              <w:left w:val="nil"/>
              <w:bottom w:val="single" w:color="auto" w:sz="4" w:space="0"/>
              <w:right w:val="single" w:color="auto" w:sz="4" w:space="0"/>
            </w:tcBorders>
            <w:vAlign w:val="center"/>
          </w:tcPr>
          <w:p>
            <w:pPr>
              <w:pStyle w:val="16"/>
              <w:jc w:val="center"/>
              <w:rPr>
                <w:rFonts w:ascii="宋体" w:hAnsi="宋体" w:cs="宋体"/>
                <w:bCs/>
                <w:color w:val="auto"/>
                <w:kern w:val="0"/>
                <w:szCs w:val="21"/>
              </w:rPr>
            </w:pPr>
            <w:r>
              <w:rPr>
                <w:rFonts w:hint="eastAsia" w:ascii="宋体" w:hAnsi="宋体" w:cs="宋体"/>
                <w:bCs/>
                <w:color w:val="auto"/>
                <w:kern w:val="0"/>
                <w:szCs w:val="21"/>
              </w:rPr>
              <w:t>单元数</w:t>
            </w:r>
          </w:p>
        </w:tc>
        <w:tc>
          <w:tcPr>
            <w:tcW w:w="753" w:type="pct"/>
            <w:tcBorders>
              <w:top w:val="nil"/>
              <w:left w:val="nil"/>
              <w:bottom w:val="single" w:color="auto" w:sz="4" w:space="0"/>
              <w:right w:val="single" w:color="auto" w:sz="4" w:space="0"/>
            </w:tcBorders>
            <w:vAlign w:val="center"/>
          </w:tcPr>
          <w:p>
            <w:pPr>
              <w:pStyle w:val="16"/>
              <w:jc w:val="center"/>
              <w:rPr>
                <w:rFonts w:ascii="宋体" w:hAnsi="宋体" w:cs="宋体"/>
                <w:bCs/>
                <w:i/>
                <w:color w:val="auto"/>
                <w:kern w:val="0"/>
                <w:szCs w:val="21"/>
              </w:rPr>
            </w:pPr>
          </w:p>
        </w:tc>
        <w:tc>
          <w:tcPr>
            <w:tcW w:w="828" w:type="pct"/>
            <w:tcBorders>
              <w:top w:val="nil"/>
              <w:left w:val="nil"/>
              <w:bottom w:val="single" w:color="auto" w:sz="4" w:space="0"/>
              <w:right w:val="single" w:color="auto" w:sz="4" w:space="0"/>
            </w:tcBorders>
            <w:vAlign w:val="center"/>
          </w:tcPr>
          <w:p>
            <w:pPr>
              <w:pStyle w:val="16"/>
              <w:jc w:val="center"/>
              <w:rPr>
                <w:rFonts w:ascii="宋体" w:hAnsi="宋体" w:cs="宋体"/>
                <w:bCs/>
                <w:color w:val="auto"/>
                <w:kern w:val="0"/>
                <w:szCs w:val="21"/>
              </w:rPr>
            </w:pPr>
            <w:r>
              <w:rPr>
                <w:rFonts w:hint="eastAsia" w:ascii="宋体" w:hAnsi="宋体" w:cs="宋体"/>
                <w:bCs/>
                <w:color w:val="auto"/>
                <w:kern w:val="0"/>
                <w:szCs w:val="21"/>
              </w:rPr>
              <w:t>小区人口数</w:t>
            </w:r>
          </w:p>
        </w:tc>
        <w:tc>
          <w:tcPr>
            <w:tcW w:w="861" w:type="pct"/>
            <w:tcBorders>
              <w:top w:val="nil"/>
              <w:left w:val="nil"/>
              <w:bottom w:val="single" w:color="auto" w:sz="4" w:space="0"/>
              <w:right w:val="single" w:color="auto" w:sz="4" w:space="0"/>
            </w:tcBorders>
            <w:vAlign w:val="center"/>
          </w:tcPr>
          <w:p>
            <w:pPr>
              <w:pStyle w:val="16"/>
              <w:jc w:val="center"/>
              <w:rPr>
                <w:rFonts w:ascii="宋体" w:hAnsi="宋体" w:cs="宋体"/>
                <w:bCs/>
                <w:i/>
                <w:color w:val="auto"/>
                <w:kern w:val="0"/>
                <w:szCs w:val="21"/>
              </w:rPr>
            </w:pPr>
          </w:p>
        </w:tc>
      </w:tr>
      <w:tr>
        <w:tblPrEx>
          <w:tblCellMar>
            <w:top w:w="0" w:type="dxa"/>
            <w:left w:w="108" w:type="dxa"/>
            <w:bottom w:w="0" w:type="dxa"/>
            <w:right w:w="108" w:type="dxa"/>
          </w:tblCellMar>
        </w:tblPrEx>
        <w:trPr>
          <w:trHeight w:val="717" w:hRule="atLeast"/>
          <w:jc w:val="center"/>
        </w:trPr>
        <w:tc>
          <w:tcPr>
            <w:tcW w:w="563" w:type="pct"/>
            <w:tcBorders>
              <w:top w:val="nil"/>
              <w:left w:val="single" w:color="auto" w:sz="4" w:space="0"/>
              <w:bottom w:val="single" w:color="auto" w:sz="4" w:space="0"/>
              <w:right w:val="single" w:color="auto" w:sz="4" w:space="0"/>
            </w:tcBorders>
            <w:vAlign w:val="center"/>
          </w:tcPr>
          <w:p>
            <w:pPr>
              <w:pStyle w:val="16"/>
              <w:jc w:val="center"/>
              <w:rPr>
                <w:rFonts w:ascii="宋体" w:hAnsi="宋体" w:cs="宋体"/>
                <w:bCs/>
                <w:color w:val="auto"/>
                <w:kern w:val="0"/>
                <w:szCs w:val="21"/>
              </w:rPr>
            </w:pPr>
            <w:r>
              <w:rPr>
                <w:rFonts w:hint="eastAsia" w:ascii="宋体" w:hAnsi="宋体" w:cs="宋体"/>
                <w:bCs/>
                <w:color w:val="auto"/>
                <w:kern w:val="0"/>
                <w:szCs w:val="21"/>
              </w:rPr>
              <w:t>人员</w:t>
            </w:r>
          </w:p>
          <w:p>
            <w:pPr>
              <w:pStyle w:val="16"/>
              <w:jc w:val="center"/>
              <w:rPr>
                <w:rFonts w:ascii="宋体" w:hAnsi="宋体" w:cs="宋体"/>
                <w:bCs/>
                <w:color w:val="auto"/>
                <w:kern w:val="0"/>
                <w:szCs w:val="21"/>
              </w:rPr>
            </w:pPr>
            <w:r>
              <w:rPr>
                <w:rFonts w:hint="eastAsia" w:ascii="宋体" w:hAnsi="宋体" w:cs="宋体"/>
                <w:bCs/>
                <w:color w:val="auto"/>
                <w:kern w:val="0"/>
                <w:szCs w:val="21"/>
              </w:rPr>
              <w:t>出入口</w:t>
            </w:r>
          </w:p>
        </w:tc>
        <w:tc>
          <w:tcPr>
            <w:tcW w:w="749" w:type="pct"/>
            <w:tcBorders>
              <w:top w:val="nil"/>
              <w:left w:val="nil"/>
              <w:bottom w:val="single" w:color="auto" w:sz="4" w:space="0"/>
              <w:right w:val="single" w:color="auto" w:sz="4" w:space="0"/>
            </w:tcBorders>
            <w:vAlign w:val="center"/>
          </w:tcPr>
          <w:p>
            <w:pPr>
              <w:pStyle w:val="16"/>
              <w:jc w:val="center"/>
              <w:rPr>
                <w:rFonts w:ascii="宋体" w:hAnsi="宋体" w:cs="宋体"/>
                <w:bCs/>
                <w:i/>
                <w:color w:val="auto"/>
                <w:kern w:val="0"/>
                <w:szCs w:val="21"/>
              </w:rPr>
            </w:pPr>
          </w:p>
        </w:tc>
        <w:tc>
          <w:tcPr>
            <w:tcW w:w="1246" w:type="pct"/>
            <w:tcBorders>
              <w:top w:val="nil"/>
              <w:left w:val="nil"/>
              <w:bottom w:val="single" w:color="auto" w:sz="4" w:space="0"/>
              <w:right w:val="single" w:color="auto" w:sz="4" w:space="0"/>
            </w:tcBorders>
            <w:vAlign w:val="center"/>
          </w:tcPr>
          <w:p>
            <w:pPr>
              <w:pStyle w:val="16"/>
              <w:jc w:val="center"/>
              <w:rPr>
                <w:rFonts w:ascii="宋体" w:hAnsi="宋体" w:cs="宋体"/>
                <w:bCs/>
                <w:color w:val="auto"/>
                <w:kern w:val="0"/>
                <w:szCs w:val="21"/>
              </w:rPr>
            </w:pPr>
            <w:r>
              <w:rPr>
                <w:rFonts w:hint="eastAsia" w:ascii="宋体" w:hAnsi="宋体" w:cs="宋体"/>
                <w:bCs/>
                <w:color w:val="auto"/>
                <w:kern w:val="0"/>
                <w:szCs w:val="21"/>
              </w:rPr>
              <w:t>行人道闸</w:t>
            </w:r>
          </w:p>
        </w:tc>
        <w:tc>
          <w:tcPr>
            <w:tcW w:w="753" w:type="pct"/>
            <w:tcBorders>
              <w:top w:val="nil"/>
              <w:left w:val="nil"/>
              <w:bottom w:val="single" w:color="auto" w:sz="4" w:space="0"/>
              <w:right w:val="single" w:color="auto" w:sz="4" w:space="0"/>
            </w:tcBorders>
            <w:vAlign w:val="center"/>
          </w:tcPr>
          <w:p>
            <w:pPr>
              <w:pStyle w:val="16"/>
              <w:jc w:val="center"/>
              <w:rPr>
                <w:rFonts w:ascii="宋体" w:hAnsi="宋体" w:cs="宋体"/>
                <w:bCs/>
                <w:i/>
                <w:color w:val="auto"/>
                <w:kern w:val="0"/>
                <w:szCs w:val="21"/>
              </w:rPr>
            </w:pPr>
          </w:p>
        </w:tc>
        <w:tc>
          <w:tcPr>
            <w:tcW w:w="828" w:type="pct"/>
            <w:tcBorders>
              <w:top w:val="nil"/>
              <w:left w:val="nil"/>
              <w:bottom w:val="single" w:color="auto" w:sz="4" w:space="0"/>
              <w:right w:val="single" w:color="auto" w:sz="4" w:space="0"/>
            </w:tcBorders>
            <w:vAlign w:val="center"/>
          </w:tcPr>
          <w:p>
            <w:pPr>
              <w:pStyle w:val="16"/>
              <w:jc w:val="center"/>
              <w:rPr>
                <w:rFonts w:ascii="宋体" w:hAnsi="宋体" w:cs="宋体"/>
                <w:bCs/>
                <w:color w:val="auto"/>
                <w:kern w:val="0"/>
                <w:szCs w:val="21"/>
              </w:rPr>
            </w:pPr>
            <w:r>
              <w:rPr>
                <w:rFonts w:hint="eastAsia" w:ascii="宋体" w:hAnsi="宋体" w:cs="宋体"/>
                <w:bCs/>
                <w:color w:val="auto"/>
                <w:kern w:val="0"/>
                <w:szCs w:val="21"/>
              </w:rPr>
              <w:t>是否有访客</w:t>
            </w:r>
          </w:p>
        </w:tc>
        <w:tc>
          <w:tcPr>
            <w:tcW w:w="861" w:type="pct"/>
            <w:tcBorders>
              <w:top w:val="nil"/>
              <w:left w:val="nil"/>
              <w:bottom w:val="single" w:color="auto" w:sz="4" w:space="0"/>
              <w:right w:val="single" w:color="auto" w:sz="4" w:space="0"/>
            </w:tcBorders>
            <w:vAlign w:val="center"/>
          </w:tcPr>
          <w:p>
            <w:pPr>
              <w:pStyle w:val="16"/>
              <w:jc w:val="center"/>
              <w:rPr>
                <w:rFonts w:ascii="宋体" w:hAnsi="宋体" w:cs="宋体"/>
                <w:bCs/>
                <w:i/>
                <w:color w:val="auto"/>
                <w:kern w:val="0"/>
                <w:szCs w:val="21"/>
              </w:rPr>
            </w:pPr>
          </w:p>
        </w:tc>
      </w:tr>
      <w:tr>
        <w:tblPrEx>
          <w:tblCellMar>
            <w:top w:w="0" w:type="dxa"/>
            <w:left w:w="108" w:type="dxa"/>
            <w:bottom w:w="0" w:type="dxa"/>
            <w:right w:w="108" w:type="dxa"/>
          </w:tblCellMar>
        </w:tblPrEx>
        <w:trPr>
          <w:trHeight w:val="548" w:hRule="atLeast"/>
          <w:jc w:val="center"/>
        </w:trPr>
        <w:tc>
          <w:tcPr>
            <w:tcW w:w="563" w:type="pct"/>
            <w:tcBorders>
              <w:top w:val="nil"/>
              <w:left w:val="single" w:color="auto" w:sz="4" w:space="0"/>
              <w:bottom w:val="single" w:color="auto" w:sz="4" w:space="0"/>
              <w:right w:val="single" w:color="auto" w:sz="4" w:space="0"/>
            </w:tcBorders>
            <w:vAlign w:val="center"/>
          </w:tcPr>
          <w:p>
            <w:pPr>
              <w:pStyle w:val="16"/>
              <w:jc w:val="center"/>
              <w:rPr>
                <w:rFonts w:ascii="宋体" w:hAnsi="宋体" w:cs="宋体"/>
                <w:bCs/>
                <w:color w:val="auto"/>
                <w:kern w:val="0"/>
                <w:szCs w:val="21"/>
              </w:rPr>
            </w:pPr>
            <w:r>
              <w:rPr>
                <w:rFonts w:hint="eastAsia" w:ascii="宋体" w:hAnsi="宋体" w:cs="宋体"/>
                <w:bCs/>
                <w:color w:val="auto"/>
                <w:kern w:val="0"/>
                <w:szCs w:val="21"/>
              </w:rPr>
              <w:t>机动车</w:t>
            </w:r>
          </w:p>
          <w:p>
            <w:pPr>
              <w:pStyle w:val="16"/>
              <w:jc w:val="center"/>
              <w:rPr>
                <w:rFonts w:ascii="宋体" w:hAnsi="宋体" w:cs="宋体"/>
                <w:bCs/>
                <w:color w:val="auto"/>
                <w:kern w:val="0"/>
                <w:szCs w:val="21"/>
              </w:rPr>
            </w:pPr>
            <w:r>
              <w:rPr>
                <w:rFonts w:hint="eastAsia" w:ascii="宋体" w:hAnsi="宋体" w:cs="宋体"/>
                <w:bCs/>
                <w:color w:val="auto"/>
                <w:kern w:val="0"/>
                <w:szCs w:val="21"/>
              </w:rPr>
              <w:t>出入口</w:t>
            </w:r>
          </w:p>
        </w:tc>
        <w:tc>
          <w:tcPr>
            <w:tcW w:w="749" w:type="pct"/>
            <w:tcBorders>
              <w:top w:val="nil"/>
              <w:left w:val="nil"/>
              <w:bottom w:val="single" w:color="auto" w:sz="4" w:space="0"/>
              <w:right w:val="single" w:color="auto" w:sz="4" w:space="0"/>
            </w:tcBorders>
            <w:vAlign w:val="center"/>
          </w:tcPr>
          <w:p>
            <w:pPr>
              <w:pStyle w:val="16"/>
              <w:jc w:val="center"/>
              <w:rPr>
                <w:rFonts w:ascii="宋体" w:hAnsi="宋体" w:cs="宋体"/>
                <w:bCs/>
                <w:i/>
                <w:color w:val="auto"/>
                <w:kern w:val="0"/>
                <w:szCs w:val="21"/>
              </w:rPr>
            </w:pPr>
          </w:p>
        </w:tc>
        <w:tc>
          <w:tcPr>
            <w:tcW w:w="1246" w:type="pct"/>
            <w:tcBorders>
              <w:top w:val="nil"/>
              <w:left w:val="nil"/>
              <w:bottom w:val="single" w:color="auto" w:sz="4" w:space="0"/>
              <w:right w:val="single" w:color="auto" w:sz="4" w:space="0"/>
            </w:tcBorders>
            <w:vAlign w:val="center"/>
          </w:tcPr>
          <w:p>
            <w:pPr>
              <w:pStyle w:val="16"/>
              <w:jc w:val="center"/>
              <w:rPr>
                <w:rFonts w:ascii="宋体" w:hAnsi="宋体" w:cs="宋体"/>
                <w:bCs/>
                <w:color w:val="auto"/>
                <w:kern w:val="0"/>
                <w:szCs w:val="21"/>
              </w:rPr>
            </w:pPr>
            <w:r>
              <w:rPr>
                <w:rFonts w:hint="eastAsia" w:ascii="宋体" w:hAnsi="宋体" w:cs="宋体"/>
                <w:bCs/>
                <w:color w:val="auto"/>
                <w:kern w:val="0"/>
                <w:szCs w:val="21"/>
              </w:rPr>
              <w:t>是否安装道闸</w:t>
            </w:r>
          </w:p>
        </w:tc>
        <w:tc>
          <w:tcPr>
            <w:tcW w:w="753" w:type="pct"/>
            <w:tcBorders>
              <w:top w:val="nil"/>
              <w:left w:val="nil"/>
              <w:bottom w:val="single" w:color="auto" w:sz="4" w:space="0"/>
              <w:right w:val="single" w:color="auto" w:sz="4" w:space="0"/>
            </w:tcBorders>
            <w:vAlign w:val="center"/>
          </w:tcPr>
          <w:p>
            <w:pPr>
              <w:pStyle w:val="16"/>
              <w:jc w:val="center"/>
              <w:rPr>
                <w:rFonts w:ascii="宋体" w:hAnsi="宋体" w:cs="宋体"/>
                <w:bCs/>
                <w:i/>
                <w:color w:val="auto"/>
                <w:kern w:val="0"/>
                <w:szCs w:val="21"/>
              </w:rPr>
            </w:pPr>
          </w:p>
        </w:tc>
        <w:tc>
          <w:tcPr>
            <w:tcW w:w="828" w:type="pct"/>
            <w:tcBorders>
              <w:top w:val="nil"/>
              <w:left w:val="nil"/>
              <w:bottom w:val="single" w:color="auto" w:sz="4" w:space="0"/>
              <w:right w:val="single" w:color="auto" w:sz="4" w:space="0"/>
            </w:tcBorders>
            <w:vAlign w:val="center"/>
          </w:tcPr>
          <w:p>
            <w:pPr>
              <w:pStyle w:val="16"/>
              <w:jc w:val="center"/>
              <w:rPr>
                <w:rFonts w:ascii="宋体" w:hAnsi="宋体" w:cs="宋体"/>
                <w:bCs/>
                <w:color w:val="auto"/>
                <w:kern w:val="0"/>
                <w:szCs w:val="21"/>
              </w:rPr>
            </w:pPr>
            <w:r>
              <w:rPr>
                <w:rFonts w:hint="eastAsia" w:ascii="宋体" w:hAnsi="宋体" w:cs="宋体"/>
                <w:bCs/>
                <w:color w:val="auto"/>
                <w:kern w:val="0"/>
                <w:szCs w:val="21"/>
              </w:rPr>
              <w:t>道闸类型</w:t>
            </w:r>
          </w:p>
        </w:tc>
        <w:tc>
          <w:tcPr>
            <w:tcW w:w="861" w:type="pct"/>
            <w:tcBorders>
              <w:top w:val="nil"/>
              <w:left w:val="nil"/>
              <w:bottom w:val="single" w:color="auto" w:sz="4" w:space="0"/>
              <w:right w:val="single" w:color="auto" w:sz="4" w:space="0"/>
            </w:tcBorders>
            <w:noWrap/>
            <w:vAlign w:val="center"/>
          </w:tcPr>
          <w:p>
            <w:pPr>
              <w:pStyle w:val="16"/>
              <w:jc w:val="center"/>
              <w:rPr>
                <w:rFonts w:ascii="宋体" w:hAnsi="宋体" w:cs="宋体"/>
                <w:bCs/>
                <w:i/>
                <w:color w:val="auto"/>
                <w:kern w:val="0"/>
                <w:szCs w:val="21"/>
              </w:rPr>
            </w:pPr>
          </w:p>
        </w:tc>
      </w:tr>
      <w:tr>
        <w:tblPrEx>
          <w:tblCellMar>
            <w:top w:w="0" w:type="dxa"/>
            <w:left w:w="108" w:type="dxa"/>
            <w:bottom w:w="0" w:type="dxa"/>
            <w:right w:w="108" w:type="dxa"/>
          </w:tblCellMar>
        </w:tblPrEx>
        <w:trPr>
          <w:trHeight w:val="548" w:hRule="atLeast"/>
          <w:jc w:val="center"/>
        </w:trPr>
        <w:tc>
          <w:tcPr>
            <w:tcW w:w="563" w:type="pct"/>
            <w:tcBorders>
              <w:top w:val="nil"/>
              <w:left w:val="single" w:color="auto" w:sz="4" w:space="0"/>
              <w:bottom w:val="single" w:color="auto" w:sz="4" w:space="0"/>
              <w:right w:val="single" w:color="auto" w:sz="4" w:space="0"/>
            </w:tcBorders>
            <w:vAlign w:val="center"/>
          </w:tcPr>
          <w:p>
            <w:pPr>
              <w:pStyle w:val="16"/>
              <w:jc w:val="center"/>
              <w:rPr>
                <w:rFonts w:ascii="宋体" w:hAnsi="宋体" w:cs="宋体"/>
                <w:bCs/>
                <w:color w:val="auto"/>
                <w:kern w:val="0"/>
                <w:szCs w:val="21"/>
              </w:rPr>
            </w:pPr>
            <w:r>
              <w:rPr>
                <w:rFonts w:hint="eastAsia" w:ascii="宋体" w:hAnsi="宋体" w:cs="宋体"/>
                <w:bCs/>
                <w:color w:val="auto"/>
                <w:kern w:val="0"/>
                <w:szCs w:val="21"/>
              </w:rPr>
              <w:t>停车场</w:t>
            </w:r>
          </w:p>
          <w:p>
            <w:pPr>
              <w:pStyle w:val="16"/>
              <w:jc w:val="center"/>
              <w:rPr>
                <w:rFonts w:ascii="宋体" w:hAnsi="宋体" w:cs="宋体"/>
                <w:bCs/>
                <w:color w:val="auto"/>
                <w:kern w:val="0"/>
                <w:szCs w:val="21"/>
              </w:rPr>
            </w:pPr>
            <w:r>
              <w:rPr>
                <w:rFonts w:hint="eastAsia" w:ascii="宋体" w:hAnsi="宋体" w:cs="宋体"/>
                <w:bCs/>
                <w:color w:val="auto"/>
                <w:kern w:val="0"/>
                <w:szCs w:val="21"/>
              </w:rPr>
              <w:t>出入口</w:t>
            </w:r>
          </w:p>
        </w:tc>
        <w:tc>
          <w:tcPr>
            <w:tcW w:w="749" w:type="pct"/>
            <w:tcBorders>
              <w:top w:val="nil"/>
              <w:left w:val="nil"/>
              <w:bottom w:val="single" w:color="auto" w:sz="4" w:space="0"/>
              <w:right w:val="single" w:color="auto" w:sz="4" w:space="0"/>
            </w:tcBorders>
            <w:noWrap/>
            <w:vAlign w:val="center"/>
          </w:tcPr>
          <w:p>
            <w:pPr>
              <w:pStyle w:val="16"/>
              <w:jc w:val="center"/>
              <w:rPr>
                <w:rFonts w:ascii="宋体" w:hAnsi="宋体" w:cs="宋体"/>
                <w:bCs/>
                <w:i/>
                <w:color w:val="auto"/>
                <w:kern w:val="0"/>
                <w:szCs w:val="21"/>
              </w:rPr>
            </w:pPr>
          </w:p>
        </w:tc>
        <w:tc>
          <w:tcPr>
            <w:tcW w:w="1246" w:type="pct"/>
            <w:tcBorders>
              <w:top w:val="nil"/>
              <w:left w:val="nil"/>
              <w:bottom w:val="single" w:color="auto" w:sz="4" w:space="0"/>
              <w:right w:val="single" w:color="auto" w:sz="4" w:space="0"/>
            </w:tcBorders>
            <w:vAlign w:val="center"/>
          </w:tcPr>
          <w:p>
            <w:pPr>
              <w:pStyle w:val="16"/>
              <w:jc w:val="center"/>
              <w:rPr>
                <w:rFonts w:ascii="宋体" w:hAnsi="宋体" w:cs="宋体"/>
                <w:bCs/>
                <w:color w:val="auto"/>
                <w:kern w:val="0"/>
                <w:szCs w:val="21"/>
              </w:rPr>
            </w:pPr>
            <w:r>
              <w:rPr>
                <w:rFonts w:hint="eastAsia" w:ascii="宋体" w:hAnsi="宋体" w:cs="宋体"/>
                <w:bCs/>
                <w:color w:val="auto"/>
                <w:kern w:val="0"/>
                <w:szCs w:val="21"/>
              </w:rPr>
              <w:t>是否安装道闸</w:t>
            </w:r>
          </w:p>
        </w:tc>
        <w:tc>
          <w:tcPr>
            <w:tcW w:w="753" w:type="pct"/>
            <w:tcBorders>
              <w:top w:val="nil"/>
              <w:left w:val="nil"/>
              <w:bottom w:val="single" w:color="auto" w:sz="4" w:space="0"/>
              <w:right w:val="single" w:color="auto" w:sz="4" w:space="0"/>
            </w:tcBorders>
            <w:vAlign w:val="center"/>
          </w:tcPr>
          <w:p>
            <w:pPr>
              <w:pStyle w:val="16"/>
              <w:jc w:val="center"/>
              <w:rPr>
                <w:rFonts w:ascii="宋体" w:hAnsi="宋体" w:cs="宋体"/>
                <w:bCs/>
                <w:i/>
                <w:color w:val="auto"/>
                <w:kern w:val="0"/>
                <w:szCs w:val="21"/>
              </w:rPr>
            </w:pPr>
          </w:p>
        </w:tc>
        <w:tc>
          <w:tcPr>
            <w:tcW w:w="828" w:type="pct"/>
            <w:tcBorders>
              <w:top w:val="nil"/>
              <w:left w:val="nil"/>
              <w:bottom w:val="single" w:color="auto" w:sz="4" w:space="0"/>
              <w:right w:val="single" w:color="auto" w:sz="4" w:space="0"/>
            </w:tcBorders>
            <w:vAlign w:val="center"/>
          </w:tcPr>
          <w:p>
            <w:pPr>
              <w:pStyle w:val="16"/>
              <w:jc w:val="center"/>
              <w:rPr>
                <w:rFonts w:ascii="宋体" w:hAnsi="宋体" w:cs="宋体"/>
                <w:bCs/>
                <w:color w:val="auto"/>
                <w:kern w:val="0"/>
                <w:szCs w:val="21"/>
              </w:rPr>
            </w:pPr>
            <w:r>
              <w:rPr>
                <w:rFonts w:hint="eastAsia" w:ascii="宋体" w:hAnsi="宋体" w:cs="宋体"/>
                <w:bCs/>
                <w:color w:val="auto"/>
                <w:kern w:val="0"/>
                <w:szCs w:val="21"/>
              </w:rPr>
              <w:t>道闸类型</w:t>
            </w:r>
          </w:p>
        </w:tc>
        <w:tc>
          <w:tcPr>
            <w:tcW w:w="861" w:type="pct"/>
            <w:tcBorders>
              <w:top w:val="nil"/>
              <w:left w:val="nil"/>
              <w:bottom w:val="single" w:color="auto" w:sz="4" w:space="0"/>
              <w:right w:val="single" w:color="auto" w:sz="4" w:space="0"/>
            </w:tcBorders>
            <w:vAlign w:val="center"/>
          </w:tcPr>
          <w:p>
            <w:pPr>
              <w:pStyle w:val="16"/>
              <w:jc w:val="center"/>
              <w:rPr>
                <w:rFonts w:ascii="宋体" w:hAnsi="宋体" w:cs="宋体"/>
                <w:bCs/>
                <w:i/>
                <w:color w:val="auto"/>
                <w:kern w:val="0"/>
                <w:szCs w:val="21"/>
              </w:rPr>
            </w:pPr>
          </w:p>
        </w:tc>
      </w:tr>
      <w:tr>
        <w:tblPrEx>
          <w:tblCellMar>
            <w:top w:w="0" w:type="dxa"/>
            <w:left w:w="108" w:type="dxa"/>
            <w:bottom w:w="0" w:type="dxa"/>
            <w:right w:w="108" w:type="dxa"/>
          </w:tblCellMar>
        </w:tblPrEx>
        <w:trPr>
          <w:trHeight w:val="807" w:hRule="atLeast"/>
          <w:jc w:val="center"/>
        </w:trPr>
        <w:tc>
          <w:tcPr>
            <w:tcW w:w="563" w:type="pct"/>
            <w:tcBorders>
              <w:top w:val="nil"/>
              <w:left w:val="single" w:color="auto" w:sz="4" w:space="0"/>
              <w:bottom w:val="single" w:color="auto" w:sz="4" w:space="0"/>
              <w:right w:val="single" w:color="auto" w:sz="4" w:space="0"/>
            </w:tcBorders>
            <w:vAlign w:val="center"/>
          </w:tcPr>
          <w:p>
            <w:pPr>
              <w:pStyle w:val="16"/>
              <w:jc w:val="center"/>
              <w:rPr>
                <w:rFonts w:ascii="宋体" w:hAnsi="宋体" w:cs="宋体"/>
                <w:bCs/>
                <w:color w:val="auto"/>
                <w:kern w:val="0"/>
                <w:szCs w:val="21"/>
              </w:rPr>
            </w:pPr>
            <w:r>
              <w:rPr>
                <w:rFonts w:hint="eastAsia" w:ascii="宋体" w:hAnsi="宋体" w:cs="宋体"/>
                <w:bCs/>
                <w:color w:val="auto"/>
                <w:kern w:val="0"/>
                <w:szCs w:val="21"/>
              </w:rPr>
              <w:t>非机动车出入口</w:t>
            </w:r>
          </w:p>
        </w:tc>
        <w:tc>
          <w:tcPr>
            <w:tcW w:w="749" w:type="pct"/>
            <w:tcBorders>
              <w:top w:val="nil"/>
              <w:left w:val="nil"/>
              <w:bottom w:val="single" w:color="auto" w:sz="4" w:space="0"/>
              <w:right w:val="single" w:color="auto" w:sz="4" w:space="0"/>
            </w:tcBorders>
            <w:noWrap/>
            <w:vAlign w:val="center"/>
          </w:tcPr>
          <w:p>
            <w:pPr>
              <w:pStyle w:val="16"/>
              <w:jc w:val="center"/>
              <w:rPr>
                <w:rFonts w:ascii="宋体" w:hAnsi="宋体" w:cs="宋体"/>
                <w:bCs/>
                <w:i/>
                <w:color w:val="auto"/>
                <w:kern w:val="0"/>
                <w:szCs w:val="21"/>
              </w:rPr>
            </w:pPr>
          </w:p>
        </w:tc>
        <w:tc>
          <w:tcPr>
            <w:tcW w:w="1246" w:type="pct"/>
            <w:tcBorders>
              <w:top w:val="nil"/>
              <w:left w:val="nil"/>
              <w:bottom w:val="single" w:color="auto" w:sz="4" w:space="0"/>
              <w:right w:val="single" w:color="auto" w:sz="4" w:space="0"/>
            </w:tcBorders>
            <w:vAlign w:val="center"/>
          </w:tcPr>
          <w:p>
            <w:pPr>
              <w:pStyle w:val="16"/>
              <w:jc w:val="center"/>
              <w:rPr>
                <w:rFonts w:ascii="宋体" w:hAnsi="宋体" w:cs="宋体"/>
                <w:bCs/>
                <w:color w:val="auto"/>
                <w:kern w:val="0"/>
                <w:szCs w:val="21"/>
              </w:rPr>
            </w:pPr>
            <w:r>
              <w:rPr>
                <w:rFonts w:hint="eastAsia" w:ascii="宋体" w:hAnsi="宋体" w:cs="宋体"/>
                <w:bCs/>
                <w:color w:val="auto"/>
                <w:kern w:val="0"/>
                <w:szCs w:val="21"/>
              </w:rPr>
              <w:t>非机动车停放区</w:t>
            </w:r>
          </w:p>
        </w:tc>
        <w:tc>
          <w:tcPr>
            <w:tcW w:w="753" w:type="pct"/>
            <w:tcBorders>
              <w:top w:val="nil"/>
              <w:left w:val="nil"/>
              <w:bottom w:val="single" w:color="auto" w:sz="4" w:space="0"/>
              <w:right w:val="single" w:color="auto" w:sz="4" w:space="0"/>
            </w:tcBorders>
            <w:vAlign w:val="center"/>
          </w:tcPr>
          <w:p>
            <w:pPr>
              <w:pStyle w:val="16"/>
              <w:jc w:val="center"/>
              <w:rPr>
                <w:rFonts w:ascii="宋体" w:hAnsi="宋体" w:cs="宋体"/>
                <w:bCs/>
                <w:i/>
                <w:color w:val="auto"/>
                <w:kern w:val="0"/>
                <w:szCs w:val="21"/>
              </w:rPr>
            </w:pPr>
          </w:p>
        </w:tc>
        <w:tc>
          <w:tcPr>
            <w:tcW w:w="828" w:type="pct"/>
            <w:tcBorders>
              <w:top w:val="nil"/>
              <w:left w:val="nil"/>
              <w:bottom w:val="single" w:color="auto" w:sz="4" w:space="0"/>
              <w:right w:val="single" w:color="auto" w:sz="4" w:space="0"/>
            </w:tcBorders>
            <w:vAlign w:val="center"/>
          </w:tcPr>
          <w:p>
            <w:pPr>
              <w:pStyle w:val="16"/>
              <w:jc w:val="center"/>
              <w:rPr>
                <w:rFonts w:ascii="宋体" w:hAnsi="宋体" w:cs="宋体"/>
                <w:bCs/>
                <w:color w:val="auto"/>
                <w:kern w:val="0"/>
                <w:szCs w:val="21"/>
              </w:rPr>
            </w:pPr>
            <w:r>
              <w:rPr>
                <w:rFonts w:hint="eastAsia" w:ascii="宋体" w:hAnsi="宋体" w:cs="宋体"/>
                <w:bCs/>
                <w:color w:val="auto"/>
                <w:kern w:val="0"/>
                <w:szCs w:val="21"/>
              </w:rPr>
              <w:t>是否有电动自行车充电桩</w:t>
            </w:r>
          </w:p>
        </w:tc>
        <w:tc>
          <w:tcPr>
            <w:tcW w:w="861" w:type="pct"/>
            <w:tcBorders>
              <w:top w:val="nil"/>
              <w:left w:val="nil"/>
              <w:bottom w:val="single" w:color="auto" w:sz="4" w:space="0"/>
              <w:right w:val="single" w:color="auto" w:sz="4" w:space="0"/>
            </w:tcBorders>
            <w:vAlign w:val="center"/>
          </w:tcPr>
          <w:p>
            <w:pPr>
              <w:pStyle w:val="16"/>
              <w:jc w:val="center"/>
              <w:rPr>
                <w:rFonts w:ascii="宋体" w:hAnsi="宋体" w:cs="宋体"/>
                <w:bCs/>
                <w:i/>
                <w:color w:val="auto"/>
                <w:kern w:val="0"/>
                <w:szCs w:val="21"/>
              </w:rPr>
            </w:pPr>
          </w:p>
        </w:tc>
      </w:tr>
      <w:tr>
        <w:tblPrEx>
          <w:tblCellMar>
            <w:top w:w="0" w:type="dxa"/>
            <w:left w:w="108" w:type="dxa"/>
            <w:bottom w:w="0" w:type="dxa"/>
            <w:right w:w="108" w:type="dxa"/>
          </w:tblCellMar>
        </w:tblPrEx>
        <w:trPr>
          <w:trHeight w:val="405" w:hRule="atLeast"/>
          <w:jc w:val="center"/>
        </w:trPr>
        <w:tc>
          <w:tcPr>
            <w:tcW w:w="563" w:type="pct"/>
            <w:tcBorders>
              <w:top w:val="nil"/>
              <w:left w:val="single" w:color="auto" w:sz="4" w:space="0"/>
              <w:bottom w:val="single" w:color="auto" w:sz="4" w:space="0"/>
              <w:right w:val="single" w:color="auto" w:sz="4" w:space="0"/>
            </w:tcBorders>
            <w:vAlign w:val="center"/>
          </w:tcPr>
          <w:p>
            <w:pPr>
              <w:pStyle w:val="16"/>
              <w:jc w:val="center"/>
              <w:rPr>
                <w:rFonts w:ascii="宋体" w:hAnsi="宋体" w:cs="宋体"/>
                <w:bCs/>
                <w:color w:val="auto"/>
                <w:kern w:val="0"/>
                <w:szCs w:val="21"/>
              </w:rPr>
            </w:pPr>
            <w:r>
              <w:rPr>
                <w:rFonts w:hint="eastAsia" w:ascii="宋体" w:hAnsi="宋体" w:cs="宋体"/>
                <w:bCs/>
                <w:color w:val="auto"/>
                <w:kern w:val="0"/>
                <w:szCs w:val="21"/>
              </w:rPr>
              <w:t>消防通道数量</w:t>
            </w:r>
          </w:p>
        </w:tc>
        <w:tc>
          <w:tcPr>
            <w:tcW w:w="749" w:type="pct"/>
            <w:tcBorders>
              <w:top w:val="nil"/>
              <w:left w:val="nil"/>
              <w:bottom w:val="single" w:color="auto" w:sz="4" w:space="0"/>
              <w:right w:val="single" w:color="auto" w:sz="4" w:space="0"/>
            </w:tcBorders>
            <w:noWrap/>
            <w:vAlign w:val="center"/>
          </w:tcPr>
          <w:p>
            <w:pPr>
              <w:pStyle w:val="16"/>
              <w:jc w:val="center"/>
              <w:rPr>
                <w:rFonts w:ascii="宋体" w:hAnsi="宋体" w:cs="宋体"/>
                <w:bCs/>
                <w:i/>
                <w:color w:val="auto"/>
                <w:kern w:val="0"/>
                <w:szCs w:val="21"/>
              </w:rPr>
            </w:pPr>
          </w:p>
        </w:tc>
        <w:tc>
          <w:tcPr>
            <w:tcW w:w="1246" w:type="pct"/>
            <w:tcBorders>
              <w:top w:val="nil"/>
              <w:left w:val="nil"/>
              <w:bottom w:val="single" w:color="auto" w:sz="4" w:space="0"/>
              <w:right w:val="single" w:color="auto" w:sz="4" w:space="0"/>
            </w:tcBorders>
            <w:vAlign w:val="center"/>
          </w:tcPr>
          <w:p>
            <w:pPr>
              <w:pStyle w:val="16"/>
              <w:jc w:val="center"/>
              <w:rPr>
                <w:rFonts w:ascii="宋体" w:hAnsi="宋体" w:cs="宋体"/>
                <w:bCs/>
                <w:color w:val="auto"/>
                <w:kern w:val="0"/>
                <w:szCs w:val="21"/>
              </w:rPr>
            </w:pPr>
            <w:r>
              <w:rPr>
                <w:rFonts w:hint="eastAsia" w:ascii="宋体" w:hAnsi="宋体" w:cs="宋体"/>
                <w:bCs/>
                <w:color w:val="auto"/>
                <w:kern w:val="0"/>
                <w:szCs w:val="21"/>
              </w:rPr>
              <w:t>小区是否</w:t>
            </w:r>
          </w:p>
          <w:p>
            <w:pPr>
              <w:pStyle w:val="16"/>
              <w:jc w:val="center"/>
              <w:rPr>
                <w:rFonts w:ascii="宋体" w:hAnsi="宋体" w:cs="宋体"/>
                <w:bCs/>
                <w:color w:val="auto"/>
                <w:kern w:val="0"/>
                <w:szCs w:val="21"/>
              </w:rPr>
            </w:pPr>
            <w:r>
              <w:rPr>
                <w:rFonts w:hint="eastAsia" w:ascii="宋体" w:hAnsi="宋体" w:cs="宋体"/>
                <w:bCs/>
                <w:color w:val="auto"/>
                <w:kern w:val="0"/>
                <w:szCs w:val="21"/>
              </w:rPr>
              <w:t>具备设备房</w:t>
            </w:r>
          </w:p>
        </w:tc>
        <w:tc>
          <w:tcPr>
            <w:tcW w:w="753" w:type="pct"/>
            <w:tcBorders>
              <w:top w:val="nil"/>
              <w:left w:val="nil"/>
              <w:bottom w:val="single" w:color="auto" w:sz="4" w:space="0"/>
              <w:right w:val="single" w:color="auto" w:sz="4" w:space="0"/>
            </w:tcBorders>
            <w:vAlign w:val="center"/>
          </w:tcPr>
          <w:p>
            <w:pPr>
              <w:pStyle w:val="16"/>
              <w:jc w:val="center"/>
              <w:rPr>
                <w:rFonts w:ascii="宋体" w:hAnsi="宋体" w:cs="宋体"/>
                <w:bCs/>
                <w:i/>
                <w:color w:val="auto"/>
                <w:kern w:val="0"/>
                <w:szCs w:val="21"/>
              </w:rPr>
            </w:pPr>
          </w:p>
        </w:tc>
        <w:tc>
          <w:tcPr>
            <w:tcW w:w="828" w:type="pct"/>
            <w:tcBorders>
              <w:top w:val="nil"/>
              <w:left w:val="nil"/>
              <w:bottom w:val="single" w:color="auto" w:sz="4" w:space="0"/>
              <w:right w:val="single" w:color="auto" w:sz="4" w:space="0"/>
            </w:tcBorders>
            <w:vAlign w:val="center"/>
          </w:tcPr>
          <w:p>
            <w:pPr>
              <w:pStyle w:val="16"/>
              <w:jc w:val="center"/>
              <w:rPr>
                <w:rFonts w:ascii="宋体" w:hAnsi="宋体" w:cs="宋体"/>
                <w:bCs/>
                <w:color w:val="auto"/>
                <w:kern w:val="0"/>
                <w:szCs w:val="21"/>
              </w:rPr>
            </w:pPr>
            <w:r>
              <w:rPr>
                <w:rFonts w:hint="eastAsia" w:ascii="宋体" w:hAnsi="宋体" w:cs="宋体"/>
                <w:bCs/>
                <w:color w:val="auto"/>
                <w:kern w:val="0"/>
                <w:szCs w:val="21"/>
              </w:rPr>
              <w:t>小区是否有集中活动场所</w:t>
            </w:r>
          </w:p>
        </w:tc>
        <w:tc>
          <w:tcPr>
            <w:tcW w:w="861" w:type="pct"/>
            <w:tcBorders>
              <w:top w:val="nil"/>
              <w:left w:val="nil"/>
              <w:bottom w:val="single" w:color="auto" w:sz="4" w:space="0"/>
              <w:right w:val="single" w:color="auto" w:sz="4" w:space="0"/>
            </w:tcBorders>
            <w:vAlign w:val="center"/>
          </w:tcPr>
          <w:p>
            <w:pPr>
              <w:pStyle w:val="16"/>
              <w:jc w:val="center"/>
              <w:rPr>
                <w:rFonts w:ascii="宋体" w:hAnsi="宋体" w:cs="宋体"/>
                <w:bCs/>
                <w:i/>
                <w:color w:val="auto"/>
                <w:kern w:val="0"/>
                <w:szCs w:val="21"/>
              </w:rPr>
            </w:pPr>
          </w:p>
        </w:tc>
      </w:tr>
      <w:tr>
        <w:tblPrEx>
          <w:tblCellMar>
            <w:top w:w="0" w:type="dxa"/>
            <w:left w:w="108" w:type="dxa"/>
            <w:bottom w:w="0" w:type="dxa"/>
            <w:right w:w="108" w:type="dxa"/>
          </w:tblCellMar>
        </w:tblPrEx>
        <w:trPr>
          <w:trHeight w:val="405" w:hRule="atLeast"/>
          <w:jc w:val="center"/>
        </w:trPr>
        <w:tc>
          <w:tcPr>
            <w:tcW w:w="563" w:type="pct"/>
            <w:tcBorders>
              <w:top w:val="nil"/>
              <w:left w:val="single" w:color="auto" w:sz="4" w:space="0"/>
              <w:bottom w:val="single" w:color="auto" w:sz="4" w:space="0"/>
              <w:right w:val="single" w:color="auto" w:sz="4" w:space="0"/>
            </w:tcBorders>
            <w:vAlign w:val="center"/>
          </w:tcPr>
          <w:p>
            <w:pPr>
              <w:pStyle w:val="16"/>
              <w:jc w:val="center"/>
              <w:rPr>
                <w:rFonts w:ascii="宋体" w:hAnsi="宋体" w:cs="宋体"/>
                <w:bCs/>
                <w:color w:val="auto"/>
                <w:kern w:val="0"/>
                <w:szCs w:val="21"/>
              </w:rPr>
            </w:pPr>
            <w:r>
              <w:rPr>
                <w:rFonts w:hint="eastAsia" w:ascii="宋体" w:hAnsi="宋体" w:cs="宋体"/>
                <w:bCs/>
                <w:color w:val="auto"/>
                <w:kern w:val="0"/>
                <w:szCs w:val="21"/>
              </w:rPr>
              <w:t>是否具备消防设施</w:t>
            </w:r>
          </w:p>
        </w:tc>
        <w:tc>
          <w:tcPr>
            <w:tcW w:w="749" w:type="pct"/>
            <w:tcBorders>
              <w:top w:val="nil"/>
              <w:left w:val="nil"/>
              <w:bottom w:val="single" w:color="auto" w:sz="4" w:space="0"/>
              <w:right w:val="single" w:color="auto" w:sz="4" w:space="0"/>
            </w:tcBorders>
            <w:noWrap/>
            <w:vAlign w:val="center"/>
          </w:tcPr>
          <w:p>
            <w:pPr>
              <w:pStyle w:val="16"/>
              <w:jc w:val="center"/>
              <w:rPr>
                <w:rFonts w:ascii="宋体" w:hAnsi="宋体" w:cs="宋体"/>
                <w:bCs/>
                <w:i/>
                <w:color w:val="auto"/>
                <w:kern w:val="0"/>
                <w:szCs w:val="21"/>
              </w:rPr>
            </w:pPr>
          </w:p>
        </w:tc>
        <w:tc>
          <w:tcPr>
            <w:tcW w:w="1246" w:type="pct"/>
            <w:tcBorders>
              <w:top w:val="nil"/>
              <w:left w:val="nil"/>
              <w:bottom w:val="single" w:color="auto" w:sz="4" w:space="0"/>
              <w:right w:val="single" w:color="auto" w:sz="4" w:space="0"/>
            </w:tcBorders>
            <w:vAlign w:val="center"/>
          </w:tcPr>
          <w:p>
            <w:pPr>
              <w:pStyle w:val="16"/>
              <w:jc w:val="center"/>
              <w:rPr>
                <w:rFonts w:ascii="宋体" w:hAnsi="宋体" w:cs="宋体"/>
                <w:bCs/>
                <w:color w:val="auto"/>
                <w:kern w:val="0"/>
                <w:szCs w:val="21"/>
              </w:rPr>
            </w:pPr>
            <w:r>
              <w:rPr>
                <w:rFonts w:hint="eastAsia" w:ascii="宋体" w:hAnsi="宋体" w:cs="宋体"/>
                <w:bCs/>
                <w:color w:val="auto"/>
                <w:kern w:val="0"/>
                <w:szCs w:val="21"/>
              </w:rPr>
              <w:t>是否具备周界</w:t>
            </w:r>
          </w:p>
          <w:p>
            <w:pPr>
              <w:pStyle w:val="16"/>
              <w:jc w:val="center"/>
              <w:rPr>
                <w:rFonts w:ascii="宋体" w:hAnsi="宋体" w:cs="宋体"/>
                <w:bCs/>
                <w:color w:val="auto"/>
                <w:kern w:val="0"/>
                <w:szCs w:val="21"/>
              </w:rPr>
            </w:pPr>
            <w:r>
              <w:rPr>
                <w:rFonts w:hint="eastAsia" w:ascii="宋体" w:hAnsi="宋体" w:cs="宋体"/>
                <w:bCs/>
                <w:color w:val="auto"/>
                <w:kern w:val="0"/>
                <w:szCs w:val="21"/>
              </w:rPr>
              <w:t>防护设备</w:t>
            </w:r>
          </w:p>
        </w:tc>
        <w:tc>
          <w:tcPr>
            <w:tcW w:w="753" w:type="pct"/>
            <w:tcBorders>
              <w:top w:val="nil"/>
              <w:left w:val="nil"/>
              <w:bottom w:val="single" w:color="auto" w:sz="4" w:space="0"/>
              <w:right w:val="single" w:color="auto" w:sz="4" w:space="0"/>
            </w:tcBorders>
            <w:vAlign w:val="center"/>
          </w:tcPr>
          <w:p>
            <w:pPr>
              <w:pStyle w:val="16"/>
              <w:jc w:val="center"/>
              <w:rPr>
                <w:rFonts w:ascii="宋体" w:hAnsi="宋体" w:cs="宋体"/>
                <w:bCs/>
                <w:i/>
                <w:color w:val="auto"/>
                <w:kern w:val="0"/>
                <w:szCs w:val="21"/>
              </w:rPr>
            </w:pPr>
          </w:p>
        </w:tc>
        <w:tc>
          <w:tcPr>
            <w:tcW w:w="828" w:type="pct"/>
            <w:tcBorders>
              <w:top w:val="nil"/>
              <w:left w:val="nil"/>
              <w:bottom w:val="single" w:color="auto" w:sz="4" w:space="0"/>
              <w:right w:val="single" w:color="auto" w:sz="4" w:space="0"/>
            </w:tcBorders>
            <w:vAlign w:val="center"/>
          </w:tcPr>
          <w:p>
            <w:pPr>
              <w:pStyle w:val="16"/>
              <w:jc w:val="center"/>
              <w:rPr>
                <w:rFonts w:ascii="宋体" w:hAnsi="宋体" w:cs="宋体"/>
                <w:bCs/>
                <w:color w:val="auto"/>
                <w:kern w:val="0"/>
                <w:szCs w:val="21"/>
              </w:rPr>
            </w:pPr>
            <w:r>
              <w:rPr>
                <w:rFonts w:hint="eastAsia" w:ascii="宋体" w:hAnsi="宋体" w:cs="宋体"/>
                <w:bCs/>
                <w:color w:val="auto"/>
                <w:kern w:val="0"/>
                <w:szCs w:val="21"/>
              </w:rPr>
              <w:t>有无巡更系统</w:t>
            </w:r>
          </w:p>
        </w:tc>
        <w:tc>
          <w:tcPr>
            <w:tcW w:w="861" w:type="pct"/>
            <w:tcBorders>
              <w:top w:val="nil"/>
              <w:left w:val="nil"/>
              <w:bottom w:val="single" w:color="auto" w:sz="4" w:space="0"/>
              <w:right w:val="single" w:color="auto" w:sz="4" w:space="0"/>
            </w:tcBorders>
            <w:vAlign w:val="center"/>
          </w:tcPr>
          <w:p>
            <w:pPr>
              <w:pStyle w:val="16"/>
              <w:jc w:val="center"/>
              <w:rPr>
                <w:rFonts w:ascii="宋体" w:hAnsi="宋体" w:cs="宋体"/>
                <w:bCs/>
                <w:i/>
                <w:color w:val="auto"/>
                <w:kern w:val="0"/>
                <w:szCs w:val="21"/>
              </w:rPr>
            </w:pPr>
          </w:p>
        </w:tc>
      </w:tr>
      <w:tr>
        <w:tblPrEx>
          <w:tblCellMar>
            <w:top w:w="0" w:type="dxa"/>
            <w:left w:w="108" w:type="dxa"/>
            <w:bottom w:w="0" w:type="dxa"/>
            <w:right w:w="108" w:type="dxa"/>
          </w:tblCellMar>
        </w:tblPrEx>
        <w:trPr>
          <w:trHeight w:val="1427"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bCs/>
                <w:color w:val="auto"/>
                <w:kern w:val="0"/>
                <w:szCs w:val="21"/>
              </w:rPr>
            </w:pPr>
            <w:r>
              <w:rPr>
                <w:rFonts w:hint="eastAsia" w:ascii="宋体" w:hAnsi="宋体" w:cs="宋体"/>
                <w:bCs/>
                <w:color w:val="auto"/>
                <w:kern w:val="0"/>
                <w:szCs w:val="21"/>
              </w:rPr>
              <w:t>小区内已建视频监控情况</w:t>
            </w:r>
          </w:p>
        </w:tc>
        <w:tc>
          <w:tcPr>
            <w:tcW w:w="1995" w:type="pct"/>
            <w:gridSpan w:val="2"/>
            <w:tcBorders>
              <w:top w:val="single" w:color="auto" w:sz="4" w:space="0"/>
              <w:left w:val="nil"/>
              <w:bottom w:val="single" w:color="auto" w:sz="4" w:space="0"/>
              <w:right w:val="single" w:color="auto" w:sz="4" w:space="0"/>
            </w:tcBorders>
            <w:noWrap/>
            <w:vAlign w:val="center"/>
          </w:tcPr>
          <w:p>
            <w:pPr>
              <w:pStyle w:val="16"/>
              <w:jc w:val="left"/>
              <w:rPr>
                <w:rFonts w:ascii="宋体" w:hAnsi="宋体" w:cs="宋体"/>
                <w:bCs/>
                <w:color w:val="auto"/>
                <w:kern w:val="0"/>
                <w:szCs w:val="21"/>
                <w:u w:val="single"/>
              </w:rPr>
            </w:pPr>
          </w:p>
        </w:tc>
        <w:tc>
          <w:tcPr>
            <w:tcW w:w="753" w:type="pct"/>
            <w:tcBorders>
              <w:top w:val="single" w:color="auto" w:sz="4" w:space="0"/>
              <w:left w:val="nil"/>
              <w:bottom w:val="single" w:color="auto" w:sz="4" w:space="0"/>
              <w:right w:val="single" w:color="auto" w:sz="4" w:space="0"/>
            </w:tcBorders>
            <w:vAlign w:val="center"/>
          </w:tcPr>
          <w:p>
            <w:pPr>
              <w:pStyle w:val="16"/>
              <w:jc w:val="center"/>
              <w:rPr>
                <w:rFonts w:ascii="宋体" w:hAnsi="宋体" w:cs="宋体"/>
                <w:bCs/>
                <w:color w:val="auto"/>
                <w:kern w:val="0"/>
                <w:szCs w:val="21"/>
              </w:rPr>
            </w:pPr>
            <w:r>
              <w:rPr>
                <w:rFonts w:hint="eastAsia" w:ascii="宋体" w:hAnsi="宋体" w:cs="宋体"/>
                <w:bCs/>
                <w:color w:val="auto"/>
                <w:kern w:val="0"/>
                <w:szCs w:val="21"/>
              </w:rPr>
              <w:t>是否部署视频监控存储设备</w:t>
            </w:r>
          </w:p>
        </w:tc>
        <w:tc>
          <w:tcPr>
            <w:tcW w:w="1689" w:type="pct"/>
            <w:gridSpan w:val="2"/>
            <w:tcBorders>
              <w:top w:val="single" w:color="auto" w:sz="4" w:space="0"/>
              <w:left w:val="nil"/>
              <w:bottom w:val="single" w:color="auto" w:sz="4" w:space="0"/>
              <w:right w:val="single" w:color="auto" w:sz="4" w:space="0"/>
            </w:tcBorders>
            <w:vAlign w:val="center"/>
          </w:tcPr>
          <w:p>
            <w:pPr>
              <w:pStyle w:val="16"/>
              <w:jc w:val="left"/>
              <w:rPr>
                <w:rFonts w:ascii="宋体" w:hAnsi="宋体" w:cs="宋体"/>
                <w:bCs/>
                <w:color w:val="auto"/>
                <w:kern w:val="0"/>
                <w:szCs w:val="21"/>
              </w:rPr>
            </w:pPr>
            <w:r>
              <w:rPr>
                <w:rFonts w:ascii="宋体" w:hAnsi="宋体" w:cs="宋体"/>
                <w:bCs/>
                <w:i/>
                <w:color w:val="auto"/>
                <w:kern w:val="0"/>
                <w:szCs w:val="21"/>
                <w:u w:val="single"/>
              </w:rPr>
              <w:t xml:space="preserve">  </w:t>
            </w:r>
          </w:p>
        </w:tc>
      </w:tr>
      <w:tr>
        <w:tblPrEx>
          <w:tblCellMar>
            <w:top w:w="0" w:type="dxa"/>
            <w:left w:w="108" w:type="dxa"/>
            <w:bottom w:w="0" w:type="dxa"/>
            <w:right w:w="108" w:type="dxa"/>
          </w:tblCellMar>
        </w:tblPrEx>
        <w:trPr>
          <w:trHeight w:val="1427"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bCs/>
                <w:color w:val="auto"/>
                <w:kern w:val="0"/>
                <w:szCs w:val="21"/>
              </w:rPr>
            </w:pPr>
            <w:r>
              <w:rPr>
                <w:rFonts w:hint="eastAsia" w:ascii="宋体" w:hAnsi="宋体" w:cs="宋体"/>
                <w:bCs/>
                <w:color w:val="auto"/>
                <w:kern w:val="0"/>
                <w:szCs w:val="21"/>
              </w:rPr>
              <w:t>出入口</w:t>
            </w:r>
          </w:p>
          <w:p>
            <w:pPr>
              <w:pStyle w:val="16"/>
              <w:jc w:val="center"/>
              <w:rPr>
                <w:rFonts w:ascii="宋体" w:hAnsi="宋体"/>
                <w:color w:val="auto"/>
                <w:szCs w:val="21"/>
              </w:rPr>
            </w:pPr>
            <w:r>
              <w:rPr>
                <w:rFonts w:hint="eastAsia" w:ascii="宋体" w:hAnsi="宋体" w:cs="宋体"/>
                <w:bCs/>
                <w:color w:val="auto"/>
                <w:kern w:val="0"/>
                <w:szCs w:val="21"/>
              </w:rPr>
              <w:t>照片</w:t>
            </w:r>
          </w:p>
        </w:tc>
        <w:tc>
          <w:tcPr>
            <w:tcW w:w="1995" w:type="pct"/>
            <w:gridSpan w:val="2"/>
            <w:tcBorders>
              <w:top w:val="single" w:color="auto" w:sz="4" w:space="0"/>
              <w:left w:val="nil"/>
              <w:bottom w:val="single" w:color="auto" w:sz="4" w:space="0"/>
              <w:right w:val="single" w:color="auto" w:sz="4" w:space="0"/>
            </w:tcBorders>
            <w:noWrap/>
            <w:vAlign w:val="center"/>
          </w:tcPr>
          <w:p>
            <w:pPr>
              <w:pStyle w:val="16"/>
              <w:jc w:val="left"/>
              <w:rPr>
                <w:rFonts w:ascii="宋体" w:hAnsi="宋体" w:cs="宋体"/>
                <w:bCs/>
                <w:color w:val="auto"/>
                <w:kern w:val="0"/>
                <w:szCs w:val="21"/>
              </w:rPr>
            </w:pPr>
          </w:p>
        </w:tc>
        <w:tc>
          <w:tcPr>
            <w:tcW w:w="753" w:type="pct"/>
            <w:tcBorders>
              <w:top w:val="single" w:color="auto" w:sz="4" w:space="0"/>
              <w:left w:val="nil"/>
              <w:bottom w:val="single" w:color="auto" w:sz="4" w:space="0"/>
              <w:right w:val="single" w:color="auto" w:sz="4" w:space="0"/>
            </w:tcBorders>
            <w:vAlign w:val="center"/>
          </w:tcPr>
          <w:p>
            <w:pPr>
              <w:pStyle w:val="16"/>
              <w:jc w:val="center"/>
              <w:rPr>
                <w:rFonts w:ascii="宋体" w:hAnsi="宋体" w:cs="宋体"/>
                <w:bCs/>
                <w:color w:val="auto"/>
                <w:kern w:val="0"/>
                <w:szCs w:val="21"/>
              </w:rPr>
            </w:pPr>
            <w:r>
              <w:rPr>
                <w:rFonts w:hint="eastAsia" w:ascii="宋体" w:hAnsi="宋体" w:cs="宋体"/>
                <w:bCs/>
                <w:color w:val="auto"/>
                <w:kern w:val="0"/>
                <w:szCs w:val="21"/>
              </w:rPr>
              <w:t>保安室</w:t>
            </w:r>
          </w:p>
          <w:p>
            <w:pPr>
              <w:pStyle w:val="16"/>
              <w:jc w:val="center"/>
              <w:rPr>
                <w:rFonts w:ascii="宋体" w:hAnsi="宋体" w:cs="宋体"/>
                <w:bCs/>
                <w:color w:val="auto"/>
                <w:kern w:val="0"/>
                <w:szCs w:val="21"/>
              </w:rPr>
            </w:pPr>
            <w:r>
              <w:rPr>
                <w:rFonts w:hint="eastAsia" w:ascii="宋体" w:hAnsi="宋体" w:cs="宋体"/>
                <w:bCs/>
                <w:color w:val="auto"/>
                <w:kern w:val="0"/>
                <w:szCs w:val="21"/>
              </w:rPr>
              <w:t>照片（如有）</w:t>
            </w:r>
          </w:p>
        </w:tc>
        <w:tc>
          <w:tcPr>
            <w:tcW w:w="1689" w:type="pct"/>
            <w:gridSpan w:val="2"/>
            <w:tcBorders>
              <w:top w:val="single" w:color="auto" w:sz="4" w:space="0"/>
              <w:left w:val="nil"/>
              <w:bottom w:val="single" w:color="auto" w:sz="4" w:space="0"/>
              <w:right w:val="single" w:color="auto" w:sz="4" w:space="0"/>
            </w:tcBorders>
            <w:vAlign w:val="center"/>
          </w:tcPr>
          <w:p>
            <w:pPr>
              <w:pStyle w:val="16"/>
              <w:jc w:val="left"/>
              <w:rPr>
                <w:rFonts w:ascii="宋体" w:hAnsi="宋体" w:cs="宋体"/>
                <w:bCs/>
                <w:color w:val="auto"/>
                <w:kern w:val="0"/>
                <w:szCs w:val="21"/>
              </w:rPr>
            </w:pPr>
          </w:p>
        </w:tc>
      </w:tr>
      <w:tr>
        <w:tblPrEx>
          <w:tblCellMar>
            <w:top w:w="0" w:type="dxa"/>
            <w:left w:w="108" w:type="dxa"/>
            <w:bottom w:w="0" w:type="dxa"/>
            <w:right w:w="108" w:type="dxa"/>
          </w:tblCellMar>
        </w:tblPrEx>
        <w:trPr>
          <w:trHeight w:val="98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bCs/>
                <w:color w:val="auto"/>
                <w:kern w:val="0"/>
                <w:szCs w:val="21"/>
              </w:rPr>
            </w:pPr>
            <w:r>
              <w:rPr>
                <w:rFonts w:hint="eastAsia" w:ascii="宋体" w:hAnsi="宋体" w:cs="宋体"/>
                <w:bCs/>
                <w:color w:val="auto"/>
                <w:kern w:val="0"/>
                <w:szCs w:val="21"/>
              </w:rPr>
              <w:t>小区内</w:t>
            </w:r>
          </w:p>
          <w:p>
            <w:pPr>
              <w:pStyle w:val="16"/>
              <w:jc w:val="center"/>
              <w:rPr>
                <w:rFonts w:ascii="宋体" w:hAnsi="宋体" w:cs="宋体"/>
                <w:bCs/>
                <w:color w:val="auto"/>
                <w:kern w:val="0"/>
                <w:szCs w:val="21"/>
              </w:rPr>
            </w:pPr>
            <w:r>
              <w:rPr>
                <w:rFonts w:hint="eastAsia" w:ascii="宋体" w:hAnsi="宋体" w:cs="宋体"/>
                <w:bCs/>
                <w:color w:val="auto"/>
                <w:kern w:val="0"/>
                <w:szCs w:val="21"/>
              </w:rPr>
              <w:t>照片</w:t>
            </w:r>
          </w:p>
        </w:tc>
        <w:tc>
          <w:tcPr>
            <w:tcW w:w="1995" w:type="pct"/>
            <w:gridSpan w:val="2"/>
            <w:tcBorders>
              <w:top w:val="single" w:color="auto" w:sz="4" w:space="0"/>
              <w:left w:val="nil"/>
              <w:bottom w:val="single" w:color="auto" w:sz="4" w:space="0"/>
              <w:right w:val="single" w:color="auto" w:sz="4" w:space="0"/>
            </w:tcBorders>
            <w:noWrap/>
            <w:vAlign w:val="center"/>
          </w:tcPr>
          <w:p>
            <w:pPr>
              <w:pStyle w:val="16"/>
              <w:jc w:val="left"/>
              <w:rPr>
                <w:rFonts w:ascii="宋体" w:hAnsi="宋体" w:cs="宋体"/>
                <w:bCs/>
                <w:color w:val="auto"/>
                <w:kern w:val="0"/>
                <w:szCs w:val="21"/>
              </w:rPr>
            </w:pPr>
          </w:p>
        </w:tc>
        <w:tc>
          <w:tcPr>
            <w:tcW w:w="753" w:type="pct"/>
            <w:tcBorders>
              <w:top w:val="single" w:color="auto" w:sz="4" w:space="0"/>
              <w:left w:val="nil"/>
              <w:bottom w:val="single" w:color="auto" w:sz="4" w:space="0"/>
              <w:right w:val="single" w:color="auto" w:sz="4" w:space="0"/>
            </w:tcBorders>
            <w:vAlign w:val="center"/>
          </w:tcPr>
          <w:p>
            <w:pPr>
              <w:pStyle w:val="16"/>
              <w:jc w:val="center"/>
              <w:rPr>
                <w:rFonts w:ascii="宋体" w:hAnsi="宋体" w:cs="宋体"/>
                <w:bCs/>
                <w:color w:val="auto"/>
                <w:kern w:val="0"/>
                <w:szCs w:val="21"/>
              </w:rPr>
            </w:pPr>
            <w:r>
              <w:rPr>
                <w:rFonts w:hint="eastAsia" w:ascii="宋体" w:hAnsi="宋体" w:cs="宋体"/>
                <w:bCs/>
                <w:color w:val="auto"/>
                <w:kern w:val="0"/>
                <w:szCs w:val="21"/>
              </w:rPr>
              <w:t>消防通道</w:t>
            </w:r>
          </w:p>
          <w:p>
            <w:pPr>
              <w:pStyle w:val="16"/>
              <w:jc w:val="center"/>
              <w:rPr>
                <w:rFonts w:ascii="宋体" w:hAnsi="宋体" w:cs="宋体"/>
                <w:bCs/>
                <w:color w:val="auto"/>
                <w:kern w:val="0"/>
                <w:szCs w:val="21"/>
              </w:rPr>
            </w:pPr>
            <w:r>
              <w:rPr>
                <w:rFonts w:hint="eastAsia" w:ascii="宋体" w:hAnsi="宋体" w:cs="宋体"/>
                <w:bCs/>
                <w:color w:val="auto"/>
                <w:kern w:val="0"/>
                <w:szCs w:val="21"/>
              </w:rPr>
              <w:t>照片（如有）</w:t>
            </w:r>
          </w:p>
          <w:p>
            <w:pPr>
              <w:rPr>
                <w:color w:val="auto"/>
              </w:rPr>
            </w:pPr>
          </w:p>
          <w:p>
            <w:pPr>
              <w:rPr>
                <w:rFonts w:ascii="宋体" w:hAnsi="宋体" w:cs="宋体"/>
                <w:bCs/>
                <w:color w:val="auto"/>
                <w:kern w:val="0"/>
                <w:szCs w:val="21"/>
              </w:rPr>
            </w:pPr>
          </w:p>
        </w:tc>
        <w:tc>
          <w:tcPr>
            <w:tcW w:w="1689" w:type="pct"/>
            <w:gridSpan w:val="2"/>
            <w:tcBorders>
              <w:top w:val="single" w:color="auto" w:sz="4" w:space="0"/>
              <w:left w:val="nil"/>
              <w:bottom w:val="single" w:color="auto" w:sz="4" w:space="0"/>
              <w:right w:val="single" w:color="auto" w:sz="4" w:space="0"/>
            </w:tcBorders>
            <w:vAlign w:val="center"/>
          </w:tcPr>
          <w:p>
            <w:pPr>
              <w:pStyle w:val="16"/>
              <w:jc w:val="left"/>
              <w:rPr>
                <w:rFonts w:ascii="宋体" w:hAnsi="宋体" w:cs="宋体"/>
                <w:bCs/>
                <w:color w:val="auto"/>
                <w:kern w:val="0"/>
                <w:szCs w:val="21"/>
              </w:rPr>
            </w:pPr>
          </w:p>
        </w:tc>
      </w:tr>
    </w:tbl>
    <w:p>
      <w:pPr>
        <w:rPr>
          <w:color w:val="auto"/>
        </w:rPr>
      </w:pPr>
    </w:p>
    <w:sectPr>
      <w:pgSz w:w="11906" w:h="16838"/>
      <w:pgMar w:top="1440" w:right="1803" w:bottom="1440" w:left="1803" w:header="851"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寰蒋闆呴粦">
    <w:altName w:val="微软雅黑"/>
    <w:panose1 w:val="00000000000000000000"/>
    <w:charset w:val="01"/>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华文细黑">
    <w:panose1 w:val="02010600040101010101"/>
    <w:charset w:val="86"/>
    <w:family w:val="auto"/>
    <w:pitch w:val="default"/>
    <w:sig w:usb0="00000287" w:usb1="080F0000" w:usb2="00000000" w:usb3="00000000" w:csb0="0004009F" w:csb1="DFD70000"/>
  </w:font>
  <w:font w:name="Futura Bk">
    <w:altName w:val="Courier New"/>
    <w:panose1 w:val="00000000000000000000"/>
    <w:charset w:val="00"/>
    <w:family w:val="auto"/>
    <w:pitch w:val="default"/>
    <w:sig w:usb0="00000000" w:usb1="00000000" w:usb2="00000000" w:usb3="00000000" w:csb0="000001FB" w:csb1="00000000"/>
  </w:font>
  <w:font w:name="Verdana">
    <w:panose1 w:val="020B0604030504040204"/>
    <w:charset w:val="00"/>
    <w:family w:val="swiss"/>
    <w:pitch w:val="default"/>
    <w:sig w:usb0="A00006FF" w:usb1="4000205B" w:usb2="00000010" w:usb3="00000000" w:csb0="2000019F"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Thorndale">
    <w:altName w:val="Times New Roman"/>
    <w:panose1 w:val="00000000000000000000"/>
    <w:charset w:val="00"/>
    <w:family w:val="roman"/>
    <w:pitch w:val="default"/>
    <w:sig w:usb0="00000000" w:usb1="00000000" w:usb2="00000000" w:usb3="00000000" w:csb0="00040001" w:csb1="00000000"/>
  </w:font>
  <w:font w:name="HG Mincho Light J">
    <w:altName w:val="Times New Roman"/>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2336" behindDoc="0" locked="0" layoutInCell="1" allowOverlap="1">
              <wp:simplePos x="0" y="0"/>
              <wp:positionH relativeFrom="margin">
                <wp:posOffset>2743200</wp:posOffset>
              </wp:positionH>
              <wp:positionV relativeFrom="paragraph">
                <wp:posOffset>-18415</wp:posOffset>
              </wp:positionV>
              <wp:extent cx="240665" cy="131445"/>
              <wp:effectExtent l="0" t="0" r="0" b="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240665" cy="131445"/>
                      </a:xfrm>
                      <a:prstGeom prst="rect">
                        <a:avLst/>
                      </a:prstGeom>
                      <a:noFill/>
                      <a:ln>
                        <a:noFill/>
                      </a:ln>
                      <a:effectLst/>
                    </wps:spPr>
                    <wps:txbx>
                      <w:txbxContent>
                        <w:p>
                          <w:pPr>
                            <w:pStyle w:val="29"/>
                          </w:pPr>
                        </w:p>
                      </w:txbxContent>
                    </wps:txbx>
                    <wps:bodyPr rot="0" vert="horz" wrap="square" lIns="0" tIns="0" rIns="0" bIns="0" anchor="t" anchorCtr="0" upright="1">
                      <a:spAutoFit/>
                    </wps:bodyPr>
                  </wps:wsp>
                </a:graphicData>
              </a:graphic>
            </wp:anchor>
          </w:drawing>
        </mc:Choice>
        <mc:Fallback>
          <w:pict>
            <v:shape id="Text Box 3" o:spid="_x0000_s1026" o:spt="202" type="#_x0000_t202" style="position:absolute;left:0pt;margin-left:216pt;margin-top:-1.45pt;height:10.35pt;width:18.95pt;mso-position-horizontal-relative:margin;z-index:251662336;mso-width-relative:page;mso-height-relative:page;" filled="f" stroked="f" coordsize="21600,21600" o:gfxdata="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RYkh1wAAAAkBAAAPAAAAAAAAAAEAIAAAACIAAABkcnMvZG93&#10;bnJldi54bWxQSwECFAAUAAAACACHTuJAXkypBAECAAARBAAADgAAAAAAAAABACAAAAAmAQAAZHJz&#10;L2Uyb0RvYy54bWxQSwUGAAAAAAYABgBZAQAAmQUAAAAA&#10;">
              <v:fill on="f" focussize="0,0"/>
              <v:stroke on="f"/>
              <v:imagedata o:title=""/>
              <o:lock v:ext="edit" aspectratio="f"/>
              <v:textbox inset="0mm,0mm,0mm,0mm" style="mso-fit-shape-to-text:t;">
                <w:txbxContent>
                  <w:p>
                    <w:pPr>
                      <w:pStyle w:val="29"/>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4445" r="1905" b="0"/>
              <wp:wrapNone/>
              <wp:docPr id="159" name="文本框 159"/>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4vdRNAAAAACAQAADwAAAAAAAAABACAAAAAiAAAAZHJz&#10;L2Rvd25yZXYueG1sUEsBAhQAFAAAAAgAh07iQJ7bIY0MAgAABQQAAA4AAAAAAAAAAQAgAAAAHwEA&#10;AGRycy9lMm9Eb2MueG1sUEsFBgAAAAAGAAYAWQEAAJ0FAAAAAA==&#10;">
              <v:fill on="f" focussize="0,0"/>
              <v:stroke on="f"/>
              <v:imagedata o:title=""/>
              <o:lock v:ext="edit" aspectratio="f"/>
              <v:textbox inset="0mm,0mm,0mm,0mm" style="mso-fit-shape-to-text:t;">
                <w:txbxContent>
                  <w:p>
                    <w:pPr>
                      <w:pStyle w:val="2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page" w:x="5401" w:y="387"/>
      <w:rPr>
        <w:rStyle w:val="45"/>
        <w:rFonts w:ascii="宋体" w:hAnsi="宋体"/>
      </w:rPr>
    </w:pPr>
    <w:r>
      <w:rPr>
        <w:rStyle w:val="45"/>
        <w:rFonts w:hint="eastAsia" w:ascii="宋体" w:hAnsi="宋体"/>
        <w:szCs w:val="21"/>
      </w:rPr>
      <w:t xml:space="preserve">第 </w:t>
    </w:r>
    <w:r>
      <w:rPr>
        <w:rFonts w:ascii="宋体" w:hAnsi="宋体"/>
        <w:szCs w:val="21"/>
      </w:rPr>
      <w:fldChar w:fldCharType="begin"/>
    </w:r>
    <w:r>
      <w:rPr>
        <w:rStyle w:val="45"/>
        <w:rFonts w:ascii="宋体" w:hAnsi="宋体"/>
        <w:szCs w:val="21"/>
      </w:rPr>
      <w:instrText xml:space="preserve"> PAGE </w:instrText>
    </w:r>
    <w:r>
      <w:rPr>
        <w:rFonts w:ascii="宋体" w:hAnsi="宋体"/>
        <w:szCs w:val="21"/>
      </w:rPr>
      <w:fldChar w:fldCharType="separate"/>
    </w:r>
    <w:r>
      <w:rPr>
        <w:rStyle w:val="45"/>
        <w:rFonts w:ascii="宋体" w:hAnsi="宋体"/>
        <w:szCs w:val="21"/>
      </w:rPr>
      <w:t>61</w:t>
    </w:r>
    <w:r>
      <w:rPr>
        <w:rFonts w:ascii="宋体" w:hAnsi="宋体"/>
        <w:szCs w:val="21"/>
      </w:rPr>
      <w:fldChar w:fldCharType="end"/>
    </w:r>
    <w:r>
      <w:rPr>
        <w:rStyle w:val="45"/>
        <w:rFonts w:hint="eastAsia" w:ascii="宋体" w:hAnsi="宋体"/>
        <w:szCs w:val="21"/>
      </w:rPr>
      <w:t xml:space="preserve"> 页 共 </w:t>
    </w:r>
    <w:r>
      <w:rPr>
        <w:rFonts w:ascii="宋体" w:hAnsi="宋体"/>
        <w:szCs w:val="21"/>
      </w:rPr>
      <w:fldChar w:fldCharType="begin"/>
    </w:r>
    <w:r>
      <w:rPr>
        <w:rStyle w:val="45"/>
        <w:rFonts w:ascii="宋体" w:hAnsi="宋体"/>
        <w:szCs w:val="21"/>
      </w:rPr>
      <w:instrText xml:space="preserve"> NUMPAGES </w:instrText>
    </w:r>
    <w:r>
      <w:rPr>
        <w:rFonts w:ascii="宋体" w:hAnsi="宋体"/>
        <w:szCs w:val="21"/>
      </w:rPr>
      <w:fldChar w:fldCharType="separate"/>
    </w:r>
    <w:r>
      <w:rPr>
        <w:rStyle w:val="45"/>
        <w:rFonts w:ascii="宋体" w:hAnsi="宋体"/>
        <w:szCs w:val="21"/>
      </w:rPr>
      <w:t>114</w:t>
    </w:r>
    <w:r>
      <w:rPr>
        <w:rFonts w:ascii="宋体" w:hAnsi="宋体"/>
        <w:szCs w:val="21"/>
      </w:rPr>
      <w:fldChar w:fldCharType="end"/>
    </w:r>
    <w:r>
      <w:rPr>
        <w:rStyle w:val="45"/>
        <w:rFonts w:hint="eastAsia" w:ascii="宋体" w:hAnsi="宋体"/>
        <w:szCs w:val="21"/>
      </w:rPr>
      <w:t xml:space="preserve"> 页</w:t>
    </w:r>
  </w:p>
  <w:p>
    <w:pPr>
      <w:pStyle w:val="29"/>
      <w:ind w:right="360"/>
      <w:rPr>
        <w:rFonts w:ascii="宋体" w:hAnsi="宋体"/>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5"/>
      </w:rPr>
    </w:pPr>
    <w:r>
      <w:fldChar w:fldCharType="begin"/>
    </w:r>
    <w:r>
      <w:rPr>
        <w:rStyle w:val="45"/>
      </w:rPr>
      <w:instrText xml:space="preserve">PAGE  </w:instrText>
    </w:r>
    <w:r>
      <w:fldChar w:fldCharType="end"/>
    </w:r>
  </w:p>
  <w:p>
    <w:pPr>
      <w:pStyle w:val="2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4445" r="1905" b="0"/>
              <wp:wrapNone/>
              <wp:docPr id="158" name="文本框 158"/>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9"/>
                          </w:pP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4vdRNAAAAACAQAADwAAAAAAAAABACAAAAAiAAAAZHJz&#10;L2Rvd25yZXYueG1sUEsBAhQAFAAAAAgAh07iQN4aeUQMAgAABQQAAA4AAAAAAAAAAQAgAAAAHwEA&#10;AGRycy9lMm9Eb2MueG1sUEsFBgAAAAAGAAYAWQEAAJ0FAAAAAA==&#10;">
              <v:fill on="f" focussize="0,0"/>
              <v:stroke on="f"/>
              <v:imagedata o:title=""/>
              <o:lock v:ext="edit" aspectratio="f"/>
              <v:textbox inset="0mm,0mm,0mm,0mm" style="mso-fit-shape-to-text:t;">
                <w:txbxContent>
                  <w:p>
                    <w:pPr>
                      <w:pStyle w:val="29"/>
                    </w:pP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1905" r="1905" b="0"/>
              <wp:wrapNone/>
              <wp:docPr id="157" name="文本框 157"/>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9"/>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V+SdAAAAADAQAADwAAAAAAAAABACAAAAAiAAAAZHJz&#10;L2Rvd25yZXYueG1sUEsBAhQAFAAAAAgAh07iQCrCJLkMAgAABgQAAA4AAAAAAAAAAQAgAAAAHwEA&#10;AGRycy9lMm9Eb2MueG1sUEsFBgAAAAAGAAYAWQEAAJ0FAAAAAA==&#10;">
              <v:fill on="f" focussize="0,0"/>
              <v:stroke on="f"/>
              <v:imagedata o:title=""/>
              <o:lock v:ext="edit" aspectratio="f"/>
              <v:textbox inset="0mm,0mm,0mm,0mm" style="mso-fit-shape-to-text:t;">
                <w:txbxContent>
                  <w:p>
                    <w:pPr>
                      <w:pStyle w:val="29"/>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4114800" cy="504825"/>
              <wp:effectExtent l="1805305" t="0" r="0" b="0"/>
              <wp:wrapNone/>
              <wp:docPr id="3" name="文本框 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4114800" cy="504825"/>
                      </a:xfrm>
                      <a:prstGeom prst="rect">
                        <a:avLst/>
                      </a:prstGeom>
                      <a:noFill/>
                      <a:ln>
                        <a:noFill/>
                      </a:ln>
                      <a:effectLst/>
                    </wps:spPr>
                    <wps:txbx>
                      <w:txbxContent>
                        <w:p>
                          <w:pPr>
                            <w:pStyle w:val="37"/>
                            <w:spacing w:before="0" w:beforeAutospacing="0" w:after="0" w:afterAutospacing="0"/>
                            <w:jc w:val="center"/>
                          </w:pPr>
                          <w:r>
                            <w:rPr>
                              <w:rFonts w:ascii="楷体_GB2312"/>
                              <w:color w:val="C0C0C0"/>
                              <w:sz w:val="80"/>
                              <w:szCs w:val="80"/>
                            </w:rPr>
                            <w:t>金华阳光招标代理</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height:39.75pt;width:324pt;mso-position-horizontal:center;mso-position-horizontal-relative:margin;mso-position-vertical:center;mso-position-vertical-relative:margin;rotation:-2949120f;z-index:-251653120;mso-width-relative:page;mso-height-relative:page;" filled="f" stroked="f" coordsize="21600,21600" o:allowincell="f" o:gfxdata="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ATgMrUAAAABAEAAA8AAAAAAAAAAQAgAAAAIgAAAGRycy9k&#10;b3ducmV2LnhtbFBLAQIUABQAAAAIAIdO4kAo/AsAPwIAAGkEAAAOAAAAAAAAAAEAIAAAACMBAABk&#10;cnMvZTJvRG9jLnhtbFBLBQYAAAAABgAGAFkBAADUBQAAAAA=&#10;" adj="10800">
              <v:fill on="f" focussize="0,0"/>
              <v:stroke on="f"/>
              <v:imagedata o:title=""/>
              <o:lock v:ext="edit" text="t" aspectratio="f"/>
              <v:textbox style="mso-fit-shape-to-text:t;">
                <w:txbxContent>
                  <w:p>
                    <w:pPr>
                      <w:pStyle w:val="37"/>
                      <w:spacing w:before="0" w:beforeAutospacing="0" w:after="0" w:afterAutospacing="0"/>
                      <w:jc w:val="center"/>
                    </w:pPr>
                    <w:r>
                      <w:rPr>
                        <w:rFonts w:ascii="楷体_GB2312"/>
                        <w:color w:val="C0C0C0"/>
                        <w:sz w:val="80"/>
                        <w:szCs w:val="80"/>
                      </w:rPr>
                      <w:t>金华阳光招标代理</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pStyle w:val="98"/>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7"/>
    <w:multiLevelType w:val="multilevel"/>
    <w:tmpl w:val="00000007"/>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1145" w:hanging="720"/>
      </w:pPr>
      <w:rPr>
        <w:lang w:val="en-US"/>
      </w:rPr>
    </w:lvl>
    <w:lvl w:ilvl="3" w:tentative="0">
      <w:start w:val="1"/>
      <w:numFmt w:val="decimal"/>
      <w:lvlText w:val="%1.%2.%3.%4"/>
      <w:lvlJc w:val="left"/>
      <w:pPr>
        <w:ind w:left="864" w:hanging="864"/>
      </w:pPr>
    </w:lvl>
    <w:lvl w:ilvl="4" w:tentative="0">
      <w:start w:val="1"/>
      <w:numFmt w:val="decimal"/>
      <w:pStyle w:val="8"/>
      <w:lvlText w:val="%1.%2.%3.%4.%5"/>
      <w:lvlJc w:val="left"/>
      <w:pPr>
        <w:ind w:left="1008" w:hanging="1008"/>
      </w:pPr>
    </w:lvl>
    <w:lvl w:ilvl="5" w:tentative="0">
      <w:start w:val="1"/>
      <w:numFmt w:val="decimal"/>
      <w:pStyle w:val="9"/>
      <w:lvlText w:val="%1.%2.%3.%4.%5.%6"/>
      <w:lvlJc w:val="left"/>
      <w:pPr>
        <w:ind w:left="1152" w:hanging="1152"/>
      </w:pPr>
    </w:lvl>
    <w:lvl w:ilvl="6" w:tentative="0">
      <w:start w:val="1"/>
      <w:numFmt w:val="decimal"/>
      <w:pStyle w:val="10"/>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00000009"/>
    <w:multiLevelType w:val="multilevel"/>
    <w:tmpl w:val="00000009"/>
    <w:lvl w:ilvl="0" w:tentative="0">
      <w:start w:val="1"/>
      <w:numFmt w:val="bullet"/>
      <w:pStyle w:val="162"/>
      <w:lvlText w:val=""/>
      <w:lvlJc w:val="left"/>
      <w:pPr>
        <w:tabs>
          <w:tab w:val="left" w:pos="840"/>
        </w:tabs>
        <w:ind w:left="840" w:hanging="420"/>
      </w:pPr>
      <w:rPr>
        <w:rFonts w:hint="default" w:ascii="Wingdings" w:hAnsi="Wingdings"/>
        <w:color w:val="000080"/>
        <w:sz w:val="15"/>
        <w:szCs w:val="15"/>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0000000A"/>
    <w:multiLevelType w:val="singleLevel"/>
    <w:tmpl w:val="0000000A"/>
    <w:lvl w:ilvl="0" w:tentative="0">
      <w:start w:val="1"/>
      <w:numFmt w:val="decimal"/>
      <w:pStyle w:val="20"/>
      <w:lvlText w:val="%1."/>
      <w:lvlJc w:val="left"/>
      <w:pPr>
        <w:tabs>
          <w:tab w:val="left" w:pos="1200"/>
        </w:tabs>
        <w:ind w:left="1200" w:hanging="360"/>
      </w:pPr>
    </w:lvl>
  </w:abstractNum>
  <w:abstractNum w:abstractNumId="4">
    <w:nsid w:val="0000000B"/>
    <w:multiLevelType w:val="singleLevel"/>
    <w:tmpl w:val="0000000B"/>
    <w:lvl w:ilvl="0" w:tentative="0">
      <w:start w:val="1"/>
      <w:numFmt w:val="decimal"/>
      <w:suff w:val="nothing"/>
      <w:lvlText w:val="（%1）"/>
      <w:lvlJc w:val="left"/>
      <w:pPr>
        <w:ind w:left="0" w:firstLine="400"/>
      </w:pPr>
      <w:rPr>
        <w:rFonts w:hint="default"/>
      </w:rPr>
    </w:lvl>
  </w:abstractNum>
  <w:abstractNum w:abstractNumId="5">
    <w:nsid w:val="32786B21"/>
    <w:multiLevelType w:val="multilevel"/>
    <w:tmpl w:val="32786B21"/>
    <w:lvl w:ilvl="0" w:tentative="0">
      <w:start w:val="1"/>
      <w:numFmt w:val="japaneseCounting"/>
      <w:lvlText w:val="第%1条"/>
      <w:lvlJc w:val="left"/>
      <w:pPr>
        <w:tabs>
          <w:tab w:val="left" w:pos="960"/>
        </w:tabs>
        <w:ind w:left="960" w:hanging="960"/>
      </w:pPr>
      <w:rPr>
        <w:rFonts w:hint="eastAsia"/>
        <w:b/>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C45A2A8"/>
    <w:multiLevelType w:val="singleLevel"/>
    <w:tmpl w:val="5C45A2A8"/>
    <w:lvl w:ilvl="0" w:tentative="0">
      <w:start w:val="1"/>
      <w:numFmt w:val="chineseCounting"/>
      <w:suff w:val="nothing"/>
      <w:lvlText w:val="%1、"/>
      <w:lvlJc w:val="left"/>
      <w:rPr>
        <w:rFonts w:hint="eastAsia"/>
      </w:rPr>
    </w:lvl>
  </w:abstractNum>
  <w:abstractNum w:abstractNumId="7">
    <w:nsid w:val="62C440C4"/>
    <w:multiLevelType w:val="multilevel"/>
    <w:tmpl w:val="62C440C4"/>
    <w:lvl w:ilvl="0" w:tentative="0">
      <w:start w:val="1"/>
      <w:numFmt w:val="bullet"/>
      <w:lvlText w:val=""/>
      <w:lvlJc w:val="left"/>
      <w:pPr>
        <w:ind w:left="900" w:hanging="420"/>
      </w:pPr>
      <w:rPr>
        <w:rFonts w:hint="default" w:ascii="Wingdings" w:hAnsi="Wingding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3"/>
  </w:num>
  <w:num w:numId="3">
    <w:abstractNumId w:val="0"/>
  </w:num>
  <w:num w:numId="4">
    <w:abstractNumId w:val="2"/>
  </w:num>
  <w:num w:numId="5">
    <w:abstractNumId w:val="7"/>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5YzU3MTkyMTFmYThiNmUwYzMwMGYyODE3NzRhZGEifQ=="/>
  </w:docVars>
  <w:rsids>
    <w:rsidRoot w:val="007C2560"/>
    <w:rsid w:val="000210E1"/>
    <w:rsid w:val="00027412"/>
    <w:rsid w:val="0003441B"/>
    <w:rsid w:val="00053CF5"/>
    <w:rsid w:val="00081213"/>
    <w:rsid w:val="00094FE1"/>
    <w:rsid w:val="000C0CD8"/>
    <w:rsid w:val="000D14B7"/>
    <w:rsid w:val="000E1234"/>
    <w:rsid w:val="0010244D"/>
    <w:rsid w:val="00136259"/>
    <w:rsid w:val="00141D8E"/>
    <w:rsid w:val="001775AB"/>
    <w:rsid w:val="001875B2"/>
    <w:rsid w:val="001B0E19"/>
    <w:rsid w:val="001B6C96"/>
    <w:rsid w:val="001C1C4C"/>
    <w:rsid w:val="001E47C3"/>
    <w:rsid w:val="001F058C"/>
    <w:rsid w:val="001F2C08"/>
    <w:rsid w:val="002012F7"/>
    <w:rsid w:val="00216432"/>
    <w:rsid w:val="0021691A"/>
    <w:rsid w:val="00241048"/>
    <w:rsid w:val="002927FE"/>
    <w:rsid w:val="002C0900"/>
    <w:rsid w:val="00322129"/>
    <w:rsid w:val="00361F2D"/>
    <w:rsid w:val="00362C01"/>
    <w:rsid w:val="00380EE9"/>
    <w:rsid w:val="003943D8"/>
    <w:rsid w:val="00397C39"/>
    <w:rsid w:val="003B1D08"/>
    <w:rsid w:val="003C6A85"/>
    <w:rsid w:val="003D2399"/>
    <w:rsid w:val="003F3EA3"/>
    <w:rsid w:val="004014D1"/>
    <w:rsid w:val="0041612E"/>
    <w:rsid w:val="00460BBF"/>
    <w:rsid w:val="00471456"/>
    <w:rsid w:val="004A3AD3"/>
    <w:rsid w:val="004B66AC"/>
    <w:rsid w:val="004C0EA2"/>
    <w:rsid w:val="004C71CD"/>
    <w:rsid w:val="005113DC"/>
    <w:rsid w:val="00532F87"/>
    <w:rsid w:val="00561694"/>
    <w:rsid w:val="00592169"/>
    <w:rsid w:val="005952A0"/>
    <w:rsid w:val="005977E9"/>
    <w:rsid w:val="005A2132"/>
    <w:rsid w:val="005C1C4F"/>
    <w:rsid w:val="005C5A7D"/>
    <w:rsid w:val="005E2F41"/>
    <w:rsid w:val="0060507C"/>
    <w:rsid w:val="00617ECB"/>
    <w:rsid w:val="00681791"/>
    <w:rsid w:val="00691A63"/>
    <w:rsid w:val="006928BC"/>
    <w:rsid w:val="006E1B6B"/>
    <w:rsid w:val="006E7702"/>
    <w:rsid w:val="006F0A09"/>
    <w:rsid w:val="007203EB"/>
    <w:rsid w:val="0072407A"/>
    <w:rsid w:val="00774A11"/>
    <w:rsid w:val="007C0FF5"/>
    <w:rsid w:val="007C2560"/>
    <w:rsid w:val="007C4267"/>
    <w:rsid w:val="007D26E5"/>
    <w:rsid w:val="007F4ED2"/>
    <w:rsid w:val="0080791B"/>
    <w:rsid w:val="0081692B"/>
    <w:rsid w:val="00817E9B"/>
    <w:rsid w:val="00841E3C"/>
    <w:rsid w:val="00853169"/>
    <w:rsid w:val="0085658E"/>
    <w:rsid w:val="00864691"/>
    <w:rsid w:val="008D20E6"/>
    <w:rsid w:val="008D3982"/>
    <w:rsid w:val="008D5531"/>
    <w:rsid w:val="008E0839"/>
    <w:rsid w:val="008E290C"/>
    <w:rsid w:val="008F13C4"/>
    <w:rsid w:val="008F2F9C"/>
    <w:rsid w:val="009063DC"/>
    <w:rsid w:val="009147FD"/>
    <w:rsid w:val="0092595F"/>
    <w:rsid w:val="00935525"/>
    <w:rsid w:val="009521E6"/>
    <w:rsid w:val="0095312A"/>
    <w:rsid w:val="0097297D"/>
    <w:rsid w:val="00985341"/>
    <w:rsid w:val="00996CD6"/>
    <w:rsid w:val="009A0D8F"/>
    <w:rsid w:val="009A256D"/>
    <w:rsid w:val="009E784E"/>
    <w:rsid w:val="00A10994"/>
    <w:rsid w:val="00A55865"/>
    <w:rsid w:val="00A93F64"/>
    <w:rsid w:val="00A959FB"/>
    <w:rsid w:val="00A974B6"/>
    <w:rsid w:val="00AF1C0B"/>
    <w:rsid w:val="00B148D0"/>
    <w:rsid w:val="00B1521A"/>
    <w:rsid w:val="00B4308C"/>
    <w:rsid w:val="00B64EC2"/>
    <w:rsid w:val="00B7412C"/>
    <w:rsid w:val="00BE718B"/>
    <w:rsid w:val="00C161CE"/>
    <w:rsid w:val="00C2593F"/>
    <w:rsid w:val="00C45329"/>
    <w:rsid w:val="00C7465E"/>
    <w:rsid w:val="00C903AC"/>
    <w:rsid w:val="00C91D52"/>
    <w:rsid w:val="00CA1E5D"/>
    <w:rsid w:val="00CA4E06"/>
    <w:rsid w:val="00CA5424"/>
    <w:rsid w:val="00CD7228"/>
    <w:rsid w:val="00CE345C"/>
    <w:rsid w:val="00D0495C"/>
    <w:rsid w:val="00D16FCA"/>
    <w:rsid w:val="00D33C88"/>
    <w:rsid w:val="00D37F16"/>
    <w:rsid w:val="00D50865"/>
    <w:rsid w:val="00D60CAD"/>
    <w:rsid w:val="00D75AAC"/>
    <w:rsid w:val="00D8211D"/>
    <w:rsid w:val="00D842F3"/>
    <w:rsid w:val="00D844B0"/>
    <w:rsid w:val="00DA3CA0"/>
    <w:rsid w:val="00DA461E"/>
    <w:rsid w:val="00E03865"/>
    <w:rsid w:val="00E3139B"/>
    <w:rsid w:val="00E65900"/>
    <w:rsid w:val="00E704E3"/>
    <w:rsid w:val="00E80A2F"/>
    <w:rsid w:val="00F01E10"/>
    <w:rsid w:val="00F16C36"/>
    <w:rsid w:val="00F7078D"/>
    <w:rsid w:val="00F72045"/>
    <w:rsid w:val="00F83AB2"/>
    <w:rsid w:val="00F87E59"/>
    <w:rsid w:val="00F902D4"/>
    <w:rsid w:val="00FA2D49"/>
    <w:rsid w:val="00FB288D"/>
    <w:rsid w:val="00FF1064"/>
    <w:rsid w:val="0331457D"/>
    <w:rsid w:val="03F139E0"/>
    <w:rsid w:val="047D7C3C"/>
    <w:rsid w:val="05746D31"/>
    <w:rsid w:val="05C23615"/>
    <w:rsid w:val="067343CC"/>
    <w:rsid w:val="07E252BA"/>
    <w:rsid w:val="0885000D"/>
    <w:rsid w:val="09291F98"/>
    <w:rsid w:val="09AE444E"/>
    <w:rsid w:val="09C0247F"/>
    <w:rsid w:val="0AB50FDA"/>
    <w:rsid w:val="0B6E2B15"/>
    <w:rsid w:val="0DB70DFF"/>
    <w:rsid w:val="0F7F7A7D"/>
    <w:rsid w:val="167373AA"/>
    <w:rsid w:val="17036B53"/>
    <w:rsid w:val="19D43730"/>
    <w:rsid w:val="19E03A2B"/>
    <w:rsid w:val="1BFB0C65"/>
    <w:rsid w:val="1CE46B5B"/>
    <w:rsid w:val="1D4B6604"/>
    <w:rsid w:val="1E7C05C5"/>
    <w:rsid w:val="1F2B27D9"/>
    <w:rsid w:val="20B765CF"/>
    <w:rsid w:val="211B1C44"/>
    <w:rsid w:val="212B7F60"/>
    <w:rsid w:val="213D53EE"/>
    <w:rsid w:val="21C67A5A"/>
    <w:rsid w:val="26010A9F"/>
    <w:rsid w:val="27EB6D7D"/>
    <w:rsid w:val="2AD55F60"/>
    <w:rsid w:val="2B615C4F"/>
    <w:rsid w:val="2E3F51C4"/>
    <w:rsid w:val="3233208C"/>
    <w:rsid w:val="3648187D"/>
    <w:rsid w:val="3734356B"/>
    <w:rsid w:val="378B480D"/>
    <w:rsid w:val="3793764F"/>
    <w:rsid w:val="38001ABC"/>
    <w:rsid w:val="3CB30EDA"/>
    <w:rsid w:val="3DCE3E6E"/>
    <w:rsid w:val="3E376747"/>
    <w:rsid w:val="3FE17823"/>
    <w:rsid w:val="404072D9"/>
    <w:rsid w:val="40736F4F"/>
    <w:rsid w:val="457859A9"/>
    <w:rsid w:val="486D1CE1"/>
    <w:rsid w:val="4B1F5F81"/>
    <w:rsid w:val="4C6540ED"/>
    <w:rsid w:val="4F89503B"/>
    <w:rsid w:val="50EB0717"/>
    <w:rsid w:val="51236B89"/>
    <w:rsid w:val="53114CCD"/>
    <w:rsid w:val="53350C97"/>
    <w:rsid w:val="5489337A"/>
    <w:rsid w:val="549F3B9B"/>
    <w:rsid w:val="5A0C7DA1"/>
    <w:rsid w:val="5BB73D3C"/>
    <w:rsid w:val="5C8E25E8"/>
    <w:rsid w:val="5E031366"/>
    <w:rsid w:val="627A4335"/>
    <w:rsid w:val="644160E2"/>
    <w:rsid w:val="679D3D5C"/>
    <w:rsid w:val="68D416A8"/>
    <w:rsid w:val="68F7604B"/>
    <w:rsid w:val="6C861CAC"/>
    <w:rsid w:val="6F4E5943"/>
    <w:rsid w:val="70260743"/>
    <w:rsid w:val="75807D3C"/>
    <w:rsid w:val="775B0486"/>
    <w:rsid w:val="77B70DF8"/>
    <w:rsid w:val="77C87FD8"/>
    <w:rsid w:val="78E6354B"/>
    <w:rsid w:val="78FB5075"/>
    <w:rsid w:val="79D73A3F"/>
    <w:rsid w:val="7BB6401D"/>
    <w:rsid w:val="7BBF3D5B"/>
    <w:rsid w:val="7C221325"/>
    <w:rsid w:val="7DBF2084"/>
    <w:rsid w:val="7DCC0E73"/>
    <w:rsid w:val="7DDE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1"/>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62"/>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6"/>
    <w:link w:val="64"/>
    <w:qFormat/>
    <w:uiPriority w:val="0"/>
    <w:pPr>
      <w:keepNext/>
      <w:keepLines/>
      <w:spacing w:before="260" w:after="260" w:line="413" w:lineRule="auto"/>
      <w:outlineLvl w:val="2"/>
    </w:pPr>
    <w:rPr>
      <w:b/>
      <w:sz w:val="32"/>
      <w:szCs w:val="20"/>
    </w:rPr>
  </w:style>
  <w:style w:type="paragraph" w:styleId="7">
    <w:name w:val="heading 4"/>
    <w:basedOn w:val="1"/>
    <w:next w:val="1"/>
    <w:link w:val="65"/>
    <w:qFormat/>
    <w:uiPriority w:val="0"/>
    <w:pPr>
      <w:keepNext/>
      <w:keepLines/>
      <w:spacing w:before="280" w:after="290" w:line="372" w:lineRule="auto"/>
      <w:outlineLvl w:val="3"/>
    </w:pPr>
    <w:rPr>
      <w:rFonts w:ascii="Arial" w:hAnsi="Arial" w:eastAsia="黑体"/>
      <w:b/>
      <w:bCs/>
      <w:sz w:val="28"/>
      <w:szCs w:val="28"/>
    </w:rPr>
  </w:style>
  <w:style w:type="paragraph" w:styleId="8">
    <w:name w:val="heading 5"/>
    <w:basedOn w:val="1"/>
    <w:next w:val="1"/>
    <w:link w:val="66"/>
    <w:qFormat/>
    <w:uiPriority w:val="0"/>
    <w:pPr>
      <w:keepNext/>
      <w:keepLines/>
      <w:numPr>
        <w:ilvl w:val="4"/>
        <w:numId w:val="1"/>
      </w:numPr>
      <w:spacing w:before="280" w:after="290" w:line="372" w:lineRule="auto"/>
      <w:outlineLvl w:val="4"/>
    </w:pPr>
    <w:rPr>
      <w:b/>
      <w:bCs/>
      <w:sz w:val="24"/>
      <w:szCs w:val="28"/>
    </w:rPr>
  </w:style>
  <w:style w:type="paragraph" w:styleId="9">
    <w:name w:val="heading 6"/>
    <w:basedOn w:val="1"/>
    <w:next w:val="1"/>
    <w:link w:val="67"/>
    <w:qFormat/>
    <w:uiPriority w:val="0"/>
    <w:pPr>
      <w:keepNext/>
      <w:keepLines/>
      <w:numPr>
        <w:ilvl w:val="5"/>
        <w:numId w:val="1"/>
      </w:numPr>
      <w:spacing w:before="240" w:after="64" w:line="317" w:lineRule="auto"/>
      <w:outlineLvl w:val="5"/>
    </w:pPr>
    <w:rPr>
      <w:rFonts w:ascii="Cambria" w:hAnsi="Cambria"/>
      <w:b/>
      <w:bCs/>
      <w:sz w:val="24"/>
    </w:rPr>
  </w:style>
  <w:style w:type="paragraph" w:styleId="10">
    <w:name w:val="heading 7"/>
    <w:basedOn w:val="1"/>
    <w:next w:val="1"/>
    <w:link w:val="68"/>
    <w:qFormat/>
    <w:uiPriority w:val="0"/>
    <w:pPr>
      <w:keepNext/>
      <w:keepLines/>
      <w:numPr>
        <w:ilvl w:val="6"/>
        <w:numId w:val="1"/>
      </w:numPr>
      <w:spacing w:before="240" w:after="64" w:line="317" w:lineRule="auto"/>
      <w:outlineLvl w:val="6"/>
    </w:pPr>
    <w:rPr>
      <w:b/>
      <w:bCs/>
      <w:sz w:val="24"/>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0"/>
    <w:pPr>
      <w:widowControl/>
      <w:ind w:left="720" w:firstLine="360"/>
      <w:jc w:val="left"/>
    </w:pPr>
    <w:rPr>
      <w:kern w:val="0"/>
      <w:sz w:val="22"/>
      <w:szCs w:val="22"/>
      <w:lang w:eastAsia="en-US" w:bidi="en-US"/>
    </w:rPr>
  </w:style>
  <w:style w:type="paragraph" w:styleId="6">
    <w:name w:val="Normal Indent"/>
    <w:basedOn w:val="1"/>
    <w:link w:val="63"/>
    <w:qFormat/>
    <w:uiPriority w:val="0"/>
    <w:pPr>
      <w:ind w:firstLine="420"/>
    </w:pPr>
    <w:rPr>
      <w:szCs w:val="20"/>
    </w:rPr>
  </w:style>
  <w:style w:type="paragraph" w:styleId="11">
    <w:name w:val="List Number"/>
    <w:basedOn w:val="1"/>
    <w:qFormat/>
    <w:uiPriority w:val="0"/>
    <w:pPr>
      <w:widowControl/>
      <w:tabs>
        <w:tab w:val="left" w:pos="454"/>
        <w:tab w:val="left" w:pos="720"/>
      </w:tabs>
      <w:spacing w:after="156" w:afterLines="50"/>
      <w:ind w:left="454" w:hanging="284"/>
      <w:jc w:val="left"/>
    </w:pPr>
    <w:rPr>
      <w:kern w:val="0"/>
      <w:sz w:val="24"/>
      <w:szCs w:val="20"/>
    </w:r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Document Map"/>
    <w:basedOn w:val="1"/>
    <w:link w:val="69"/>
    <w:qFormat/>
    <w:uiPriority w:val="0"/>
    <w:pPr>
      <w:shd w:val="clear" w:color="auto" w:fill="000080"/>
    </w:pPr>
  </w:style>
  <w:style w:type="paragraph" w:styleId="14">
    <w:name w:val="annotation text"/>
    <w:basedOn w:val="1"/>
    <w:link w:val="70"/>
    <w:qFormat/>
    <w:uiPriority w:val="0"/>
    <w:pPr>
      <w:jc w:val="left"/>
    </w:pPr>
    <w:rPr>
      <w:szCs w:val="20"/>
    </w:rPr>
  </w:style>
  <w:style w:type="paragraph" w:styleId="15">
    <w:name w:val="Body Text 3"/>
    <w:basedOn w:val="1"/>
    <w:link w:val="71"/>
    <w:qFormat/>
    <w:uiPriority w:val="0"/>
    <w:pPr>
      <w:snapToGrid w:val="0"/>
      <w:spacing w:before="50" w:after="50"/>
    </w:pPr>
    <w:rPr>
      <w:rFonts w:hAnsi="宋体" w:eastAsia="仿宋_GB2312"/>
      <w:b/>
      <w:bCs/>
      <w:sz w:val="24"/>
      <w:szCs w:val="20"/>
    </w:rPr>
  </w:style>
  <w:style w:type="paragraph" w:styleId="16">
    <w:name w:val="Body Text"/>
    <w:basedOn w:val="1"/>
    <w:next w:val="17"/>
    <w:link w:val="60"/>
    <w:unhideWhenUsed/>
    <w:qFormat/>
    <w:uiPriority w:val="0"/>
    <w:pPr>
      <w:spacing w:after="120"/>
    </w:pPr>
  </w:style>
  <w:style w:type="paragraph" w:styleId="17">
    <w:name w:val="Body Text First Indent"/>
    <w:basedOn w:val="16"/>
    <w:next w:val="18"/>
    <w:link w:val="59"/>
    <w:qFormat/>
    <w:uiPriority w:val="0"/>
    <w:pPr>
      <w:ind w:firstLine="420" w:firstLineChars="100"/>
    </w:pPr>
    <w:rPr>
      <w:rFonts w:ascii="Calibri" w:hAnsi="Calibri"/>
      <w:szCs w:val="22"/>
    </w:rPr>
  </w:style>
  <w:style w:type="paragraph" w:styleId="18">
    <w:name w:val="toc 6"/>
    <w:basedOn w:val="1"/>
    <w:next w:val="1"/>
    <w:qFormat/>
    <w:uiPriority w:val="0"/>
    <w:pPr>
      <w:ind w:left="1050"/>
      <w:jc w:val="left"/>
    </w:pPr>
    <w:rPr>
      <w:sz w:val="18"/>
      <w:szCs w:val="18"/>
    </w:rPr>
  </w:style>
  <w:style w:type="paragraph" w:styleId="19">
    <w:name w:val="Body Text Indent"/>
    <w:basedOn w:val="1"/>
    <w:next w:val="1"/>
    <w:link w:val="72"/>
    <w:qFormat/>
    <w:uiPriority w:val="0"/>
    <w:pPr>
      <w:spacing w:line="200" w:lineRule="exact"/>
      <w:ind w:firstLine="301"/>
    </w:pPr>
    <w:rPr>
      <w:rFonts w:ascii="宋体" w:hAnsi="Courier New"/>
      <w:spacing w:val="-4"/>
      <w:sz w:val="18"/>
      <w:szCs w:val="20"/>
    </w:rPr>
  </w:style>
  <w:style w:type="paragraph" w:styleId="20">
    <w:name w:val="List Number 3"/>
    <w:basedOn w:val="1"/>
    <w:qFormat/>
    <w:uiPriority w:val="0"/>
    <w:pPr>
      <w:numPr>
        <w:ilvl w:val="0"/>
        <w:numId w:val="2"/>
      </w:numPr>
    </w:pPr>
  </w:style>
  <w:style w:type="paragraph" w:styleId="21">
    <w:name w:val="List 2"/>
    <w:basedOn w:val="1"/>
    <w:qFormat/>
    <w:uiPriority w:val="0"/>
    <w:pPr>
      <w:ind w:left="100" w:leftChars="200" w:hanging="200" w:hangingChars="200"/>
    </w:pPr>
    <w:rPr>
      <w:sz w:val="28"/>
    </w:rPr>
  </w:style>
  <w:style w:type="paragraph" w:styleId="22">
    <w:name w:val="Block Text"/>
    <w:basedOn w:val="1"/>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23">
    <w:name w:val="HTML Address"/>
    <w:basedOn w:val="1"/>
    <w:link w:val="73"/>
    <w:qFormat/>
    <w:uiPriority w:val="0"/>
    <w:pPr>
      <w:widowControl/>
      <w:jc w:val="left"/>
    </w:pPr>
    <w:rPr>
      <w:rFonts w:ascii="宋体" w:hAnsi="宋体"/>
      <w:i/>
      <w:iCs/>
      <w:kern w:val="0"/>
      <w:sz w:val="24"/>
    </w:rPr>
  </w:style>
  <w:style w:type="paragraph" w:styleId="24">
    <w:name w:val="toc 3"/>
    <w:basedOn w:val="1"/>
    <w:next w:val="1"/>
    <w:qFormat/>
    <w:uiPriority w:val="0"/>
    <w:pPr>
      <w:ind w:left="840" w:leftChars="400"/>
    </w:pPr>
  </w:style>
  <w:style w:type="paragraph" w:styleId="25">
    <w:name w:val="Plain Text"/>
    <w:basedOn w:val="1"/>
    <w:next w:val="16"/>
    <w:link w:val="74"/>
    <w:qFormat/>
    <w:uiPriority w:val="0"/>
    <w:pPr>
      <w:spacing w:before="156" w:beforeLines="50" w:after="156" w:afterLines="50" w:line="400" w:lineRule="exact"/>
    </w:pPr>
    <w:rPr>
      <w:rFonts w:ascii="宋体" w:hAnsi="Courier New"/>
      <w:sz w:val="24"/>
    </w:rPr>
  </w:style>
  <w:style w:type="paragraph" w:styleId="26">
    <w:name w:val="Date"/>
    <w:basedOn w:val="1"/>
    <w:next w:val="1"/>
    <w:link w:val="75"/>
    <w:qFormat/>
    <w:uiPriority w:val="0"/>
    <w:pPr>
      <w:ind w:left="2500" w:leftChars="2500"/>
    </w:pPr>
    <w:rPr>
      <w:rFonts w:eastAsia="楷体_GB2312"/>
      <w:sz w:val="32"/>
      <w:szCs w:val="20"/>
    </w:rPr>
  </w:style>
  <w:style w:type="paragraph" w:styleId="27">
    <w:name w:val="Body Text Indent 2"/>
    <w:basedOn w:val="1"/>
    <w:link w:val="76"/>
    <w:qFormat/>
    <w:uiPriority w:val="0"/>
    <w:pPr>
      <w:snapToGrid w:val="0"/>
      <w:ind w:firstLine="542" w:firstLineChars="225"/>
    </w:pPr>
    <w:rPr>
      <w:rFonts w:ascii="仿宋_GB2312" w:hAnsi="宋体" w:cs="Arial"/>
      <w:b/>
      <w:bCs/>
      <w:color w:val="000000"/>
      <w:sz w:val="24"/>
    </w:rPr>
  </w:style>
  <w:style w:type="paragraph" w:styleId="28">
    <w:name w:val="Balloon Text"/>
    <w:basedOn w:val="1"/>
    <w:link w:val="77"/>
    <w:qFormat/>
    <w:uiPriority w:val="0"/>
    <w:rPr>
      <w:sz w:val="18"/>
      <w:szCs w:val="18"/>
    </w:rPr>
  </w:style>
  <w:style w:type="paragraph" w:styleId="29">
    <w:name w:val="footer"/>
    <w:basedOn w:val="1"/>
    <w:link w:val="78"/>
    <w:unhideWhenUsed/>
    <w:qFormat/>
    <w:uiPriority w:val="0"/>
    <w:pPr>
      <w:tabs>
        <w:tab w:val="center" w:pos="4153"/>
        <w:tab w:val="right" w:pos="8306"/>
      </w:tabs>
      <w:snapToGrid w:val="0"/>
      <w:jc w:val="left"/>
    </w:pPr>
    <w:rPr>
      <w:sz w:val="18"/>
      <w:szCs w:val="18"/>
    </w:rPr>
  </w:style>
  <w:style w:type="paragraph" w:styleId="30">
    <w:name w:val="header"/>
    <w:basedOn w:val="1"/>
    <w:link w:val="79"/>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0"/>
  </w:style>
  <w:style w:type="paragraph" w:styleId="32">
    <w:name w:val="Subtitle"/>
    <w:basedOn w:val="1"/>
    <w:next w:val="1"/>
    <w:link w:val="80"/>
    <w:qFormat/>
    <w:uiPriority w:val="11"/>
    <w:pPr>
      <w:spacing w:before="240" w:after="60" w:line="312" w:lineRule="auto"/>
      <w:jc w:val="center"/>
      <w:outlineLvl w:val="1"/>
    </w:pPr>
    <w:rPr>
      <w:rFonts w:ascii="Calibri" w:hAnsi="Calibri"/>
      <w:b/>
      <w:bCs/>
      <w:kern w:val="28"/>
      <w:sz w:val="32"/>
      <w:szCs w:val="32"/>
    </w:rPr>
  </w:style>
  <w:style w:type="paragraph" w:styleId="33">
    <w:name w:val="List"/>
    <w:basedOn w:val="1"/>
    <w:qFormat/>
    <w:uiPriority w:val="0"/>
    <w:pPr>
      <w:ind w:left="200" w:hanging="200" w:hangingChars="200"/>
    </w:pPr>
    <w:rPr>
      <w:sz w:val="28"/>
    </w:rPr>
  </w:style>
  <w:style w:type="paragraph" w:styleId="34">
    <w:name w:val="Body Text Indent 3"/>
    <w:basedOn w:val="1"/>
    <w:link w:val="81"/>
    <w:qFormat/>
    <w:uiPriority w:val="0"/>
    <w:pPr>
      <w:snapToGrid w:val="0"/>
      <w:ind w:firstLine="480" w:firstLineChars="200"/>
      <w:jc w:val="left"/>
    </w:pPr>
    <w:rPr>
      <w:rFonts w:ascii="仿宋_GB2312" w:hAnsi="宋体" w:eastAsia="仿宋_GB2312"/>
      <w:color w:val="000000"/>
      <w:sz w:val="24"/>
    </w:rPr>
  </w:style>
  <w:style w:type="paragraph" w:styleId="35">
    <w:name w:val="toc 2"/>
    <w:basedOn w:val="1"/>
    <w:next w:val="1"/>
    <w:qFormat/>
    <w:uiPriority w:val="0"/>
    <w:pPr>
      <w:ind w:left="420" w:leftChars="200"/>
    </w:pPr>
  </w:style>
  <w:style w:type="paragraph" w:styleId="36">
    <w:name w:val="Body Text 2"/>
    <w:basedOn w:val="1"/>
    <w:link w:val="82"/>
    <w:qFormat/>
    <w:uiPriority w:val="0"/>
    <w:pPr>
      <w:widowControl/>
      <w:snapToGrid w:val="0"/>
      <w:spacing w:before="50" w:after="156" w:afterLines="50" w:line="400" w:lineRule="exact"/>
      <w:jc w:val="left"/>
    </w:pPr>
    <w:rPr>
      <w:rFonts w:ascii="宋体" w:hAnsi="宋体"/>
      <w:color w:val="000000"/>
      <w:sz w:val="24"/>
    </w:rPr>
  </w:style>
  <w:style w:type="paragraph" w:styleId="37">
    <w:name w:val="Normal (Web)"/>
    <w:basedOn w:val="1"/>
    <w:qFormat/>
    <w:uiPriority w:val="0"/>
    <w:pPr>
      <w:widowControl/>
      <w:spacing w:before="100" w:beforeAutospacing="1" w:after="100" w:afterAutospacing="1"/>
      <w:jc w:val="left"/>
    </w:pPr>
    <w:rPr>
      <w:kern w:val="0"/>
      <w:sz w:val="24"/>
    </w:rPr>
  </w:style>
  <w:style w:type="paragraph" w:styleId="38">
    <w:name w:val="annotation subject"/>
    <w:basedOn w:val="14"/>
    <w:next w:val="14"/>
    <w:link w:val="83"/>
    <w:qFormat/>
    <w:uiPriority w:val="0"/>
  </w:style>
  <w:style w:type="paragraph" w:styleId="39">
    <w:name w:val="Body Text First Indent 2"/>
    <w:basedOn w:val="19"/>
    <w:next w:val="40"/>
    <w:link w:val="84"/>
    <w:qFormat/>
    <w:uiPriority w:val="0"/>
    <w:pPr>
      <w:ind w:firstLine="420" w:firstLineChars="200"/>
    </w:pPr>
    <w:rPr>
      <w:rFonts w:ascii="Times New Roman" w:hAnsi="Times New Roman"/>
      <w:lang w:val="zh-CN"/>
    </w:rPr>
  </w:style>
  <w:style w:type="paragraph" w:customStyle="1" w:styleId="40">
    <w:name w:val="xl53"/>
    <w:basedOn w:val="1"/>
    <w:next w:val="1"/>
    <w:qFormat/>
    <w:uiPriority w:val="0"/>
    <w:pPr>
      <w:widowControl/>
      <w:pBdr>
        <w:bottom w:val="single" w:color="auto" w:sz="4" w:space="0"/>
        <w:right w:val="single" w:color="auto" w:sz="4" w:space="0"/>
      </w:pBdr>
      <w:spacing w:before="100" w:beforeAutospacing="1" w:after="100" w:afterAutospacing="1" w:line="360" w:lineRule="auto"/>
      <w:ind w:firstLine="200" w:firstLineChars="200"/>
      <w:jc w:val="left"/>
    </w:pPr>
    <w:rPr>
      <w:rFonts w:ascii="寰蒋闆呴粦" w:hAnsi="寰蒋闆呴粦" w:eastAsia="寰蒋闆呴粦" w:cs="寰蒋闆呴粦"/>
      <w:kern w:val="0"/>
      <w:sz w:val="18"/>
      <w:szCs w:val="18"/>
    </w:rPr>
  </w:style>
  <w:style w:type="table" w:styleId="42">
    <w:name w:val="Table Grid"/>
    <w:basedOn w:val="4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qFormat/>
    <w:uiPriority w:val="0"/>
  </w:style>
  <w:style w:type="character" w:styleId="46">
    <w:name w:val="FollowedHyperlink"/>
    <w:qFormat/>
    <w:uiPriority w:val="99"/>
    <w:rPr>
      <w:color w:val="333333"/>
      <w:u w:val="none"/>
    </w:rPr>
  </w:style>
  <w:style w:type="character" w:styleId="47">
    <w:name w:val="Emphasis"/>
    <w:qFormat/>
    <w:uiPriority w:val="0"/>
  </w:style>
  <w:style w:type="character" w:styleId="48">
    <w:name w:val="HTML Definition"/>
    <w:qFormat/>
    <w:uiPriority w:val="0"/>
  </w:style>
  <w:style w:type="character" w:styleId="49">
    <w:name w:val="HTML Typewriter"/>
    <w:qFormat/>
    <w:uiPriority w:val="0"/>
    <w:rPr>
      <w:rFonts w:ascii="Courier New" w:hAnsi="Courier New"/>
      <w:sz w:val="24"/>
      <w:szCs w:val="24"/>
    </w:rPr>
  </w:style>
  <w:style w:type="character" w:styleId="50">
    <w:name w:val="HTML Acronym"/>
    <w:qFormat/>
    <w:uiPriority w:val="0"/>
  </w:style>
  <w:style w:type="character" w:styleId="51">
    <w:name w:val="HTML Variable"/>
    <w:qFormat/>
    <w:uiPriority w:val="0"/>
  </w:style>
  <w:style w:type="character" w:styleId="52">
    <w:name w:val="Hyperlink"/>
    <w:qFormat/>
    <w:uiPriority w:val="99"/>
    <w:rPr>
      <w:color w:val="333333"/>
      <w:u w:val="none"/>
    </w:rPr>
  </w:style>
  <w:style w:type="character" w:styleId="53">
    <w:name w:val="HTML Code"/>
    <w:qFormat/>
    <w:uiPriority w:val="0"/>
    <w:rPr>
      <w:rFonts w:ascii="Courier New" w:hAnsi="Courier New"/>
      <w:sz w:val="24"/>
      <w:szCs w:val="24"/>
    </w:rPr>
  </w:style>
  <w:style w:type="character" w:styleId="54">
    <w:name w:val="annotation reference"/>
    <w:qFormat/>
    <w:uiPriority w:val="0"/>
    <w:rPr>
      <w:sz w:val="21"/>
      <w:szCs w:val="21"/>
    </w:rPr>
  </w:style>
  <w:style w:type="character" w:styleId="55">
    <w:name w:val="HTML Cite"/>
    <w:qFormat/>
    <w:uiPriority w:val="0"/>
  </w:style>
  <w:style w:type="character" w:styleId="56">
    <w:name w:val="HTML Keyboard"/>
    <w:qFormat/>
    <w:uiPriority w:val="0"/>
    <w:rPr>
      <w:rFonts w:ascii="Courier New" w:hAnsi="Courier New"/>
      <w:sz w:val="24"/>
      <w:szCs w:val="24"/>
    </w:rPr>
  </w:style>
  <w:style w:type="character" w:styleId="57">
    <w:name w:val="HTML Sample"/>
    <w:qFormat/>
    <w:uiPriority w:val="0"/>
    <w:rPr>
      <w:rFonts w:ascii="Courier New" w:hAnsi="Courier New"/>
      <w:sz w:val="24"/>
      <w:szCs w:val="24"/>
    </w:rPr>
  </w:style>
  <w:style w:type="paragraph" w:customStyle="1" w:styleId="58">
    <w:name w:val="表格文字"/>
    <w:basedOn w:val="1"/>
    <w:next w:val="16"/>
    <w:qFormat/>
    <w:uiPriority w:val="0"/>
    <w:pPr>
      <w:adjustRightInd w:val="0"/>
      <w:spacing w:line="420" w:lineRule="atLeast"/>
      <w:jc w:val="left"/>
      <w:textAlignment w:val="baseline"/>
    </w:pPr>
    <w:rPr>
      <w:kern w:val="0"/>
    </w:rPr>
  </w:style>
  <w:style w:type="character" w:customStyle="1" w:styleId="59">
    <w:name w:val="正文首行缩进 字符"/>
    <w:basedOn w:val="60"/>
    <w:link w:val="17"/>
    <w:qFormat/>
    <w:uiPriority w:val="0"/>
    <w:rPr>
      <w:rFonts w:ascii="Calibri" w:hAnsi="Calibri" w:eastAsia="宋体" w:cs="Times New Roman"/>
      <w:szCs w:val="24"/>
    </w:rPr>
  </w:style>
  <w:style w:type="character" w:customStyle="1" w:styleId="60">
    <w:name w:val="正文文本 字符"/>
    <w:basedOn w:val="43"/>
    <w:link w:val="16"/>
    <w:qFormat/>
    <w:uiPriority w:val="0"/>
    <w:rPr>
      <w:rFonts w:ascii="Times New Roman" w:hAnsi="Times New Roman" w:eastAsia="宋体" w:cs="Times New Roman"/>
      <w:szCs w:val="24"/>
    </w:rPr>
  </w:style>
  <w:style w:type="character" w:customStyle="1" w:styleId="61">
    <w:name w:val="标题 1 字符"/>
    <w:basedOn w:val="43"/>
    <w:link w:val="3"/>
    <w:qFormat/>
    <w:uiPriority w:val="0"/>
    <w:rPr>
      <w:rFonts w:ascii="Times New Roman" w:hAnsi="Times New Roman" w:eastAsia="宋体" w:cs="Times New Roman"/>
      <w:b/>
      <w:bCs/>
      <w:kern w:val="44"/>
      <w:sz w:val="44"/>
      <w:szCs w:val="44"/>
    </w:rPr>
  </w:style>
  <w:style w:type="character" w:customStyle="1" w:styleId="62">
    <w:name w:val="标题 2 字符"/>
    <w:basedOn w:val="43"/>
    <w:link w:val="4"/>
    <w:qFormat/>
    <w:uiPriority w:val="0"/>
    <w:rPr>
      <w:rFonts w:ascii="Arial" w:hAnsi="Arial" w:eastAsia="黑体" w:cs="Times New Roman"/>
      <w:b/>
      <w:bCs/>
      <w:sz w:val="32"/>
      <w:szCs w:val="32"/>
    </w:rPr>
  </w:style>
  <w:style w:type="character" w:customStyle="1" w:styleId="63">
    <w:name w:val="正文缩进 字符"/>
    <w:link w:val="6"/>
    <w:qFormat/>
    <w:uiPriority w:val="0"/>
    <w:rPr>
      <w:rFonts w:ascii="Times New Roman" w:hAnsi="Times New Roman" w:eastAsia="宋体" w:cs="Times New Roman"/>
      <w:szCs w:val="20"/>
    </w:rPr>
  </w:style>
  <w:style w:type="character" w:customStyle="1" w:styleId="64">
    <w:name w:val="标题 3 字符"/>
    <w:basedOn w:val="43"/>
    <w:link w:val="5"/>
    <w:qFormat/>
    <w:uiPriority w:val="0"/>
    <w:rPr>
      <w:rFonts w:ascii="Times New Roman" w:hAnsi="Times New Roman" w:eastAsia="宋体" w:cs="Times New Roman"/>
      <w:b/>
      <w:sz w:val="32"/>
      <w:szCs w:val="20"/>
    </w:rPr>
  </w:style>
  <w:style w:type="character" w:customStyle="1" w:styleId="65">
    <w:name w:val="标题 4 字符"/>
    <w:basedOn w:val="43"/>
    <w:link w:val="7"/>
    <w:qFormat/>
    <w:uiPriority w:val="0"/>
    <w:rPr>
      <w:rFonts w:ascii="Arial" w:hAnsi="Arial" w:eastAsia="黑体" w:cs="Times New Roman"/>
      <w:b/>
      <w:bCs/>
      <w:sz w:val="28"/>
      <w:szCs w:val="28"/>
    </w:rPr>
  </w:style>
  <w:style w:type="character" w:customStyle="1" w:styleId="66">
    <w:name w:val="标题 5 字符"/>
    <w:basedOn w:val="43"/>
    <w:link w:val="8"/>
    <w:qFormat/>
    <w:uiPriority w:val="0"/>
    <w:rPr>
      <w:rFonts w:ascii="Times New Roman" w:hAnsi="Times New Roman" w:eastAsia="宋体" w:cs="Times New Roman"/>
      <w:b/>
      <w:bCs/>
      <w:sz w:val="24"/>
      <w:szCs w:val="28"/>
    </w:rPr>
  </w:style>
  <w:style w:type="character" w:customStyle="1" w:styleId="67">
    <w:name w:val="标题 6 字符"/>
    <w:basedOn w:val="43"/>
    <w:link w:val="9"/>
    <w:qFormat/>
    <w:uiPriority w:val="0"/>
    <w:rPr>
      <w:rFonts w:ascii="Cambria" w:hAnsi="Cambria" w:eastAsia="宋体" w:cs="Times New Roman"/>
      <w:b/>
      <w:bCs/>
      <w:sz w:val="24"/>
      <w:szCs w:val="24"/>
    </w:rPr>
  </w:style>
  <w:style w:type="character" w:customStyle="1" w:styleId="68">
    <w:name w:val="标题 7 字符"/>
    <w:basedOn w:val="43"/>
    <w:link w:val="10"/>
    <w:qFormat/>
    <w:uiPriority w:val="0"/>
    <w:rPr>
      <w:rFonts w:ascii="Times New Roman" w:hAnsi="Times New Roman" w:eastAsia="宋体" w:cs="Times New Roman"/>
      <w:b/>
      <w:bCs/>
      <w:sz w:val="24"/>
      <w:szCs w:val="24"/>
    </w:rPr>
  </w:style>
  <w:style w:type="character" w:customStyle="1" w:styleId="69">
    <w:name w:val="文档结构图 字符"/>
    <w:basedOn w:val="43"/>
    <w:link w:val="13"/>
    <w:qFormat/>
    <w:uiPriority w:val="0"/>
    <w:rPr>
      <w:rFonts w:ascii="Times New Roman" w:hAnsi="Times New Roman" w:eastAsia="宋体" w:cs="Times New Roman"/>
      <w:szCs w:val="24"/>
      <w:shd w:val="clear" w:color="auto" w:fill="000080"/>
    </w:rPr>
  </w:style>
  <w:style w:type="character" w:customStyle="1" w:styleId="70">
    <w:name w:val="批注文字 字符"/>
    <w:basedOn w:val="43"/>
    <w:link w:val="14"/>
    <w:qFormat/>
    <w:uiPriority w:val="0"/>
    <w:rPr>
      <w:rFonts w:ascii="Times New Roman" w:hAnsi="Times New Roman" w:eastAsia="宋体" w:cs="Times New Roman"/>
      <w:szCs w:val="20"/>
    </w:rPr>
  </w:style>
  <w:style w:type="character" w:customStyle="1" w:styleId="71">
    <w:name w:val="正文文本 3 字符"/>
    <w:basedOn w:val="43"/>
    <w:link w:val="15"/>
    <w:qFormat/>
    <w:uiPriority w:val="0"/>
    <w:rPr>
      <w:rFonts w:ascii="Times New Roman" w:hAnsi="宋体" w:eastAsia="仿宋_GB2312" w:cs="Times New Roman"/>
      <w:b/>
      <w:bCs/>
      <w:sz w:val="24"/>
      <w:szCs w:val="20"/>
    </w:rPr>
  </w:style>
  <w:style w:type="character" w:customStyle="1" w:styleId="72">
    <w:name w:val="正文文本缩进 字符"/>
    <w:basedOn w:val="43"/>
    <w:link w:val="19"/>
    <w:qFormat/>
    <w:uiPriority w:val="0"/>
    <w:rPr>
      <w:rFonts w:ascii="宋体" w:hAnsi="Courier New" w:eastAsia="宋体" w:cs="Times New Roman"/>
      <w:spacing w:val="-4"/>
      <w:sz w:val="18"/>
      <w:szCs w:val="20"/>
    </w:rPr>
  </w:style>
  <w:style w:type="character" w:customStyle="1" w:styleId="73">
    <w:name w:val="HTML 地址 字符"/>
    <w:basedOn w:val="43"/>
    <w:link w:val="23"/>
    <w:qFormat/>
    <w:uiPriority w:val="0"/>
    <w:rPr>
      <w:rFonts w:ascii="宋体" w:hAnsi="宋体" w:eastAsia="宋体" w:cs="Times New Roman"/>
      <w:i/>
      <w:iCs/>
      <w:kern w:val="0"/>
      <w:sz w:val="24"/>
      <w:szCs w:val="24"/>
    </w:rPr>
  </w:style>
  <w:style w:type="character" w:customStyle="1" w:styleId="74">
    <w:name w:val="纯文本 字符"/>
    <w:basedOn w:val="43"/>
    <w:link w:val="25"/>
    <w:qFormat/>
    <w:uiPriority w:val="0"/>
    <w:rPr>
      <w:rFonts w:ascii="宋体" w:hAnsi="Courier New" w:eastAsia="宋体" w:cs="Times New Roman"/>
      <w:sz w:val="24"/>
      <w:szCs w:val="24"/>
    </w:rPr>
  </w:style>
  <w:style w:type="character" w:customStyle="1" w:styleId="75">
    <w:name w:val="日期 字符"/>
    <w:basedOn w:val="43"/>
    <w:link w:val="26"/>
    <w:qFormat/>
    <w:uiPriority w:val="0"/>
    <w:rPr>
      <w:rFonts w:ascii="Times New Roman" w:hAnsi="Times New Roman" w:eastAsia="楷体_GB2312" w:cs="Times New Roman"/>
      <w:sz w:val="32"/>
      <w:szCs w:val="20"/>
    </w:rPr>
  </w:style>
  <w:style w:type="character" w:customStyle="1" w:styleId="76">
    <w:name w:val="正文文本缩进 2 字符"/>
    <w:basedOn w:val="43"/>
    <w:link w:val="27"/>
    <w:qFormat/>
    <w:uiPriority w:val="0"/>
    <w:rPr>
      <w:rFonts w:ascii="仿宋_GB2312" w:hAnsi="宋体" w:eastAsia="宋体" w:cs="Arial"/>
      <w:b/>
      <w:bCs/>
      <w:color w:val="000000"/>
      <w:sz w:val="24"/>
      <w:szCs w:val="24"/>
    </w:rPr>
  </w:style>
  <w:style w:type="character" w:customStyle="1" w:styleId="77">
    <w:name w:val="批注框文本 字符"/>
    <w:basedOn w:val="43"/>
    <w:link w:val="28"/>
    <w:qFormat/>
    <w:uiPriority w:val="0"/>
    <w:rPr>
      <w:rFonts w:ascii="Times New Roman" w:hAnsi="Times New Roman" w:eastAsia="宋体" w:cs="Times New Roman"/>
      <w:sz w:val="18"/>
      <w:szCs w:val="18"/>
    </w:rPr>
  </w:style>
  <w:style w:type="character" w:customStyle="1" w:styleId="78">
    <w:name w:val="页脚 字符"/>
    <w:basedOn w:val="43"/>
    <w:link w:val="29"/>
    <w:qFormat/>
    <w:uiPriority w:val="0"/>
    <w:rPr>
      <w:sz w:val="18"/>
      <w:szCs w:val="18"/>
    </w:rPr>
  </w:style>
  <w:style w:type="character" w:customStyle="1" w:styleId="79">
    <w:name w:val="页眉 字符"/>
    <w:basedOn w:val="43"/>
    <w:link w:val="30"/>
    <w:qFormat/>
    <w:uiPriority w:val="0"/>
    <w:rPr>
      <w:sz w:val="18"/>
      <w:szCs w:val="18"/>
    </w:rPr>
  </w:style>
  <w:style w:type="character" w:customStyle="1" w:styleId="80">
    <w:name w:val="副标题 字符"/>
    <w:basedOn w:val="43"/>
    <w:link w:val="32"/>
    <w:qFormat/>
    <w:uiPriority w:val="11"/>
    <w:rPr>
      <w:rFonts w:ascii="Calibri" w:hAnsi="Calibri" w:eastAsia="宋体" w:cs="Times New Roman"/>
      <w:b/>
      <w:bCs/>
      <w:kern w:val="28"/>
      <w:sz w:val="32"/>
      <w:szCs w:val="32"/>
    </w:rPr>
  </w:style>
  <w:style w:type="character" w:customStyle="1" w:styleId="81">
    <w:name w:val="正文文本缩进 3 字符"/>
    <w:basedOn w:val="43"/>
    <w:link w:val="34"/>
    <w:qFormat/>
    <w:uiPriority w:val="0"/>
    <w:rPr>
      <w:rFonts w:ascii="仿宋_GB2312" w:hAnsi="宋体" w:eastAsia="仿宋_GB2312" w:cs="Times New Roman"/>
      <w:color w:val="000000"/>
      <w:sz w:val="24"/>
      <w:szCs w:val="24"/>
    </w:rPr>
  </w:style>
  <w:style w:type="character" w:customStyle="1" w:styleId="82">
    <w:name w:val="正文文本 2 字符"/>
    <w:basedOn w:val="43"/>
    <w:link w:val="36"/>
    <w:qFormat/>
    <w:uiPriority w:val="0"/>
    <w:rPr>
      <w:rFonts w:ascii="宋体" w:hAnsi="宋体" w:eastAsia="宋体" w:cs="Times New Roman"/>
      <w:color w:val="000000"/>
      <w:sz w:val="24"/>
      <w:szCs w:val="24"/>
    </w:rPr>
  </w:style>
  <w:style w:type="character" w:customStyle="1" w:styleId="83">
    <w:name w:val="批注主题 字符"/>
    <w:basedOn w:val="70"/>
    <w:link w:val="38"/>
    <w:qFormat/>
    <w:uiPriority w:val="0"/>
    <w:rPr>
      <w:rFonts w:ascii="Times New Roman" w:hAnsi="Times New Roman" w:eastAsia="宋体" w:cs="Times New Roman"/>
      <w:szCs w:val="20"/>
    </w:rPr>
  </w:style>
  <w:style w:type="character" w:customStyle="1" w:styleId="84">
    <w:name w:val="正文首行缩进 2 字符"/>
    <w:basedOn w:val="72"/>
    <w:link w:val="39"/>
    <w:qFormat/>
    <w:uiPriority w:val="0"/>
    <w:rPr>
      <w:rFonts w:ascii="Times New Roman" w:hAnsi="Times New Roman" w:eastAsia="宋体" w:cs="Times New Roman"/>
      <w:spacing w:val="-4"/>
      <w:sz w:val="18"/>
      <w:szCs w:val="20"/>
      <w:lang w:val="zh-CN"/>
    </w:rPr>
  </w:style>
  <w:style w:type="paragraph" w:customStyle="1" w:styleId="85">
    <w:name w:val="标题-正文"/>
    <w:basedOn w:val="1"/>
    <w:qFormat/>
    <w:uiPriority w:val="7"/>
    <w:pPr>
      <w:spacing w:before="60" w:after="60" w:afterLines="50" w:line="360" w:lineRule="auto"/>
      <w:ind w:firstLine="480" w:firstLineChars="200"/>
    </w:pPr>
    <w:rPr>
      <w:rFonts w:ascii="Calibri" w:hAnsi="Calibri"/>
      <w:sz w:val="24"/>
      <w:szCs w:val="22"/>
    </w:rPr>
  </w:style>
  <w:style w:type="character" w:customStyle="1" w:styleId="86">
    <w:name w:val="newsdate"/>
    <w:qFormat/>
    <w:uiPriority w:val="0"/>
  </w:style>
  <w:style w:type="character" w:customStyle="1" w:styleId="87">
    <w:name w:val="批注文字 Char1"/>
    <w:qFormat/>
    <w:uiPriority w:val="0"/>
    <w:rPr>
      <w:rFonts w:ascii="Tahoma" w:hAnsi="Tahoma"/>
      <w:kern w:val="2"/>
      <w:sz w:val="21"/>
      <w:szCs w:val="24"/>
    </w:rPr>
  </w:style>
  <w:style w:type="character" w:customStyle="1" w:styleId="88">
    <w:name w:val="列出段落 Char"/>
    <w:link w:val="89"/>
    <w:qFormat/>
    <w:uiPriority w:val="0"/>
    <w:rPr>
      <w:rFonts w:ascii="Calibri" w:hAnsi="Calibri"/>
    </w:rPr>
  </w:style>
  <w:style w:type="paragraph" w:customStyle="1" w:styleId="89">
    <w:name w:val="列出段落1"/>
    <w:basedOn w:val="1"/>
    <w:link w:val="88"/>
    <w:qFormat/>
    <w:uiPriority w:val="0"/>
    <w:pPr>
      <w:ind w:firstLine="420" w:firstLineChars="200"/>
    </w:pPr>
    <w:rPr>
      <w:rFonts w:ascii="Calibri" w:hAnsi="Calibri" w:eastAsiaTheme="minorEastAsia" w:cstheme="minorBidi"/>
      <w:szCs w:val="22"/>
    </w:rPr>
  </w:style>
  <w:style w:type="character" w:customStyle="1" w:styleId="90">
    <w:name w:val="表格 Char"/>
    <w:link w:val="91"/>
    <w:qFormat/>
    <w:uiPriority w:val="0"/>
    <w:rPr>
      <w:rFonts w:eastAsia="仿宋_GB2312"/>
      <w:sz w:val="24"/>
    </w:rPr>
  </w:style>
  <w:style w:type="paragraph" w:customStyle="1" w:styleId="91">
    <w:name w:val="表格"/>
    <w:basedOn w:val="1"/>
    <w:link w:val="90"/>
    <w:qFormat/>
    <w:uiPriority w:val="0"/>
    <w:rPr>
      <w:rFonts w:eastAsia="仿宋_GB2312" w:asciiTheme="minorHAnsi" w:hAnsiTheme="minorHAnsi" w:cstheme="minorBidi"/>
      <w:sz w:val="24"/>
      <w:szCs w:val="22"/>
    </w:rPr>
  </w:style>
  <w:style w:type="character" w:customStyle="1" w:styleId="92">
    <w:name w:val="font12"/>
    <w:qFormat/>
    <w:uiPriority w:val="0"/>
    <w:rPr>
      <w:rFonts w:ascii="幼圆" w:hAnsi="幼圆" w:eastAsia="幼圆" w:cs="幼圆"/>
      <w:color w:val="000000"/>
      <w:sz w:val="24"/>
      <w:szCs w:val="24"/>
      <w:u w:val="none"/>
    </w:rPr>
  </w:style>
  <w:style w:type="character" w:customStyle="1" w:styleId="93">
    <w:name w:val="Char Char1"/>
    <w:qFormat/>
    <w:uiPriority w:val="0"/>
    <w:rPr>
      <w:rFonts w:ascii="宋体" w:hAnsi="Courier New" w:eastAsia="宋体" w:cs="Courier New"/>
      <w:kern w:val="2"/>
      <w:sz w:val="21"/>
      <w:szCs w:val="21"/>
      <w:lang w:val="en-US" w:eastAsia="zh-CN" w:bidi="ar-SA"/>
    </w:rPr>
  </w:style>
  <w:style w:type="character" w:customStyle="1" w:styleId="94">
    <w:name w:val="Font Style16"/>
    <w:qFormat/>
    <w:uiPriority w:val="0"/>
    <w:rPr>
      <w:rFonts w:ascii="宋体" w:eastAsia="宋体" w:cs="宋体"/>
      <w:b/>
      <w:bCs/>
    </w:rPr>
  </w:style>
  <w:style w:type="character" w:customStyle="1" w:styleId="95">
    <w:name w:val="xxggcat"/>
    <w:qFormat/>
    <w:uiPriority w:val="0"/>
    <w:rPr>
      <w:color w:val="007E09"/>
    </w:rPr>
  </w:style>
  <w:style w:type="character" w:customStyle="1" w:styleId="96">
    <w:name w:val="font81"/>
    <w:qFormat/>
    <w:uiPriority w:val="0"/>
    <w:rPr>
      <w:rFonts w:hint="eastAsia" w:ascii="宋体" w:hAnsi="宋体" w:eastAsia="宋体" w:cs="宋体"/>
      <w:b/>
      <w:color w:val="000000"/>
      <w:sz w:val="21"/>
      <w:szCs w:val="21"/>
      <w:u w:val="none"/>
    </w:rPr>
  </w:style>
  <w:style w:type="character" w:customStyle="1" w:styleId="97">
    <w:name w:val="cr3 Char Char"/>
    <w:link w:val="98"/>
    <w:qFormat/>
    <w:uiPriority w:val="0"/>
    <w:rPr>
      <w:rFonts w:eastAsia="黑体"/>
      <w:b/>
      <w:bCs/>
      <w:sz w:val="32"/>
      <w:szCs w:val="32"/>
    </w:rPr>
  </w:style>
  <w:style w:type="paragraph" w:customStyle="1" w:styleId="98">
    <w:name w:val="cr3"/>
    <w:basedOn w:val="5"/>
    <w:next w:val="99"/>
    <w:link w:val="97"/>
    <w:qFormat/>
    <w:uiPriority w:val="0"/>
    <w:pPr>
      <w:numPr>
        <w:ilvl w:val="2"/>
        <w:numId w:val="3"/>
      </w:numPr>
      <w:spacing w:line="240" w:lineRule="auto"/>
      <w:outlineLvl w:val="1"/>
    </w:pPr>
    <w:rPr>
      <w:rFonts w:eastAsia="黑体" w:asciiTheme="minorHAnsi" w:hAnsiTheme="minorHAnsi" w:cstheme="minorBidi"/>
      <w:bCs/>
      <w:szCs w:val="32"/>
    </w:rPr>
  </w:style>
  <w:style w:type="paragraph" w:customStyle="1" w:styleId="99">
    <w:name w:val="cr4"/>
    <w:basedOn w:val="7"/>
    <w:next w:val="1"/>
    <w:link w:val="100"/>
    <w:qFormat/>
    <w:uiPriority w:val="0"/>
    <w:pPr>
      <w:tabs>
        <w:tab w:val="left" w:pos="645"/>
      </w:tabs>
      <w:spacing w:before="25" w:after="25" w:line="300" w:lineRule="auto"/>
      <w:ind w:left="420" w:hanging="420"/>
      <w:outlineLvl w:val="2"/>
    </w:pPr>
    <w:rPr>
      <w:rFonts w:ascii="黑体" w:hAnsi="宋体"/>
      <w:bCs w:val="0"/>
      <w:color w:val="000000"/>
      <w:kern w:val="0"/>
    </w:rPr>
  </w:style>
  <w:style w:type="character" w:customStyle="1" w:styleId="100">
    <w:name w:val="cr4 Char Char"/>
    <w:link w:val="99"/>
    <w:qFormat/>
    <w:uiPriority w:val="0"/>
    <w:rPr>
      <w:rFonts w:ascii="黑体" w:hAnsi="宋体" w:eastAsia="黑体" w:cs="Times New Roman"/>
      <w:b/>
      <w:color w:val="000000"/>
      <w:kern w:val="0"/>
      <w:sz w:val="28"/>
      <w:szCs w:val="28"/>
    </w:rPr>
  </w:style>
  <w:style w:type="character" w:customStyle="1" w:styleId="101">
    <w:name w:val="页眉 Char"/>
    <w:qFormat/>
    <w:uiPriority w:val="0"/>
    <w:rPr>
      <w:sz w:val="18"/>
      <w:szCs w:val="18"/>
    </w:rPr>
  </w:style>
  <w:style w:type="character" w:customStyle="1" w:styleId="102">
    <w:name w:val="font13"/>
    <w:qFormat/>
    <w:uiPriority w:val="0"/>
    <w:rPr>
      <w:rFonts w:hint="eastAsia" w:ascii="微软雅黑" w:hAnsi="微软雅黑" w:eastAsia="微软雅黑" w:cs="微软雅黑"/>
      <w:color w:val="000000"/>
      <w:sz w:val="28"/>
      <w:szCs w:val="28"/>
      <w:u w:val="none"/>
    </w:rPr>
  </w:style>
  <w:style w:type="character" w:customStyle="1" w:styleId="103">
    <w:name w:val="font111"/>
    <w:qFormat/>
    <w:uiPriority w:val="0"/>
    <w:rPr>
      <w:rFonts w:hint="default" w:ascii="Times New Roman" w:hAnsi="Times New Roman" w:cs="Times New Roman"/>
      <w:b/>
      <w:color w:val="000000"/>
      <w:sz w:val="21"/>
      <w:szCs w:val="21"/>
      <w:u w:val="none"/>
    </w:rPr>
  </w:style>
  <w:style w:type="character" w:customStyle="1" w:styleId="104">
    <w:name w:val="font01"/>
    <w:qFormat/>
    <w:uiPriority w:val="0"/>
    <w:rPr>
      <w:rFonts w:hint="eastAsia" w:ascii="宋体" w:hAnsi="宋体" w:eastAsia="宋体" w:cs="宋体"/>
      <w:color w:val="000000"/>
      <w:sz w:val="22"/>
      <w:szCs w:val="22"/>
      <w:u w:val="none"/>
    </w:rPr>
  </w:style>
  <w:style w:type="character" w:customStyle="1" w:styleId="105">
    <w:name w:val="普通文字 Char Char1"/>
    <w:qFormat/>
    <w:uiPriority w:val="0"/>
    <w:rPr>
      <w:rFonts w:ascii="宋体" w:hAnsi="Courier New" w:eastAsia="宋体"/>
      <w:kern w:val="2"/>
      <w:sz w:val="24"/>
      <w:szCs w:val="24"/>
      <w:lang w:val="en-US" w:eastAsia="zh-CN" w:bidi="ar-SA"/>
    </w:rPr>
  </w:style>
  <w:style w:type="character" w:customStyle="1" w:styleId="106">
    <w:name w:val="font51"/>
    <w:qFormat/>
    <w:uiPriority w:val="0"/>
    <w:rPr>
      <w:rFonts w:hint="default" w:ascii="Times New Roman" w:hAnsi="Times New Roman" w:cs="Times New Roman"/>
      <w:color w:val="000000"/>
      <w:sz w:val="21"/>
      <w:szCs w:val="21"/>
      <w:u w:val="none"/>
    </w:rPr>
  </w:style>
  <w:style w:type="character" w:customStyle="1" w:styleId="107">
    <w:name w:val="Font Style14"/>
    <w:qFormat/>
    <w:uiPriority w:val="0"/>
    <w:rPr>
      <w:rFonts w:ascii="宋体" w:eastAsia="宋体" w:cs="宋体"/>
    </w:rPr>
  </w:style>
  <w:style w:type="character" w:customStyle="1" w:styleId="108">
    <w:name w:val="样式 标题 1合同标题卷标题H1h1Level 1 Topic HeadingH11H12H111H13H1... Char"/>
    <w:qFormat/>
    <w:uiPriority w:val="0"/>
    <w:rPr>
      <w:rFonts w:ascii="宋体" w:hAnsi="宋体" w:eastAsia="宋体"/>
      <w:b/>
      <w:bCs/>
      <w:kern w:val="44"/>
      <w:sz w:val="24"/>
      <w:szCs w:val="44"/>
      <w:lang w:val="en-US" w:eastAsia="zh-CN" w:bidi="ar-SA"/>
    </w:rPr>
  </w:style>
  <w:style w:type="character" w:customStyle="1" w:styleId="109">
    <w:name w:val="纯文本 Char1"/>
    <w:qFormat/>
    <w:uiPriority w:val="0"/>
    <w:rPr>
      <w:rFonts w:ascii="宋体" w:hAnsi="Courier New" w:eastAsia="宋体" w:cs="Courier New"/>
      <w:kern w:val="2"/>
      <w:sz w:val="21"/>
      <w:szCs w:val="21"/>
      <w:lang w:val="en-US" w:eastAsia="zh-CN" w:bidi="ar-SA"/>
    </w:rPr>
  </w:style>
  <w:style w:type="character" w:customStyle="1" w:styleId="110">
    <w:name w:val="layui-laypage-curr"/>
    <w:qFormat/>
    <w:uiPriority w:val="0"/>
  </w:style>
  <w:style w:type="character" w:customStyle="1" w:styleId="111">
    <w:name w:val="font91"/>
    <w:qFormat/>
    <w:uiPriority w:val="0"/>
    <w:rPr>
      <w:rFonts w:hint="eastAsia" w:ascii="微软雅黑" w:hAnsi="微软雅黑" w:eastAsia="微软雅黑" w:cs="微软雅黑"/>
      <w:color w:val="000000"/>
      <w:sz w:val="28"/>
      <w:szCs w:val="28"/>
      <w:u w:val="none"/>
    </w:rPr>
  </w:style>
  <w:style w:type="character" w:customStyle="1" w:styleId="112">
    <w:name w:val="font31"/>
    <w:qFormat/>
    <w:uiPriority w:val="0"/>
    <w:rPr>
      <w:rFonts w:ascii="Calibri" w:hAnsi="Calibri" w:cs="Calibri"/>
      <w:color w:val="000000"/>
      <w:sz w:val="21"/>
      <w:szCs w:val="21"/>
      <w:u w:val="none"/>
    </w:rPr>
  </w:style>
  <w:style w:type="character" w:customStyle="1" w:styleId="113">
    <w:name w:val="font41"/>
    <w:qFormat/>
    <w:uiPriority w:val="0"/>
    <w:rPr>
      <w:rFonts w:hint="eastAsia" w:ascii="宋体" w:hAnsi="宋体" w:eastAsia="宋体" w:cs="宋体"/>
      <w:color w:val="000000"/>
      <w:sz w:val="22"/>
      <w:szCs w:val="22"/>
      <w:u w:val="none"/>
    </w:rPr>
  </w:style>
  <w:style w:type="character" w:customStyle="1" w:styleId="114">
    <w:name w:val="不明显强调1"/>
    <w:qFormat/>
    <w:uiPriority w:val="0"/>
    <w:rPr>
      <w:i/>
      <w:iCs/>
      <w:color w:val="404040"/>
    </w:rPr>
  </w:style>
  <w:style w:type="character" w:customStyle="1" w:styleId="115">
    <w:name w:val="font21"/>
    <w:qFormat/>
    <w:uiPriority w:val="0"/>
    <w:rPr>
      <w:rFonts w:hint="eastAsia" w:ascii="宋体" w:hAnsi="宋体" w:eastAsia="宋体" w:cs="宋体"/>
      <w:color w:val="000000"/>
      <w:sz w:val="21"/>
      <w:szCs w:val="21"/>
      <w:u w:val="none"/>
    </w:rPr>
  </w:style>
  <w:style w:type="paragraph" w:customStyle="1" w:styleId="116">
    <w:name w:val="Char Char Char Char Char Char Char Char Char Char Char Char1 Char"/>
    <w:basedOn w:val="13"/>
    <w:qFormat/>
    <w:uiPriority w:val="0"/>
    <w:rPr>
      <w:rFonts w:ascii="Tahoma" w:hAnsi="Tahoma"/>
      <w:sz w:val="24"/>
    </w:rPr>
  </w:style>
  <w:style w:type="paragraph" w:customStyle="1" w:styleId="117">
    <w:name w:val="彩色列表 - 着色 11"/>
    <w:basedOn w:val="1"/>
    <w:qFormat/>
    <w:uiPriority w:val="0"/>
    <w:pPr>
      <w:ind w:firstLine="420" w:firstLineChars="200"/>
    </w:pPr>
    <w:rPr>
      <w:rFonts w:ascii="Calibri" w:hAnsi="Calibri"/>
      <w:szCs w:val="22"/>
    </w:rPr>
  </w:style>
  <w:style w:type="paragraph" w:customStyle="1" w:styleId="118">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19">
    <w:name w:val="xl33"/>
    <w:basedOn w:val="1"/>
    <w:qFormat/>
    <w:uiPriority w:val="0"/>
    <w:pPr>
      <w:widowControl/>
      <w:spacing w:before="100" w:beforeAutospacing="1" w:after="100" w:afterAutospacing="1"/>
    </w:pPr>
    <w:rPr>
      <w:rFonts w:ascii="宋体" w:hAnsi="宋体"/>
      <w:kern w:val="0"/>
      <w:sz w:val="24"/>
    </w:rPr>
  </w:style>
  <w:style w:type="paragraph" w:customStyle="1" w:styleId="120">
    <w:name w:val="正文－恩普"/>
    <w:basedOn w:val="6"/>
    <w:qFormat/>
    <w:uiPriority w:val="0"/>
    <w:pPr>
      <w:widowControl/>
      <w:spacing w:line="360" w:lineRule="auto"/>
      <w:ind w:firstLine="480" w:firstLineChars="200"/>
      <w:jc w:val="left"/>
    </w:pPr>
    <w:rPr>
      <w:kern w:val="0"/>
      <w:sz w:val="24"/>
    </w:rPr>
  </w:style>
  <w:style w:type="paragraph" w:customStyle="1" w:styleId="121">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2">
    <w:name w:val="Table Paragraph"/>
    <w:basedOn w:val="1"/>
    <w:qFormat/>
    <w:uiPriority w:val="0"/>
    <w:pPr>
      <w:spacing w:before="93"/>
      <w:ind w:left="108"/>
    </w:pPr>
    <w:rPr>
      <w:rFonts w:ascii="Calibri" w:hAnsi="Calibri"/>
    </w:rPr>
  </w:style>
  <w:style w:type="paragraph" w:customStyle="1" w:styleId="123">
    <w:name w:val="方案正文"/>
    <w:basedOn w:val="1"/>
    <w:qFormat/>
    <w:uiPriority w:val="0"/>
    <w:pPr>
      <w:spacing w:before="120" w:line="360" w:lineRule="auto"/>
      <w:ind w:firstLine="425" w:firstLineChars="177"/>
    </w:pPr>
    <w:rPr>
      <w:rFonts w:ascii="华文细黑" w:hAnsi="华文细黑" w:eastAsia="华文细黑"/>
      <w:sz w:val="24"/>
    </w:rPr>
  </w:style>
  <w:style w:type="paragraph" w:customStyle="1" w:styleId="124">
    <w:name w:val="列表内容"/>
    <w:basedOn w:val="1"/>
    <w:next w:val="1"/>
    <w:qFormat/>
    <w:uiPriority w:val="0"/>
    <w:pPr>
      <w:widowControl/>
      <w:tabs>
        <w:tab w:val="left" w:pos="840"/>
      </w:tabs>
      <w:ind w:left="840"/>
      <w:jc w:val="left"/>
    </w:pPr>
    <w:rPr>
      <w:kern w:val="0"/>
      <w:sz w:val="18"/>
      <w:szCs w:val="20"/>
    </w:rPr>
  </w:style>
  <w:style w:type="paragraph" w:customStyle="1" w:styleId="125">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26">
    <w:name w:val="List Paragraph1"/>
    <w:basedOn w:val="1"/>
    <w:qFormat/>
    <w:uiPriority w:val="0"/>
    <w:pPr>
      <w:spacing w:line="360" w:lineRule="auto"/>
      <w:ind w:firstLine="420" w:firstLineChars="200"/>
    </w:pPr>
    <w:rPr>
      <w:rFonts w:ascii="Calibri" w:hAnsi="Calibri"/>
      <w:sz w:val="24"/>
      <w:szCs w:val="22"/>
    </w:rPr>
  </w:style>
  <w:style w:type="paragraph" w:customStyle="1" w:styleId="12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8">
    <w:name w:val="默认段落字体 Para Char Char Char Char Char Char Char"/>
    <w:basedOn w:val="13"/>
    <w:qFormat/>
    <w:uiPriority w:val="0"/>
    <w:pPr>
      <w:adjustRightInd w:val="0"/>
      <w:spacing w:line="436" w:lineRule="exact"/>
      <w:ind w:left="357"/>
      <w:jc w:val="left"/>
      <w:outlineLvl w:val="3"/>
    </w:pPr>
    <w:rPr>
      <w:rFonts w:ascii="Tahoma" w:hAnsi="Tahoma"/>
      <w:b/>
      <w:sz w:val="24"/>
    </w:rPr>
  </w:style>
  <w:style w:type="paragraph" w:customStyle="1" w:styleId="129">
    <w:name w:val="无间隔1"/>
    <w:basedOn w:val="1"/>
    <w:qFormat/>
    <w:uiPriority w:val="0"/>
    <w:pPr>
      <w:widowControl/>
      <w:jc w:val="left"/>
    </w:pPr>
    <w:rPr>
      <w:kern w:val="0"/>
      <w:sz w:val="20"/>
      <w:szCs w:val="20"/>
      <w:lang w:eastAsia="en-US"/>
    </w:rPr>
  </w:style>
  <w:style w:type="paragraph" w:customStyle="1" w:styleId="130">
    <w:name w:val="表格非标题文字"/>
    <w:qFormat/>
    <w:uiPriority w:val="0"/>
    <w:pPr>
      <w:snapToGrid w:val="0"/>
      <w:spacing w:before="80" w:after="40"/>
    </w:pPr>
    <w:rPr>
      <w:rFonts w:ascii="Futura Bk" w:hAnsi="Futura Bk" w:eastAsia="宋体" w:cs="Times New Roman"/>
      <w:sz w:val="18"/>
      <w:szCs w:val="21"/>
      <w:lang w:val="en-US" w:eastAsia="zh-CN" w:bidi="ar-SA"/>
    </w:rPr>
  </w:style>
  <w:style w:type="paragraph" w:customStyle="1" w:styleId="131">
    <w:name w:val="正文段"/>
    <w:basedOn w:val="1"/>
    <w:qFormat/>
    <w:uiPriority w:val="0"/>
    <w:pPr>
      <w:widowControl/>
      <w:snapToGrid w:val="0"/>
      <w:spacing w:after="156" w:afterLines="50"/>
      <w:ind w:firstLine="200" w:firstLineChars="200"/>
    </w:pPr>
    <w:rPr>
      <w:kern w:val="0"/>
      <w:sz w:val="24"/>
      <w:szCs w:val="20"/>
    </w:rPr>
  </w:style>
  <w:style w:type="paragraph" w:customStyle="1" w:styleId="132">
    <w:name w:val="正文文本1"/>
    <w:basedOn w:val="1"/>
    <w:qFormat/>
    <w:uiPriority w:val="0"/>
    <w:rPr>
      <w:i/>
      <w:sz w:val="18"/>
    </w:rPr>
  </w:style>
  <w:style w:type="paragraph" w:customStyle="1" w:styleId="133">
    <w:name w:val="Char"/>
    <w:basedOn w:val="1"/>
    <w:qFormat/>
    <w:uiPriority w:val="0"/>
    <w:pPr>
      <w:widowControl/>
      <w:spacing w:line="400" w:lineRule="exact"/>
      <w:jc w:val="center"/>
    </w:pPr>
    <w:rPr>
      <w:rFonts w:ascii="Verdana" w:hAnsi="Verdana"/>
      <w:kern w:val="0"/>
      <w:szCs w:val="20"/>
      <w:lang w:eastAsia="en-US"/>
    </w:rPr>
  </w:style>
  <w:style w:type="paragraph" w:customStyle="1" w:styleId="134">
    <w:name w:val="样式5"/>
    <w:basedOn w:val="1"/>
    <w:qFormat/>
    <w:uiPriority w:val="0"/>
    <w:pPr>
      <w:spacing w:before="120" w:line="360" w:lineRule="auto"/>
      <w:ind w:firstLine="425" w:firstLineChars="177"/>
    </w:pPr>
    <w:rPr>
      <w:rFonts w:ascii="华文细黑" w:hAnsi="华文细黑" w:eastAsia="华文细黑"/>
      <w:sz w:val="24"/>
    </w:rPr>
  </w:style>
  <w:style w:type="paragraph" w:customStyle="1" w:styleId="135">
    <w:name w:val="xl35"/>
    <w:basedOn w:val="1"/>
    <w:qFormat/>
    <w:uiPriority w:val="0"/>
    <w:pPr>
      <w:widowControl/>
      <w:spacing w:before="100" w:beforeAutospacing="1" w:after="100" w:afterAutospacing="1"/>
      <w:jc w:val="right"/>
      <w:textAlignment w:val="center"/>
    </w:pPr>
    <w:rPr>
      <w:rFonts w:ascii="宋体" w:hAnsi="宋体"/>
      <w:kern w:val="0"/>
      <w:sz w:val="18"/>
      <w:szCs w:val="20"/>
    </w:rPr>
  </w:style>
  <w:style w:type="paragraph" w:customStyle="1" w:styleId="136">
    <w:name w:val="Char1"/>
    <w:basedOn w:val="1"/>
    <w:qFormat/>
    <w:uiPriority w:val="0"/>
  </w:style>
  <w:style w:type="paragraph" w:customStyle="1" w:styleId="137">
    <w:name w:val="Char Char Char Char Char Char Char Char Char Char Char Char1 Char11"/>
    <w:basedOn w:val="13"/>
    <w:qFormat/>
    <w:uiPriority w:val="0"/>
    <w:rPr>
      <w:rFonts w:ascii="Tahoma" w:hAnsi="Tahoma"/>
      <w:sz w:val="24"/>
    </w:rPr>
  </w:style>
  <w:style w:type="paragraph" w:customStyle="1" w:styleId="138">
    <w:name w:val="ÕýÎÄ"/>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szCs w:val="22"/>
      <w:lang w:val="en-US" w:eastAsia="zh-CN" w:bidi="ar-SA"/>
    </w:rPr>
  </w:style>
  <w:style w:type="paragraph" w:customStyle="1" w:styleId="139">
    <w:name w:val="样式 正文缩进 + 首行缩进:  2 字符"/>
    <w:basedOn w:val="6"/>
    <w:qFormat/>
    <w:uiPriority w:val="0"/>
    <w:pPr>
      <w:spacing w:line="360" w:lineRule="auto"/>
      <w:ind w:firstLine="200"/>
    </w:pPr>
    <w:rPr>
      <w:sz w:val="24"/>
    </w:rPr>
  </w:style>
  <w:style w:type="paragraph" w:customStyle="1" w:styleId="140">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41">
    <w:name w:val="Char111"/>
    <w:basedOn w:val="1"/>
    <w:qFormat/>
    <w:uiPriority w:val="0"/>
    <w:rPr>
      <w:rFonts w:ascii="Tahoma" w:hAnsi="Tahoma"/>
      <w:sz w:val="24"/>
      <w:szCs w:val="20"/>
    </w:rPr>
  </w:style>
  <w:style w:type="paragraph" w:customStyle="1" w:styleId="142">
    <w:name w:val="列出段落2"/>
    <w:basedOn w:val="1"/>
    <w:qFormat/>
    <w:uiPriority w:val="0"/>
    <w:pPr>
      <w:ind w:firstLine="420" w:firstLineChars="200"/>
    </w:pPr>
  </w:style>
  <w:style w:type="paragraph" w:customStyle="1" w:styleId="143">
    <w:name w:val="font5"/>
    <w:basedOn w:val="1"/>
    <w:qFormat/>
    <w:uiPriority w:val="0"/>
    <w:pPr>
      <w:widowControl/>
      <w:spacing w:before="100" w:beforeAutospacing="1" w:after="100" w:afterAutospacing="1"/>
      <w:jc w:val="left"/>
    </w:pPr>
    <w:rPr>
      <w:rFonts w:hint="eastAsia" w:ascii="宋体" w:hAnsi="宋体"/>
      <w:kern w:val="0"/>
      <w:sz w:val="18"/>
      <w:szCs w:val="20"/>
    </w:rPr>
  </w:style>
  <w:style w:type="paragraph" w:customStyle="1" w:styleId="144">
    <w:name w:val="自由格式 A"/>
    <w:qFormat/>
    <w:uiPriority w:val="0"/>
    <w:rPr>
      <w:rFonts w:ascii="Helvetica" w:hAnsi="Helvetica" w:eastAsia="ヒラギノ角ゴ Pro W3" w:cs="Times New Roman"/>
      <w:color w:val="000000"/>
      <w:sz w:val="24"/>
      <w:lang w:val="en-US" w:eastAsia="zh-CN" w:bidi="ar-SA"/>
    </w:rPr>
  </w:style>
  <w:style w:type="paragraph" w:customStyle="1" w:styleId="145">
    <w:name w:val="Normal Char"/>
    <w:basedOn w:val="1"/>
    <w:qFormat/>
    <w:uiPriority w:val="0"/>
    <w:pPr>
      <w:suppressAutoHyphens/>
      <w:autoSpaceDE w:val="0"/>
      <w:jc w:val="left"/>
    </w:pPr>
    <w:rPr>
      <w:rFonts w:ascii="Thorndale" w:hAnsi="Thorndale" w:eastAsia="HG Mincho Light J"/>
      <w:color w:val="000000"/>
      <w:kern w:val="0"/>
      <w:sz w:val="20"/>
      <w:szCs w:val="20"/>
      <w:lang w:val="hu-HU"/>
    </w:rPr>
  </w:style>
  <w:style w:type="paragraph" w:customStyle="1" w:styleId="146">
    <w:name w:val="WPSOffice手动目录 1"/>
    <w:qFormat/>
    <w:uiPriority w:val="0"/>
    <w:rPr>
      <w:rFonts w:ascii="Times New Roman" w:hAnsi="Times New Roman" w:eastAsia="宋体" w:cs="Times New Roman"/>
      <w:lang w:val="en-US" w:eastAsia="zh-CN" w:bidi="ar-SA"/>
    </w:rPr>
  </w:style>
  <w:style w:type="paragraph" w:customStyle="1" w:styleId="147">
    <w:name w:val="_Style 2"/>
    <w:basedOn w:val="1"/>
    <w:qFormat/>
    <w:uiPriority w:val="0"/>
    <w:pPr>
      <w:spacing w:line="440" w:lineRule="exact"/>
      <w:ind w:firstLine="420" w:firstLineChars="200"/>
    </w:pPr>
  </w:style>
  <w:style w:type="paragraph" w:customStyle="1" w:styleId="148">
    <w:name w:val="样式1"/>
    <w:basedOn w:val="7"/>
    <w:qFormat/>
    <w:uiPriority w:val="0"/>
  </w:style>
  <w:style w:type="paragraph" w:customStyle="1" w:styleId="149">
    <w:name w:val="Char21"/>
    <w:basedOn w:val="1"/>
    <w:qFormat/>
    <w:uiPriority w:val="0"/>
    <w:pPr>
      <w:tabs>
        <w:tab w:val="left" w:pos="1200"/>
        <w:tab w:val="left" w:pos="1800"/>
      </w:tabs>
      <w:ind w:left="1200" w:hanging="1110"/>
    </w:pPr>
    <w:rPr>
      <w:sz w:val="24"/>
    </w:rPr>
  </w:style>
  <w:style w:type="paragraph" w:customStyle="1" w:styleId="15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1">
    <w:name w:val="列出段落3"/>
    <w:basedOn w:val="1"/>
    <w:qFormat/>
    <w:uiPriority w:val="0"/>
    <w:pPr>
      <w:widowControl/>
      <w:ind w:left="720" w:firstLine="360"/>
      <w:jc w:val="left"/>
    </w:pPr>
    <w:rPr>
      <w:kern w:val="0"/>
      <w:sz w:val="22"/>
      <w:szCs w:val="22"/>
      <w:lang w:eastAsia="en-US" w:bidi="en-US"/>
    </w:rPr>
  </w:style>
  <w:style w:type="paragraph" w:customStyle="1" w:styleId="152">
    <w:name w:val="普通(网站)11"/>
    <w:qFormat/>
    <w:uiPriority w:val="0"/>
    <w:pPr>
      <w:framePr w:wrap="around" w:vAnchor="margin" w:hAnchor="text" w:y="1"/>
      <w:spacing w:before="100" w:after="100"/>
    </w:pPr>
    <w:rPr>
      <w:rFonts w:ascii="Calibri" w:hAnsi="Calibri" w:eastAsia="Arial Unicode MS" w:cs="Arial Unicode MS"/>
      <w:color w:val="000000"/>
      <w:sz w:val="24"/>
      <w:szCs w:val="24"/>
      <w:lang w:val="en-US" w:eastAsia="zh-CN" w:bidi="ar-SA"/>
    </w:rPr>
  </w:style>
  <w:style w:type="paragraph" w:customStyle="1" w:styleId="153">
    <w:name w:val="列表段落1"/>
    <w:basedOn w:val="1"/>
    <w:qFormat/>
    <w:uiPriority w:val="0"/>
    <w:pPr>
      <w:ind w:firstLine="420" w:firstLineChars="200"/>
    </w:pPr>
  </w:style>
  <w:style w:type="paragraph" w:styleId="15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5">
    <w:name w:val="p0"/>
    <w:basedOn w:val="1"/>
    <w:qFormat/>
    <w:uiPriority w:val="0"/>
    <w:pPr>
      <w:widowControl/>
    </w:pPr>
    <w:rPr>
      <w:kern w:val="0"/>
      <w:szCs w:val="21"/>
    </w:rPr>
  </w:style>
  <w:style w:type="paragraph" w:customStyle="1" w:styleId="156">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157">
    <w:name w:val="Char Char Char Char Char Char Char"/>
    <w:basedOn w:val="1"/>
    <w:qFormat/>
    <w:uiPriority w:val="0"/>
    <w:rPr>
      <w:rFonts w:ascii="Tahoma" w:hAnsi="Tahoma"/>
      <w:sz w:val="24"/>
      <w:szCs w:val="20"/>
    </w:rPr>
  </w:style>
  <w:style w:type="paragraph" w:customStyle="1" w:styleId="158">
    <w:name w:val="列表段落11"/>
    <w:basedOn w:val="1"/>
    <w:qFormat/>
    <w:uiPriority w:val="0"/>
    <w:pPr>
      <w:ind w:firstLine="420" w:firstLineChars="200"/>
    </w:pPr>
  </w:style>
  <w:style w:type="paragraph" w:customStyle="1" w:styleId="159">
    <w:name w:val="Char Char Char Char Char Char"/>
    <w:basedOn w:val="1"/>
    <w:qFormat/>
    <w:uiPriority w:val="0"/>
    <w:pPr>
      <w:ind w:firstLine="200" w:firstLineChars="200"/>
    </w:pPr>
    <w:rPr>
      <w:rFonts w:ascii="Tahoma" w:hAnsi="Tahoma"/>
      <w:sz w:val="24"/>
      <w:szCs w:val="20"/>
    </w:rPr>
  </w:style>
  <w:style w:type="paragraph" w:customStyle="1" w:styleId="160">
    <w:name w:val="此正文"/>
    <w:basedOn w:val="1"/>
    <w:qFormat/>
    <w:uiPriority w:val="0"/>
    <w:pPr>
      <w:spacing w:line="360" w:lineRule="auto"/>
      <w:ind w:firstLine="200" w:firstLineChars="200"/>
    </w:pPr>
    <w:rPr>
      <w:sz w:val="24"/>
    </w:rPr>
  </w:style>
  <w:style w:type="paragraph" w:customStyle="1" w:styleId="161">
    <w:name w:val="默认段落字体 Para Char Char Char Char Char Char Char Char Char1 Char Char Char Char"/>
    <w:basedOn w:val="1"/>
    <w:qFormat/>
    <w:uiPriority w:val="0"/>
    <w:rPr>
      <w:rFonts w:ascii="Tahoma" w:hAnsi="Tahoma"/>
      <w:sz w:val="24"/>
      <w:szCs w:val="20"/>
    </w:rPr>
  </w:style>
  <w:style w:type="paragraph" w:customStyle="1" w:styleId="162">
    <w:name w:val="Item List in Table"/>
    <w:basedOn w:val="1"/>
    <w:qFormat/>
    <w:uiPriority w:val="0"/>
    <w:pPr>
      <w:numPr>
        <w:ilvl w:val="0"/>
        <w:numId w:val="4"/>
      </w:numPr>
      <w:jc w:val="left"/>
    </w:pPr>
    <w:rPr>
      <w:rFonts w:ascii="Tahoma" w:hAnsi="Tahoma"/>
      <w:szCs w:val="21"/>
    </w:rPr>
  </w:style>
  <w:style w:type="paragraph" w:customStyle="1" w:styleId="163">
    <w:name w:val="纯文本1"/>
    <w:qFormat/>
    <w:uiPriority w:val="0"/>
    <w:pPr>
      <w:framePr w:wrap="around" w:vAnchor="margin" w:hAnchor="text" w:y="1"/>
      <w:widowControl w:val="0"/>
      <w:spacing w:before="156" w:after="156" w:line="400" w:lineRule="exact"/>
      <w:jc w:val="both"/>
    </w:pPr>
    <w:rPr>
      <w:rFonts w:ascii="宋体" w:hAnsi="宋体" w:eastAsia="宋体" w:cs="宋体"/>
      <w:color w:val="000000"/>
      <w:kern w:val="2"/>
      <w:sz w:val="21"/>
      <w:szCs w:val="21"/>
      <w:lang w:val="en-US" w:eastAsia="zh-CN" w:bidi="ar-SA"/>
    </w:rPr>
  </w:style>
  <w:style w:type="paragraph" w:customStyle="1" w:styleId="164">
    <w:name w:val="正文 A"/>
    <w:qFormat/>
    <w:uiPriority w:val="0"/>
    <w:pPr>
      <w:framePr w:wrap="around" w:vAnchor="margin" w:hAnchor="text" w:y="1"/>
      <w:widowControl w:val="0"/>
      <w:jc w:val="both"/>
    </w:pPr>
    <w:rPr>
      <w:rFonts w:ascii="Calibri" w:hAnsi="Calibri" w:eastAsia="Arial Unicode MS" w:cs="Arial Unicode MS"/>
      <w:color w:val="000000"/>
      <w:kern w:val="2"/>
      <w:sz w:val="21"/>
      <w:szCs w:val="21"/>
      <w:lang w:val="en-US" w:eastAsia="zh-CN" w:bidi="ar-SA"/>
    </w:rPr>
  </w:style>
  <w:style w:type="paragraph" w:customStyle="1" w:styleId="165">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66">
    <w:name w:val="样式3"/>
    <w:basedOn w:val="25"/>
    <w:next w:val="1"/>
    <w:qFormat/>
    <w:uiPriority w:val="0"/>
    <w:rPr>
      <w:rFonts w:ascii="Times New Roman" w:hAnsi="Times New Roman"/>
      <w:sz w:val="21"/>
      <w:szCs w:val="20"/>
    </w:rPr>
  </w:style>
  <w:style w:type="character" w:customStyle="1" w:styleId="167">
    <w:name w:val="Unresolved Mention"/>
    <w:semiHidden/>
    <w:unhideWhenUsed/>
    <w:qFormat/>
    <w:uiPriority w:val="99"/>
    <w:rPr>
      <w:color w:val="605E5C"/>
      <w:shd w:val="clear" w:color="auto" w:fill="E1DFDD"/>
    </w:rPr>
  </w:style>
  <w:style w:type="character" w:customStyle="1" w:styleId="168">
    <w:name w:val="NormalCharacter"/>
    <w:qFormat/>
    <w:uiPriority w:val="0"/>
    <w:rPr>
      <w:kern w:val="2"/>
      <w:sz w:val="21"/>
      <w:lang w:val="en-US" w:eastAsia="zh-CN" w:bidi="ar-SA"/>
    </w:rPr>
  </w:style>
  <w:style w:type="character" w:customStyle="1" w:styleId="169">
    <w:name w:val="不明显强调11"/>
    <w:qFormat/>
    <w:uiPriority w:val="0"/>
    <w:rPr>
      <w:i/>
      <w:iCs/>
      <w:color w:val="404040"/>
    </w:rPr>
  </w:style>
  <w:style w:type="character" w:customStyle="1" w:styleId="170">
    <w:name w:val="font11"/>
    <w:qFormat/>
    <w:uiPriority w:val="0"/>
    <w:rPr>
      <w:rFonts w:hint="eastAsia" w:ascii="宋体" w:hAnsi="宋体" w:eastAsia="宋体" w:cs="宋体"/>
      <w:color w:val="000000"/>
      <w:sz w:val="21"/>
      <w:szCs w:val="21"/>
      <w:u w:val="none"/>
    </w:rPr>
  </w:style>
  <w:style w:type="paragraph" w:customStyle="1" w:styleId="171">
    <w:name w:val="C503-正文格式"/>
    <w:basedOn w:val="1"/>
    <w:qFormat/>
    <w:uiPriority w:val="0"/>
    <w:pPr>
      <w:adjustRightInd w:val="0"/>
      <w:spacing w:line="360" w:lineRule="auto"/>
      <w:ind w:firstLine="480" w:firstLineChars="200"/>
      <w:textAlignment w:val="baseline"/>
    </w:pPr>
    <w:rPr>
      <w:rFonts w:ascii="宋体"/>
      <w:kern w:val="0"/>
      <w:sz w:val="24"/>
      <w:szCs w:val="20"/>
    </w:rPr>
  </w:style>
  <w:style w:type="paragraph" w:customStyle="1" w:styleId="172">
    <w:name w:val="正文文本11"/>
    <w:basedOn w:val="1"/>
    <w:qFormat/>
    <w:uiPriority w:val="0"/>
    <w:rPr>
      <w:i/>
      <w:sz w:val="18"/>
    </w:rPr>
  </w:style>
  <w:style w:type="paragraph" w:customStyle="1" w:styleId="173">
    <w:name w:val="Char Char Char Char Char Char Char Char Char Char Char Char1 Char1"/>
    <w:basedOn w:val="13"/>
    <w:qFormat/>
    <w:uiPriority w:val="0"/>
    <w:rPr>
      <w:rFonts w:ascii="Tahoma" w:hAnsi="Tahoma"/>
      <w:sz w:val="24"/>
    </w:rPr>
  </w:style>
  <w:style w:type="paragraph" w:customStyle="1" w:styleId="174">
    <w:name w:val="列出段落31"/>
    <w:basedOn w:val="1"/>
    <w:qFormat/>
    <w:uiPriority w:val="0"/>
    <w:pPr>
      <w:ind w:firstLine="420" w:firstLineChars="200"/>
    </w:pPr>
  </w:style>
  <w:style w:type="paragraph" w:customStyle="1" w:styleId="175">
    <w:name w:val="Char Char Char Char Char Char Char1"/>
    <w:basedOn w:val="1"/>
    <w:qFormat/>
    <w:uiPriority w:val="0"/>
    <w:rPr>
      <w:rFonts w:ascii="Tahoma" w:hAnsi="Tahoma"/>
      <w:sz w:val="24"/>
      <w:szCs w:val="20"/>
    </w:rPr>
  </w:style>
  <w:style w:type="paragraph" w:customStyle="1" w:styleId="176">
    <w:name w:val="Char11"/>
    <w:basedOn w:val="1"/>
    <w:qFormat/>
    <w:uiPriority w:val="0"/>
  </w:style>
  <w:style w:type="paragraph" w:customStyle="1" w:styleId="177">
    <w:name w:val="Char2"/>
    <w:basedOn w:val="1"/>
    <w:qFormat/>
    <w:uiPriority w:val="0"/>
    <w:pPr>
      <w:tabs>
        <w:tab w:val="left" w:pos="1200"/>
        <w:tab w:val="left" w:pos="1800"/>
      </w:tabs>
      <w:ind w:left="1200" w:hanging="1110"/>
    </w:pPr>
    <w:rPr>
      <w:sz w:val="24"/>
    </w:rPr>
  </w:style>
  <w:style w:type="paragraph" w:customStyle="1" w:styleId="178">
    <w:name w:val="首行缩进"/>
    <w:basedOn w:val="1"/>
    <w:qFormat/>
    <w:uiPriority w:val="0"/>
    <w:pPr>
      <w:ind w:firstLine="200" w:firstLineChars="200"/>
    </w:pPr>
  </w:style>
  <w:style w:type="character" w:customStyle="1" w:styleId="179">
    <w:name w:val="bookmark-item"/>
    <w:qFormat/>
    <w:uiPriority w:val="0"/>
  </w:style>
  <w:style w:type="paragraph" w:customStyle="1" w:styleId="180">
    <w:name w:val="正文小四"/>
    <w:basedOn w:val="1"/>
    <w:qFormat/>
    <w:uiPriority w:val="0"/>
    <w:pPr>
      <w:widowControl/>
      <w:spacing w:line="360" w:lineRule="auto"/>
      <w:ind w:firstLine="200" w:firstLineChars="200"/>
    </w:pPr>
    <w:rPr>
      <w:sz w:val="24"/>
    </w:rPr>
  </w:style>
  <w:style w:type="character" w:customStyle="1" w:styleId="181">
    <w:name w:val="font61"/>
    <w:basedOn w:val="43"/>
    <w:qFormat/>
    <w:uiPriority w:val="0"/>
    <w:rPr>
      <w:rFonts w:hint="eastAsia" w:ascii="宋体" w:hAnsi="宋体" w:eastAsia="宋体" w:cs="宋体"/>
      <w:color w:val="FF0000"/>
      <w:sz w:val="22"/>
      <w:szCs w:val="22"/>
      <w:u w:val="none"/>
    </w:rPr>
  </w:style>
  <w:style w:type="character" w:customStyle="1" w:styleId="182">
    <w:name w:val="font71"/>
    <w:basedOn w:val="43"/>
    <w:qFormat/>
    <w:uiPriority w:val="0"/>
    <w:rPr>
      <w:rFonts w:hint="eastAsia" w:ascii="宋体" w:hAnsi="宋体" w:eastAsia="宋体" w:cs="宋体"/>
      <w:color w:val="000000"/>
      <w:sz w:val="21"/>
      <w:szCs w:val="21"/>
      <w:u w:val="none"/>
    </w:rPr>
  </w:style>
  <w:style w:type="paragraph" w:customStyle="1" w:styleId="18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8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85">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6"/>
      <w:szCs w:val="16"/>
    </w:rPr>
  </w:style>
  <w:style w:type="paragraph" w:customStyle="1" w:styleId="186">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6"/>
      <w:szCs w:val="16"/>
    </w:rPr>
  </w:style>
  <w:style w:type="paragraph" w:customStyle="1" w:styleId="187">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88">
    <w:name w:val="xl6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89">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6"/>
      <w:szCs w:val="16"/>
    </w:rPr>
  </w:style>
  <w:style w:type="paragraph" w:customStyle="1" w:styleId="190">
    <w:name w:val="xl70"/>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6"/>
      <w:szCs w:val="16"/>
    </w:rPr>
  </w:style>
  <w:style w:type="paragraph" w:customStyle="1" w:styleId="191">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6"/>
      <w:szCs w:val="16"/>
    </w:rPr>
  </w:style>
  <w:style w:type="paragraph" w:customStyle="1" w:styleId="192">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93">
    <w:name w:val="xl7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6"/>
      <w:szCs w:val="16"/>
    </w:rPr>
  </w:style>
  <w:style w:type="paragraph" w:customStyle="1" w:styleId="194">
    <w:name w:val="xl7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16"/>
      <w:szCs w:val="16"/>
    </w:rPr>
  </w:style>
  <w:style w:type="paragraph" w:customStyle="1" w:styleId="195">
    <w:name w:val="xl75"/>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16"/>
      <w:szCs w:val="16"/>
    </w:rPr>
  </w:style>
  <w:style w:type="paragraph" w:customStyle="1" w:styleId="196">
    <w:name w:val="xl76"/>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97">
    <w:name w:val="xl7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61B872-3E33-4675-A516-A62645F141DA}">
  <ds:schemaRefs/>
</ds:datastoreItem>
</file>

<file path=docProps/app.xml><?xml version="1.0" encoding="utf-8"?>
<Properties xmlns="http://schemas.openxmlformats.org/officeDocument/2006/extended-properties" xmlns:vt="http://schemas.openxmlformats.org/officeDocument/2006/docPropsVTypes">
  <Template>Normal</Template>
  <Pages>107</Pages>
  <Words>65815</Words>
  <Characters>72342</Characters>
  <Lines>562</Lines>
  <Paragraphs>158</Paragraphs>
  <TotalTime>59</TotalTime>
  <ScaleCrop>false</ScaleCrop>
  <LinksUpToDate>false</LinksUpToDate>
  <CharactersWithSpaces>74702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2022-12-22T07:17:00Z</dcterms:created>
  <dc:creator>浙江科信联合工程项目管理咨询有限公司</dc:creator>
  <cp:lastModifiedBy>騰</cp:lastModifiedBy>
  <cp:lastPrinted>2023-01-11T13:29:00Z</cp:lastPrinted>
  <dcterms:modified xsi:type="dcterms:W3CDTF">2023-02-28T07:32:38Z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C1E4F41B4CC2485EB17B4A219DAE56D4</vt:lpwstr>
  </property>
</Properties>
</file>