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ordWrap w:val="0"/>
        <w:snapToGrid w:val="0"/>
        <w:spacing w:before="120" w:after="120" w:line="360" w:lineRule="auto"/>
        <w:ind w:right="960"/>
        <w:jc w:val="center"/>
        <w:rPr>
          <w:rFonts w:hint="eastAsia" w:ascii="宋体" w:hAnsi="宋体" w:eastAsia="宋体" w:cs="宋体"/>
          <w:color w:val="auto"/>
          <w:sz w:val="21"/>
          <w:szCs w:val="21"/>
          <w:highlight w:val="none"/>
        </w:rPr>
      </w:pPr>
      <w:bookmarkStart w:id="0" w:name="_Toc11335"/>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交易登记号：FSCG2022004</w:t>
      </w:r>
    </w:p>
    <w:p>
      <w:pPr>
        <w:pStyle w:val="14"/>
        <w:spacing w:before="120" w:after="120" w:line="360" w:lineRule="auto"/>
        <w:rPr>
          <w:rFonts w:hint="eastAsia" w:ascii="宋体" w:hAnsi="宋体" w:eastAsia="宋体" w:cs="宋体"/>
          <w:color w:val="auto"/>
          <w:sz w:val="21"/>
          <w:szCs w:val="21"/>
          <w:highlight w:val="none"/>
        </w:rPr>
      </w:pPr>
    </w:p>
    <w:p>
      <w:pPr>
        <w:pStyle w:val="14"/>
        <w:spacing w:before="120" w:after="12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公开招标采购文件</w:t>
      </w:r>
    </w:p>
    <w:p>
      <w:pPr>
        <w:pStyle w:val="14"/>
        <w:spacing w:before="120" w:after="120" w:line="360" w:lineRule="auto"/>
        <w:jc w:val="center"/>
        <w:rPr>
          <w:rFonts w:hint="eastAsia" w:ascii="宋体" w:hAnsi="宋体" w:eastAsia="宋体" w:cs="宋体"/>
          <w:b/>
          <w:bCs/>
          <w:color w:val="auto"/>
          <w:sz w:val="21"/>
          <w:szCs w:val="21"/>
          <w:highlight w:val="none"/>
        </w:rPr>
      </w:pPr>
    </w:p>
    <w:p>
      <w:pPr>
        <w:pStyle w:val="14"/>
        <w:spacing w:before="120" w:after="120" w:line="360" w:lineRule="auto"/>
        <w:jc w:val="center"/>
        <w:rPr>
          <w:rFonts w:hint="eastAsia" w:ascii="宋体" w:hAnsi="宋体" w:eastAsia="宋体" w:cs="宋体"/>
          <w:b/>
          <w:bCs/>
          <w:color w:val="auto"/>
          <w:sz w:val="21"/>
          <w:szCs w:val="21"/>
          <w:highlight w:val="none"/>
        </w:rPr>
      </w:pPr>
    </w:p>
    <w:p>
      <w:pPr>
        <w:pStyle w:val="14"/>
        <w:spacing w:before="120" w:after="120" w:line="360" w:lineRule="auto"/>
        <w:jc w:val="center"/>
        <w:rPr>
          <w:rFonts w:hint="eastAsia" w:ascii="宋体" w:hAnsi="宋体" w:eastAsia="宋体" w:cs="宋体"/>
          <w:b/>
          <w:bCs/>
          <w:color w:val="auto"/>
          <w:sz w:val="21"/>
          <w:szCs w:val="21"/>
          <w:highlight w:val="none"/>
        </w:rPr>
      </w:pPr>
    </w:p>
    <w:p>
      <w:pPr>
        <w:pStyle w:val="14"/>
        <w:spacing w:before="120" w:after="120" w:line="360" w:lineRule="auto"/>
        <w:jc w:val="both"/>
        <w:rPr>
          <w:rFonts w:hint="eastAsia" w:ascii="宋体" w:hAnsi="宋体" w:eastAsia="宋体" w:cs="宋体"/>
          <w:b/>
          <w:bCs/>
          <w:color w:val="auto"/>
          <w:sz w:val="21"/>
          <w:szCs w:val="21"/>
          <w:highlight w:val="none"/>
        </w:rPr>
      </w:pPr>
    </w:p>
    <w:p>
      <w:pPr>
        <w:pStyle w:val="14"/>
        <w:spacing w:before="120" w:after="120" w:line="360" w:lineRule="auto"/>
        <w:jc w:val="both"/>
        <w:rPr>
          <w:rFonts w:hint="eastAsia" w:ascii="宋体" w:hAnsi="宋体" w:eastAsia="宋体" w:cs="宋体"/>
          <w:b/>
          <w:bCs/>
          <w:color w:val="auto"/>
          <w:sz w:val="21"/>
          <w:szCs w:val="21"/>
          <w:highlight w:val="none"/>
        </w:rPr>
      </w:pPr>
    </w:p>
    <w:p>
      <w:pPr>
        <w:pStyle w:val="14"/>
        <w:spacing w:before="120" w:after="120" w:line="360" w:lineRule="auto"/>
        <w:jc w:val="center"/>
        <w:rPr>
          <w:rFonts w:hint="eastAsia" w:ascii="宋体" w:hAnsi="宋体" w:eastAsia="宋体" w:cs="宋体"/>
          <w:b/>
          <w:bCs/>
          <w:color w:val="auto"/>
          <w:sz w:val="21"/>
          <w:szCs w:val="21"/>
          <w:highlight w:val="none"/>
        </w:rPr>
      </w:pPr>
    </w:p>
    <w:p>
      <w:pPr>
        <w:pStyle w:val="14"/>
        <w:spacing w:before="120" w:after="120" w:line="360" w:lineRule="auto"/>
        <w:jc w:val="center"/>
        <w:rPr>
          <w:rFonts w:hint="eastAsia" w:ascii="宋体" w:hAnsi="宋体" w:eastAsia="宋体" w:cs="宋体"/>
          <w:b/>
          <w:bCs/>
          <w:color w:val="auto"/>
          <w:sz w:val="21"/>
          <w:szCs w:val="21"/>
          <w:highlight w:val="none"/>
        </w:rPr>
      </w:pPr>
    </w:p>
    <w:p>
      <w:pPr>
        <w:pStyle w:val="14"/>
        <w:spacing w:before="120" w:after="120" w:line="360" w:lineRule="auto"/>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w:t>
      </w:r>
      <w:r>
        <w:rPr>
          <w:rFonts w:hint="eastAsia" w:ascii="宋体" w:hAnsi="宋体" w:eastAsia="宋体" w:cs="宋体"/>
          <w:b/>
          <w:bCs/>
          <w:color w:val="auto"/>
          <w:sz w:val="28"/>
          <w:szCs w:val="28"/>
          <w:highlight w:val="none"/>
        </w:rPr>
        <w:t>编号：</w:t>
      </w:r>
      <w:r>
        <w:rPr>
          <w:rFonts w:hint="eastAsia" w:ascii="宋体" w:hAnsi="宋体" w:eastAsia="宋体" w:cs="宋体"/>
          <w:b/>
          <w:bCs/>
          <w:color w:val="auto"/>
          <w:sz w:val="28"/>
          <w:szCs w:val="28"/>
          <w:highlight w:val="none"/>
          <w:lang w:val="en-US" w:eastAsia="zh-CN"/>
        </w:rPr>
        <w:t>SMFWZB2021143</w:t>
      </w:r>
    </w:p>
    <w:p>
      <w:pPr>
        <w:pStyle w:val="14"/>
        <w:spacing w:before="120" w:after="120" w:line="360" w:lineRule="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项目名称：</w:t>
      </w:r>
      <w:r>
        <w:rPr>
          <w:rFonts w:hint="eastAsia" w:ascii="宋体" w:hAnsi="宋体" w:eastAsia="宋体" w:cs="宋体"/>
          <w:b/>
          <w:bCs/>
          <w:color w:val="auto"/>
          <w:sz w:val="28"/>
          <w:szCs w:val="28"/>
          <w:highlight w:val="none"/>
          <w:lang w:eastAsia="zh-CN"/>
        </w:rPr>
        <w:t>江北区2022年度城镇老旧小区改造工程（丽庄西苑（一期、二期）、费市家苑）全过程工程咨询</w:t>
      </w:r>
      <w:r>
        <w:rPr>
          <w:rFonts w:hint="eastAsia" w:ascii="宋体" w:hAnsi="宋体" w:eastAsia="宋体" w:cs="宋体"/>
          <w:b/>
          <w:bCs/>
          <w:color w:val="auto"/>
          <w:sz w:val="28"/>
          <w:szCs w:val="28"/>
          <w:highlight w:val="none"/>
          <w:lang w:val="en-US" w:eastAsia="zh-CN"/>
        </w:rPr>
        <w:t xml:space="preserve"> </w:t>
      </w:r>
    </w:p>
    <w:p>
      <w:pPr>
        <w:pStyle w:val="14"/>
        <w:spacing w:before="120" w:after="120" w:line="360" w:lineRule="auto"/>
        <w:rPr>
          <w:rFonts w:hint="eastAsia" w:ascii="宋体" w:hAnsi="宋体" w:eastAsia="宋体" w:cs="宋体"/>
          <w:b/>
          <w:bCs/>
          <w:color w:val="auto"/>
          <w:sz w:val="28"/>
          <w:szCs w:val="28"/>
          <w:highlight w:val="none"/>
        </w:rPr>
      </w:pPr>
    </w:p>
    <w:p>
      <w:pPr>
        <w:pStyle w:val="14"/>
        <w:spacing w:before="120" w:after="120" w:line="360" w:lineRule="auto"/>
        <w:rPr>
          <w:rFonts w:hint="eastAsia" w:ascii="宋体" w:hAnsi="宋体" w:eastAsia="宋体" w:cs="宋体"/>
          <w:b/>
          <w:bCs/>
          <w:color w:val="auto"/>
          <w:sz w:val="28"/>
          <w:szCs w:val="28"/>
          <w:highlight w:val="none"/>
        </w:rPr>
      </w:pPr>
    </w:p>
    <w:p>
      <w:pPr>
        <w:pStyle w:val="14"/>
        <w:spacing w:before="120" w:after="120" w:line="360" w:lineRule="auto"/>
        <w:rPr>
          <w:rFonts w:hint="eastAsia" w:ascii="宋体" w:hAnsi="宋体" w:eastAsia="宋体" w:cs="宋体"/>
          <w:b/>
          <w:bCs/>
          <w:color w:val="auto"/>
          <w:sz w:val="28"/>
          <w:szCs w:val="28"/>
          <w:highlight w:val="none"/>
        </w:rPr>
      </w:pPr>
    </w:p>
    <w:p>
      <w:pPr>
        <w:pStyle w:val="14"/>
        <w:spacing w:before="120" w:after="120" w:line="360" w:lineRule="auto"/>
        <w:ind w:firstLine="843"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采购单位：</w:t>
      </w:r>
      <w:r>
        <w:rPr>
          <w:rFonts w:hint="eastAsia" w:ascii="宋体" w:hAnsi="宋体" w:eastAsia="宋体" w:cs="宋体"/>
          <w:b/>
          <w:bCs/>
          <w:color w:val="auto"/>
          <w:sz w:val="28"/>
          <w:szCs w:val="28"/>
          <w:highlight w:val="none"/>
          <w:lang w:val="en-US" w:eastAsia="zh-CN"/>
        </w:rPr>
        <w:t>宁波市江北区人民政府庄桥街道办事处</w:t>
      </w:r>
    </w:p>
    <w:p>
      <w:pPr>
        <w:pStyle w:val="14"/>
        <w:spacing w:before="120" w:after="120" w:line="360" w:lineRule="auto"/>
        <w:ind w:firstLine="843"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招标代理机构：世明建设项目管理有限公司</w:t>
      </w:r>
    </w:p>
    <w:p>
      <w:pPr>
        <w:wordWrap w:val="0"/>
        <w:spacing w:after="120" w:line="360" w:lineRule="auto"/>
        <w:jc w:val="center"/>
        <w:rPr>
          <w:rFonts w:hint="eastAsia" w:ascii="宋体" w:hAnsi="宋体" w:eastAsia="宋体" w:cs="宋体"/>
          <w:b/>
          <w:bCs/>
          <w:color w:val="auto"/>
          <w:sz w:val="28"/>
          <w:szCs w:val="28"/>
          <w:highlight w:val="none"/>
        </w:rPr>
        <w:sectPr>
          <w:headerReference r:id="rId5" w:type="first"/>
          <w:footerReference r:id="rId7" w:type="first"/>
          <w:headerReference r:id="rId3" w:type="default"/>
          <w:headerReference r:id="rId4" w:type="even"/>
          <w:footerReference r:id="rId6" w:type="even"/>
          <w:pgSz w:w="11906" w:h="16838"/>
          <w:pgMar w:top="1440" w:right="1286" w:bottom="1318" w:left="13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28"/>
          <w:szCs w:val="28"/>
          <w:highlight w:val="none"/>
        </w:rPr>
        <w:t>202</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月</w:t>
      </w:r>
    </w:p>
    <w:p>
      <w:pPr>
        <w:pStyle w:val="2"/>
        <w:rPr>
          <w:rFonts w:hint="eastAsia"/>
          <w:highlight w:val="none"/>
          <w:lang w:val="en-US" w:eastAsia="zh-CN"/>
        </w:rPr>
        <w:sectPr>
          <w:pgSz w:w="11906" w:h="16838"/>
          <w:pgMar w:top="1440" w:right="1286" w:bottom="1318" w:left="1380" w:header="851" w:footer="992" w:gutter="0"/>
          <w:pgBorders>
            <w:top w:val="none" w:sz="0" w:space="0"/>
            <w:left w:val="none" w:sz="0" w:space="0"/>
            <w:bottom w:val="none" w:sz="0" w:space="0"/>
            <w:right w:val="none" w:sz="0" w:space="0"/>
          </w:pgBorders>
          <w:cols w:space="720" w:num="1"/>
          <w:docGrid w:type="lines" w:linePitch="312" w:charSpace="0"/>
        </w:sectPr>
      </w:pPr>
      <w:r>
        <w:rPr>
          <w:highlight w:val="none"/>
        </w:rPr>
        <w:drawing>
          <wp:anchor distT="0" distB="0" distL="114300" distR="114300" simplePos="0" relativeHeight="251659264" behindDoc="0" locked="0" layoutInCell="1" allowOverlap="1">
            <wp:simplePos x="0" y="0"/>
            <wp:positionH relativeFrom="column">
              <wp:posOffset>-844550</wp:posOffset>
            </wp:positionH>
            <wp:positionV relativeFrom="paragraph">
              <wp:posOffset>-1038225</wp:posOffset>
            </wp:positionV>
            <wp:extent cx="7572375" cy="10961370"/>
            <wp:effectExtent l="0" t="0" r="9525" b="1143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7572375" cy="10961370"/>
                    </a:xfrm>
                    <a:prstGeom prst="rect">
                      <a:avLst/>
                    </a:prstGeom>
                    <a:noFill/>
                    <a:ln>
                      <a:noFill/>
                    </a:ln>
                  </pic:spPr>
                </pic:pic>
              </a:graphicData>
            </a:graphic>
          </wp:anchor>
        </w:drawing>
      </w:r>
    </w:p>
    <w:p>
      <w:pPr>
        <w:wordWrap w:val="0"/>
        <w:spacing w:after="120"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目  录</w:t>
      </w:r>
      <w:bookmarkEnd w:id="0"/>
    </w:p>
    <w:p>
      <w:pPr>
        <w:pStyle w:val="1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"1-1" \h \z \u </w:instrText>
      </w:r>
      <w:r>
        <w:rPr>
          <w:rFonts w:hint="eastAsia" w:ascii="宋体" w:hAnsi="宋体" w:eastAsia="宋体" w:cs="宋体"/>
          <w:color w:val="auto"/>
          <w:sz w:val="21"/>
          <w:szCs w:val="21"/>
          <w:highlight w:val="none"/>
        </w:rPr>
        <w:fldChar w:fldCharType="separate"/>
      </w:r>
    </w:p>
    <w:p>
      <w:pPr>
        <w:pStyle w:val="18"/>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"file:///C:\\Users\\86138\\Desktop\\宁波老外滩24小时有声城市书房服务采购项目定稿（已定时间）.doc" \l "_Toc2418" </w:instrText>
      </w:r>
      <w:r>
        <w:rPr>
          <w:rFonts w:hint="eastAsia" w:ascii="宋体" w:hAnsi="宋体" w:eastAsia="宋体" w:cs="宋体"/>
          <w:color w:val="auto"/>
          <w:sz w:val="28"/>
          <w:szCs w:val="28"/>
          <w:highlight w:val="none"/>
        </w:rPr>
        <w:fldChar w:fldCharType="separate"/>
      </w:r>
      <w:r>
        <w:rPr>
          <w:rStyle w:val="35"/>
          <w:rFonts w:hint="eastAsia" w:ascii="宋体" w:hAnsi="宋体" w:eastAsia="宋体" w:cs="宋体"/>
          <w:bCs/>
          <w:color w:val="auto"/>
          <w:sz w:val="28"/>
          <w:szCs w:val="28"/>
          <w:highlight w:val="none"/>
          <w:lang w:eastAsia="zh-CN"/>
        </w:rPr>
        <w:t xml:space="preserve">第一部分 </w:t>
      </w:r>
      <w:r>
        <w:rPr>
          <w:rStyle w:val="35"/>
          <w:rFonts w:hint="eastAsia" w:ascii="宋体" w:hAnsi="宋体" w:eastAsia="宋体" w:cs="宋体"/>
          <w:bCs/>
          <w:color w:val="auto"/>
          <w:sz w:val="28"/>
          <w:szCs w:val="28"/>
          <w:highlight w:val="none"/>
          <w:lang w:val="en-US" w:eastAsia="zh-CN"/>
        </w:rPr>
        <w:t>采购</w:t>
      </w:r>
      <w:r>
        <w:rPr>
          <w:rStyle w:val="35"/>
          <w:rFonts w:hint="eastAsia" w:ascii="宋体" w:hAnsi="宋体" w:eastAsia="宋体" w:cs="宋体"/>
          <w:bCs/>
          <w:color w:val="auto"/>
          <w:sz w:val="28"/>
          <w:szCs w:val="28"/>
          <w:highlight w:val="none"/>
          <w:lang w:eastAsia="zh-CN"/>
        </w:rPr>
        <w:t>公告</w:t>
      </w:r>
      <w:r>
        <w:rPr>
          <w:rStyle w:val="35"/>
          <w:rFonts w:hint="eastAsia" w:ascii="宋体" w:hAnsi="宋体" w:eastAsia="宋体" w:cs="宋体"/>
          <w:color w:val="auto"/>
          <w:sz w:val="28"/>
          <w:szCs w:val="28"/>
          <w:highlight w:val="none"/>
        </w:rPr>
        <w:tab/>
      </w:r>
      <w:r>
        <w:rPr>
          <w:rStyle w:val="35"/>
          <w:rFonts w:hint="eastAsia" w:ascii="宋体" w:hAnsi="宋体" w:eastAsia="宋体" w:cs="宋体"/>
          <w:color w:val="auto"/>
          <w:sz w:val="28"/>
          <w:szCs w:val="28"/>
          <w:highlight w:val="none"/>
          <w:lang w:val="en-US" w:eastAsia="zh-CN"/>
        </w:rPr>
        <w:t>1</w:t>
      </w:r>
      <w:r>
        <w:rPr>
          <w:rStyle w:val="35"/>
          <w:rFonts w:hint="eastAsia" w:ascii="宋体" w:hAnsi="宋体" w:eastAsia="宋体" w:cs="宋体"/>
          <w:color w:val="auto"/>
          <w:sz w:val="28"/>
          <w:szCs w:val="28"/>
          <w:highlight w:val="none"/>
          <w:lang w:eastAsia="zh-CN"/>
        </w:rPr>
        <w:fldChar w:fldCharType="end"/>
      </w:r>
    </w:p>
    <w:p>
      <w:pPr>
        <w:pStyle w:val="18"/>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"file:///C:\\Users\\86138\\Desktop\\宁波老外滩24小时有声城市书房服务采购项目定稿（已定时间）.doc" \l "_Toc20566" </w:instrText>
      </w:r>
      <w:r>
        <w:rPr>
          <w:rFonts w:hint="eastAsia" w:ascii="宋体" w:hAnsi="宋体" w:eastAsia="宋体" w:cs="宋体"/>
          <w:color w:val="auto"/>
          <w:sz w:val="28"/>
          <w:szCs w:val="28"/>
          <w:highlight w:val="none"/>
        </w:rPr>
        <w:fldChar w:fldCharType="separate"/>
      </w:r>
      <w:r>
        <w:rPr>
          <w:rStyle w:val="35"/>
          <w:rFonts w:hint="eastAsia" w:ascii="宋体" w:hAnsi="宋体" w:eastAsia="宋体" w:cs="宋体"/>
          <w:bCs/>
          <w:color w:val="auto"/>
          <w:sz w:val="28"/>
          <w:szCs w:val="28"/>
          <w:highlight w:val="none"/>
          <w:lang w:eastAsia="zh-CN"/>
        </w:rPr>
        <w:t xml:space="preserve">第二部分 </w:t>
      </w:r>
      <w:r>
        <w:rPr>
          <w:rStyle w:val="35"/>
          <w:rFonts w:hint="eastAsia" w:ascii="宋体" w:hAnsi="宋体" w:eastAsia="宋体" w:cs="宋体"/>
          <w:bCs/>
          <w:color w:val="auto"/>
          <w:sz w:val="28"/>
          <w:szCs w:val="28"/>
          <w:highlight w:val="none"/>
        </w:rPr>
        <w:t>采购需求</w:t>
      </w:r>
      <w:r>
        <w:rPr>
          <w:rStyle w:val="35"/>
          <w:rFonts w:hint="eastAsia" w:ascii="宋体" w:hAnsi="宋体" w:eastAsia="宋体" w:cs="宋体"/>
          <w:color w:val="auto"/>
          <w:sz w:val="28"/>
          <w:szCs w:val="28"/>
          <w:highlight w:val="none"/>
        </w:rPr>
        <w:tab/>
      </w:r>
      <w:r>
        <w:rPr>
          <w:rStyle w:val="35"/>
          <w:rFonts w:hint="eastAsia" w:ascii="宋体" w:hAnsi="宋体" w:eastAsia="宋体" w:cs="宋体"/>
          <w:color w:val="auto"/>
          <w:sz w:val="28"/>
          <w:szCs w:val="28"/>
          <w:highlight w:val="none"/>
        </w:rPr>
        <w:fldChar w:fldCharType="begin"/>
      </w:r>
      <w:r>
        <w:rPr>
          <w:rStyle w:val="35"/>
          <w:rFonts w:hint="eastAsia" w:ascii="宋体" w:hAnsi="宋体" w:eastAsia="宋体" w:cs="宋体"/>
          <w:color w:val="auto"/>
          <w:sz w:val="28"/>
          <w:szCs w:val="28"/>
          <w:highlight w:val="none"/>
        </w:rPr>
        <w:instrText xml:space="preserve"> PAGEREF _Toc20566 </w:instrText>
      </w:r>
      <w:r>
        <w:rPr>
          <w:rStyle w:val="35"/>
          <w:rFonts w:hint="eastAsia" w:ascii="宋体" w:hAnsi="宋体" w:eastAsia="宋体" w:cs="宋体"/>
          <w:color w:val="auto"/>
          <w:sz w:val="28"/>
          <w:szCs w:val="28"/>
          <w:highlight w:val="none"/>
        </w:rPr>
        <w:fldChar w:fldCharType="separate"/>
      </w:r>
      <w:r>
        <w:rPr>
          <w:rStyle w:val="35"/>
          <w:rFonts w:hint="eastAsia" w:ascii="宋体" w:hAnsi="宋体" w:eastAsia="宋体" w:cs="宋体"/>
          <w:color w:val="auto"/>
          <w:sz w:val="28"/>
          <w:szCs w:val="28"/>
          <w:highlight w:val="none"/>
        </w:rPr>
        <w:t>7</w:t>
      </w:r>
      <w:r>
        <w:rPr>
          <w:rStyle w:val="35"/>
          <w:rFonts w:hint="eastAsia" w:ascii="宋体" w:hAnsi="宋体" w:eastAsia="宋体" w:cs="宋体"/>
          <w:color w:val="auto"/>
          <w:sz w:val="28"/>
          <w:szCs w:val="28"/>
          <w:highlight w:val="none"/>
        </w:rPr>
        <w:fldChar w:fldCharType="end"/>
      </w:r>
      <w:r>
        <w:rPr>
          <w:rStyle w:val="35"/>
          <w:rFonts w:hint="eastAsia" w:ascii="宋体" w:hAnsi="宋体" w:eastAsia="宋体" w:cs="宋体"/>
          <w:color w:val="auto"/>
          <w:sz w:val="28"/>
          <w:szCs w:val="28"/>
          <w:highlight w:val="none"/>
        </w:rPr>
        <w:fldChar w:fldCharType="end"/>
      </w:r>
    </w:p>
    <w:p>
      <w:pPr>
        <w:pStyle w:val="18"/>
        <w:spacing w:line="48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"file:///C:\\Users\\86138\\Desktop\\宁波老外滩24小时有声城市书房服务采购项目定稿（已定时间）.doc" \l "_Toc26798" </w:instrText>
      </w:r>
      <w:r>
        <w:rPr>
          <w:rFonts w:hint="eastAsia" w:ascii="宋体" w:hAnsi="宋体" w:eastAsia="宋体" w:cs="宋体"/>
          <w:color w:val="auto"/>
          <w:sz w:val="28"/>
          <w:szCs w:val="28"/>
          <w:highlight w:val="none"/>
        </w:rPr>
        <w:fldChar w:fldCharType="separate"/>
      </w:r>
      <w:r>
        <w:rPr>
          <w:rStyle w:val="35"/>
          <w:rFonts w:hint="eastAsia" w:ascii="宋体" w:hAnsi="宋体" w:eastAsia="宋体" w:cs="宋体"/>
          <w:bCs/>
          <w:color w:val="auto"/>
          <w:sz w:val="28"/>
          <w:szCs w:val="28"/>
          <w:highlight w:val="none"/>
        </w:rPr>
        <w:t>第三部分</w:t>
      </w:r>
      <w:r>
        <w:rPr>
          <w:rStyle w:val="35"/>
          <w:rFonts w:hint="eastAsia" w:ascii="宋体" w:hAnsi="宋体" w:eastAsia="宋体" w:cs="宋体"/>
          <w:bCs/>
          <w:color w:val="auto"/>
          <w:sz w:val="28"/>
          <w:szCs w:val="28"/>
          <w:highlight w:val="none"/>
          <w:lang w:eastAsia="zh-CN"/>
        </w:rPr>
        <w:t xml:space="preserve"> 投标人</w:t>
      </w:r>
      <w:r>
        <w:rPr>
          <w:rStyle w:val="35"/>
          <w:rFonts w:hint="eastAsia" w:ascii="宋体" w:hAnsi="宋体" w:eastAsia="宋体" w:cs="宋体"/>
          <w:bCs/>
          <w:color w:val="auto"/>
          <w:sz w:val="28"/>
          <w:szCs w:val="28"/>
          <w:highlight w:val="none"/>
        </w:rPr>
        <w:t>须知</w:t>
      </w:r>
      <w:r>
        <w:rPr>
          <w:rStyle w:val="35"/>
          <w:rFonts w:hint="eastAsia" w:ascii="宋体" w:hAnsi="宋体" w:eastAsia="宋体" w:cs="宋体"/>
          <w:color w:val="auto"/>
          <w:sz w:val="28"/>
          <w:szCs w:val="28"/>
          <w:highlight w:val="none"/>
        </w:rPr>
        <w:tab/>
      </w:r>
      <w:r>
        <w:rPr>
          <w:rStyle w:val="35"/>
          <w:rFonts w:hint="eastAsia" w:ascii="宋体" w:hAnsi="宋体" w:eastAsia="宋体" w:cs="宋体"/>
          <w:color w:val="auto"/>
          <w:sz w:val="28"/>
          <w:szCs w:val="28"/>
          <w:highlight w:val="none"/>
        </w:rPr>
        <w:fldChar w:fldCharType="end"/>
      </w:r>
      <w:r>
        <w:rPr>
          <w:rStyle w:val="35"/>
          <w:rFonts w:hint="eastAsia" w:ascii="宋体" w:hAnsi="宋体" w:eastAsia="宋体" w:cs="宋体"/>
          <w:color w:val="auto"/>
          <w:sz w:val="28"/>
          <w:szCs w:val="28"/>
          <w:highlight w:val="none"/>
          <w:lang w:val="en-US" w:eastAsia="zh-CN"/>
        </w:rPr>
        <w:t>16</w:t>
      </w:r>
    </w:p>
    <w:p>
      <w:pPr>
        <w:pStyle w:val="18"/>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"file:///C:\\Users\\86138\\Desktop\\宁波老外滩24小时有声城市书房服务采购项目定稿（已定时间）.doc" \l "_Toc13" </w:instrText>
      </w:r>
      <w:r>
        <w:rPr>
          <w:rFonts w:hint="eastAsia" w:ascii="宋体" w:hAnsi="宋体" w:eastAsia="宋体" w:cs="宋体"/>
          <w:color w:val="auto"/>
          <w:sz w:val="28"/>
          <w:szCs w:val="28"/>
          <w:highlight w:val="none"/>
        </w:rPr>
        <w:fldChar w:fldCharType="separate"/>
      </w:r>
      <w:r>
        <w:rPr>
          <w:rStyle w:val="35"/>
          <w:rFonts w:hint="eastAsia" w:ascii="宋体" w:hAnsi="宋体" w:eastAsia="宋体" w:cs="宋体"/>
          <w:bCs/>
          <w:color w:val="auto"/>
          <w:sz w:val="28"/>
          <w:szCs w:val="28"/>
          <w:highlight w:val="none"/>
        </w:rPr>
        <w:t>第四部分</w:t>
      </w:r>
      <w:r>
        <w:rPr>
          <w:rStyle w:val="35"/>
          <w:rFonts w:hint="eastAsia" w:ascii="宋体" w:hAnsi="宋体" w:eastAsia="宋体" w:cs="宋体"/>
          <w:bCs/>
          <w:color w:val="auto"/>
          <w:sz w:val="28"/>
          <w:szCs w:val="28"/>
          <w:highlight w:val="none"/>
          <w:lang w:eastAsia="zh-CN"/>
        </w:rPr>
        <w:t xml:space="preserve"> </w:t>
      </w:r>
      <w:r>
        <w:rPr>
          <w:rStyle w:val="35"/>
          <w:rFonts w:hint="eastAsia" w:ascii="宋体" w:hAnsi="宋体" w:eastAsia="宋体" w:cs="宋体"/>
          <w:bCs/>
          <w:color w:val="auto"/>
          <w:sz w:val="28"/>
          <w:szCs w:val="28"/>
          <w:highlight w:val="none"/>
        </w:rPr>
        <w:t>评标办法及评分标准</w:t>
      </w:r>
      <w:r>
        <w:rPr>
          <w:rStyle w:val="35"/>
          <w:rFonts w:hint="eastAsia" w:ascii="宋体" w:hAnsi="宋体" w:eastAsia="宋体" w:cs="宋体"/>
          <w:color w:val="auto"/>
          <w:sz w:val="28"/>
          <w:szCs w:val="28"/>
          <w:highlight w:val="none"/>
        </w:rPr>
        <w:tab/>
      </w:r>
      <w:r>
        <w:rPr>
          <w:rStyle w:val="35"/>
          <w:rFonts w:hint="eastAsia" w:ascii="宋体" w:hAnsi="宋体" w:eastAsia="宋体" w:cs="宋体"/>
          <w:color w:val="auto"/>
          <w:sz w:val="28"/>
          <w:szCs w:val="28"/>
          <w:highlight w:val="none"/>
        </w:rPr>
        <w:fldChar w:fldCharType="begin"/>
      </w:r>
      <w:r>
        <w:rPr>
          <w:rStyle w:val="35"/>
          <w:rFonts w:hint="eastAsia" w:ascii="宋体" w:hAnsi="宋体" w:eastAsia="宋体" w:cs="宋体"/>
          <w:color w:val="auto"/>
          <w:sz w:val="28"/>
          <w:szCs w:val="28"/>
          <w:highlight w:val="none"/>
        </w:rPr>
        <w:instrText xml:space="preserve"> PAGEREF _Toc13 </w:instrText>
      </w:r>
      <w:r>
        <w:rPr>
          <w:rStyle w:val="35"/>
          <w:rFonts w:hint="eastAsia" w:ascii="宋体" w:hAnsi="宋体" w:eastAsia="宋体" w:cs="宋体"/>
          <w:color w:val="auto"/>
          <w:sz w:val="28"/>
          <w:szCs w:val="28"/>
          <w:highlight w:val="none"/>
        </w:rPr>
        <w:fldChar w:fldCharType="separate"/>
      </w:r>
      <w:r>
        <w:rPr>
          <w:rStyle w:val="35"/>
          <w:rFonts w:hint="eastAsia" w:ascii="宋体" w:hAnsi="宋体" w:eastAsia="宋体" w:cs="宋体"/>
          <w:color w:val="auto"/>
          <w:sz w:val="28"/>
          <w:szCs w:val="28"/>
          <w:highlight w:val="none"/>
        </w:rPr>
        <w:t>30</w:t>
      </w:r>
      <w:r>
        <w:rPr>
          <w:rStyle w:val="35"/>
          <w:rFonts w:hint="eastAsia" w:ascii="宋体" w:hAnsi="宋体" w:eastAsia="宋体" w:cs="宋体"/>
          <w:color w:val="auto"/>
          <w:sz w:val="28"/>
          <w:szCs w:val="28"/>
          <w:highlight w:val="none"/>
        </w:rPr>
        <w:fldChar w:fldCharType="end"/>
      </w:r>
      <w:r>
        <w:rPr>
          <w:rStyle w:val="35"/>
          <w:rFonts w:hint="eastAsia" w:ascii="宋体" w:hAnsi="宋体" w:eastAsia="宋体" w:cs="宋体"/>
          <w:color w:val="auto"/>
          <w:sz w:val="28"/>
          <w:szCs w:val="28"/>
          <w:highlight w:val="none"/>
        </w:rPr>
        <w:fldChar w:fldCharType="end"/>
      </w:r>
    </w:p>
    <w:p>
      <w:pPr>
        <w:pStyle w:val="18"/>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"file:///C:\\Users\\86138\\Desktop\\宁波老外滩24小时有声城市书房服务采购项目定稿（已定时间）.doc" \l "_Toc25195" </w:instrText>
      </w:r>
      <w:r>
        <w:rPr>
          <w:rFonts w:hint="eastAsia" w:ascii="宋体" w:hAnsi="宋体" w:eastAsia="宋体" w:cs="宋体"/>
          <w:color w:val="auto"/>
          <w:sz w:val="28"/>
          <w:szCs w:val="28"/>
          <w:highlight w:val="none"/>
        </w:rPr>
        <w:fldChar w:fldCharType="separate"/>
      </w:r>
      <w:r>
        <w:rPr>
          <w:rStyle w:val="35"/>
          <w:rFonts w:hint="eastAsia" w:ascii="宋体" w:hAnsi="宋体" w:eastAsia="宋体" w:cs="宋体"/>
          <w:bCs/>
          <w:color w:val="auto"/>
          <w:sz w:val="28"/>
          <w:szCs w:val="28"/>
          <w:highlight w:val="none"/>
          <w:lang w:eastAsia="zh-CN"/>
        </w:rPr>
        <w:t>第五部分 合同主要条款</w:t>
      </w:r>
      <w:r>
        <w:rPr>
          <w:rStyle w:val="35"/>
          <w:rFonts w:hint="eastAsia" w:ascii="宋体" w:hAnsi="宋体" w:eastAsia="宋体" w:cs="宋体"/>
          <w:bCs/>
          <w:color w:val="auto"/>
          <w:sz w:val="28"/>
          <w:szCs w:val="28"/>
          <w:highlight w:val="none"/>
        </w:rPr>
        <w:tab/>
      </w:r>
      <w:r>
        <w:rPr>
          <w:rStyle w:val="35"/>
          <w:rFonts w:hint="eastAsia" w:ascii="宋体" w:hAnsi="宋体" w:eastAsia="宋体" w:cs="宋体"/>
          <w:color w:val="auto"/>
          <w:sz w:val="28"/>
          <w:szCs w:val="28"/>
          <w:highlight w:val="none"/>
          <w:lang w:val="en-US" w:eastAsia="zh-CN"/>
        </w:rPr>
        <w:t>3</w:t>
      </w:r>
      <w:r>
        <w:rPr>
          <w:rStyle w:val="35"/>
          <w:rFonts w:hint="eastAsia" w:ascii="宋体" w:hAnsi="宋体" w:eastAsia="宋体" w:cs="宋体"/>
          <w:color w:val="auto"/>
          <w:sz w:val="28"/>
          <w:szCs w:val="28"/>
          <w:highlight w:val="none"/>
        </w:rPr>
        <w:fldChar w:fldCharType="end"/>
      </w:r>
      <w:r>
        <w:rPr>
          <w:rStyle w:val="35"/>
          <w:rFonts w:hint="eastAsia" w:ascii="宋体" w:hAnsi="宋体" w:eastAsia="宋体" w:cs="宋体"/>
          <w:color w:val="auto"/>
          <w:sz w:val="28"/>
          <w:szCs w:val="28"/>
          <w:highlight w:val="none"/>
          <w:lang w:val="en-US" w:eastAsia="zh-CN"/>
        </w:rPr>
        <w:t>3</w:t>
      </w:r>
    </w:p>
    <w:p>
      <w:pPr>
        <w:pStyle w:val="18"/>
        <w:spacing w:line="480" w:lineRule="auto"/>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"file:///C:\\Users\\86138\\Desktop\\宁波老外滩24小时有声城市书房服务采购项目定稿（已定时间）.doc" \l "_Toc9423" </w:instrText>
      </w:r>
      <w:r>
        <w:rPr>
          <w:rFonts w:hint="eastAsia" w:ascii="宋体" w:hAnsi="宋体" w:eastAsia="宋体" w:cs="宋体"/>
          <w:color w:val="auto"/>
          <w:sz w:val="28"/>
          <w:szCs w:val="28"/>
          <w:highlight w:val="none"/>
        </w:rPr>
        <w:fldChar w:fldCharType="separate"/>
      </w:r>
      <w:r>
        <w:rPr>
          <w:rStyle w:val="35"/>
          <w:rFonts w:hint="eastAsia" w:ascii="宋体" w:hAnsi="宋体" w:eastAsia="宋体" w:cs="宋体"/>
          <w:bCs/>
          <w:color w:val="auto"/>
          <w:sz w:val="28"/>
          <w:szCs w:val="28"/>
          <w:highlight w:val="none"/>
          <w:lang w:eastAsia="zh-CN"/>
        </w:rPr>
        <w:t>第六部分 投标文件格式</w:t>
      </w:r>
      <w:r>
        <w:rPr>
          <w:rStyle w:val="35"/>
          <w:rFonts w:hint="eastAsia" w:ascii="宋体" w:hAnsi="宋体" w:eastAsia="宋体" w:cs="宋体"/>
          <w:bCs/>
          <w:color w:val="auto"/>
          <w:sz w:val="28"/>
          <w:szCs w:val="28"/>
          <w:highlight w:val="none"/>
          <w:lang w:eastAsia="zh-CN"/>
        </w:rPr>
        <w:tab/>
      </w:r>
      <w:r>
        <w:rPr>
          <w:rStyle w:val="35"/>
          <w:rFonts w:hint="eastAsia" w:ascii="宋体" w:hAnsi="宋体" w:eastAsia="宋体" w:cs="宋体"/>
          <w:bCs/>
          <w:color w:val="auto"/>
          <w:sz w:val="28"/>
          <w:szCs w:val="28"/>
          <w:highlight w:val="none"/>
          <w:lang w:val="en-US" w:eastAsia="zh-CN"/>
        </w:rPr>
        <w:t>4</w:t>
      </w:r>
      <w:r>
        <w:rPr>
          <w:rStyle w:val="35"/>
          <w:rFonts w:hint="eastAsia" w:ascii="宋体" w:hAnsi="宋体" w:eastAsia="宋体" w:cs="宋体"/>
          <w:bCs/>
          <w:color w:val="auto"/>
          <w:sz w:val="28"/>
          <w:szCs w:val="28"/>
          <w:highlight w:val="none"/>
          <w:lang w:eastAsia="zh-CN"/>
        </w:rPr>
        <w:fldChar w:fldCharType="end"/>
      </w:r>
      <w:r>
        <w:rPr>
          <w:rStyle w:val="35"/>
          <w:rFonts w:hint="eastAsia" w:ascii="宋体" w:hAnsi="宋体" w:eastAsia="宋体" w:cs="宋体"/>
          <w:bCs/>
          <w:color w:val="auto"/>
          <w:sz w:val="28"/>
          <w:szCs w:val="28"/>
          <w:highlight w:val="none"/>
          <w:lang w:val="en-US" w:eastAsia="zh-CN"/>
        </w:rPr>
        <w:t>5</w:t>
      </w:r>
    </w:p>
    <w:p>
      <w:pPr>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fldChar w:fldCharType="end"/>
      </w:r>
    </w:p>
    <w:p>
      <w:pPr>
        <w:widowControl/>
        <w:spacing w:line="360" w:lineRule="auto"/>
        <w:jc w:val="left"/>
        <w:rPr>
          <w:rFonts w:hint="eastAsia" w:ascii="宋体" w:hAnsi="宋体" w:eastAsia="宋体" w:cs="宋体"/>
          <w:color w:val="auto"/>
          <w:sz w:val="21"/>
          <w:szCs w:val="21"/>
          <w:highlight w:val="none"/>
        </w:rPr>
        <w:sectPr>
          <w:pgSz w:w="11906" w:h="16838"/>
          <w:pgMar w:top="1440" w:right="1286" w:bottom="1318" w:left="1380" w:header="851" w:footer="992" w:gutter="0"/>
          <w:pgBorders>
            <w:top w:val="none" w:sz="0" w:space="0"/>
            <w:left w:val="none" w:sz="0" w:space="0"/>
            <w:bottom w:val="none" w:sz="0" w:space="0"/>
            <w:right w:val="none" w:sz="0" w:space="0"/>
          </w:pgBorders>
          <w:cols w:space="720" w:num="1"/>
          <w:docGrid w:type="lines" w:linePitch="312" w:charSpace="0"/>
        </w:sectPr>
      </w:pPr>
    </w:p>
    <w:p>
      <w:pPr>
        <w:pStyle w:val="24"/>
        <w:spacing w:line="360" w:lineRule="auto"/>
        <w:rPr>
          <w:rFonts w:hint="eastAsia" w:ascii="宋体" w:hAnsi="宋体" w:eastAsia="宋体" w:cs="宋体"/>
          <w:color w:val="auto"/>
          <w:sz w:val="21"/>
          <w:szCs w:val="21"/>
          <w:highlight w:val="none"/>
        </w:rPr>
      </w:pPr>
      <w:bookmarkStart w:id="1" w:name="_Toc55980947"/>
      <w:bookmarkEnd w:id="1"/>
      <w:bookmarkStart w:id="2" w:name="_Toc263083249"/>
      <w:bookmarkStart w:id="3" w:name="_Toc262312595"/>
      <w:bookmarkStart w:id="4" w:name="_Toc41850764"/>
      <w:r>
        <w:rPr>
          <w:rFonts w:hint="eastAsia" w:ascii="宋体" w:hAnsi="宋体" w:eastAsia="宋体" w:cs="宋体"/>
          <w:color w:val="auto"/>
          <w:sz w:val="21"/>
          <w:szCs w:val="21"/>
          <w:highlight w:val="none"/>
        </w:rPr>
        <w:t>第一部分</w:t>
      </w:r>
      <w:bookmarkEnd w:id="2"/>
      <w:bookmarkEnd w:id="3"/>
      <w:r>
        <w:rPr>
          <w:rFonts w:hint="eastAsia" w:ascii="宋体" w:hAnsi="宋体" w:eastAsia="宋体" w:cs="宋体"/>
          <w:color w:val="auto"/>
          <w:sz w:val="21"/>
          <w:szCs w:val="21"/>
          <w:highlight w:val="none"/>
        </w:rPr>
        <w:t xml:space="preserve"> 采购公告</w:t>
      </w:r>
      <w:bookmarkEnd w:id="4"/>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b/>
          <w:bCs/>
          <w:color w:val="auto"/>
          <w:sz w:val="21"/>
          <w:szCs w:val="21"/>
          <w:highlight w:val="none"/>
          <w:u w:val="single"/>
        </w:rPr>
      </w:pPr>
      <w:r>
        <w:rPr>
          <w:rFonts w:hint="eastAsia" w:ascii="宋体" w:hAnsi="宋体" w:cs="宋体"/>
          <w:b/>
          <w:bCs/>
          <w:color w:val="auto"/>
          <w:sz w:val="21"/>
          <w:szCs w:val="21"/>
          <w:highlight w:val="none"/>
          <w:u w:val="single"/>
          <w:lang w:eastAsia="zh-CN"/>
        </w:rPr>
        <w:t>江北区2022年度城镇老旧小区改造工程（丽庄西苑（一期、二期）、费市家苑）全过程工程咨询</w:t>
      </w:r>
      <w:r>
        <w:rPr>
          <w:rFonts w:hint="eastAsia" w:ascii="宋体" w:hAnsi="宋体" w:eastAsia="宋体" w:cs="宋体"/>
          <w:color w:val="auto"/>
          <w:sz w:val="21"/>
          <w:szCs w:val="21"/>
          <w:highlight w:val="none"/>
        </w:rPr>
        <w:t>的潜在</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rPr>
        <w:t>政采云平台（https://login.zcygov.cn）</w:t>
      </w:r>
      <w:r>
        <w:rPr>
          <w:rFonts w:hint="eastAsia" w:ascii="宋体" w:hAnsi="宋体" w:eastAsia="宋体" w:cs="宋体"/>
          <w:color w:val="auto"/>
          <w:sz w:val="21"/>
          <w:szCs w:val="21"/>
          <w:highlight w:val="none"/>
        </w:rPr>
        <w:t>获取（下载）</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文件，并于</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rPr>
        <w:t>年</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u w:val="single"/>
        </w:rPr>
      </w:pP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16</w:t>
      </w:r>
      <w:r>
        <w:rPr>
          <w:rFonts w:hint="eastAsia" w:ascii="宋体" w:hAnsi="宋体" w:eastAsia="宋体" w:cs="宋体"/>
          <w:b/>
          <w:bCs/>
          <w:color w:val="auto"/>
          <w:sz w:val="21"/>
          <w:szCs w:val="21"/>
          <w:highlight w:val="none"/>
          <w:u w:val="single"/>
        </w:rPr>
        <w:t>日</w:t>
      </w:r>
      <w:r>
        <w:rPr>
          <w:rFonts w:hint="eastAsia" w:ascii="宋体" w:hAnsi="宋体" w:eastAsia="宋体" w:cs="宋体"/>
          <w:b/>
          <w:bCs/>
          <w:color w:val="auto"/>
          <w:sz w:val="21"/>
          <w:szCs w:val="21"/>
          <w:highlight w:val="none"/>
          <w:u w:val="single"/>
          <w:lang w:val="en-US" w:eastAsia="zh-CN"/>
        </w:rPr>
        <w:t>13</w:t>
      </w:r>
      <w:r>
        <w:rPr>
          <w:rFonts w:hint="eastAsia" w:ascii="宋体" w:hAnsi="宋体" w:eastAsia="宋体" w:cs="宋体"/>
          <w:b/>
          <w:bCs/>
          <w:color w:val="auto"/>
          <w:sz w:val="21"/>
          <w:szCs w:val="21"/>
          <w:highlight w:val="none"/>
          <w:u w:val="single"/>
        </w:rPr>
        <w:t>点</w:t>
      </w: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0分</w:t>
      </w:r>
      <w:r>
        <w:rPr>
          <w:rFonts w:hint="eastAsia" w:ascii="宋体" w:hAnsi="宋体" w:eastAsia="宋体" w:cs="宋体"/>
          <w:bCs/>
          <w:color w:val="auto"/>
          <w:sz w:val="21"/>
          <w:szCs w:val="21"/>
          <w:highlight w:val="none"/>
        </w:rPr>
        <w:t>（北京时间）前递交</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投标文件</w:t>
      </w:r>
      <w:r>
        <w:rPr>
          <w:rFonts w:hint="eastAsia" w:ascii="宋体" w:hAnsi="宋体" w:eastAsia="宋体" w:cs="宋体"/>
          <w:color w:val="auto"/>
          <w:sz w:val="21"/>
          <w:szCs w:val="21"/>
          <w:highlight w:val="none"/>
        </w:rPr>
        <w:t>。</w:t>
      </w:r>
    </w:p>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一、项目基本情况</w:t>
      </w:r>
      <w:r>
        <w:rPr>
          <w:rFonts w:hint="eastAsia" w:ascii="宋体" w:hAnsi="宋体" w:eastAsia="宋体" w:cs="宋体"/>
          <w:color w:val="auto"/>
          <w:kern w:val="0"/>
          <w:sz w:val="21"/>
          <w:szCs w:val="21"/>
          <w:highlight w:val="none"/>
        </w:rPr>
        <w:t> </w:t>
      </w:r>
    </w:p>
    <w:p>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sz w:val="21"/>
          <w:szCs w:val="21"/>
          <w:highlight w:val="none"/>
          <w:u w:val="none"/>
          <w:lang w:val="en-US" w:eastAsia="zh-CN"/>
        </w:rPr>
        <w:t>SMFWZB2021143</w:t>
      </w:r>
      <w:r>
        <w:rPr>
          <w:rFonts w:hint="eastAsia" w:ascii="宋体" w:hAnsi="宋体" w:eastAsia="宋体" w:cs="宋体"/>
          <w:color w:val="auto"/>
          <w:sz w:val="21"/>
          <w:szCs w:val="21"/>
          <w:highlight w:val="none"/>
          <w:u w:val="none"/>
        </w:rPr>
        <w:t>（</w:t>
      </w:r>
      <w:r>
        <w:rPr>
          <w:rFonts w:hint="eastAsia" w:ascii="宋体" w:hAnsi="宋体" w:eastAsia="宋体" w:cs="宋体"/>
          <w:color w:val="auto"/>
          <w:kern w:val="0"/>
          <w:sz w:val="21"/>
          <w:szCs w:val="21"/>
          <w:highlight w:val="none"/>
        </w:rPr>
        <w:t>交易登记号</w:t>
      </w:r>
      <w:r>
        <w:rPr>
          <w:rFonts w:hint="eastAsia" w:ascii="宋体" w:hAnsi="宋体" w:eastAsia="宋体" w:cs="宋体"/>
          <w:color w:val="auto"/>
          <w:sz w:val="21"/>
          <w:szCs w:val="21"/>
          <w:highlight w:val="none"/>
          <w:u w:val="none"/>
        </w:rPr>
        <w:t>：FSCG2022004）</w:t>
      </w:r>
    </w:p>
    <w:p>
      <w:pPr>
        <w:widowControl/>
        <w:spacing w:line="360" w:lineRule="auto"/>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kern w:val="0"/>
          <w:sz w:val="21"/>
          <w:szCs w:val="21"/>
          <w:highlight w:val="none"/>
        </w:rPr>
        <w:t>项目名称：</w:t>
      </w:r>
      <w:r>
        <w:rPr>
          <w:rFonts w:hint="eastAsia" w:ascii="宋体" w:hAnsi="宋体" w:cs="宋体"/>
          <w:color w:val="auto"/>
          <w:sz w:val="21"/>
          <w:szCs w:val="21"/>
          <w:highlight w:val="none"/>
          <w:u w:val="none"/>
          <w:lang w:eastAsia="zh-CN"/>
        </w:rPr>
        <w:t>江北区2022年度城镇老旧小区改造工程（丽庄西苑（一期、二期）、费市家苑）全过程工程咨询</w:t>
      </w:r>
    </w:p>
    <w:p>
      <w:pPr>
        <w:widowControl/>
        <w:spacing w:line="360" w:lineRule="auto"/>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val="en-US" w:eastAsia="zh-CN"/>
        </w:rPr>
        <w:t>96</w:t>
      </w:r>
      <w:r>
        <w:rPr>
          <w:rFonts w:hint="eastAsia" w:ascii="宋体" w:hAnsi="宋体" w:cs="宋体"/>
          <w:color w:val="auto"/>
          <w:kern w:val="0"/>
          <w:sz w:val="21"/>
          <w:szCs w:val="21"/>
          <w:highlight w:val="none"/>
          <w:lang w:val="en-US" w:eastAsia="zh-CN"/>
        </w:rPr>
        <w:t>3000</w:t>
      </w:r>
    </w:p>
    <w:p>
      <w:pPr>
        <w:widowControl/>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最高限价（元）：</w:t>
      </w:r>
      <w:r>
        <w:rPr>
          <w:rFonts w:hint="eastAsia" w:ascii="宋体" w:hAnsi="宋体" w:eastAsia="宋体" w:cs="宋体"/>
          <w:color w:val="auto"/>
          <w:kern w:val="0"/>
          <w:sz w:val="21"/>
          <w:szCs w:val="21"/>
          <w:highlight w:val="none"/>
          <w:lang w:val="en-US" w:eastAsia="zh-CN"/>
        </w:rPr>
        <w:t>合计</w:t>
      </w:r>
      <w:r>
        <w:rPr>
          <w:rFonts w:hint="eastAsia" w:ascii="宋体" w:hAnsi="宋体" w:cs="宋体"/>
          <w:color w:val="auto"/>
          <w:kern w:val="0"/>
          <w:sz w:val="21"/>
          <w:szCs w:val="21"/>
          <w:highlight w:val="none"/>
          <w:lang w:val="en-US" w:eastAsia="zh-CN"/>
        </w:rPr>
        <w:t>950753</w:t>
      </w:r>
      <w:r>
        <w:rPr>
          <w:rFonts w:hint="eastAsia" w:ascii="宋体" w:hAnsi="宋体" w:eastAsia="宋体" w:cs="宋体"/>
          <w:color w:val="auto"/>
          <w:kern w:val="0"/>
          <w:sz w:val="21"/>
          <w:szCs w:val="21"/>
          <w:highlight w:val="none"/>
          <w:lang w:val="en-US" w:eastAsia="zh-CN"/>
        </w:rPr>
        <w:t>，（其中标项一：人民币</w:t>
      </w:r>
      <w:r>
        <w:rPr>
          <w:rFonts w:hint="eastAsia" w:ascii="宋体" w:hAnsi="宋体" w:cs="宋体"/>
          <w:color w:val="auto"/>
          <w:kern w:val="0"/>
          <w:sz w:val="21"/>
          <w:szCs w:val="21"/>
          <w:highlight w:val="none"/>
          <w:lang w:val="en-US" w:eastAsia="zh-CN"/>
        </w:rPr>
        <w:t>670897</w:t>
      </w:r>
      <w:r>
        <w:rPr>
          <w:rFonts w:hint="eastAsia" w:ascii="宋体" w:hAnsi="宋体" w:eastAsia="宋体" w:cs="宋体"/>
          <w:color w:val="auto"/>
          <w:kern w:val="0"/>
          <w:sz w:val="21"/>
          <w:szCs w:val="21"/>
          <w:highlight w:val="none"/>
          <w:lang w:val="en-US" w:eastAsia="zh-CN"/>
        </w:rPr>
        <w:t>元；标项二：人民币</w:t>
      </w:r>
      <w:r>
        <w:rPr>
          <w:rFonts w:hint="eastAsia" w:ascii="宋体" w:hAnsi="宋体" w:cs="宋体"/>
          <w:color w:val="auto"/>
          <w:sz w:val="21"/>
          <w:szCs w:val="21"/>
          <w:highlight w:val="none"/>
          <w:lang w:val="en-US" w:eastAsia="zh-CN"/>
        </w:rPr>
        <w:t>279856</w:t>
      </w:r>
      <w:r>
        <w:rPr>
          <w:rFonts w:hint="eastAsia" w:ascii="宋体" w:hAnsi="宋体" w:eastAsia="宋体" w:cs="宋体"/>
          <w:color w:val="auto"/>
          <w:kern w:val="0"/>
          <w:sz w:val="21"/>
          <w:szCs w:val="21"/>
          <w:highlight w:val="none"/>
          <w:lang w:val="en-US" w:eastAsia="zh-CN"/>
        </w:rPr>
        <w:t>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cs="宋体"/>
          <w:color w:val="auto"/>
          <w:sz w:val="21"/>
          <w:szCs w:val="21"/>
          <w:highlight w:val="none"/>
          <w:u w:val="none"/>
          <w:lang w:eastAsia="zh-CN"/>
        </w:rPr>
        <w:t>江北区2022年度城镇老旧小区改造工程</w:t>
      </w:r>
      <w:r>
        <w:rPr>
          <w:rFonts w:hint="eastAsia" w:ascii="宋体" w:hAnsi="宋体" w:eastAsia="宋体" w:cs="宋体"/>
          <w:color w:val="auto"/>
          <w:sz w:val="21"/>
          <w:szCs w:val="21"/>
          <w:highlight w:val="none"/>
          <w:u w:val="none"/>
          <w:lang w:eastAsia="zh-CN"/>
        </w:rPr>
        <w:t>（丽庄西苑（一期、二期））</w:t>
      </w:r>
      <w:r>
        <w:rPr>
          <w:rFonts w:hint="eastAsia" w:ascii="宋体" w:hAnsi="宋体" w:eastAsia="宋体" w:cs="宋体"/>
          <w:color w:val="auto"/>
          <w:sz w:val="21"/>
          <w:szCs w:val="21"/>
          <w:highlight w:val="none"/>
          <w:u w:val="none"/>
        </w:rPr>
        <w:t>全过程工程咨询</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w:t>
      </w:r>
    </w:p>
    <w:p>
      <w:pPr>
        <w:spacing w:line="360" w:lineRule="auto"/>
        <w:ind w:firstLine="420" w:firstLineChars="200"/>
        <w:jc w:val="left"/>
        <w:rPr>
          <w:rFonts w:hint="default"/>
          <w:lang w:val="en-US"/>
        </w:rPr>
      </w:pPr>
      <w:r>
        <w:rPr>
          <w:rFonts w:hint="eastAsia" w:ascii="宋体" w:hAnsi="宋体" w:eastAsia="宋体" w:cs="宋体"/>
          <w:color w:val="auto"/>
          <w:sz w:val="21"/>
          <w:szCs w:val="21"/>
          <w:highlight w:val="none"/>
        </w:rPr>
        <w:t>预算金额（元）：</w:t>
      </w:r>
      <w:r>
        <w:rPr>
          <w:rFonts w:hint="eastAsia" w:ascii="宋体" w:hAnsi="宋体" w:cs="宋体"/>
          <w:color w:val="auto"/>
          <w:kern w:val="0"/>
          <w:sz w:val="21"/>
          <w:szCs w:val="21"/>
          <w:highlight w:val="none"/>
          <w:lang w:val="en-US" w:eastAsia="zh-CN"/>
        </w:rPr>
        <w:t>681500</w:t>
      </w:r>
      <w:bookmarkStart w:id="15" w:name="_GoBack"/>
      <w:bookmarkEnd w:id="15"/>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简要规格描述或项目基本概况介绍、用途：负责实施</w:t>
      </w:r>
      <w:r>
        <w:rPr>
          <w:rFonts w:hint="eastAsia" w:ascii="宋体" w:hAnsi="宋体" w:cs="宋体"/>
          <w:color w:val="auto"/>
          <w:sz w:val="21"/>
          <w:szCs w:val="21"/>
          <w:highlight w:val="none"/>
          <w:lang w:eastAsia="zh-CN"/>
        </w:rPr>
        <w:t>江北区2022年度城镇老旧小区改造工程</w:t>
      </w:r>
      <w:r>
        <w:rPr>
          <w:rFonts w:hint="eastAsia" w:ascii="宋体" w:hAnsi="宋体" w:eastAsia="宋体" w:cs="宋体"/>
          <w:color w:val="auto"/>
          <w:sz w:val="21"/>
          <w:szCs w:val="21"/>
          <w:highlight w:val="none"/>
        </w:rPr>
        <w:t>（丽庄西苑（一期、二期））建设全过程的工程咨询服务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具体详见第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需求。</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cs="宋体"/>
          <w:color w:val="auto"/>
          <w:sz w:val="21"/>
          <w:szCs w:val="21"/>
          <w:highlight w:val="none"/>
          <w:lang w:val="en-US" w:eastAsia="zh-CN"/>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标项二：</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r>
        <w:rPr>
          <w:rFonts w:hint="eastAsia" w:ascii="宋体" w:hAnsi="宋体" w:cs="宋体"/>
          <w:color w:val="auto"/>
          <w:sz w:val="21"/>
          <w:szCs w:val="21"/>
          <w:highlight w:val="none"/>
          <w:u w:val="none"/>
          <w:lang w:eastAsia="zh-CN"/>
        </w:rPr>
        <w:t>江北区2022年度城镇老旧小区改造工程</w:t>
      </w:r>
      <w:r>
        <w:rPr>
          <w:rFonts w:hint="eastAsia" w:ascii="宋体" w:hAnsi="宋体" w:eastAsia="宋体" w:cs="宋体"/>
          <w:color w:val="auto"/>
          <w:sz w:val="21"/>
          <w:szCs w:val="21"/>
          <w:highlight w:val="none"/>
          <w:u w:val="none"/>
          <w:lang w:eastAsia="zh-CN"/>
        </w:rPr>
        <w:t>（费市家苑）</w:t>
      </w:r>
      <w:r>
        <w:rPr>
          <w:rFonts w:hint="eastAsia" w:ascii="宋体" w:hAnsi="宋体" w:eastAsia="宋体" w:cs="宋体"/>
          <w:color w:val="auto"/>
          <w:sz w:val="21"/>
          <w:szCs w:val="21"/>
          <w:highlight w:val="none"/>
          <w:u w:val="none"/>
        </w:rPr>
        <w:t>全过程工程咨询</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w:t>
      </w:r>
    </w:p>
    <w:p>
      <w:pPr>
        <w:spacing w:line="360" w:lineRule="auto"/>
        <w:ind w:firstLine="420" w:firstLineChars="200"/>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281500</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简要规格描述或项目基本概况介绍、用途：</w:t>
      </w:r>
      <w:r>
        <w:rPr>
          <w:rFonts w:hint="eastAsia" w:ascii="宋体" w:hAnsi="宋体" w:eastAsia="宋体" w:cs="宋体"/>
          <w:color w:val="auto"/>
          <w:sz w:val="21"/>
          <w:szCs w:val="21"/>
          <w:highlight w:val="none"/>
        </w:rPr>
        <w:t>负责实施</w:t>
      </w:r>
      <w:r>
        <w:rPr>
          <w:rFonts w:hint="eastAsia" w:ascii="宋体" w:hAnsi="宋体" w:cs="宋体"/>
          <w:color w:val="auto"/>
          <w:sz w:val="21"/>
          <w:szCs w:val="21"/>
          <w:highlight w:val="none"/>
          <w:lang w:eastAsia="zh-CN"/>
        </w:rPr>
        <w:t>江北区2022年度城镇老旧小区改造工程</w:t>
      </w:r>
      <w:r>
        <w:rPr>
          <w:rFonts w:hint="eastAsia" w:ascii="宋体" w:hAnsi="宋体" w:eastAsia="宋体" w:cs="宋体"/>
          <w:color w:val="auto"/>
          <w:sz w:val="21"/>
          <w:szCs w:val="21"/>
          <w:highlight w:val="none"/>
        </w:rPr>
        <w:t>（费市家苑）建设全过程的工程咨询服务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具体详见第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需求。</w:t>
      </w:r>
    </w:p>
    <w:p>
      <w:pPr>
        <w:spacing w:line="360" w:lineRule="auto"/>
        <w:ind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备注：</w:t>
      </w:r>
      <w:r>
        <w:rPr>
          <w:rFonts w:hint="eastAsia" w:ascii="宋体" w:hAnsi="宋体" w:cs="宋体"/>
          <w:color w:val="000000"/>
          <w:sz w:val="21"/>
          <w:szCs w:val="21"/>
          <w:highlight w:val="none"/>
          <w:lang w:val="en-US" w:eastAsia="zh-CN"/>
        </w:rPr>
        <w:t>/</w:t>
      </w:r>
    </w:p>
    <w:p>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合同履约期限：标项1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标项</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自签订合同之日起，至工程竣工验收通过、缺陷责任期满，且全部资料归档。</w:t>
      </w:r>
    </w:p>
    <w:p>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是</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接受</w:t>
      </w:r>
      <w:r>
        <w:rPr>
          <w:rFonts w:hint="eastAsia" w:ascii="宋体" w:hAnsi="宋体" w:eastAsia="宋体" w:cs="宋体"/>
          <w:color w:val="000000"/>
          <w:sz w:val="21"/>
          <w:szCs w:val="21"/>
          <w:highlight w:val="none"/>
        </w:rPr>
        <w:t>联合体投标。</w:t>
      </w:r>
    </w:p>
    <w:p>
      <w:pPr>
        <w:widowControl/>
        <w:spacing w:line="360" w:lineRule="auto"/>
        <w:ind w:firstLine="422" w:firstLineChars="200"/>
        <w:jc w:val="left"/>
        <w:rPr>
          <w:rFonts w:hint="eastAsia" w:ascii="宋体" w:hAnsi="宋体" w:cs="宋体"/>
          <w:b/>
          <w:bCs/>
          <w:color w:val="auto"/>
          <w:kern w:val="0"/>
          <w:sz w:val="21"/>
          <w:szCs w:val="21"/>
          <w:highlight w:val="none"/>
          <w:u w:val="double"/>
          <w:lang w:val="en-US" w:eastAsia="zh-CN"/>
        </w:rPr>
      </w:pPr>
      <w:r>
        <w:rPr>
          <w:rFonts w:hint="eastAsia" w:ascii="宋体" w:hAnsi="宋体" w:cs="宋体"/>
          <w:b/>
          <w:bCs/>
          <w:color w:val="auto"/>
          <w:kern w:val="0"/>
          <w:sz w:val="21"/>
          <w:szCs w:val="21"/>
          <w:highlight w:val="none"/>
          <w:u w:val="double"/>
          <w:lang w:val="en-US" w:eastAsia="zh-CN"/>
        </w:rPr>
        <w:t>注：1、本项目标项划分：2个标项，投标人须同时参加上述两个标项的投标，但最多只能中标其中一个标项。</w:t>
      </w:r>
    </w:p>
    <w:p>
      <w:pPr>
        <w:pStyle w:val="40"/>
        <w:spacing w:line="360" w:lineRule="auto"/>
        <w:rPr>
          <w:rFonts w:hint="default"/>
          <w:sz w:val="21"/>
          <w:szCs w:val="21"/>
          <w:highlight w:val="none"/>
          <w:lang w:val="en-US" w:eastAsia="zh-CN"/>
        </w:rPr>
      </w:pPr>
      <w:r>
        <w:rPr>
          <w:rFonts w:hint="eastAsia" w:ascii="宋体" w:hAnsi="宋体" w:cs="宋体"/>
          <w:b/>
          <w:bCs/>
          <w:color w:val="auto"/>
          <w:kern w:val="0"/>
          <w:sz w:val="21"/>
          <w:szCs w:val="21"/>
          <w:highlight w:val="none"/>
          <w:u w:val="double"/>
          <w:lang w:val="en-US" w:eastAsia="zh-CN"/>
        </w:rPr>
        <w:t>2、若投标人是联合体参加投标的，在报名时牵头人需在政采云系统关联其联合体成员。</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二、申请人的资格要求：</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2.落实政府采购政策需满足的资格要求：无 </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3.本项目的特定资格要求：</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b w:val="0"/>
          <w:bCs w:val="0"/>
          <w:color w:val="000000"/>
          <w:sz w:val="21"/>
          <w:szCs w:val="21"/>
          <w:highlight w:val="none"/>
          <w:u w:val="none"/>
          <w:lang w:eastAsia="zh-CN"/>
        </w:rPr>
        <w:t>（</w:t>
      </w:r>
      <w:r>
        <w:rPr>
          <w:rFonts w:hint="eastAsia" w:ascii="宋体" w:hAnsi="宋体" w:eastAsia="宋体" w:cs="宋体"/>
          <w:b w:val="0"/>
          <w:bCs w:val="0"/>
          <w:color w:val="000000"/>
          <w:sz w:val="21"/>
          <w:szCs w:val="21"/>
          <w:highlight w:val="none"/>
          <w:u w:val="none"/>
          <w:lang w:val="en-US" w:eastAsia="zh-CN"/>
        </w:rPr>
        <w:t>1</w:t>
      </w:r>
      <w:r>
        <w:rPr>
          <w:rFonts w:hint="eastAsia" w:ascii="宋体" w:hAnsi="宋体" w:eastAsia="宋体" w:cs="宋体"/>
          <w:b w:val="0"/>
          <w:bCs w:val="0"/>
          <w:color w:val="000000"/>
          <w:sz w:val="21"/>
          <w:szCs w:val="21"/>
          <w:highlight w:val="none"/>
          <w:u w:val="none"/>
          <w:lang w:eastAsia="zh-CN"/>
        </w:rPr>
        <w:t>）</w:t>
      </w:r>
      <w:r>
        <w:rPr>
          <w:rFonts w:hint="eastAsia" w:ascii="宋体" w:hAnsi="宋体" w:eastAsia="宋体" w:cs="宋体"/>
          <w:color w:val="000000"/>
          <w:sz w:val="21"/>
          <w:szCs w:val="21"/>
          <w:highlight w:val="none"/>
        </w:rPr>
        <w:t>单位负责人为同一人或者存在直接控股、管理关系的不同</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，不得参加同一子包项下的政府采购活动。为采购项目提供整体设计、规范编制或者项目管理、监理、检测等服务的</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，不得再参加本项目投标。  </w:t>
      </w:r>
    </w:p>
    <w:p>
      <w:pPr>
        <w:spacing w:line="360" w:lineRule="auto"/>
        <w:ind w:firstLine="420" w:firstLineChars="200"/>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eastAsia="zh-CN"/>
        </w:rPr>
        <w:t>）</w:t>
      </w:r>
      <w:r>
        <w:rPr>
          <w:rFonts w:hint="eastAsia" w:ascii="宋体" w:hAnsi="宋体" w:cs="宋体"/>
          <w:b w:val="0"/>
          <w:bCs w:val="0"/>
          <w:color w:val="auto"/>
          <w:sz w:val="21"/>
          <w:szCs w:val="21"/>
          <w:highlight w:val="none"/>
          <w:u w:val="none"/>
          <w:lang w:eastAsia="zh-CN"/>
        </w:rPr>
        <w:t>标项一、标项二的</w:t>
      </w:r>
      <w:r>
        <w:rPr>
          <w:rFonts w:hint="eastAsia" w:ascii="宋体" w:hAnsi="宋体" w:cs="宋体"/>
          <w:b w:val="0"/>
          <w:bCs w:val="0"/>
          <w:color w:val="auto"/>
          <w:sz w:val="21"/>
          <w:szCs w:val="21"/>
          <w:highlight w:val="none"/>
          <w:u w:val="none"/>
          <w:lang w:val="en-US" w:eastAsia="zh-CN"/>
        </w:rPr>
        <w:t>投标人</w:t>
      </w:r>
      <w:r>
        <w:rPr>
          <w:rFonts w:hint="eastAsia" w:ascii="宋体" w:hAnsi="宋体" w:eastAsia="宋体" w:cs="宋体"/>
          <w:b w:val="0"/>
          <w:bCs w:val="0"/>
          <w:color w:val="auto"/>
          <w:sz w:val="21"/>
          <w:szCs w:val="21"/>
          <w:highlight w:val="none"/>
          <w:u w:val="none"/>
          <w:lang w:val="en-US" w:eastAsia="zh-CN"/>
        </w:rPr>
        <w:t>具有</w:t>
      </w:r>
      <w:r>
        <w:rPr>
          <w:rFonts w:hint="eastAsia" w:ascii="宋体" w:hAnsi="宋体" w:eastAsia="宋体" w:cs="宋体"/>
          <w:b w:val="0"/>
          <w:bCs w:val="0"/>
          <w:color w:val="auto"/>
          <w:sz w:val="21"/>
          <w:szCs w:val="21"/>
          <w:highlight w:val="none"/>
          <w:u w:val="none"/>
          <w:lang w:val="zh-CN"/>
        </w:rPr>
        <w:t>中华人民共和国住房和城乡建设部核发的</w:t>
      </w:r>
      <w:r>
        <w:rPr>
          <w:rFonts w:hint="eastAsia" w:ascii="宋体" w:hAnsi="宋体" w:eastAsia="宋体" w:cs="宋体"/>
          <w:b w:val="0"/>
          <w:bCs w:val="0"/>
          <w:color w:val="auto"/>
          <w:sz w:val="21"/>
          <w:szCs w:val="21"/>
          <w:highlight w:val="none"/>
          <w:u w:val="none"/>
          <w:lang w:val="en-US" w:eastAsia="zh-CN"/>
        </w:rPr>
        <w:t>房屋建筑工程</w:t>
      </w:r>
      <w:r>
        <w:rPr>
          <w:rFonts w:hint="eastAsia" w:ascii="宋体" w:hAnsi="宋体" w:eastAsia="宋体" w:cs="宋体"/>
          <w:b w:val="0"/>
          <w:bCs w:val="0"/>
          <w:color w:val="auto"/>
          <w:sz w:val="21"/>
          <w:szCs w:val="21"/>
          <w:highlight w:val="none"/>
          <w:u w:val="none"/>
          <w:lang w:val="zh-CN"/>
        </w:rPr>
        <w:t>监理</w:t>
      </w:r>
      <w:r>
        <w:rPr>
          <w:rFonts w:hint="eastAsia" w:ascii="宋体" w:hAnsi="宋体" w:cs="宋体"/>
          <w:b w:val="0"/>
          <w:bCs w:val="0"/>
          <w:color w:val="auto"/>
          <w:sz w:val="21"/>
          <w:szCs w:val="21"/>
          <w:highlight w:val="none"/>
          <w:u w:val="none"/>
          <w:lang w:val="en-US" w:eastAsia="zh-CN"/>
        </w:rPr>
        <w:t>丙</w:t>
      </w:r>
      <w:r>
        <w:rPr>
          <w:rFonts w:hint="eastAsia" w:ascii="宋体" w:hAnsi="宋体" w:eastAsia="宋体" w:cs="宋体"/>
          <w:b w:val="0"/>
          <w:bCs w:val="0"/>
          <w:color w:val="auto"/>
          <w:sz w:val="21"/>
          <w:szCs w:val="21"/>
          <w:highlight w:val="none"/>
          <w:u w:val="none"/>
          <w:lang w:val="zh-CN"/>
        </w:rPr>
        <w:t>级及以上资质或工程监理综合资质；</w:t>
      </w:r>
    </w:p>
    <w:p>
      <w:pPr>
        <w:spacing w:line="360" w:lineRule="auto"/>
        <w:ind w:firstLine="420" w:firstLineChars="200"/>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3</w:t>
      </w:r>
      <w:r>
        <w:rPr>
          <w:rFonts w:hint="eastAsia" w:ascii="宋体" w:hAnsi="宋体" w:eastAsia="宋体" w:cs="宋体"/>
          <w:b w:val="0"/>
          <w:bCs w:val="0"/>
          <w:color w:val="auto"/>
          <w:sz w:val="21"/>
          <w:szCs w:val="21"/>
          <w:highlight w:val="none"/>
          <w:u w:val="none"/>
          <w:lang w:eastAsia="zh-CN"/>
        </w:rPr>
        <w:t>）</w:t>
      </w:r>
      <w:r>
        <w:rPr>
          <w:rFonts w:hint="eastAsia" w:ascii="宋体" w:hAnsi="宋体" w:cs="宋体"/>
          <w:b w:val="0"/>
          <w:bCs w:val="0"/>
          <w:color w:val="auto"/>
          <w:sz w:val="21"/>
          <w:szCs w:val="21"/>
          <w:highlight w:val="none"/>
          <w:u w:val="none"/>
          <w:lang w:eastAsia="zh-CN"/>
        </w:rPr>
        <w:t>标项一、标项二的</w:t>
      </w:r>
      <w:r>
        <w:rPr>
          <w:rFonts w:hint="eastAsia" w:ascii="宋体" w:hAnsi="宋体" w:eastAsia="宋体" w:cs="宋体"/>
          <w:b w:val="0"/>
          <w:bCs w:val="0"/>
          <w:color w:val="auto"/>
          <w:sz w:val="21"/>
          <w:szCs w:val="21"/>
          <w:highlight w:val="none"/>
          <w:u w:val="none"/>
        </w:rPr>
        <w:t>拟派项目负责人须具备工程建设类注册执业资格（</w:t>
      </w:r>
      <w:r>
        <w:rPr>
          <w:rFonts w:hint="eastAsia" w:ascii="宋体" w:hAnsi="宋体" w:eastAsia="宋体" w:cs="宋体"/>
          <w:b w:val="0"/>
          <w:bCs w:val="0"/>
          <w:color w:val="auto"/>
          <w:sz w:val="21"/>
          <w:szCs w:val="21"/>
          <w:highlight w:val="none"/>
          <w:u w:val="none"/>
          <w:lang w:val="en-US" w:eastAsia="zh-CN"/>
        </w:rPr>
        <w:t>包括</w:t>
      </w:r>
      <w:r>
        <w:rPr>
          <w:rFonts w:hint="eastAsia" w:ascii="宋体" w:hAnsi="宋体" w:eastAsia="宋体" w:cs="宋体"/>
          <w:b w:val="0"/>
          <w:bCs w:val="0"/>
          <w:color w:val="auto"/>
          <w:sz w:val="21"/>
          <w:szCs w:val="21"/>
          <w:highlight w:val="none"/>
          <w:u w:val="none"/>
        </w:rPr>
        <w:t>一级建造师</w:t>
      </w:r>
      <w:r>
        <w:rPr>
          <w:rFonts w:hint="eastAsia" w:ascii="宋体" w:hAnsi="宋体" w:eastAsia="宋体" w:cs="宋体"/>
          <w:b w:val="0"/>
          <w:bCs w:val="0"/>
          <w:color w:val="auto"/>
          <w:sz w:val="21"/>
          <w:szCs w:val="21"/>
          <w:highlight w:val="none"/>
          <w:u w:val="none"/>
          <w:lang w:val="en-US" w:eastAsia="zh-CN"/>
        </w:rPr>
        <w:t>或</w:t>
      </w:r>
      <w:r>
        <w:rPr>
          <w:rFonts w:hint="eastAsia" w:ascii="宋体" w:hAnsi="宋体" w:eastAsia="宋体" w:cs="宋体"/>
          <w:b w:val="0"/>
          <w:bCs w:val="0"/>
          <w:color w:val="auto"/>
          <w:sz w:val="21"/>
          <w:szCs w:val="21"/>
          <w:highlight w:val="none"/>
          <w:u w:val="none"/>
        </w:rPr>
        <w:t>注册造价工程师</w:t>
      </w:r>
      <w:r>
        <w:rPr>
          <w:rFonts w:hint="eastAsia" w:ascii="宋体" w:hAnsi="宋体" w:eastAsia="宋体" w:cs="宋体"/>
          <w:b w:val="0"/>
          <w:bCs w:val="0"/>
          <w:color w:val="auto"/>
          <w:sz w:val="21"/>
          <w:szCs w:val="21"/>
          <w:highlight w:val="none"/>
          <w:u w:val="none"/>
          <w:lang w:val="en-US" w:eastAsia="zh-CN"/>
        </w:rPr>
        <w:t>或</w:t>
      </w:r>
      <w:r>
        <w:rPr>
          <w:rFonts w:hint="eastAsia" w:ascii="宋体" w:hAnsi="宋体" w:eastAsia="宋体" w:cs="宋体"/>
          <w:b w:val="0"/>
          <w:bCs w:val="0"/>
          <w:color w:val="auto"/>
          <w:sz w:val="21"/>
          <w:szCs w:val="21"/>
          <w:highlight w:val="none"/>
          <w:u w:val="none"/>
        </w:rPr>
        <w:t>注册监理工程师）</w:t>
      </w:r>
      <w:r>
        <w:rPr>
          <w:rFonts w:hint="eastAsia" w:ascii="宋体" w:hAnsi="宋体" w:eastAsia="宋体" w:cs="宋体"/>
          <w:b w:val="0"/>
          <w:bCs w:val="0"/>
          <w:color w:val="auto"/>
          <w:sz w:val="21"/>
          <w:szCs w:val="21"/>
          <w:highlight w:val="none"/>
          <w:u w:val="none"/>
          <w:lang w:val="en-US" w:eastAsia="zh-CN"/>
        </w:rPr>
        <w:t>和</w:t>
      </w:r>
      <w:r>
        <w:rPr>
          <w:rFonts w:hint="eastAsia" w:ascii="宋体" w:hAnsi="宋体" w:eastAsia="宋体" w:cs="宋体"/>
          <w:b w:val="0"/>
          <w:bCs w:val="0"/>
          <w:color w:val="auto"/>
          <w:sz w:val="21"/>
          <w:szCs w:val="21"/>
          <w:highlight w:val="none"/>
          <w:u w:val="none"/>
        </w:rPr>
        <w:t>具有工程类（或工程经济类）高级及以上专业技术职称</w:t>
      </w:r>
      <w:r>
        <w:rPr>
          <w:rFonts w:hint="eastAsia" w:ascii="宋体" w:hAnsi="宋体" w:eastAsia="宋体" w:cs="宋体"/>
          <w:b w:val="0"/>
          <w:bCs w:val="0"/>
          <w:color w:val="auto"/>
          <w:sz w:val="21"/>
          <w:szCs w:val="21"/>
          <w:highlight w:val="none"/>
          <w:u w:val="none"/>
          <w:lang w:eastAsia="zh-CN"/>
        </w:rPr>
        <w:t>。</w:t>
      </w:r>
    </w:p>
    <w:p>
      <w:pPr>
        <w:spacing w:line="360" w:lineRule="auto"/>
        <w:ind w:firstLine="420" w:firstLineChars="200"/>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eastAsia="zh-CN"/>
        </w:rPr>
        <w:t>）</w:t>
      </w:r>
      <w:r>
        <w:rPr>
          <w:rFonts w:hint="eastAsia" w:ascii="宋体" w:hAnsi="宋体" w:cs="宋体"/>
          <w:b w:val="0"/>
          <w:bCs w:val="0"/>
          <w:color w:val="auto"/>
          <w:sz w:val="21"/>
          <w:szCs w:val="21"/>
          <w:highlight w:val="none"/>
          <w:u w:val="none"/>
          <w:lang w:eastAsia="zh-CN"/>
        </w:rPr>
        <w:t>标项一、标项二的</w:t>
      </w:r>
      <w:r>
        <w:rPr>
          <w:rFonts w:hint="eastAsia" w:ascii="宋体" w:hAnsi="宋体" w:eastAsia="宋体" w:cs="宋体"/>
          <w:b w:val="0"/>
          <w:bCs w:val="0"/>
          <w:color w:val="auto"/>
          <w:sz w:val="21"/>
          <w:szCs w:val="21"/>
          <w:highlight w:val="none"/>
          <w:u w:val="none"/>
        </w:rPr>
        <w:t>拟派总监理工程师须具备国家注册监理工程师资格，注册专业为</w:t>
      </w:r>
      <w:r>
        <w:rPr>
          <w:rFonts w:hint="eastAsia" w:ascii="宋体" w:hAnsi="宋体" w:eastAsia="宋体" w:cs="宋体"/>
          <w:b w:val="0"/>
          <w:bCs w:val="0"/>
          <w:color w:val="auto"/>
          <w:sz w:val="21"/>
          <w:szCs w:val="21"/>
          <w:highlight w:val="none"/>
          <w:u w:val="none"/>
          <w:lang w:val="en-US" w:eastAsia="zh-CN"/>
        </w:rPr>
        <w:t>房屋建筑工程</w:t>
      </w:r>
      <w:r>
        <w:rPr>
          <w:rFonts w:hint="eastAsia" w:ascii="宋体" w:hAnsi="宋体" w:eastAsia="宋体" w:cs="宋体"/>
          <w:b w:val="0"/>
          <w:bCs w:val="0"/>
          <w:color w:val="auto"/>
          <w:sz w:val="21"/>
          <w:szCs w:val="21"/>
          <w:highlight w:val="none"/>
          <w:u w:val="none"/>
          <w:lang w:eastAsia="zh-CN"/>
        </w:rPr>
        <w:t>。</w:t>
      </w:r>
    </w:p>
    <w:p>
      <w:pPr>
        <w:spacing w:line="360" w:lineRule="auto"/>
        <w:ind w:firstLine="420" w:firstLineChars="20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若</w:t>
      </w:r>
      <w:r>
        <w:rPr>
          <w:rFonts w:hint="eastAsia" w:ascii="宋体" w:hAnsi="宋体" w:eastAsia="宋体" w:cs="宋体"/>
          <w:color w:val="auto"/>
          <w:sz w:val="21"/>
          <w:szCs w:val="21"/>
          <w:highlight w:val="none"/>
        </w:rPr>
        <w:t>联合体投标的，联合体牵头人</w:t>
      </w:r>
      <w:r>
        <w:rPr>
          <w:rFonts w:hint="eastAsia" w:ascii="宋体" w:hAnsi="宋体" w:eastAsia="宋体" w:cs="宋体"/>
          <w:color w:val="auto"/>
          <w:sz w:val="21"/>
          <w:szCs w:val="21"/>
          <w:highlight w:val="none"/>
          <w:lang w:val="en-US" w:eastAsia="zh-CN"/>
        </w:rPr>
        <w:t>须具有</w:t>
      </w:r>
      <w:r>
        <w:rPr>
          <w:rFonts w:hint="eastAsia" w:ascii="宋体" w:hAnsi="宋体" w:eastAsia="宋体" w:cs="宋体"/>
          <w:b w:val="0"/>
          <w:bCs w:val="0"/>
          <w:color w:val="auto"/>
          <w:sz w:val="21"/>
          <w:szCs w:val="21"/>
          <w:highlight w:val="none"/>
          <w:u w:val="none"/>
          <w:lang w:val="en-US" w:eastAsia="zh-CN"/>
        </w:rPr>
        <w:t>房屋建筑工程</w:t>
      </w:r>
      <w:r>
        <w:rPr>
          <w:rFonts w:hint="eastAsia" w:ascii="宋体" w:hAnsi="宋体" w:eastAsia="宋体" w:cs="宋体"/>
          <w:b w:val="0"/>
          <w:bCs w:val="0"/>
          <w:color w:val="auto"/>
          <w:sz w:val="21"/>
          <w:szCs w:val="21"/>
          <w:highlight w:val="none"/>
          <w:u w:val="none"/>
          <w:lang w:val="zh-CN"/>
        </w:rPr>
        <w:t>监理丙级及以上资质或工程监理综合资质</w:t>
      </w:r>
      <w:r>
        <w:rPr>
          <w:rFonts w:hint="eastAsia" w:ascii="宋体" w:hAnsi="宋体" w:eastAsia="宋体" w:cs="宋体"/>
          <w:color w:val="auto"/>
          <w:sz w:val="21"/>
          <w:szCs w:val="21"/>
          <w:highlight w:val="none"/>
        </w:rPr>
        <w:t>，并由联合体牵头人派遣项目负责人，联合体</w:t>
      </w:r>
      <w:r>
        <w:rPr>
          <w:rFonts w:hint="eastAsia" w:ascii="宋体" w:hAnsi="宋体" w:eastAsia="宋体" w:cs="宋体"/>
          <w:b w:val="0"/>
          <w:bCs w:val="0"/>
          <w:color w:val="auto"/>
          <w:sz w:val="21"/>
          <w:szCs w:val="21"/>
          <w:highlight w:val="none"/>
          <w:u w:val="none"/>
        </w:rPr>
        <w:t>全体成员数不超过两家。</w:t>
      </w:r>
    </w:p>
    <w:p>
      <w:pPr>
        <w:spacing w:line="360" w:lineRule="auto"/>
        <w:ind w:firstLine="422" w:firstLineChars="20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eastAsia="zh-CN"/>
        </w:rPr>
        <w:t>注：本项目拟派项目负责人和拟派总监理工程师</w:t>
      </w:r>
      <w:r>
        <w:rPr>
          <w:rFonts w:hint="eastAsia" w:ascii="宋体" w:hAnsi="宋体" w:cs="宋体"/>
          <w:b/>
          <w:bCs/>
          <w:color w:val="auto"/>
          <w:sz w:val="21"/>
          <w:szCs w:val="21"/>
          <w:highlight w:val="none"/>
          <w:u w:val="none"/>
          <w:lang w:val="en-US" w:eastAsia="zh-CN"/>
        </w:rPr>
        <w:t>不</w:t>
      </w:r>
      <w:r>
        <w:rPr>
          <w:rFonts w:hint="eastAsia" w:ascii="宋体" w:hAnsi="宋体" w:eastAsia="宋体" w:cs="宋体"/>
          <w:b/>
          <w:bCs/>
          <w:color w:val="auto"/>
          <w:sz w:val="21"/>
          <w:szCs w:val="21"/>
          <w:highlight w:val="none"/>
          <w:u w:val="none"/>
          <w:lang w:eastAsia="zh-CN"/>
        </w:rPr>
        <w:t>可兼任。</w:t>
      </w:r>
    </w:p>
    <w:p>
      <w:pPr>
        <w:spacing w:line="360" w:lineRule="auto"/>
        <w:rPr>
          <w:rFonts w:hint="eastAsia" w:ascii="宋体" w:hAnsi="宋体" w:eastAsia="宋体" w:cs="宋体"/>
          <w:b w:val="0"/>
          <w:bCs w:val="0"/>
          <w:color w:val="000000"/>
          <w:sz w:val="21"/>
          <w:szCs w:val="21"/>
          <w:highlight w:val="none"/>
          <w:u w:val="none"/>
        </w:rPr>
      </w:pPr>
      <w:r>
        <w:rPr>
          <w:rFonts w:hint="eastAsia" w:ascii="宋体" w:hAnsi="宋体" w:eastAsia="宋体" w:cs="宋体"/>
          <w:b/>
          <w:bCs/>
          <w:color w:val="000000"/>
          <w:sz w:val="21"/>
          <w:szCs w:val="21"/>
          <w:highlight w:val="none"/>
          <w:u w:val="none"/>
        </w:rPr>
        <w:t>三、获取招标文件及报名</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时间：/至202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日，每天上午00:00至12:00，下午12:00至23:59（北京时间，线上获取法定节假日均可，线下获取文件法定节假日除外）</w:t>
      </w:r>
      <w:r>
        <w:rPr>
          <w:rFonts w:hint="eastAsia" w:ascii="宋体" w:hAnsi="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地点（网址）：浙江政府采购云平台（http://zfcg.czt.zj.gov.cn/）获取招标文件</w:t>
      </w:r>
      <w:r>
        <w:rPr>
          <w:rFonts w:hint="eastAsia" w:ascii="宋体" w:hAnsi="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方式：1.本项目招标文件实行“政府采购云平台”在线获取，不提供招标文件纸质版。</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获取招标文件前应先完成“政府采购云平台”的账号注册；2.潜在</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登陆政采云平台，在线申请获取招标文件（进入“项目采购”应用，在获取招标文件菜单中选择项目，申请获取招标文件，本项目招标文件不收取工本费；仅需浏览招标文件的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可点击“游客，浏览招标文件”直接下载招标文件浏览）；3.招标公告附件内的招标文件（或采购需求）仅供阅览使用，</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只有在“政府采购云平台”完成获取招标文件申请并下载了招标文件后才视作依法获取招标文件（法律法规所指的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获取招标文件时间以</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 xml:space="preserve">完成获取招标文件申请后下载招标文件的时间为准）。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 xml:space="preserve">按上述要求获取招标文件，如未在“政采云”系统内完成相关流程，引起的投标无效责任自负。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售价（元）：0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四、提交投标文件截止时间、开标时间和地点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投标地点（网址）：（1）“电子加密投标文件”：https://www.zcygov.cn 在线提交；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（2）“电子备份投标文件”现场递交方式：宁波市江北区公共资源交易中心开标室（江北区育才路 138 号北投大厦南楼 7 楼）。 </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开标时间：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FF0000"/>
          <w:sz w:val="21"/>
          <w:szCs w:val="21"/>
          <w:highlight w:val="non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开标地点（网址）：本项目通过“政府采购云平台”实行在线电子投标，</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应在线参加开标。（政采云（http://www.zcygov.cn/））</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五、公告期限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六、其他补充事宜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参加投标的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应于投标前到“浙江政府采购网(zfcg.czt.zj.gov.cn)”上进行</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注册申请，并通过财政部门的终审后登记加入到“浙江省政府采购</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库”。 中标或成交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必须注册并登记加入“浙江省政府采购</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库”。具体要求及注册申请流程详见《浙江省政府采购</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注册及诚信管理暂行办法》(浙财采监字〔2009〕28号)和浙江政府采购网“网上办事指南”的“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注册申请”。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本项目需要落实的政府采购政策：《政府采购促进中小企业发展管理办法》（财库〔2020〕46 号）、《关于环境标志产品政府采购实施的意见》（财库〔2006〕90号、《节能产品政府采购实施意见》的通知（财库〔2004〕185号）、据《财政部司法部关于政府采购支持监狱企业发展有关问题的通知》（财库〔2014〕68号）、《关于促进残疾人就业政府采购政策的通知》（财库[2017]141号）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2.3 </w:t>
      </w:r>
      <w:r>
        <w:rPr>
          <w:rFonts w:hint="eastAsia" w:ascii="宋体" w:hAnsi="宋体" w:eastAsia="宋体" w:cs="宋体"/>
          <w:color w:val="auto"/>
          <w:sz w:val="21"/>
          <w:szCs w:val="21"/>
          <w:highlight w:val="none"/>
        </w:rPr>
        <w:t>发布本次招标公告、中标公告的媒体：浙江政府采购网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https://zfcg.czt.zj.gov.cn/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宁波政府采购网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"http://www.nbzfcg.cn/"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http://www.nbzfcg.cn/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宁波公共资源交易网江北分区分网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"http://bidding.ningbo.gov.cn/330205.html。"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http://bidding.ningbo.gov.cn/330205.html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end"/>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2.4 </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p>
      <w:pPr>
        <w:pStyle w:val="2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 xml:space="preserve">5 </w:t>
      </w:r>
      <w:r>
        <w:rPr>
          <w:rFonts w:hint="eastAsia" w:ascii="宋体" w:hAnsi="宋体" w:eastAsia="宋体" w:cs="宋体"/>
          <w:b/>
          <w:bCs/>
          <w:color w:val="auto"/>
          <w:sz w:val="21"/>
          <w:szCs w:val="21"/>
          <w:highlight w:val="none"/>
        </w:rPr>
        <w:t>关于在线投标与开标注意事项：</w:t>
      </w:r>
    </w:p>
    <w:p>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本项目通过“政府采购云平台（www.zcygov.cn）”实行网上投标，采用电子投标文件。若</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参与投标，自行承担投标一切费用。</w:t>
      </w:r>
    </w:p>
    <w:p>
      <w:pPr>
        <w:pStyle w:val="25"/>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标前准备：各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应在开标前确保成为浙江政府采购网正式注册入库</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，并完成CA数字证书办理，具体请自行前往“浙江政府采购网-下载专区-电子交易客户端-CA驱动和申领流程”进行查阅，因未注册入库</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、未办理CA数字证书等原因造成无法投标或投标失败等后果由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自行承担。（操作指南链接：https://service.zcygov.cn/#/knowledges/cm2eqWwBFdiHxlNd_otq/lwV6GXABiyELHE-oVMj3?keyword=CA）。</w:t>
      </w:r>
    </w:p>
    <w:p>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 投标文件制作：</w:t>
      </w:r>
    </w:p>
    <w:p>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.3.1 </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在使用系统进行投标的过程中遇到涉及平台使用的任何问题，可致电政府采购云平台技术支持热线咨询。</w:t>
      </w:r>
    </w:p>
    <w:p>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 为确保采购项目顺利实施，避免因解密失败导致</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投标无效，</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可自行选择是否在投标截止时间前将在“政采云电子投标客户端”上最后生成的具备电子签章的备份电子投标文件（以U盘为载体，</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应当确保U盘能够打开运行并正常使用）密封，安排“甬行码”为绿色的相关人员（原则上不超过一名，须全程佩戴口罩）递交至宁波市江北区公共资源交易中心开标室（江北区育才路138号北投大厦南楼7楼）。</w:t>
      </w:r>
    </w:p>
    <w:p>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 采购代理机构将在投标文件规定的时间通过政府采购云平台组织开标、开启投标文件，所有</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均应准时在线参加。开标时间后30分钟内，</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可以登录政府采购云平台（www.zcygov.cn），用“项目采购-开标评标”功能进行解密投标文件。</w:t>
      </w:r>
    </w:p>
    <w:p>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.3.4 </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成功上传电子投标文件，若无法读取或在规定时间内无法解密或解密失败，采购代理机构方可调用以U盘介质存储的数据电文形式的备份电子投标文件（备份电子投标文件损坏、格式不符等致使异常情况处理失败的责任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自行承担），并对“备份电子投标文件”进行解密；若出现</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上传的电子投标文件和备份电子投标文件均无法读取的情况，则该</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作无效投标处理。</w:t>
      </w:r>
    </w:p>
    <w:p>
      <w:pPr>
        <w:spacing w:line="360" w:lineRule="auto"/>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.3.5 本项目</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 xml:space="preserve">的备份电子投标文件不予退还。 </w:t>
      </w:r>
      <w:r>
        <w:rPr>
          <w:rFonts w:hint="eastAsia" w:ascii="宋体" w:hAnsi="宋体" w:eastAsia="宋体" w:cs="宋体"/>
          <w:b w:val="0"/>
          <w:color w:val="auto"/>
          <w:kern w:val="2"/>
          <w:sz w:val="21"/>
          <w:szCs w:val="21"/>
          <w:highlight w:val="none"/>
          <w:lang w:val="en-US" w:eastAsia="zh-CN" w:bidi="ar-SA"/>
        </w:rPr>
        <w:t xml:space="preserve">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七、对本次招标提出询问，请按以下方式联系</w:t>
      </w: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宁波市江北区人民政府庄桥街道办事处</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址：宁波市江北区环城北路西段500号</w:t>
      </w:r>
      <w:r>
        <w:rPr>
          <w:rFonts w:hint="eastAsia" w:ascii="宋体" w:hAnsi="宋体" w:eastAsia="宋体" w:cs="宋体"/>
          <w:color w:val="auto"/>
          <w:sz w:val="21"/>
          <w:szCs w:val="21"/>
          <w:highlight w:val="none"/>
          <w:lang w:val="en-US" w:eastAsia="zh-CN"/>
        </w:rPr>
        <w:t xml:space="preserve">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王</w:t>
      </w:r>
      <w:r>
        <w:rPr>
          <w:rFonts w:hint="eastAsia" w:ascii="宋体" w:hAnsi="宋体" w:eastAsia="宋体" w:cs="宋体"/>
          <w:color w:val="000000"/>
          <w:sz w:val="21"/>
          <w:szCs w:val="21"/>
          <w:highlight w:val="none"/>
          <w:lang w:val="en-US" w:eastAsia="zh-CN"/>
        </w:rPr>
        <w:t>老师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0574-</w:t>
      </w:r>
      <w:r>
        <w:rPr>
          <w:rFonts w:hint="eastAsia" w:ascii="宋体" w:hAnsi="宋体" w:eastAsia="宋体" w:cs="宋体"/>
          <w:color w:val="auto"/>
          <w:sz w:val="21"/>
          <w:szCs w:val="21"/>
          <w:highlight w:val="none"/>
        </w:rPr>
        <w:t>83021898</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质疑联系人：</w:t>
      </w:r>
      <w:r>
        <w:rPr>
          <w:rFonts w:hint="eastAsia" w:ascii="宋体" w:hAnsi="宋体" w:eastAsia="宋体" w:cs="宋体"/>
          <w:color w:val="000000"/>
          <w:sz w:val="21"/>
          <w:szCs w:val="21"/>
          <w:highlight w:val="none"/>
          <w:lang w:val="en-US" w:eastAsia="zh-CN"/>
        </w:rPr>
        <w:t>朱老师</w:t>
      </w:r>
      <w:r>
        <w:rPr>
          <w:rFonts w:hint="eastAsia" w:ascii="宋体" w:hAnsi="宋体" w:eastAsia="宋体" w:cs="宋体"/>
          <w:color w:val="000000"/>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质疑联系方式：0574-83021898</w:t>
      </w:r>
    </w:p>
    <w:p>
      <w:pPr>
        <w:spacing w:line="360" w:lineRule="auto"/>
        <w:ind w:firstLine="315" w:firstLineChars="150"/>
        <w:jc w:val="left"/>
        <w:rPr>
          <w:rFonts w:hint="eastAsia" w:ascii="宋体" w:hAnsi="宋体" w:eastAsia="宋体" w:cs="宋体"/>
          <w:color w:val="auto"/>
          <w:sz w:val="21"/>
          <w:szCs w:val="21"/>
          <w:highlight w:val="none"/>
        </w:rPr>
      </w:pP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名称：世明建设项目管理有限公司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地址：宁波市鄞州区中山东路796号东航大厦18</w:t>
      </w:r>
      <w:r>
        <w:rPr>
          <w:rFonts w:hint="eastAsia" w:ascii="宋体" w:hAnsi="宋体" w:eastAsia="宋体" w:cs="宋体"/>
          <w:color w:val="auto"/>
          <w:sz w:val="21"/>
          <w:szCs w:val="21"/>
          <w:highlight w:val="none"/>
          <w:lang w:val="en-US" w:eastAsia="zh-CN"/>
        </w:rPr>
        <w:t>08</w:t>
      </w:r>
      <w:r>
        <w:rPr>
          <w:rFonts w:hint="eastAsia" w:ascii="宋体" w:hAnsi="宋体" w:cs="宋体"/>
          <w:color w:val="auto"/>
          <w:sz w:val="21"/>
          <w:szCs w:val="21"/>
          <w:highlight w:val="none"/>
          <w:lang w:eastAsia="zh-CN"/>
        </w:rPr>
        <w:t>室</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lang w:val="en-US" w:eastAsia="zh-CN"/>
        </w:rPr>
        <w:t>0574-</w:t>
      </w:r>
      <w:r>
        <w:rPr>
          <w:rFonts w:hint="eastAsia" w:ascii="宋体" w:hAnsi="宋体" w:eastAsia="宋体" w:cs="宋体"/>
          <w:color w:val="auto"/>
          <w:sz w:val="21"/>
          <w:szCs w:val="21"/>
          <w:highlight w:val="none"/>
        </w:rPr>
        <w:t>87680182          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项目联系人（询问）：翁宏娟、夏琳、罗李圆、骆希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15967171357</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陈文昌</w:t>
      </w:r>
      <w:r>
        <w:rPr>
          <w:rFonts w:hint="eastAsia" w:ascii="宋体" w:hAnsi="宋体" w:eastAsia="宋体" w:cs="宋体"/>
          <w:color w:val="auto"/>
          <w:sz w:val="21"/>
          <w:szCs w:val="21"/>
          <w:highlight w:val="none"/>
        </w:rPr>
        <w:t>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val="en-US" w:eastAsia="zh-CN"/>
        </w:rPr>
        <w:t>0574-87752811</w:t>
      </w:r>
    </w:p>
    <w:p>
      <w:pPr>
        <w:spacing w:line="360" w:lineRule="auto"/>
        <w:ind w:firstLine="315" w:firstLineChars="150"/>
        <w:jc w:val="left"/>
        <w:rPr>
          <w:rFonts w:hint="eastAsia" w:ascii="宋体" w:hAnsi="宋体" w:eastAsia="宋体" w:cs="宋体"/>
          <w:color w:val="auto"/>
          <w:sz w:val="21"/>
          <w:szCs w:val="21"/>
          <w:highlight w:val="none"/>
        </w:rPr>
      </w:pP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            </w:t>
      </w: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名称：宁波市江北区财政局             </w:t>
      </w: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地址：宁波市江北区大庆南路181号             </w:t>
      </w: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w:t>
      </w: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：张老师             </w:t>
      </w: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监督投诉电话：0574-87388098</w:t>
      </w:r>
    </w:p>
    <w:p>
      <w:pPr>
        <w:spacing w:line="360" w:lineRule="auto"/>
        <w:ind w:firstLine="420" w:firstLineChars="200"/>
        <w:jc w:val="left"/>
        <w:rPr>
          <w:rFonts w:hint="eastAsia" w:ascii="宋体" w:hAnsi="宋体" w:eastAsia="宋体" w:cs="宋体"/>
          <w:color w:val="auto"/>
          <w:sz w:val="21"/>
          <w:szCs w:val="21"/>
          <w:highlight w:val="none"/>
        </w:rPr>
      </w:pP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400-087-8194。</w:t>
      </w:r>
    </w:p>
    <w:p>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widowControl/>
        <w:spacing w:line="360" w:lineRule="auto"/>
        <w:jc w:val="left"/>
        <w:rPr>
          <w:rFonts w:hint="eastAsia" w:ascii="宋体" w:hAnsi="宋体" w:eastAsia="宋体" w:cs="宋体"/>
          <w:color w:val="auto"/>
          <w:sz w:val="21"/>
          <w:szCs w:val="21"/>
          <w:highlight w:val="none"/>
        </w:rPr>
        <w:sectPr>
          <w:footerReference r:id="rId8" w:type="default"/>
          <w:pgSz w:w="11906" w:h="16838"/>
          <w:pgMar w:top="1440" w:right="1286" w:bottom="898" w:left="13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tabs>
          <w:tab w:val="left" w:pos="921"/>
        </w:tabs>
        <w:spacing w:line="360" w:lineRule="auto"/>
        <w:jc w:val="center"/>
        <w:rPr>
          <w:rFonts w:hint="eastAsia" w:ascii="宋体" w:hAnsi="宋体" w:eastAsia="宋体" w:cs="宋体"/>
          <w:b/>
          <w:bCs/>
          <w:color w:val="auto"/>
          <w:sz w:val="21"/>
          <w:szCs w:val="21"/>
          <w:highlight w:val="none"/>
          <w:lang w:eastAsia="zh-CN"/>
        </w:rPr>
      </w:pPr>
      <w:bookmarkStart w:id="5" w:name="_Toc55909254"/>
      <w:bookmarkStart w:id="6" w:name="_Toc20566"/>
      <w:r>
        <w:rPr>
          <w:rFonts w:hint="eastAsia" w:ascii="宋体" w:hAnsi="宋体" w:eastAsia="宋体" w:cs="宋体"/>
          <w:b/>
          <w:bCs/>
          <w:color w:val="auto"/>
          <w:sz w:val="21"/>
          <w:szCs w:val="21"/>
          <w:highlight w:val="none"/>
        </w:rPr>
        <w:t>第二部分 采购需求</w:t>
      </w:r>
      <w:bookmarkEnd w:id="5"/>
      <w:bookmarkEnd w:id="6"/>
    </w:p>
    <w:p>
      <w:pPr>
        <w:spacing w:line="360" w:lineRule="auto"/>
        <w:rPr>
          <w:rFonts w:hint="eastAsia" w:ascii="宋体" w:hAnsi="宋体" w:eastAsia="宋体" w:cs="宋体"/>
          <w:b/>
          <w:color w:val="000000"/>
          <w:sz w:val="21"/>
          <w:szCs w:val="21"/>
          <w:highlight w:val="none"/>
        </w:rPr>
      </w:pPr>
      <w:bookmarkStart w:id="7" w:name="_Toc26798"/>
      <w:bookmarkStart w:id="8" w:name="_Toc55909255"/>
      <w:r>
        <w:rPr>
          <w:rFonts w:hint="eastAsia" w:ascii="宋体" w:hAnsi="宋体" w:eastAsia="宋体" w:cs="宋体"/>
          <w:b/>
          <w:color w:val="000000"/>
          <w:sz w:val="21"/>
          <w:szCs w:val="21"/>
          <w:highlight w:val="none"/>
        </w:rPr>
        <w:t>一、项目概况及</w:t>
      </w:r>
      <w:r>
        <w:rPr>
          <w:rFonts w:hint="eastAsia" w:ascii="宋体" w:hAnsi="宋体" w:eastAsia="宋体" w:cs="宋体"/>
          <w:b/>
          <w:color w:val="000000"/>
          <w:sz w:val="21"/>
          <w:szCs w:val="21"/>
          <w:highlight w:val="none"/>
          <w:lang w:val="en-US" w:eastAsia="zh-CN"/>
        </w:rPr>
        <w:t>采购</w:t>
      </w:r>
      <w:r>
        <w:rPr>
          <w:rFonts w:hint="eastAsia" w:ascii="宋体" w:hAnsi="宋体" w:eastAsia="宋体" w:cs="宋体"/>
          <w:b/>
          <w:color w:val="000000"/>
          <w:sz w:val="21"/>
          <w:szCs w:val="21"/>
          <w:highlight w:val="none"/>
        </w:rPr>
        <w:t>范围</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1、项目概况：</w:t>
      </w:r>
      <w:r>
        <w:rPr>
          <w:rFonts w:hint="eastAsia" w:ascii="宋体" w:hAnsi="宋体" w:cs="宋体"/>
          <w:color w:val="auto"/>
          <w:sz w:val="21"/>
          <w:szCs w:val="21"/>
          <w:highlight w:val="none"/>
          <w:u w:val="none"/>
          <w:lang w:eastAsia="zh-CN"/>
        </w:rPr>
        <w:t>江北区2022年度城镇老旧小区改造工程（丽庄西苑（一期、二期）、费市家苑）全过程工程咨询</w:t>
      </w:r>
      <w:r>
        <w:rPr>
          <w:rFonts w:hint="eastAsia" w:ascii="宋体" w:hAnsi="宋体" w:eastAsia="宋体" w:cs="宋体"/>
          <w:color w:val="auto"/>
          <w:sz w:val="21"/>
          <w:szCs w:val="21"/>
          <w:highlight w:val="none"/>
          <w:lang w:val="en-US" w:eastAsia="zh-CN"/>
        </w:rPr>
        <w:t>，本项目总投2505万元，涉及丽庄西苑（一期、二期）、费市家苑2个小区，总建筑面积7.155万平方米。其中丽庄西苑（一期、二期）总投1838万元，工程费用约</w:t>
      </w:r>
      <w:r>
        <w:rPr>
          <w:rFonts w:hint="eastAsia" w:ascii="宋体" w:hAnsi="宋体" w:cs="宋体"/>
          <w:color w:val="auto"/>
          <w:sz w:val="21"/>
          <w:szCs w:val="21"/>
          <w:highlight w:val="none"/>
          <w:lang w:val="en-US" w:eastAsia="zh-CN"/>
        </w:rPr>
        <w:t>1562.3</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 w:val="21"/>
          <w:szCs w:val="21"/>
          <w:highlight w:val="none"/>
          <w:lang w:val="en-US" w:eastAsia="zh-CN"/>
        </w:rPr>
        <w:t>，总建筑面积为5.25万平方米</w:t>
      </w:r>
      <w:r>
        <w:rPr>
          <w:rFonts w:hint="eastAsia" w:ascii="宋体" w:hAnsi="宋体" w:eastAsia="宋体" w:cs="宋体"/>
          <w:color w:val="auto"/>
          <w:sz w:val="21"/>
          <w:szCs w:val="21"/>
          <w:highlight w:val="none"/>
          <w:lang w:val="en-US" w:eastAsia="zh-CN"/>
        </w:rPr>
        <w:t>；费市家苑总投667万元，工程费用约</w:t>
      </w:r>
      <w:r>
        <w:rPr>
          <w:rFonts w:hint="eastAsia" w:ascii="宋体" w:hAnsi="宋体" w:cs="宋体"/>
          <w:color w:val="auto"/>
          <w:sz w:val="21"/>
          <w:szCs w:val="21"/>
          <w:highlight w:val="none"/>
          <w:lang w:val="en-US" w:eastAsia="zh-CN"/>
        </w:rPr>
        <w:t>566.95</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 w:val="21"/>
          <w:szCs w:val="21"/>
          <w:highlight w:val="none"/>
          <w:lang w:val="en-US" w:eastAsia="zh-CN"/>
        </w:rPr>
        <w:t>，总建筑面积为1.905万平方米</w:t>
      </w:r>
      <w:r>
        <w:rPr>
          <w:rFonts w:hint="eastAsia" w:ascii="宋体" w:hAnsi="宋体" w:eastAsia="宋体" w:cs="宋体"/>
          <w:color w:val="auto"/>
          <w:sz w:val="21"/>
          <w:szCs w:val="21"/>
          <w:highlight w:val="none"/>
          <w:lang w:val="en-US" w:eastAsia="zh-CN"/>
        </w:rPr>
        <w:t>。本项目主要内容为：外墙改造、消防改造、道闸设施、楼道内墙、楼梯、围墙维修、屋面防水、停车位新增、小区监控、增设宣传栏、小区标识标牌、增设公共晾晒设施、垃圾堆放点改造等。</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2、采购范围：负责实施本项目建设全过程的工程咨询服务</w:t>
      </w:r>
      <w:r>
        <w:rPr>
          <w:rFonts w:hint="eastAsia" w:ascii="宋体" w:hAnsi="宋体" w:cs="宋体"/>
          <w:color w:val="auto"/>
          <w:sz w:val="21"/>
          <w:szCs w:val="21"/>
          <w:highlight w:val="none"/>
          <w:lang w:val="en-US" w:eastAsia="zh-CN"/>
        </w:rPr>
        <w:t>（包括但不限于本项目实施期间因上级部门或其他政策原因一并纳入实施改造的内容（如消防、电梯加装等）均由全过程咨询单位提供相应的咨询、监管服务）</w:t>
      </w:r>
      <w:r>
        <w:rPr>
          <w:rFonts w:hint="eastAsia" w:ascii="宋体" w:hAnsi="宋体" w:eastAsia="宋体" w:cs="宋体"/>
          <w:color w:val="auto"/>
          <w:sz w:val="21"/>
          <w:szCs w:val="21"/>
          <w:highlight w:val="none"/>
          <w:lang w:val="en-US" w:eastAsia="zh-CN"/>
        </w:rPr>
        <w:t>。服务范围包括项目建设管理服务、工程监理、造价咨询服务、招标采购，具体内容如下：</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建设管理服务：包括计划管理，建设手续代办，综合协调管理（包括但不限于配合业主前期方案征询意见、入户调查、住户对接等），勘察设计管理,技术咨询，合同管理，现场管理，进度管理，投资把控，档案管理(包括移交城建档案部门、建设单位的档案资料)、验收移交，配合审计及资料归档，质量缺陷责任期阶段相关服务工作等。</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（2）工程监理：包括本项目施工阶段全过程及缺陷责任期监理(包含工程质量、进度、投资控制、合同管理和组织协调，安全、文明施工监管、环境保护监管等)。</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（3）造价咨询：造价咨询服务范围为除结算审核和竣工决算审核外的施工阶段全过程工程造价控制（</w:t>
      </w:r>
      <w:r>
        <w:rPr>
          <w:rFonts w:hint="eastAsia" w:ascii="宋体" w:hAnsi="宋体" w:cs="宋体"/>
          <w:color w:val="auto"/>
          <w:sz w:val="21"/>
          <w:szCs w:val="21"/>
          <w:highlight w:val="none"/>
          <w:lang w:val="en-US" w:eastAsia="zh-CN"/>
        </w:rPr>
        <w:t>含所有与本项目有关的工程造价咨询（如四网合一等</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（4）招标采购：招标代理服务范围为除已完成的招标代理工作之外的涉及本工程的全部工程的招标代理（含政府采购)。</w:t>
      </w:r>
    </w:p>
    <w:p>
      <w:p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3、服务期限：</w:t>
      </w:r>
      <w:r>
        <w:rPr>
          <w:rFonts w:hint="eastAsia" w:ascii="宋体" w:hAnsi="宋体" w:eastAsia="宋体" w:cs="宋体"/>
          <w:color w:val="auto"/>
          <w:sz w:val="21"/>
          <w:szCs w:val="21"/>
          <w:highlight w:val="none"/>
          <w:lang w:eastAsia="zh-CN"/>
        </w:rPr>
        <w:t>自签订合同之日起，至工程竣工验收通过、缺陷责任期满，且全部资料归档</w:t>
      </w:r>
      <w:r>
        <w:rPr>
          <w:rFonts w:hint="eastAsia" w:ascii="宋体" w:hAnsi="宋体" w:eastAsia="宋体" w:cs="宋体"/>
          <w:color w:val="auto"/>
          <w:kern w:val="0"/>
          <w:sz w:val="21"/>
          <w:szCs w:val="21"/>
          <w:highlight w:val="none"/>
        </w:rPr>
        <w:t>。</w:t>
      </w:r>
    </w:p>
    <w:p>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w:t>
      </w:r>
      <w:r>
        <w:rPr>
          <w:rFonts w:hint="eastAsia" w:ascii="宋体" w:hAnsi="宋体" w:eastAsia="宋体" w:cs="宋体"/>
          <w:b/>
          <w:bCs/>
          <w:color w:val="000000"/>
          <w:sz w:val="21"/>
          <w:szCs w:val="21"/>
          <w:highlight w:val="none"/>
        </w:rPr>
        <w:t>对投入本项目</w:t>
      </w:r>
      <w:r>
        <w:rPr>
          <w:rFonts w:hint="eastAsia" w:ascii="宋体" w:hAnsi="宋体" w:eastAsia="宋体" w:cs="宋体"/>
          <w:b/>
          <w:color w:val="000000"/>
          <w:sz w:val="21"/>
          <w:szCs w:val="21"/>
          <w:highlight w:val="none"/>
        </w:rPr>
        <w:t>人员</w:t>
      </w:r>
      <w:r>
        <w:rPr>
          <w:rFonts w:hint="eastAsia" w:ascii="宋体" w:hAnsi="宋体" w:eastAsia="宋体" w:cs="宋体"/>
          <w:b/>
          <w:color w:val="000000"/>
          <w:sz w:val="21"/>
          <w:szCs w:val="21"/>
          <w:highlight w:val="none"/>
          <w:lang w:val="en-US" w:eastAsia="zh-CN"/>
        </w:rPr>
        <w:t>的</w:t>
      </w:r>
      <w:r>
        <w:rPr>
          <w:rFonts w:hint="eastAsia" w:ascii="宋体" w:hAnsi="宋体" w:eastAsia="宋体" w:cs="宋体"/>
          <w:b/>
          <w:color w:val="000000"/>
          <w:sz w:val="21"/>
          <w:szCs w:val="21"/>
          <w:highlight w:val="none"/>
        </w:rPr>
        <w:t>要求</w:t>
      </w:r>
    </w:p>
    <w:tbl>
      <w:tblPr>
        <w:tblStyle w:val="2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20"/>
        <w:gridCol w:w="1668"/>
        <w:gridCol w:w="2690"/>
        <w:gridCol w:w="83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11"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27"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配置岗位要求</w:t>
            </w:r>
          </w:p>
        </w:tc>
        <w:tc>
          <w:tcPr>
            <w:tcW w:w="9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专业要求</w:t>
            </w:r>
          </w:p>
        </w:tc>
        <w:tc>
          <w:tcPr>
            <w:tcW w:w="15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执业资格或职称要求</w:t>
            </w:r>
          </w:p>
        </w:tc>
        <w:tc>
          <w:tcPr>
            <w:tcW w:w="488"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p>
            <w:pPr>
              <w:tabs>
                <w:tab w:val="center" w:pos="4860"/>
                <w:tab w:val="right" w:pos="972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tc>
        <w:tc>
          <w:tcPr>
            <w:tcW w:w="413" w:type="pct"/>
            <w:noWrap w:val="0"/>
            <w:vAlign w:val="center"/>
          </w:tcPr>
          <w:p>
            <w:pPr>
              <w:tabs>
                <w:tab w:val="center" w:pos="4860"/>
                <w:tab w:val="right" w:pos="9720"/>
              </w:tabs>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11"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7"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9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工程建设类</w:t>
            </w:r>
          </w:p>
        </w:tc>
        <w:tc>
          <w:tcPr>
            <w:tcW w:w="15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符合招标文件中关于拟派项目负责人的相关要求</w:t>
            </w:r>
          </w:p>
        </w:tc>
        <w:tc>
          <w:tcPr>
            <w:tcW w:w="488"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3"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1"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27"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979" w:type="pct"/>
            <w:noWrap w:val="0"/>
            <w:vAlign w:val="center"/>
          </w:tcPr>
          <w:p>
            <w:pPr>
              <w:tabs>
                <w:tab w:val="left" w:pos="54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房屋建筑工程</w:t>
            </w:r>
          </w:p>
        </w:tc>
        <w:tc>
          <w:tcPr>
            <w:tcW w:w="1579" w:type="pct"/>
            <w:noWrap w:val="0"/>
            <w:vAlign w:val="center"/>
          </w:tcPr>
          <w:p>
            <w:pPr>
              <w:tabs>
                <w:tab w:val="left" w:pos="540"/>
              </w:tabs>
              <w:adjustRightInd w:val="0"/>
              <w:snapToGrid w:val="0"/>
              <w:spacing w:line="360" w:lineRule="auto"/>
              <w:ind w:right="84" w:rightChars="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国家注册监理工程师</w:t>
            </w:r>
          </w:p>
        </w:tc>
        <w:tc>
          <w:tcPr>
            <w:tcW w:w="488"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3"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11"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27"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专业监理工程师</w:t>
            </w:r>
          </w:p>
        </w:tc>
        <w:tc>
          <w:tcPr>
            <w:tcW w:w="979" w:type="pct"/>
            <w:noWrap w:val="0"/>
            <w:vAlign w:val="center"/>
          </w:tcPr>
          <w:p>
            <w:pPr>
              <w:tabs>
                <w:tab w:val="left" w:pos="540"/>
              </w:tabs>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房屋建筑工程</w:t>
            </w:r>
          </w:p>
        </w:tc>
        <w:tc>
          <w:tcPr>
            <w:tcW w:w="1579" w:type="pct"/>
            <w:noWrap w:val="0"/>
            <w:vAlign w:val="center"/>
          </w:tcPr>
          <w:p>
            <w:pPr>
              <w:tabs>
                <w:tab w:val="left" w:pos="540"/>
              </w:tabs>
              <w:adjustRightInd w:val="0"/>
              <w:snapToGrid w:val="0"/>
              <w:spacing w:line="360" w:lineRule="auto"/>
              <w:ind w:right="-153"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监理工程师及以上</w:t>
            </w:r>
          </w:p>
        </w:tc>
        <w:tc>
          <w:tcPr>
            <w:tcW w:w="488"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p>
        </w:tc>
        <w:tc>
          <w:tcPr>
            <w:tcW w:w="413" w:type="pct"/>
            <w:noWrap w:val="0"/>
            <w:vAlign w:val="center"/>
          </w:tcPr>
          <w:p>
            <w:pPr>
              <w:tabs>
                <w:tab w:val="center" w:pos="4860"/>
                <w:tab w:val="right" w:pos="9720"/>
              </w:tabs>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11"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27"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现场管理</w:t>
            </w:r>
          </w:p>
        </w:tc>
        <w:tc>
          <w:tcPr>
            <w:tcW w:w="9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工程类相关专业</w:t>
            </w:r>
          </w:p>
        </w:tc>
        <w:tc>
          <w:tcPr>
            <w:tcW w:w="15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工程师及以上</w:t>
            </w:r>
          </w:p>
        </w:tc>
        <w:tc>
          <w:tcPr>
            <w:tcW w:w="488"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p>
        </w:tc>
        <w:tc>
          <w:tcPr>
            <w:tcW w:w="413" w:type="pct"/>
            <w:noWrap w:val="0"/>
            <w:vAlign w:val="center"/>
          </w:tcPr>
          <w:p>
            <w:pPr>
              <w:tabs>
                <w:tab w:val="center" w:pos="4860"/>
                <w:tab w:val="right" w:pos="9720"/>
              </w:tabs>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11"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27"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造价管理</w:t>
            </w:r>
          </w:p>
        </w:tc>
        <w:tc>
          <w:tcPr>
            <w:tcW w:w="9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土建</w:t>
            </w:r>
          </w:p>
        </w:tc>
        <w:tc>
          <w:tcPr>
            <w:tcW w:w="15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级注册造价工程师</w:t>
            </w:r>
          </w:p>
        </w:tc>
        <w:tc>
          <w:tcPr>
            <w:tcW w:w="488"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3" w:type="pct"/>
            <w:noWrap w:val="0"/>
            <w:vAlign w:val="center"/>
          </w:tcPr>
          <w:p>
            <w:pPr>
              <w:tabs>
                <w:tab w:val="center" w:pos="4860"/>
                <w:tab w:val="right" w:pos="9720"/>
              </w:tabs>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11"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27"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招标采购</w:t>
            </w:r>
          </w:p>
        </w:tc>
        <w:tc>
          <w:tcPr>
            <w:tcW w:w="9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5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工程师及以上</w:t>
            </w:r>
          </w:p>
        </w:tc>
        <w:tc>
          <w:tcPr>
            <w:tcW w:w="488"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3" w:type="pct"/>
            <w:noWrap w:val="0"/>
            <w:vAlign w:val="center"/>
          </w:tcPr>
          <w:p>
            <w:pPr>
              <w:tabs>
                <w:tab w:val="center" w:pos="4860"/>
                <w:tab w:val="right" w:pos="9720"/>
              </w:tabs>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11"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27" w:type="pct"/>
            <w:noWrap w:val="0"/>
            <w:vAlign w:val="center"/>
          </w:tcPr>
          <w:p>
            <w:pPr>
              <w:pStyle w:val="6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TW"/>
              </w:rPr>
            </w:pP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资料员</w:t>
            </w:r>
          </w:p>
        </w:tc>
        <w:tc>
          <w:tcPr>
            <w:tcW w:w="979" w:type="pct"/>
            <w:noWrap w:val="0"/>
            <w:vAlign w:val="center"/>
          </w:tcPr>
          <w:p>
            <w:pPr>
              <w:pStyle w:val="6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val="0"/>
                <w:bCs w:val="0"/>
                <w:i w:val="0"/>
                <w:iCs w:val="0"/>
                <w:smallCaps w:val="0"/>
                <w:strike w:val="0"/>
                <w:color w:val="auto"/>
                <w:spacing w:val="0"/>
                <w:w w:val="100"/>
                <w:kern w:val="2"/>
                <w:position w:val="0"/>
                <w:sz w:val="21"/>
                <w:szCs w:val="21"/>
                <w:highlight w:val="none"/>
                <w:u w:val="none"/>
                <w:shd w:val="clear" w:color="auto" w:fill="auto"/>
                <w:lang w:val="en-US" w:eastAsia="zh-CN" w:bidi="zh-TW"/>
              </w:rPr>
            </w:pP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工程类相关专业</w:t>
            </w:r>
          </w:p>
        </w:tc>
        <w:tc>
          <w:tcPr>
            <w:tcW w:w="1579"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w:t>
            </w:r>
          </w:p>
        </w:tc>
        <w:tc>
          <w:tcPr>
            <w:tcW w:w="488" w:type="pct"/>
            <w:noWrap w:val="0"/>
            <w:vAlign w:val="center"/>
          </w:tcPr>
          <w:p>
            <w:pPr>
              <w:tabs>
                <w:tab w:val="center" w:pos="4860"/>
                <w:tab w:val="right" w:pos="972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3" w:type="pct"/>
            <w:noWrap w:val="0"/>
            <w:vAlign w:val="center"/>
          </w:tcPr>
          <w:p>
            <w:pPr>
              <w:tabs>
                <w:tab w:val="center" w:pos="4860"/>
                <w:tab w:val="right" w:pos="9720"/>
              </w:tabs>
              <w:spacing w:line="360" w:lineRule="auto"/>
              <w:jc w:val="center"/>
              <w:rPr>
                <w:rFonts w:hint="eastAsia" w:ascii="宋体" w:hAnsi="宋体" w:eastAsia="宋体" w:cs="宋体"/>
                <w:color w:val="auto"/>
                <w:sz w:val="21"/>
                <w:szCs w:val="21"/>
                <w:highlight w:val="none"/>
              </w:rPr>
            </w:pPr>
          </w:p>
        </w:tc>
      </w:tr>
    </w:tbl>
    <w:p>
      <w:pPr>
        <w:tabs>
          <w:tab w:val="center" w:pos="4860"/>
          <w:tab w:val="right" w:pos="9720"/>
        </w:tabs>
        <w:adjustRightInd w:val="0"/>
        <w:snapToGrid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注：</w:t>
      </w:r>
      <w:r>
        <w:rPr>
          <w:rFonts w:hint="eastAsia" w:ascii="宋体" w:hAnsi="宋体" w:eastAsia="宋体" w:cs="宋体"/>
          <w:b/>
          <w:bCs w:val="0"/>
          <w:color w:val="auto"/>
          <w:sz w:val="21"/>
          <w:szCs w:val="21"/>
          <w:highlight w:val="none"/>
        </w:rPr>
        <w:t>1、本表所列人员为最低配备要求；相关岗位可按工程阶段需要适当增加人员配备。</w:t>
      </w:r>
    </w:p>
    <w:p>
      <w:pPr>
        <w:tabs>
          <w:tab w:val="center" w:pos="4860"/>
          <w:tab w:val="right" w:pos="9720"/>
        </w:tabs>
        <w:adjustRightInd w:val="0"/>
        <w:snapToGrid w:val="0"/>
        <w:spacing w:line="360" w:lineRule="auto"/>
        <w:ind w:firstLine="413" w:firstLineChars="196"/>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2、本表要求具备的所有注册证书注册单位必须为本单位</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投标文件中提供所有配置人员近三个月</w:t>
      </w:r>
      <w:r>
        <w:rPr>
          <w:rFonts w:hint="eastAsia" w:ascii="宋体" w:hAnsi="宋体" w:cs="宋体"/>
          <w:b/>
          <w:bCs w:val="0"/>
          <w:color w:val="auto"/>
          <w:sz w:val="21"/>
          <w:szCs w:val="21"/>
          <w:highlight w:val="none"/>
          <w:lang w:val="en-US" w:eastAsia="zh-CN"/>
        </w:rPr>
        <w:t>（指2021年10月、2021年11月、2021年12月连续三个月）投标人</w:t>
      </w:r>
      <w:r>
        <w:rPr>
          <w:rFonts w:hint="eastAsia" w:ascii="宋体" w:hAnsi="宋体" w:eastAsia="宋体" w:cs="宋体"/>
          <w:b/>
          <w:bCs w:val="0"/>
          <w:color w:val="auto"/>
          <w:sz w:val="21"/>
          <w:szCs w:val="21"/>
          <w:highlight w:val="none"/>
          <w:lang w:val="en-US" w:eastAsia="zh-CN"/>
        </w:rPr>
        <w:t>为其缴纳社保证明（由社保部门出具并盖章的社保证明为准）。</w:t>
      </w:r>
    </w:p>
    <w:p>
      <w:pPr>
        <w:tabs>
          <w:tab w:val="center" w:pos="4860"/>
          <w:tab w:val="right" w:pos="9720"/>
        </w:tabs>
        <w:adjustRightInd w:val="0"/>
        <w:snapToGrid w:val="0"/>
        <w:spacing w:line="360" w:lineRule="auto"/>
        <w:ind w:firstLine="413" w:firstLineChars="196"/>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3、本表的项目人员要求具有相应的</w:t>
      </w:r>
      <w:r>
        <w:rPr>
          <w:rFonts w:hint="eastAsia" w:ascii="宋体" w:hAnsi="宋体" w:eastAsia="宋体" w:cs="宋体"/>
          <w:b/>
          <w:bCs w:val="0"/>
          <w:color w:val="auto"/>
          <w:sz w:val="21"/>
          <w:szCs w:val="21"/>
          <w:highlight w:val="none"/>
          <w:lang w:val="en-US" w:eastAsia="zh-CN"/>
        </w:rPr>
        <w:t>职业</w:t>
      </w:r>
      <w:r>
        <w:rPr>
          <w:rFonts w:hint="eastAsia" w:ascii="宋体" w:hAnsi="宋体" w:eastAsia="宋体" w:cs="宋体"/>
          <w:b/>
          <w:bCs w:val="0"/>
          <w:color w:val="auto"/>
          <w:sz w:val="21"/>
          <w:szCs w:val="21"/>
          <w:highlight w:val="none"/>
        </w:rPr>
        <w:t>资格证书或职称证书的，专业以职称证书或执业证书或相关注册证书或毕业证书为准，</w:t>
      </w:r>
      <w:r>
        <w:rPr>
          <w:rFonts w:hint="eastAsia" w:ascii="宋体" w:hAnsi="宋体" w:cs="宋体"/>
          <w:b/>
          <w:bCs w:val="0"/>
          <w:color w:val="auto"/>
          <w:sz w:val="21"/>
          <w:szCs w:val="21"/>
          <w:highlight w:val="none"/>
          <w:lang w:eastAsia="zh-CN"/>
        </w:rPr>
        <w:t>投标人</w:t>
      </w:r>
      <w:r>
        <w:rPr>
          <w:rFonts w:hint="eastAsia" w:ascii="宋体" w:hAnsi="宋体" w:eastAsia="宋体" w:cs="宋体"/>
          <w:b/>
          <w:bCs w:val="0"/>
          <w:color w:val="auto"/>
          <w:sz w:val="21"/>
          <w:szCs w:val="21"/>
          <w:highlight w:val="none"/>
        </w:rPr>
        <w:t>须将人员的相关证书复印件附入技术标中。</w:t>
      </w:r>
    </w:p>
    <w:p>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三、</w:t>
      </w:r>
      <w:r>
        <w:rPr>
          <w:rFonts w:hint="eastAsia" w:ascii="宋体" w:hAnsi="宋体" w:eastAsia="宋体" w:cs="宋体"/>
          <w:b/>
          <w:color w:val="000000"/>
          <w:sz w:val="21"/>
          <w:szCs w:val="21"/>
          <w:highlight w:val="none"/>
        </w:rPr>
        <w:t>对投入本项目的办公及检测设备的要求</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108" w:type="dxa"/>
          <w:bottom w:w="28" w:type="dxa"/>
          <w:right w:w="108" w:type="dxa"/>
        </w:tblCellMar>
      </w:tblPr>
      <w:tblGrid>
        <w:gridCol w:w="671"/>
        <w:gridCol w:w="3865"/>
        <w:gridCol w:w="1812"/>
        <w:gridCol w:w="26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tblHeader/>
          <w:jc w:val="center"/>
        </w:trPr>
        <w:tc>
          <w:tcPr>
            <w:tcW w:w="671"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3865"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所需设备名称</w:t>
            </w:r>
          </w:p>
        </w:tc>
        <w:tc>
          <w:tcPr>
            <w:tcW w:w="1812"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2603"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865"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计算机、打印机、复印机及相关软件等</w:t>
            </w:r>
          </w:p>
        </w:tc>
        <w:tc>
          <w:tcPr>
            <w:tcW w:w="1812"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1批</w:t>
            </w:r>
          </w:p>
        </w:tc>
        <w:tc>
          <w:tcPr>
            <w:tcW w:w="2603"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3865"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办公设备</w:t>
            </w:r>
          </w:p>
        </w:tc>
        <w:tc>
          <w:tcPr>
            <w:tcW w:w="1812"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满足人员使用</w:t>
            </w:r>
          </w:p>
        </w:tc>
        <w:tc>
          <w:tcPr>
            <w:tcW w:w="2603"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3865"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考勤机</w:t>
            </w:r>
          </w:p>
        </w:tc>
        <w:tc>
          <w:tcPr>
            <w:tcW w:w="1812"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1套</w:t>
            </w:r>
          </w:p>
        </w:tc>
        <w:tc>
          <w:tcPr>
            <w:tcW w:w="2603"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3865"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室外</w:t>
            </w:r>
            <w:r>
              <w:rPr>
                <w:rFonts w:hint="eastAsia" w:ascii="宋体" w:hAnsi="宋体" w:eastAsia="宋体" w:cs="宋体"/>
                <w:color w:val="000000"/>
                <w:sz w:val="21"/>
                <w:szCs w:val="21"/>
                <w:highlight w:val="none"/>
              </w:rPr>
              <w:t>测距仪</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如滚轮</w:t>
            </w:r>
            <w:r>
              <w:rPr>
                <w:rFonts w:hint="eastAsia" w:ascii="宋体" w:hAnsi="宋体" w:eastAsia="宋体" w:cs="宋体"/>
                <w:color w:val="000000"/>
                <w:sz w:val="21"/>
                <w:szCs w:val="21"/>
                <w:highlight w:val="none"/>
                <w:lang w:eastAsia="zh-CN"/>
              </w:rPr>
              <w:t>）</w:t>
            </w:r>
          </w:p>
        </w:tc>
        <w:tc>
          <w:tcPr>
            <w:tcW w:w="1812"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若干</w:t>
            </w:r>
          </w:p>
        </w:tc>
        <w:tc>
          <w:tcPr>
            <w:tcW w:w="2603"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38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电子秤</w:t>
            </w:r>
          </w:p>
        </w:tc>
        <w:tc>
          <w:tcPr>
            <w:tcW w:w="1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若干</w:t>
            </w:r>
          </w:p>
        </w:tc>
        <w:tc>
          <w:tcPr>
            <w:tcW w:w="26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38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有毒气体检测仪</w:t>
            </w:r>
          </w:p>
        </w:tc>
        <w:tc>
          <w:tcPr>
            <w:tcW w:w="1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不少于2套</w:t>
            </w:r>
          </w:p>
        </w:tc>
        <w:tc>
          <w:tcPr>
            <w:tcW w:w="26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3865"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手机</w:t>
            </w:r>
          </w:p>
        </w:tc>
        <w:tc>
          <w:tcPr>
            <w:tcW w:w="1812"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每人1部</w:t>
            </w:r>
          </w:p>
        </w:tc>
        <w:tc>
          <w:tcPr>
            <w:tcW w:w="2603"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保证24小时通信通畅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8</w:t>
            </w:r>
          </w:p>
        </w:tc>
        <w:tc>
          <w:tcPr>
            <w:tcW w:w="3865"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交通工具</w:t>
            </w:r>
          </w:p>
        </w:tc>
        <w:tc>
          <w:tcPr>
            <w:tcW w:w="1812"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不少于</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辆</w:t>
            </w:r>
          </w:p>
        </w:tc>
        <w:tc>
          <w:tcPr>
            <w:tcW w:w="2603"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专门用于</w:t>
            </w:r>
            <w:r>
              <w:rPr>
                <w:rFonts w:hint="eastAsia" w:ascii="宋体" w:hAnsi="宋体" w:eastAsia="宋体" w:cs="宋体"/>
                <w:bCs/>
                <w:color w:val="000000"/>
                <w:sz w:val="21"/>
                <w:szCs w:val="21"/>
                <w:highlight w:val="none"/>
                <w:lang w:eastAsia="zh-CN"/>
              </w:rPr>
              <w:t>本项目服务，不得用于其他用途</w:t>
            </w:r>
            <w:r>
              <w:rPr>
                <w:rFonts w:hint="eastAsia" w:ascii="宋体" w:hAnsi="宋体" w:eastAsia="宋体" w:cs="宋体"/>
                <w:bCs/>
                <w:color w:val="00000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671"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3865"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完成监理工作所需的其他工具、设备</w:t>
            </w:r>
          </w:p>
        </w:tc>
        <w:tc>
          <w:tcPr>
            <w:tcW w:w="1812"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若干</w:t>
            </w:r>
          </w:p>
        </w:tc>
        <w:tc>
          <w:tcPr>
            <w:tcW w:w="2603"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bl>
    <w:p>
      <w:pPr>
        <w:keepNext w:val="0"/>
        <w:keepLines w:val="0"/>
        <w:pageBreakBefore w:val="0"/>
        <w:widowControl/>
        <w:kinsoku/>
        <w:wordWrap/>
        <w:overflowPunct/>
        <w:topLinePunct w:val="0"/>
        <w:autoSpaceDE w:val="0"/>
        <w:autoSpaceDN w:val="0"/>
        <w:bidi w:val="0"/>
        <w:adjustRightInd/>
        <w:snapToGrid w:val="0"/>
        <w:spacing w:before="156" w:beforeLines="50" w:after="0" w:afterLines="0" w:line="360" w:lineRule="auto"/>
        <w:ind w:left="0" w:leftChars="0" w:right="0" w:rightChars="0" w:firstLine="420" w:firstLineChars="200"/>
        <w:jc w:val="both"/>
        <w:textAlignment w:val="bottom"/>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注：上表所列办公及检测设备为</w:t>
      </w:r>
      <w:r>
        <w:rPr>
          <w:rFonts w:hint="eastAsia" w:ascii="宋体" w:hAnsi="宋体" w:eastAsia="宋体" w:cs="宋体"/>
          <w:bCs/>
          <w:color w:val="000000"/>
          <w:sz w:val="21"/>
          <w:szCs w:val="21"/>
          <w:highlight w:val="none"/>
          <w:lang w:eastAsia="zh-CN"/>
        </w:rPr>
        <w:t>采购人</w:t>
      </w:r>
      <w:r>
        <w:rPr>
          <w:rFonts w:hint="eastAsia" w:ascii="宋体" w:hAnsi="宋体" w:eastAsia="宋体" w:cs="宋体"/>
          <w:bCs/>
          <w:color w:val="000000"/>
          <w:sz w:val="21"/>
          <w:szCs w:val="21"/>
          <w:highlight w:val="none"/>
        </w:rPr>
        <w:t>对本项目的基本配置要求，</w:t>
      </w:r>
      <w:r>
        <w:rPr>
          <w:rFonts w:hint="eastAsia" w:ascii="宋体" w:hAnsi="宋体" w:cs="宋体"/>
          <w:bCs/>
          <w:color w:val="000000"/>
          <w:sz w:val="21"/>
          <w:szCs w:val="21"/>
          <w:highlight w:val="none"/>
          <w:lang w:eastAsia="zh-CN"/>
        </w:rPr>
        <w:t>投标人</w:t>
      </w:r>
      <w:r>
        <w:rPr>
          <w:rFonts w:hint="eastAsia" w:ascii="宋体" w:hAnsi="宋体" w:eastAsia="宋体" w:cs="宋体"/>
          <w:bCs/>
          <w:color w:val="000000"/>
          <w:sz w:val="21"/>
          <w:szCs w:val="21"/>
          <w:highlight w:val="none"/>
        </w:rPr>
        <w:t>应在保证</w:t>
      </w:r>
      <w:r>
        <w:rPr>
          <w:rFonts w:hint="eastAsia" w:ascii="宋体" w:hAnsi="宋体" w:eastAsia="宋体" w:cs="宋体"/>
          <w:bCs/>
          <w:color w:val="000000"/>
          <w:sz w:val="21"/>
          <w:szCs w:val="21"/>
          <w:highlight w:val="none"/>
          <w:lang w:val="en-US" w:eastAsia="zh-CN"/>
        </w:rPr>
        <w:t>项目</w:t>
      </w:r>
      <w:r>
        <w:rPr>
          <w:rFonts w:hint="eastAsia" w:ascii="宋体" w:hAnsi="宋体" w:eastAsia="宋体" w:cs="宋体"/>
          <w:bCs/>
          <w:color w:val="000000"/>
          <w:sz w:val="21"/>
          <w:szCs w:val="21"/>
          <w:highlight w:val="none"/>
        </w:rPr>
        <w:t>工期及工程质量的前提下，根据项目具体情况自行增加，不得减配。</w:t>
      </w:r>
    </w:p>
    <w:p>
      <w:pPr>
        <w:spacing w:line="360" w:lineRule="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四</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服务要求</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6"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1、项目建设管理服务</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（1）负责推进项目前期工作。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①会同</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，起草和编制项目规划。</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②负</w:t>
      </w:r>
      <w:r>
        <w:rPr>
          <w:rFonts w:hint="eastAsia" w:ascii="宋体" w:hAnsi="宋体" w:eastAsia="宋体" w:cs="宋体"/>
          <w:color w:val="auto"/>
          <w:sz w:val="21"/>
          <w:szCs w:val="21"/>
          <w:highlight w:val="none"/>
        </w:rPr>
        <w:t>责其他有关前期协调工作</w:t>
      </w:r>
      <w:r>
        <w:rPr>
          <w:rFonts w:hint="eastAsia" w:ascii="宋体" w:hAnsi="宋体" w:eastAsia="宋体" w:cs="宋体"/>
          <w:color w:val="auto"/>
          <w:sz w:val="21"/>
          <w:szCs w:val="21"/>
          <w:highlight w:val="none"/>
          <w:lang w:val="en-US" w:eastAsia="zh-CN"/>
        </w:rPr>
        <w:t>（包括但不限于配合业主前期方案征询意见、入户调查、住户对接等）</w:t>
      </w:r>
      <w:r>
        <w:rPr>
          <w:rFonts w:hint="eastAsia" w:ascii="宋体" w:hAnsi="宋体" w:eastAsia="宋体" w:cs="宋体"/>
          <w:color w:val="000000"/>
          <w:sz w:val="21"/>
          <w:szCs w:val="21"/>
          <w:highlight w:val="none"/>
        </w:rPr>
        <w:t>。</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（2）负责项目各类合同的起草、谈判、签订和管理工作，并按《民法典》行使甲方（甲方）权力，履行甲方的职责和义务。</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（3）负责项目进度的管理。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①负责按照项目要求，编制项目进度总体计划，并报</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审定。</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②按批准的进度计划实施工作，确保项目如期完成。</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③定期组织召开项目例会，及时分析、协调、平衡和调整项目进度，定期向</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上报有关进度的信息、报表。</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④其他项目进度管理工作。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（4）负责工程质量管理。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①按照国家相关标准、行业标准、地方标准或者其他标准、规范要求，建立质量保证体系，严格管理，确保项目质量达到预定目标。</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②对质量负责，发生质量事故时应及时查明原因和具体责任，并及时组织事故处理方案的实施。</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③负责组织项目实施过程中分项分部的验收，包括隐蔽工程和各类材料的验收。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④其他项目质量管理工作。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（5）负责项目管理工作。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①通过招标择优选择的</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，实施时应实行科学管理，严格造价审核。</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②负责编报投资计划，经审核后报</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办理资金支付；项目建成后，</w:t>
      </w:r>
      <w:r>
        <w:rPr>
          <w:rFonts w:hint="eastAsia" w:ascii="宋体" w:hAnsi="宋体" w:eastAsia="宋体" w:cs="宋体"/>
          <w:color w:val="000000"/>
          <w:sz w:val="21"/>
          <w:szCs w:val="21"/>
          <w:highlight w:val="none"/>
          <w:lang w:eastAsia="zh-CN"/>
        </w:rPr>
        <w:t>配合</w:t>
      </w:r>
      <w:r>
        <w:rPr>
          <w:rFonts w:hint="eastAsia" w:ascii="宋体" w:hAnsi="宋体" w:eastAsia="宋体" w:cs="宋体"/>
          <w:color w:val="000000"/>
          <w:sz w:val="21"/>
          <w:szCs w:val="21"/>
          <w:highlight w:val="none"/>
        </w:rPr>
        <w:t>项目结算和财务决算，协助办理在保修期内工程尾款的支付。</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③严格按照批准的项目规模、功能、标准和预算限额组织检测修复，如有改变项目投资控制范围的调整意见，应提供投资增减情况分析报</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按程序申报调整项目预算。</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④其他项目管理工作。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（6）负责按有关规定进行安全管理和文明施工管理。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（7）负责项目相关档案和信息管理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待项目竣工验收后提交完整的归档资料给采购人。</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（8）负责设立项目基建专户，专人管理，专款专用，严格对项目实施的财务活动进行会计核算和财务管理。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（9）项目管理单位及与其有隶属关系的单位不得在本项目中承担施工、材料供应等工作。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6"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2、监理服务</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按照“四控制、三管理、一协调”的原则，保证项目在规定的时间内完成。具体内容包括：</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（1）项目质量控制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①审核和确认项目实施过程中的各种关键技术方案；</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②审核和确认</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的组织和实施方案，和</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提交的项目计划；</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③审核和确认</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的项目质量保证计划、质量控制体系（含质量控制的关键性节点）；</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④通过旁站、巡检、抽查等各种监理方法，确保项目实施过程的质量控制；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⑤审查和确认</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验收方案质量，确保项目正常竣工验收；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⑥对</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使用的修复材料品牌、性能、质量进行鉴别，必要时，委托专业第三方权威机构进行取样送检（若结果与合同不一致的，则送检费用由</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承担，并按合同承担相应违约金及责任，若结果与合同一致的，则由甲方承担）。</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（2）项目进度控制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①审核</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的进度分解计划，确认分解计划可以保证总体计划目标；</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②对项目实施进度进行实时跟踪，并要求</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对进度计划进行动态调整，以确保项目的阶段和总体进度目标的实现；</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③当项目目标出现偏离时，应及时指出，并提出对策建议，同时督促</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尽快采取措施。</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（3）项目投资控制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①通过对项目实施中的方案及设计的优化，确保投资控制在合理、性价比高的范围内；</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②协助甲方做好项目支付预算的现金流量表，将付款进度与项目质量与形象进度结合起来。</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（4）项目变更控制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①应对变更申请快速响应；</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②协助甲方明确项目变更目标；</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③防止变更范围扩大；</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④及时公布变更信息；</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⑤协助甲方选择变更冲击最小、变更幅度最优的变更方案。</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（5）项目合同管理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①跟踪检查合同的执行情况，确保</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按时履约；</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②对合同工期的延误和延期进行审核确认；</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③对合同变更、索赔等事宜进行审核确认；</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④根据合同约定，审核</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提交的支付申请，签发付款凭证。</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（6）信息管理/项目文档管理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①做好监理日记、项目大事记及项目周报；</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②做好合同批复等各类往来文件的批复和存档；</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③做好项目协调会、技术专题会等各类会议纪要；</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④管理好实施期间的各类技术文档；</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⑤监理建议书；</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⑥监理通知；</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⑦阶段性项目总结；</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⑧各承建方提交的技术文档。</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⑨协助甲方做好相关档案的管理，包括项目文件材料的收集、审查、整理和归档等。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（7）项目安全的管理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①负责项目实施过程中所涉及的政府机密数据和资料的保护，保证不被非授权使用；</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②负责项目检测修复过程中安全控制，确保不出现安全事故；</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③负责</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下井作业安全事宜，审核（及签署）下井作业申请票。</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（8）项目协调</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负责协调本项目所涉及的各</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之间的工作关系，并协调解决项目实施过程中的各类纠纷。可应该通过必要的会议制度来实施协调工作，主要包括：现场会；周例会；监理协调会；专题讨论会；专家论证会；阶段工作总结会；问题通报会；阶段及最终验收会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（9）项目知识产权的管理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①负责项目实施过程中所产生成果的知识产权保护，保证不被非授权使用；</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②负责项目实施过程中涉及知识产权的产品和系统的使用审核，保证甲方不在本项目中出现违反知识产权的行为。</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（10）实施过程中配合服务、验收、变更等；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（11）及时参加相关阶段验收工作。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6"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3、项目管理服务</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进行项目各方沟通、方案评审汇报；对项目关键点进行管控，确保项目保质保量完成；协助甲方进行合同洽谈及合同签订；对各类目标进行有效的控制和管理，做好过程性文档资料以及验收资料，对各系统进行质量控制、进度控制、投资控制、变更控制、安全管理、合同管理、信息管理和组织协调工作；协助甲方邀请专家包括行业知名专家和行业机构（含专家费、专家聘用费等费用）；组织</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进行外出调研和相关单位学习汇报；协助组织项目验收。</w:t>
      </w:r>
    </w:p>
    <w:p>
      <w:pPr>
        <w:pStyle w:val="12"/>
        <w:keepNext w:val="0"/>
        <w:keepLines w:val="0"/>
        <w:pageBreakBefore w:val="0"/>
        <w:widowControl/>
        <w:numPr>
          <w:ilvl w:val="0"/>
          <w:numId w:val="2"/>
        </w:numPr>
        <w:kinsoku/>
        <w:wordWrap/>
        <w:overflowPunct/>
        <w:topLinePunct w:val="0"/>
        <w:autoSpaceDE/>
        <w:autoSpaceDN/>
        <w:bidi w:val="0"/>
        <w:adjustRightInd/>
        <w:snapToGrid w:val="0"/>
        <w:spacing w:before="0" w:beforeLines="0" w:after="0" w:afterLines="0" w:line="360" w:lineRule="auto"/>
        <w:ind w:left="0" w:leftChars="0" w:right="0" w:rightChars="0" w:firstLine="406" w:firstLineChars="200"/>
        <w:textAlignment w:val="auto"/>
        <w:outlineLvl w:val="9"/>
        <w:rPr>
          <w:rFonts w:hint="eastAsia" w:ascii="宋体" w:hAnsi="宋体" w:eastAsia="宋体" w:cs="宋体"/>
          <w:b/>
          <w:bCs/>
          <w:color w:val="000000"/>
          <w:spacing w:val="-4"/>
          <w:kern w:val="2"/>
          <w:sz w:val="21"/>
          <w:szCs w:val="21"/>
          <w:highlight w:val="none"/>
          <w:lang w:val="en-US" w:eastAsia="zh-CN" w:bidi="ar-SA"/>
        </w:rPr>
      </w:pPr>
      <w:r>
        <w:rPr>
          <w:rFonts w:hint="eastAsia" w:ascii="宋体" w:hAnsi="宋体" w:eastAsia="宋体" w:cs="宋体"/>
          <w:b/>
          <w:bCs/>
          <w:color w:val="000000"/>
          <w:spacing w:val="-4"/>
          <w:kern w:val="2"/>
          <w:sz w:val="21"/>
          <w:szCs w:val="21"/>
          <w:highlight w:val="none"/>
          <w:lang w:val="en-US" w:eastAsia="zh-CN" w:bidi="ar-SA"/>
        </w:rPr>
        <w:t>施工阶段全过程工程造价控制 </w:t>
      </w:r>
    </w:p>
    <w:p>
      <w:pPr>
        <w:pStyle w:val="12"/>
        <w:keepNext w:val="0"/>
        <w:keepLines w:val="0"/>
        <w:pageBreakBefore w:val="0"/>
        <w:widowControl/>
        <w:numPr>
          <w:ilvl w:val="0"/>
          <w:numId w:val="3"/>
        </w:numPr>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w:t>
      </w:r>
      <w:r>
        <w:rPr>
          <w:rFonts w:hint="eastAsia" w:hAnsi="宋体" w:cs="宋体"/>
          <w:color w:val="auto"/>
          <w:sz w:val="21"/>
          <w:szCs w:val="21"/>
          <w:highlight w:val="none"/>
          <w:lang w:val="en-US" w:eastAsia="zh-CN"/>
        </w:rPr>
        <w:t>所有与本项目有关的工程造价咨询（如四网合一等）。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）了解项目基本情况，包括项目前期资料、招投标文件、施工合同、结算方式等内容；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）制定造价控制的实施流程，对承包人报送的工程预算进行审核，确定造价控制目标；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xml:space="preserve">）了解中标施工单位的施工组织设计和主要施工方案是否经济合理；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）制定现场控制造价步骤与措施，制定控制造价节点与措施，严格签证制度，避免由此给</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带来的损失；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签署设计变更、工程变更单，对变更的理由、变更的内容、金额提出建议，并帮助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办理重大设计变更的报批手续。对于各类变更，应在变更实施前快速报变更的价款给</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，对超过100万元的变更，还要协助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报相关单位。若发生较大设计变更或市场波动，负责向</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提交造价测算分析报告，并提供合理的造价控制方法（或建议）；变更审核质量达不到</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的要求并给</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造成一定损失的，每发现一次扣除2000元，直至扣到全过程工程造价咨询费用的5%。</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）在施工过程中发现：实际施工工程量与施工单位中标的清单量进行对比，工程量误差在正负 15%以外，或清单分项误差大于总合同价款的正负0.5%（不含0.5%）的项目必须书面告知</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，对于清单中已经计算而实际施工中漏掉或改动的工序与结构部件，咨询公司应该采用现场拍照、录像等手段，以书面资料汇总工程量出入的情况，并计算差价，与证明材料一并交给</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，以便日后结算备用。如发现项目管理单位对此问题未发现或漏报、迟报、误报，给业主单位造成损失的，每发现一次扣除 2000元，直至扣到全过程工程造价咨询费用的 5%。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）审查项目月、季、年度工程进度报表是否准确，工程量计量、工程款支付是否合理；根据监理签署的施工单位当期实际完成的进度工程量进行复核，按照施工合同中关于进度款的拨付办法，向</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提出工程进度款拨付意见；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 xml:space="preserve">）审查预付工程款、应付工程款等是否真实、准确、完整；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审查有关各方签署的措施项目联系单及各种资料是否符合施工实际情况，必要时进行现场拍照、录像，以备查验。结合招标文件、投标文件及工程量清单报价内容，现场核实措施项目与清单报价的措施工程量，并向</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提出措施项目费用结算意见。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 xml:space="preserve">）根据施工承包合同价、进度计划，编制工程的用款计划书，根据概算进度控制计划，编制年度资金需求计划；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）参与造价控制有关的工程会议；随时掌握工程进展的实际情况，实施造价控制的跟踪管理；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）会同建设方对特殊材料、设备市场价格的征询或审核；参与无价材料、暂定材料的定牌定价。根据施工图纸的要求，对每种无价材料、暂定材料（招标文件中确定的），咨询公司协助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进行市场询价，确定材料价格，最后经</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确认。协助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进行大型设备的采购与招标。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）及时提醒</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可能发生的工程费用索赔问题，提供专业评估意见，估算书及反索赔咨询服务，以保证</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的利益。建设方、施工方双方提出索赔时，为双方提供确认、反馈索赔等咨询意见；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）对分阶段竣工的分部工程，对其完工的结算及时进行核定，每个月向</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提供造价控制动态分析报告。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 xml:space="preserve">）承包方提出索赔时，凭据合同和有关法律、法规，提供咨询意见；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）提供与造价控制相关的人工、材料、设备等造价信息，过程中协助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进行小型材料招标等其他</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需要的咨询服务。</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6"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pacing w:val="-4"/>
          <w:kern w:val="2"/>
          <w:sz w:val="21"/>
          <w:szCs w:val="21"/>
          <w:highlight w:val="none"/>
          <w:lang w:val="en-US" w:eastAsia="zh-CN" w:bidi="ar-SA"/>
        </w:rPr>
        <w:t>5、招标采购</w:t>
      </w:r>
      <w:r>
        <w:rPr>
          <w:rFonts w:hint="eastAsia" w:ascii="宋体" w:hAnsi="宋体" w:eastAsia="宋体" w:cs="宋体"/>
          <w:color w:val="000000"/>
          <w:sz w:val="21"/>
          <w:szCs w:val="21"/>
          <w:highlight w:val="none"/>
        </w:rPr>
        <w:t>(除已完成的招标代理项目)</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）根据项目建设需要及委托人需求，编制项目招标方案。</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）根据项目建设需要，确定招标范围、合同主要条款、评标办法等，编制各类招标文件等。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）组织施工招标，发布招标信息、审查</w:t>
      </w:r>
      <w:r>
        <w:rPr>
          <w:rFonts w:hint="eastAsia" w:hAnsi="宋体" w:cs="宋体"/>
          <w:color w:val="000000"/>
          <w:sz w:val="21"/>
          <w:szCs w:val="21"/>
          <w:highlight w:val="none"/>
          <w:lang w:eastAsia="zh-CN"/>
        </w:rPr>
        <w:t>投标人</w:t>
      </w:r>
      <w:r>
        <w:rPr>
          <w:rFonts w:hint="eastAsia" w:ascii="宋体" w:hAnsi="宋体" w:eastAsia="宋体" w:cs="宋体"/>
          <w:color w:val="000000"/>
          <w:sz w:val="21"/>
          <w:szCs w:val="21"/>
          <w:highlight w:val="none"/>
          <w:lang w:eastAsia="zh-CN"/>
        </w:rPr>
        <w:t>资质、组织勘察现场、召开投标预备会等。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）组织投标、开标、询标、评标活动，确定中标单位，开评标资料的整理归档，建立招标台账等。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）与中标单位商签施工承包合同并报委托人审查,负责合同送审计审核，合同送相关部门备案等工作，建立合同台账等。</w:t>
      </w:r>
    </w:p>
    <w:p>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五</w:t>
      </w:r>
      <w:r>
        <w:rPr>
          <w:rFonts w:hint="eastAsia" w:ascii="宋体" w:hAnsi="宋体" w:eastAsia="宋体" w:cs="宋体"/>
          <w:b/>
          <w:color w:val="000000"/>
          <w:sz w:val="21"/>
          <w:szCs w:val="21"/>
          <w:highlight w:val="none"/>
        </w:rPr>
        <w:t>、付款方式</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1、本项目投标报价为包干价，合同履行过程中不作调整。</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2、付款方式：</w:t>
      </w:r>
    </w:p>
    <w:tbl>
      <w:tblPr>
        <w:tblStyle w:val="27"/>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502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支付次数</w:t>
            </w:r>
          </w:p>
        </w:tc>
        <w:tc>
          <w:tcPr>
            <w:tcW w:w="50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支付时间</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第一次付款</w:t>
            </w:r>
          </w:p>
        </w:tc>
        <w:tc>
          <w:tcPr>
            <w:tcW w:w="50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本项目开工后</w:t>
            </w:r>
            <w:r>
              <w:rPr>
                <w:rFonts w:hint="eastAsia" w:ascii="宋体" w:hAnsi="宋体" w:cs="宋体"/>
                <w:color w:val="auto"/>
                <w:sz w:val="21"/>
                <w:szCs w:val="21"/>
                <w:highlight w:val="none"/>
                <w:lang w:val="en-US" w:eastAsia="zh-CN"/>
              </w:rPr>
              <w:t>15日</w:t>
            </w:r>
            <w:r>
              <w:rPr>
                <w:rFonts w:hint="eastAsia" w:ascii="宋体" w:hAnsi="宋体" w:eastAsia="宋体" w:cs="宋体"/>
                <w:color w:val="auto"/>
                <w:sz w:val="21"/>
                <w:szCs w:val="21"/>
                <w:highlight w:val="none"/>
              </w:rPr>
              <w:t>内</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支付合同价的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第二次付款</w:t>
            </w:r>
          </w:p>
        </w:tc>
        <w:tc>
          <w:tcPr>
            <w:tcW w:w="50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en-US" w:bidi="en-US"/>
              </w:rPr>
            </w:pPr>
            <w:r>
              <w:rPr>
                <w:rFonts w:hint="eastAsia" w:ascii="宋体" w:hAnsi="宋体" w:eastAsia="宋体" w:cs="宋体"/>
                <w:color w:val="auto"/>
                <w:sz w:val="21"/>
                <w:szCs w:val="21"/>
                <w:highlight w:val="none"/>
              </w:rPr>
              <w:t>施工工程量达到</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0%时</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en-US" w:bidi="en-US"/>
              </w:rPr>
            </w:pP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至</w:t>
            </w:r>
            <w:r>
              <w:rPr>
                <w:rFonts w:hint="eastAsia" w:ascii="宋体" w:hAnsi="宋体" w:eastAsia="宋体" w:cs="宋体"/>
                <w:color w:val="auto"/>
                <w:sz w:val="21"/>
                <w:szCs w:val="21"/>
                <w:highlight w:val="none"/>
              </w:rPr>
              <w:t>合同价的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第三次付款</w:t>
            </w:r>
          </w:p>
        </w:tc>
        <w:tc>
          <w:tcPr>
            <w:tcW w:w="50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en-US" w:bidi="en-US"/>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竣工验收合格并资料归档结束后一个月内</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zh-CN" w:bidi="en-US"/>
              </w:rPr>
            </w:pPr>
            <w:r>
              <w:rPr>
                <w:rFonts w:hint="eastAsia" w:ascii="宋体" w:hAnsi="宋体" w:eastAsia="宋体" w:cs="宋体"/>
                <w:color w:val="auto"/>
                <w:sz w:val="21"/>
                <w:szCs w:val="21"/>
                <w:highlight w:val="none"/>
                <w:lang w:eastAsia="zh-CN"/>
              </w:rPr>
              <w:t>支付至合同价的80%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次付款</w:t>
            </w:r>
          </w:p>
        </w:tc>
        <w:tc>
          <w:tcPr>
            <w:tcW w:w="50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zh-CN" w:bidi="en-US"/>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竣工决算</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完成后一个月内</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en-US" w:bidi="en-US"/>
              </w:rPr>
            </w:pPr>
            <w:r>
              <w:rPr>
                <w:rFonts w:hint="eastAsia" w:ascii="宋体" w:hAnsi="宋体" w:eastAsia="宋体" w:cs="宋体"/>
                <w:color w:val="auto"/>
                <w:sz w:val="21"/>
                <w:szCs w:val="21"/>
                <w:highlight w:val="none"/>
                <w:lang w:eastAsia="zh-CN"/>
              </w:rPr>
              <w:t>付清最终余款</w:t>
            </w:r>
          </w:p>
        </w:tc>
      </w:tr>
    </w:tbl>
    <w:p>
      <w:pPr>
        <w:spacing w:line="360" w:lineRule="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六、违约责任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sz w:val="21"/>
          <w:szCs w:val="21"/>
          <w:highlight w:val="none"/>
          <w:lang w:val="en-US" w:eastAsia="zh-CN"/>
        </w:rPr>
        <w:t>因全过程项目咨询单位原因，导致工程质量不合格</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应无偿返工，直至合格为止。</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有权对</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处以违约金，限额为</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对应履约担保金额的</w:t>
      </w:r>
      <w:r>
        <w:rPr>
          <w:rFonts w:hint="eastAsia" w:ascii="宋体" w:hAnsi="宋体" w:cs="宋体"/>
          <w:color w:val="000000"/>
          <w:sz w:val="21"/>
          <w:szCs w:val="21"/>
          <w:highlight w:val="none"/>
          <w:lang w:val="en-US" w:eastAsia="zh-CN"/>
        </w:rPr>
        <w:t>100</w:t>
      </w:r>
      <w:r>
        <w:rPr>
          <w:rFonts w:hint="eastAsia" w:ascii="宋体" w:hAnsi="宋体" w:eastAsia="宋体" w:cs="宋体"/>
          <w:color w:val="000000"/>
          <w:sz w:val="21"/>
          <w:szCs w:val="21"/>
          <w:highlight w:val="none"/>
        </w:rPr>
        <w:t>%，不足部分，</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有权对</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进行追偿。由此增加的费用及造成工程拖延，由</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因</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原因，导致工期延长的，未按约定期限完成全过程工程咨询工作,对超出日期按</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000元/天计取赔偿，限额为全过程工程咨询对应履约担保金额的</w:t>
      </w:r>
      <w:r>
        <w:rPr>
          <w:rFonts w:hint="eastAsia" w:ascii="宋体" w:hAnsi="宋体" w:cs="宋体"/>
          <w:color w:val="000000"/>
          <w:sz w:val="21"/>
          <w:szCs w:val="21"/>
          <w:highlight w:val="none"/>
          <w:lang w:val="en-US" w:eastAsia="zh-CN"/>
        </w:rPr>
        <w:t>100</w:t>
      </w:r>
      <w:r>
        <w:rPr>
          <w:rFonts w:hint="eastAsia" w:ascii="宋体" w:hAnsi="宋体" w:eastAsia="宋体" w:cs="宋体"/>
          <w:color w:val="000000"/>
          <w:sz w:val="21"/>
          <w:szCs w:val="21"/>
          <w:highlight w:val="none"/>
        </w:rPr>
        <w:t>%，不足部分，</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有权对</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进行追偿。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因</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原因，未按</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要求及时、全面履行建设手续代办、设计管理、综合协调义务，导致项目建设进度的推迟或延误的，</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将给与警告，情节严重的，</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有权解除合同。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因</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未妥善履行合同及台帐管理义务，对</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或第三人所提出的问题（约定范围内的）不能及时核对或答复，导致合同不能全部或部分履行，造成</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经济损失的，</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不得接受所有第三方的礼品、宴请和任何其它好处，不得泄露全过程工程咨询过程中依法需要保密的内容。合同终止后，未经</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同意，</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不得泄漏与本合同工程相关的任何资料和情况。否则，</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有权要求其承担赔偿责任。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如果出现重大责任事故，</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需承担相应的法律责任，并对</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处以本合同全过程工程咨询对应履约担保金额的</w:t>
      </w:r>
      <w:r>
        <w:rPr>
          <w:rFonts w:hint="eastAsia" w:ascii="宋体" w:hAnsi="宋体" w:cs="宋体"/>
          <w:color w:val="000000"/>
          <w:sz w:val="21"/>
          <w:szCs w:val="21"/>
          <w:highlight w:val="none"/>
          <w:lang w:val="en-US" w:eastAsia="zh-CN"/>
        </w:rPr>
        <w:t>100</w:t>
      </w:r>
      <w:r>
        <w:rPr>
          <w:rFonts w:hint="eastAsia" w:ascii="宋体" w:hAnsi="宋体" w:eastAsia="宋体" w:cs="宋体"/>
          <w:color w:val="000000"/>
          <w:sz w:val="21"/>
          <w:szCs w:val="21"/>
          <w:highlight w:val="none"/>
        </w:rPr>
        <w:t>%的罚款，不足部分，</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有权对</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进行追偿。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全过程</w:t>
      </w:r>
      <w:r>
        <w:rPr>
          <w:rFonts w:hint="eastAsia" w:ascii="宋体" w:hAnsi="宋体" w:eastAsia="宋体" w:cs="宋体"/>
          <w:color w:val="000000"/>
          <w:sz w:val="21"/>
          <w:szCs w:val="21"/>
          <w:highlight w:val="none"/>
          <w:lang w:val="en-US" w:eastAsia="zh-CN"/>
        </w:rPr>
        <w:t>项目</w:t>
      </w:r>
      <w:r>
        <w:rPr>
          <w:rFonts w:hint="eastAsia" w:ascii="宋体" w:hAnsi="宋体" w:eastAsia="宋体" w:cs="宋体"/>
          <w:color w:val="000000"/>
          <w:sz w:val="21"/>
          <w:szCs w:val="21"/>
          <w:highlight w:val="none"/>
        </w:rPr>
        <w:t>咨询</w:t>
      </w:r>
      <w:r>
        <w:rPr>
          <w:rFonts w:hint="eastAsia" w:ascii="宋体" w:hAnsi="宋体" w:eastAsia="宋体" w:cs="宋体"/>
          <w:color w:val="000000"/>
          <w:sz w:val="21"/>
          <w:szCs w:val="21"/>
          <w:highlight w:val="none"/>
          <w:lang w:val="en-US" w:eastAsia="zh-CN"/>
        </w:rPr>
        <w:t>单位</w:t>
      </w:r>
      <w:r>
        <w:rPr>
          <w:rFonts w:hint="eastAsia" w:ascii="宋体" w:hAnsi="宋体" w:eastAsia="宋体" w:cs="宋体"/>
          <w:color w:val="000000"/>
          <w:sz w:val="21"/>
          <w:szCs w:val="21"/>
          <w:highlight w:val="none"/>
        </w:rPr>
        <w:t>应按投标承诺的项目机构人员实际到位，常驻现场。项目负责人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总监</w:t>
      </w:r>
      <w:r>
        <w:rPr>
          <w:rFonts w:hint="eastAsia" w:ascii="宋体" w:hAnsi="宋体" w:eastAsia="宋体" w:cs="宋体"/>
          <w:color w:val="000000"/>
          <w:sz w:val="21"/>
          <w:szCs w:val="21"/>
          <w:highlight w:val="none"/>
        </w:rPr>
        <w:t>到位率必须达到正常工作日（考勤天数按每月2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日计）的</w:t>
      </w:r>
      <w:r>
        <w:rPr>
          <w:rFonts w:hint="eastAsia" w:ascii="宋体" w:hAnsi="宋体" w:cs="宋体"/>
          <w:color w:val="000000"/>
          <w:sz w:val="21"/>
          <w:szCs w:val="21"/>
          <w:highlight w:val="none"/>
          <w:lang w:val="en-US" w:eastAsia="zh-CN"/>
        </w:rPr>
        <w:t>80</w:t>
      </w:r>
      <w:r>
        <w:rPr>
          <w:rFonts w:hint="eastAsia" w:ascii="宋体" w:hAnsi="宋体" w:eastAsia="宋体" w:cs="宋体"/>
          <w:color w:val="000000"/>
          <w:sz w:val="21"/>
          <w:szCs w:val="21"/>
          <w:highlight w:val="none"/>
        </w:rPr>
        <w:t>%以上，否则按1000元/天的标准赔偿；</w:t>
      </w:r>
      <w:r>
        <w:rPr>
          <w:rFonts w:hint="eastAsia" w:ascii="宋体" w:hAnsi="宋体" w:eastAsia="宋体" w:cs="宋体"/>
          <w:color w:val="000000"/>
          <w:sz w:val="21"/>
          <w:szCs w:val="21"/>
          <w:highlight w:val="none"/>
          <w:lang w:val="en-US" w:eastAsia="zh-CN"/>
        </w:rPr>
        <w:t>其他人员（除非现场管理人员）</w:t>
      </w:r>
      <w:r>
        <w:rPr>
          <w:rFonts w:hint="eastAsia" w:ascii="宋体" w:hAnsi="宋体" w:eastAsia="宋体" w:cs="宋体"/>
          <w:color w:val="000000"/>
          <w:sz w:val="21"/>
          <w:szCs w:val="21"/>
          <w:highlight w:val="none"/>
        </w:rPr>
        <w:t>到位率必须达到正常工作日（考勤天数按每月2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日计）的</w:t>
      </w:r>
      <w:r>
        <w:rPr>
          <w:rFonts w:hint="eastAsia" w:ascii="宋体" w:hAnsi="宋体" w:cs="宋体"/>
          <w:color w:val="000000"/>
          <w:sz w:val="21"/>
          <w:szCs w:val="21"/>
          <w:highlight w:val="none"/>
          <w:lang w:val="en-US" w:eastAsia="zh-CN"/>
        </w:rPr>
        <w:t>90</w:t>
      </w:r>
      <w:r>
        <w:rPr>
          <w:rFonts w:hint="eastAsia" w:ascii="宋体" w:hAnsi="宋体" w:eastAsia="宋体" w:cs="宋体"/>
          <w:color w:val="000000"/>
          <w:sz w:val="21"/>
          <w:szCs w:val="21"/>
          <w:highlight w:val="none"/>
        </w:rPr>
        <w:t>%，否则按500元/天的标准赔偿</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000000"/>
          <w:sz w:val="21"/>
          <w:szCs w:val="21"/>
          <w:highlight w:val="none"/>
          <w:lang w:eastAsia="zh-CN"/>
        </w:rPr>
        <w:t>七、</w:t>
      </w:r>
      <w:r>
        <w:rPr>
          <w:rFonts w:hint="eastAsia" w:ascii="宋体" w:hAnsi="宋体" w:cs="宋体"/>
          <w:b/>
          <w:bCs/>
          <w:sz w:val="21"/>
          <w:szCs w:val="21"/>
          <w:highlight w:val="none"/>
          <w:lang w:eastAsia="zh-CN"/>
        </w:rPr>
        <w:t>最高限价</w:t>
      </w:r>
      <w:r>
        <w:rPr>
          <w:rFonts w:hint="eastAsia" w:ascii="宋体" w:hAnsi="宋体" w:eastAsia="宋体" w:cs="宋体"/>
          <w:b/>
          <w:bCs/>
          <w:sz w:val="21"/>
          <w:szCs w:val="21"/>
          <w:highlight w:val="none"/>
        </w:rPr>
        <w:t>组成及依据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1、标项一：</w:t>
      </w:r>
      <w:r>
        <w:rPr>
          <w:rFonts w:hint="eastAsia" w:ascii="宋体" w:hAnsi="宋体" w:eastAsia="宋体" w:cs="宋体"/>
          <w:sz w:val="21"/>
          <w:szCs w:val="21"/>
          <w:highlight w:val="none"/>
        </w:rPr>
        <w:t>丽庄西苑（一期、二期）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本项目的全过程工程咨询服务报酬</w:t>
      </w:r>
      <w:r>
        <w:rPr>
          <w:rFonts w:hint="eastAsia" w:ascii="宋体" w:hAnsi="宋体" w:eastAsia="宋体" w:cs="宋体"/>
          <w:b/>
          <w:bCs/>
          <w:sz w:val="21"/>
          <w:szCs w:val="21"/>
          <w:highlight w:val="none"/>
        </w:rPr>
        <w:t>由项目建设管理费、招标代理费、造价咨询服务费、工程监理费四部分组成</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也对应由上述四部分组成，本项目工程费</w:t>
      </w:r>
      <w:r>
        <w:rPr>
          <w:rFonts w:hint="eastAsia" w:ascii="宋体" w:hAnsi="宋体" w:eastAsia="宋体" w:cs="宋体"/>
          <w:color w:val="auto"/>
          <w:sz w:val="21"/>
          <w:szCs w:val="21"/>
          <w:highlight w:val="none"/>
          <w:lang w:val="en-US" w:eastAsia="zh-CN"/>
        </w:rPr>
        <w:t>为1562.3万元</w:t>
      </w:r>
      <w:r>
        <w:rPr>
          <w:rFonts w:hint="eastAsia" w:ascii="宋体" w:hAnsi="宋体" w:eastAsia="宋体" w:cs="宋体"/>
          <w:color w:val="auto"/>
          <w:sz w:val="21"/>
          <w:szCs w:val="21"/>
          <w:highlight w:val="none"/>
        </w:rPr>
        <w:t>，暂以</w:t>
      </w:r>
      <w:r>
        <w:rPr>
          <w:rFonts w:hint="eastAsia" w:ascii="宋体" w:hAnsi="宋体" w:eastAsia="宋体" w:cs="宋体"/>
          <w:color w:val="auto"/>
          <w:sz w:val="21"/>
          <w:szCs w:val="21"/>
          <w:highlight w:val="none"/>
          <w:lang w:val="en-US" w:eastAsia="zh-CN"/>
        </w:rPr>
        <w:t>工程费</w:t>
      </w:r>
      <w:r>
        <w:rPr>
          <w:rFonts w:hint="eastAsia" w:ascii="宋体" w:hAnsi="宋体" w:eastAsia="宋体" w:cs="宋体"/>
          <w:color w:val="auto"/>
          <w:sz w:val="21"/>
          <w:szCs w:val="21"/>
          <w:highlight w:val="none"/>
        </w:rPr>
        <w:t>及现行收费标准计算本项目</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，计算依据及过程如下：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（1）项目建设管理费：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根据《浙江省建设工程其他费用定额（2018版）》文件规定，暂以</w:t>
      </w:r>
      <w:r>
        <w:rPr>
          <w:rFonts w:hint="eastAsia" w:ascii="宋体" w:hAnsi="宋体" w:eastAsia="宋体" w:cs="宋体"/>
          <w:color w:val="auto"/>
          <w:sz w:val="21"/>
          <w:szCs w:val="21"/>
          <w:highlight w:val="none"/>
          <w:lang w:val="en-US" w:eastAsia="zh-CN"/>
        </w:rPr>
        <w:t>1562.3</w:t>
      </w:r>
      <w:r>
        <w:rPr>
          <w:rFonts w:hint="eastAsia" w:ascii="宋体" w:hAnsi="宋体" w:eastAsia="宋体" w:cs="宋体"/>
          <w:color w:val="auto"/>
          <w:sz w:val="21"/>
          <w:szCs w:val="21"/>
          <w:highlight w:val="none"/>
        </w:rPr>
        <w:t>万元为取费基数计算：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项目建设管理费</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[1000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val="en-US" w:eastAsia="zh-CN"/>
        </w:rPr>
        <w:t>1562.3</w:t>
      </w:r>
      <w:r>
        <w:rPr>
          <w:rFonts w:hint="eastAsia" w:ascii="宋体" w:hAnsi="宋体" w:eastAsia="宋体" w:cs="宋体"/>
          <w:color w:val="auto"/>
          <w:sz w:val="21"/>
          <w:szCs w:val="21"/>
          <w:highlight w:val="none"/>
        </w:rPr>
        <w:t>-1000)*1.7%]*0.7</w:t>
      </w:r>
      <w:r>
        <w:rPr>
          <w:rFonts w:hint="eastAsia" w:ascii="宋体" w:hAnsi="宋体" w:cs="宋体"/>
          <w:color w:val="auto"/>
          <w:sz w:val="21"/>
          <w:szCs w:val="21"/>
          <w:highlight w:val="none"/>
          <w:lang w:val="en-US" w:eastAsia="zh-CN"/>
        </w:rPr>
        <w:t>}*0.88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20.0564</w:t>
      </w:r>
      <w:r>
        <w:rPr>
          <w:rFonts w:hint="eastAsia" w:ascii="宋体" w:hAnsi="宋体" w:eastAsia="宋体" w:cs="宋体"/>
          <w:color w:val="auto"/>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（2）招标代理费：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综合考虑“北区建【2016】162号”文件执行并结合市场环境等因素按工程招标代理计取，暂以</w:t>
      </w:r>
      <w:r>
        <w:rPr>
          <w:rFonts w:hint="eastAsia" w:ascii="宋体" w:hAnsi="宋体" w:eastAsia="宋体" w:cs="宋体"/>
          <w:color w:val="auto"/>
          <w:sz w:val="21"/>
          <w:szCs w:val="21"/>
          <w:highlight w:val="none"/>
          <w:lang w:val="en-US" w:eastAsia="zh-CN"/>
        </w:rPr>
        <w:t>1562.3</w:t>
      </w:r>
      <w:r>
        <w:rPr>
          <w:rFonts w:hint="eastAsia" w:ascii="宋体" w:hAnsi="宋体" w:eastAsia="宋体" w:cs="宋体"/>
          <w:color w:val="auto"/>
          <w:sz w:val="21"/>
          <w:szCs w:val="21"/>
          <w:highlight w:val="none"/>
        </w:rPr>
        <w:t>万元为取费基数计算：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招标代理费</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100*0.7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+（500-100）*0.49%+（1000-500）*0.385%+（1562.3-1000）*0.245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]*0.88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5.2471</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“北区建【2016】162号”：单次招标代理费按取费标准计算高于5万元的按5万元计算。</w:t>
      </w:r>
      <w:r>
        <w:rPr>
          <w:rFonts w:hint="eastAsia" w:ascii="宋体" w:hAnsi="宋体" w:eastAsia="宋体" w:cs="宋体"/>
          <w:color w:val="auto"/>
          <w:sz w:val="21"/>
          <w:szCs w:val="21"/>
          <w:highlight w:val="none"/>
          <w:lang w:val="en-US" w:eastAsia="zh-CN"/>
        </w:rPr>
        <w:t>因此</w:t>
      </w:r>
      <w:r>
        <w:rPr>
          <w:rFonts w:hint="eastAsia" w:ascii="宋体" w:hAnsi="宋体" w:eastAsia="宋体" w:cs="宋体"/>
          <w:color w:val="auto"/>
          <w:sz w:val="21"/>
          <w:szCs w:val="21"/>
          <w:highlight w:val="none"/>
        </w:rPr>
        <w:t>招标代理费</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lang w:val="en-US" w:eastAsia="zh-CN"/>
        </w:rPr>
        <w:t>按5万元计取。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（3）造价咨询服务费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造价咨询服务费为施工阶段全过程工程造价控制费：综合考虑《浙江省建设工程造价咨询服务收费管理办法》（浙价服〔2009〕84号）文件收费标准并结合市场环境等因素，暂以</w:t>
      </w:r>
      <w:r>
        <w:rPr>
          <w:rFonts w:hint="eastAsia" w:ascii="宋体" w:hAnsi="宋体" w:eastAsia="宋体" w:cs="宋体"/>
          <w:color w:val="auto"/>
          <w:sz w:val="21"/>
          <w:szCs w:val="21"/>
          <w:highlight w:val="none"/>
          <w:lang w:val="en-US" w:eastAsia="zh-CN"/>
        </w:rPr>
        <w:t>1562.3</w:t>
      </w:r>
      <w:r>
        <w:rPr>
          <w:rFonts w:hint="eastAsia" w:ascii="宋体" w:hAnsi="宋体" w:eastAsia="宋体" w:cs="宋体"/>
          <w:color w:val="auto"/>
          <w:sz w:val="21"/>
          <w:szCs w:val="21"/>
          <w:highlight w:val="none"/>
        </w:rPr>
        <w:t>万元为取费基数计算：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施工阶段全过程工程造价控制=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100*1.2%+400*1.1%+500*1%+</w:t>
      </w:r>
      <w:r>
        <w:rPr>
          <w:rFonts w:hint="eastAsia" w:ascii="宋体" w:hAnsi="宋体" w:eastAsia="宋体" w:cs="宋体"/>
          <w:color w:val="auto"/>
          <w:sz w:val="21"/>
          <w:szCs w:val="21"/>
          <w:highlight w:val="none"/>
          <w:lang w:val="en-US" w:eastAsia="zh-CN"/>
        </w:rPr>
        <w:t>562.3</w:t>
      </w:r>
      <w:r>
        <w:rPr>
          <w:rFonts w:hint="eastAsia" w:ascii="宋体" w:hAnsi="宋体" w:eastAsia="宋体" w:cs="宋体"/>
          <w:color w:val="auto"/>
          <w:sz w:val="21"/>
          <w:szCs w:val="21"/>
          <w:highlight w:val="none"/>
        </w:rPr>
        <w:t>*0.9%</w:t>
      </w:r>
      <w:r>
        <w:rPr>
          <w:rFonts w:hint="eastAsia" w:ascii="宋体" w:hAnsi="宋体" w:cs="宋体"/>
          <w:color w:val="auto"/>
          <w:sz w:val="21"/>
          <w:szCs w:val="21"/>
          <w:highlight w:val="none"/>
          <w:lang w:val="en-US" w:eastAsia="zh-CN"/>
        </w:rPr>
        <w:t>]*0.88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13.7814</w:t>
      </w:r>
      <w:r>
        <w:rPr>
          <w:rFonts w:hint="eastAsia" w:ascii="宋体" w:hAnsi="宋体" w:eastAsia="宋体" w:cs="宋体"/>
          <w:color w:val="auto"/>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造价咨询服务费</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13.7814</w:t>
      </w:r>
      <w:r>
        <w:rPr>
          <w:rFonts w:hint="eastAsia" w:ascii="宋体" w:hAnsi="宋体" w:eastAsia="宋体" w:cs="宋体"/>
          <w:color w:val="auto"/>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（4）工程监理费：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根据《浙江省建设工程其他费用定额（2018版）》文件规定，以</w:t>
      </w:r>
      <w:r>
        <w:rPr>
          <w:rFonts w:hint="eastAsia" w:ascii="宋体" w:hAnsi="宋体" w:eastAsia="宋体" w:cs="宋体"/>
          <w:color w:val="auto"/>
          <w:sz w:val="21"/>
          <w:szCs w:val="21"/>
          <w:highlight w:val="none"/>
          <w:lang w:val="en-US" w:eastAsia="zh-CN"/>
        </w:rPr>
        <w:t>1562.3</w:t>
      </w:r>
      <w:r>
        <w:rPr>
          <w:rFonts w:hint="eastAsia" w:ascii="宋体" w:hAnsi="宋体" w:eastAsia="宋体" w:cs="宋体"/>
          <w:color w:val="auto"/>
          <w:sz w:val="21"/>
          <w:szCs w:val="21"/>
          <w:highlight w:val="none"/>
        </w:rPr>
        <w:t>万元为取费基数计取工程监理费：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工程监理费</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[24.1+（62.5-24.1）/（3000-1000）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1562.3</w:t>
      </w:r>
      <w:r>
        <w:rPr>
          <w:rFonts w:hint="eastAsia" w:ascii="宋体" w:hAnsi="宋体" w:eastAsia="宋体" w:cs="宋体"/>
          <w:color w:val="auto"/>
          <w:sz w:val="21"/>
          <w:szCs w:val="21"/>
          <w:highlight w:val="none"/>
        </w:rPr>
        <w:t>-1000）]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0.92</w:t>
      </w:r>
      <w:r>
        <w:rPr>
          <w:rFonts w:hint="eastAsia" w:ascii="宋体" w:hAnsi="宋体" w:cs="宋体"/>
          <w:color w:val="auto"/>
          <w:sz w:val="21"/>
          <w:szCs w:val="21"/>
          <w:highlight w:val="none"/>
          <w:lang w:val="en-US" w:eastAsia="zh-CN"/>
        </w:rPr>
        <w:t>}*0.88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28.2519</w:t>
      </w:r>
      <w:r>
        <w:rPr>
          <w:rFonts w:hint="eastAsia" w:ascii="宋体" w:hAnsi="宋体" w:eastAsia="宋体" w:cs="宋体"/>
          <w:color w:val="auto"/>
          <w:sz w:val="21"/>
          <w:szCs w:val="21"/>
          <w:highlight w:val="none"/>
        </w:rPr>
        <w:t>万元，本项目复杂系数不计。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＝（1）项目建设管理服务费+（2）招标代理费+（3）造价咨询服务费+（4）工程监理费=</w:t>
      </w:r>
      <w:r>
        <w:rPr>
          <w:rFonts w:hint="eastAsia" w:ascii="宋体" w:hAnsi="宋体" w:cs="宋体"/>
          <w:color w:val="auto"/>
          <w:sz w:val="21"/>
          <w:szCs w:val="21"/>
          <w:highlight w:val="none"/>
          <w:lang w:val="en-US" w:eastAsia="zh-CN"/>
        </w:rPr>
        <w:t>20.0564</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13.7814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28.2519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67.0897</w:t>
      </w:r>
      <w:r>
        <w:rPr>
          <w:rFonts w:hint="eastAsia" w:ascii="宋体" w:hAnsi="宋体" w:eastAsia="宋体" w:cs="宋体"/>
          <w:color w:val="auto"/>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2、标项二：</w:t>
      </w:r>
      <w:r>
        <w:rPr>
          <w:rFonts w:hint="eastAsia" w:ascii="宋体" w:hAnsi="宋体" w:eastAsia="宋体" w:cs="宋体"/>
          <w:color w:val="auto"/>
          <w:sz w:val="21"/>
          <w:szCs w:val="21"/>
          <w:highlight w:val="none"/>
          <w:lang w:eastAsia="zh-CN"/>
        </w:rPr>
        <w:t>费市家苑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本项目的全过程工程咨询服务报酬由项目建设管理费、招标代理费、造价咨询服务费、工程监理费四部分组成。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也对应由上述四部分组成，本项目工程费</w:t>
      </w:r>
      <w:r>
        <w:rPr>
          <w:rFonts w:hint="eastAsia" w:ascii="宋体" w:hAnsi="宋体" w:eastAsia="宋体" w:cs="宋体"/>
          <w:color w:val="auto"/>
          <w:sz w:val="21"/>
          <w:szCs w:val="21"/>
          <w:highlight w:val="none"/>
          <w:lang w:val="en-US" w:eastAsia="zh-CN"/>
        </w:rPr>
        <w:t>为566.95万元</w:t>
      </w:r>
      <w:r>
        <w:rPr>
          <w:rFonts w:hint="eastAsia" w:ascii="宋体" w:hAnsi="宋体" w:eastAsia="宋体" w:cs="宋体"/>
          <w:color w:val="auto"/>
          <w:sz w:val="21"/>
          <w:szCs w:val="21"/>
          <w:highlight w:val="none"/>
        </w:rPr>
        <w:t>，暂以</w:t>
      </w:r>
      <w:r>
        <w:rPr>
          <w:rFonts w:hint="eastAsia" w:ascii="宋体" w:hAnsi="宋体" w:eastAsia="宋体" w:cs="宋体"/>
          <w:color w:val="auto"/>
          <w:sz w:val="21"/>
          <w:szCs w:val="21"/>
          <w:highlight w:val="none"/>
          <w:lang w:val="en-US" w:eastAsia="zh-CN"/>
        </w:rPr>
        <w:t>工程费</w:t>
      </w:r>
      <w:r>
        <w:rPr>
          <w:rFonts w:hint="eastAsia" w:ascii="宋体" w:hAnsi="宋体" w:eastAsia="宋体" w:cs="宋体"/>
          <w:color w:val="auto"/>
          <w:sz w:val="21"/>
          <w:szCs w:val="21"/>
          <w:highlight w:val="none"/>
        </w:rPr>
        <w:t>及现行收费标准计算本项目</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，计算依据及过程如下：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（1）项目建设管理费：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根据《浙江省建设工程其他费用定额（2018版）》文件规定，暂以</w:t>
      </w:r>
      <w:r>
        <w:rPr>
          <w:rFonts w:hint="eastAsia" w:ascii="宋体" w:hAnsi="宋体" w:eastAsia="宋体" w:cs="宋体"/>
          <w:color w:val="auto"/>
          <w:sz w:val="21"/>
          <w:szCs w:val="21"/>
          <w:highlight w:val="none"/>
          <w:lang w:val="en-US" w:eastAsia="zh-CN"/>
        </w:rPr>
        <w:t>566.95</w:t>
      </w:r>
      <w:r>
        <w:rPr>
          <w:rFonts w:hint="eastAsia" w:ascii="宋体" w:hAnsi="宋体" w:eastAsia="宋体" w:cs="宋体"/>
          <w:color w:val="auto"/>
          <w:sz w:val="21"/>
          <w:szCs w:val="21"/>
          <w:highlight w:val="none"/>
        </w:rPr>
        <w:t>万元为取费基数计算：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项目建设管理费</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566.95*</w:t>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*0.7</w:t>
      </w:r>
      <w:r>
        <w:rPr>
          <w:rFonts w:hint="eastAsia" w:ascii="宋体" w:hAnsi="宋体" w:cs="宋体"/>
          <w:color w:val="auto"/>
          <w:sz w:val="21"/>
          <w:szCs w:val="21"/>
          <w:highlight w:val="none"/>
          <w:lang w:val="en-US" w:eastAsia="zh-CN"/>
        </w:rPr>
        <w:t>]*0.88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8.0325</w:t>
      </w:r>
      <w:r>
        <w:rPr>
          <w:rFonts w:hint="eastAsia" w:ascii="宋体" w:hAnsi="宋体" w:eastAsia="宋体" w:cs="宋体"/>
          <w:color w:val="auto"/>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（2）招标代理费：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综合考虑“北区建【2016】162号”文件执行并结合市场环境等因素按工程招标代理计取，暂以</w:t>
      </w:r>
      <w:r>
        <w:rPr>
          <w:rFonts w:hint="eastAsia" w:ascii="宋体" w:hAnsi="宋体" w:eastAsia="宋体" w:cs="宋体"/>
          <w:color w:val="auto"/>
          <w:sz w:val="21"/>
          <w:szCs w:val="21"/>
          <w:highlight w:val="none"/>
          <w:lang w:val="en-US" w:eastAsia="zh-CN"/>
        </w:rPr>
        <w:t>566.95</w:t>
      </w:r>
      <w:r>
        <w:rPr>
          <w:rFonts w:hint="eastAsia" w:ascii="宋体" w:hAnsi="宋体" w:eastAsia="宋体" w:cs="宋体"/>
          <w:color w:val="auto"/>
          <w:sz w:val="21"/>
          <w:szCs w:val="21"/>
          <w:highlight w:val="none"/>
        </w:rPr>
        <w:t>万元为取费基数计算：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100*0.7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+（500-100）*0.49%+（566.95-500）*0.385%</w:t>
      </w:r>
      <w:r>
        <w:rPr>
          <w:rFonts w:hint="eastAsia" w:ascii="宋体" w:hAnsi="宋体" w:cs="宋体"/>
          <w:color w:val="auto"/>
          <w:sz w:val="21"/>
          <w:szCs w:val="21"/>
          <w:highlight w:val="none"/>
          <w:lang w:val="en-US" w:eastAsia="zh-CN"/>
        </w:rPr>
        <w:t>]*0.88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2.5676</w:t>
      </w:r>
      <w:r>
        <w:rPr>
          <w:rFonts w:hint="eastAsia" w:ascii="宋体" w:hAnsi="宋体" w:eastAsia="宋体" w:cs="宋体"/>
          <w:color w:val="auto"/>
          <w:sz w:val="21"/>
          <w:szCs w:val="21"/>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（3）造价咨询服务费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造价咨询服务费为施工阶段全过程工程造价控制费：综合考虑《浙江省建设工程造价咨询服务收费管理办法》（浙价服〔2009〕84号）文件收费标准并结合市场环境等因素，暂以</w:t>
      </w:r>
      <w:r>
        <w:rPr>
          <w:rFonts w:hint="eastAsia" w:ascii="宋体" w:hAnsi="宋体" w:eastAsia="宋体" w:cs="宋体"/>
          <w:color w:val="auto"/>
          <w:sz w:val="21"/>
          <w:szCs w:val="21"/>
          <w:highlight w:val="none"/>
          <w:lang w:val="en-US" w:eastAsia="zh-CN"/>
        </w:rPr>
        <w:t>566.95</w:t>
      </w:r>
      <w:r>
        <w:rPr>
          <w:rFonts w:hint="eastAsia" w:ascii="宋体" w:hAnsi="宋体" w:eastAsia="宋体" w:cs="宋体"/>
          <w:color w:val="auto"/>
          <w:sz w:val="21"/>
          <w:szCs w:val="21"/>
          <w:highlight w:val="none"/>
        </w:rPr>
        <w:t>万元为取费基数计算：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施工阶段全过程工程造价控制=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100*1.2%+400*1.1%+</w:t>
      </w:r>
      <w:r>
        <w:rPr>
          <w:rFonts w:hint="eastAsia" w:ascii="宋体" w:hAnsi="宋体" w:eastAsia="宋体" w:cs="宋体"/>
          <w:color w:val="auto"/>
          <w:sz w:val="21"/>
          <w:szCs w:val="21"/>
          <w:highlight w:val="none"/>
          <w:lang w:val="en-US" w:eastAsia="zh-CN"/>
        </w:rPr>
        <w:t>66.95</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)*0.88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5.5172</w:t>
      </w:r>
      <w:r>
        <w:rPr>
          <w:rFonts w:hint="eastAsia" w:ascii="宋体" w:hAnsi="宋体" w:eastAsia="宋体" w:cs="宋体"/>
          <w:color w:val="auto"/>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造价咨询服务费</w:t>
      </w:r>
      <w:r>
        <w:rPr>
          <w:rFonts w:hint="eastAsia" w:ascii="宋体" w:hAnsi="宋体" w:cs="宋体"/>
          <w:color w:val="auto"/>
          <w:sz w:val="21"/>
          <w:szCs w:val="21"/>
          <w:highlight w:val="none"/>
          <w:lang w:eastAsia="zh-CN"/>
        </w:rPr>
        <w:t>最高限价</w:t>
      </w:r>
      <w:r>
        <w:rPr>
          <w:rFonts w:hint="eastAsia" w:ascii="宋体" w:hAnsi="宋体" w:cs="宋体"/>
          <w:color w:val="auto"/>
          <w:sz w:val="21"/>
          <w:szCs w:val="21"/>
          <w:highlight w:val="none"/>
          <w:lang w:val="en-US" w:eastAsia="zh-CN"/>
        </w:rPr>
        <w:t>5.5172</w:t>
      </w:r>
      <w:r>
        <w:rPr>
          <w:rFonts w:hint="eastAsia" w:ascii="宋体" w:hAnsi="宋体" w:eastAsia="宋体" w:cs="宋体"/>
          <w:color w:val="auto"/>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（4）工程监理费：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根据《浙江省建设工程其他费用定额（2018版）》文件规定，以</w:t>
      </w:r>
      <w:r>
        <w:rPr>
          <w:rFonts w:hint="eastAsia" w:ascii="宋体" w:hAnsi="宋体" w:eastAsia="宋体" w:cs="宋体"/>
          <w:color w:val="auto"/>
          <w:sz w:val="21"/>
          <w:szCs w:val="21"/>
          <w:highlight w:val="none"/>
          <w:lang w:val="en-US" w:eastAsia="zh-CN"/>
        </w:rPr>
        <w:t>566.95</w:t>
      </w:r>
      <w:r>
        <w:rPr>
          <w:rFonts w:hint="eastAsia" w:ascii="宋体" w:hAnsi="宋体" w:eastAsia="宋体" w:cs="宋体"/>
          <w:color w:val="auto"/>
          <w:sz w:val="21"/>
          <w:szCs w:val="21"/>
          <w:highlight w:val="none"/>
        </w:rPr>
        <w:t>万元为取费基数计取工程监理费：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工程监理费</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566.95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0.92</w:t>
      </w:r>
      <w:r>
        <w:rPr>
          <w:rFonts w:hint="eastAsia" w:ascii="宋体" w:hAnsi="宋体" w:cs="宋体"/>
          <w:color w:val="auto"/>
          <w:sz w:val="21"/>
          <w:szCs w:val="21"/>
          <w:highlight w:val="none"/>
          <w:lang w:val="en-US" w:eastAsia="zh-CN"/>
        </w:rPr>
        <w:t>}*0.88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11.8683</w:t>
      </w:r>
      <w:r>
        <w:rPr>
          <w:rFonts w:hint="eastAsia" w:ascii="宋体" w:hAnsi="宋体" w:eastAsia="宋体" w:cs="宋体"/>
          <w:color w:val="auto"/>
          <w:sz w:val="21"/>
          <w:szCs w:val="21"/>
          <w:highlight w:val="none"/>
        </w:rPr>
        <w:t>万元，本项目复杂系数不计。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rPr>
        <w:t>＝（1）项目建设管理服务费+（2）招标代理费+（3）造价咨询服务费+（4）工程监理费=</w:t>
      </w:r>
      <w:r>
        <w:rPr>
          <w:rFonts w:hint="eastAsia" w:ascii="宋体" w:hAnsi="宋体" w:cs="宋体"/>
          <w:color w:val="auto"/>
          <w:sz w:val="21"/>
          <w:szCs w:val="21"/>
          <w:highlight w:val="none"/>
          <w:lang w:val="en-US" w:eastAsia="zh-CN"/>
        </w:rPr>
        <w:t>8.0325+2.5676+5.5172+11.8683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27.9856</w:t>
      </w:r>
      <w:r>
        <w:rPr>
          <w:rFonts w:hint="eastAsia" w:ascii="宋体" w:hAnsi="宋体" w:eastAsia="宋体" w:cs="宋体"/>
          <w:color w:val="auto"/>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FF0000"/>
          <w:sz w:val="21"/>
          <w:szCs w:val="21"/>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19"/>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第三部分 </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须知</w:t>
      </w:r>
      <w:bookmarkEnd w:id="7"/>
      <w:bookmarkEnd w:id="8"/>
    </w:p>
    <w:p>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前附表</w:t>
      </w:r>
    </w:p>
    <w:tbl>
      <w:tblPr>
        <w:tblStyle w:val="27"/>
        <w:tblW w:w="95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8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162" w:firstLineChars="15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江北区2022年度城镇老旧小区改造工程（丽庄西苑（一期、二期）、费市家苑）全过程工程咨询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7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w:t>
            </w:r>
            <w:r>
              <w:rPr>
                <w:rFonts w:hint="eastAsia" w:ascii="宋体" w:hAnsi="宋体" w:eastAsia="宋体" w:cs="宋体"/>
                <w:color w:val="auto"/>
                <w:sz w:val="21"/>
                <w:szCs w:val="21"/>
                <w:highlight w:val="none"/>
                <w:lang w:eastAsia="zh-CN"/>
              </w:rPr>
              <w:t>宁波市江北区人民政府庄桥街道办事处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793" w:type="dxa"/>
            <w:tcBorders>
              <w:top w:val="single" w:color="auto" w:sz="4" w:space="0"/>
              <w:left w:val="single" w:color="auto" w:sz="4" w:space="0"/>
              <w:bottom w:val="single" w:color="auto" w:sz="4" w:space="0"/>
              <w:right w:val="single" w:color="auto" w:sz="4" w:space="0"/>
            </w:tcBorders>
            <w:vAlign w:val="center"/>
          </w:tcPr>
          <w:p>
            <w:pPr>
              <w:pStyle w:val="4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投标报价及费用：</w:t>
            </w:r>
          </w:p>
          <w:p>
            <w:pPr>
              <w:pStyle w:val="4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1、本投标报价采用人民币报价，包括但不限于人员费用、监理设备费用、食宿费、交通费、通讯费、管理费、保险、税金、利润等为完成项目建设、竣工验收、设施移交及最终审计的所有费用。</w:t>
            </w:r>
          </w:p>
          <w:p>
            <w:pPr>
              <w:pStyle w:val="4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2、不论投标结果如何，</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均应自行承担所有与投标有关的全部费用。</w:t>
            </w:r>
          </w:p>
          <w:p>
            <w:pPr>
              <w:pStyle w:val="4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3、最高限价：详见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 xml:space="preserve"> 公开招标采购公告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41"/>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4、投标报价超过最高限价的作无效标处理。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现场踏勘：</w:t>
            </w:r>
            <w:r>
              <w:rPr>
                <w:rFonts w:hint="eastAsia" w:ascii="宋体" w:hAnsi="宋体" w:eastAsia="宋体" w:cs="宋体"/>
                <w:color w:val="auto"/>
                <w:sz w:val="21"/>
                <w:szCs w:val="21"/>
                <w:highlight w:val="none"/>
                <w:lang w:val="en-US" w:eastAsia="zh-CN"/>
              </w:rPr>
              <w:t>本项目不统一组织现场勘察，</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可自行对本项目现场和周围环境进行勘察。勘察现场所发生的费用由</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自己承担。不论何种原因所造成，在勘察过程中，</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答疑和澄清：</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如对招标文件存在疑问或认为招标文件表述不清晰、存在歧视性、排他性或者其他违法内容的可事先电话进行咨询核实，并将书面文件在</w:t>
            </w:r>
            <w:r>
              <w:rPr>
                <w:rFonts w:hint="eastAsia" w:ascii="宋体" w:hAnsi="宋体" w:eastAsia="宋体" w:cs="宋体"/>
                <w:bCs/>
                <w:color w:val="auto"/>
                <w:sz w:val="21"/>
                <w:szCs w:val="21"/>
                <w:highlight w:val="none"/>
              </w:rPr>
              <w:t>提交投标文件截止时间七日</w:t>
            </w:r>
            <w:r>
              <w:rPr>
                <w:rFonts w:hint="eastAsia" w:ascii="宋体" w:hAnsi="宋体" w:eastAsia="宋体" w:cs="宋体"/>
                <w:color w:val="auto"/>
                <w:sz w:val="21"/>
                <w:szCs w:val="21"/>
                <w:highlight w:val="none"/>
              </w:rPr>
              <w:t>之前以书面形式要求采购单位澄清。采购代理机构将视情做统一答复，如规定时间内未收到任何疑问，则视为各投标方均对此无异议。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2"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▲投标文件份数：</w:t>
            </w:r>
          </w:p>
          <w:p>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本项目实行网上投标，</w:t>
            </w:r>
            <w:r>
              <w:rPr>
                <w:rFonts w:hint="eastAsia" w:ascii="宋体" w:hAnsi="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 xml:space="preserve">应准备以下投标文件： </w:t>
            </w:r>
          </w:p>
          <w:p>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▲1、上传到政府采购云平台的电子投标文件（含</w:t>
            </w:r>
            <w:r>
              <w:rPr>
                <w:rFonts w:hint="eastAsia" w:ascii="宋体" w:hAnsi="宋体" w:eastAsia="宋体" w:cs="宋体"/>
                <w:b/>
                <w:bCs/>
                <w:color w:val="auto"/>
                <w:sz w:val="21"/>
                <w:szCs w:val="21"/>
                <w:highlight w:val="none"/>
                <w:lang w:eastAsia="zh-CN"/>
              </w:rPr>
              <w:t>资格文件、</w:t>
            </w:r>
            <w:r>
              <w:rPr>
                <w:rFonts w:hint="eastAsia" w:ascii="宋体" w:hAnsi="宋体" w:eastAsia="宋体" w:cs="宋体"/>
                <w:b/>
                <w:bCs/>
                <w:color w:val="auto"/>
                <w:sz w:val="21"/>
                <w:szCs w:val="21"/>
                <w:highlight w:val="none"/>
              </w:rPr>
              <w:t xml:space="preserve">技术商务文件、报价文件）1 份。 </w:t>
            </w:r>
          </w:p>
          <w:p>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2、以 U 盘或光盘形式存储的电子备份投标文件（含</w:t>
            </w:r>
            <w:r>
              <w:rPr>
                <w:rFonts w:hint="eastAsia" w:ascii="宋体" w:hAnsi="宋体" w:eastAsia="宋体" w:cs="宋体"/>
                <w:b/>
                <w:bCs/>
                <w:color w:val="auto"/>
                <w:sz w:val="21"/>
                <w:szCs w:val="21"/>
                <w:highlight w:val="none"/>
                <w:lang w:eastAsia="zh-CN"/>
              </w:rPr>
              <w:t>资格文件、</w:t>
            </w:r>
            <w:r>
              <w:rPr>
                <w:rFonts w:hint="eastAsia" w:ascii="宋体" w:hAnsi="宋体" w:eastAsia="宋体" w:cs="宋体"/>
                <w:b/>
                <w:bCs/>
                <w:color w:val="auto"/>
                <w:sz w:val="21"/>
                <w:szCs w:val="21"/>
                <w:highlight w:val="none"/>
              </w:rPr>
              <w:t xml:space="preserve">技术商务文件、报价文件）1 份。 </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注：电子备份投标文件不作实质性要求，是否提交由</w:t>
            </w:r>
            <w:r>
              <w:rPr>
                <w:rFonts w:hint="eastAsia" w:ascii="宋体" w:hAnsi="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自行决定。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投标截止时间及地点：详见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 xml:space="preserve"> 公开招标采购公告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 xml:space="preserve"> 公开招标采购公告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评标办法及评分标准：详见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第四部分</w:t>
            </w:r>
            <w:r>
              <w:rPr>
                <w:rFonts w:hint="eastAsia" w:ascii="宋体" w:hAnsi="宋体" w:eastAsia="宋体" w:cs="宋体"/>
                <w:color w:val="auto"/>
                <w:sz w:val="21"/>
                <w:szCs w:val="21"/>
                <w:highlight w:val="none"/>
                <w:lang w:val="en-US" w:eastAsia="zh-CN"/>
              </w:rPr>
              <w:t xml:space="preserve"> 评标办法及评分标准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评标结果公告：评标结果公告于“浙江政府采购网”、“宁波政府采购网”、“宁波市公共资源交易网（江北区分网）”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签订合同时间：中标通知书发放后30日内。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7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iCs/>
                <w:color w:val="auto"/>
                <w:spacing w:val="-4"/>
                <w:sz w:val="21"/>
                <w:szCs w:val="21"/>
                <w:highlight w:val="none"/>
              </w:rPr>
            </w:pPr>
            <w:r>
              <w:rPr>
                <w:rFonts w:hint="eastAsia" w:ascii="宋体" w:hAnsi="宋体" w:eastAsia="宋体" w:cs="宋体"/>
                <w:color w:val="auto"/>
                <w:sz w:val="21"/>
                <w:szCs w:val="21"/>
                <w:highlight w:val="none"/>
              </w:rPr>
              <w:t>履约</w:t>
            </w:r>
            <w:r>
              <w:rPr>
                <w:rFonts w:hint="eastAsia" w:ascii="宋体" w:hAnsi="宋体" w:cs="宋体"/>
                <w:color w:val="auto"/>
                <w:sz w:val="21"/>
                <w:szCs w:val="21"/>
                <w:highlight w:val="none"/>
                <w:lang w:eastAsia="zh-CN"/>
              </w:rPr>
              <w:t>担保金额</w:t>
            </w:r>
            <w:r>
              <w:rPr>
                <w:rFonts w:hint="eastAsia" w:ascii="宋体" w:hAnsi="宋体" w:eastAsia="宋体" w:cs="宋体"/>
                <w:color w:val="auto"/>
                <w:sz w:val="21"/>
                <w:szCs w:val="21"/>
                <w:highlight w:val="none"/>
              </w:rPr>
              <w:t>：</w:t>
            </w:r>
            <w:r>
              <w:rPr>
                <w:rFonts w:hint="eastAsia" w:ascii="宋体" w:hAnsi="宋体" w:eastAsia="宋体" w:cs="宋体"/>
                <w:iCs/>
                <w:color w:val="auto"/>
                <w:spacing w:val="-4"/>
                <w:sz w:val="21"/>
                <w:szCs w:val="21"/>
                <w:highlight w:val="none"/>
                <w:lang w:val="en-US" w:eastAsia="zh-CN"/>
              </w:rPr>
              <w:t>合同金额的5%</w:t>
            </w:r>
            <w:r>
              <w:rPr>
                <w:rFonts w:hint="eastAsia" w:ascii="宋体" w:hAnsi="宋体" w:eastAsia="宋体" w:cs="宋体"/>
                <w:iCs/>
                <w:color w:val="auto"/>
                <w:spacing w:val="-4"/>
                <w:sz w:val="21"/>
                <w:szCs w:val="21"/>
                <w:highlight w:val="none"/>
              </w:rPr>
              <w:t>。</w:t>
            </w:r>
          </w:p>
          <w:p>
            <w:pPr>
              <w:spacing w:line="360" w:lineRule="auto"/>
              <w:rPr>
                <w:rFonts w:hint="eastAsia" w:ascii="宋体" w:hAnsi="宋体" w:eastAsia="宋体" w:cs="宋体"/>
                <w:iCs/>
                <w:color w:val="auto"/>
                <w:spacing w:val="-4"/>
                <w:sz w:val="21"/>
                <w:szCs w:val="21"/>
                <w:highlight w:val="none"/>
                <w:lang w:eastAsia="zh-CN"/>
              </w:rPr>
            </w:pPr>
            <w:r>
              <w:rPr>
                <w:rFonts w:hint="eastAsia" w:ascii="宋体" w:hAnsi="宋体" w:eastAsia="宋体" w:cs="宋体"/>
                <w:iCs/>
                <w:color w:val="auto"/>
                <w:spacing w:val="-4"/>
                <w:sz w:val="21"/>
                <w:szCs w:val="21"/>
                <w:highlight w:val="none"/>
              </w:rPr>
              <w:t>履约担保形式</w:t>
            </w:r>
            <w:r>
              <w:rPr>
                <w:rFonts w:hint="eastAsia" w:ascii="宋体" w:hAnsi="宋体" w:cs="宋体"/>
                <w:iCs/>
                <w:color w:val="auto"/>
                <w:spacing w:val="-4"/>
                <w:sz w:val="21"/>
                <w:szCs w:val="21"/>
                <w:highlight w:val="none"/>
                <w:lang w:eastAsia="zh-CN"/>
              </w:rPr>
              <w:t>：</w:t>
            </w:r>
            <w:r>
              <w:rPr>
                <w:rFonts w:hint="eastAsia" w:ascii="宋体" w:hAnsi="宋体" w:eastAsia="宋体" w:cs="宋体"/>
                <w:iCs/>
                <w:color w:val="auto"/>
                <w:spacing w:val="-4"/>
                <w:sz w:val="21"/>
                <w:szCs w:val="21"/>
                <w:highlight w:val="none"/>
              </w:rPr>
              <w:t>保证金或银行保函或保险保单</w:t>
            </w:r>
            <w:r>
              <w:rPr>
                <w:rFonts w:hint="eastAsia" w:ascii="宋体" w:hAnsi="宋体" w:cs="宋体"/>
                <w:iCs/>
                <w:color w:val="auto"/>
                <w:spacing w:val="-4"/>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iCs/>
                <w:color w:val="auto"/>
                <w:spacing w:val="-4"/>
                <w:sz w:val="21"/>
                <w:szCs w:val="21"/>
                <w:highlight w:val="none"/>
              </w:rPr>
              <w:t>如</w:t>
            </w:r>
            <w:r>
              <w:rPr>
                <w:rFonts w:hint="eastAsia" w:ascii="宋体" w:hAnsi="宋体" w:eastAsia="宋体" w:cs="宋体"/>
                <w:iCs/>
                <w:color w:val="auto"/>
                <w:spacing w:val="-4"/>
                <w:sz w:val="21"/>
                <w:szCs w:val="21"/>
                <w:highlight w:val="none"/>
                <w:lang w:val="en-US" w:eastAsia="zh-CN"/>
              </w:rPr>
              <w:t>中标人</w:t>
            </w:r>
            <w:r>
              <w:rPr>
                <w:rFonts w:hint="eastAsia" w:ascii="宋体" w:hAnsi="宋体" w:eastAsia="宋体" w:cs="宋体"/>
                <w:iCs/>
                <w:color w:val="auto"/>
                <w:spacing w:val="-4"/>
                <w:sz w:val="21"/>
                <w:szCs w:val="21"/>
                <w:highlight w:val="none"/>
              </w:rPr>
              <w:t>按约履行的，合同期满后十个工作日内，</w:t>
            </w:r>
            <w:r>
              <w:rPr>
                <w:rFonts w:hint="eastAsia" w:ascii="宋体" w:hAnsi="宋体" w:eastAsia="宋体" w:cs="宋体"/>
                <w:iCs/>
                <w:color w:val="auto"/>
                <w:spacing w:val="-4"/>
                <w:sz w:val="21"/>
                <w:szCs w:val="21"/>
                <w:highlight w:val="none"/>
                <w:lang w:val="en-US" w:eastAsia="zh-CN"/>
              </w:rPr>
              <w:t>采购人</w:t>
            </w:r>
            <w:r>
              <w:rPr>
                <w:rFonts w:hint="eastAsia" w:ascii="宋体" w:hAnsi="宋体" w:eastAsia="宋体" w:cs="宋体"/>
                <w:iCs/>
                <w:color w:val="auto"/>
                <w:spacing w:val="-4"/>
                <w:sz w:val="21"/>
                <w:szCs w:val="21"/>
                <w:highlight w:val="none"/>
              </w:rPr>
              <w:t>全额无息返还。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付款方式</w:t>
            </w:r>
            <w:r>
              <w:rPr>
                <w:rFonts w:hint="eastAsia" w:ascii="宋体" w:hAnsi="宋体" w:eastAsia="宋体" w:cs="宋体"/>
                <w:color w:val="auto"/>
                <w:kern w:val="0"/>
                <w:sz w:val="21"/>
                <w:szCs w:val="21"/>
                <w:highlight w:val="none"/>
                <w:lang w:eastAsia="zh-CN"/>
              </w:rPr>
              <w:t>：详见“第二部分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7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服务期限：</w:t>
            </w:r>
            <w:r>
              <w:rPr>
                <w:rFonts w:hint="eastAsia" w:ascii="宋体" w:hAnsi="宋体" w:eastAsia="宋体" w:cs="宋体"/>
                <w:color w:val="auto"/>
                <w:sz w:val="21"/>
                <w:szCs w:val="21"/>
                <w:highlight w:val="none"/>
              </w:rPr>
              <w:t>自签订合同之日起，至工程竣工验收通过、缺陷责任期满，且全部资料归档。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投标有效期：投标截止日起90个日历天。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793" w:type="dxa"/>
            <w:tcBorders>
              <w:top w:val="single" w:color="auto" w:sz="4" w:space="0"/>
              <w:left w:val="single" w:color="auto" w:sz="4" w:space="0"/>
              <w:bottom w:val="single" w:color="auto" w:sz="4" w:space="0"/>
              <w:right w:val="single" w:color="auto" w:sz="4" w:space="0"/>
            </w:tcBorders>
            <w:vAlign w:val="center"/>
          </w:tcPr>
          <w:p>
            <w:pPr>
              <w:numPr>
                <w:ilvl w:val="0"/>
                <w:numId w:val="4"/>
              </w:numPr>
              <w:bidi w:val="0"/>
              <w:spacing w:line="360" w:lineRule="auto"/>
              <w:ind w:left="0" w:right="0" w:firstLine="0"/>
              <w:jc w:val="both"/>
              <w:rPr>
                <w:rFonts w:hint="eastAsia" w:ascii="宋体" w:hAnsi="宋体" w:eastAsia="宋体" w:cs="宋体"/>
                <w:color w:val="auto"/>
                <w:sz w:val="21"/>
                <w:szCs w:val="21"/>
                <w:highlight w:val="none"/>
                <w:rtl w:val="0"/>
                <w:lang w:val="zh-TW" w:eastAsia="zh-TW"/>
              </w:rPr>
            </w:pPr>
            <w:r>
              <w:rPr>
                <w:rFonts w:hint="eastAsia" w:ascii="宋体" w:hAnsi="宋体" w:eastAsia="宋体" w:cs="宋体"/>
                <w:color w:val="auto"/>
                <w:sz w:val="21"/>
                <w:szCs w:val="21"/>
                <w:highlight w:val="none"/>
                <w:rtl w:val="0"/>
                <w:lang w:val="zh-TW" w:eastAsia="zh-TW"/>
              </w:rPr>
              <w:t>招标代理机构按照宁波市中介</w:t>
            </w:r>
            <w:r>
              <w:rPr>
                <w:rFonts w:hint="eastAsia" w:ascii="宋体" w:hAnsi="宋体" w:eastAsia="宋体" w:cs="宋体"/>
                <w:color w:val="auto"/>
                <w:sz w:val="21"/>
                <w:szCs w:val="21"/>
                <w:highlight w:val="none"/>
                <w:u w:color="0000FF"/>
                <w:rtl w:val="0"/>
                <w:lang w:val="zh-TW" w:eastAsia="zh-TW"/>
              </w:rPr>
              <w:t>超市</w:t>
            </w:r>
            <w:r>
              <w:rPr>
                <w:rFonts w:hint="eastAsia" w:ascii="宋体" w:hAnsi="宋体" w:eastAsia="宋体" w:cs="宋体"/>
                <w:color w:val="auto"/>
                <w:sz w:val="21"/>
                <w:szCs w:val="21"/>
                <w:highlight w:val="none"/>
                <w:u w:color="0000FF"/>
                <w:rtl w:val="0"/>
                <w:lang w:val="en-US" w:eastAsia="zh-CN"/>
              </w:rPr>
              <w:t>中选金额6230元</w:t>
            </w:r>
            <w:r>
              <w:rPr>
                <w:rFonts w:hint="eastAsia" w:ascii="宋体" w:hAnsi="宋体" w:eastAsia="宋体" w:cs="宋体"/>
                <w:color w:val="auto"/>
                <w:sz w:val="21"/>
                <w:szCs w:val="21"/>
                <w:highlight w:val="none"/>
                <w:u w:color="0000FF"/>
                <w:rtl w:val="0"/>
                <w:lang w:val="zh-TW" w:eastAsia="zh-TW"/>
              </w:rPr>
              <w:t>向中标人收取</w:t>
            </w:r>
            <w:r>
              <w:rPr>
                <w:rFonts w:hint="eastAsia" w:ascii="宋体" w:hAnsi="宋体" w:eastAsia="宋体" w:cs="宋体"/>
                <w:color w:val="auto"/>
                <w:sz w:val="21"/>
                <w:szCs w:val="21"/>
                <w:highlight w:val="none"/>
                <w:u w:color="0000FF"/>
                <w:rtl w:val="0"/>
                <w:lang w:val="en-US" w:eastAsia="zh-CN"/>
              </w:rPr>
              <w:t>代理服务费。</w:t>
            </w:r>
            <w:r>
              <w:rPr>
                <w:rFonts w:hint="eastAsia" w:ascii="宋体" w:hAnsi="宋体" w:cs="宋体"/>
                <w:color w:val="auto"/>
                <w:sz w:val="21"/>
                <w:szCs w:val="21"/>
                <w:highlight w:val="none"/>
                <w:u w:color="0000FF"/>
                <w:rtl w:val="0"/>
                <w:lang w:val="en-US" w:eastAsia="zh-CN"/>
              </w:rPr>
              <w:t>标项一成交单位支付代理费4672.5</w:t>
            </w:r>
            <w:r>
              <w:rPr>
                <w:rFonts w:hint="eastAsia" w:ascii="宋体" w:hAnsi="宋体" w:eastAsia="宋体" w:cs="宋体"/>
                <w:color w:val="auto"/>
                <w:sz w:val="21"/>
                <w:szCs w:val="21"/>
                <w:highlight w:val="none"/>
                <w:u w:color="0000FF"/>
                <w:rtl w:val="0"/>
                <w:lang w:val="en-US" w:eastAsia="zh-CN"/>
              </w:rPr>
              <w:t>元</w:t>
            </w:r>
            <w:r>
              <w:rPr>
                <w:rFonts w:hint="eastAsia" w:ascii="宋体" w:hAnsi="宋体" w:cs="宋体"/>
                <w:color w:val="auto"/>
                <w:sz w:val="21"/>
                <w:szCs w:val="21"/>
                <w:highlight w:val="none"/>
                <w:u w:color="0000FF"/>
                <w:rtl w:val="0"/>
                <w:lang w:val="en-US" w:eastAsia="zh-CN"/>
              </w:rPr>
              <w:t>，标项二成交单位支付代理费1557.5</w:t>
            </w:r>
            <w:r>
              <w:rPr>
                <w:rFonts w:hint="eastAsia" w:ascii="宋体" w:hAnsi="宋体" w:eastAsia="宋体" w:cs="宋体"/>
                <w:color w:val="auto"/>
                <w:sz w:val="21"/>
                <w:szCs w:val="21"/>
                <w:highlight w:val="none"/>
                <w:u w:color="0000FF"/>
                <w:rtl w:val="0"/>
                <w:lang w:val="en-US" w:eastAsia="zh-CN"/>
              </w:rPr>
              <w:t>元</w:t>
            </w:r>
            <w:r>
              <w:rPr>
                <w:rFonts w:hint="eastAsia" w:ascii="宋体" w:hAnsi="宋体" w:cs="宋体"/>
                <w:color w:val="auto"/>
                <w:sz w:val="21"/>
                <w:szCs w:val="21"/>
                <w:highlight w:val="none"/>
                <w:u w:color="0000FF"/>
                <w:rtl w:val="0"/>
                <w:lang w:val="en-US" w:eastAsia="zh-CN"/>
              </w:rPr>
              <w:t>。</w:t>
            </w:r>
          </w:p>
          <w:p>
            <w:pPr>
              <w:autoSpaceDE w:val="0"/>
              <w:autoSpaceDN w:val="0"/>
              <w:adjustRightInd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en-US" w:eastAsia="zh-CN"/>
              </w:rPr>
              <w:t>2、中标人应在</w:t>
            </w:r>
            <w:r>
              <w:rPr>
                <w:rFonts w:hint="eastAsia" w:ascii="宋体" w:hAnsi="宋体" w:cs="宋体"/>
                <w:color w:val="auto"/>
                <w:sz w:val="21"/>
                <w:szCs w:val="21"/>
                <w:highlight w:val="none"/>
                <w:rtl w:val="0"/>
                <w:lang w:val="en-US" w:eastAsia="zh-CN"/>
              </w:rPr>
              <w:t>招标代理机构</w:t>
            </w:r>
            <w:r>
              <w:rPr>
                <w:rFonts w:hint="eastAsia" w:ascii="宋体" w:hAnsi="宋体" w:eastAsia="宋体" w:cs="宋体"/>
                <w:color w:val="auto"/>
                <w:sz w:val="21"/>
                <w:szCs w:val="21"/>
                <w:highlight w:val="none"/>
                <w:rtl w:val="0"/>
                <w:lang w:val="en-US" w:eastAsia="zh-CN"/>
              </w:rPr>
              <w:t>发出确定中标通知书前向</w:t>
            </w:r>
            <w:r>
              <w:rPr>
                <w:rFonts w:hint="eastAsia" w:ascii="宋体" w:hAnsi="宋体" w:cs="宋体"/>
                <w:color w:val="auto"/>
                <w:sz w:val="21"/>
                <w:szCs w:val="21"/>
                <w:highlight w:val="none"/>
                <w:rtl w:val="0"/>
                <w:lang w:val="en-US" w:eastAsia="zh-CN"/>
              </w:rPr>
              <w:t>招标代理机构</w:t>
            </w:r>
            <w:r>
              <w:rPr>
                <w:rFonts w:hint="eastAsia" w:ascii="宋体" w:hAnsi="宋体" w:eastAsia="宋体" w:cs="宋体"/>
                <w:color w:val="auto"/>
                <w:sz w:val="21"/>
                <w:szCs w:val="21"/>
                <w:highlight w:val="none"/>
                <w:rtl w:val="0"/>
                <w:lang w:val="en-US" w:eastAsia="zh-CN"/>
              </w:rPr>
              <w:t>支付代理服务费。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解释：本招标文件的解释权属于采购人和采购代理机构。</w:t>
            </w:r>
          </w:p>
        </w:tc>
      </w:tr>
    </w:tbl>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br w:type="page"/>
      </w:r>
    </w:p>
    <w:p>
      <w:pPr>
        <w:pStyle w:val="12"/>
        <w:snapToGrid w:val="0"/>
        <w:spacing w:line="360" w:lineRule="auto"/>
        <w:ind w:firstLine="398" w:firstLineChars="196"/>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  则</w:t>
      </w:r>
    </w:p>
    <w:p>
      <w:pPr>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本招标文件适用于本项目的招标、投标、评标、定标、验收、合同履约、付款等行为（法律、法规另有规定的，从其规定）。</w:t>
      </w:r>
    </w:p>
    <w:p>
      <w:pPr>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1、招标采购单位系指组织本次招标的代理机构和采购单位。</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”系指向招标方提交投标文件的单位或个人。</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3、“产品”系指供方按招标文件规定，须向采购人提供的一切设备、保险、税金、备品备件、工具、手册及其它有关技术资料和材料。</w:t>
      </w:r>
    </w:p>
    <w:p>
      <w:pPr>
        <w:snapToGrid w:val="0"/>
        <w:spacing w:line="360" w:lineRule="auto"/>
        <w:ind w:firstLine="459" w:firstLineChars="21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4、“服务”系指招标文件规定</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须承担的本项目招标文件要求的一切服务内容。</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5、“项目”系指</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按招标文件规定向采购人提供的产品和服务。</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6、“书面形式”包括信函、传真、电报等。</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pPr>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（三）招标方式</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本次招标采用公开招标方式进行。</w:t>
      </w:r>
    </w:p>
    <w:p>
      <w:pPr>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（四）投标委托</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1、投标文件的签署人应当为</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的法定代表人或其授权的代表。投标文件的签署人为</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的法定代表人时，投标文件中必须提供法定代表人身份证正反面复印件；投标文件的签署人非</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的法定代表人时，投标文件中必须提供</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的法定代表人出具的授权委托书及法定代表人授权代表的身份证正反面复印件。</w:t>
      </w:r>
    </w:p>
    <w:p>
      <w:pPr>
        <w:pStyle w:val="12"/>
        <w:snapToGrid w:val="0"/>
        <w:spacing w:line="360" w:lineRule="auto"/>
        <w:ind w:firstLine="420" w:firstLineChars="20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银行、保险、石油石化、电力、电信、移动、联通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pStyle w:val="12"/>
        <w:snapToGrid w:val="0"/>
        <w:spacing w:line="360" w:lineRule="auto"/>
        <w:ind w:firstLine="420" w:firstLineChars="20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（五）投标费用</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均应自行承担所有与投标有关的全部费用。</w:t>
      </w:r>
    </w:p>
    <w:p>
      <w:pPr>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（六）联合体投标</w:t>
      </w:r>
    </w:p>
    <w:p>
      <w:pPr>
        <w:snapToGrid w:val="0"/>
        <w:spacing w:line="360" w:lineRule="auto"/>
        <w:ind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本项目接受联合体投标。</w:t>
      </w:r>
    </w:p>
    <w:p>
      <w:pPr>
        <w:snapToGrid w:val="0"/>
        <w:spacing w:line="360" w:lineRule="auto"/>
        <w:ind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（七）</w:t>
      </w:r>
      <w:r>
        <w:rPr>
          <w:rFonts w:hint="eastAsia" w:ascii="宋体" w:hAnsi="宋体" w:eastAsia="宋体" w:cs="宋体"/>
          <w:b/>
          <w:color w:val="auto"/>
          <w:kern w:val="0"/>
          <w:sz w:val="21"/>
          <w:szCs w:val="21"/>
          <w:highlight w:val="none"/>
        </w:rPr>
        <w:t>转包与分包</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1、本项目不允许转包。</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2、本项目不允许分包。</w:t>
      </w:r>
    </w:p>
    <w:p>
      <w:pPr>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（八）特别说明：</w:t>
      </w:r>
    </w:p>
    <w:p>
      <w:pPr>
        <w:pStyle w:val="14"/>
        <w:snapToGrid w:val="0"/>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▲1、采用最低评标价法的采购项目，提供相同品牌产品的不同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参加同一合同项下投标的，以其中通过资格审查、符合性审查且报价最低的参加评标；报价相同的，由采购人或者采购人委托评标委员会按照招标文件规定的方式确定一个参加评标的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，招标文件未规定的采取随机抽取方式确定，其他投标无效。</w:t>
      </w:r>
    </w:p>
    <w:p>
      <w:pPr>
        <w:pStyle w:val="14"/>
        <w:snapToGrid w:val="0"/>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使用综合评分法的采购项目，提供相同品牌产品且通过资格审查、符合性审查的不同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4"/>
        <w:snapToGrid w:val="0"/>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非单一产品采购项目，多家投标人提供的核心产品品牌相同的，按前款处理。</w:t>
      </w:r>
    </w:p>
    <w:p>
      <w:pPr>
        <w:pStyle w:val="14"/>
        <w:snapToGrid w:val="0"/>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▲2.投标人投标所使用的资格、信誉、荣誉、业绩与企业认证必须为本法人所拥有。</w:t>
      </w:r>
    </w:p>
    <w:p>
      <w:pPr>
        <w:pStyle w:val="14"/>
        <w:snapToGrid w:val="0"/>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▲3.投标人应仔细阅读招标文件的所有内容，按照招标文件的要求提交投标文件，并对所提供的全部资料的真实性承担法律责任。</w:t>
      </w:r>
    </w:p>
    <w:p>
      <w:pPr>
        <w:pStyle w:val="14"/>
        <w:snapToGrid w:val="0"/>
        <w:spacing w:before="0" w:beforeLines="0" w:after="0" w:afterLines="0" w:line="360" w:lineRule="auto"/>
        <w:ind w:left="2" w:leftChars="1"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▲4.投标人在投标活动中提供任何虚假材料,其投标无效，并报监管部门查处；</w:t>
      </w:r>
      <w:r>
        <w:rPr>
          <w:rFonts w:hint="eastAsia" w:ascii="宋体" w:hAnsi="宋体" w:eastAsia="宋体" w:cs="宋体"/>
          <w:b/>
          <w:bCs/>
          <w:color w:val="auto"/>
          <w:sz w:val="21"/>
          <w:szCs w:val="21"/>
          <w:highlight w:val="none"/>
        </w:rPr>
        <w:t xml:space="preserve"> </w:t>
      </w:r>
    </w:p>
    <w:p>
      <w:pPr>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（九）质疑和投诉</w:t>
      </w:r>
    </w:p>
    <w:p>
      <w:pPr>
        <w:pStyle w:val="14"/>
        <w:snapToGrid w:val="0"/>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认为采购文件、采购过程、中标或者成交结果使自己的权益受到损害的，可以在知道或者应知其权益受到损害之日起7个工作日内，以书面形式向采购人、采购代理机构提出质疑。</w:t>
      </w:r>
    </w:p>
    <w:p>
      <w:pPr>
        <w:pStyle w:val="14"/>
        <w:snapToGrid w:val="0"/>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应在法定质疑期内一次性提出针对同一采购程序环节的质疑。</w:t>
      </w:r>
    </w:p>
    <w:p>
      <w:pPr>
        <w:pStyle w:val="14"/>
        <w:snapToGrid w:val="0"/>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3、提出质疑的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应当是参与所质疑项目采购活动的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w:t>
      </w:r>
    </w:p>
    <w:p>
      <w:pPr>
        <w:pStyle w:val="14"/>
        <w:snapToGrid w:val="0"/>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已依法获取其可质疑的采购文件的，可以对该文件提出质疑。对采购文件提出质疑的，应当在获取采购文件或者采购文件公告期限届满之日起7个工作日内提出。</w:t>
      </w:r>
    </w:p>
    <w:p>
      <w:pPr>
        <w:pStyle w:val="14"/>
        <w:snapToGrid w:val="0"/>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为自然人的，应当由本人签字；</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为法人或者其他组织的，应当由法定代表人、主要负责人，或者其授权代表签字或者盖章，并加盖公章。</w:t>
      </w:r>
    </w:p>
    <w:p>
      <w:pPr>
        <w:pStyle w:val="14"/>
        <w:snapToGrid w:val="0"/>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6、文件具体要求详见中华人民共和国财政部令第94号--政府采购质疑和投诉办法</w:t>
      </w:r>
      <w:r>
        <w:rPr>
          <w:rFonts w:hint="eastAsia" w:ascii="宋体" w:hAnsi="宋体" w:eastAsia="宋体" w:cs="宋体"/>
          <w:bCs/>
          <w:color w:val="auto"/>
          <w:sz w:val="21"/>
          <w:szCs w:val="21"/>
          <w:highlight w:val="none"/>
        </w:rPr>
        <w:t>。</w:t>
      </w:r>
    </w:p>
    <w:p>
      <w:pPr>
        <w:pStyle w:val="12"/>
        <w:snapToGrid w:val="0"/>
        <w:spacing w:line="360" w:lineRule="auto"/>
        <w:ind w:firstLine="398" w:firstLineChars="196"/>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二、招标文件</w:t>
      </w:r>
    </w:p>
    <w:p>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（一）招标文件的构成。本招标文件由以下部份组成：</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需求</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4、评标办法及标准</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5、合同主要条款</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7、本项目招标文件的澄清、答复、修改、补充的内容</w:t>
      </w:r>
    </w:p>
    <w:p>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（二）投标人的风险</w:t>
      </w:r>
    </w:p>
    <w:p>
      <w:pPr>
        <w:pStyle w:val="20"/>
        <w:spacing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投标人没有按照招标文件要求提供全部资料，或者投标人没有对招标文件在各方面作出实质性响应是投标人的风险，并可能导致其投标被拒绝。</w:t>
      </w:r>
    </w:p>
    <w:p>
      <w:pPr>
        <w:pStyle w:val="7"/>
        <w:widowControl w:val="0"/>
        <w:numPr>
          <w:ilvl w:val="0"/>
          <w:numId w:val="0"/>
        </w:numPr>
        <w:tabs>
          <w:tab w:val="left" w:pos="454"/>
          <w:tab w:val="left" w:pos="720"/>
        </w:tabs>
        <w:snapToGrid w:val="0"/>
        <w:spacing w:after="0" w:afterLines="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（三）招标文件的澄清与修改 </w:t>
      </w:r>
    </w:p>
    <w:p>
      <w:pPr>
        <w:pStyle w:val="20"/>
        <w:spacing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20"/>
        <w:spacing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0"/>
        <w:spacing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20"/>
        <w:spacing w:line="360" w:lineRule="auto"/>
        <w:ind w:firstLine="442"/>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三、投标文件的编制</w:t>
      </w:r>
    </w:p>
    <w:p>
      <w:pPr>
        <w:pStyle w:val="20"/>
        <w:spacing w:line="360" w:lineRule="auto"/>
        <w:ind w:firstLine="44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（一）投标文件的形式和效力 </w:t>
      </w:r>
    </w:p>
    <w:p>
      <w:pPr>
        <w:pStyle w:val="20"/>
        <w:spacing w:line="360" w:lineRule="auto"/>
        <w:ind w:firstLine="44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1、投标文件分为电子投标文件以及备份投标文件，备份投标文件为电子备份投标文件。 </w:t>
      </w:r>
    </w:p>
    <w:p>
      <w:pPr>
        <w:pStyle w:val="20"/>
        <w:spacing w:line="360" w:lineRule="auto"/>
        <w:ind w:firstLine="44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2、电子投标文件按“政府采购项目电子交易管理操作指南-</w:t>
      </w:r>
      <w:r>
        <w:rPr>
          <w:rFonts w:hint="eastAsia" w:asci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 xml:space="preserve">”及本招标文件要求制作加密并递交。 </w:t>
      </w:r>
    </w:p>
    <w:p>
      <w:pPr>
        <w:pStyle w:val="20"/>
        <w:spacing w:line="360" w:lineRule="auto"/>
        <w:ind w:firstLine="44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3、电子备份投标文件须按“政府采购项目电子交易管理操作指南-</w:t>
      </w:r>
      <w:r>
        <w:rPr>
          <w:rFonts w:hint="eastAsia" w:asci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”制作（电子备份投标文件后缀格式为“.bfbs”）。</w:t>
      </w:r>
      <w:r>
        <w:rPr>
          <w:rFonts w:hint="eastAsia" w:ascii="宋体" w:hAnsi="宋体" w:eastAsia="宋体" w:cs="宋体"/>
          <w:color w:val="auto"/>
          <w:sz w:val="21"/>
          <w:szCs w:val="21"/>
          <w:highlight w:val="none"/>
        </w:rPr>
        <w:t xml:space="preserve"> </w:t>
      </w:r>
    </w:p>
    <w:p>
      <w:pPr>
        <w:pStyle w:val="20"/>
        <w:spacing w:line="360" w:lineRule="auto"/>
        <w:ind w:firstLine="44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投标文件的效力：投标文件的启用，按先后顺位分别为电子投标文件、电子备份投标文件。在下一顺位的投标文件启用时，前一顺位的投标文件自动失效。电子投标文件未能按时解密，投标人提供了电子备份投标文件以电子备份投标文件作为评标依据。电子投标文件已按时解密的，电子备份投标文件自动失效。</w:t>
      </w:r>
    </w:p>
    <w:p>
      <w:pPr>
        <w:snapToGrid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（二）投标文件的组成</w:t>
      </w:r>
    </w:p>
    <w:p>
      <w:pPr>
        <w:snapToGrid w:val="0"/>
        <w:spacing w:line="360" w:lineRule="auto"/>
        <w:ind w:firstLine="422"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bidi="ar"/>
        </w:rPr>
        <w:t>投标文件由</w:t>
      </w:r>
      <w:r>
        <w:rPr>
          <w:rFonts w:hint="eastAsia" w:ascii="宋体" w:hAnsi="宋体" w:eastAsia="宋体" w:cs="宋体"/>
          <w:b/>
          <w:bCs/>
          <w:color w:val="auto"/>
          <w:sz w:val="21"/>
          <w:szCs w:val="21"/>
          <w:highlight w:val="none"/>
        </w:rPr>
        <w:t>含</w:t>
      </w:r>
      <w:r>
        <w:rPr>
          <w:rFonts w:hint="eastAsia" w:ascii="宋体" w:hAnsi="宋体" w:eastAsia="宋体" w:cs="宋体"/>
          <w:b/>
          <w:bCs/>
          <w:color w:val="auto"/>
          <w:sz w:val="21"/>
          <w:szCs w:val="21"/>
          <w:highlight w:val="none"/>
          <w:lang w:eastAsia="zh-CN"/>
        </w:rPr>
        <w:t>资格文件、</w:t>
      </w:r>
      <w:r>
        <w:rPr>
          <w:rFonts w:hint="eastAsia" w:ascii="宋体" w:hAnsi="宋体" w:eastAsia="宋体" w:cs="宋体"/>
          <w:b/>
          <w:bCs/>
          <w:color w:val="auto"/>
          <w:sz w:val="21"/>
          <w:szCs w:val="21"/>
          <w:highlight w:val="none"/>
        </w:rPr>
        <w:t>技术商务文件、报价</w:t>
      </w:r>
      <w:r>
        <w:rPr>
          <w:rFonts w:hint="eastAsia" w:ascii="宋体" w:hAnsi="宋体" w:eastAsia="宋体" w:cs="宋体"/>
          <w:b/>
          <w:bCs/>
          <w:color w:val="auto"/>
          <w:kern w:val="0"/>
          <w:sz w:val="21"/>
          <w:szCs w:val="21"/>
          <w:highlight w:val="none"/>
          <w:lang w:eastAsia="zh-CN" w:bidi="ar"/>
        </w:rPr>
        <w:t>文件</w:t>
      </w:r>
      <w:r>
        <w:rPr>
          <w:rFonts w:hint="eastAsia" w:ascii="宋体" w:hAnsi="宋体" w:cs="宋体"/>
          <w:b/>
          <w:bCs/>
          <w:color w:val="auto"/>
          <w:kern w:val="0"/>
          <w:sz w:val="21"/>
          <w:szCs w:val="21"/>
          <w:highlight w:val="none"/>
          <w:lang w:val="en-US" w:eastAsia="zh-CN" w:bidi="ar"/>
        </w:rPr>
        <w:t>三部分</w:t>
      </w:r>
      <w:r>
        <w:rPr>
          <w:rFonts w:hint="eastAsia" w:ascii="宋体" w:hAnsi="宋体" w:eastAsia="宋体" w:cs="宋体"/>
          <w:b/>
          <w:bCs/>
          <w:color w:val="auto"/>
          <w:kern w:val="0"/>
          <w:sz w:val="21"/>
          <w:szCs w:val="21"/>
          <w:highlight w:val="none"/>
          <w:lang w:eastAsia="zh-CN" w:bidi="ar"/>
        </w:rPr>
        <w:t>组成</w:t>
      </w:r>
      <w:r>
        <w:rPr>
          <w:rFonts w:hint="eastAsia" w:ascii="宋体" w:hAnsi="宋体" w:eastAsia="宋体" w:cs="宋体"/>
          <w:b/>
          <w:bCs/>
          <w:color w:val="auto"/>
          <w:kern w:val="0"/>
          <w:sz w:val="21"/>
          <w:szCs w:val="21"/>
          <w:highlight w:val="none"/>
          <w:lang w:bidi="ar"/>
        </w:rPr>
        <w:t>，投标人应分别编制，电子投标文件中所须加盖公章部分均采用CA签章。</w:t>
      </w:r>
      <w:r>
        <w:rPr>
          <w:rFonts w:hint="eastAsia" w:ascii="宋体" w:hAnsi="宋体" w:cs="宋体"/>
          <w:b/>
          <w:bCs/>
          <w:color w:val="auto"/>
          <w:kern w:val="0"/>
          <w:sz w:val="21"/>
          <w:szCs w:val="21"/>
          <w:highlight w:val="none"/>
          <w:u w:val="double"/>
          <w:lang w:val="en-US" w:eastAsia="zh-CN" w:bidi="ar"/>
        </w:rPr>
        <w:t>其中资格文件和技术商务文件标项一和标项二统一编制，报价文件标项一和标项二单独分开编制。</w:t>
      </w:r>
    </w:p>
    <w:p>
      <w:pPr>
        <w:keepNext w:val="0"/>
        <w:keepLines w:val="0"/>
        <w:pageBreakBefore w:val="0"/>
        <w:widowControl w:val="0"/>
        <w:kinsoku/>
        <w:wordWrap/>
        <w:overflowPunct/>
        <w:topLinePunct w:val="0"/>
        <w:autoSpaceDE/>
        <w:autoSpaceDN/>
        <w:bidi w:val="0"/>
        <w:snapToGrid w:val="0"/>
        <w:spacing w:line="360" w:lineRule="auto"/>
        <w:ind w:firstLine="422" w:firstLineChars="200"/>
        <w:jc w:val="lef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1、报价文件</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标项一和标项二单独分开编制</w:t>
      </w:r>
      <w:r>
        <w:rPr>
          <w:rFonts w:hint="eastAsia" w:ascii="宋体" w:hAnsi="宋体" w:cs="宋体"/>
          <w:b/>
          <w:color w:val="auto"/>
          <w:sz w:val="21"/>
          <w:szCs w:val="21"/>
          <w:highlight w:val="none"/>
          <w:lang w:eastAsia="zh-CN"/>
        </w:rPr>
        <w:t>）</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（1）投标函（格式见第六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 xml:space="preserve"> 投标文件格式）；</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（2）开标一览表（格式见第六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 xml:space="preserve"> 投标文件格式）；</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（3）投标分项报价表（格式见第六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 xml:space="preserve"> 投标文件格式）；</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（4）中小企业声明函（格式见第六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 xml:space="preserve"> 投标文件格式）；</w:t>
      </w:r>
    </w:p>
    <w:p>
      <w:pPr>
        <w:keepNext w:val="0"/>
        <w:keepLines w:val="0"/>
        <w:pageBreakBefore w:val="0"/>
        <w:widowControl w:val="0"/>
        <w:tabs>
          <w:tab w:val="left" w:pos="518"/>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（5）残疾人福利性单位声明函（如为）（格式见第六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 xml:space="preserve"> 投标文件格式）；</w:t>
      </w:r>
    </w:p>
    <w:p>
      <w:pPr>
        <w:widowControl/>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注：本项目为非专门面向中小企业采购的项目，如果</w:t>
      </w:r>
      <w:r>
        <w:rPr>
          <w:rFonts w:hint="eastAsia" w:ascii="宋体" w:hAnsi="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和制造商为中小企业，应同时提供</w:t>
      </w:r>
      <w:r>
        <w:rPr>
          <w:rFonts w:hint="eastAsia" w:ascii="宋体" w:hAnsi="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和制造商的中小企业声明函。如未按照要求提供，将不得享受评标标准中注明的针对小微企业的价格扣除优惠。</w:t>
      </w:r>
    </w:p>
    <w:p>
      <w:pPr>
        <w:snapToGrid w:val="0"/>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资格文件</w:t>
      </w:r>
      <w:r>
        <w:rPr>
          <w:rFonts w:hint="eastAsia" w:ascii="宋体" w:hAnsi="宋体" w:cs="宋体"/>
          <w:b/>
          <w:bCs/>
          <w:color w:val="auto"/>
          <w:sz w:val="21"/>
          <w:szCs w:val="21"/>
          <w:highlight w:val="none"/>
          <w:lang w:eastAsia="zh-CN"/>
        </w:rPr>
        <w:t>（</w:t>
      </w:r>
      <w:r>
        <w:rPr>
          <w:rFonts w:hint="eastAsia" w:ascii="宋体" w:hAnsi="宋体" w:cs="宋体"/>
          <w:b/>
          <w:bCs/>
          <w:color w:val="auto"/>
          <w:highlight w:val="none"/>
          <w:lang w:eastAsia="zh-CN"/>
        </w:rPr>
        <w:t>不需要分</w:t>
      </w:r>
      <w:r>
        <w:rPr>
          <w:rFonts w:hint="eastAsia" w:ascii="宋体" w:hAnsi="宋体" w:cs="宋体"/>
          <w:b/>
          <w:bCs/>
          <w:color w:val="auto"/>
          <w:highlight w:val="none"/>
          <w:lang w:val="en-US" w:eastAsia="zh-CN"/>
        </w:rPr>
        <w:t>标项</w:t>
      </w:r>
      <w:r>
        <w:rPr>
          <w:rFonts w:hint="eastAsia" w:ascii="宋体" w:hAnsi="宋体" w:cs="宋体"/>
          <w:b/>
          <w:bCs/>
          <w:color w:val="auto"/>
          <w:highlight w:val="none"/>
          <w:lang w:eastAsia="zh-CN"/>
        </w:rPr>
        <w:t>编制，统一编制</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营业执照复印件（联合体投标的，各方均需提供）、</w:t>
      </w:r>
      <w:r>
        <w:rPr>
          <w:rFonts w:hint="eastAsia" w:ascii="宋体" w:hAnsi="宋体" w:eastAsia="宋体" w:cs="宋体"/>
          <w:color w:val="000000"/>
          <w:sz w:val="21"/>
          <w:szCs w:val="21"/>
          <w:highlight w:val="none"/>
          <w:lang w:val="en-US" w:eastAsia="zh-CN"/>
        </w:rPr>
        <w:t>监理</w:t>
      </w:r>
      <w:r>
        <w:rPr>
          <w:rFonts w:hint="eastAsia" w:ascii="宋体" w:hAnsi="宋体" w:eastAsia="宋体" w:cs="宋体"/>
          <w:color w:val="000000"/>
          <w:sz w:val="21"/>
          <w:szCs w:val="21"/>
          <w:highlight w:val="none"/>
        </w:rPr>
        <w:t>资质证书复印件</w:t>
      </w:r>
      <w:r>
        <w:rPr>
          <w:rFonts w:hint="eastAsia" w:ascii="宋体" w:hAnsi="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联合体协议书（如有）（格式见</w:t>
      </w:r>
      <w:r>
        <w:rPr>
          <w:rFonts w:hint="eastAsia" w:ascii="宋体" w:hAnsi="宋体" w:eastAsia="宋体" w:cs="宋体"/>
          <w:color w:val="auto"/>
          <w:sz w:val="21"/>
          <w:szCs w:val="21"/>
          <w:highlight w:val="none"/>
        </w:rPr>
        <w:t>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000000"/>
          <w:sz w:val="21"/>
          <w:szCs w:val="21"/>
          <w:highlight w:val="none"/>
        </w:rPr>
        <w:t xml:space="preserve"> 投标文件格式）</w:t>
      </w:r>
      <w:r>
        <w:rPr>
          <w:rFonts w:hint="eastAsia" w:ascii="宋体" w:hAnsi="宋体" w:cs="宋体"/>
          <w:color w:val="00000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val="en-US" w:eastAsia="zh-CN"/>
        </w:rPr>
        <w:t>拟派项目负责人简历表、拟派</w:t>
      </w:r>
      <w:r>
        <w:rPr>
          <w:rFonts w:hint="eastAsia" w:ascii="宋体" w:hAnsi="宋体" w:eastAsia="宋体" w:cs="宋体"/>
          <w:b w:val="0"/>
          <w:bCs/>
          <w:color w:val="000000"/>
          <w:sz w:val="21"/>
          <w:szCs w:val="21"/>
          <w:highlight w:val="none"/>
        </w:rPr>
        <w:t>总监理工程师</w:t>
      </w:r>
      <w:r>
        <w:rPr>
          <w:rFonts w:hint="eastAsia" w:ascii="宋体" w:hAnsi="宋体" w:eastAsia="宋体" w:cs="宋体"/>
          <w:bCs/>
          <w:color w:val="000000"/>
          <w:sz w:val="21"/>
          <w:szCs w:val="21"/>
          <w:highlight w:val="none"/>
          <w:lang w:val="en-US" w:eastAsia="zh-CN"/>
        </w:rPr>
        <w:t>简历表</w:t>
      </w:r>
      <w:r>
        <w:rPr>
          <w:rFonts w:hint="eastAsia" w:ascii="宋体" w:hAnsi="宋体" w:eastAsia="宋体" w:cs="宋体"/>
          <w:color w:val="000000"/>
          <w:sz w:val="21"/>
          <w:szCs w:val="21"/>
          <w:highlight w:val="none"/>
        </w:rPr>
        <w:t>（格式见</w:t>
      </w:r>
      <w:r>
        <w:rPr>
          <w:rFonts w:hint="eastAsia" w:ascii="宋体" w:hAnsi="宋体" w:eastAsia="宋体" w:cs="宋体"/>
          <w:color w:val="auto"/>
          <w:sz w:val="21"/>
          <w:szCs w:val="21"/>
          <w:highlight w:val="none"/>
        </w:rPr>
        <w:t>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000000"/>
          <w:sz w:val="21"/>
          <w:szCs w:val="21"/>
          <w:highlight w:val="none"/>
        </w:rPr>
        <w:t xml:space="preserve"> 投标文件格式）；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法定代表人资格证明书（格式见</w:t>
      </w:r>
      <w:r>
        <w:rPr>
          <w:rFonts w:hint="eastAsia" w:ascii="宋体" w:hAnsi="宋体" w:eastAsia="宋体" w:cs="宋体"/>
          <w:color w:val="auto"/>
          <w:sz w:val="21"/>
          <w:szCs w:val="21"/>
          <w:highlight w:val="none"/>
        </w:rPr>
        <w:t>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000000"/>
          <w:sz w:val="21"/>
          <w:szCs w:val="21"/>
          <w:highlight w:val="none"/>
        </w:rPr>
        <w:t xml:space="preserve"> 投标文件格式）；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auto"/>
          <w:sz w:val="21"/>
          <w:szCs w:val="21"/>
          <w:highlight w:val="none"/>
        </w:rPr>
        <w:t>法定代表人授权书及投标人为其缴纳的社保证明复印件</w:t>
      </w:r>
      <w:r>
        <w:rPr>
          <w:rFonts w:hint="eastAsia" w:ascii="宋体" w:hAnsi="宋体" w:cs="宋体"/>
          <w:color w:val="auto"/>
          <w:sz w:val="21"/>
          <w:szCs w:val="21"/>
          <w:highlight w:val="none"/>
          <w:lang w:val="en-US" w:eastAsia="zh-CN"/>
        </w:rPr>
        <w:t>（社保指2021年10月、2021年11月、2021年12月连续三个月）</w:t>
      </w:r>
      <w:r>
        <w:rPr>
          <w:rFonts w:hint="eastAsia" w:ascii="宋体" w:hAnsi="宋体" w:eastAsia="宋体" w:cs="宋体"/>
          <w:color w:val="auto"/>
          <w:sz w:val="21"/>
          <w:szCs w:val="21"/>
          <w:highlight w:val="none"/>
        </w:rPr>
        <w:t>（格式见第六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000000"/>
          <w:sz w:val="21"/>
          <w:szCs w:val="21"/>
          <w:highlight w:val="none"/>
        </w:rPr>
        <w:t xml:space="preserve"> 投标文件格式）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投标人未被列入信用中国网站(www.creditchina.gov.cn)、中国政府采购网(www.ccgp.gov.cn)渠道信用记录失信被执行人、重大税收违法案件当事人名单、政府采购严重违法失信行为记录名单的证明材料（加盖公章）；（联合体投标的，各方均需提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投标人的</w:t>
      </w:r>
      <w:r>
        <w:rPr>
          <w:rFonts w:hint="eastAsia" w:ascii="宋体" w:hAnsi="宋体" w:eastAsia="宋体" w:cs="宋体"/>
          <w:color w:val="000000"/>
          <w:sz w:val="21"/>
          <w:szCs w:val="21"/>
          <w:highlight w:val="none"/>
        </w:rPr>
        <w:t>最新年度财务审计报告复印件加盖公章或投标人基本户开户银行出具的资信良好证明材料复印件加盖公章。（联合体投标的，各方均需提供）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投标人2021年任一月份缴纳税收的凭据证明材料复印件加盖公章，如无完税记录的提供</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所在地国税、地税部门出具的《依法纳税或依法免税证明》复印件加盖公章；（联合体投标的，各方均需提供）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rPr>
        <w:t>投标人2021年任一月份开具的缴纳社会保险的凭据证明材料复印件加盖公章，如无缴费记录的提供投标方所有地社保部门出具的《依法缴纳或免缴社保费证明》复印件加盖公章；（联合体投标的，各方均需提供）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近三年在政府采购活动中无重大违法记录的声明</w:t>
      </w:r>
      <w:r>
        <w:rPr>
          <w:rFonts w:hint="eastAsia" w:ascii="宋体" w:hAnsi="宋体" w:eastAsia="宋体" w:cs="宋体"/>
          <w:color w:val="000000"/>
          <w:sz w:val="21"/>
          <w:szCs w:val="21"/>
          <w:highlight w:val="none"/>
        </w:rPr>
        <w:t>（格式见第六章 投标文件格式）</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rPr>
        <w:t>（联合体投标的，各方均需提供）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000000"/>
          <w:sz w:val="21"/>
          <w:szCs w:val="21"/>
          <w:highlight w:val="none"/>
          <w:lang w:eastAsia="zh-CN"/>
        </w:rPr>
      </w:pPr>
      <w:r>
        <w:rPr>
          <w:rFonts w:hint="eastAsia" w:ascii="宋体" w:hAnsi="宋体" w:cs="宋体"/>
          <w:bCs/>
          <w:color w:val="000000"/>
          <w:sz w:val="21"/>
          <w:szCs w:val="21"/>
          <w:highlight w:val="none"/>
          <w:lang w:val="en-US" w:eastAsia="zh-CN"/>
        </w:rPr>
        <w:t>（11）</w:t>
      </w:r>
      <w:r>
        <w:rPr>
          <w:rFonts w:hint="eastAsia" w:ascii="宋体" w:hAnsi="宋体" w:eastAsia="宋体" w:cs="宋体"/>
          <w:bCs/>
          <w:color w:val="000000"/>
          <w:sz w:val="21"/>
          <w:szCs w:val="21"/>
          <w:highlight w:val="none"/>
        </w:rPr>
        <w:t>具备履行合同所需的设备和专业技术能力的声明</w:t>
      </w:r>
      <w:r>
        <w:rPr>
          <w:rFonts w:hint="eastAsia" w:ascii="宋体" w:hAnsi="宋体" w:eastAsia="宋体" w:cs="宋体"/>
          <w:color w:val="000000"/>
          <w:sz w:val="21"/>
          <w:szCs w:val="21"/>
          <w:highlight w:val="none"/>
        </w:rPr>
        <w:t>（格式见第六章 投标文件格式）</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rPr>
        <w:t>（联合体投标的，各方均需提供）</w:t>
      </w:r>
      <w:r>
        <w:rPr>
          <w:rFonts w:hint="eastAsia" w:ascii="宋体" w:hAnsi="宋体" w:cs="宋体"/>
          <w:color w:val="000000"/>
          <w:sz w:val="21"/>
          <w:szCs w:val="21"/>
          <w:highlight w:val="none"/>
          <w:lang w:eastAsia="zh-CN"/>
        </w:rPr>
        <w:t>；</w:t>
      </w:r>
    </w:p>
    <w:p>
      <w:pPr>
        <w:pStyle w:val="40"/>
        <w:spacing w:line="360" w:lineRule="auto"/>
        <w:rPr>
          <w:rFonts w:hint="eastAsia"/>
          <w:sz w:val="21"/>
          <w:szCs w:val="21"/>
          <w:highlight w:val="none"/>
          <w:lang w:eastAsia="zh-CN"/>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投标人基本情况表（格式见</w:t>
      </w:r>
      <w:r>
        <w:rPr>
          <w:rFonts w:hint="eastAsia" w:ascii="宋体" w:hAnsi="宋体" w:eastAsia="宋体" w:cs="宋体"/>
          <w:color w:val="auto"/>
          <w:sz w:val="21"/>
          <w:szCs w:val="21"/>
          <w:highlight w:val="none"/>
        </w:rPr>
        <w:t>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000000"/>
          <w:sz w:val="21"/>
          <w:szCs w:val="21"/>
          <w:highlight w:val="none"/>
        </w:rPr>
        <w:t xml:space="preserve"> 投标文件格式）；</w:t>
      </w:r>
    </w:p>
    <w:p>
      <w:pPr>
        <w:pStyle w:val="40"/>
        <w:spacing w:line="360" w:lineRule="auto"/>
        <w:rPr>
          <w:rFonts w:hint="eastAsia"/>
          <w:sz w:val="21"/>
          <w:szCs w:val="21"/>
          <w:highlight w:val="none"/>
          <w:lang w:eastAsia="zh-CN"/>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13</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投标人认为有必要提供的其他文件。</w:t>
      </w:r>
    </w:p>
    <w:p>
      <w:pPr>
        <w:snapToGrid w:val="0"/>
        <w:spacing w:line="360" w:lineRule="auto"/>
        <w:ind w:firstLine="422" w:firstLineChars="20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技术商务文件</w:t>
      </w:r>
      <w:r>
        <w:rPr>
          <w:rFonts w:hint="eastAsia" w:ascii="宋体" w:hAnsi="宋体" w:cs="宋体"/>
          <w:b/>
          <w:bCs/>
          <w:color w:val="auto"/>
          <w:sz w:val="21"/>
          <w:szCs w:val="21"/>
          <w:highlight w:val="none"/>
          <w:lang w:eastAsia="zh-CN"/>
        </w:rPr>
        <w:t>（</w:t>
      </w:r>
      <w:r>
        <w:rPr>
          <w:rFonts w:hint="eastAsia" w:ascii="宋体" w:hAnsi="宋体" w:cs="宋体"/>
          <w:b/>
          <w:bCs/>
          <w:color w:val="auto"/>
          <w:highlight w:val="none"/>
          <w:lang w:eastAsia="zh-CN"/>
        </w:rPr>
        <w:t>不需要分</w:t>
      </w:r>
      <w:r>
        <w:rPr>
          <w:rFonts w:hint="eastAsia" w:ascii="宋体" w:hAnsi="宋体" w:cs="宋体"/>
          <w:b/>
          <w:bCs/>
          <w:color w:val="auto"/>
          <w:highlight w:val="none"/>
          <w:lang w:val="en-US" w:eastAsia="zh-CN"/>
        </w:rPr>
        <w:t>标项</w:t>
      </w:r>
      <w:r>
        <w:rPr>
          <w:rFonts w:hint="eastAsia" w:ascii="宋体" w:hAnsi="宋体" w:cs="宋体"/>
          <w:b/>
          <w:bCs/>
          <w:color w:val="auto"/>
          <w:highlight w:val="none"/>
          <w:lang w:eastAsia="zh-CN"/>
        </w:rPr>
        <w:t>编制，统一编制</w:t>
      </w:r>
      <w:r>
        <w:rPr>
          <w:rFonts w:hint="eastAsia" w:ascii="宋体" w:hAnsi="宋体" w:cs="宋体"/>
          <w:b/>
          <w:bCs/>
          <w:color w:val="auto"/>
          <w:sz w:val="21"/>
          <w:szCs w:val="21"/>
          <w:highlight w:val="none"/>
          <w:lang w:eastAsia="zh-CN"/>
        </w:rPr>
        <w:t>）</w:t>
      </w:r>
    </w:p>
    <w:p>
      <w:pPr>
        <w:numPr>
          <w:ilvl w:val="0"/>
          <w:numId w:val="5"/>
        </w:num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业绩表（格式见</w:t>
      </w:r>
      <w:r>
        <w:rPr>
          <w:rFonts w:hint="eastAsia" w:ascii="宋体" w:hAnsi="宋体" w:eastAsia="宋体" w:cs="宋体"/>
          <w:color w:val="auto"/>
          <w:sz w:val="21"/>
          <w:szCs w:val="21"/>
          <w:highlight w:val="none"/>
        </w:rPr>
        <w:t>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000000"/>
          <w:sz w:val="21"/>
          <w:szCs w:val="21"/>
          <w:highlight w:val="none"/>
        </w:rPr>
        <w:t xml:space="preserve"> 投标文件格式）；</w:t>
      </w:r>
    </w:p>
    <w:p>
      <w:pPr>
        <w:pStyle w:val="40"/>
        <w:numPr>
          <w:ilvl w:val="0"/>
          <w:numId w:val="5"/>
        </w:numPr>
        <w:spacing w:line="360" w:lineRule="auto"/>
        <w:rPr>
          <w:rFonts w:hint="eastAsia" w:ascii="宋体" w:hAnsi="宋体" w:eastAsia="宋体" w:cs="宋体"/>
          <w:sz w:val="21"/>
          <w:szCs w:val="21"/>
          <w:highlight w:val="none"/>
          <w:lang w:eastAsia="zh-CN"/>
        </w:rPr>
      </w:pPr>
      <w:r>
        <w:rPr>
          <w:rFonts w:hint="eastAsia" w:ascii="宋体" w:hAnsi="宋体" w:eastAsia="宋体" w:cs="宋体"/>
          <w:b w:val="0"/>
          <w:bCs w:val="0"/>
          <w:color w:val="000000"/>
          <w:sz w:val="21"/>
          <w:szCs w:val="21"/>
          <w:highlight w:val="none"/>
        </w:rPr>
        <w:t>商务条款响应（偏离）表（格式见</w:t>
      </w:r>
      <w:r>
        <w:rPr>
          <w:rFonts w:hint="eastAsia" w:ascii="宋体" w:hAnsi="宋体" w:eastAsia="宋体" w:cs="宋体"/>
          <w:color w:val="auto"/>
          <w:sz w:val="21"/>
          <w:szCs w:val="21"/>
          <w:highlight w:val="none"/>
        </w:rPr>
        <w:t>第六</w:t>
      </w:r>
      <w:r>
        <w:rPr>
          <w:rFonts w:hint="eastAsia" w:ascii="宋体" w:hAnsi="宋体" w:eastAsia="宋体" w:cs="宋体"/>
          <w:color w:val="auto"/>
          <w:sz w:val="21"/>
          <w:szCs w:val="21"/>
          <w:highlight w:val="none"/>
          <w:lang w:eastAsia="zh-CN"/>
        </w:rPr>
        <w:t>部分</w:t>
      </w:r>
      <w:r>
        <w:rPr>
          <w:rFonts w:hint="eastAsia" w:ascii="宋体" w:hAnsi="宋体" w:eastAsia="宋体" w:cs="宋体"/>
          <w:b w:val="0"/>
          <w:bCs w:val="0"/>
          <w:color w:val="000000"/>
          <w:sz w:val="21"/>
          <w:szCs w:val="21"/>
          <w:highlight w:val="none"/>
        </w:rPr>
        <w:t xml:space="preserve"> 投标文件格式）</w:t>
      </w:r>
      <w:r>
        <w:rPr>
          <w:rFonts w:hint="eastAsia" w:ascii="宋体" w:hAnsi="宋体" w:eastAsia="宋体" w:cs="宋体"/>
          <w:b w:val="0"/>
          <w:bCs w:val="0"/>
          <w:color w:val="000000"/>
          <w:sz w:val="21"/>
          <w:szCs w:val="21"/>
          <w:highlight w:val="none"/>
          <w:lang w:eastAsia="zh-CN"/>
        </w:rPr>
        <w:t>；</w:t>
      </w:r>
    </w:p>
    <w:p>
      <w:pPr>
        <w:pStyle w:val="40"/>
        <w:numPr>
          <w:ilvl w:val="0"/>
          <w:numId w:val="5"/>
        </w:num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管理方案总体框架、思路（</w:t>
      </w:r>
      <w:r>
        <w:rPr>
          <w:rFonts w:hint="eastAsia" w:ascii="宋体" w:hAnsi="宋体" w:eastAsia="宋体" w:cs="宋体"/>
          <w:sz w:val="21"/>
          <w:szCs w:val="21"/>
          <w:highlight w:val="none"/>
          <w:lang w:val="en-US" w:eastAsia="zh-CN"/>
        </w:rPr>
        <w:t>格式自拟</w:t>
      </w:r>
      <w:r>
        <w:rPr>
          <w:rFonts w:hint="eastAsia" w:ascii="宋体" w:hAnsi="宋体" w:eastAsia="宋体" w:cs="宋体"/>
          <w:sz w:val="21"/>
          <w:szCs w:val="21"/>
          <w:highlight w:val="none"/>
          <w:lang w:eastAsia="zh-CN"/>
        </w:rPr>
        <w:t>）；</w:t>
      </w:r>
    </w:p>
    <w:p>
      <w:pPr>
        <w:pStyle w:val="40"/>
        <w:numPr>
          <w:ilvl w:val="0"/>
          <w:numId w:val="5"/>
        </w:numPr>
        <w:spacing w:line="360" w:lineRule="auto"/>
        <w:rPr>
          <w:rFonts w:hint="eastAsia" w:ascii="宋体" w:hAnsi="宋体" w:eastAsia="宋体" w:cs="宋体"/>
          <w:sz w:val="21"/>
          <w:szCs w:val="21"/>
          <w:highlight w:val="none"/>
          <w:lang w:eastAsia="zh-CN"/>
        </w:rPr>
      </w:pPr>
      <w:r>
        <w:rPr>
          <w:rFonts w:hint="eastAsia" w:ascii="宋体" w:hAnsi="宋体" w:eastAsia="宋体" w:cs="宋体"/>
          <w:b w:val="0"/>
          <w:bCs w:val="0"/>
          <w:color w:val="000000"/>
          <w:kern w:val="0"/>
          <w:sz w:val="21"/>
          <w:szCs w:val="21"/>
          <w:highlight w:val="none"/>
          <w:lang w:val="en-US" w:eastAsia="zh-CN"/>
        </w:rPr>
        <w:t>全过程工程咨询</w:t>
      </w:r>
      <w:r>
        <w:rPr>
          <w:rFonts w:hint="eastAsia" w:ascii="宋体" w:hAnsi="宋体" w:eastAsia="宋体" w:cs="宋体"/>
          <w:b w:val="0"/>
          <w:bCs w:val="0"/>
          <w:color w:val="000000"/>
          <w:kern w:val="0"/>
          <w:sz w:val="21"/>
          <w:szCs w:val="21"/>
          <w:highlight w:val="none"/>
          <w:lang w:eastAsia="zh-CN"/>
        </w:rPr>
        <w:t>方案</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格式自拟</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eastAsia="zh-CN" w:bidi="ar"/>
        </w:rPr>
        <w:t>；</w:t>
      </w:r>
    </w:p>
    <w:p>
      <w:pPr>
        <w:pStyle w:val="40"/>
        <w:numPr>
          <w:ilvl w:val="0"/>
          <w:numId w:val="5"/>
        </w:numPr>
        <w:spacing w:line="360" w:lineRule="auto"/>
        <w:rPr>
          <w:rFonts w:hint="eastAsia" w:ascii="宋体" w:hAnsi="宋体" w:eastAsia="宋体" w:cs="宋体"/>
          <w:sz w:val="21"/>
          <w:szCs w:val="21"/>
          <w:highlight w:val="none"/>
          <w:lang w:eastAsia="zh-CN"/>
        </w:rPr>
      </w:pPr>
      <w:r>
        <w:rPr>
          <w:rFonts w:hint="eastAsia" w:ascii="宋体" w:hAnsi="宋体" w:eastAsia="宋体" w:cs="宋体"/>
          <w:b w:val="0"/>
          <w:bCs w:val="0"/>
          <w:color w:val="000000"/>
          <w:kern w:val="0"/>
          <w:sz w:val="21"/>
          <w:szCs w:val="21"/>
          <w:highlight w:val="none"/>
          <w:lang w:eastAsia="zh-CN"/>
        </w:rPr>
        <w:t>项目内部管理措施</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格式自拟</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w:t>
      </w:r>
    </w:p>
    <w:p>
      <w:pPr>
        <w:pStyle w:val="40"/>
        <w:numPr>
          <w:ilvl w:val="0"/>
          <w:numId w:val="5"/>
        </w:numPr>
        <w:spacing w:line="360" w:lineRule="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rPr>
        <w:t>拟派本项目人员配置表（格式见</w:t>
      </w:r>
      <w:r>
        <w:rPr>
          <w:rFonts w:hint="eastAsia" w:ascii="宋体" w:hAnsi="宋体" w:eastAsia="宋体" w:cs="宋体"/>
          <w:color w:val="auto"/>
          <w:sz w:val="21"/>
          <w:szCs w:val="21"/>
          <w:highlight w:val="none"/>
        </w:rPr>
        <w:t>第六</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000000"/>
          <w:sz w:val="21"/>
          <w:szCs w:val="21"/>
          <w:highlight w:val="none"/>
        </w:rPr>
        <w:t xml:space="preserve"> 投标文件格式）；</w:t>
      </w:r>
    </w:p>
    <w:p>
      <w:pPr>
        <w:pStyle w:val="40"/>
        <w:numPr>
          <w:ilvl w:val="0"/>
          <w:numId w:val="5"/>
        </w:numPr>
        <w:spacing w:line="360" w:lineRule="auto"/>
        <w:rPr>
          <w:rFonts w:hint="eastAsia" w:ascii="宋体" w:hAnsi="宋体" w:eastAsia="宋体" w:cs="宋体"/>
          <w:sz w:val="21"/>
          <w:szCs w:val="21"/>
          <w:highlight w:val="none"/>
          <w:lang w:eastAsia="zh-CN"/>
        </w:rPr>
      </w:pPr>
      <w:r>
        <w:rPr>
          <w:rFonts w:hint="eastAsia" w:ascii="宋体" w:hAnsi="宋体" w:eastAsia="宋体" w:cs="宋体"/>
          <w:b w:val="0"/>
          <w:bCs w:val="0"/>
          <w:color w:val="000000"/>
          <w:kern w:val="0"/>
          <w:sz w:val="21"/>
          <w:szCs w:val="21"/>
          <w:highlight w:val="none"/>
          <w:lang w:eastAsia="zh-CN"/>
        </w:rPr>
        <w:t>重点难点分析及应对措施</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格式自拟</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kern w:val="0"/>
          <w:sz w:val="21"/>
          <w:szCs w:val="21"/>
          <w:highlight w:val="none"/>
          <w:lang w:eastAsia="zh-CN"/>
        </w:rPr>
        <w:t>；</w:t>
      </w:r>
    </w:p>
    <w:p>
      <w:pPr>
        <w:pStyle w:val="40"/>
        <w:numPr>
          <w:ilvl w:val="0"/>
          <w:numId w:val="5"/>
        </w:numPr>
        <w:spacing w:line="360" w:lineRule="auto"/>
        <w:rPr>
          <w:rFonts w:hint="eastAsia" w:ascii="宋体" w:hAnsi="宋体" w:eastAsia="宋体" w:cs="宋体"/>
          <w:sz w:val="21"/>
          <w:szCs w:val="21"/>
          <w:highlight w:val="none"/>
          <w:lang w:eastAsia="zh-CN"/>
        </w:rPr>
      </w:pPr>
      <w:r>
        <w:rPr>
          <w:rFonts w:hint="eastAsia" w:ascii="宋体" w:hAnsi="宋体" w:eastAsia="宋体" w:cs="宋体"/>
          <w:b w:val="0"/>
          <w:bCs w:val="0"/>
          <w:color w:val="000000"/>
          <w:kern w:val="0"/>
          <w:sz w:val="21"/>
          <w:szCs w:val="21"/>
          <w:highlight w:val="none"/>
          <w:lang w:eastAsia="zh-CN"/>
        </w:rPr>
        <w:t>服务</w:t>
      </w:r>
      <w:r>
        <w:rPr>
          <w:rFonts w:hint="eastAsia" w:ascii="宋体" w:hAnsi="宋体" w:eastAsia="宋体" w:cs="宋体"/>
          <w:b w:val="0"/>
          <w:bCs w:val="0"/>
          <w:color w:val="000000"/>
          <w:kern w:val="0"/>
          <w:sz w:val="21"/>
          <w:szCs w:val="21"/>
          <w:highlight w:val="none"/>
          <w:lang w:val="en-US" w:eastAsia="zh-CN"/>
        </w:rPr>
        <w:t>方案</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格式自拟</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w:t>
      </w:r>
    </w:p>
    <w:p>
      <w:pPr>
        <w:pStyle w:val="40"/>
        <w:numPr>
          <w:ilvl w:val="0"/>
          <w:numId w:val="5"/>
        </w:numPr>
        <w:spacing w:line="360" w:lineRule="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rPr>
        <w:t>第三章“评标办法及标准”中“商务和技术分”要求提供的资料。</w:t>
      </w:r>
    </w:p>
    <w:p>
      <w:pPr>
        <w:pStyle w:val="40"/>
        <w:numPr>
          <w:ilvl w:val="0"/>
          <w:numId w:val="5"/>
        </w:num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投标人认为有必要提供的其他文件。</w:t>
      </w:r>
    </w:p>
    <w:p>
      <w:pPr>
        <w:pStyle w:val="22"/>
        <w:widowControl w:val="0"/>
        <w:spacing w:before="0" w:after="0" w:afterLines="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注：技术商务文件中不能出现报价。</w:t>
      </w:r>
    </w:p>
    <w:p>
      <w:pPr>
        <w:snapToGrid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（二）投标文件的语言及计量</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（三）投标报价</w:t>
      </w:r>
    </w:p>
    <w:p>
      <w:pPr>
        <w:pStyle w:val="14"/>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1.投标报价应按招标文件中相关附表格式填写。</w:t>
      </w:r>
    </w:p>
    <w:p>
      <w:pPr>
        <w:pStyle w:val="14"/>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2.投标报价详见招标文第三</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rPr>
        <w:t>《投标人须知》前附表。</w:t>
      </w:r>
    </w:p>
    <w:p>
      <w:pPr>
        <w:tabs>
          <w:tab w:val="left" w:pos="525"/>
        </w:tabs>
        <w:snapToGrid w:val="0"/>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▲3.投标文件只允许有一个报价，有选择的或有条件的报价将不予接受。</w:t>
      </w:r>
    </w:p>
    <w:p>
      <w:pPr>
        <w:pStyle w:val="7"/>
        <w:widowControl w:val="0"/>
        <w:numPr>
          <w:ilvl w:val="0"/>
          <w:numId w:val="0"/>
        </w:numPr>
        <w:tabs>
          <w:tab w:val="left" w:pos="454"/>
          <w:tab w:val="left" w:pos="720"/>
        </w:tabs>
        <w:snapToGrid w:val="0"/>
        <w:spacing w:after="0" w:afterLines="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pPr>
        <w:pStyle w:val="7"/>
        <w:widowControl w:val="0"/>
        <w:numPr>
          <w:ilvl w:val="0"/>
          <w:numId w:val="0"/>
        </w:numPr>
        <w:tabs>
          <w:tab w:val="left" w:pos="454"/>
          <w:tab w:val="left" w:pos="720"/>
        </w:tabs>
        <w:snapToGrid w:val="0"/>
        <w:spacing w:after="0" w:afterLines="0"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▲1.自投标截止日起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天投标文件应保持有效。有效期不足的投标文件将被拒绝。</w:t>
      </w:r>
    </w:p>
    <w:p>
      <w:pPr>
        <w:pStyle w:val="7"/>
        <w:widowControl w:val="0"/>
        <w:numPr>
          <w:ilvl w:val="0"/>
          <w:numId w:val="0"/>
        </w:numPr>
        <w:tabs>
          <w:tab w:val="left" w:pos="454"/>
          <w:tab w:val="left" w:pos="720"/>
        </w:tabs>
        <w:snapToGrid w:val="0"/>
        <w:spacing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2.在特殊情况下，采购人可与投标人协商延长投标书的有效期，这种要求和答复均以书面形式进行。</w:t>
      </w:r>
    </w:p>
    <w:p>
      <w:pPr>
        <w:pStyle w:val="7"/>
        <w:widowControl w:val="0"/>
        <w:numPr>
          <w:ilvl w:val="0"/>
          <w:numId w:val="0"/>
        </w:numPr>
        <w:tabs>
          <w:tab w:val="left" w:pos="454"/>
          <w:tab w:val="left" w:pos="720"/>
        </w:tabs>
        <w:snapToGrid w:val="0"/>
        <w:spacing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3.投标人可拒绝接受延期要求而不会导致投标保证金被没收。同意延长有效期的投标人需要相应延长投标保证金的有效期，但不能修改投标文件。 </w:t>
      </w:r>
    </w:p>
    <w:p>
      <w:pPr>
        <w:pStyle w:val="7"/>
        <w:widowControl w:val="0"/>
        <w:numPr>
          <w:ilvl w:val="0"/>
          <w:numId w:val="0"/>
        </w:numPr>
        <w:tabs>
          <w:tab w:val="left" w:pos="454"/>
          <w:tab w:val="left" w:pos="720"/>
        </w:tabs>
        <w:snapToGrid w:val="0"/>
        <w:spacing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4.中标人的投标文件自开标之日起至合同履行完毕止均应保持有效。</w:t>
      </w:r>
    </w:p>
    <w:p>
      <w:pPr>
        <w:snapToGrid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（五）投标保证金：</w:t>
      </w:r>
      <w:r>
        <w:rPr>
          <w:rFonts w:hint="eastAsia" w:ascii="宋体" w:hAnsi="宋体" w:eastAsia="宋体" w:cs="宋体"/>
          <w:color w:val="auto"/>
          <w:sz w:val="21"/>
          <w:szCs w:val="21"/>
          <w:highlight w:val="none"/>
        </w:rPr>
        <w:t>本项目无投标保证金。</w:t>
      </w:r>
    </w:p>
    <w:p>
      <w:pPr>
        <w:snapToGrid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（六）投标文件的签署和份数</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2、电子投标文件部分：投标人应根据“政府采购项目电子交易管理操作指南-</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 xml:space="preserve">”及本招标文件规定的格式和顺序编制电子投标文件并进行关联定位；电子投标文件中须加盖投标人公章部分均采用CA签章，签字部分可用CA锁法人章（如有），未申请法人章的将签名部分签好后以扫描件形式上传至投标文件（具体操作请咨询政采云 400-881-7190）。 </w:t>
      </w:r>
    </w:p>
    <w:p>
      <w:pPr>
        <w:snapToGrid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①</w:t>
      </w:r>
      <w:r>
        <w:rPr>
          <w:rFonts w:hint="eastAsia" w:ascii="宋体" w:hAnsi="宋体" w:eastAsia="宋体" w:cs="宋体"/>
          <w:b/>
          <w:color w:val="auto"/>
          <w:sz w:val="21"/>
          <w:szCs w:val="21"/>
          <w:highlight w:val="none"/>
        </w:rPr>
        <w:t>投标文件中由委托代理人签字的，投标文件应附法定代表人签署的授权委托书。</w:t>
      </w:r>
      <w:r>
        <w:rPr>
          <w:rFonts w:hint="eastAsia" w:ascii="宋体" w:hAnsi="宋体" w:eastAsia="宋体" w:cs="宋体"/>
          <w:b/>
          <w:color w:val="auto"/>
          <w:sz w:val="21"/>
          <w:szCs w:val="21"/>
          <w:highlight w:val="none"/>
          <w:lang w:eastAsia="zh-CN"/>
        </w:rPr>
        <w:t>②</w:t>
      </w:r>
      <w:r>
        <w:rPr>
          <w:rFonts w:hint="eastAsia" w:ascii="宋体" w:hAnsi="宋体" w:eastAsia="宋体" w:cs="宋体"/>
          <w:b/>
          <w:color w:val="auto"/>
          <w:sz w:val="21"/>
          <w:szCs w:val="21"/>
          <w:highlight w:val="none"/>
        </w:rPr>
        <w:t>联合体投标的，投标文件除联合体协议书</w:t>
      </w:r>
      <w:r>
        <w:rPr>
          <w:rFonts w:hint="eastAsia" w:ascii="宋体" w:hAnsi="宋体" w:eastAsia="宋体" w:cs="宋体"/>
          <w:b/>
          <w:color w:val="auto"/>
          <w:sz w:val="21"/>
          <w:szCs w:val="21"/>
          <w:highlight w:val="none"/>
          <w:lang w:val="en-US" w:eastAsia="zh-CN"/>
        </w:rPr>
        <w:t>及采购文件要求</w:t>
      </w:r>
      <w:r>
        <w:rPr>
          <w:rFonts w:hint="eastAsia" w:ascii="宋体" w:hAnsi="宋体" w:eastAsia="宋体" w:cs="宋体"/>
          <w:b/>
          <w:color w:val="auto"/>
          <w:sz w:val="21"/>
          <w:szCs w:val="21"/>
          <w:highlight w:val="none"/>
        </w:rPr>
        <w:t>须联合体双方盖章外，其余</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文件要求投标人盖章处只需联合体的牵头人盖章。</w:t>
      </w:r>
    </w:p>
    <w:p>
      <w:pPr>
        <w:snapToGrid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3、电子备份投标文件部分：电子投标文件的备份文件，以U盘或光盘形式存储，并单独密封递交。电子备份投标文件不作实质性要求，是否提交由投标人自行决定。</w:t>
      </w:r>
    </w:p>
    <w:p>
      <w:pPr>
        <w:snapToGrid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（七）投标文件的包装、递交、修改和撤回</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1、电子投标文件：投标人应根据“政府采购项目电子交易管理操作指南-</w:t>
      </w:r>
      <w:r>
        <w:rPr>
          <w:rFonts w:hint="eastAsia" w:ascii="宋体" w:hAnsi="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 xml:space="preserve">”及本招标文件规定的格式和顺序编制电子投标文件并进行关联定位。 </w:t>
      </w:r>
    </w:p>
    <w:p>
      <w:pPr>
        <w:widowControl/>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 xml:space="preserve">2、电子备份投标文件：单独包封，外包装封面上应注明投标人名称、投标人地址、投标文件名称（电子备份投标文件）、投标项目名称、项目编号及“投标文件于投标截止时间前不得启封”字样，并加盖投标人公章。 </w:t>
      </w:r>
    </w:p>
    <w:p>
      <w:pPr>
        <w:widowControl/>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 xml:space="preserve">3、未按规定密封或标记的投标文件，采购人有权拒绝接受其投标。 </w:t>
      </w:r>
    </w:p>
    <w:p>
      <w:pPr>
        <w:widowControl/>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4、如果投标人未按上述要求密封或标记而造成投标文件被误投或提前拆封的风险由投标人承担。</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snapToGrid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（八）投标无效的情形</w:t>
      </w:r>
    </w:p>
    <w:p>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评审时如发现下列情形之一的，投标文件将被视为无效：</w:t>
      </w:r>
    </w:p>
    <w:p>
      <w:pPr>
        <w:pStyle w:val="12"/>
        <w:numPr>
          <w:ilvl w:val="0"/>
          <w:numId w:val="0"/>
        </w:numPr>
        <w:snapToGrid w:val="0"/>
        <w:spacing w:line="360" w:lineRule="auto"/>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电子加密投标文件未按招标文件要求加密、签字、盖章的；（电子加密投标文件中加盖投标人公章部分均须 CA签章）；</w:t>
      </w:r>
    </w:p>
    <w:p>
      <w:pPr>
        <w:pStyle w:val="12"/>
        <w:numPr>
          <w:ilvl w:val="0"/>
          <w:numId w:val="0"/>
        </w:numPr>
        <w:snapToGrid w:val="0"/>
        <w:spacing w:line="360" w:lineRule="auto"/>
        <w:ind w:left="39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不具备招标文件中规定资格要求的；</w:t>
      </w:r>
    </w:p>
    <w:p>
      <w:pPr>
        <w:pStyle w:val="12"/>
        <w:numPr>
          <w:ilvl w:val="0"/>
          <w:numId w:val="0"/>
        </w:numPr>
        <w:snapToGrid w:val="0"/>
        <w:spacing w:line="360" w:lineRule="auto"/>
        <w:ind w:left="39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投标文件载明的招标项目完成期限超过招标文件规定的期限；</w:t>
      </w:r>
    </w:p>
    <w:p>
      <w:pPr>
        <w:pStyle w:val="12"/>
        <w:numPr>
          <w:ilvl w:val="0"/>
          <w:numId w:val="0"/>
        </w:numPr>
        <w:snapToGrid w:val="0"/>
        <w:spacing w:line="360" w:lineRule="auto"/>
        <w:ind w:left="39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带“▲”的款项不能满足招标文件要求的；</w:t>
      </w:r>
    </w:p>
    <w:p>
      <w:pPr>
        <w:pStyle w:val="12"/>
        <w:numPr>
          <w:ilvl w:val="0"/>
          <w:numId w:val="0"/>
        </w:numPr>
        <w:snapToGrid w:val="0"/>
        <w:spacing w:line="360" w:lineRule="auto"/>
        <w:ind w:left="39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投标文件附有采购人不能接受的条件；</w:t>
      </w:r>
    </w:p>
    <w:p>
      <w:pPr>
        <w:pStyle w:val="12"/>
        <w:numPr>
          <w:ilvl w:val="0"/>
          <w:numId w:val="0"/>
        </w:numPr>
        <w:snapToGrid w:val="0"/>
        <w:spacing w:line="360" w:lineRule="auto"/>
        <w:ind w:left="39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经评标委员会评审技术方案不可行的；</w:t>
      </w:r>
    </w:p>
    <w:p>
      <w:pPr>
        <w:pStyle w:val="12"/>
        <w:numPr>
          <w:ilvl w:val="0"/>
          <w:numId w:val="0"/>
        </w:numPr>
        <w:snapToGrid w:val="0"/>
        <w:spacing w:line="360" w:lineRule="auto"/>
        <w:ind w:left="39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评委会一致认为报价明显不合理的；</w:t>
      </w:r>
    </w:p>
    <w:p>
      <w:pPr>
        <w:pStyle w:val="12"/>
        <w:numPr>
          <w:ilvl w:val="0"/>
          <w:numId w:val="0"/>
        </w:numPr>
        <w:snapToGrid w:val="0"/>
        <w:spacing w:line="360" w:lineRule="auto"/>
        <w:ind w:left="397"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不符合法律、法规和招标文件中规定的其他实质性要求的。</w:t>
      </w:r>
    </w:p>
    <w:p>
      <w:pPr>
        <w:pStyle w:val="12"/>
        <w:snapToGrid w:val="0"/>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评审时如发现下列情形之一的，视为投标人串通投标，其投标无效：</w:t>
      </w:r>
    </w:p>
    <w:p>
      <w:pPr>
        <w:pStyle w:val="12"/>
        <w:numPr>
          <w:ilvl w:val="0"/>
          <w:numId w:val="6"/>
        </w:numPr>
        <w:snapToGrid w:val="0"/>
        <w:spacing w:line="360" w:lineRule="auto"/>
        <w:ind w:left="0"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不同投标人的投标文件由同一单位或者个人编制； </w:t>
      </w:r>
    </w:p>
    <w:p>
      <w:pPr>
        <w:pStyle w:val="12"/>
        <w:numPr>
          <w:ilvl w:val="0"/>
          <w:numId w:val="6"/>
        </w:numPr>
        <w:snapToGrid w:val="0"/>
        <w:spacing w:line="360" w:lineRule="auto"/>
        <w:ind w:left="0"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不同投标人的投标文件出自同一终端设备或在相同Internet主机分配地址（相同IP地址）网上报名投标。</w:t>
      </w:r>
    </w:p>
    <w:p>
      <w:pPr>
        <w:pStyle w:val="12"/>
        <w:numPr>
          <w:ilvl w:val="0"/>
          <w:numId w:val="6"/>
        </w:numPr>
        <w:snapToGrid w:val="0"/>
        <w:spacing w:line="360" w:lineRule="auto"/>
        <w:ind w:left="0"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不同投标人委托同一单位或者个人办理投标事宜； </w:t>
      </w:r>
    </w:p>
    <w:p>
      <w:pPr>
        <w:pStyle w:val="12"/>
        <w:numPr>
          <w:ilvl w:val="0"/>
          <w:numId w:val="6"/>
        </w:numPr>
        <w:snapToGrid w:val="0"/>
        <w:spacing w:line="360" w:lineRule="auto"/>
        <w:ind w:left="0"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不同投标人的投标文件载明的项目管理成员或者联系人员为同一人； </w:t>
      </w:r>
    </w:p>
    <w:p>
      <w:pPr>
        <w:pStyle w:val="12"/>
        <w:snapToGrid w:val="0"/>
        <w:spacing w:line="360" w:lineRule="auto"/>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5、不同投标人的投标文件异常一致或者投标报价呈规律性差异；</w:t>
      </w:r>
    </w:p>
    <w:p>
      <w:pPr>
        <w:pStyle w:val="12"/>
        <w:snapToGrid w:val="0"/>
        <w:spacing w:line="360" w:lineRule="auto"/>
        <w:ind w:firstLine="398" w:firstLineChars="196"/>
        <w:outlineLvl w:val="1"/>
        <w:rPr>
          <w:rFonts w:hint="eastAsia" w:ascii="宋体" w:hAnsi="宋体" w:eastAsia="宋体" w:cs="宋体"/>
          <w:b/>
          <w:snapToGrid w:val="0"/>
          <w:color w:val="auto"/>
          <w:sz w:val="21"/>
          <w:szCs w:val="21"/>
          <w:highlight w:val="none"/>
        </w:rPr>
      </w:pPr>
      <w:r>
        <w:rPr>
          <w:rFonts w:hint="eastAsia" w:ascii="宋体" w:hAnsi="宋体" w:eastAsia="宋体" w:cs="宋体"/>
          <w:b/>
          <w:color w:val="auto"/>
          <w:sz w:val="21"/>
          <w:szCs w:val="21"/>
          <w:highlight w:val="none"/>
        </w:rPr>
        <w:t>四、开标</w:t>
      </w:r>
    </w:p>
    <w:p>
      <w:pPr>
        <w:pStyle w:val="14"/>
        <w:snapToGrid w:val="0"/>
        <w:spacing w:before="0" w:beforeLines="0" w:after="0" w:afterLines="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（一）开标准备</w:t>
      </w:r>
    </w:p>
    <w:p>
      <w:pPr>
        <w:pStyle w:val="14"/>
        <w:snapToGrid w:val="0"/>
        <w:spacing w:before="0" w:beforeLines="0" w:after="0" w:afterLines="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采购代理机构将在规定的时间和地点进行开标。疫情期间所有投标人在投标截止时间前可安排“甬行码”为绿色的相关人员（原则上不超过一名，须全程佩戴口罩）将电子备份投标文件送至投标地点。</w:t>
      </w:r>
    </w:p>
    <w:p>
      <w:pPr>
        <w:widowControl/>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bCs/>
          <w:color w:val="auto"/>
          <w:kern w:val="0"/>
          <w:sz w:val="21"/>
          <w:szCs w:val="21"/>
          <w:highlight w:val="none"/>
          <w:lang w:bidi="ar"/>
        </w:rPr>
        <w:t>电子投标开标及评审程序</w:t>
      </w:r>
      <w:r>
        <w:rPr>
          <w:rFonts w:hint="eastAsia" w:ascii="宋体" w:hAnsi="宋体" w:eastAsia="宋体" w:cs="宋体"/>
          <w:b/>
          <w:color w:val="auto"/>
          <w:sz w:val="21"/>
          <w:szCs w:val="21"/>
          <w:highlight w:val="none"/>
        </w:rPr>
        <w:t>：</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1、投标截止时间后，投标人登录政采云平台，用“项目采购-开标评标”功能对电子投标文件进行在线解密，在线解密电子投标文件时间为开标时间起</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钟内；投标人按时在线解密投标文件的，以在线解密的投标文件作为评审依据，若投标人在规定时间内无法解密或解密失败，则以电子备份投标文件作为评审依据（若电子备份投标文件与政采云平台上传的投标文件被识别为不一致，仍以电子备份投标文件作为评审依据）。无论是否启用电子备份投标文件，电子备份投标文件均不退还投标人。若投标人在规定时间内无法解密或解密失败且未提供电子备份投标文件或所提供的电子备份投标文件无法读取的，视为投标文件撤回。</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2、采购人或代理机构对投标人的资格进行审查；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3、评标委员会对商务技术响应文件进行评审；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4、在系统上公开资格和商务技术评审结果；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5、在系统上公开报价开标情况；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6、评标委员会对报价情况进行评审；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7、在系统上公布评审结果。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注：（1）开标过程需投标人确认的事宜，通过微信或电子邮箱发送邮件等方式进行，请投标人在开标期间做好相应的准备。（2）投标人代表对开标过程和开标记录有疑义，以及认为采购人、采购代理机构相关工作人员有需要回避的情形的，应当场提出询问或者回避申请。采购人、采购代理机构对投标人代表提出的询问或者回避申请应当及时处理。（3）政采云公司如对电子化开标及评审程序有调整的，按调整后的程序操作。 </w:t>
      </w:r>
    </w:p>
    <w:p>
      <w:pPr>
        <w:pStyle w:val="14"/>
        <w:snapToGrid w:val="0"/>
        <w:spacing w:before="0" w:beforeLines="0" w:after="0" w:afterLines="0" w:line="360" w:lineRule="auto"/>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（三）特别说明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政府采购云平台如对电子化开标及评审程序有调整的，按调整后的程序操作。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本项目原则上采用政采云电子投标开标及评审程序，但有下情形之一的，按以下情况处理：</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1、若投标人在规定时间内无法解密或解密失败，代理机构将开启上述投标人递交的电子备份投标文件，上传至政采云平台项目采购模块，以完成开标，电子投标文件自动失效。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2、采购过程中出现以下情形，导致电子交易平台无法正常运行，或者无法保证电子交易的公平、公正和安全时，采购人（或代理机构）可中止电子交易活动：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（1）电子交易平台发生故障而无法登录访问的；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（2）因政府采购云平台原因无法读取或电子开评标无法正常进行的；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（3）电子交易平台应用或数据库出现错误，不能进行正常操作的；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（4）电子交易平台发现严重安全漏洞，有潜在泄密危险；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（5）病毒发作导致不能进行正常操作的；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（6）其他无法保证电子交易的公平、公正和安全的情况。 </w:t>
      </w:r>
    </w:p>
    <w:p>
      <w:pPr>
        <w:pStyle w:val="14"/>
        <w:snapToGrid w:val="0"/>
        <w:spacing w:before="0" w:beforeLines="0" w:after="0" w:afterLines="0" w:line="360" w:lineRule="auto"/>
        <w:ind w:firstLine="420" w:firstLineChars="200"/>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出现前款规定情形，不影响采购公平、公正性的，采购人（或代理机构）可以待上述情形消除后继续组织电子交易活动。</w:t>
      </w:r>
    </w:p>
    <w:p>
      <w:pPr>
        <w:pStyle w:val="14"/>
        <w:snapToGrid w:val="0"/>
        <w:spacing w:before="0" w:beforeLines="0" w:after="0" w:afterLines="0" w:line="360" w:lineRule="auto"/>
        <w:ind w:left="772" w:leftChars="267" w:hanging="211" w:hangingChars="1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pPr>
        <w:pStyle w:val="14"/>
        <w:snapToGrid w:val="0"/>
        <w:spacing w:before="0" w:beforeLines="0" w:after="0" w:afterLines="0" w:line="360" w:lineRule="auto"/>
        <w:ind w:left="690" w:leftChars="228" w:hanging="211"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（一）组建评标委员会</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采购人依据《中华人民共和国政府采购法》、《政府采购货物和服务招标投标管理办法》等有关规定组建评标委员会。评标委员会由专家≥4人，采购人代表≤1组成，负责本项目的评标工作。</w:t>
      </w:r>
    </w:p>
    <w:p>
      <w:pPr>
        <w:pStyle w:val="14"/>
        <w:snapToGrid w:val="0"/>
        <w:spacing w:before="0" w:beforeLines="0" w:after="0" w:afterLines="0" w:line="360" w:lineRule="auto"/>
        <w:ind w:left="690" w:leftChars="228" w:hanging="211"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（二）评标的方式</w:t>
      </w:r>
    </w:p>
    <w:p>
      <w:pPr>
        <w:pStyle w:val="14"/>
        <w:snapToGrid w:val="0"/>
        <w:spacing w:before="0" w:beforeLines="0" w:after="0" w:afterLines="0" w:line="360" w:lineRule="auto"/>
        <w:ind w:left="689" w:leftChars="228"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本项目采用不公开方式评标，评标的依据为招标文件和投标文件。</w:t>
      </w:r>
    </w:p>
    <w:p>
      <w:pPr>
        <w:pStyle w:val="14"/>
        <w:snapToGrid w:val="0"/>
        <w:spacing w:before="0" w:beforeLines="0" w:after="0" w:afterLines="0" w:line="360" w:lineRule="auto"/>
        <w:ind w:left="0" w:leftChars="0" w:firstLine="211" w:firstLineChars="1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w:t>
      </w:r>
      <w:r>
        <w:rPr>
          <w:rFonts w:hint="eastAsia" w:ascii="宋体" w:hAnsi="宋体" w:eastAsia="宋体" w:cs="宋体"/>
          <w:b/>
          <w:bCs/>
          <w:color w:val="auto"/>
          <w:sz w:val="21"/>
          <w:szCs w:val="21"/>
          <w:highlight w:val="none"/>
        </w:rPr>
        <w:t>评标程序</w:t>
      </w:r>
    </w:p>
    <w:p>
      <w:pPr>
        <w:snapToGrid w:val="0"/>
        <w:spacing w:line="360" w:lineRule="auto"/>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pPr>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或者采购代理机构对投标人的资格进行审查。对投标人单位负责人是否为同一人或者是否存在直接控股、管理关系的，采购代理机构将使用天眼查、企查查等相关工具进行查询核实，如存在不符合采购文件要求的情形的，将否决其投标。</w:t>
      </w:r>
    </w:p>
    <w:p>
      <w:pPr>
        <w:pStyle w:val="89"/>
        <w:spacing w:line="360" w:lineRule="auto"/>
        <w:ind w:firstLine="44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评标委员会负责对采购代理机构提交的关联性审查进行复核。</w:t>
      </w:r>
    </w:p>
    <w:p>
      <w:pPr>
        <w:snapToGrid w:val="0"/>
        <w:spacing w:line="360" w:lineRule="auto"/>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符合性审查与比较</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（1）评标委员会审查投标文件的实质性内容是否符合招标文件的实质性要求。</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投标人拒绝澄清或者澄清的内容改变了投标文件的实质性内容的，评标委员会有权对该投标文件作出不利于投标人的评判。</w:t>
      </w:r>
    </w:p>
    <w:p>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对明显畸高、畸低的评分，评审小组组长应提醒相关评审人员进行复核或书面说明理由，评审人员拒绝说明的，由现场监督员据实记录；评审人员的评审、修改记录应保留原件，随项目其他资料一并存档。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（3）各投标方的技术商务得分为所有评委有效评分的算术平均数，由指定专人进行计算复核。</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（4）代理机构工作人员协助评标委员会根据本项目的评分标准计算各投标人的报价得分。</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（5）评标委员会完成评标后,评委对各部分得分汇总,计算出本项目最终得分。评标委员会按评标原则推荐中标候选人同时起草评标报告。</w:t>
      </w:r>
    </w:p>
    <w:p>
      <w:pPr>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b/>
          <w:color w:val="auto"/>
          <w:sz w:val="21"/>
          <w:szCs w:val="21"/>
          <w:highlight w:val="none"/>
        </w:rPr>
        <w:t>澄清问题的形式</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4"/>
        <w:snapToGrid w:val="0"/>
        <w:spacing w:before="0" w:beforeLines="0" w:after="0" w:afterLines="0" w:line="360" w:lineRule="auto"/>
        <w:ind w:left="689" w:leftChars="228" w:hanging="210" w:hanging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b/>
          <w:color w:val="auto"/>
          <w:sz w:val="21"/>
          <w:szCs w:val="21"/>
          <w:highlight w:val="none"/>
        </w:rPr>
        <w:t>错误修正</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投标文件如果出现计算或表达上的错误，修正错误的原则如下：</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1、投标文件中开标一览表（报价表）内容与投标文件中相应内容不一致，以开标一览表（报价表）为准；</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5、对不同文字文本投标文件的解释发生异议的，以中文文本为准。</w:t>
      </w:r>
    </w:p>
    <w:p>
      <w:pPr>
        <w:pStyle w:val="14"/>
        <w:snapToGrid w:val="0"/>
        <w:spacing w:before="0" w:beforeLines="0" w:after="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4"/>
        <w:tabs>
          <w:tab w:val="left" w:pos="630"/>
        </w:tabs>
        <w:snapToGrid w:val="0"/>
        <w:spacing w:before="0" w:beforeLines="0" w:after="0" w:afterLines="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（六）评标原则和评标办法</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2.评标办法。本项目评标办法是</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eastAsia="zh-CN"/>
        </w:rPr>
        <w:t>综合评分法</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，具体评标内容及评分标准等详见《第四</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评标办法及评分标准》。</w:t>
      </w:r>
    </w:p>
    <w:p>
      <w:pPr>
        <w:pStyle w:val="14"/>
        <w:snapToGrid w:val="0"/>
        <w:spacing w:before="0" w:beforeLines="0" w:after="0" w:afterLines="0" w:line="360" w:lineRule="auto"/>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本项目各</w:t>
      </w:r>
      <w:r>
        <w:rPr>
          <w:rFonts w:hint="eastAsia" w:ascii="宋体" w:hAnsi="宋体" w:eastAsia="宋体" w:cs="宋体"/>
          <w:b/>
          <w:bCs/>
          <w:color w:val="auto"/>
          <w:sz w:val="21"/>
          <w:szCs w:val="21"/>
          <w:highlight w:val="none"/>
          <w:lang w:val="en-US" w:eastAsia="zh-CN"/>
        </w:rPr>
        <w:t>标项</w:t>
      </w:r>
      <w:r>
        <w:rPr>
          <w:rFonts w:hint="eastAsia" w:ascii="宋体" w:hAnsi="宋体" w:eastAsia="宋体" w:cs="宋体"/>
          <w:b/>
          <w:bCs/>
          <w:color w:val="auto"/>
          <w:sz w:val="21"/>
          <w:szCs w:val="21"/>
          <w:highlight w:val="none"/>
          <w:lang w:eastAsia="zh-CN"/>
        </w:rPr>
        <w:t>的评审顺序按</w:t>
      </w:r>
      <w:r>
        <w:rPr>
          <w:rFonts w:hint="eastAsia" w:ascii="宋体" w:hAnsi="宋体" w:eastAsia="宋体" w:cs="宋体"/>
          <w:b/>
          <w:bCs/>
          <w:color w:val="auto"/>
          <w:sz w:val="21"/>
          <w:szCs w:val="21"/>
          <w:highlight w:val="none"/>
          <w:lang w:val="en-US" w:eastAsia="zh-CN"/>
        </w:rPr>
        <w:t>标项</w:t>
      </w:r>
      <w:r>
        <w:rPr>
          <w:rFonts w:hint="eastAsia" w:ascii="宋体" w:hAnsi="宋体" w:eastAsia="宋体" w:cs="宋体"/>
          <w:b/>
          <w:bCs/>
          <w:color w:val="auto"/>
          <w:sz w:val="21"/>
          <w:szCs w:val="21"/>
          <w:highlight w:val="none"/>
          <w:lang w:eastAsia="zh-CN"/>
        </w:rPr>
        <w:t>顺序进行（即先评审</w:t>
      </w:r>
      <w:r>
        <w:rPr>
          <w:rFonts w:hint="eastAsia" w:ascii="宋体" w:hAnsi="宋体" w:eastAsia="宋体" w:cs="宋体"/>
          <w:b/>
          <w:bCs/>
          <w:color w:val="auto"/>
          <w:sz w:val="21"/>
          <w:szCs w:val="21"/>
          <w:highlight w:val="none"/>
          <w:lang w:val="en-US" w:eastAsia="zh-CN"/>
        </w:rPr>
        <w:t>标项</w:t>
      </w:r>
      <w:r>
        <w:rPr>
          <w:rFonts w:hint="eastAsia" w:ascii="宋体" w:hAnsi="宋体" w:eastAsia="宋体" w:cs="宋体"/>
          <w:b/>
          <w:bCs/>
          <w:color w:val="auto"/>
          <w:sz w:val="21"/>
          <w:szCs w:val="21"/>
          <w:highlight w:val="none"/>
          <w:lang w:eastAsia="zh-CN"/>
        </w:rPr>
        <w:t>一，再评审</w:t>
      </w:r>
      <w:r>
        <w:rPr>
          <w:rFonts w:hint="eastAsia" w:ascii="宋体" w:hAnsi="宋体" w:eastAsia="宋体" w:cs="宋体"/>
          <w:b/>
          <w:bCs/>
          <w:color w:val="auto"/>
          <w:sz w:val="21"/>
          <w:szCs w:val="21"/>
          <w:highlight w:val="none"/>
          <w:lang w:val="en-US" w:eastAsia="zh-CN"/>
        </w:rPr>
        <w:t>标项</w:t>
      </w:r>
      <w:r>
        <w:rPr>
          <w:rFonts w:hint="eastAsia" w:ascii="宋体" w:hAnsi="宋体" w:eastAsia="宋体" w:cs="宋体"/>
          <w:b/>
          <w:bCs/>
          <w:color w:val="auto"/>
          <w:sz w:val="21"/>
          <w:szCs w:val="21"/>
          <w:highlight w:val="none"/>
          <w:lang w:eastAsia="zh-CN"/>
        </w:rPr>
        <w:t>二）。</w:t>
      </w:r>
    </w:p>
    <w:p>
      <w:pPr>
        <w:pStyle w:val="14"/>
        <w:snapToGrid w:val="0"/>
        <w:spacing w:before="0" w:beforeLines="0" w:after="0" w:afterLines="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（七）评标过程的监控</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pPr>
        <w:pStyle w:val="14"/>
        <w:snapToGrid w:val="0"/>
        <w:spacing w:before="0" w:beforeLines="0" w:after="0" w:afterLines="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六、采购方式变更</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至投标截止时间或在评审期间，出现参与投标或者对招标文件作出实质性响应的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不足3家的情况，招标采购单位有权全部或部分终止招标。经相关政府采购管理部门批准，招标采购单位可以按照原招标文件确定的采购方式进行，或者改用竞争性谈判或者单一来源方式采购。</w:t>
      </w:r>
    </w:p>
    <w:p>
      <w:pPr>
        <w:pStyle w:val="14"/>
        <w:snapToGrid w:val="0"/>
        <w:spacing w:before="0" w:beforeLines="0" w:after="0" w:afterLines="0" w:line="360" w:lineRule="auto"/>
        <w:ind w:firstLine="413" w:firstLineChars="196"/>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七、定标</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1、采购代理机构应当在评标结束后2个工作日内将评标报告送采购人。</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3、采购人自行组织招标的，应当在评标结束后5个工作日内确定中标人。</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4、采购人在收到评标报告5个工作日内未按评标报告推荐的中标候选人顺序确定中标人，又不能说明合法理由的，视同按评标报告推荐的顺序确定排名第一的中标候选人为中标人。</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5、采购人或者采购代理机构应当自中标人确定之日起2个工作日内，在省级以上财政部门指定的媒体上公告中标结果。</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6、中标公告期限为1个工作日。</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8、在公告中标结果的同时，采购人或者采购代理机构应当向中标人发出中标通知书。</w:t>
      </w:r>
    </w:p>
    <w:p>
      <w:pPr>
        <w:pStyle w:val="14"/>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9、中标通知书发出后，采购人不得违法改变中标结果，中标人无正当理由不得放弃中标。</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10、若中标人被投诉有效以及其他原因导致中标无效，或者拒不签订合同的，采购人将在评标委员会推荐的中标候选人中确定排名其次的中标候选人为本项目的中标人或重新招标。</w:t>
      </w:r>
    </w:p>
    <w:p>
      <w:pPr>
        <w:pStyle w:val="14"/>
        <w:snapToGrid w:val="0"/>
        <w:spacing w:before="0" w:beforeLines="0" w:after="0" w:afterLines="0" w:line="360" w:lineRule="auto"/>
        <w:ind w:firstLine="413" w:firstLineChars="196"/>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八、合同授予</w:t>
      </w:r>
    </w:p>
    <w:p>
      <w:pPr>
        <w:snapToGrid w:val="0"/>
        <w:spacing w:line="360" w:lineRule="auto"/>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1.采购人与中标人应当在《中标通知书》发出之日起30日内签订政府采购合同。同时，采购代理机构对合同内容进行鉴证，如发现与采购结果和投标承诺内容不一致的，应予以纠正。</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2.中标人拖延、拒签合同的,将被取消中标资格。</w:t>
      </w:r>
    </w:p>
    <w:p>
      <w:pPr>
        <w:pStyle w:val="14"/>
        <w:snapToGrid w:val="0"/>
        <w:spacing w:before="0" w:beforeLines="0" w:after="0" w:afterLines="0"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（二）履约保证金</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1.中标人应根据招标文件确定的履约保证金的金额，向采购人交纳履约保证金。并保证按照投标承诺及时签订合同并履约，若违背承诺，接受在政府采购指定媒体上公告曝光处理并按约定承但违约责任。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2.签订合同后，如中标人不按双方合同约定履约，则没收其全部履约保证金，履约保证金不足以赔偿损失的，按实际损失赔偿。</w:t>
      </w:r>
    </w:p>
    <w:p>
      <w:pPr>
        <w:pStyle w:val="14"/>
        <w:snapToGrid w:val="0"/>
        <w:spacing w:before="0" w:beforeLines="0" w:after="0" w:afterLines="0" w:line="360" w:lineRule="auto"/>
        <w:ind w:firstLine="413" w:firstLineChars="196"/>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九、特别说明</w:t>
      </w:r>
    </w:p>
    <w:p>
      <w:pPr>
        <w:widowControl/>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政府采购活动中有关中小企业的相关规定（采购进口产品项目不适用）</w:t>
      </w:r>
    </w:p>
    <w:p>
      <w:pPr>
        <w:widowControl/>
        <w:numPr>
          <w:ilvl w:val="0"/>
          <w:numId w:val="7"/>
        </w:num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参加政府采购活动的中小企业（含中型、小型、微型企业，其他地方同）应当同时符合以下条件：</w:t>
      </w:r>
    </w:p>
    <w:p>
      <w:pPr>
        <w:widowControl/>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（一）符合中小企业划分标准（具体见工信部联企业[2011]300号）；</w:t>
      </w:r>
    </w:p>
    <w:p>
      <w:pPr>
        <w:widowControl/>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（二）提供本企业制造的货物、承担的工程或者服务，或者提供其他中小企业制造的货物。本项所称货物不包括使用大型企业注册商标的货物。</w:t>
      </w:r>
    </w:p>
    <w:p>
      <w:pPr>
        <w:widowControl/>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（三）小型、微型企业提供中型企业制造的货物的，视同为中型企业。</w:t>
      </w:r>
    </w:p>
    <w:p>
      <w:pPr>
        <w:widowControl/>
        <w:numPr>
          <w:ilvl w:val="0"/>
          <w:numId w:val="7"/>
        </w:num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参加政府采购活动的中小企业应当提供《中小企业声明函》。</w:t>
      </w:r>
    </w:p>
    <w:p>
      <w:pPr>
        <w:widowControl/>
        <w:numPr>
          <w:ilvl w:val="0"/>
          <w:numId w:val="7"/>
        </w:num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对于非专门面向中小企业的项目，对小型和微型企业产品的价格应给予6％-10％的扣除，用扣除后的价格参与评审。具体扣除比例见第四章 评标办法及评分标准（如有）。</w:t>
      </w:r>
    </w:p>
    <w:p>
      <w:pPr>
        <w:widowControl/>
        <w:numPr>
          <w:ilvl w:val="0"/>
          <w:numId w:val="7"/>
        </w:numPr>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pPr>
        <w:widowControl/>
        <w:numPr>
          <w:ilvl w:val="0"/>
          <w:numId w:val="7"/>
        </w:numPr>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pPr>
        <w:widowControl/>
        <w:numPr>
          <w:ilvl w:val="0"/>
          <w:numId w:val="7"/>
        </w:numPr>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widowControl/>
        <w:numPr>
          <w:ilvl w:val="0"/>
          <w:numId w:val="7"/>
        </w:numPr>
        <w:snapToGrid w:val="0"/>
        <w:spacing w:line="36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关于促进残疾人就业政府采购政策的通知》（财库[2020]46号）规定，在政府采购活动中，残疾人福利性单位视同小型、微型企业。残疾人福利性单位参加政府采购活动时，提供《残疾人福利性单位声明函》。</w:t>
      </w:r>
    </w:p>
    <w:p>
      <w:pPr>
        <w:pStyle w:val="19"/>
        <w:numPr>
          <w:ilvl w:val="0"/>
          <w:numId w:val="8"/>
        </w:numPr>
        <w:adjustRightInd w:val="0"/>
        <w:snapToGrid w:val="0"/>
        <w:spacing w:before="0" w:after="0" w:line="360" w:lineRule="auto"/>
        <w:rPr>
          <w:rFonts w:hint="eastAsia" w:ascii="宋体" w:hAnsi="宋体" w:eastAsia="宋体" w:cs="宋体"/>
          <w:color w:val="auto"/>
          <w:sz w:val="21"/>
          <w:szCs w:val="21"/>
          <w:highlight w:val="none"/>
        </w:rPr>
      </w:pPr>
      <w:bookmarkStart w:id="9" w:name="_Toc55909256"/>
      <w:bookmarkStart w:id="10" w:name="_Toc13"/>
      <w:r>
        <w:rPr>
          <w:rFonts w:hint="eastAsia" w:ascii="宋体" w:hAnsi="宋体" w:eastAsia="宋体" w:cs="宋体"/>
          <w:color w:val="auto"/>
          <w:sz w:val="21"/>
          <w:szCs w:val="21"/>
          <w:highlight w:val="none"/>
        </w:rPr>
        <w:t>评标办法及评分标准</w:t>
      </w:r>
      <w:bookmarkEnd w:id="9"/>
      <w:bookmarkEnd w:id="10"/>
    </w:p>
    <w:p>
      <w:pPr>
        <w:adjustRightInd w:val="0"/>
        <w:snapToGrid w:val="0"/>
        <w:spacing w:line="360" w:lineRule="auto"/>
        <w:ind w:firstLine="422"/>
        <w:jc w:val="center"/>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综合评分法</w:t>
      </w:r>
      <w:r>
        <w:rPr>
          <w:rFonts w:hint="eastAsia" w:ascii="宋体" w:hAnsi="宋体" w:eastAsia="宋体" w:cs="宋体"/>
          <w:b/>
          <w:bCs/>
          <w:color w:val="auto"/>
          <w:sz w:val="21"/>
          <w:szCs w:val="21"/>
          <w:highlight w:val="none"/>
        </w:rPr>
        <w:t>）</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本办法严格遵照《中华人民共和国政府采购法》、《政府采购货物和服务招标投标管理办法》、《宁波市政府采购招标采购方式暂行实施规程》，结合项目所在地政府有关政府采购规定和项目的实际情况制定。</w:t>
      </w:r>
    </w:p>
    <w:p>
      <w:pPr>
        <w:widowControl/>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一、总则</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招标活动遵循公平、公正、科学、择优的原则依法进行，招标活动及当事人接受依法实施的监督。</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综合评分法</w:t>
      </w:r>
      <w:r>
        <w:rPr>
          <w:rFonts w:hint="eastAsia" w:ascii="宋体" w:hAnsi="宋体" w:eastAsia="宋体" w:cs="宋体"/>
          <w:color w:val="000000"/>
          <w:sz w:val="21"/>
          <w:szCs w:val="21"/>
          <w:highlight w:val="none"/>
        </w:rPr>
        <w:t>，采用百分制，总分100分。</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需要落实的政府采购政策：《关于促进残疾人就业政府采购政策的通知》（财库[2020]46号）、《政府采购促进中小企业发展暂行办法》（财库[2011]181号）、《关于政府采购支持监狱企业发展有关问题的通知》（财库[2014]68号）</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本次采购为非专门面向中小企业，本次评标将对符合小微企业的价格给予6%的扣除，用扣除后的价格参与评审。价格扣除只用于评审过程，如中标，中标价格仍按照其投标价格进行公示。</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评标委员会成员对需要共同认定的事项存在争议的，应当按照少数服从多数的原则作出结论。</w:t>
      </w:r>
    </w:p>
    <w:p>
      <w:pPr>
        <w:widowControl/>
        <w:spacing w:line="360" w:lineRule="auto"/>
        <w:jc w:val="left"/>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rPr>
        <w:t>二、评标</w:t>
      </w:r>
      <w:r>
        <w:rPr>
          <w:rFonts w:hint="eastAsia" w:ascii="宋体" w:hAnsi="宋体" w:eastAsia="宋体" w:cs="宋体"/>
          <w:b/>
          <w:bCs/>
          <w:color w:val="000000"/>
          <w:sz w:val="21"/>
          <w:szCs w:val="21"/>
          <w:highlight w:val="none"/>
          <w:lang w:eastAsia="zh-CN"/>
        </w:rPr>
        <w:t>程序</w:t>
      </w:r>
    </w:p>
    <w:p>
      <w:pPr>
        <w:pStyle w:val="15"/>
        <w:widowControl/>
        <w:spacing w:line="360" w:lineRule="auto"/>
        <w:ind w:firstLine="497"/>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评审程序包括初步评审（包括资格审查和符合性审查）、澄清或者说明、详细评审、确定候选成交</w:t>
      </w:r>
      <w:r>
        <w:rPr>
          <w:rFonts w:hint="eastAsia" w:ascii="宋体" w:cs="宋体"/>
          <w:bCs w:val="0"/>
          <w:color w:val="auto"/>
          <w:sz w:val="21"/>
          <w:szCs w:val="21"/>
          <w:highlight w:val="none"/>
          <w:lang w:eastAsia="zh-CN"/>
        </w:rPr>
        <w:t>投标人</w:t>
      </w:r>
      <w:r>
        <w:rPr>
          <w:rFonts w:hint="eastAsia" w:ascii="宋体" w:hAnsi="宋体" w:eastAsia="宋体" w:cs="宋体"/>
          <w:bCs w:val="0"/>
          <w:color w:val="auto"/>
          <w:sz w:val="21"/>
          <w:szCs w:val="21"/>
          <w:highlight w:val="none"/>
        </w:rPr>
        <w:t>名单等程序。本项目评标按标项一、标项二的顺序依次进行，评审完毕后确定的</w:t>
      </w:r>
      <w:r>
        <w:rPr>
          <w:rFonts w:hint="eastAsia" w:ascii="宋体" w:cs="宋体"/>
          <w:bCs w:val="0"/>
          <w:color w:val="auto"/>
          <w:sz w:val="21"/>
          <w:szCs w:val="21"/>
          <w:highlight w:val="none"/>
          <w:lang w:val="en-US" w:eastAsia="zh-CN"/>
        </w:rPr>
        <w:t>标项一的</w:t>
      </w:r>
      <w:r>
        <w:rPr>
          <w:rFonts w:hint="eastAsia" w:ascii="宋体" w:hAnsi="宋体" w:eastAsia="宋体" w:cs="宋体"/>
          <w:bCs w:val="0"/>
          <w:color w:val="auto"/>
          <w:sz w:val="21"/>
          <w:szCs w:val="21"/>
          <w:highlight w:val="none"/>
        </w:rPr>
        <w:t>成交候选</w:t>
      </w:r>
      <w:r>
        <w:rPr>
          <w:rFonts w:hint="eastAsia" w:ascii="宋体" w:cs="宋体"/>
          <w:bCs w:val="0"/>
          <w:color w:val="auto"/>
          <w:sz w:val="21"/>
          <w:szCs w:val="21"/>
          <w:highlight w:val="none"/>
          <w:lang w:eastAsia="zh-CN"/>
        </w:rPr>
        <w:t>投标人</w:t>
      </w:r>
      <w:r>
        <w:rPr>
          <w:rFonts w:hint="eastAsia" w:ascii="宋体" w:hAnsi="宋体" w:eastAsia="宋体" w:cs="宋体"/>
          <w:bCs w:val="0"/>
          <w:color w:val="auto"/>
          <w:sz w:val="21"/>
          <w:szCs w:val="21"/>
          <w:highlight w:val="none"/>
        </w:rPr>
        <w:t>，进入后续标项</w:t>
      </w:r>
      <w:r>
        <w:rPr>
          <w:rFonts w:hint="eastAsia" w:ascii="宋体" w:cs="宋体"/>
          <w:bCs w:val="0"/>
          <w:color w:val="auto"/>
          <w:sz w:val="21"/>
          <w:szCs w:val="21"/>
          <w:highlight w:val="none"/>
          <w:lang w:val="en-US" w:eastAsia="zh-CN"/>
        </w:rPr>
        <w:t>二</w:t>
      </w:r>
      <w:r>
        <w:rPr>
          <w:rFonts w:hint="eastAsia" w:ascii="宋体" w:hAnsi="宋体" w:eastAsia="宋体" w:cs="宋体"/>
          <w:bCs w:val="0"/>
          <w:color w:val="auto"/>
          <w:sz w:val="21"/>
          <w:szCs w:val="21"/>
          <w:highlight w:val="none"/>
        </w:rPr>
        <w:t>的评审，但不能推荐为</w:t>
      </w:r>
      <w:r>
        <w:rPr>
          <w:rFonts w:hint="eastAsia" w:ascii="宋体" w:cs="宋体"/>
          <w:bCs w:val="0"/>
          <w:color w:val="auto"/>
          <w:sz w:val="21"/>
          <w:szCs w:val="21"/>
          <w:highlight w:val="none"/>
          <w:lang w:val="en-US" w:eastAsia="zh-CN"/>
        </w:rPr>
        <w:t>标项二的</w:t>
      </w:r>
      <w:r>
        <w:rPr>
          <w:rFonts w:hint="eastAsia" w:ascii="宋体" w:hAnsi="宋体" w:eastAsia="宋体" w:cs="宋体"/>
          <w:bCs w:val="0"/>
          <w:color w:val="auto"/>
          <w:sz w:val="21"/>
          <w:szCs w:val="21"/>
          <w:highlight w:val="none"/>
        </w:rPr>
        <w:t>成交候选</w:t>
      </w:r>
      <w:r>
        <w:rPr>
          <w:rFonts w:hint="eastAsia" w:ascii="宋体" w:cs="宋体"/>
          <w:bCs w:val="0"/>
          <w:color w:val="auto"/>
          <w:sz w:val="21"/>
          <w:szCs w:val="21"/>
          <w:highlight w:val="none"/>
          <w:lang w:eastAsia="zh-CN"/>
        </w:rPr>
        <w:t>投标人</w:t>
      </w:r>
      <w:r>
        <w:rPr>
          <w:rFonts w:hint="eastAsia" w:ascii="宋体" w:hAnsi="宋体" w:eastAsia="宋体" w:cs="宋体"/>
          <w:bCs w:val="0"/>
          <w:color w:val="auto"/>
          <w:sz w:val="21"/>
          <w:szCs w:val="21"/>
          <w:highlight w:val="none"/>
        </w:rPr>
        <w:t>。</w:t>
      </w:r>
    </w:p>
    <w:p>
      <w:pPr>
        <w:pStyle w:val="15"/>
        <w:widowControl/>
        <w:spacing w:line="360" w:lineRule="auto"/>
        <w:ind w:firstLine="497"/>
        <w:jc w:val="lef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1. 初步审查</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初审分为资格性检查和符合性检查。</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资格性检查。依据法律法规和招标文件的规定，对投标文件中的资格证明等进行审查，以确定投标</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是否具备投标资格。</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符合性检查。依据招标文件的规定，从投标文件的有效性、完整性和对招标文件的响应程度进行审查，以确定是否对招标文件的实质性要求作出响应。</w:t>
      </w:r>
    </w:p>
    <w:p>
      <w:pPr>
        <w:pStyle w:val="15"/>
        <w:widowControl/>
        <w:spacing w:line="360" w:lineRule="auto"/>
        <w:ind w:firstLine="497"/>
        <w:jc w:val="left"/>
        <w:rPr>
          <w:rFonts w:hint="eastAsia" w:ascii="宋体" w:hAnsi="宋体" w:eastAsia="宋体" w:cs="宋体"/>
          <w:color w:val="000000"/>
          <w:sz w:val="21"/>
          <w:szCs w:val="21"/>
          <w:highlight w:val="none"/>
        </w:rPr>
      </w:pPr>
      <w:r>
        <w:rPr>
          <w:rFonts w:hint="eastAsia" w:ascii="宋体" w:hAnsi="宋体" w:eastAsia="宋体" w:cs="宋体"/>
          <w:bCs w:val="0"/>
          <w:color w:val="000000"/>
          <w:sz w:val="21"/>
          <w:szCs w:val="21"/>
          <w:highlight w:val="none"/>
        </w:rPr>
        <w:t>2.澄清问题</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投标文件中含义不明确、同类问题表述不一致或者有明显文字和计算错误的内容，评标委员会要求投标人作出必要的澄清、说明或者纠正。投标人的澄清、说明或者补正应当采用书面形式，由其授权的代表签字，并不得超出投标文件的范围或者改变投标文件的实质性内容。</w:t>
      </w:r>
    </w:p>
    <w:p>
      <w:pPr>
        <w:pStyle w:val="15"/>
        <w:widowControl/>
        <w:spacing w:line="360" w:lineRule="auto"/>
        <w:ind w:firstLine="497"/>
        <w:jc w:val="left"/>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3.详细评审</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评标委员会对初步评审合格的投标文件，依照本办法对投标文件作进一步评审、比较。评标委员会成员经过阅标、审标和询标，对各投标人进行打分。</w:t>
      </w:r>
    </w:p>
    <w:p>
      <w:pPr>
        <w:widowControl/>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评委打分参照：评分标准。评委打分采用记名方式进行独立打分，汇总所有评委会成员评分取算术平均值（小数点后保留二位数）为该</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的技术商务得分。报价文件经评标委员会评审后按评分标准表进行统一计算（小数点后保留二位小数）。最终汇总技术商务得分和报价得分为综合得分。</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widowControl/>
        <w:spacing w:line="360" w:lineRule="auto"/>
        <w:ind w:firstLine="422" w:firstLineChars="200"/>
        <w:jc w:val="left"/>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4.推荐中标候选人原则</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评标委员会根据</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的综合得分由高到低的排序，推荐中标候选人。若</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的综合得分相等，则投标报价低者列前；若投标报价也相同时，采取随机抽签的方式确定排序。</w:t>
      </w:r>
    </w:p>
    <w:p>
      <w:pPr>
        <w:widowControl/>
        <w:spacing w:line="360" w:lineRule="auto"/>
        <w:ind w:firstLine="422" w:firstLineChars="200"/>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5.中标结果</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评标委员会按综合得分由高到低的排序，向采购人推荐中标候选人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每标项最终得分最高的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为排名第一的中标候选人</w:t>
      </w:r>
      <w:r>
        <w:rPr>
          <w:rFonts w:hint="eastAsia" w:ascii="宋体" w:hAnsi="宋体" w:eastAsia="宋体" w:cs="宋体"/>
          <w:color w:val="auto"/>
          <w:sz w:val="21"/>
          <w:szCs w:val="21"/>
          <w:highlight w:val="none"/>
        </w:rPr>
        <w:t>。中标人因不可抗力或者自身原因不能履行政府采购合同的，采购人可以按照评审报告推荐的下一中标候选人为中标人或重新招标。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27"/>
        <w:tblpPr w:leftFromText="180" w:rightFromText="180" w:vertAnchor="text" w:horzAnchor="page" w:tblpX="1305" w:tblpY="428"/>
        <w:tblOverlap w:val="never"/>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35"/>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32" w:type="dxa"/>
            <w:tcBorders>
              <w:tl2br w:val="nil"/>
              <w:tr2bl w:val="nil"/>
            </w:tcBorders>
            <w:noWrap w:val="0"/>
            <w:vAlign w:val="center"/>
          </w:tcPr>
          <w:p>
            <w:pPr>
              <w:spacing w:line="360" w:lineRule="auto"/>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评分项目</w:t>
            </w:r>
          </w:p>
        </w:tc>
        <w:tc>
          <w:tcPr>
            <w:tcW w:w="735" w:type="dxa"/>
            <w:tcBorders>
              <w:tl2br w:val="nil"/>
              <w:tr2bl w:val="nil"/>
            </w:tcBorders>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c>
          <w:tcPr>
            <w:tcW w:w="7385" w:type="dxa"/>
            <w:tcBorders>
              <w:tl2br w:val="nil"/>
              <w:tr2bl w:val="nil"/>
            </w:tcBorders>
            <w:noWrap w:val="0"/>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tcBorders>
              <w:tl2br w:val="nil"/>
              <w:tr2bl w:val="nil"/>
            </w:tcBorders>
            <w:noWrap w:val="0"/>
            <w:vAlign w:val="center"/>
          </w:tcPr>
          <w:p>
            <w:pPr>
              <w:snapToGrid w:val="0"/>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投标报价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20分</w:t>
            </w:r>
            <w:r>
              <w:rPr>
                <w:rFonts w:hint="eastAsia" w:ascii="宋体" w:hAnsi="宋体" w:eastAsia="宋体" w:cs="宋体"/>
                <w:b/>
                <w:bCs/>
                <w:color w:val="auto"/>
                <w:sz w:val="21"/>
                <w:szCs w:val="21"/>
                <w:highlight w:val="none"/>
                <w:lang w:eastAsia="zh-CN"/>
              </w:rPr>
              <w:t>）</w:t>
            </w:r>
          </w:p>
        </w:tc>
        <w:tc>
          <w:tcPr>
            <w:tcW w:w="735" w:type="dxa"/>
            <w:tcBorders>
              <w:tl2br w:val="nil"/>
              <w:tr2bl w:val="nil"/>
            </w:tcBorders>
            <w:noWrap w:val="0"/>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color w:val="auto"/>
                <w:sz w:val="21"/>
                <w:szCs w:val="21"/>
                <w:highlight w:val="none"/>
                <w:lang w:val="en-US" w:eastAsia="zh-CN"/>
              </w:rPr>
              <w:t>分</w:t>
            </w:r>
          </w:p>
        </w:tc>
        <w:tc>
          <w:tcPr>
            <w:tcW w:w="7385" w:type="dxa"/>
            <w:tcBorders>
              <w:tl2br w:val="nil"/>
              <w:tr2bl w:val="nil"/>
            </w:tcBorders>
            <w:noWrap w:val="0"/>
            <w:vAlign w:val="center"/>
          </w:tcPr>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参与</w:t>
            </w:r>
            <w:r>
              <w:rPr>
                <w:rFonts w:hint="eastAsia" w:ascii="宋体" w:hAnsi="宋体" w:eastAsia="宋体" w:cs="宋体"/>
                <w:color w:val="auto"/>
                <w:sz w:val="21"/>
                <w:szCs w:val="21"/>
                <w:highlight w:val="none"/>
                <w:lang w:val="en-US" w:eastAsia="zh-CN"/>
              </w:rPr>
              <w:t>评审的价格=各标项投标报价-小微企业价格扣除优惠值6%（如有）</w:t>
            </w:r>
          </w:p>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基准价=满足招标文件要求且最低的参与评审的价格，基准价得满分。</w:t>
            </w:r>
          </w:p>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得分：各标项投标报价为评标基准的得满分20分，其他投标报价得分计算公式如下：</w:t>
            </w:r>
          </w:p>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各标项投标报价得分=（评标基准价/参与评审的价格）×20%×100。</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各标项投标报价得分</w:t>
            </w:r>
            <w:r>
              <w:rPr>
                <w:rFonts w:hint="eastAsia" w:ascii="宋体" w:hAnsi="宋体" w:eastAsia="宋体" w:cs="宋体"/>
                <w:color w:val="auto"/>
                <w:kern w:val="0"/>
                <w:sz w:val="21"/>
                <w:szCs w:val="21"/>
                <w:highlight w:val="none"/>
              </w:rPr>
              <w:t>以四舍五入保留小数点后二位。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2" w:type="dxa"/>
            <w:vMerge w:val="restart"/>
            <w:tcBorders>
              <w:tl2br w:val="nil"/>
              <w:tr2bl w:val="nil"/>
            </w:tcBorders>
            <w:noWrap w:val="0"/>
            <w:vAlign w:val="center"/>
          </w:tcPr>
          <w:p>
            <w:pPr>
              <w:snapToGrid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技术商务得分</w:t>
            </w:r>
          </w:p>
          <w:p>
            <w:pPr>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（80分）</w:t>
            </w:r>
          </w:p>
        </w:tc>
        <w:tc>
          <w:tcPr>
            <w:tcW w:w="735" w:type="dxa"/>
            <w:tcBorders>
              <w:tl2br w:val="nil"/>
              <w:tr2bl w:val="nil"/>
            </w:tcBorders>
            <w:noWrap w:val="0"/>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7385" w:type="dxa"/>
            <w:tcBorders>
              <w:tl2br w:val="nil"/>
              <w:tr2bl w:val="nil"/>
            </w:tcBorders>
            <w:noWrap w:val="0"/>
            <w:vAlign w:val="center"/>
          </w:tcPr>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cs="宋体"/>
                <w:color w:val="auto"/>
                <w:sz w:val="21"/>
                <w:szCs w:val="21"/>
                <w:highlight w:val="none"/>
                <w:lang w:val="en-US" w:eastAsia="zh-CN"/>
              </w:rPr>
              <w:t>若</w:t>
            </w:r>
            <w:r>
              <w:rPr>
                <w:rFonts w:hint="eastAsia" w:ascii="宋体" w:hAnsi="宋体" w:eastAsia="宋体" w:cs="宋体"/>
                <w:color w:val="auto"/>
                <w:sz w:val="21"/>
                <w:szCs w:val="21"/>
                <w:highlight w:val="none"/>
                <w:lang w:val="en-US" w:eastAsia="zh-CN"/>
              </w:rPr>
              <w:t>联合体投标的，指联合体</w:t>
            </w:r>
            <w:r>
              <w:rPr>
                <w:rFonts w:hint="eastAsia" w:ascii="宋体" w:hAnsi="宋体" w:cs="宋体"/>
                <w:color w:val="auto"/>
                <w:sz w:val="21"/>
                <w:szCs w:val="21"/>
                <w:highlight w:val="none"/>
                <w:lang w:val="en-US" w:eastAsia="zh-CN"/>
              </w:rPr>
              <w:t>牵头人</w:t>
            </w:r>
            <w:r>
              <w:rPr>
                <w:rFonts w:hint="eastAsia" w:ascii="宋体" w:hAnsi="宋体" w:eastAsia="宋体" w:cs="宋体"/>
                <w:color w:val="auto"/>
                <w:sz w:val="21"/>
                <w:szCs w:val="21"/>
                <w:highlight w:val="none"/>
                <w:lang w:val="en-US" w:eastAsia="zh-CN"/>
              </w:rPr>
              <w:t>）业绩：自201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年1月1日</w:t>
            </w:r>
            <w:r>
              <w:rPr>
                <w:rFonts w:hint="eastAsia" w:ascii="宋体" w:hAnsi="宋体" w:cs="宋体"/>
                <w:color w:val="auto"/>
                <w:sz w:val="21"/>
                <w:szCs w:val="21"/>
                <w:highlight w:val="none"/>
                <w:lang w:val="en-US" w:eastAsia="zh-CN"/>
              </w:rPr>
              <w:t>至</w:t>
            </w:r>
            <w:r>
              <w:rPr>
                <w:rFonts w:hint="eastAsia" w:ascii="宋体" w:hAnsi="宋体" w:eastAsia="宋体" w:cs="宋体"/>
                <w:color w:val="auto"/>
                <w:sz w:val="21"/>
                <w:szCs w:val="21"/>
                <w:highlight w:val="none"/>
                <w:lang w:val="en-US" w:eastAsia="zh-CN"/>
              </w:rPr>
              <w:t>至今（以合同签订时间为准），投标人具有项目管理或全过程管理项目</w:t>
            </w:r>
            <w:r>
              <w:rPr>
                <w:rFonts w:hint="eastAsia" w:ascii="宋体" w:hAnsi="宋体" w:cs="宋体"/>
                <w:color w:val="auto"/>
                <w:sz w:val="21"/>
                <w:szCs w:val="21"/>
                <w:highlight w:val="none"/>
                <w:lang w:val="en-US" w:eastAsia="zh-CN"/>
              </w:rPr>
              <w:t>或监理项目业绩的</w:t>
            </w:r>
            <w:r>
              <w:rPr>
                <w:rFonts w:hint="eastAsia" w:ascii="宋体" w:hAnsi="宋体" w:eastAsia="宋体" w:cs="宋体"/>
                <w:color w:val="auto"/>
                <w:sz w:val="21"/>
                <w:szCs w:val="21"/>
                <w:highlight w:val="none"/>
                <w:lang w:val="en-US" w:eastAsia="zh-CN"/>
              </w:rPr>
              <w:t>，每提供一个得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注：投标文件中提供上述业绩的合同复印件</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加盖公章。未提供或提供不全或提供无效的，不得分。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32" w:type="dxa"/>
            <w:vMerge w:val="continue"/>
            <w:tcBorders>
              <w:tl2br w:val="nil"/>
              <w:tr2bl w:val="nil"/>
            </w:tcBorders>
            <w:noWrap w:val="0"/>
            <w:vAlign w:val="center"/>
          </w:tcPr>
          <w:p>
            <w:pPr>
              <w:snapToGrid w:val="0"/>
              <w:spacing w:line="360" w:lineRule="auto"/>
              <w:jc w:val="center"/>
              <w:rPr>
                <w:rFonts w:hint="eastAsia" w:ascii="宋体" w:hAnsi="宋体" w:eastAsia="宋体" w:cs="宋体"/>
                <w:b/>
                <w:bCs/>
                <w:color w:val="auto"/>
                <w:sz w:val="21"/>
                <w:szCs w:val="21"/>
                <w:highlight w:val="none"/>
              </w:rPr>
            </w:pPr>
          </w:p>
        </w:tc>
        <w:tc>
          <w:tcPr>
            <w:tcW w:w="735" w:type="dxa"/>
            <w:tcBorders>
              <w:tl2br w:val="nil"/>
              <w:tr2bl w:val="nil"/>
            </w:tcBorders>
            <w:noWrap w:val="0"/>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1"/>
                <w:szCs w:val="21"/>
                <w:highlight w:val="none"/>
              </w:rPr>
              <w:t>2分</w:t>
            </w:r>
          </w:p>
        </w:tc>
        <w:tc>
          <w:tcPr>
            <w:tcW w:w="7385" w:type="dxa"/>
            <w:tcBorders>
              <w:tl2br w:val="nil"/>
              <w:tr2bl w:val="nil"/>
            </w:tcBorders>
            <w:noWrap w:val="0"/>
            <w:vAlign w:val="center"/>
          </w:tcPr>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1"/>
                <w:szCs w:val="21"/>
                <w:highlight w:val="none"/>
              </w:rPr>
              <w:t>商务条款响应：投标人符合招标文件商务条款要求的得2分，对招标文件未标注</w:t>
            </w: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w:t>
            </w:r>
            <w:r>
              <w:rPr>
                <w:rFonts w:hint="eastAsia" w:ascii="宋体" w:hAnsi="宋体" w:eastAsia="宋体" w:cs="宋体"/>
                <w:b w:val="0"/>
                <w:bCs w:val="0"/>
                <w:i w:val="0"/>
                <w:iCs w:val="0"/>
                <w:smallCaps w:val="0"/>
                <w:strike w:val="0"/>
                <w:color w:val="auto"/>
                <w:spacing w:val="0"/>
                <w:w w:val="100"/>
                <w:position w:val="0"/>
                <w:sz w:val="21"/>
                <w:szCs w:val="21"/>
                <w:highlight w:val="none"/>
              </w:rPr>
              <w:t>▲</w:t>
            </w: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w:t>
            </w:r>
            <w:r>
              <w:rPr>
                <w:rFonts w:hint="eastAsia" w:ascii="宋体" w:hAnsi="宋体" w:eastAsia="宋体" w:cs="宋体"/>
                <w:b w:val="0"/>
                <w:bCs w:val="0"/>
                <w:i w:val="0"/>
                <w:iCs w:val="0"/>
                <w:smallCaps w:val="0"/>
                <w:strike w:val="0"/>
                <w:color w:val="auto"/>
                <w:spacing w:val="0"/>
                <w:w w:val="100"/>
                <w:position w:val="0"/>
                <w:sz w:val="21"/>
                <w:szCs w:val="21"/>
                <w:highlight w:val="none"/>
              </w:rPr>
              <w:t>的商务条款</w:t>
            </w: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有</w:t>
            </w:r>
            <w:r>
              <w:rPr>
                <w:rFonts w:hint="eastAsia" w:ascii="宋体" w:hAnsi="宋体" w:eastAsia="宋体" w:cs="宋体"/>
                <w:b w:val="0"/>
                <w:bCs w:val="0"/>
                <w:i w:val="0"/>
                <w:iCs w:val="0"/>
                <w:smallCaps w:val="0"/>
                <w:strike w:val="0"/>
                <w:color w:val="auto"/>
                <w:spacing w:val="0"/>
                <w:w w:val="100"/>
                <w:position w:val="0"/>
                <w:sz w:val="21"/>
                <w:szCs w:val="21"/>
                <w:highlight w:val="none"/>
              </w:rPr>
              <w:t>负偏离的不得分。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32" w:type="dxa"/>
            <w:vMerge w:val="continue"/>
            <w:tcBorders>
              <w:tl2br w:val="nil"/>
              <w:tr2bl w:val="nil"/>
            </w:tcBorders>
            <w:noWrap w:val="0"/>
            <w:vAlign w:val="center"/>
          </w:tcPr>
          <w:p>
            <w:pPr>
              <w:snapToGrid w:val="0"/>
              <w:spacing w:line="360" w:lineRule="auto"/>
              <w:jc w:val="center"/>
              <w:rPr>
                <w:rFonts w:hint="eastAsia" w:ascii="宋体" w:hAnsi="宋体" w:eastAsia="宋体" w:cs="宋体"/>
                <w:b/>
                <w:bCs/>
                <w:color w:val="auto"/>
                <w:sz w:val="21"/>
                <w:szCs w:val="21"/>
                <w:highlight w:val="none"/>
              </w:rPr>
            </w:pPr>
          </w:p>
        </w:tc>
        <w:tc>
          <w:tcPr>
            <w:tcW w:w="735" w:type="dxa"/>
            <w:tcBorders>
              <w:tl2br w:val="nil"/>
              <w:tr2bl w:val="nil"/>
            </w:tcBorders>
            <w:noWrap w:val="0"/>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7385" w:type="dxa"/>
            <w:tcBorders>
              <w:tl2br w:val="nil"/>
              <w:tr2bl w:val="nil"/>
            </w:tcBorders>
            <w:noWrap w:val="0"/>
            <w:vAlign w:val="center"/>
          </w:tcPr>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管理方案总体框架、思路：由评委对</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的管理方案总体框架、思路的合理性、完整性进行综合评议，总体框架满分5分，思路阐述满分5分。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532" w:type="dxa"/>
            <w:vMerge w:val="continue"/>
            <w:tcBorders>
              <w:tl2br w:val="nil"/>
              <w:tr2bl w:val="nil"/>
            </w:tcBorders>
            <w:noWrap w:val="0"/>
            <w:vAlign w:val="center"/>
          </w:tcPr>
          <w:p>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735" w:type="dxa"/>
            <w:tcBorders>
              <w:tl2br w:val="nil"/>
              <w:tr2bl w:val="nil"/>
            </w:tcBorders>
            <w:noWrap w:val="0"/>
            <w:vAlign w:val="center"/>
          </w:tcPr>
          <w:p>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35分</w:t>
            </w:r>
          </w:p>
        </w:tc>
        <w:tc>
          <w:tcPr>
            <w:tcW w:w="7385" w:type="dxa"/>
            <w:tcBorders>
              <w:tl2br w:val="nil"/>
              <w:tr2bl w:val="nil"/>
            </w:tcBorders>
            <w:noWrap w:val="0"/>
            <w:vAlign w:val="center"/>
          </w:tcPr>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全过程工程咨询方案：由评委对</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的全过程工程咨询方案进行综合评议，包括工作原则及制度、关键点控制措施、主要工作内容及方法、投资管理主要措施、质量管理主要措施、进度管理主要措施、安全管理主要措施、合同及档案、信息管理主要措施、验收主要措施，每项各3.5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32" w:type="dxa"/>
            <w:vMerge w:val="continue"/>
            <w:tcBorders>
              <w:tl2br w:val="nil"/>
              <w:tr2bl w:val="nil"/>
            </w:tcBorders>
            <w:noWrap w:val="0"/>
            <w:vAlign w:val="center"/>
          </w:tcPr>
          <w:p>
            <w:pPr>
              <w:snapToGrid w:val="0"/>
              <w:spacing w:line="360" w:lineRule="auto"/>
              <w:jc w:val="center"/>
              <w:rPr>
                <w:rFonts w:hint="eastAsia" w:ascii="宋体" w:hAnsi="宋体" w:eastAsia="宋体" w:cs="宋体"/>
                <w:b/>
                <w:bCs/>
                <w:color w:val="auto"/>
                <w:sz w:val="21"/>
                <w:szCs w:val="21"/>
                <w:highlight w:val="none"/>
              </w:rPr>
            </w:pPr>
          </w:p>
        </w:tc>
        <w:tc>
          <w:tcPr>
            <w:tcW w:w="735" w:type="dxa"/>
            <w:tcBorders>
              <w:tl2br w:val="nil"/>
              <w:tr2bl w:val="nil"/>
            </w:tcBorders>
            <w:noWrap w:val="0"/>
            <w:vAlign w:val="center"/>
          </w:tcPr>
          <w:p>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5分</w:t>
            </w:r>
          </w:p>
        </w:tc>
        <w:tc>
          <w:tcPr>
            <w:tcW w:w="7385" w:type="dxa"/>
            <w:tcBorders>
              <w:tl2br w:val="nil"/>
              <w:tr2bl w:val="nil"/>
            </w:tcBorders>
            <w:noWrap w:val="0"/>
            <w:vAlign w:val="center"/>
          </w:tcPr>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项目部内部管理措施：由评委对</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的拟派本项目人员的内部管理措施进行综合评议，各职能部门的职责分工明确满分2.5分，协调机制切实有效满分2.5分。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vMerge w:val="continue"/>
            <w:tcBorders>
              <w:tl2br w:val="nil"/>
              <w:tr2bl w:val="nil"/>
            </w:tcBorders>
            <w:noWrap w:val="0"/>
            <w:vAlign w:val="center"/>
          </w:tcPr>
          <w:p>
            <w:pPr>
              <w:snapToGrid w:val="0"/>
              <w:spacing w:line="360" w:lineRule="auto"/>
              <w:jc w:val="center"/>
              <w:rPr>
                <w:rFonts w:hint="eastAsia" w:ascii="宋体" w:hAnsi="宋体" w:eastAsia="宋体" w:cs="宋体"/>
                <w:b/>
                <w:bCs/>
                <w:color w:val="auto"/>
                <w:sz w:val="21"/>
                <w:szCs w:val="21"/>
                <w:highlight w:val="none"/>
              </w:rPr>
            </w:pPr>
          </w:p>
        </w:tc>
        <w:tc>
          <w:tcPr>
            <w:tcW w:w="735" w:type="dxa"/>
            <w:tcBorders>
              <w:tl2br w:val="nil"/>
              <w:tr2bl w:val="nil"/>
            </w:tcBorders>
            <w:noWrap w:val="0"/>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1"/>
                <w:szCs w:val="21"/>
                <w:highlight w:val="none"/>
              </w:rPr>
              <w:t>8分</w:t>
            </w:r>
          </w:p>
        </w:tc>
        <w:tc>
          <w:tcPr>
            <w:tcW w:w="7385" w:type="dxa"/>
            <w:tcBorders>
              <w:tl2br w:val="nil"/>
              <w:tr2bl w:val="nil"/>
            </w:tcBorders>
            <w:noWrap w:val="0"/>
            <w:vAlign w:val="center"/>
          </w:tcPr>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拟派本项目</w:t>
            </w:r>
            <w:r>
              <w:rPr>
                <w:rFonts w:hint="eastAsia" w:ascii="宋体" w:hAnsi="宋体" w:eastAsia="宋体" w:cs="宋体"/>
                <w:b w:val="0"/>
                <w:bCs w:val="0"/>
                <w:i w:val="0"/>
                <w:iCs w:val="0"/>
                <w:smallCaps w:val="0"/>
                <w:strike w:val="0"/>
                <w:color w:val="auto"/>
                <w:spacing w:val="0"/>
                <w:w w:val="100"/>
                <w:position w:val="0"/>
                <w:sz w:val="21"/>
                <w:szCs w:val="21"/>
                <w:highlight w:val="none"/>
              </w:rPr>
              <w:t>人员配置</w:t>
            </w: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w:t>
            </w:r>
            <w:r>
              <w:rPr>
                <w:rFonts w:hint="eastAsia" w:ascii="宋体" w:hAnsi="宋体" w:eastAsia="宋体" w:cs="宋体"/>
                <w:b w:val="0"/>
                <w:bCs w:val="0"/>
                <w:i w:val="0"/>
                <w:iCs w:val="0"/>
                <w:smallCaps w:val="0"/>
                <w:strike w:val="0"/>
                <w:color w:val="auto"/>
                <w:spacing w:val="0"/>
                <w:w w:val="100"/>
                <w:position w:val="0"/>
                <w:sz w:val="21"/>
                <w:szCs w:val="21"/>
                <w:highlight w:val="none"/>
              </w:rPr>
              <w:t>由评委对投标人的</w:t>
            </w: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拟派本项目</w:t>
            </w:r>
            <w:r>
              <w:rPr>
                <w:rFonts w:hint="eastAsia" w:ascii="宋体" w:hAnsi="宋体" w:eastAsia="宋体" w:cs="宋体"/>
                <w:b w:val="0"/>
                <w:bCs w:val="0"/>
                <w:i w:val="0"/>
                <w:iCs w:val="0"/>
                <w:smallCaps w:val="0"/>
                <w:strike w:val="0"/>
                <w:color w:val="auto"/>
                <w:spacing w:val="0"/>
                <w:w w:val="100"/>
                <w:position w:val="0"/>
                <w:sz w:val="21"/>
                <w:szCs w:val="21"/>
                <w:highlight w:val="none"/>
              </w:rPr>
              <w:t>人员配置情况进行综合评议，人员配置专业性满分4分，人员实际项目实施经验满分4</w:t>
            </w:r>
            <w:r>
              <w:rPr>
                <w:rFonts w:hint="eastAsia" w:ascii="宋体" w:hAnsi="宋体" w:eastAsia="宋体" w:cs="宋体"/>
                <w:b w:val="0"/>
                <w:bCs w:val="0"/>
                <w:i w:val="0"/>
                <w:iCs w:val="0"/>
                <w:smallCaps w:val="0"/>
                <w:strike w:val="0"/>
                <w:color w:val="auto"/>
                <w:spacing w:val="0"/>
                <w:w w:val="100"/>
                <w:position w:val="0"/>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32" w:type="dxa"/>
            <w:vMerge w:val="continue"/>
            <w:tcBorders>
              <w:tl2br w:val="nil"/>
              <w:tr2bl w:val="nil"/>
            </w:tcBorders>
            <w:noWrap w:val="0"/>
            <w:vAlign w:val="center"/>
          </w:tcPr>
          <w:p>
            <w:pPr>
              <w:snapToGrid w:val="0"/>
              <w:spacing w:line="360" w:lineRule="auto"/>
              <w:jc w:val="center"/>
              <w:rPr>
                <w:rFonts w:hint="eastAsia" w:ascii="宋体" w:hAnsi="宋体" w:eastAsia="宋体" w:cs="宋体"/>
                <w:b/>
                <w:bCs/>
                <w:color w:val="auto"/>
                <w:sz w:val="21"/>
                <w:szCs w:val="21"/>
                <w:highlight w:val="none"/>
              </w:rPr>
            </w:pPr>
          </w:p>
        </w:tc>
        <w:tc>
          <w:tcPr>
            <w:tcW w:w="735" w:type="dxa"/>
            <w:tcBorders>
              <w:tl2br w:val="nil"/>
              <w:tr2bl w:val="nil"/>
            </w:tcBorders>
            <w:noWrap w:val="0"/>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1"/>
                <w:szCs w:val="21"/>
                <w:highlight w:val="none"/>
              </w:rPr>
              <w:t>9分</w:t>
            </w:r>
          </w:p>
        </w:tc>
        <w:tc>
          <w:tcPr>
            <w:tcW w:w="7385" w:type="dxa"/>
            <w:tcBorders>
              <w:tl2br w:val="nil"/>
              <w:tr2bl w:val="nil"/>
            </w:tcBorders>
            <w:noWrap w:val="0"/>
            <w:vAlign w:val="center"/>
          </w:tcPr>
          <w:p>
            <w:pPr>
              <w:pStyle w:val="40"/>
              <w:numPr>
                <w:ilvl w:val="0"/>
                <w:numId w:val="0"/>
              </w:numPr>
              <w:autoSpaceDE w:val="0"/>
              <w:autoSpaceDN w:val="0"/>
              <w:adjustRightInd w:val="0"/>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1"/>
                <w:szCs w:val="21"/>
                <w:highlight w:val="none"/>
              </w:rPr>
              <w:t>重点难点分析及应对措施：由评委对投标人针对项目实施中重点难点分析及应对措施的完整性、合理性进行综合评议，重点难点分析满分4分，相应应对措施满分5分。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2" w:type="dxa"/>
            <w:vMerge w:val="continue"/>
            <w:tcBorders>
              <w:tl2br w:val="nil"/>
              <w:tr2bl w:val="nil"/>
            </w:tcBorders>
            <w:noWrap w:val="0"/>
            <w:vAlign w:val="center"/>
          </w:tcPr>
          <w:p>
            <w:pPr>
              <w:snapToGrid w:val="0"/>
              <w:spacing w:line="360" w:lineRule="auto"/>
              <w:jc w:val="center"/>
              <w:rPr>
                <w:rFonts w:hint="eastAsia" w:ascii="宋体" w:hAnsi="宋体" w:eastAsia="宋体" w:cs="宋体"/>
                <w:b/>
                <w:bCs/>
                <w:color w:val="auto"/>
                <w:sz w:val="21"/>
                <w:szCs w:val="21"/>
                <w:highlight w:val="none"/>
              </w:rPr>
            </w:pPr>
          </w:p>
        </w:tc>
        <w:tc>
          <w:tcPr>
            <w:tcW w:w="735" w:type="dxa"/>
            <w:tcBorders>
              <w:tl2br w:val="nil"/>
              <w:tr2bl w:val="nil"/>
            </w:tcBorders>
            <w:noWrap w:val="0"/>
            <w:vAlign w:val="center"/>
          </w:tcPr>
          <w:p>
            <w:pPr>
              <w:pStyle w:val="40"/>
              <w:numPr>
                <w:ilvl w:val="0"/>
                <w:numId w:val="0"/>
              </w:numPr>
              <w:autoSpaceDE w:val="0"/>
              <w:autoSpaceDN w:val="0"/>
              <w:adjustRightInd w:val="0"/>
              <w:spacing w:line="360" w:lineRule="auto"/>
              <w:ind w:leftChars="0"/>
              <w:jc w:val="center"/>
              <w:rPr>
                <w:rFonts w:hint="eastAsia" w:ascii="宋体" w:hAnsi="宋体" w:eastAsia="宋体" w:cs="宋体"/>
                <w:b w:val="0"/>
                <w:bCs w:val="0"/>
                <w:i w:val="0"/>
                <w:iCs w:val="0"/>
                <w:smallCaps w:val="0"/>
                <w:strike w:val="0"/>
                <w:color w:val="auto"/>
                <w:spacing w:val="0"/>
                <w:w w:val="100"/>
                <w:position w:val="0"/>
                <w:sz w:val="21"/>
                <w:szCs w:val="21"/>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1"/>
                <w:szCs w:val="21"/>
                <w:highlight w:val="none"/>
                <w:lang w:val="en-US" w:eastAsia="zh-CN"/>
              </w:rPr>
              <w:t>8</w:t>
            </w: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分</w:t>
            </w:r>
          </w:p>
        </w:tc>
        <w:tc>
          <w:tcPr>
            <w:tcW w:w="7385" w:type="dxa"/>
            <w:tcBorders>
              <w:tl2br w:val="nil"/>
              <w:tr2bl w:val="nil"/>
            </w:tcBorders>
            <w:noWrap w:val="0"/>
            <w:vAlign w:val="center"/>
          </w:tcPr>
          <w:p>
            <w:pPr>
              <w:pStyle w:val="40"/>
              <w:numPr>
                <w:ilvl w:val="0"/>
                <w:numId w:val="0"/>
              </w:numPr>
              <w:autoSpaceDE w:val="0"/>
              <w:autoSpaceDN w:val="0"/>
              <w:adjustRightInd w:val="0"/>
              <w:spacing w:line="360" w:lineRule="auto"/>
              <w:ind w:leftChars="0"/>
              <w:jc w:val="left"/>
              <w:rPr>
                <w:rFonts w:hint="eastAsia" w:ascii="宋体" w:hAnsi="宋体" w:eastAsia="宋体" w:cs="宋体"/>
                <w:b w:val="0"/>
                <w:bCs w:val="0"/>
                <w:i w:val="0"/>
                <w:iCs w:val="0"/>
                <w:smallCaps w:val="0"/>
                <w:strike w:val="0"/>
                <w:color w:val="auto"/>
                <w:spacing w:val="0"/>
                <w:w w:val="100"/>
                <w:position w:val="0"/>
                <w:sz w:val="21"/>
                <w:szCs w:val="21"/>
                <w:highlight w:val="none"/>
                <w:lang w:val="en-US" w:eastAsia="zh-CN"/>
              </w:rPr>
            </w:pP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服务：由评委对投标人服务响应时效性、便利性、后续服务（包括设施移交、协助最终审计等）的完整性进行综合评议，满分</w:t>
            </w:r>
            <w:r>
              <w:rPr>
                <w:rFonts w:hint="eastAsia" w:ascii="宋体" w:hAnsi="宋体" w:eastAsia="宋体" w:cs="宋体"/>
                <w:b w:val="0"/>
                <w:bCs w:val="0"/>
                <w:i w:val="0"/>
                <w:iCs w:val="0"/>
                <w:smallCaps w:val="0"/>
                <w:strike w:val="0"/>
                <w:color w:val="auto"/>
                <w:spacing w:val="0"/>
                <w:w w:val="100"/>
                <w:position w:val="0"/>
                <w:sz w:val="21"/>
                <w:szCs w:val="21"/>
                <w:highlight w:val="none"/>
                <w:lang w:val="en-US" w:eastAsia="zh-CN"/>
              </w:rPr>
              <w:t>8</w:t>
            </w: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32" w:type="dxa"/>
            <w:tcBorders>
              <w:tl2br w:val="nil"/>
              <w:tr2bl w:val="nil"/>
            </w:tcBorders>
            <w:noWrap w:val="0"/>
            <w:vAlign w:val="center"/>
          </w:tcPr>
          <w:p>
            <w:pPr>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总分</w:t>
            </w:r>
          </w:p>
        </w:tc>
        <w:tc>
          <w:tcPr>
            <w:tcW w:w="8120" w:type="dxa"/>
            <w:gridSpan w:val="2"/>
            <w:tcBorders>
              <w:tl2br w:val="nil"/>
              <w:tr2bl w:val="nil"/>
            </w:tcBorders>
            <w:noWrap w:val="0"/>
            <w:vAlign w:val="center"/>
          </w:tcPr>
          <w:p>
            <w:pPr>
              <w:pStyle w:val="40"/>
              <w:numPr>
                <w:ilvl w:val="0"/>
                <w:numId w:val="0"/>
              </w:numPr>
              <w:autoSpaceDE w:val="0"/>
              <w:autoSpaceDN w:val="0"/>
              <w:adjustRightInd w:val="0"/>
              <w:spacing w:line="360" w:lineRule="auto"/>
              <w:ind w:leftChars="0"/>
              <w:jc w:val="left"/>
              <w:rPr>
                <w:rFonts w:hint="eastAsia" w:ascii="宋体" w:hAnsi="宋体" w:eastAsia="宋体" w:cs="宋体"/>
                <w:b w:val="0"/>
                <w:bCs w:val="0"/>
                <w:i w:val="0"/>
                <w:iCs w:val="0"/>
                <w:smallCaps w:val="0"/>
                <w:strike w:val="0"/>
                <w:color w:val="auto"/>
                <w:spacing w:val="0"/>
                <w:w w:val="100"/>
                <w:position w:val="0"/>
                <w:sz w:val="21"/>
                <w:szCs w:val="21"/>
                <w:highlight w:val="none"/>
                <w:lang w:eastAsia="zh-CN"/>
              </w:rPr>
            </w:pPr>
            <w:r>
              <w:rPr>
                <w:rFonts w:hint="eastAsia" w:ascii="宋体" w:hAnsi="宋体" w:eastAsia="宋体" w:cs="宋体"/>
                <w:b w:val="0"/>
                <w:bCs w:val="0"/>
                <w:i w:val="0"/>
                <w:iCs w:val="0"/>
                <w:smallCaps w:val="0"/>
                <w:strike w:val="0"/>
                <w:color w:val="auto"/>
                <w:spacing w:val="0"/>
                <w:w w:val="100"/>
                <w:position w:val="0"/>
                <w:sz w:val="21"/>
                <w:szCs w:val="21"/>
                <w:highlight w:val="none"/>
                <w:lang w:eastAsia="zh-CN"/>
              </w:rPr>
              <w:t>100分</w:t>
            </w:r>
          </w:p>
        </w:tc>
      </w:tr>
    </w:tbl>
    <w:p>
      <w:pPr>
        <w:pStyle w:val="4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注：1、投标文件中应当提供所有涉及评分的有关证明材料，未提供或提供不清，相应评审内容将不予认可。</w:t>
      </w:r>
      <w:bookmarkStart w:id="11" w:name="_Toc55909257"/>
      <w:bookmarkStart w:id="12" w:name="_Toc25195"/>
    </w:p>
    <w:p>
      <w:pPr>
        <w:pStyle w:val="4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本次采购为非专门面向中小企业，本次评标将对符合招标文件第三章第十条小微企业的价格给予6%的扣除，用扣除后的价格参与评审。价格扣除只用于评审过程，如中标，中标价格仍按照其投标价格进行公示。未提供《中小企业声明函》的小型或微型企业，评标时其报价不予扣除优惠值。</w:t>
      </w:r>
    </w:p>
    <w:p>
      <w:pPr>
        <w:pStyle w:val="40"/>
        <w:spacing w:line="360" w:lineRule="auto"/>
        <w:rPr>
          <w:rFonts w:hint="eastAsia" w:eastAsia="宋体"/>
          <w:sz w:val="21"/>
          <w:szCs w:val="21"/>
          <w:highlight w:val="none"/>
          <w:lang w:val="en-US" w:eastAsia="zh-CN"/>
        </w:rPr>
      </w:pPr>
    </w:p>
    <w:p>
      <w:pPr>
        <w:spacing w:line="360" w:lineRule="auto"/>
        <w:ind w:firstLine="422" w:firstLineChars="200"/>
        <w:jc w:val="center"/>
        <w:rPr>
          <w:rFonts w:hint="eastAsia" w:ascii="宋体" w:hAnsi="宋体" w:eastAsia="宋体" w:cs="宋体"/>
          <w:b/>
          <w:bCs/>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第五部分 </w:t>
      </w:r>
      <w:bookmarkEnd w:id="11"/>
      <w:bookmarkEnd w:id="12"/>
      <w:bookmarkStart w:id="13" w:name="_Toc55909258"/>
      <w:r>
        <w:rPr>
          <w:rFonts w:hint="eastAsia" w:ascii="宋体" w:hAnsi="宋体" w:eastAsia="宋体" w:cs="宋体"/>
          <w:b/>
          <w:bCs/>
          <w:color w:val="auto"/>
          <w:sz w:val="21"/>
          <w:szCs w:val="21"/>
          <w:highlight w:val="none"/>
        </w:rPr>
        <w:t>合同主要条款</w:t>
      </w:r>
    </w:p>
    <w:bookmarkEnd w:id="13"/>
    <w:p>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w:t>
      </w:r>
      <w:r>
        <w:rPr>
          <w:rFonts w:hint="eastAsia" w:ascii="宋体" w:hAnsi="宋体" w:eastAsia="宋体" w:cs="宋体"/>
          <w:color w:val="000000"/>
          <w:sz w:val="21"/>
          <w:szCs w:val="21"/>
          <w:highlight w:val="none"/>
          <w:u w:val="single"/>
        </w:rPr>
        <w:t>宁波市江北区人民政府庄桥街道办事处</w:t>
      </w:r>
    </w:p>
    <w:p>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color="auto"/>
        </w:rPr>
        <w:t>（</w:t>
      </w:r>
      <w:r>
        <w:rPr>
          <w:rFonts w:hint="eastAsia" w:ascii="宋体" w:hAnsi="宋体" w:eastAsia="宋体" w:cs="宋体"/>
          <w:color w:val="000000"/>
          <w:sz w:val="21"/>
          <w:szCs w:val="21"/>
          <w:highlight w:val="none"/>
          <w:u w:val="single" w:color="auto"/>
          <w:lang w:val="en-US" w:eastAsia="zh-CN"/>
        </w:rPr>
        <w:t>成交投标人</w:t>
      </w:r>
      <w:r>
        <w:rPr>
          <w:rFonts w:hint="eastAsia" w:ascii="宋体" w:hAnsi="宋体" w:eastAsia="宋体" w:cs="宋体"/>
          <w:color w:val="000000"/>
          <w:sz w:val="21"/>
          <w:szCs w:val="21"/>
          <w:highlight w:val="none"/>
          <w:u w:val="single" w:color="auto"/>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pPr>
        <w:keepNext w:val="0"/>
        <w:keepLines w:val="0"/>
        <w:pageBreakBefore w:val="0"/>
        <w:widowControl w:val="0"/>
        <w:kinsoku/>
        <w:overflowPunct/>
        <w:topLinePunct w:val="0"/>
        <w:bidi w:val="0"/>
        <w:adjustRightInd/>
        <w:snapToGrid w:val="0"/>
        <w:spacing w:before="0" w:beforeLines="0" w:after="0" w:afterLines="0" w:line="360" w:lineRule="auto"/>
        <w:ind w:left="0" w:leftChars="0" w:right="0" w:rightChars="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甲、乙双方根据《</w:t>
      </w:r>
      <w:r>
        <w:rPr>
          <w:rFonts w:hint="eastAsia" w:ascii="宋体" w:hAnsi="宋体" w:eastAsia="宋体" w:cs="宋体"/>
          <w:color w:val="000000"/>
          <w:sz w:val="21"/>
          <w:szCs w:val="21"/>
          <w:highlight w:val="none"/>
          <w:lang w:val="en-US" w:eastAsia="zh-CN"/>
        </w:rPr>
        <w:t>民法典</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u w:val="single"/>
          <w:lang w:eastAsia="zh-CN"/>
        </w:rPr>
        <w:t>江北区2022年度城镇老旧小区改造工程（丽庄西苑（一期、二期）、费市家苑）全过程工程咨询</w:t>
      </w:r>
      <w:r>
        <w:rPr>
          <w:rFonts w:hint="eastAsia" w:ascii="宋体" w:hAnsi="宋体" w:eastAsia="宋体" w:cs="宋体"/>
          <w:color w:val="000000"/>
          <w:sz w:val="21"/>
          <w:szCs w:val="21"/>
          <w:highlight w:val="none"/>
          <w:u w:val="single"/>
          <w:lang w:val="en-US" w:eastAsia="zh-CN"/>
        </w:rPr>
        <w:t>公开招标</w:t>
      </w:r>
      <w:r>
        <w:rPr>
          <w:rFonts w:hint="eastAsia" w:ascii="宋体" w:hAnsi="宋体" w:eastAsia="宋体" w:cs="宋体"/>
          <w:color w:val="000000"/>
          <w:sz w:val="21"/>
          <w:szCs w:val="21"/>
          <w:highlight w:val="none"/>
        </w:rPr>
        <w:t>的结果，甲、乙双方在平等的基础上经充分协商，签署本合同。</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项目需求：</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color w:val="auto"/>
          <w:sz w:val="21"/>
          <w:szCs w:val="21"/>
          <w:highlight w:val="none"/>
          <w:shd w:val="clear" w:color="auto" w:fill="FFFFFF"/>
          <w:lang w:eastAsia="zh-CN"/>
        </w:rPr>
        <w:t>由</w:t>
      </w:r>
      <w:r>
        <w:rPr>
          <w:rFonts w:hint="eastAsia" w:ascii="宋体" w:hAnsi="宋体" w:eastAsia="宋体" w:cs="宋体"/>
          <w:color w:val="auto"/>
          <w:sz w:val="21"/>
          <w:szCs w:val="21"/>
          <w:highlight w:val="none"/>
          <w:shd w:val="clear" w:color="auto" w:fill="FFFFFF"/>
          <w:lang w:val="en-US" w:eastAsia="zh-CN"/>
        </w:rPr>
        <w:t>甲方</w:t>
      </w:r>
      <w:r>
        <w:rPr>
          <w:rFonts w:hint="eastAsia" w:ascii="宋体" w:hAnsi="宋体" w:eastAsia="宋体" w:cs="宋体"/>
          <w:color w:val="auto"/>
          <w:sz w:val="21"/>
          <w:szCs w:val="21"/>
          <w:highlight w:val="none"/>
          <w:shd w:val="clear" w:color="auto" w:fill="FFFFFF"/>
          <w:lang w:eastAsia="zh-CN"/>
        </w:rPr>
        <w:t>委托</w:t>
      </w:r>
      <w:r>
        <w:rPr>
          <w:rFonts w:hint="eastAsia" w:ascii="宋体" w:hAnsi="宋体" w:eastAsia="宋体" w:cs="宋体"/>
          <w:color w:val="auto"/>
          <w:sz w:val="21"/>
          <w:szCs w:val="21"/>
          <w:highlight w:val="none"/>
          <w:shd w:val="clear" w:color="auto" w:fill="FFFFFF"/>
          <w:lang w:val="en-US" w:eastAsia="zh-CN"/>
        </w:rPr>
        <w:t>乙方</w:t>
      </w:r>
      <w:r>
        <w:rPr>
          <w:rFonts w:hint="eastAsia" w:ascii="宋体" w:hAnsi="宋体" w:eastAsia="宋体" w:cs="宋体"/>
          <w:color w:val="auto"/>
          <w:sz w:val="21"/>
          <w:szCs w:val="21"/>
          <w:highlight w:val="none"/>
          <w:shd w:val="clear" w:color="auto" w:fill="FFFFFF"/>
          <w:lang w:eastAsia="zh-CN"/>
        </w:rPr>
        <w:t>负责</w:t>
      </w:r>
      <w:r>
        <w:rPr>
          <w:rFonts w:hint="eastAsia" w:ascii="宋体" w:hAnsi="宋体" w:cs="宋体"/>
          <w:color w:val="auto"/>
          <w:sz w:val="21"/>
          <w:szCs w:val="21"/>
          <w:highlight w:val="none"/>
          <w:u w:val="single"/>
          <w:shd w:val="clear" w:color="auto" w:fill="FFFFFF"/>
          <w:lang w:val="en-US" w:eastAsia="zh-CN"/>
        </w:rPr>
        <w:t xml:space="preserve">         （标项一/标项二）     </w:t>
      </w:r>
      <w:r>
        <w:rPr>
          <w:rFonts w:hint="eastAsia" w:ascii="宋体" w:hAnsi="宋体" w:cs="宋体"/>
          <w:color w:val="auto"/>
          <w:sz w:val="21"/>
          <w:szCs w:val="21"/>
          <w:highlight w:val="none"/>
          <w:u w:val="none"/>
          <w:shd w:val="clear" w:color="auto" w:fill="FFFFFF"/>
          <w:lang w:val="en-US" w:eastAsia="zh-CN"/>
        </w:rPr>
        <w:t>的</w:t>
      </w:r>
      <w:r>
        <w:rPr>
          <w:rFonts w:hint="eastAsia" w:ascii="宋体" w:hAnsi="宋体" w:eastAsia="宋体" w:cs="宋体"/>
          <w:color w:val="auto"/>
          <w:sz w:val="21"/>
          <w:szCs w:val="21"/>
          <w:highlight w:val="none"/>
        </w:rPr>
        <w:t>建设全过程的工程咨询服务</w:t>
      </w:r>
      <w:r>
        <w:rPr>
          <w:rFonts w:hint="eastAsia" w:ascii="宋体" w:hAnsi="宋体" w:cs="宋体"/>
          <w:color w:val="auto"/>
          <w:sz w:val="21"/>
          <w:szCs w:val="21"/>
          <w:highlight w:val="none"/>
          <w:lang w:eastAsia="zh-CN"/>
        </w:rPr>
        <w:t>，</w:t>
      </w:r>
      <w:r>
        <w:rPr>
          <w:rFonts w:hint="eastAsia" w:ascii="宋体" w:hAnsi="宋体" w:eastAsia="宋体" w:cs="宋体"/>
          <w:color w:val="000000"/>
          <w:sz w:val="21"/>
          <w:szCs w:val="21"/>
          <w:highlight w:val="none"/>
          <w:shd w:val="clear" w:color="auto" w:fill="FFFFFF"/>
        </w:rPr>
        <w:t>承担项目管理</w:t>
      </w:r>
      <w:r>
        <w:rPr>
          <w:rFonts w:hint="eastAsia" w:ascii="宋体" w:hAnsi="宋体" w:eastAsia="宋体" w:cs="宋体"/>
          <w:color w:val="000000"/>
          <w:sz w:val="21"/>
          <w:szCs w:val="21"/>
          <w:highlight w:val="none"/>
          <w:shd w:val="clear" w:color="auto" w:fill="FFFFFF"/>
          <w:lang w:eastAsia="zh-CN"/>
        </w:rPr>
        <w:t>（</w:t>
      </w:r>
      <w:r>
        <w:rPr>
          <w:rFonts w:hint="eastAsia" w:ascii="宋体" w:hAnsi="宋体" w:eastAsia="宋体" w:cs="宋体"/>
          <w:color w:val="000000"/>
          <w:sz w:val="21"/>
          <w:szCs w:val="21"/>
          <w:highlight w:val="none"/>
          <w:shd w:val="clear" w:color="auto" w:fill="FFFFFF"/>
          <w:lang w:val="en-US" w:eastAsia="zh-CN"/>
        </w:rPr>
        <w:t>含前期沟通、协调</w:t>
      </w:r>
      <w:r>
        <w:rPr>
          <w:rFonts w:hint="eastAsia" w:ascii="宋体" w:hAnsi="宋体" w:eastAsia="宋体" w:cs="宋体"/>
          <w:color w:val="000000"/>
          <w:sz w:val="21"/>
          <w:szCs w:val="21"/>
          <w:highlight w:val="none"/>
          <w:shd w:val="clear" w:color="auto" w:fill="FFFFFF"/>
          <w:lang w:eastAsia="zh-CN"/>
        </w:rPr>
        <w:t>）</w:t>
      </w:r>
      <w:r>
        <w:rPr>
          <w:rFonts w:hint="eastAsia" w:ascii="宋体" w:hAnsi="宋体" w:eastAsia="宋体" w:cs="宋体"/>
          <w:color w:val="000000"/>
          <w:sz w:val="21"/>
          <w:szCs w:val="21"/>
          <w:highlight w:val="none"/>
          <w:shd w:val="clear" w:color="auto" w:fill="FFFFFF"/>
        </w:rPr>
        <w:t>、</w:t>
      </w:r>
      <w:r>
        <w:rPr>
          <w:rFonts w:hint="eastAsia" w:ascii="宋体" w:hAnsi="宋体" w:eastAsia="宋体" w:cs="宋体"/>
          <w:color w:val="000000"/>
          <w:sz w:val="21"/>
          <w:szCs w:val="21"/>
          <w:highlight w:val="none"/>
          <w:shd w:val="clear" w:color="auto" w:fill="FFFFFF"/>
          <w:lang w:val="en-US" w:eastAsia="zh-CN"/>
        </w:rPr>
        <w:t>咨询、</w:t>
      </w:r>
      <w:r>
        <w:rPr>
          <w:rFonts w:hint="eastAsia" w:ascii="宋体" w:hAnsi="宋体" w:eastAsia="宋体" w:cs="宋体"/>
          <w:color w:val="000000"/>
          <w:sz w:val="21"/>
          <w:szCs w:val="21"/>
          <w:highlight w:val="none"/>
          <w:shd w:val="clear" w:color="auto" w:fill="FFFFFF"/>
        </w:rPr>
        <w:t>监理</w:t>
      </w:r>
      <w:r>
        <w:rPr>
          <w:rFonts w:hint="eastAsia" w:ascii="宋体" w:hAnsi="宋体" w:eastAsia="宋体" w:cs="宋体"/>
          <w:color w:val="000000"/>
          <w:sz w:val="21"/>
          <w:szCs w:val="21"/>
          <w:highlight w:val="none"/>
          <w:shd w:val="clear" w:color="auto" w:fill="FFFFFF"/>
          <w:lang w:eastAsia="zh-CN"/>
        </w:rPr>
        <w:t>、</w:t>
      </w:r>
      <w:r>
        <w:rPr>
          <w:rFonts w:hint="eastAsia" w:ascii="宋体" w:hAnsi="宋体" w:eastAsia="宋体" w:cs="宋体"/>
          <w:color w:val="000000"/>
          <w:sz w:val="21"/>
          <w:szCs w:val="21"/>
          <w:highlight w:val="none"/>
          <w:shd w:val="clear" w:color="auto" w:fill="FFFFFF"/>
          <w:lang w:val="en-US" w:eastAsia="zh-CN"/>
        </w:rPr>
        <w:t>造价咨询</w:t>
      </w:r>
      <w:r>
        <w:rPr>
          <w:rFonts w:hint="eastAsia" w:ascii="宋体" w:hAnsi="宋体" w:cs="宋体"/>
          <w:color w:val="000000"/>
          <w:sz w:val="21"/>
          <w:szCs w:val="21"/>
          <w:highlight w:val="none"/>
          <w:shd w:val="clear" w:color="auto" w:fill="FFFFFF"/>
          <w:lang w:val="en-US" w:eastAsia="zh-CN"/>
        </w:rPr>
        <w:t>、招标采购</w:t>
      </w:r>
      <w:r>
        <w:rPr>
          <w:rFonts w:hint="eastAsia" w:ascii="宋体" w:hAnsi="宋体" w:eastAsia="宋体" w:cs="宋体"/>
          <w:color w:val="000000"/>
          <w:sz w:val="21"/>
          <w:szCs w:val="21"/>
          <w:highlight w:val="none"/>
          <w:shd w:val="clear" w:color="auto" w:fill="FFFFFF"/>
        </w:rPr>
        <w:t>以及其他</w:t>
      </w:r>
      <w:r>
        <w:rPr>
          <w:rFonts w:hint="eastAsia" w:ascii="宋体" w:hAnsi="宋体" w:eastAsia="宋体" w:cs="宋体"/>
          <w:color w:val="000000"/>
          <w:sz w:val="21"/>
          <w:szCs w:val="21"/>
          <w:highlight w:val="none"/>
          <w:shd w:val="clear" w:color="auto" w:fill="FFFFFF"/>
          <w:lang w:val="en-US" w:eastAsia="zh-CN"/>
        </w:rPr>
        <w:t>甲方委托的</w:t>
      </w:r>
      <w:r>
        <w:rPr>
          <w:rFonts w:hint="eastAsia" w:ascii="宋体" w:hAnsi="宋体" w:eastAsia="宋体" w:cs="宋体"/>
          <w:color w:val="000000"/>
          <w:sz w:val="21"/>
          <w:szCs w:val="21"/>
          <w:highlight w:val="none"/>
          <w:shd w:val="clear" w:color="auto" w:fill="FFFFFF"/>
        </w:rPr>
        <w:t>相关工作</w:t>
      </w:r>
      <w:r>
        <w:rPr>
          <w:rFonts w:hint="eastAsia" w:ascii="宋体" w:hAnsi="宋体" w:eastAsia="宋体" w:cs="宋体"/>
          <w:color w:val="000000"/>
          <w:sz w:val="21"/>
          <w:szCs w:val="21"/>
          <w:highlight w:val="none"/>
          <w:shd w:val="clear" w:color="auto" w:fill="FFFFFF"/>
          <w:lang w:eastAsia="zh-CN"/>
        </w:rPr>
        <w:t>）</w:t>
      </w:r>
      <w:r>
        <w:rPr>
          <w:rFonts w:hint="eastAsia" w:ascii="宋体" w:hAnsi="宋体" w:eastAsia="宋体" w:cs="宋体"/>
          <w:color w:val="000000"/>
          <w:sz w:val="21"/>
          <w:szCs w:val="21"/>
          <w:highlight w:val="none"/>
          <w:u w:val="none" w:color="auto"/>
          <w:lang w:val="en-US" w:eastAsia="zh-CN"/>
        </w:rPr>
        <w:t>；</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val="en-US" w:eastAsia="zh-CN"/>
        </w:rPr>
        <w:t>合同履行期限：</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9"/>
        <w:rPr>
          <w:rFonts w:hint="eastAsia" w:ascii="宋体" w:hAnsi="宋体" w:eastAsia="宋体" w:cs="宋体"/>
          <w:color w:val="000000"/>
          <w:kern w:val="2"/>
          <w:sz w:val="21"/>
          <w:szCs w:val="21"/>
          <w:highlight w:val="none"/>
          <w:shd w:val="clear" w:color="auto" w:fill="FFFFFF"/>
          <w:lang w:val="en-US" w:eastAsia="zh-CN" w:bidi="ar-SA"/>
        </w:rPr>
      </w:pPr>
      <w:r>
        <w:rPr>
          <w:rFonts w:hint="eastAsia" w:ascii="宋体" w:hAnsi="宋体" w:eastAsia="宋体" w:cs="宋体"/>
          <w:color w:val="000000"/>
          <w:kern w:val="2"/>
          <w:sz w:val="21"/>
          <w:szCs w:val="21"/>
          <w:highlight w:val="none"/>
          <w:shd w:val="clear" w:color="auto" w:fill="FFFFFF"/>
          <w:lang w:val="en-US" w:eastAsia="zh-CN" w:bidi="ar-SA"/>
        </w:rPr>
        <w:t>自签订合同之日起，至工程竣工验收通过、缺陷责任期满，且全部资料归档。</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合同金额</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本合同金额为（大写）：</w:t>
      </w:r>
      <w:r>
        <w:rPr>
          <w:rFonts w:hint="eastAsia" w:ascii="宋体" w:hAnsi="宋体" w:eastAsia="宋体" w:cs="宋体"/>
          <w:color w:val="000000"/>
          <w:sz w:val="21"/>
          <w:szCs w:val="21"/>
          <w:highlight w:val="none"/>
          <w:lang w:val="en-US" w:eastAsia="zh-CN"/>
        </w:rPr>
        <w:t>人民币</w:t>
      </w:r>
      <w:r>
        <w:rPr>
          <w:rFonts w:hint="eastAsia" w:ascii="宋体" w:hAnsi="宋体" w:eastAsia="宋体" w:cs="宋体"/>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。本合同价款为包干价，不作调整。</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auto"/>
          <w:kern w:val="2"/>
          <w:sz w:val="21"/>
          <w:szCs w:val="21"/>
          <w:highlight w:val="none"/>
          <w:lang w:val="en-US" w:eastAsia="zh-CN" w:bidi="ar-SA"/>
        </w:rPr>
        <w:t>其中本项目项目建设管理费为</w:t>
      </w: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lang w:val="en-US" w:eastAsia="zh-CN"/>
        </w:rPr>
        <w:t>人民币</w:t>
      </w:r>
      <w:r>
        <w:rPr>
          <w:rFonts w:hint="eastAsia" w:ascii="宋体" w:hAnsi="宋体" w:eastAsia="宋体" w:cs="宋体"/>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auto"/>
          <w:kern w:val="2"/>
          <w:sz w:val="21"/>
          <w:szCs w:val="21"/>
          <w:highlight w:val="none"/>
          <w:lang w:val="en-US" w:eastAsia="zh-CN" w:bidi="ar-SA"/>
        </w:rPr>
        <w:t>工程监理费</w:t>
      </w: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lang w:val="en-US" w:eastAsia="zh-CN"/>
        </w:rPr>
        <w:t>人民币</w:t>
      </w:r>
      <w:r>
        <w:rPr>
          <w:rFonts w:hint="eastAsia" w:ascii="宋体" w:hAnsi="宋体" w:eastAsia="宋体" w:cs="宋体"/>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auto"/>
          <w:kern w:val="2"/>
          <w:sz w:val="21"/>
          <w:szCs w:val="21"/>
          <w:highlight w:val="none"/>
          <w:lang w:val="en-US" w:eastAsia="zh-CN" w:bidi="ar-SA"/>
        </w:rPr>
        <w:t>造价咨询服务费</w:t>
      </w: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lang w:val="en-US" w:eastAsia="zh-CN"/>
        </w:rPr>
        <w:t>人民币</w:t>
      </w:r>
      <w:r>
        <w:rPr>
          <w:rFonts w:hint="eastAsia" w:ascii="宋体" w:hAnsi="宋体" w:eastAsia="宋体" w:cs="宋体"/>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left"/>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招标代理费</w:t>
      </w: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lang w:val="en-US" w:eastAsia="zh-CN"/>
        </w:rPr>
        <w:t>人民币</w:t>
      </w:r>
      <w:r>
        <w:rPr>
          <w:rFonts w:hint="eastAsia" w:ascii="宋体" w:hAnsi="宋体" w:eastAsia="宋体" w:cs="宋体"/>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bCs/>
          <w:color w:val="000000"/>
          <w:sz w:val="21"/>
          <w:szCs w:val="21"/>
          <w:highlight w:val="none"/>
          <w:lang w:eastAsia="zh-CN"/>
        </w:rPr>
      </w:pPr>
      <w:r>
        <w:rPr>
          <w:rFonts w:hint="eastAsia" w:ascii="宋体" w:hAnsi="宋体" w:eastAsia="宋体" w:cs="宋体"/>
          <w:b/>
          <w:color w:val="000000"/>
          <w:sz w:val="21"/>
          <w:szCs w:val="21"/>
          <w:highlight w:val="none"/>
          <w:lang w:val="en-US" w:eastAsia="zh-CN"/>
        </w:rPr>
        <w:t>服务</w:t>
      </w:r>
      <w:r>
        <w:rPr>
          <w:rFonts w:hint="eastAsia" w:ascii="宋体" w:hAnsi="宋体" w:eastAsia="宋体" w:cs="宋体"/>
          <w:b/>
          <w:color w:val="000000"/>
          <w:sz w:val="21"/>
          <w:szCs w:val="21"/>
          <w:highlight w:val="none"/>
          <w:lang w:eastAsia="zh-CN"/>
        </w:rPr>
        <w:t>内</w:t>
      </w:r>
      <w:r>
        <w:rPr>
          <w:rFonts w:hint="eastAsia" w:ascii="宋体" w:hAnsi="宋体" w:eastAsia="宋体" w:cs="宋体"/>
          <w:b/>
          <w:bCs/>
          <w:color w:val="000000"/>
          <w:sz w:val="21"/>
          <w:szCs w:val="21"/>
          <w:highlight w:val="none"/>
          <w:lang w:eastAsia="zh-CN"/>
        </w:rPr>
        <w:t>容</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负责实施本项目建设全过程的工程咨询服务</w:t>
      </w:r>
      <w:r>
        <w:rPr>
          <w:rFonts w:hint="eastAsia" w:ascii="宋体" w:hAnsi="宋体" w:cs="宋体"/>
          <w:color w:val="auto"/>
          <w:sz w:val="21"/>
          <w:szCs w:val="21"/>
          <w:highlight w:val="none"/>
          <w:lang w:val="en-US" w:eastAsia="zh-CN"/>
        </w:rPr>
        <w:t>（包括但不限于本项目实施期间因上级部门或其他政策原因一并纳入实施改造的内容（如消防、电梯加装等）均由全过程咨询单位提供相应的咨询、监管服务）</w:t>
      </w:r>
      <w:r>
        <w:rPr>
          <w:rFonts w:hint="eastAsia" w:ascii="宋体" w:hAnsi="宋体" w:eastAsia="宋体" w:cs="宋体"/>
          <w:color w:val="auto"/>
          <w:sz w:val="21"/>
          <w:szCs w:val="21"/>
          <w:highlight w:val="none"/>
          <w:lang w:val="en-US" w:eastAsia="zh-CN"/>
        </w:rPr>
        <w:t>。服务范围包括项目建设管理服务、工程监理、造价咨询服务、招标采购，具体内容如下：</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建设管理服务：包括计划管理，建设手续代办，综合协调管理（包括但不限于配合业主前期方案征询意见、入户调查、住户对接等），勘察设计管理,技术咨询，合同管理，现场管理，进度管理，投资把控，档案管理(包括移交城建档案部门、建设单位的档案资料)、验收移交，配合审计及资料归档，质量缺陷责任期阶段相关服务工作等。</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（2）工程监理：包括本项目施工阶段全过程及缺陷责任期监理(包含工程质量、进度、投资控制、合同管理和组织协调，安全、文明施工监管、环境保护监管等)。</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（3）造价咨询：造价咨询服务范围为除结算审核和竣工决算审核外的施工阶段全过程工程造价控制（</w:t>
      </w:r>
      <w:r>
        <w:rPr>
          <w:rFonts w:hint="eastAsia" w:ascii="宋体" w:hAnsi="宋体" w:cs="宋体"/>
          <w:color w:val="auto"/>
          <w:sz w:val="21"/>
          <w:szCs w:val="21"/>
          <w:highlight w:val="none"/>
          <w:lang w:val="en-US" w:eastAsia="zh-CN"/>
        </w:rPr>
        <w:t>含所有与本项目有关的工程造价咨询（如四网合一等）</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（4）招标采购：招标代理服务范围为除已完成的招标代理工作之外的涉及本工程的全部工程的招标代理（含政府采购)。</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服务具体要求</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6"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1、项目建设管理服务</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（1）负责推进项目前期工作。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①会同</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w:t>
      </w:r>
      <w:r>
        <w:rPr>
          <w:rFonts w:hint="eastAsia" w:ascii="宋体" w:hAnsi="宋体" w:eastAsia="宋体" w:cs="宋体"/>
          <w:color w:val="auto"/>
          <w:sz w:val="21"/>
          <w:szCs w:val="21"/>
          <w:highlight w:val="none"/>
        </w:rPr>
        <w:t>起草和编制项目规划。</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②负责其他有关前期协调工作</w:t>
      </w:r>
      <w:r>
        <w:rPr>
          <w:rFonts w:hint="eastAsia" w:ascii="宋体" w:hAnsi="宋体" w:eastAsia="宋体" w:cs="宋体"/>
          <w:color w:val="auto"/>
          <w:sz w:val="21"/>
          <w:szCs w:val="21"/>
          <w:highlight w:val="none"/>
          <w:lang w:val="en-US" w:eastAsia="zh-CN"/>
        </w:rPr>
        <w:t>（包括但不限于配合业主前期方案征询意见、入户调查、住户对接等）</w:t>
      </w:r>
      <w:r>
        <w:rPr>
          <w:rFonts w:hint="eastAsia" w:ascii="宋体" w:hAnsi="宋体" w:eastAsia="宋体" w:cs="宋体"/>
          <w:color w:val="auto"/>
          <w:sz w:val="21"/>
          <w:szCs w:val="21"/>
          <w:highlight w:val="none"/>
        </w:rPr>
        <w:t>。</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（2）负责项目各类合同的起草、谈判、签订和管理工作，并按《民法典》行使甲方（甲方）权力，履行甲方的职责和义务。</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（3）负责项目进度的管理。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①负责按照项目要求，编制项目进度总体计划，并报</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审定。</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②按批准的进度计划实施工作，确保项目如期完成。</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③定期组织召开项目例会，及时分析、协调、平衡和调整项目进度，定期向</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上报有关进度的信息、报表。</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④其他项目进度管理工作。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（4）负责工程质量管理。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①按照国家相关标准、行业标准、地方标准或者其他标准、规范要求，建立质量保证体系，严格管理，确保项目质量达到预定目标。</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②对质量负责，发生质量事故时应及时查明原因和具体责任，并及时组织事故处理方案的实施。</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③负责组织项目实施过程中分项分部的验收，包括隐蔽工程和各类材料的验收。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④其他项目质量管理工作。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（5）负责项目管理工作。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①通过招标择优选择的</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，实施时应实行科学管理，严格造价审核。</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②负责编报投资计划，经审核后报</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办理资金支付；项目建成后，</w:t>
      </w:r>
      <w:r>
        <w:rPr>
          <w:rFonts w:hint="eastAsia" w:ascii="宋体" w:hAnsi="宋体" w:eastAsia="宋体" w:cs="宋体"/>
          <w:color w:val="000000"/>
          <w:sz w:val="21"/>
          <w:szCs w:val="21"/>
          <w:highlight w:val="none"/>
          <w:lang w:eastAsia="zh-CN"/>
        </w:rPr>
        <w:t>配合</w:t>
      </w:r>
      <w:r>
        <w:rPr>
          <w:rFonts w:hint="eastAsia" w:ascii="宋体" w:hAnsi="宋体" w:eastAsia="宋体" w:cs="宋体"/>
          <w:color w:val="000000"/>
          <w:sz w:val="21"/>
          <w:szCs w:val="21"/>
          <w:highlight w:val="none"/>
        </w:rPr>
        <w:t>项目结算和财务决算，协助办理在保修期内工程尾款的支付。</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③严格按照批准的项目规模、功能、标准和预算限额组织检测修复，如有改变项目投资控制范围的调整意见，应提供投资增减情况分析报</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按程序申报调整项目预算。</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④其他项目管理工作。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（6）负责按有关规定进行安全管理和文明施工管理。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（7）负责项目相关档案和信息管理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待项目竣工验收后提交完整的归档资料给采购人。</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（8）负责设立项目基建专户，专人管理，专款专用，严格对项目实施的财务活动进行会计核算和财务管理。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（9）项目管理单位及与其有隶属关系的单位不得在本项目中承担施工、材料供应等工作。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6"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2、监理服务</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按照“四控制、三管理、一协调”的原则，保证项目在规定的时间内完成。具体内容包括：</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（1）项目质量控制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①审核和确认项目实施过程中的各种关键技术方案；</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②审核和确认</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的组织和实施方案，和</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提交的项目计划；</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③审核和确认</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的项目质量保证计划、质量控制体系（含质量控制的关键性节点）；</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④通过旁站、巡检、抽查等各种监理方法，确保项目实施过程的质量控制；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⑤审查和确认</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验收方案质量，确保项目正常竣工验收；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⑥对</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使用的修复材料品牌、性能、质量进行鉴别，必要时，委托专业第三方权威机构进行取样送检（若结果与合同不一致的，则送检费用由</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承担，并按合同承担相应违约金及责任，若结果与合同一致的，则由甲方承担）。</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（2）项目进度控制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①审核</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的进度分解计划，确认分解计划可以保证总体计划目标；</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②对项目实施进度进行实时跟踪，并要求</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对进度计划进行动态调整，以确保项目的阶段和总体进度目标的实现；</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③当项目目标出现偏离时，应及时指出，并提出对策建议，同时督促</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尽快采取措施。</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（3）项目投资控制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①通过对项目实施中的方案及设计的优化，确保投资控制在合理、性价比高的范围内；</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②协助甲方做好项目支付预算的现金流量表，将付款进度与项目质量与形象进度结合起来。</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（4）项目变更控制</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①应对变更申请快速响应；</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②协助甲方明确项目变更目标；</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③防止变更范围扩大；</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④及时公布变更信息；</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⑤协助甲方选择变更冲击最小、变更幅度最优的变更方案。</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（5）项目合同管理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①跟踪检查合同的执行情况，确保</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按时履约；</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②对合同工期的延误和延期进行审核确认；</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③对合同变更、索赔等事宜进行审核确认；</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④根据合同约定，审核</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提交的支付申请，签发付款凭证。</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（6）信息管理/项目文档管理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①做好监理日记、项目大事记及项目周报；</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②做好合同批复等各类往来文件的批复和存档；</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③做好项目协调会、技术专题会等各类会议纪要；</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④管理好实施期间的各类技术文档；</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⑤监理建议书；</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⑥监理通知；</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⑦阶段性项目总结；</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⑧各承建方提交的技术文档。</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⑨协助甲方做好相关档案的管理，包括项目文件材料的收集、审查、整理和归档等。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（7）项目安全的管理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①负责项目实施过程中所涉及的政府机密数据和资料的保护，保证不被非授权使用；</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②负责项目检测修复过程中安全控制，确保不出现安全事故；</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③负责</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下井作业安全事宜，审核（及签署）下井作业申请票。</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（8）项目协调</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负责协调本项目所涉及的各</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之间的工作关系，并协调解决项目实施过程中的各类纠纷。可应该通过必要的会议制度来实施协调工作，主要包括：现场会；周例会；监理协调会；专题讨论会；专家论证会；阶段工作总结会；问题通报会；阶段及最终验收会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（9）项目知识产权的管理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①负责项目实施过程中所产生成果的知识产权保护，保证不被非授权使用；</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②负责项目实施过程中涉及知识产权的产品和系统的使用审核，保证甲方不在本项目中出现违反知识产权的行为。</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（10）实施过程中配合服务、验收、变更等；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（11）及时参加相关阶段验收工作。</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6"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3、项目管理服务</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进行项目各方沟通、方案评审汇报；对项目关键点进行管控，确保项目保质保量完成；协助甲方进行合同洽谈及合同签订；对各类目标进行有效的控制和管理，做好过程性文档资料以及验收资料，对各系统进行质量控制、进度控制、投资控制、变更控制、安全管理、合同管理、信息管理和组织协调工作；协助甲方邀请专家包括行业知名专家和行业机构（含专家费、专家聘用费等费用）；组织</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进行外出调研和相关单位学习汇报；协助组织项目验收。</w:t>
      </w:r>
    </w:p>
    <w:p>
      <w:pPr>
        <w:pStyle w:val="12"/>
        <w:keepNext w:val="0"/>
        <w:keepLines w:val="0"/>
        <w:pageBreakBefore w:val="0"/>
        <w:widowControl/>
        <w:numPr>
          <w:ilvl w:val="0"/>
          <w:numId w:val="2"/>
        </w:numPr>
        <w:kinsoku/>
        <w:wordWrap/>
        <w:overflowPunct/>
        <w:topLinePunct w:val="0"/>
        <w:autoSpaceDE/>
        <w:autoSpaceDN/>
        <w:bidi w:val="0"/>
        <w:adjustRightInd/>
        <w:snapToGrid w:val="0"/>
        <w:spacing w:before="0" w:beforeLines="0" w:after="0" w:afterLines="0" w:line="360" w:lineRule="auto"/>
        <w:ind w:left="0" w:leftChars="0" w:right="0" w:rightChars="0" w:firstLine="406" w:firstLineChars="200"/>
        <w:textAlignment w:val="auto"/>
        <w:outlineLvl w:val="9"/>
        <w:rPr>
          <w:rFonts w:hint="eastAsia" w:ascii="宋体" w:hAnsi="宋体" w:eastAsia="宋体" w:cs="宋体"/>
          <w:b/>
          <w:bCs/>
          <w:color w:val="000000"/>
          <w:spacing w:val="-4"/>
          <w:kern w:val="2"/>
          <w:sz w:val="21"/>
          <w:szCs w:val="21"/>
          <w:highlight w:val="none"/>
          <w:lang w:val="en-US" w:eastAsia="zh-CN" w:bidi="ar-SA"/>
        </w:rPr>
      </w:pPr>
      <w:r>
        <w:rPr>
          <w:rFonts w:hint="eastAsia" w:ascii="宋体" w:hAnsi="宋体" w:eastAsia="宋体" w:cs="宋体"/>
          <w:b/>
          <w:bCs/>
          <w:color w:val="000000"/>
          <w:spacing w:val="-4"/>
          <w:kern w:val="2"/>
          <w:sz w:val="21"/>
          <w:szCs w:val="21"/>
          <w:highlight w:val="none"/>
          <w:lang w:val="en-US" w:eastAsia="zh-CN" w:bidi="ar-SA"/>
        </w:rPr>
        <w:t>施工阶段全过程工程造价控制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编制所有与本项目有关的工程造价咨询（如四网合一等）。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）了解项目基本情况，包括项目前期资料、招投标文件、施工合同、结算方式等内容；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）制定造价控制的实施流程，对承包人报送的工程预算进行审核，确定造价控制目标；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xml:space="preserve">）了解中标施工单位的施工组织设计和主要施工方案是否经济合理；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）制定现场控制造价步骤与措施，制定控制造价节点与措施，严格签证制度，避免由此给</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带来的损失；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签署设计变更、工程变更单，对变更的理由、变更的内容、金额提出建议，并帮助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办理重大设计变更的报批手续。对于各类变更，应在变更实施前快速报变更的价款给</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，对超过 100 万元的变更，还要协助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报相关单位。若发生较大设计变更或市场波动，负责向</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提交造价测算分析报告，并提供合理的造价控制方法（或建议）；变更审核质量达不到</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的要求并给</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造成一定损失的，每发现一次扣除 2000 元，直至扣到全过程工程造价咨询费用的 5%。</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）在施工过程中发现：实际施工工程量与施工单位中标的清单量进行对比，工程量误差在正负 15%以外，或清单分项误差大于总合同价款的正负 0.5%（不含 0.5%）的项目必须书面告知</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，对于清单中已经计算而实际施工中漏掉或改动的工序与结构部件，咨询公司应该采用现场拍照、录像等手段，以书面资料汇总工程量出入的情况，并计算差价，与证明材料一并交给</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，以便日后结算备用。如发现项目管理单位对此问题未发现或漏报、迟报、误报，给业主单位造成损失的，每发现一次扣除 2000元，直至扣到全过程工程造价咨询费用的 5%。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）审查项目月、季、年度工程进度报表是否准确，工程量计量、工程款支付是否合理；根据监理签署的施工单位当期实际完成的进度工程量进行复核，按照施工合同中关于进度款的拨付办法，向</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提出工程进度款拨付意见；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 xml:space="preserve">）审查预付工程款、应付工程款等是否真实、准确、完整；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审查有关各方签署的措施项目联系单及各种资料是否符合施工实际情况，必要时进行现场拍照、录像，以备查验。结合招标文件、投标文件及工程量清单报价内容，现场核实措施项目与清单报价的措施工程量，并向</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提出措施项目费用结算意见。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 xml:space="preserve">）根据施工承包合同价、进度计划，编制工程的用款计划书，根据概算进度控制计划，编制年度资金需求计划；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）参与造价控制有关的工程会议；随时掌握工程进展的实际情况，实施造价控制的跟踪管理；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）会同建设方对特殊材料、设备市场价格的征询或审核；参与无价材料、暂定材料的定牌定价。根据施工图纸的要求，对每种无价材料、暂定材料（招标文件中确定的），咨询公司协助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进行市场询价，确定材料价格，最后经</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确认。协助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进行大型设备的采购与招标。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）及时提醒</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可能发生的工程费用索赔问题，提供专业评估意见，估算书及反索赔咨询服务，以保证</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的利益。建设方、施工方双方提出索赔时，为双方提供确认、反馈索赔等咨询意见；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）对分阶段竣工的分部工程，对其完工的结算及时进行核定，每个月向</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 xml:space="preserve">提供造价控制动态分析报告。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 xml:space="preserve">）承包方提出索赔时，凭据合同和有关法律、法规，提供咨询意见； </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）提供与造价控制相关的人工、材料、设备等造价信息，过程中协助</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进行小型材料招标等其他</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需要的咨询服务。</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6"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pacing w:val="-4"/>
          <w:kern w:val="2"/>
          <w:sz w:val="21"/>
          <w:szCs w:val="21"/>
          <w:highlight w:val="none"/>
          <w:lang w:val="en-US" w:eastAsia="zh-CN" w:bidi="ar-SA"/>
        </w:rPr>
        <w:t>5、招标采购</w:t>
      </w:r>
      <w:r>
        <w:rPr>
          <w:rFonts w:hint="eastAsia" w:ascii="宋体" w:hAnsi="宋体" w:eastAsia="宋体" w:cs="宋体"/>
          <w:color w:val="000000"/>
          <w:sz w:val="21"/>
          <w:szCs w:val="21"/>
          <w:highlight w:val="none"/>
        </w:rPr>
        <w:t>(除已完成的招标代理项目)</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）根据项目建设需要及委托人需求，编制项目招标方案。</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）根据项目建设需要，确定招标范围、合同主要条款、评标办法等，编制各类招标文件等。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）组织施工招标，发布招标信息、审查投标人资质、组织勘察现场、召开投标预备会等。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）组织投标、开标、询标、评标活动，确定中标单位，开评标资料的整理归档，建立招标台账等。</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）与中标单位商签施工承包合同并报委托人审查,负责合同送审计审核，合同送相关部门备案等工作，建立合同台账等。</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服务标准</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1、质量标准：达到合同规定的质量标准，并满足甲方相关要求。</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2、安全管理目标：确保安全文明施工，杜绝发生重大安全事故。</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3、投资控制目标：以经财政部门批准的预算金额和</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的中标金额为投资控制目标。</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4、进度控制目标：同检测修复合同履行期限，并符合市政行业及区相关部门对的项目工期要求。</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机构设置</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乙方</w:t>
      </w:r>
      <w:r>
        <w:rPr>
          <w:rFonts w:hint="eastAsia" w:ascii="宋体" w:hAnsi="宋体" w:eastAsia="宋体" w:cs="宋体"/>
          <w:color w:val="000000"/>
          <w:sz w:val="21"/>
          <w:szCs w:val="21"/>
          <w:highlight w:val="none"/>
        </w:rPr>
        <w:t>应组建项目指挥部，作为派驻工程现场的项目管理机构。现场管理人员要求与</w:t>
      </w:r>
      <w:r>
        <w:rPr>
          <w:rFonts w:hint="eastAsia" w:ascii="宋体" w:hAnsi="宋体" w:eastAsia="宋体" w:cs="宋体"/>
          <w:color w:val="000000"/>
          <w:sz w:val="21"/>
          <w:szCs w:val="21"/>
          <w:highlight w:val="none"/>
          <w:lang w:val="en-US" w:eastAsia="zh-CN"/>
        </w:rPr>
        <w:t>改造服务</w:t>
      </w:r>
      <w:r>
        <w:rPr>
          <w:rFonts w:hint="eastAsia" w:ascii="宋体" w:hAnsi="宋体" w:eastAsia="宋体" w:cs="宋体"/>
          <w:color w:val="000000"/>
          <w:sz w:val="21"/>
          <w:szCs w:val="21"/>
          <w:highlight w:val="none"/>
        </w:rPr>
        <w:t>单位作业人员随行（即现场管理人员到场率为</w:t>
      </w:r>
      <w:r>
        <w:rPr>
          <w:rFonts w:hint="eastAsia" w:hAnsi="宋体" w:cs="宋体"/>
          <w:color w:val="000000"/>
          <w:sz w:val="21"/>
          <w:szCs w:val="21"/>
          <w:highlight w:val="none"/>
          <w:lang w:val="en-US" w:eastAsia="zh-CN"/>
        </w:rPr>
        <w:t>80</w:t>
      </w:r>
      <w:r>
        <w:rPr>
          <w:rFonts w:hint="eastAsia" w:ascii="宋体" w:hAnsi="宋体" w:eastAsia="宋体" w:cs="宋体"/>
          <w:color w:val="000000"/>
          <w:sz w:val="21"/>
          <w:szCs w:val="21"/>
          <w:highlight w:val="none"/>
        </w:rPr>
        <w:t>%）。</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2、项目指挥部各职能部门的设置应与项目建设规模相适应，并满足计划、合同、技术、质量、安全、造价等各方职能要求。</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人员数量及相关要求</w:t>
      </w:r>
    </w:p>
    <w:p>
      <w:pPr>
        <w:pStyle w:val="12"/>
        <w:keepNext w:val="0"/>
        <w:keepLines w:val="0"/>
        <w:pageBreakBefore w:val="0"/>
        <w:widowControl/>
        <w:numPr>
          <w:ilvl w:val="0"/>
          <w:numId w:val="10"/>
        </w:numPr>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项目负责人</w:t>
      </w:r>
    </w:p>
    <w:p>
      <w:pPr>
        <w:pStyle w:val="12"/>
        <w:keepNext w:val="0"/>
        <w:keepLines w:val="0"/>
        <w:pageBreakBefore w:val="0"/>
        <w:widowControl/>
        <w:numPr>
          <w:ilvl w:val="0"/>
          <w:numId w:val="10"/>
        </w:numPr>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总监理工程师</w:t>
      </w:r>
      <w:r>
        <w:rPr>
          <w:rFonts w:hint="eastAsia" w:ascii="宋体" w:hAnsi="宋体" w:eastAsia="宋体" w:cs="宋体"/>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姓名：</w:t>
      </w:r>
      <w:r>
        <w:rPr>
          <w:rFonts w:hint="eastAsia" w:ascii="宋体" w:hAnsi="宋体" w:eastAsia="宋体" w:cs="宋体"/>
          <w:b w:val="0"/>
          <w:bCs w:val="0"/>
          <w:color w:val="000000"/>
          <w:sz w:val="21"/>
          <w:szCs w:val="21"/>
          <w:highlight w:val="none"/>
          <w:u w:val="single" w:color="auto"/>
          <w:lang w:val="en-US" w:eastAsia="zh-CN"/>
        </w:rPr>
        <w:t xml:space="preserve">        </w:t>
      </w:r>
      <w:r>
        <w:rPr>
          <w:rFonts w:hint="eastAsia" w:ascii="宋体" w:hAnsi="宋体" w:eastAsia="宋体" w:cs="宋体"/>
          <w:b w:val="0"/>
          <w:bCs w:val="0"/>
          <w:color w:val="000000"/>
          <w:sz w:val="21"/>
          <w:szCs w:val="21"/>
          <w:highlight w:val="none"/>
          <w:u w:val="none" w:color="auto"/>
          <w:lang w:val="en-US" w:eastAsia="zh-CN"/>
        </w:rPr>
        <w:t>，</w:t>
      </w:r>
      <w:r>
        <w:rPr>
          <w:rFonts w:hint="eastAsia" w:ascii="宋体" w:hAnsi="宋体" w:eastAsia="宋体" w:cs="宋体"/>
          <w:b w:val="0"/>
          <w:bCs w:val="0"/>
          <w:color w:val="000000"/>
          <w:sz w:val="21"/>
          <w:szCs w:val="21"/>
          <w:highlight w:val="none"/>
        </w:rPr>
        <w:t>专业</w:t>
      </w:r>
      <w:r>
        <w:rPr>
          <w:rFonts w:hint="eastAsia" w:ascii="宋体" w:hAnsi="宋体" w:eastAsia="宋体" w:cs="宋体"/>
          <w:b w:val="0"/>
          <w:bCs w:val="0"/>
          <w:color w:val="000000"/>
          <w:sz w:val="21"/>
          <w:szCs w:val="21"/>
          <w:highlight w:val="none"/>
          <w:lang w:eastAsia="zh-CN"/>
        </w:rPr>
        <w:t>：</w:t>
      </w:r>
      <w:r>
        <w:rPr>
          <w:rFonts w:hint="eastAsia" w:hAnsi="宋体" w:cs="宋体"/>
          <w:b w:val="0"/>
          <w:bCs w:val="0"/>
          <w:color w:val="000000"/>
          <w:sz w:val="21"/>
          <w:szCs w:val="21"/>
          <w:highlight w:val="none"/>
          <w:u w:val="single" w:color="auto"/>
          <w:lang w:val="en-US" w:eastAsia="zh-CN"/>
        </w:rPr>
        <w:t>房屋建筑</w:t>
      </w:r>
      <w:r>
        <w:rPr>
          <w:rFonts w:hint="eastAsia" w:ascii="宋体" w:hAnsi="宋体" w:eastAsia="宋体" w:cs="宋体"/>
          <w:b w:val="0"/>
          <w:bCs w:val="0"/>
          <w:color w:val="000000"/>
          <w:sz w:val="21"/>
          <w:szCs w:val="21"/>
          <w:highlight w:val="none"/>
          <w:u w:val="single" w:color="auto"/>
          <w:lang w:val="en-US" w:eastAsia="zh-CN"/>
        </w:rPr>
        <w:t>工程</w:t>
      </w:r>
      <w:r>
        <w:rPr>
          <w:rFonts w:hint="eastAsia" w:ascii="宋体" w:hAnsi="宋体" w:eastAsia="宋体" w:cs="宋体"/>
          <w:b w:val="0"/>
          <w:bCs w:val="0"/>
          <w:i w:val="0"/>
          <w:iCs w:val="0"/>
          <w:color w:val="000000"/>
          <w:sz w:val="21"/>
          <w:szCs w:val="21"/>
          <w:highlight w:val="none"/>
          <w:u w:val="none" w:color="auto"/>
          <w:lang w:val="en-US" w:eastAsia="zh-CN"/>
        </w:rPr>
        <w:t>，</w:t>
      </w:r>
      <w:r>
        <w:rPr>
          <w:rFonts w:hint="eastAsia" w:ascii="宋体" w:hAnsi="宋体" w:eastAsia="宋体" w:cs="宋体"/>
          <w:b w:val="0"/>
          <w:bCs w:val="0"/>
          <w:i w:val="0"/>
          <w:iCs w:val="0"/>
          <w:color w:val="000000"/>
          <w:sz w:val="21"/>
          <w:szCs w:val="21"/>
          <w:highlight w:val="none"/>
        </w:rPr>
        <w:t>职业资格</w:t>
      </w:r>
      <w:r>
        <w:rPr>
          <w:rFonts w:hint="eastAsia" w:ascii="宋体" w:hAnsi="宋体" w:eastAsia="宋体" w:cs="宋体"/>
          <w:b w:val="0"/>
          <w:bCs w:val="0"/>
          <w:i w:val="0"/>
          <w:iCs w:val="0"/>
          <w:color w:val="000000"/>
          <w:sz w:val="21"/>
          <w:szCs w:val="21"/>
          <w:highlight w:val="none"/>
          <w:lang w:eastAsia="zh-CN"/>
        </w:rPr>
        <w:t>：</w:t>
      </w:r>
      <w:r>
        <w:rPr>
          <w:rFonts w:hint="eastAsia" w:ascii="宋体" w:hAnsi="宋体" w:eastAsia="宋体" w:cs="宋体"/>
          <w:b w:val="0"/>
          <w:bCs w:val="0"/>
          <w:color w:val="000000"/>
          <w:sz w:val="21"/>
          <w:szCs w:val="21"/>
          <w:highlight w:val="none"/>
          <w:u w:val="single" w:color="auto"/>
          <w:lang w:val="en-US" w:eastAsia="zh-CN"/>
        </w:rPr>
        <w:t>国家注册监理工程师</w:t>
      </w:r>
      <w:r>
        <w:rPr>
          <w:rFonts w:hint="eastAsia" w:ascii="宋体" w:hAnsi="宋体" w:eastAsia="宋体" w:cs="宋体"/>
          <w:color w:val="000000"/>
          <w:sz w:val="21"/>
          <w:szCs w:val="21"/>
          <w:highlight w:val="none"/>
        </w:rPr>
        <w:t>。</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b w:val="0"/>
          <w:bCs/>
          <w:i w:val="0"/>
          <w:iCs w:val="0"/>
          <w:color w:val="000000"/>
          <w:kern w:val="2"/>
          <w:sz w:val="21"/>
          <w:szCs w:val="21"/>
          <w:highlight w:val="none"/>
          <w:lang w:val="en-US" w:eastAsia="zh-CN" w:bidi="ar-SA"/>
        </w:rPr>
        <w:t>专业监理工程师姓名：</w:t>
      </w:r>
      <w:r>
        <w:rPr>
          <w:rFonts w:hint="eastAsia" w:ascii="宋体" w:hAnsi="宋体" w:eastAsia="宋体" w:cs="宋体"/>
          <w:b w:val="0"/>
          <w:bCs/>
          <w:i w:val="0"/>
          <w:iCs w:val="0"/>
          <w:color w:val="000000"/>
          <w:sz w:val="21"/>
          <w:szCs w:val="21"/>
          <w:highlight w:val="none"/>
          <w:u w:val="single" w:color="auto"/>
          <w:lang w:val="en-US" w:eastAsia="zh-CN"/>
        </w:rPr>
        <w:t xml:space="preserve">        </w:t>
      </w:r>
      <w:r>
        <w:rPr>
          <w:rFonts w:hint="eastAsia" w:ascii="宋体" w:hAnsi="宋体" w:eastAsia="宋体" w:cs="宋体"/>
          <w:b w:val="0"/>
          <w:bCs/>
          <w:i w:val="0"/>
          <w:iCs w:val="0"/>
          <w:color w:val="000000"/>
          <w:sz w:val="21"/>
          <w:szCs w:val="21"/>
          <w:highlight w:val="none"/>
          <w:u w:val="none" w:color="auto"/>
          <w:lang w:val="en-US" w:eastAsia="zh-CN"/>
        </w:rPr>
        <w:t>，</w:t>
      </w:r>
      <w:r>
        <w:rPr>
          <w:rFonts w:hint="eastAsia" w:ascii="宋体" w:hAnsi="宋体" w:eastAsia="宋体" w:cs="宋体"/>
          <w:b w:val="0"/>
          <w:bCs/>
          <w:i w:val="0"/>
          <w:iCs w:val="0"/>
          <w:color w:val="000000"/>
          <w:sz w:val="21"/>
          <w:szCs w:val="21"/>
          <w:highlight w:val="none"/>
          <w:u w:val="single" w:color="auto"/>
          <w:lang w:val="en-US" w:eastAsia="zh-CN"/>
        </w:rPr>
        <w:t xml:space="preserve">        </w:t>
      </w:r>
      <w:r>
        <w:rPr>
          <w:rFonts w:hint="eastAsia" w:ascii="宋体" w:hAnsi="宋体" w:eastAsia="宋体" w:cs="宋体"/>
          <w:b w:val="0"/>
          <w:bCs/>
          <w:i w:val="0"/>
          <w:iCs w:val="0"/>
          <w:color w:val="000000"/>
          <w:sz w:val="21"/>
          <w:szCs w:val="21"/>
          <w:highlight w:val="none"/>
          <w:u w:val="none" w:color="auto"/>
          <w:lang w:val="en-US" w:eastAsia="zh-CN"/>
        </w:rPr>
        <w:t>。</w:t>
      </w:r>
      <w:r>
        <w:rPr>
          <w:rFonts w:hint="eastAsia" w:ascii="宋体" w:hAnsi="宋体" w:eastAsia="宋体" w:cs="宋体"/>
          <w:b w:val="0"/>
          <w:bCs/>
          <w:i w:val="0"/>
          <w:iCs w:val="0"/>
          <w:color w:val="000000"/>
          <w:sz w:val="21"/>
          <w:szCs w:val="21"/>
          <w:highlight w:val="none"/>
        </w:rPr>
        <w:t>专业</w:t>
      </w:r>
      <w:r>
        <w:rPr>
          <w:rFonts w:hint="eastAsia" w:ascii="宋体" w:hAnsi="宋体" w:eastAsia="宋体" w:cs="宋体"/>
          <w:b w:val="0"/>
          <w:bCs/>
          <w:i w:val="0"/>
          <w:iCs w:val="0"/>
          <w:color w:val="000000"/>
          <w:kern w:val="2"/>
          <w:sz w:val="21"/>
          <w:szCs w:val="21"/>
          <w:highlight w:val="none"/>
          <w:lang w:val="en-US" w:eastAsia="zh-CN" w:bidi="ar-SA"/>
        </w:rPr>
        <w:t>：</w:t>
      </w:r>
      <w:r>
        <w:rPr>
          <w:rFonts w:hint="eastAsia" w:ascii="宋体" w:hAnsi="宋体" w:eastAsia="宋体" w:cs="宋体"/>
          <w:b w:val="0"/>
          <w:bCs/>
          <w:i w:val="0"/>
          <w:iCs w:val="0"/>
          <w:color w:val="000000"/>
          <w:sz w:val="21"/>
          <w:szCs w:val="21"/>
          <w:highlight w:val="none"/>
          <w:u w:val="single" w:color="auto"/>
          <w:lang w:val="en-US" w:eastAsia="zh-CN"/>
        </w:rPr>
        <w:t xml:space="preserve">      </w:t>
      </w:r>
      <w:r>
        <w:rPr>
          <w:rFonts w:hint="eastAsia" w:ascii="宋体" w:hAnsi="宋体" w:eastAsia="宋体" w:cs="宋体"/>
          <w:b w:val="0"/>
          <w:bCs/>
          <w:i w:val="0"/>
          <w:iCs w:val="0"/>
          <w:color w:val="000000"/>
          <w:sz w:val="21"/>
          <w:szCs w:val="21"/>
          <w:highlight w:val="none"/>
          <w:u w:val="none" w:color="auto"/>
          <w:lang w:val="en-US" w:eastAsia="zh-CN"/>
        </w:rPr>
        <w:t>，</w:t>
      </w:r>
      <w:r>
        <w:rPr>
          <w:rFonts w:hint="eastAsia" w:ascii="宋体" w:hAnsi="宋体" w:eastAsia="宋体" w:cs="宋体"/>
          <w:b w:val="0"/>
          <w:bCs w:val="0"/>
          <w:i w:val="0"/>
          <w:iCs w:val="0"/>
          <w:color w:val="000000"/>
          <w:sz w:val="21"/>
          <w:szCs w:val="21"/>
          <w:highlight w:val="none"/>
        </w:rPr>
        <w:t>职业资格</w:t>
      </w:r>
      <w:r>
        <w:rPr>
          <w:rFonts w:hint="eastAsia" w:ascii="宋体" w:hAnsi="宋体" w:eastAsia="宋体" w:cs="宋体"/>
          <w:b w:val="0"/>
          <w:bCs w:val="0"/>
          <w:i w:val="0"/>
          <w:iCs w:val="0"/>
          <w:color w:val="000000"/>
          <w:sz w:val="21"/>
          <w:szCs w:val="21"/>
          <w:highlight w:val="none"/>
          <w:lang w:val="en-US" w:eastAsia="zh-CN"/>
        </w:rPr>
        <w:t>或职称</w:t>
      </w:r>
      <w:r>
        <w:rPr>
          <w:rFonts w:hint="eastAsia" w:ascii="宋体" w:hAnsi="宋体" w:eastAsia="宋体" w:cs="宋体"/>
          <w:b w:val="0"/>
          <w:bCs w:val="0"/>
          <w:i w:val="0"/>
          <w:iCs w:val="0"/>
          <w:color w:val="000000"/>
          <w:sz w:val="21"/>
          <w:szCs w:val="21"/>
          <w:highlight w:val="none"/>
          <w:lang w:eastAsia="zh-CN"/>
        </w:rPr>
        <w:t>：</w:t>
      </w:r>
      <w:r>
        <w:rPr>
          <w:rFonts w:hint="eastAsia" w:ascii="宋体" w:hAnsi="宋体" w:eastAsia="宋体" w:cs="宋体"/>
          <w:b w:val="0"/>
          <w:bCs w:val="0"/>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、工程类相关专业现场管理人员：</w:t>
      </w:r>
      <w:r>
        <w:rPr>
          <w:rFonts w:hint="eastAsia" w:ascii="宋体" w:hAnsi="宋体" w:eastAsia="宋体" w:cs="宋体"/>
          <w:color w:val="000000"/>
          <w:sz w:val="21"/>
          <w:szCs w:val="21"/>
          <w:highlight w:val="none"/>
          <w:u w:val="single"/>
          <w:lang w:val="en-US" w:eastAsia="zh-CN"/>
        </w:rPr>
        <w:t xml:space="preserve">   </w:t>
      </w:r>
      <w:r>
        <w:rPr>
          <w:rFonts w:hint="eastAsia"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hAnsi="宋体" w:cs="宋体"/>
          <w:color w:val="000000"/>
          <w:sz w:val="21"/>
          <w:szCs w:val="21"/>
          <w:highlight w:val="none"/>
          <w:lang w:val="en-US" w:eastAsia="zh-CN"/>
        </w:rPr>
        <w:t>5、招标采购人员</w:t>
      </w:r>
      <w:r>
        <w:rPr>
          <w:rFonts w:hint="eastAsia" w:ascii="宋体" w:hAnsi="宋体" w:eastAsia="宋体" w:cs="宋体"/>
          <w:color w:val="000000"/>
          <w:sz w:val="21"/>
          <w:szCs w:val="21"/>
          <w:highlight w:val="none"/>
          <w:lang w:val="en-US" w:eastAsia="zh-CN"/>
        </w:rPr>
        <w:t>姓名：</w:t>
      </w:r>
      <w:r>
        <w:rPr>
          <w:rFonts w:hint="eastAsia" w:ascii="宋体" w:hAnsi="宋体" w:eastAsia="宋体" w:cs="宋体"/>
          <w:b w:val="0"/>
          <w:bCs/>
          <w:i w:val="0"/>
          <w:iCs w:val="0"/>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资料员姓名：</w:t>
      </w:r>
      <w:r>
        <w:rPr>
          <w:rFonts w:hint="eastAsia" w:ascii="宋体" w:hAnsi="宋体" w:eastAsia="宋体" w:cs="宋体"/>
          <w:b w:val="0"/>
          <w:bCs/>
          <w:i w:val="0"/>
          <w:iCs w:val="0"/>
          <w:color w:val="000000"/>
          <w:sz w:val="21"/>
          <w:szCs w:val="21"/>
          <w:highlight w:val="none"/>
          <w:u w:val="single" w:color="auto"/>
          <w:lang w:val="en-US" w:eastAsia="zh-CN"/>
        </w:rPr>
        <w:t xml:space="preserve">        </w:t>
      </w:r>
      <w:r>
        <w:rPr>
          <w:rFonts w:hint="eastAsia" w:ascii="宋体" w:hAnsi="宋体" w:eastAsia="宋体" w:cs="宋体"/>
          <w:color w:val="000000"/>
          <w:sz w:val="21"/>
          <w:szCs w:val="21"/>
          <w:highlight w:val="none"/>
        </w:rPr>
        <w:t>。</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对投入本项目的办公及检测设备的要求</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108" w:type="dxa"/>
          <w:bottom w:w="28" w:type="dxa"/>
          <w:right w:w="108" w:type="dxa"/>
        </w:tblCellMar>
      </w:tblPr>
      <w:tblGrid>
        <w:gridCol w:w="1043"/>
        <w:gridCol w:w="4284"/>
        <w:gridCol w:w="1656"/>
        <w:gridCol w:w="19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tblHeader/>
          <w:jc w:val="center"/>
        </w:trPr>
        <w:tc>
          <w:tcPr>
            <w:tcW w:w="1043"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4284"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所需设备名称</w:t>
            </w:r>
          </w:p>
        </w:tc>
        <w:tc>
          <w:tcPr>
            <w:tcW w:w="1656"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1968"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284"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计算机、打印机、复印机及相关软件等</w:t>
            </w:r>
          </w:p>
        </w:tc>
        <w:tc>
          <w:tcPr>
            <w:tcW w:w="1656"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c>
          <w:tcPr>
            <w:tcW w:w="1968"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284"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办公设备</w:t>
            </w:r>
          </w:p>
        </w:tc>
        <w:tc>
          <w:tcPr>
            <w:tcW w:w="1656"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c>
          <w:tcPr>
            <w:tcW w:w="1968"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284"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考勤机</w:t>
            </w:r>
          </w:p>
        </w:tc>
        <w:tc>
          <w:tcPr>
            <w:tcW w:w="1656"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lang w:val="en-US" w:eastAsia="zh-CN"/>
              </w:rPr>
            </w:pPr>
          </w:p>
        </w:tc>
        <w:tc>
          <w:tcPr>
            <w:tcW w:w="1968"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284"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室外</w:t>
            </w:r>
            <w:r>
              <w:rPr>
                <w:rFonts w:hint="eastAsia" w:ascii="宋体" w:hAnsi="宋体" w:eastAsia="宋体" w:cs="宋体"/>
                <w:color w:val="000000"/>
                <w:sz w:val="21"/>
                <w:szCs w:val="21"/>
                <w:highlight w:val="none"/>
              </w:rPr>
              <w:t>测距仪</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如滚轮</w:t>
            </w:r>
            <w:r>
              <w:rPr>
                <w:rFonts w:hint="eastAsia" w:ascii="宋体" w:hAnsi="宋体" w:eastAsia="宋体" w:cs="宋体"/>
                <w:color w:val="000000"/>
                <w:sz w:val="21"/>
                <w:szCs w:val="21"/>
                <w:highlight w:val="none"/>
                <w:lang w:eastAsia="zh-CN"/>
              </w:rPr>
              <w:t>）</w:t>
            </w:r>
          </w:p>
        </w:tc>
        <w:tc>
          <w:tcPr>
            <w:tcW w:w="1656"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c>
          <w:tcPr>
            <w:tcW w:w="1968" w:type="dxa"/>
            <w:tcBorders>
              <w:tl2br w:val="nil"/>
              <w:tr2bl w:val="nil"/>
            </w:tcBorders>
            <w:noWrap w:val="0"/>
            <w:vAlign w:val="center"/>
          </w:tcPr>
          <w:p>
            <w:pPr>
              <w:keepNext w:val="0"/>
              <w:keepLines w:val="0"/>
              <w:pageBreakBefore w:val="0"/>
              <w:widowControl w:val="0"/>
              <w:tabs>
                <w:tab w:val="left" w:pos="748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2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电子秤</w:t>
            </w:r>
          </w:p>
        </w:tc>
        <w:tc>
          <w:tcPr>
            <w:tcW w:w="1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c>
          <w:tcPr>
            <w:tcW w:w="19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42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有毒气体检测仪</w:t>
            </w:r>
          </w:p>
        </w:tc>
        <w:tc>
          <w:tcPr>
            <w:tcW w:w="1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c>
          <w:tcPr>
            <w:tcW w:w="19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4284"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手机</w:t>
            </w:r>
          </w:p>
        </w:tc>
        <w:tc>
          <w:tcPr>
            <w:tcW w:w="1656"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c>
          <w:tcPr>
            <w:tcW w:w="1968"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保证24小时通信通畅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8</w:t>
            </w:r>
          </w:p>
        </w:tc>
        <w:tc>
          <w:tcPr>
            <w:tcW w:w="4284"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交通工具</w:t>
            </w:r>
          </w:p>
        </w:tc>
        <w:tc>
          <w:tcPr>
            <w:tcW w:w="1656"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c>
          <w:tcPr>
            <w:tcW w:w="1968"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专门用于</w:t>
            </w:r>
            <w:r>
              <w:rPr>
                <w:rFonts w:hint="eastAsia" w:ascii="宋体" w:hAnsi="宋体" w:eastAsia="宋体" w:cs="宋体"/>
                <w:bCs/>
                <w:color w:val="000000"/>
                <w:sz w:val="21"/>
                <w:szCs w:val="21"/>
                <w:highlight w:val="none"/>
                <w:lang w:eastAsia="zh-CN"/>
              </w:rPr>
              <w:t>本项目服务，不得用于其他用途</w:t>
            </w:r>
            <w:r>
              <w:rPr>
                <w:rFonts w:hint="eastAsia" w:ascii="宋体" w:hAnsi="宋体" w:eastAsia="宋体" w:cs="宋体"/>
                <w:bCs/>
                <w:color w:val="00000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454" w:hRule="atLeast"/>
          <w:jc w:val="center"/>
        </w:trPr>
        <w:tc>
          <w:tcPr>
            <w:tcW w:w="1043"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4284"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完成监理工作所需的其他工具、设备</w:t>
            </w:r>
          </w:p>
        </w:tc>
        <w:tc>
          <w:tcPr>
            <w:tcW w:w="1656"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c>
          <w:tcPr>
            <w:tcW w:w="1968" w:type="dxa"/>
            <w:tcBorders>
              <w:tl2br w:val="nil"/>
              <w:tr2bl w:val="nil"/>
            </w:tcBorders>
            <w:noWrap w:val="0"/>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p>
        </w:tc>
      </w:tr>
    </w:tbl>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156" w:beforeLines="5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违约、考评罚则</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1、因全过程项目咨询单位原因，导致工程质量不合格</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应无偿返工，直至合格为止。委托人有权对</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处以违约金，限额为</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对应履约担保金额的</w:t>
      </w:r>
      <w:r>
        <w:rPr>
          <w:rFonts w:hint="eastAsia" w:hAnsi="宋体" w:cs="宋体"/>
          <w:color w:val="000000"/>
          <w:sz w:val="21"/>
          <w:szCs w:val="21"/>
          <w:highlight w:val="none"/>
          <w:lang w:val="en-US" w:eastAsia="zh-CN"/>
        </w:rPr>
        <w:t>100</w:t>
      </w:r>
      <w:r>
        <w:rPr>
          <w:rFonts w:hint="eastAsia" w:ascii="宋体" w:hAnsi="宋体" w:eastAsia="宋体" w:cs="宋体"/>
          <w:color w:val="000000"/>
          <w:sz w:val="21"/>
          <w:szCs w:val="21"/>
          <w:highlight w:val="none"/>
        </w:rPr>
        <w:t>%，不足部分，委托人有权对</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进行追偿。由此增加的费用及造成工程拖延，由</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负责。</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因</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原因，导致工期延长的，未按约定期限完成全过程工程咨询工作,对超出日期按</w:t>
      </w:r>
      <w:r>
        <w:rPr>
          <w:rFonts w:hint="eastAsia"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000元/天计取赔偿，限额为全过程工程咨询对应履约担保金额的</w:t>
      </w:r>
      <w:r>
        <w:rPr>
          <w:rFonts w:hint="eastAsia" w:hAnsi="宋体" w:cs="宋体"/>
          <w:color w:val="000000"/>
          <w:sz w:val="21"/>
          <w:szCs w:val="21"/>
          <w:highlight w:val="none"/>
          <w:lang w:val="en-US" w:eastAsia="zh-CN"/>
        </w:rPr>
        <w:t>100</w:t>
      </w:r>
      <w:r>
        <w:rPr>
          <w:rFonts w:hint="eastAsia" w:ascii="宋体" w:hAnsi="宋体" w:eastAsia="宋体" w:cs="宋体"/>
          <w:color w:val="000000"/>
          <w:sz w:val="21"/>
          <w:szCs w:val="21"/>
          <w:highlight w:val="none"/>
        </w:rPr>
        <w:t>%，不足部分，委托人有权对</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进行追偿。</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因</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原因，未按委托人要求及时、全面履行建设手续代办、设计管理、综合协调义务，导致项目建设进度的推迟或延误的，委托人将给与警告，情节严重的，委托人有权解除合同。</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因</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未妥善履行合同及台帐管理义务，对委托人或第三人所提出的问题（约定范围内的）不能及时核对或答复，导致合同不能全部或部分履行，造成委托人经济损失的，</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应承担赔偿责任。</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不得接受所有第三方的礼品、宴请和任何其它好处，不得泄露全过程工程咨询过程中依法需要保密的内容。合同终止后，未经委托人同意，</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不得泄漏与本合同工程相关的任何资料和情况。否则，委托人有权要求其承担赔偿责任。</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如果出现重大责任事故，</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需承担相应的法律责任，并对</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处以本合同全过程工程咨询对应履约担保金额的</w:t>
      </w:r>
      <w:r>
        <w:rPr>
          <w:rFonts w:hint="eastAsia" w:hAnsi="宋体" w:cs="宋体"/>
          <w:color w:val="000000"/>
          <w:sz w:val="21"/>
          <w:szCs w:val="21"/>
          <w:highlight w:val="none"/>
          <w:lang w:val="en-US" w:eastAsia="zh-CN"/>
        </w:rPr>
        <w:t>100</w:t>
      </w:r>
      <w:r>
        <w:rPr>
          <w:rFonts w:hint="eastAsia" w:ascii="宋体" w:hAnsi="宋体" w:eastAsia="宋体" w:cs="宋体"/>
          <w:color w:val="000000"/>
          <w:sz w:val="21"/>
          <w:szCs w:val="21"/>
          <w:highlight w:val="none"/>
        </w:rPr>
        <w:t>%的罚款，不足部分，委托人有权对</w:t>
      </w:r>
      <w:r>
        <w:rPr>
          <w:rFonts w:hint="eastAsia" w:ascii="宋体" w:hAnsi="宋体" w:eastAsia="宋体" w:cs="宋体"/>
          <w:color w:val="000000"/>
          <w:sz w:val="21"/>
          <w:szCs w:val="21"/>
          <w:highlight w:val="none"/>
          <w:lang w:eastAsia="zh-CN"/>
        </w:rPr>
        <w:t>全过程项目咨询单位</w:t>
      </w:r>
      <w:r>
        <w:rPr>
          <w:rFonts w:hint="eastAsia" w:ascii="宋体" w:hAnsi="宋体" w:eastAsia="宋体" w:cs="宋体"/>
          <w:color w:val="000000"/>
          <w:sz w:val="21"/>
          <w:szCs w:val="21"/>
          <w:highlight w:val="none"/>
        </w:rPr>
        <w:t>进行追偿。</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、未经甲方允许更换项目负责人的，每次处人民币10000元的违约金；未经甲方允许更换作业人员的，每次处人民币2000元的违约金；现场管理人员未在现场的，按缺勤扣人民币1000元/次/人。</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8、</w:t>
      </w:r>
      <w:r>
        <w:rPr>
          <w:rFonts w:hint="eastAsia" w:ascii="宋体" w:hAnsi="宋体" w:eastAsia="宋体" w:cs="宋体"/>
          <w:color w:val="000000"/>
          <w:sz w:val="21"/>
          <w:szCs w:val="21"/>
          <w:highlight w:val="none"/>
          <w:lang w:bidi="ar"/>
        </w:rPr>
        <w:t>全过程</w:t>
      </w:r>
      <w:r>
        <w:rPr>
          <w:rFonts w:hint="eastAsia" w:ascii="宋体" w:hAnsi="宋体" w:eastAsia="宋体" w:cs="宋体"/>
          <w:color w:val="000000"/>
          <w:sz w:val="21"/>
          <w:szCs w:val="21"/>
          <w:highlight w:val="none"/>
          <w:lang w:val="en-US" w:eastAsia="zh-CN" w:bidi="ar"/>
        </w:rPr>
        <w:t>项目</w:t>
      </w:r>
      <w:r>
        <w:rPr>
          <w:rFonts w:hint="eastAsia" w:ascii="宋体" w:hAnsi="宋体" w:eastAsia="宋体" w:cs="宋体"/>
          <w:color w:val="000000"/>
          <w:sz w:val="21"/>
          <w:szCs w:val="21"/>
          <w:highlight w:val="none"/>
          <w:lang w:bidi="ar"/>
        </w:rPr>
        <w:t>咨询</w:t>
      </w:r>
      <w:r>
        <w:rPr>
          <w:rFonts w:hint="eastAsia" w:ascii="宋体" w:hAnsi="宋体" w:eastAsia="宋体" w:cs="宋体"/>
          <w:color w:val="000000"/>
          <w:sz w:val="21"/>
          <w:szCs w:val="21"/>
          <w:highlight w:val="none"/>
          <w:lang w:val="en-US" w:eastAsia="zh-CN" w:bidi="ar"/>
        </w:rPr>
        <w:t>单位</w:t>
      </w:r>
      <w:r>
        <w:rPr>
          <w:rFonts w:hint="eastAsia" w:ascii="宋体" w:hAnsi="宋体" w:eastAsia="宋体" w:cs="宋体"/>
          <w:color w:val="000000"/>
          <w:sz w:val="21"/>
          <w:szCs w:val="21"/>
          <w:highlight w:val="none"/>
          <w:lang w:bidi="ar"/>
        </w:rPr>
        <w:t>应按投标承诺的项目机构人员实际到位，常驻现场。项目负责人</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val="en-US" w:eastAsia="zh-CN" w:bidi="ar"/>
        </w:rPr>
        <w:t>总监</w:t>
      </w:r>
      <w:r>
        <w:rPr>
          <w:rFonts w:hint="eastAsia" w:ascii="宋体" w:hAnsi="宋体" w:eastAsia="宋体" w:cs="宋体"/>
          <w:color w:val="000000"/>
          <w:sz w:val="21"/>
          <w:szCs w:val="21"/>
          <w:highlight w:val="none"/>
          <w:lang w:bidi="ar"/>
        </w:rPr>
        <w:t>到位率必须达到正常工作日（考勤天数按每月2</w:t>
      </w:r>
      <w:r>
        <w:rPr>
          <w:rFonts w:hint="eastAsia" w:ascii="宋体" w:hAnsi="宋体" w:eastAsia="宋体" w:cs="宋体"/>
          <w:color w:val="000000"/>
          <w:sz w:val="21"/>
          <w:szCs w:val="21"/>
          <w:highlight w:val="none"/>
          <w:lang w:val="en-US" w:eastAsia="zh-CN" w:bidi="ar"/>
        </w:rPr>
        <w:t>5</w:t>
      </w:r>
      <w:r>
        <w:rPr>
          <w:rFonts w:hint="eastAsia" w:ascii="宋体" w:hAnsi="宋体" w:eastAsia="宋体" w:cs="宋体"/>
          <w:color w:val="000000"/>
          <w:sz w:val="21"/>
          <w:szCs w:val="21"/>
          <w:highlight w:val="none"/>
          <w:lang w:bidi="ar"/>
        </w:rPr>
        <w:t>日计）的</w:t>
      </w:r>
      <w:r>
        <w:rPr>
          <w:rFonts w:hint="eastAsia" w:hAnsi="宋体" w:cs="宋体"/>
          <w:color w:val="000000"/>
          <w:sz w:val="21"/>
          <w:szCs w:val="21"/>
          <w:highlight w:val="none"/>
          <w:lang w:val="en-US" w:eastAsia="zh-CN" w:bidi="ar"/>
        </w:rPr>
        <w:t>80</w:t>
      </w:r>
      <w:r>
        <w:rPr>
          <w:rFonts w:hint="eastAsia" w:ascii="宋体" w:hAnsi="宋体" w:eastAsia="宋体" w:cs="宋体"/>
          <w:color w:val="000000"/>
          <w:sz w:val="21"/>
          <w:szCs w:val="21"/>
          <w:highlight w:val="none"/>
          <w:lang w:bidi="ar"/>
        </w:rPr>
        <w:t>%以上，否则按1000元/天的标准赔偿；</w:t>
      </w:r>
      <w:r>
        <w:rPr>
          <w:rFonts w:hint="eastAsia" w:ascii="宋体" w:hAnsi="宋体" w:eastAsia="宋体" w:cs="宋体"/>
          <w:color w:val="000000"/>
          <w:sz w:val="21"/>
          <w:szCs w:val="21"/>
          <w:highlight w:val="none"/>
          <w:lang w:val="en-US" w:eastAsia="zh-CN" w:bidi="ar"/>
        </w:rPr>
        <w:t>其他人员（除非现场管理人员）</w:t>
      </w:r>
      <w:r>
        <w:rPr>
          <w:rFonts w:hint="eastAsia" w:ascii="宋体" w:hAnsi="宋体" w:eastAsia="宋体" w:cs="宋体"/>
          <w:color w:val="000000"/>
          <w:sz w:val="21"/>
          <w:szCs w:val="21"/>
          <w:highlight w:val="none"/>
          <w:lang w:bidi="ar"/>
        </w:rPr>
        <w:t>到位率必须达到正常工作日（考勤天数按每月2</w:t>
      </w:r>
      <w:r>
        <w:rPr>
          <w:rFonts w:hint="eastAsia" w:ascii="宋体" w:hAnsi="宋体" w:eastAsia="宋体" w:cs="宋体"/>
          <w:color w:val="000000"/>
          <w:sz w:val="21"/>
          <w:szCs w:val="21"/>
          <w:highlight w:val="none"/>
          <w:lang w:val="en-US" w:eastAsia="zh-CN" w:bidi="ar"/>
        </w:rPr>
        <w:t>5</w:t>
      </w:r>
      <w:r>
        <w:rPr>
          <w:rFonts w:hint="eastAsia" w:ascii="宋体" w:hAnsi="宋体" w:eastAsia="宋体" w:cs="宋体"/>
          <w:color w:val="000000"/>
          <w:sz w:val="21"/>
          <w:szCs w:val="21"/>
          <w:highlight w:val="none"/>
          <w:lang w:bidi="ar"/>
        </w:rPr>
        <w:t>日计）的</w:t>
      </w:r>
      <w:r>
        <w:rPr>
          <w:rFonts w:hint="eastAsia" w:hAnsi="宋体" w:cs="宋体"/>
          <w:color w:val="000000"/>
          <w:sz w:val="21"/>
          <w:szCs w:val="21"/>
          <w:highlight w:val="none"/>
          <w:lang w:val="en-US" w:eastAsia="zh-CN" w:bidi="ar"/>
        </w:rPr>
        <w:t>90</w:t>
      </w:r>
      <w:r>
        <w:rPr>
          <w:rFonts w:hint="eastAsia" w:ascii="宋体" w:hAnsi="宋体" w:eastAsia="宋体" w:cs="宋体"/>
          <w:color w:val="000000"/>
          <w:sz w:val="21"/>
          <w:szCs w:val="21"/>
          <w:highlight w:val="none"/>
          <w:lang w:bidi="ar"/>
        </w:rPr>
        <w:t>%，否则按500元/天的标准赔偿</w:t>
      </w:r>
      <w:r>
        <w:rPr>
          <w:rFonts w:hint="eastAsia" w:ascii="宋体" w:hAnsi="宋体" w:eastAsia="宋体" w:cs="宋体"/>
          <w:color w:val="000000"/>
          <w:sz w:val="21"/>
          <w:szCs w:val="21"/>
          <w:highlight w:val="none"/>
          <w:lang w:eastAsia="zh-CN" w:bidi="ar"/>
        </w:rPr>
        <w:t>。</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、在工程量审查、签证过程中，乙方每发现</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上报工程量超过实际工程量15%时，乙方知情不报或故意欺瞒的，与</w:t>
      </w:r>
      <w:r>
        <w:rPr>
          <w:rFonts w:hint="eastAsia" w:ascii="宋体" w:hAnsi="宋体" w:eastAsia="宋体" w:cs="宋体"/>
          <w:color w:val="000000"/>
          <w:sz w:val="21"/>
          <w:szCs w:val="21"/>
          <w:highlight w:val="none"/>
          <w:lang w:eastAsia="zh-CN"/>
        </w:rPr>
        <w:t>改造服务单位</w:t>
      </w:r>
      <w:r>
        <w:rPr>
          <w:rFonts w:hint="eastAsia" w:ascii="宋体" w:hAnsi="宋体" w:eastAsia="宋体" w:cs="宋体"/>
          <w:color w:val="000000"/>
          <w:sz w:val="21"/>
          <w:szCs w:val="21"/>
          <w:highlight w:val="none"/>
        </w:rPr>
        <w:t>同等扣罚，直至甲方单方终止合同，扣除费用直接从当月合同费用中扣除。</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、乙方未按照甲方要求做好内业资料的，每发现一次处人民币500元的违约金，乙方在接到甲方整改通知一周内完善内业资料。</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履约保证金</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履约保证金</w:t>
      </w:r>
      <w:r>
        <w:rPr>
          <w:rFonts w:hint="eastAsia" w:hAnsi="宋体" w:cs="宋体"/>
          <w:color w:val="000000"/>
          <w:sz w:val="21"/>
          <w:szCs w:val="21"/>
          <w:highlight w:val="none"/>
          <w:lang w:val="en-US" w:eastAsia="zh-CN"/>
        </w:rPr>
        <w:t>金额：</w:t>
      </w:r>
      <w:r>
        <w:rPr>
          <w:rFonts w:hint="eastAsia" w:hAnsi="宋体" w:cs="宋体"/>
          <w:color w:val="000000"/>
          <w:sz w:val="21"/>
          <w:szCs w:val="21"/>
          <w:highlight w:val="none"/>
          <w:u w:val="single"/>
          <w:lang w:val="en-US" w:eastAsia="zh-CN"/>
        </w:rPr>
        <w:t>合同签约价的5%（即人民币：         ）</w:t>
      </w:r>
      <w:r>
        <w:rPr>
          <w:rFonts w:hint="eastAsia" w:ascii="宋体" w:hAnsi="宋体" w:eastAsia="宋体" w:cs="宋体"/>
          <w:color w:val="000000"/>
          <w:sz w:val="21"/>
          <w:szCs w:val="21"/>
          <w:highlight w:val="none"/>
        </w:rPr>
        <w:t>。</w:t>
      </w:r>
    </w:p>
    <w:p>
      <w:pPr>
        <w:pStyle w:val="14"/>
        <w:keepNext w:val="0"/>
        <w:keepLines w:val="0"/>
        <w:pageBreakBefore w:val="0"/>
        <w:widowControl w:val="0"/>
        <w:kinsoku/>
        <w:wordWrap/>
        <w:overflowPunct/>
        <w:topLinePunct w:val="0"/>
        <w:bidi w:val="0"/>
        <w:adjustRightInd/>
        <w:snapToGrid w:val="0"/>
        <w:spacing w:before="0" w:beforeLines="0" w:after="0" w:afterLines="0" w:line="360" w:lineRule="auto"/>
        <w:ind w:right="0" w:rightChars="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履约保证金形式：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履约保证金收取：</w:t>
      </w:r>
      <w:r>
        <w:rPr>
          <w:rFonts w:hint="eastAsia" w:hAnsi="宋体" w:cs="宋体"/>
          <w:color w:val="000000"/>
          <w:sz w:val="21"/>
          <w:szCs w:val="21"/>
          <w:highlight w:val="none"/>
          <w:u w:val="single"/>
          <w:lang w:val="en-US" w:eastAsia="zh-CN"/>
        </w:rPr>
        <w:t>甲方</w:t>
      </w:r>
      <w:r>
        <w:rPr>
          <w:rFonts w:hint="eastAsia" w:ascii="宋体" w:hAnsi="宋体" w:eastAsia="宋体" w:cs="宋体"/>
          <w:color w:val="000000"/>
          <w:sz w:val="21"/>
          <w:szCs w:val="21"/>
          <w:highlight w:val="none"/>
        </w:rPr>
        <w:t>。</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履约保证金退还：</w:t>
      </w:r>
      <w:r>
        <w:rPr>
          <w:rFonts w:hint="eastAsia" w:ascii="宋体" w:hAnsi="宋体" w:eastAsia="宋体" w:cs="宋体"/>
          <w:bCs/>
          <w:color w:val="000000"/>
          <w:sz w:val="21"/>
          <w:szCs w:val="21"/>
          <w:highlight w:val="none"/>
          <w:u w:val="single"/>
        </w:rPr>
        <w:t>合同履行完毕后</w:t>
      </w:r>
      <w:r>
        <w:rPr>
          <w:rFonts w:hint="eastAsia" w:ascii="宋体" w:hAnsi="宋体" w:eastAsia="宋体" w:cs="宋体"/>
          <w:bCs/>
          <w:color w:val="000000"/>
          <w:sz w:val="21"/>
          <w:szCs w:val="21"/>
          <w:highlight w:val="none"/>
          <w:u w:val="single"/>
          <w:lang w:val="en-US" w:eastAsia="zh-CN"/>
        </w:rPr>
        <w:t>30</w:t>
      </w:r>
      <w:r>
        <w:rPr>
          <w:rFonts w:hint="eastAsia" w:ascii="宋体" w:hAnsi="宋体" w:eastAsia="宋体" w:cs="宋体"/>
          <w:bCs/>
          <w:color w:val="000000"/>
          <w:sz w:val="21"/>
          <w:szCs w:val="21"/>
          <w:highlight w:val="none"/>
          <w:u w:val="single"/>
        </w:rPr>
        <w:t>日内无息退还</w:t>
      </w:r>
      <w:r>
        <w:rPr>
          <w:rFonts w:hint="eastAsia" w:ascii="宋体" w:hAnsi="宋体" w:eastAsia="宋体" w:cs="宋体"/>
          <w:color w:val="000000"/>
          <w:sz w:val="21"/>
          <w:szCs w:val="21"/>
          <w:highlight w:val="none"/>
        </w:rPr>
        <w:t>。</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其它要求</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乙方及其组建的项目部应当接受行政主管部门及其他有关部门的监督、检查和审计部门的审计。</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转包或分包</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1、本合同范围的服务，应由乙方直接供应，不得转让他人供应；</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2、如有转让的分包行为，甲方有权解除合同，没收履约保证金并追究乙方的违约责任。</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经费支付</w:t>
      </w:r>
    </w:p>
    <w:tbl>
      <w:tblPr>
        <w:tblStyle w:val="27"/>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502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支付次数</w:t>
            </w:r>
          </w:p>
        </w:tc>
        <w:tc>
          <w:tcPr>
            <w:tcW w:w="50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支付时间</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第一次付款</w:t>
            </w:r>
          </w:p>
        </w:tc>
        <w:tc>
          <w:tcPr>
            <w:tcW w:w="50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本项目开工后</w:t>
            </w:r>
            <w:r>
              <w:rPr>
                <w:rFonts w:hint="eastAsia" w:ascii="宋体" w:hAnsi="宋体" w:cs="宋体"/>
                <w:color w:val="auto"/>
                <w:sz w:val="21"/>
                <w:szCs w:val="21"/>
                <w:highlight w:val="none"/>
                <w:lang w:val="en-US" w:eastAsia="zh-CN"/>
              </w:rPr>
              <w:t>15日内</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支付合同价的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第二次付款</w:t>
            </w:r>
          </w:p>
        </w:tc>
        <w:tc>
          <w:tcPr>
            <w:tcW w:w="50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en-US" w:bidi="en-US"/>
              </w:rPr>
            </w:pPr>
            <w:r>
              <w:rPr>
                <w:rFonts w:hint="eastAsia" w:ascii="宋体" w:hAnsi="宋体" w:eastAsia="宋体" w:cs="宋体"/>
                <w:color w:val="auto"/>
                <w:sz w:val="21"/>
                <w:szCs w:val="21"/>
                <w:highlight w:val="none"/>
              </w:rPr>
              <w:t>施工工程量达到</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0%时</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en-US" w:bidi="en-US"/>
              </w:rPr>
            </w:pP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至</w:t>
            </w:r>
            <w:r>
              <w:rPr>
                <w:rFonts w:hint="eastAsia" w:ascii="宋体" w:hAnsi="宋体" w:eastAsia="宋体" w:cs="宋体"/>
                <w:color w:val="auto"/>
                <w:sz w:val="21"/>
                <w:szCs w:val="21"/>
                <w:highlight w:val="none"/>
              </w:rPr>
              <w:t>合同价的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第三次付款</w:t>
            </w:r>
          </w:p>
        </w:tc>
        <w:tc>
          <w:tcPr>
            <w:tcW w:w="50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en-US" w:bidi="en-US"/>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竣工验收合格并资料归档结束后一个月内</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zh-CN" w:bidi="en-US"/>
              </w:rPr>
            </w:pPr>
            <w:r>
              <w:rPr>
                <w:rFonts w:hint="eastAsia" w:ascii="宋体" w:hAnsi="宋体" w:eastAsia="宋体" w:cs="宋体"/>
                <w:color w:val="auto"/>
                <w:sz w:val="21"/>
                <w:szCs w:val="21"/>
                <w:highlight w:val="none"/>
                <w:lang w:eastAsia="zh-CN"/>
              </w:rPr>
              <w:t>支付至合同价的80%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次付款</w:t>
            </w:r>
          </w:p>
        </w:tc>
        <w:tc>
          <w:tcPr>
            <w:tcW w:w="50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zh-CN" w:bidi="en-US"/>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竣工决算</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完成后一个月内</w:t>
            </w:r>
          </w:p>
        </w:tc>
        <w:tc>
          <w:tcPr>
            <w:tcW w:w="2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shd w:val="clear" w:color="auto" w:fill="auto"/>
                <w:lang w:val="en-US" w:eastAsia="en-US" w:bidi="en-US"/>
              </w:rPr>
            </w:pPr>
            <w:r>
              <w:rPr>
                <w:rFonts w:hint="eastAsia" w:ascii="宋体" w:hAnsi="宋体" w:eastAsia="宋体" w:cs="宋体"/>
                <w:color w:val="auto"/>
                <w:sz w:val="21"/>
                <w:szCs w:val="21"/>
                <w:highlight w:val="none"/>
                <w:lang w:eastAsia="zh-CN"/>
              </w:rPr>
              <w:t>付清最终余款</w:t>
            </w:r>
          </w:p>
        </w:tc>
      </w:tr>
    </w:tbl>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before="157" w:beforeLines="50" w:after="0" w:afterLines="0" w:line="360" w:lineRule="auto"/>
        <w:ind w:leftChars="0" w:right="0" w:rightChars="0"/>
        <w:jc w:val="left"/>
        <w:textAlignment w:val="auto"/>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注：若联合体投标的，本项目费用由甲方支付给联合体牵头人。</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157" w:beforeLines="5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验收</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甲方负责对乙方的履约行为进行考核，标准为本项目的</w:t>
      </w:r>
      <w:r>
        <w:rPr>
          <w:rFonts w:hint="eastAsia" w:hAnsi="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文件、乙方的投标文件，要求验收必须符合相关政策法规和地方标准。</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税费</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本合同执行中相关的一切税费均由乙方负担。</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不可抗力</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1、在合同有效期内，因自然灾害等不可抗力因素造成本合同项目经济损失的，甲、乙双方共同协商妥善解决。</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2、不可抗力事件发生后，应立即通知对方，并寄送有关权威机构出具的证明。</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3、不可抗力事件延续120天以上，双方应通过友好协商，确定是否继续履行合同。</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十、诉讼</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双方在执行合同中所发生的一切争议，应通过协商解决。如协商不成，可向项目所在地法院起诉。</w:t>
      </w:r>
    </w:p>
    <w:p>
      <w:pPr>
        <w:pStyle w:val="14"/>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合同生效</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1、合同经双方法定代表人或授权代表签字并加盖单位公章后生效。</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2、本合同招标文件、乙方投标文件作为合同附件，对合同条款具有补充作用。</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3、合同执行中涉及采购资金和采购内容修改或补充的，须经财政部门审批，并签书面补充协议报政府采购监督管理部门备案，方可作为主合同不可分割的一部分。</w:t>
      </w:r>
    </w:p>
    <w:p>
      <w:pPr>
        <w:pStyle w:val="12"/>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4、本合同未尽事宜，遵照《</w:t>
      </w:r>
      <w:r>
        <w:rPr>
          <w:rFonts w:hint="eastAsia" w:hAnsi="宋体" w:cs="宋体"/>
          <w:color w:val="000000"/>
          <w:sz w:val="21"/>
          <w:szCs w:val="21"/>
          <w:highlight w:val="none"/>
          <w:lang w:val="en-US" w:eastAsia="zh-CN"/>
        </w:rPr>
        <w:t>民法典</w:t>
      </w:r>
      <w:r>
        <w:rPr>
          <w:rFonts w:hint="eastAsia" w:ascii="宋体" w:hAnsi="宋体" w:eastAsia="宋体" w:cs="宋体"/>
          <w:color w:val="000000"/>
          <w:sz w:val="21"/>
          <w:szCs w:val="21"/>
          <w:highlight w:val="none"/>
        </w:rPr>
        <w:t>》有关条文执行。</w:t>
      </w:r>
    </w:p>
    <w:p>
      <w:pPr>
        <w:pStyle w:val="12"/>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404"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5、本合同一式</w:t>
      </w:r>
      <w:r>
        <w:rPr>
          <w:rFonts w:hint="eastAsia" w:hAnsi="宋体" w:cs="宋体"/>
          <w:color w:val="000000"/>
          <w:sz w:val="21"/>
          <w:szCs w:val="21"/>
          <w:highlight w:val="none"/>
          <w:lang w:val="en-US" w:eastAsia="zh-CN"/>
        </w:rPr>
        <w:t>六</w:t>
      </w:r>
      <w:r>
        <w:rPr>
          <w:rFonts w:hint="eastAsia" w:ascii="宋体" w:hAnsi="宋体" w:eastAsia="宋体" w:cs="宋体"/>
          <w:color w:val="000000"/>
          <w:sz w:val="21"/>
          <w:szCs w:val="21"/>
          <w:highlight w:val="none"/>
        </w:rPr>
        <w:t>份，具有同等法律效力，甲乙双方各执</w:t>
      </w:r>
      <w:r>
        <w:rPr>
          <w:rFonts w:hint="eastAsia" w:hAnsi="宋体" w:cs="宋体"/>
          <w:color w:val="000000"/>
          <w:sz w:val="21"/>
          <w:szCs w:val="21"/>
          <w:highlight w:val="none"/>
          <w:lang w:val="en-US" w:eastAsia="zh-CN"/>
        </w:rPr>
        <w:t>三</w:t>
      </w:r>
      <w:r>
        <w:rPr>
          <w:rFonts w:hint="eastAsia" w:ascii="宋体" w:hAnsi="宋体" w:eastAsia="宋体" w:cs="宋体"/>
          <w:color w:val="000000"/>
          <w:sz w:val="21"/>
          <w:szCs w:val="21"/>
          <w:highlight w:val="none"/>
        </w:rPr>
        <w:t>份。</w:t>
      </w:r>
    </w:p>
    <w:p>
      <w:pPr>
        <w:spacing w:line="360" w:lineRule="auto"/>
        <w:rPr>
          <w:rFonts w:hint="eastAsia" w:ascii="宋体" w:hAnsi="宋体" w:eastAsia="宋体" w:cs="宋体"/>
          <w:color w:val="000000"/>
          <w:sz w:val="21"/>
          <w:szCs w:val="21"/>
          <w:highlight w:val="none"/>
        </w:rPr>
      </w:pPr>
    </w:p>
    <w:p>
      <w:pPr>
        <w:pStyle w:val="40"/>
        <w:spacing w:line="360" w:lineRule="auto"/>
        <w:rPr>
          <w:rFonts w:hint="eastAsia"/>
          <w:sz w:val="21"/>
          <w:szCs w:val="21"/>
          <w:highlight w:val="none"/>
        </w:rPr>
      </w:pPr>
    </w:p>
    <w:tbl>
      <w:tblPr>
        <w:tblStyle w:val="27"/>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2"/>
        <w:gridCol w:w="4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w:t>
            </w:r>
          </w:p>
        </w:tc>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tc>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法定（授权）代表人：</w:t>
            </w:r>
          </w:p>
        </w:tc>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法定（授权）代表人：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签字日期：      年  月  日</w:t>
            </w:r>
          </w:p>
        </w:tc>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签字日期：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p>
        </w:tc>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合同见证方：</w:t>
            </w:r>
          </w:p>
        </w:tc>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法定（授权）代表人或主要负责人：</w:t>
            </w:r>
          </w:p>
        </w:tc>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见证日期：</w:t>
            </w:r>
          </w:p>
        </w:tc>
        <w:tc>
          <w:tcPr>
            <w:tcW w:w="4532"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p>
        </w:tc>
      </w:tr>
    </w:tbl>
    <w:p>
      <w:pPr>
        <w:spacing w:line="360" w:lineRule="auto"/>
        <w:ind w:firstLine="199" w:firstLineChars="100"/>
        <w:rPr>
          <w:rFonts w:hint="eastAsia" w:ascii="宋体" w:hAnsi="宋体" w:eastAsia="宋体" w:cs="宋体"/>
          <w:color w:val="000000"/>
          <w:w w:val="95"/>
          <w:sz w:val="21"/>
          <w:szCs w:val="21"/>
          <w:highlight w:val="none"/>
        </w:rPr>
      </w:pPr>
      <w:r>
        <w:rPr>
          <w:rFonts w:hint="eastAsia" w:ascii="宋体" w:hAnsi="宋体" w:eastAsia="宋体" w:cs="宋体"/>
          <w:color w:val="000000"/>
          <w:w w:val="95"/>
          <w:sz w:val="21"/>
          <w:szCs w:val="21"/>
          <w:highlight w:val="none"/>
        </w:rPr>
        <w:t xml:space="preserve"> </w:t>
      </w:r>
    </w:p>
    <w:p>
      <w:pPr>
        <w:adjustRightInd w:val="0"/>
        <w:snapToGrid w:val="0"/>
        <w:spacing w:line="360" w:lineRule="auto"/>
        <w:ind w:firstLine="0" w:firstLine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w w:val="95"/>
          <w:sz w:val="21"/>
          <w:szCs w:val="21"/>
          <w:highlight w:val="none"/>
        </w:rPr>
        <w:br w:type="page"/>
      </w:r>
      <w:r>
        <w:rPr>
          <w:rFonts w:hint="eastAsia" w:ascii="宋体" w:hAnsi="宋体" w:eastAsia="宋体" w:cs="宋体"/>
          <w:color w:val="000000"/>
          <w:sz w:val="21"/>
          <w:szCs w:val="21"/>
          <w:highlight w:val="none"/>
          <w:lang w:val="en-US" w:eastAsia="zh-CN"/>
        </w:rPr>
        <w:t>附件</w:t>
      </w:r>
    </w:p>
    <w:p>
      <w:pPr>
        <w:adjustRightInd w:val="0"/>
        <w:snapToGrid w:val="0"/>
        <w:spacing w:line="360" w:lineRule="auto"/>
        <w:ind w:firstLine="0" w:firstLineChars="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廉政安全条款</w:t>
      </w:r>
    </w:p>
    <w:p>
      <w:pPr>
        <w:widowControl/>
        <w:snapToGrid w:val="0"/>
        <w:spacing w:line="360" w:lineRule="auto"/>
        <w:ind w:firstLine="630" w:firstLineChars="300"/>
        <w:jc w:val="left"/>
        <w:rPr>
          <w:rFonts w:hint="eastAsia" w:ascii="宋体" w:hAnsi="宋体" w:eastAsia="宋体" w:cs="宋体"/>
          <w:color w:val="000000"/>
          <w:sz w:val="21"/>
          <w:szCs w:val="21"/>
          <w:highlight w:val="none"/>
        </w:rPr>
      </w:pPr>
    </w:p>
    <w:p>
      <w:pPr>
        <w:widowControl/>
        <w:snapToGrid w:val="0"/>
        <w:spacing w:line="360" w:lineRule="auto"/>
        <w:ind w:firstLine="630" w:firstLineChars="3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为严格执行《中华人民共和国建筑法》、《中华人民共和国招标投标法》、《中华人民共和国反不正当竞争法》以及有关廉政建设的规定，做好党风廉政建设，保证项目高效优质，保证建设资金的安全和有效使用以及投资效益，甲乙双方特确定以下约定。</w:t>
      </w:r>
    </w:p>
    <w:p>
      <w:pPr>
        <w:widowControl/>
        <w:numPr>
          <w:ilvl w:val="0"/>
          <w:numId w:val="1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甲乙双方的权利和义务</w:t>
      </w:r>
    </w:p>
    <w:p>
      <w:pPr>
        <w:widowControl/>
        <w:numPr>
          <w:ilvl w:val="0"/>
          <w:numId w:val="12"/>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严格遵守党和国家有关法律法规有关廉政规定。</w:t>
      </w:r>
    </w:p>
    <w:p>
      <w:pPr>
        <w:widowControl/>
        <w:numPr>
          <w:ilvl w:val="0"/>
          <w:numId w:val="12"/>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双方的业务活动坚持公开、公平、公正、诚信、透明的原则（除法律认定的商业秘密和合同文件另有规定之外），不得损害国家和集体利益，不得违反工程建设管理规章制度。</w:t>
      </w:r>
    </w:p>
    <w:p>
      <w:pPr>
        <w:widowControl/>
        <w:numPr>
          <w:ilvl w:val="0"/>
          <w:numId w:val="12"/>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建立健全廉政制度，开展廉政教育，公布举报电话，监督并认真查处违法违纪行为。</w:t>
      </w:r>
    </w:p>
    <w:p>
      <w:pPr>
        <w:widowControl/>
        <w:numPr>
          <w:ilvl w:val="0"/>
          <w:numId w:val="12"/>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发现对方在业务活动中有违反廉政规定的行为，有及时提醒对方纠正的权利和义务。</w:t>
      </w:r>
    </w:p>
    <w:p>
      <w:pPr>
        <w:widowControl/>
        <w:numPr>
          <w:ilvl w:val="0"/>
          <w:numId w:val="12"/>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实施工地例会制度，双方项目负责人应根据工程具体情况，每月定期召开工地现场例会，对相对实施过程的安全文明施工、工程质量、施工进度等进行月度总结，排除安全和质量隐患，推进工程顺利实施。</w:t>
      </w:r>
    </w:p>
    <w:p>
      <w:pPr>
        <w:widowControl/>
        <w:numPr>
          <w:ilvl w:val="0"/>
          <w:numId w:val="12"/>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开展每季度不少于1次的安全生产大检查活动，形成记录并下发通报文件。根据上级部门要求和实际需要，在重大节日、活动、重要事件节点前有针对性的开展安全生产大检查。</w:t>
      </w:r>
    </w:p>
    <w:p>
      <w:pPr>
        <w:widowControl/>
        <w:numPr>
          <w:ilvl w:val="0"/>
          <w:numId w:val="12"/>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建设过程中出现一般安全文明施工和工程质量隐患、工程进度未按计划实施等情况，甲方项目负责人会同监理单位、督促施工单位限期整改，对项目存在的违章指挥、违章操作等重大安全、质量隐患、有权勒令其停工整改，并对管理不重视、落实不到位、屡教不改的单位给与单次3000元至30000元不等的违约处罚，处罚金额从近期工程款中扣除。</w:t>
      </w:r>
    </w:p>
    <w:p>
      <w:pPr>
        <w:widowControl/>
        <w:numPr>
          <w:ilvl w:val="0"/>
          <w:numId w:val="12"/>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主要由勘察报告或图纸设计错误所导致的质量隐患，勘察设计单位应及时对报告和图纸进行修改或补充，造成损失的，根据直接经济损失程度按相应合同条款约定向甲方单位支付赔偿金，各参建单位未履行质量管理职责或履职不力，造成严重质量问题、质量事故的，按《建设工程质量管理条例》处理。</w:t>
      </w:r>
    </w:p>
    <w:p>
      <w:pPr>
        <w:widowControl/>
        <w:numPr>
          <w:ilvl w:val="0"/>
          <w:numId w:val="12"/>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发现对方严重违反本合同义务条款的行为，有向其上级有关部门举报、建议给予处理并要求告知处理结果的权利。</w:t>
      </w:r>
    </w:p>
    <w:p>
      <w:pPr>
        <w:widowControl/>
        <w:numPr>
          <w:ilvl w:val="0"/>
          <w:numId w:val="1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甲方的义务</w:t>
      </w:r>
    </w:p>
    <w:p>
      <w:pPr>
        <w:pStyle w:val="12"/>
        <w:widowControl/>
        <w:numPr>
          <w:ilvl w:val="0"/>
          <w:numId w:val="13"/>
        </w:numPr>
        <w:snapToGrid w:val="0"/>
        <w:spacing w:line="360" w:lineRule="auto"/>
        <w:ind w:firstLine="420"/>
        <w:jc w:val="left"/>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甲方及其工作人员不得索要或接受乙方的礼金、礼券、有价证券和物品，不得在乙方报销任何应由甲方或个人支付的费用等。</w:t>
      </w:r>
    </w:p>
    <w:p>
      <w:pPr>
        <w:pStyle w:val="12"/>
        <w:widowControl/>
        <w:numPr>
          <w:ilvl w:val="0"/>
          <w:numId w:val="13"/>
        </w:numPr>
        <w:snapToGrid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pacing w:val="0"/>
          <w:sz w:val="21"/>
          <w:szCs w:val="21"/>
          <w:highlight w:val="none"/>
        </w:rPr>
        <w:t>甲方工作人员不得参加乙方安排的宴请和娱乐活动；不得接受乙方提供的通讯工具、交通工具和高档办公用品等。</w:t>
      </w:r>
    </w:p>
    <w:p>
      <w:pPr>
        <w:pStyle w:val="12"/>
        <w:widowControl/>
        <w:numPr>
          <w:ilvl w:val="0"/>
          <w:numId w:val="13"/>
        </w:numPr>
        <w:snapToGrid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pacing w:val="0"/>
          <w:sz w:val="21"/>
          <w:szCs w:val="21"/>
          <w:highlight w:val="none"/>
        </w:rPr>
        <w:t>甲方及其工作人员不得要求或者接受乙方为其住房装修、操办婚丧嫁娶、安排配偶子女的工作以及出国出境、旅游等。</w:t>
      </w:r>
    </w:p>
    <w:p>
      <w:pPr>
        <w:pStyle w:val="12"/>
        <w:widowControl/>
        <w:numPr>
          <w:ilvl w:val="0"/>
          <w:numId w:val="13"/>
        </w:numPr>
        <w:snapToGrid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pacing w:val="0"/>
          <w:sz w:val="21"/>
          <w:szCs w:val="21"/>
          <w:highlight w:val="none"/>
        </w:rPr>
        <w:t>甲方工作人员的配偶、子女及下属单位不得从事与甲方工程有关的材料设备供应、工程分包、劳务等经济活动。</w:t>
      </w:r>
    </w:p>
    <w:p>
      <w:pPr>
        <w:pStyle w:val="12"/>
        <w:widowControl/>
        <w:numPr>
          <w:ilvl w:val="0"/>
          <w:numId w:val="13"/>
        </w:numPr>
        <w:snapToGrid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pacing w:val="0"/>
          <w:sz w:val="21"/>
          <w:szCs w:val="21"/>
          <w:highlight w:val="none"/>
        </w:rPr>
        <w:t>甲方及其工作人员不得经任何理由向乙方推荐分包单位，不得要求乙方购买合同规定外的材料和设备。</w:t>
      </w:r>
    </w:p>
    <w:p>
      <w:pPr>
        <w:widowControl/>
        <w:numPr>
          <w:ilvl w:val="0"/>
          <w:numId w:val="1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乙方义务</w:t>
      </w:r>
    </w:p>
    <w:p>
      <w:pPr>
        <w:widowControl/>
        <w:numPr>
          <w:ilvl w:val="0"/>
          <w:numId w:val="14"/>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乙方不得以任何理由向甲方及其工作人员行贿或馈赠礼金、有价证券、贵重礼品。</w:t>
      </w:r>
    </w:p>
    <w:p>
      <w:pPr>
        <w:widowControl/>
        <w:numPr>
          <w:ilvl w:val="0"/>
          <w:numId w:val="14"/>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乙方不得以任何名义为甲方及其工作人员报销应由甲方单位或个人支付的任何费用。</w:t>
      </w:r>
    </w:p>
    <w:p>
      <w:pPr>
        <w:widowControl/>
        <w:numPr>
          <w:ilvl w:val="0"/>
          <w:numId w:val="14"/>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乙方不得以任何理由安排甲方工作人员参加宴请及娱乐活动。</w:t>
      </w:r>
    </w:p>
    <w:p>
      <w:pPr>
        <w:widowControl/>
        <w:numPr>
          <w:ilvl w:val="0"/>
          <w:numId w:val="14"/>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乙方不得为甲方单位和个人购置或提供通讯工具、交通工具和高档办公用品等。</w:t>
      </w:r>
    </w:p>
    <w:p>
      <w:pPr>
        <w:widowControl/>
        <w:numPr>
          <w:ilvl w:val="0"/>
          <w:numId w:val="14"/>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乙方愿意自觉接受甲方及社会各界对工程建设中安全生产的监督。项目实施期间因乙方原因发生任何安全责任事故，乙方应承担一切责任。</w:t>
      </w:r>
    </w:p>
    <w:p>
      <w:pPr>
        <w:widowControl/>
        <w:numPr>
          <w:ilvl w:val="0"/>
          <w:numId w:val="14"/>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乙方必须有明确的安全生产责任人，并履行职责。向所属人员经常进行安全教育。进行安全检查，及时整改隐患，杜绝违章作业。</w:t>
      </w:r>
    </w:p>
    <w:p>
      <w:pPr>
        <w:widowControl/>
        <w:numPr>
          <w:ilvl w:val="0"/>
          <w:numId w:val="14"/>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乙方应对被招用的人员生产技能，年龄、健康（有否作业禁忌症）等状况进行审查把关。</w:t>
      </w:r>
    </w:p>
    <w:p>
      <w:pPr>
        <w:widowControl/>
        <w:numPr>
          <w:ilvl w:val="0"/>
          <w:numId w:val="14"/>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乙方对生产设施、工具及劳保用品必须经常进行安全检查。现场计量人员要熟悉施工现场的一般安全要求。必要时按规定穿戴必要的防护用品后方准进场。</w:t>
      </w:r>
    </w:p>
    <w:p>
      <w:pPr>
        <w:widowControl/>
        <w:numPr>
          <w:ilvl w:val="0"/>
          <w:numId w:val="14"/>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违反各种安全规定而造成的人身伤亡事故、道路交通事故、设备损坏等各类事故，均由乙方自负，与甲方无涉。甲方所造成的一切经济损失由乙方负责赔偿。人员违反各种治安管理法纪法规，由此引起的一切后果，均由乙方自负，与甲方无涉。</w:t>
      </w:r>
    </w:p>
    <w:p>
      <w:pPr>
        <w:widowControl/>
        <w:numPr>
          <w:ilvl w:val="0"/>
          <w:numId w:val="1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违约责任</w:t>
      </w:r>
    </w:p>
    <w:p>
      <w:pPr>
        <w:widowControl/>
        <w:numPr>
          <w:ilvl w:val="0"/>
          <w:numId w:val="15"/>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甲方及其工作人员违反本合同第一、二条，按管理权限，依据有关规定给予党纪、政纪或组织处理；涉嫌犯罪的，移送司法机关追究刑事责任；给乙方单位造成经济损失的，应予以赔偿。</w:t>
      </w:r>
    </w:p>
    <w:p>
      <w:pPr>
        <w:widowControl/>
        <w:numPr>
          <w:ilvl w:val="0"/>
          <w:numId w:val="15"/>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乙方及其工作人员违反本合同第一、三条的，给甲方单位造成经济损失的，应予以赔偿；情节严重的，甲方建议有关主管部门对乙方予以处罚。</w:t>
      </w:r>
    </w:p>
    <w:p>
      <w:pPr>
        <w:widowControl/>
        <w:numPr>
          <w:ilvl w:val="0"/>
          <w:numId w:val="1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双方约定</w:t>
      </w:r>
    </w:p>
    <w:p>
      <w:pPr>
        <w:widowControl/>
        <w:snapToGrid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本合同由双方上级及有关单位负责监督执行。由甲方或甲方上级单位的纪检监察机关约请乙方或乙方上级及有关单位对本合同执行情况进行检查，提出在本合同规定范围内的裁定意见。</w:t>
      </w:r>
    </w:p>
    <w:p>
      <w:pPr>
        <w:pStyle w:val="25"/>
        <w:spacing w:line="360" w:lineRule="auto"/>
        <w:rPr>
          <w:rFonts w:hint="eastAsia" w:ascii="宋体" w:hAnsi="宋体" w:eastAsia="宋体" w:cs="宋体"/>
          <w:color w:val="000000"/>
          <w:sz w:val="21"/>
          <w:szCs w:val="21"/>
          <w:highlight w:val="none"/>
        </w:rPr>
      </w:pPr>
    </w:p>
    <w:p>
      <w:pPr>
        <w:pStyle w:val="25"/>
        <w:spacing w:line="360" w:lineRule="auto"/>
        <w:rPr>
          <w:rFonts w:hint="eastAsia" w:ascii="宋体" w:hAnsi="宋体" w:eastAsia="宋体" w:cs="宋体"/>
          <w:color w:val="000000"/>
          <w:sz w:val="21"/>
          <w:szCs w:val="21"/>
          <w:highlight w:val="none"/>
        </w:rPr>
      </w:pPr>
    </w:p>
    <w:tbl>
      <w:tblPr>
        <w:tblStyle w:val="27"/>
        <w:tblW w:w="0" w:type="auto"/>
        <w:tblInd w:w="96" w:type="dxa"/>
        <w:tblLayout w:type="fixed"/>
        <w:tblCellMar>
          <w:top w:w="0" w:type="dxa"/>
          <w:left w:w="108" w:type="dxa"/>
          <w:bottom w:w="0" w:type="dxa"/>
          <w:right w:w="108" w:type="dxa"/>
        </w:tblCellMar>
      </w:tblPr>
      <w:tblGrid>
        <w:gridCol w:w="4168"/>
        <w:gridCol w:w="4157"/>
      </w:tblGrid>
      <w:tr>
        <w:tblPrEx>
          <w:tblCellMar>
            <w:top w:w="0" w:type="dxa"/>
            <w:left w:w="108" w:type="dxa"/>
            <w:bottom w:w="0" w:type="dxa"/>
            <w:right w:w="108" w:type="dxa"/>
          </w:tblCellMar>
        </w:tblPrEx>
        <w:tc>
          <w:tcPr>
            <w:tcW w:w="4168"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w:t>
            </w:r>
          </w:p>
        </w:tc>
        <w:tc>
          <w:tcPr>
            <w:tcW w:w="4157"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p>
        </w:tc>
      </w:tr>
      <w:tr>
        <w:tblPrEx>
          <w:tblCellMar>
            <w:top w:w="0" w:type="dxa"/>
            <w:left w:w="108" w:type="dxa"/>
            <w:bottom w:w="0" w:type="dxa"/>
            <w:right w:w="108" w:type="dxa"/>
          </w:tblCellMar>
        </w:tblPrEx>
        <w:tc>
          <w:tcPr>
            <w:tcW w:w="4168"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tc>
        <w:tc>
          <w:tcPr>
            <w:tcW w:w="4157"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tc>
      </w:tr>
      <w:tr>
        <w:tblPrEx>
          <w:tblCellMar>
            <w:top w:w="0" w:type="dxa"/>
            <w:left w:w="108" w:type="dxa"/>
            <w:bottom w:w="0" w:type="dxa"/>
            <w:right w:w="108" w:type="dxa"/>
          </w:tblCellMar>
        </w:tblPrEx>
        <w:tc>
          <w:tcPr>
            <w:tcW w:w="4168"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法定（授权）代表人：</w:t>
            </w:r>
          </w:p>
        </w:tc>
        <w:tc>
          <w:tcPr>
            <w:tcW w:w="4157"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法定（授权）代表人：</w:t>
            </w:r>
          </w:p>
        </w:tc>
      </w:tr>
      <w:tr>
        <w:tblPrEx>
          <w:tblCellMar>
            <w:top w:w="0" w:type="dxa"/>
            <w:left w:w="108" w:type="dxa"/>
            <w:bottom w:w="0" w:type="dxa"/>
            <w:right w:w="108" w:type="dxa"/>
          </w:tblCellMar>
        </w:tblPrEx>
        <w:tc>
          <w:tcPr>
            <w:tcW w:w="4168"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签字日期：      年  月  日</w:t>
            </w:r>
          </w:p>
        </w:tc>
        <w:tc>
          <w:tcPr>
            <w:tcW w:w="4157" w:type="dxa"/>
            <w:noWrap w:val="0"/>
            <w:vAlign w:val="top"/>
          </w:tcPr>
          <w:p>
            <w:pPr>
              <w:pStyle w:val="14"/>
              <w:widowControl/>
              <w:spacing w:before="0" w:beforeLines="0" w:after="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签字日期：      年  月  日</w:t>
            </w:r>
          </w:p>
        </w:tc>
      </w:tr>
    </w:tbl>
    <w:p>
      <w:pPr>
        <w:spacing w:line="360" w:lineRule="auto"/>
        <w:rPr>
          <w:rFonts w:hint="eastAsia" w:ascii="宋体" w:hAnsi="宋体" w:eastAsia="宋体" w:cs="宋体"/>
          <w:color w:val="auto"/>
          <w:sz w:val="21"/>
          <w:szCs w:val="21"/>
          <w:highlight w:val="none"/>
        </w:rPr>
        <w:sectPr>
          <w:pgSz w:w="11906" w:h="16838"/>
          <w:pgMar w:top="1020" w:right="1800" w:bottom="1440" w:left="1800" w:header="850" w:footer="964"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8"/>
        </w:numPr>
        <w:spacing w:line="360" w:lineRule="auto"/>
        <w:ind w:left="0" w:lef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投标文件格式</w:t>
      </w:r>
    </w:p>
    <w:p>
      <w:pPr>
        <w:pStyle w:val="40"/>
        <w:widowControl w:val="0"/>
        <w:numPr>
          <w:ilvl w:val="0"/>
          <w:numId w:val="0"/>
        </w:numPr>
        <w:jc w:val="both"/>
        <w:rPr>
          <w:rFonts w:hint="eastAsia"/>
          <w:sz w:val="21"/>
          <w:szCs w:val="21"/>
          <w:highlight w:val="none"/>
        </w:rPr>
      </w:pPr>
    </w:p>
    <w:p>
      <w:pPr>
        <w:snapToGrid w:val="0"/>
        <w:spacing w:before="120" w:beforeLines="50" w:after="50" w:line="360" w:lineRule="auto"/>
        <w:rPr>
          <w:rFonts w:hint="default"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rPr>
        <w:t>格式一</w:t>
      </w:r>
      <w:r>
        <w:rPr>
          <w:rFonts w:hint="eastAsia" w:ascii="宋体" w:hAnsi="宋体" w:cs="宋体"/>
          <w:b/>
          <w:color w:val="000000"/>
          <w:sz w:val="21"/>
          <w:szCs w:val="21"/>
          <w:highlight w:val="none"/>
          <w:lang w:val="en-US" w:eastAsia="zh-CN"/>
        </w:rPr>
        <w:t xml:space="preserve">            </w:t>
      </w:r>
    </w:p>
    <w:p>
      <w:pPr>
        <w:snapToGrid w:val="0"/>
        <w:spacing w:before="120" w:beforeLines="50" w:after="50" w:line="360" w:lineRule="auto"/>
        <w:jc w:val="center"/>
        <w:outlineLvl w:val="1"/>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投 标 函</w:t>
      </w:r>
    </w:p>
    <w:p>
      <w:pPr>
        <w:snapToGrid w:val="0"/>
        <w:spacing w:before="120" w:beforeLines="50" w:after="50" w:line="360" w:lineRule="auto"/>
        <w:jc w:val="center"/>
        <w:outlineLvl w:val="1"/>
        <w:rPr>
          <w:rFonts w:hint="eastAsia" w:ascii="宋体" w:hAnsi="宋体" w:eastAsia="宋体" w:cs="宋体"/>
          <w:b/>
          <w:bCs/>
          <w:color w:val="000000"/>
          <w:sz w:val="21"/>
          <w:szCs w:val="21"/>
          <w:highlight w:val="none"/>
        </w:rPr>
      </w:pPr>
    </w:p>
    <w:p>
      <w:pPr>
        <w:snapToGrid w:val="0"/>
        <w:spacing w:line="360" w:lineRule="auto"/>
        <w:rPr>
          <w:rFonts w:hint="default" w:ascii="宋体" w:hAnsi="宋体" w:eastAsia="宋体" w:cs="宋体"/>
          <w:color w:val="000000"/>
          <w:sz w:val="21"/>
          <w:szCs w:val="21"/>
          <w:highlight w:val="none"/>
          <w:lang w:val="en-US" w:eastAsia="zh-CN"/>
        </w:rPr>
      </w:pPr>
      <w:r>
        <w:rPr>
          <w:rFonts w:hint="eastAsia" w:ascii="宋体" w:hAnsi="宋体" w:eastAsia="宋体" w:cs="宋体"/>
          <w:b/>
          <w:color w:val="000000"/>
          <w:sz w:val="21"/>
          <w:szCs w:val="21"/>
          <w:highlight w:val="none"/>
        </w:rPr>
        <w:t>致：</w:t>
      </w:r>
      <w:r>
        <w:rPr>
          <w:rFonts w:hint="eastAsia" w:ascii="宋体" w:hAnsi="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 xml:space="preserve">采购人 </w:t>
      </w:r>
      <w:r>
        <w:rPr>
          <w:rFonts w:hint="eastAsia" w:ascii="宋体" w:hAnsi="宋体" w:cs="宋体"/>
          <w:b/>
          <w:color w:val="000000"/>
          <w:sz w:val="21"/>
          <w:szCs w:val="21"/>
          <w:highlight w:val="none"/>
          <w:u w:val="single"/>
          <w:lang w:val="en-US" w:eastAsia="zh-CN"/>
        </w:rPr>
        <w:t xml:space="preserve">     </w:t>
      </w:r>
    </w:p>
    <w:p>
      <w:pPr>
        <w:snapToGrid w:val="0"/>
        <w:spacing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根据贵方为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项目的</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），签字代表</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（全名）经正式授权并代表</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名称）提交技术商务文件、报价文件。</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据此函，签字代表宣布同意如下：</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已详细审查全部“</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文件”，包括修改文件（如有的话）以及全部参考资料和有关附件，已经了解我方对于</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文件、采购过程、采购结果有依法进行询问、质疑、投诉的权利及相关渠道和要求。</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在投标之前已经与贵方进行了充分的沟通，完全理解并接受</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文件的各项规定和要求，对</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文件的合理性、合法性不再有异议。</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3.本投标有效期自开标日起 </w:t>
      </w:r>
      <w:r>
        <w:rPr>
          <w:rFonts w:hint="eastAsia" w:ascii="宋体" w:hAnsi="宋体" w:cs="宋体"/>
          <w:color w:val="000000"/>
          <w:sz w:val="21"/>
          <w:szCs w:val="21"/>
          <w:highlight w:val="none"/>
          <w:lang w:val="en-US" w:eastAsia="zh-CN"/>
        </w:rPr>
        <w:t>90</w:t>
      </w:r>
      <w:r>
        <w:rPr>
          <w:rFonts w:hint="eastAsia" w:ascii="宋体" w:hAnsi="宋体" w:eastAsia="宋体" w:cs="宋体"/>
          <w:color w:val="000000"/>
          <w:sz w:val="21"/>
          <w:szCs w:val="21"/>
          <w:highlight w:val="none"/>
        </w:rPr>
        <w:t>个</w:t>
      </w:r>
      <w:r>
        <w:rPr>
          <w:rFonts w:hint="eastAsia" w:ascii="宋体" w:hAnsi="宋体" w:cs="宋体"/>
          <w:color w:val="000000"/>
          <w:sz w:val="21"/>
          <w:szCs w:val="21"/>
          <w:highlight w:val="none"/>
          <w:lang w:val="en-US" w:eastAsia="zh-CN"/>
        </w:rPr>
        <w:t>日历天</w:t>
      </w:r>
      <w:r>
        <w:rPr>
          <w:rFonts w:hint="eastAsia" w:ascii="宋体" w:hAnsi="宋体" w:eastAsia="宋体" w:cs="宋体"/>
          <w:color w:val="000000"/>
          <w:sz w:val="21"/>
          <w:szCs w:val="21"/>
          <w:highlight w:val="none"/>
        </w:rPr>
        <w:t>。</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4.如中标，本投标文件至本项目合同履行完毕止均保持有效，本</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将按“</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文件”及政府采购法律、法规的规定履行合同责任和义务。</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同意按照贵方要求提供与投标有关的一切数据或资料。</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6.与本投标有关的一切正式往来信函请寄：</w:t>
      </w:r>
    </w:p>
    <w:p>
      <w:pPr>
        <w:snapToGrid w:val="0"/>
        <w:spacing w:line="360" w:lineRule="auto"/>
        <w:rPr>
          <w:rFonts w:hint="eastAsia" w:ascii="宋体" w:hAnsi="宋体" w:eastAsia="宋体" w:cs="宋体"/>
          <w:color w:val="000000"/>
          <w:sz w:val="21"/>
          <w:szCs w:val="21"/>
          <w:highlight w:val="none"/>
        </w:rPr>
      </w:pPr>
    </w:p>
    <w:p>
      <w:pPr>
        <w:snapToGrid w:val="0"/>
        <w:spacing w:line="360" w:lineRule="auto"/>
        <w:rPr>
          <w:rFonts w:hint="eastAsia" w:ascii="宋体" w:hAnsi="宋体" w:eastAsia="宋体" w:cs="宋体"/>
          <w:color w:val="000000"/>
          <w:sz w:val="21"/>
          <w:szCs w:val="21"/>
          <w:highlight w:val="none"/>
        </w:rPr>
      </w:pPr>
    </w:p>
    <w:p>
      <w:pPr>
        <w:snapToGrid w:val="0"/>
        <w:spacing w:line="360" w:lineRule="auto"/>
        <w:rPr>
          <w:rFonts w:hint="eastAsia" w:ascii="宋体" w:hAnsi="宋体" w:eastAsia="宋体" w:cs="宋体"/>
          <w:color w:val="000000"/>
          <w:sz w:val="21"/>
          <w:szCs w:val="21"/>
          <w:highlight w:val="none"/>
        </w:rPr>
      </w:pP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邮编：</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电话：</w:t>
      </w:r>
      <w:r>
        <w:rPr>
          <w:rFonts w:hint="eastAsia" w:ascii="宋体" w:hAnsi="宋体" w:eastAsia="宋体" w:cs="宋体"/>
          <w:color w:val="000000"/>
          <w:sz w:val="21"/>
          <w:szCs w:val="21"/>
          <w:highlight w:val="none"/>
          <w:u w:val="single"/>
        </w:rPr>
        <w:t xml:space="preserve">                     </w:t>
      </w: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传真：</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代表姓名</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职务：</w:t>
      </w:r>
      <w:r>
        <w:rPr>
          <w:rFonts w:hint="eastAsia" w:ascii="宋体" w:hAnsi="宋体" w:eastAsia="宋体" w:cs="宋体"/>
          <w:color w:val="000000"/>
          <w:sz w:val="21"/>
          <w:szCs w:val="21"/>
          <w:highlight w:val="none"/>
          <w:u w:val="single"/>
        </w:rPr>
        <w:t xml:space="preserve">                      </w:t>
      </w:r>
    </w:p>
    <w:p>
      <w:pPr>
        <w:snapToGrid w:val="0"/>
        <w:spacing w:line="360" w:lineRule="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名称(公章)</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u w:val="single"/>
        </w:rPr>
        <w:t xml:space="preserve">                      </w:t>
      </w: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银行帐号：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pStyle w:val="40"/>
        <w:widowControl w:val="0"/>
        <w:numPr>
          <w:ilvl w:val="0"/>
          <w:numId w:val="0"/>
        </w:numPr>
        <w:jc w:val="both"/>
        <w:rPr>
          <w:rFonts w:hint="eastAsia"/>
          <w:sz w:val="21"/>
          <w:szCs w:val="21"/>
          <w:highlight w:val="none"/>
        </w:rPr>
        <w:sectPr>
          <w:footerReference r:id="rId9" w:type="default"/>
          <w:footerReference r:id="rId10" w:type="even"/>
          <w:pgSz w:w="11906" w:h="16838"/>
          <w:pgMar w:top="935" w:right="1466" w:bottom="935" w:left="1620" w:header="851" w:footer="851" w:gutter="0"/>
          <w:pgNumType w:fmt="decimal"/>
          <w:cols w:space="720" w:num="1"/>
          <w:docGrid w:linePitch="312" w:charSpace="0"/>
        </w:sectPr>
      </w:pPr>
      <w:r>
        <w:rPr>
          <w:rFonts w:hint="eastAsia" w:ascii="宋体" w:hAnsi="宋体" w:eastAsia="宋体" w:cs="宋体"/>
          <w:color w:val="000000"/>
          <w:sz w:val="21"/>
          <w:szCs w:val="21"/>
          <w:highlight w:val="none"/>
        </w:rPr>
        <w:t>授权代表签字</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日期</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pPr>
        <w:snapToGrid w:val="0"/>
        <w:spacing w:before="50" w:after="50"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格式二</w:t>
      </w:r>
    </w:p>
    <w:p>
      <w:pPr>
        <w:snapToGrid w:val="0"/>
        <w:spacing w:before="120" w:beforeLines="50" w:after="50" w:line="360" w:lineRule="auto"/>
        <w:jc w:val="center"/>
        <w:outlineLvl w:val="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开标一览表</w:t>
      </w:r>
    </w:p>
    <w:p>
      <w:pPr>
        <w:snapToGrid w:val="0"/>
        <w:spacing w:before="50" w:after="50" w:line="360" w:lineRule="auto"/>
        <w:rPr>
          <w:rFonts w:hint="eastAsia" w:ascii="宋体" w:hAnsi="宋体" w:eastAsia="宋体" w:cs="宋体"/>
          <w:color w:val="000000"/>
          <w:sz w:val="21"/>
          <w:szCs w:val="21"/>
          <w:highlight w:val="none"/>
          <w:u w:val="single"/>
        </w:rPr>
      </w:pPr>
      <w:r>
        <w:rPr>
          <w:rFonts w:hint="eastAsia" w:ascii="宋体" w:hAnsi="宋体" w:cs="宋体"/>
          <w:color w:val="000000"/>
          <w:sz w:val="21"/>
          <w:szCs w:val="21"/>
          <w:highlight w:val="none"/>
          <w:lang w:val="en-US" w:eastAsia="zh-CN"/>
        </w:rPr>
        <w:t>项目</w:t>
      </w:r>
      <w:r>
        <w:rPr>
          <w:rFonts w:hint="eastAsia" w:ascii="宋体" w:hAnsi="宋体" w:eastAsia="宋体" w:cs="宋体"/>
          <w:color w:val="000000"/>
          <w:sz w:val="21"/>
          <w:szCs w:val="21"/>
          <w:highlight w:val="none"/>
        </w:rPr>
        <w:t>编号：</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pPr>
        <w:snapToGrid w:val="0"/>
        <w:spacing w:before="50" w:after="50" w:line="360" w:lineRule="auto"/>
        <w:rPr>
          <w:rFonts w:hint="eastAsia" w:ascii="宋体" w:hAnsi="宋体" w:eastAsia="宋体" w:cs="宋体"/>
          <w:color w:val="000000"/>
          <w:sz w:val="21"/>
          <w:szCs w:val="21"/>
          <w:highlight w:val="none"/>
          <w:u w:val="single"/>
        </w:rPr>
      </w:pPr>
      <w:r>
        <w:rPr>
          <w:rFonts w:hint="eastAsia" w:ascii="宋体" w:hAnsi="宋体" w:cs="宋体"/>
          <w:color w:val="000000"/>
          <w:sz w:val="21"/>
          <w:szCs w:val="21"/>
          <w:highlight w:val="none"/>
          <w:lang w:val="en-US" w:eastAsia="zh-CN"/>
        </w:rPr>
        <w:t>标项号</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pPr>
        <w:snapToGrid w:val="0"/>
        <w:spacing w:before="50" w:after="50" w:line="360" w:lineRule="auto"/>
        <w:rPr>
          <w:rFonts w:hint="eastAsia" w:ascii="宋体" w:hAnsi="宋体" w:eastAsia="宋体" w:cs="宋体"/>
          <w:color w:val="000000"/>
          <w:sz w:val="21"/>
          <w:szCs w:val="21"/>
          <w:highlight w:val="none"/>
          <w:u w:val="single"/>
        </w:rPr>
      </w:pP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名称：</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404"/>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08" w:type="dxa"/>
            <w:noWrap w:val="0"/>
            <w:vAlign w:val="center"/>
          </w:tcPr>
          <w:p>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标项名称</w:t>
            </w:r>
          </w:p>
        </w:tc>
        <w:tc>
          <w:tcPr>
            <w:tcW w:w="540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w:t>
            </w:r>
          </w:p>
        </w:tc>
        <w:tc>
          <w:tcPr>
            <w:tcW w:w="1727" w:type="dxa"/>
            <w:noWrap w:val="0"/>
            <w:vAlign w:val="center"/>
          </w:tcPr>
          <w:p>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trPr>
        <w:tc>
          <w:tcPr>
            <w:tcW w:w="1908" w:type="dxa"/>
            <w:noWrap w:val="0"/>
            <w:vAlign w:val="center"/>
          </w:tcPr>
          <w:p>
            <w:pPr>
              <w:spacing w:line="360" w:lineRule="auto"/>
              <w:jc w:val="center"/>
              <w:rPr>
                <w:rFonts w:hint="eastAsia" w:ascii="宋体" w:hAnsi="宋体" w:eastAsia="宋体" w:cs="宋体"/>
                <w:color w:val="000000"/>
                <w:sz w:val="21"/>
                <w:szCs w:val="21"/>
                <w:highlight w:val="none"/>
              </w:rPr>
            </w:pPr>
          </w:p>
        </w:tc>
        <w:tc>
          <w:tcPr>
            <w:tcW w:w="5404" w:type="dxa"/>
            <w:noWrap w:val="0"/>
            <w:vAlign w:val="center"/>
          </w:tcPr>
          <w:p>
            <w:pPr>
              <w:snapToGrid w:val="0"/>
              <w:spacing w:line="360" w:lineRule="auto"/>
              <w:ind w:firstLine="1470" w:firstLineChars="7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大写：</w:t>
            </w:r>
            <w:r>
              <w:rPr>
                <w:rFonts w:hint="eastAsia" w:ascii="宋体" w:hAnsi="宋体" w:eastAsia="宋体" w:cs="宋体"/>
                <w:color w:val="000000"/>
                <w:kern w:val="2"/>
                <w:sz w:val="21"/>
                <w:szCs w:val="21"/>
                <w:highlight w:val="none"/>
                <w:u w:val="single"/>
                <w:lang w:val="en-US" w:eastAsia="zh-CN" w:bidi="ar-SA"/>
              </w:rPr>
              <w:t xml:space="preserve">               </w:t>
            </w:r>
            <w:r>
              <w:rPr>
                <w:rFonts w:hint="eastAsia" w:ascii="宋体" w:hAnsi="宋体" w:eastAsia="宋体" w:cs="宋体"/>
                <w:color w:val="000000"/>
                <w:kern w:val="2"/>
                <w:sz w:val="21"/>
                <w:szCs w:val="21"/>
                <w:highlight w:val="none"/>
                <w:lang w:val="en-US" w:eastAsia="zh-CN" w:bidi="ar-SA"/>
              </w:rPr>
              <w:t>元</w:t>
            </w:r>
          </w:p>
          <w:p>
            <w:pPr>
              <w:pStyle w:val="40"/>
              <w:spacing w:line="360" w:lineRule="auto"/>
              <w:ind w:left="0" w:leftChars="0" w:firstLine="0" w:firstLineChars="0"/>
              <w:jc w:val="center"/>
              <w:rPr>
                <w:rFonts w:hint="default" w:ascii="宋体" w:hAnsi="宋体" w:cs="宋体"/>
                <w:color w:val="000000"/>
                <w:kern w:val="2"/>
                <w:sz w:val="21"/>
                <w:szCs w:val="21"/>
                <w:highlight w:val="none"/>
                <w:u w:val="single"/>
                <w:lang w:val="en-US" w:eastAsia="zh-CN" w:bidi="ar-SA"/>
              </w:rPr>
            </w:pPr>
            <w:r>
              <w:rPr>
                <w:rFonts w:hint="eastAsia" w:ascii="宋体" w:hAnsi="宋体" w:eastAsia="宋体" w:cs="宋体"/>
                <w:color w:val="000000"/>
                <w:sz w:val="21"/>
                <w:szCs w:val="21"/>
                <w:highlight w:val="none"/>
              </w:rPr>
              <w:t>小写</w:t>
            </w:r>
            <w:r>
              <w:rPr>
                <w:rFonts w:hint="eastAsia" w:ascii="宋体" w:hAnsi="宋体" w:eastAsia="宋体" w:cs="宋体"/>
                <w:color w:val="000000"/>
                <w:sz w:val="21"/>
                <w:szCs w:val="21"/>
                <w:highlight w:val="none"/>
                <w:u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tc>
        <w:tc>
          <w:tcPr>
            <w:tcW w:w="1727"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08"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投标声明</w:t>
            </w:r>
          </w:p>
        </w:tc>
        <w:tc>
          <w:tcPr>
            <w:tcW w:w="5404" w:type="dxa"/>
            <w:noWrap w:val="0"/>
            <w:vAlign w:val="top"/>
          </w:tcPr>
          <w:p>
            <w:pPr>
              <w:spacing w:line="360" w:lineRule="auto"/>
              <w:jc w:val="center"/>
              <w:rPr>
                <w:rFonts w:hint="eastAsia" w:ascii="宋体" w:hAnsi="宋体" w:eastAsia="宋体" w:cs="宋体"/>
                <w:color w:val="000000"/>
                <w:sz w:val="21"/>
                <w:szCs w:val="21"/>
                <w:highlight w:val="none"/>
              </w:rPr>
            </w:pPr>
          </w:p>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若无，请打“/”号</w:t>
            </w:r>
          </w:p>
        </w:tc>
        <w:tc>
          <w:tcPr>
            <w:tcW w:w="1727" w:type="dxa"/>
            <w:noWrap w:val="0"/>
            <w:vAlign w:val="top"/>
          </w:tcPr>
          <w:p>
            <w:pPr>
              <w:spacing w:line="360" w:lineRule="auto"/>
              <w:jc w:val="center"/>
              <w:rPr>
                <w:rFonts w:hint="eastAsia" w:ascii="宋体" w:hAnsi="宋体" w:eastAsia="宋体" w:cs="宋体"/>
                <w:color w:val="000000"/>
                <w:sz w:val="21"/>
                <w:szCs w:val="21"/>
                <w:highlight w:val="none"/>
              </w:rPr>
            </w:pPr>
          </w:p>
        </w:tc>
      </w:tr>
    </w:tbl>
    <w:p>
      <w:pPr>
        <w:snapToGrid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注：投标报价一经涂改，应在涂改处加盖</w:t>
      </w:r>
      <w:r>
        <w:rPr>
          <w:rFonts w:hint="eastAsia" w:ascii="宋体" w:hAnsi="宋体" w:cs="宋体"/>
          <w:b/>
          <w:color w:val="000000"/>
          <w:sz w:val="21"/>
          <w:szCs w:val="21"/>
          <w:highlight w:val="none"/>
          <w:lang w:eastAsia="zh-CN"/>
        </w:rPr>
        <w:t>投标人</w:t>
      </w:r>
      <w:r>
        <w:rPr>
          <w:rFonts w:hint="eastAsia" w:ascii="宋体" w:hAnsi="宋体" w:eastAsia="宋体" w:cs="宋体"/>
          <w:b/>
          <w:color w:val="000000"/>
          <w:sz w:val="21"/>
          <w:szCs w:val="21"/>
          <w:highlight w:val="none"/>
        </w:rPr>
        <w:t>公章或者由法定代表人或授权代表签字或盖章。</w:t>
      </w:r>
    </w:p>
    <w:p>
      <w:pPr>
        <w:snapToGrid w:val="0"/>
        <w:spacing w:before="50" w:after="50" w:line="360" w:lineRule="auto"/>
        <w:ind w:right="-817" w:rightChars="-389"/>
        <w:rPr>
          <w:rFonts w:hint="eastAsia" w:ascii="宋体" w:hAnsi="宋体" w:eastAsia="宋体" w:cs="宋体"/>
          <w:color w:val="000000"/>
          <w:sz w:val="21"/>
          <w:szCs w:val="21"/>
          <w:highlight w:val="none"/>
        </w:rPr>
      </w:pPr>
    </w:p>
    <w:p>
      <w:pPr>
        <w:pStyle w:val="40"/>
        <w:spacing w:line="360" w:lineRule="auto"/>
        <w:rPr>
          <w:rFonts w:hint="eastAsia"/>
          <w:sz w:val="21"/>
          <w:szCs w:val="21"/>
          <w:highlight w:val="none"/>
        </w:rPr>
      </w:pPr>
    </w:p>
    <w:p>
      <w:pPr>
        <w:snapToGrid w:val="0"/>
        <w:spacing w:before="50" w:after="50" w:line="360" w:lineRule="auto"/>
        <w:ind w:left="-21" w:leftChars="-72" w:right="-817" w:rightChars="-389" w:hanging="130" w:hangingChars="62"/>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名称（盖章）：                                 </w:t>
      </w:r>
    </w:p>
    <w:p>
      <w:pPr>
        <w:snapToGrid w:val="0"/>
        <w:spacing w:before="50" w:after="50" w:line="360" w:lineRule="auto"/>
        <w:ind w:left="-21" w:leftChars="-72" w:right="-817" w:rightChars="-389" w:hanging="130" w:hangingChars="6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法定代表人或授权代表（签字或盖章）： </w:t>
      </w:r>
    </w:p>
    <w:p>
      <w:pPr>
        <w:snapToGrid w:val="0"/>
        <w:spacing w:before="50" w:after="50" w:line="360" w:lineRule="auto"/>
        <w:ind w:left="-21" w:leftChars="-72" w:right="-817" w:rightChars="-389" w:hanging="130" w:hangingChars="6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日期：    年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月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日</w:t>
      </w:r>
    </w:p>
    <w:p>
      <w:pPr>
        <w:snapToGrid w:val="0"/>
        <w:spacing w:before="50" w:after="50" w:line="360" w:lineRule="auto"/>
        <w:ind w:left="-21" w:leftChars="-72" w:right="-817" w:rightChars="-389" w:hanging="130" w:hangingChars="62"/>
        <w:rPr>
          <w:rFonts w:hint="eastAsia" w:ascii="宋体" w:hAnsi="宋体" w:eastAsia="宋体" w:cs="宋体"/>
          <w:color w:val="000000"/>
          <w:sz w:val="21"/>
          <w:szCs w:val="21"/>
          <w:highlight w:val="none"/>
        </w:rPr>
      </w:pPr>
    </w:p>
    <w:p>
      <w:pPr>
        <w:snapToGrid w:val="0"/>
        <w:spacing w:before="50" w:after="50" w:line="360" w:lineRule="auto"/>
        <w:jc w:val="left"/>
        <w:rPr>
          <w:rFonts w:hint="eastAsia" w:ascii="宋体" w:hAnsi="宋体" w:eastAsia="宋体" w:cs="宋体"/>
          <w:b/>
          <w:color w:val="000000"/>
          <w:sz w:val="21"/>
          <w:szCs w:val="21"/>
          <w:highlight w:val="none"/>
        </w:rPr>
        <w:sectPr>
          <w:pgSz w:w="11906" w:h="16838"/>
          <w:pgMar w:top="935" w:right="1466" w:bottom="935" w:left="1620" w:header="851" w:footer="851" w:gutter="0"/>
          <w:pgNumType w:fmt="decimal"/>
          <w:cols w:space="720" w:num="1"/>
          <w:docGrid w:linePitch="312" w:charSpace="0"/>
        </w:sectPr>
      </w:pPr>
    </w:p>
    <w:p>
      <w:pPr>
        <w:snapToGrid w:val="0"/>
        <w:spacing w:before="50" w:after="50"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格式三</w:t>
      </w:r>
    </w:p>
    <w:p>
      <w:pPr>
        <w:snapToGrid w:val="0"/>
        <w:spacing w:before="50" w:after="50" w:line="360" w:lineRule="auto"/>
        <w:rPr>
          <w:rFonts w:hint="eastAsia" w:ascii="宋体" w:hAnsi="宋体" w:eastAsia="宋体" w:cs="宋体"/>
          <w:color w:val="000000"/>
          <w:sz w:val="21"/>
          <w:szCs w:val="21"/>
          <w:highlight w:val="none"/>
          <w:lang w:val="en-US" w:eastAsia="zh-CN"/>
        </w:rPr>
      </w:pPr>
    </w:p>
    <w:p>
      <w:pPr>
        <w:snapToGrid w:val="0"/>
        <w:spacing w:before="50" w:after="50"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分项报价表</w:t>
      </w:r>
    </w:p>
    <w:p>
      <w:pPr>
        <w:snapToGrid w:val="0"/>
        <w:spacing w:before="50" w:after="50"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（格式自拟）</w:t>
      </w:r>
    </w:p>
    <w:p>
      <w:pPr>
        <w:snapToGrid w:val="0"/>
        <w:spacing w:before="50" w:after="50" w:line="360" w:lineRule="auto"/>
        <w:jc w:val="center"/>
        <w:rPr>
          <w:rFonts w:hint="eastAsia" w:ascii="宋体" w:hAnsi="宋体" w:eastAsia="宋体" w:cs="宋体"/>
          <w:b/>
          <w:bCs/>
          <w:color w:val="000000"/>
          <w:sz w:val="21"/>
          <w:szCs w:val="21"/>
          <w:highlight w:val="none"/>
          <w:lang w:val="en-US" w:eastAsia="zh-CN"/>
        </w:rPr>
      </w:pPr>
    </w:p>
    <w:p>
      <w:pPr>
        <w:pStyle w:val="2"/>
        <w:rPr>
          <w:rFonts w:hint="eastAsia" w:ascii="宋体" w:hAnsi="宋体" w:eastAsia="宋体" w:cs="宋体"/>
          <w:b/>
          <w:bCs/>
          <w:color w:val="000000"/>
          <w:sz w:val="21"/>
          <w:szCs w:val="21"/>
          <w:highlight w:val="none"/>
          <w:lang w:val="en-US" w:eastAsia="zh-CN"/>
        </w:rPr>
      </w:pPr>
    </w:p>
    <w:p>
      <w:pPr>
        <w:rPr>
          <w:rFonts w:hint="eastAsia" w:ascii="宋体" w:hAnsi="宋体" w:eastAsia="宋体" w:cs="宋体"/>
          <w:b/>
          <w:bCs/>
          <w:color w:val="000000"/>
          <w:sz w:val="21"/>
          <w:szCs w:val="21"/>
          <w:highlight w:val="none"/>
          <w:lang w:val="en-US" w:eastAsia="zh-CN"/>
        </w:rPr>
      </w:pPr>
    </w:p>
    <w:p>
      <w:pPr>
        <w:pStyle w:val="2"/>
        <w:rPr>
          <w:rFonts w:hint="eastAsia" w:ascii="宋体" w:hAnsi="宋体" w:eastAsia="宋体" w:cs="宋体"/>
          <w:b/>
          <w:bCs/>
          <w:color w:val="000000"/>
          <w:sz w:val="21"/>
          <w:szCs w:val="21"/>
          <w:highlight w:val="none"/>
          <w:lang w:val="en-US" w:eastAsia="zh-CN"/>
        </w:rPr>
      </w:pPr>
    </w:p>
    <w:p>
      <w:pPr>
        <w:rPr>
          <w:rFonts w:hint="eastAsia" w:ascii="宋体" w:hAnsi="宋体" w:eastAsia="宋体" w:cs="宋体"/>
          <w:b/>
          <w:bCs/>
          <w:color w:val="000000"/>
          <w:sz w:val="21"/>
          <w:szCs w:val="21"/>
          <w:highlight w:val="none"/>
          <w:lang w:val="en-US" w:eastAsia="zh-CN"/>
        </w:rPr>
      </w:pPr>
    </w:p>
    <w:p>
      <w:pPr>
        <w:pStyle w:val="2"/>
        <w:rPr>
          <w:rFonts w:hint="eastAsia" w:ascii="宋体" w:hAnsi="宋体" w:eastAsia="宋体" w:cs="宋体"/>
          <w:b/>
          <w:bCs/>
          <w:color w:val="000000"/>
          <w:sz w:val="21"/>
          <w:szCs w:val="21"/>
          <w:highlight w:val="none"/>
          <w:lang w:val="en-US" w:eastAsia="zh-CN"/>
        </w:rPr>
      </w:pPr>
    </w:p>
    <w:p>
      <w:pPr>
        <w:rPr>
          <w:rFonts w:hint="eastAsia" w:ascii="宋体" w:hAnsi="宋体" w:eastAsia="宋体" w:cs="宋体"/>
          <w:b/>
          <w:bCs/>
          <w:color w:val="000000"/>
          <w:sz w:val="21"/>
          <w:szCs w:val="21"/>
          <w:highlight w:val="none"/>
          <w:lang w:val="en-US" w:eastAsia="zh-CN"/>
        </w:rPr>
      </w:pPr>
    </w:p>
    <w:p>
      <w:pPr>
        <w:pStyle w:val="2"/>
        <w:rPr>
          <w:rFonts w:hint="eastAsia" w:ascii="宋体" w:hAnsi="宋体" w:eastAsia="宋体" w:cs="宋体"/>
          <w:b/>
          <w:bCs/>
          <w:color w:val="000000"/>
          <w:sz w:val="21"/>
          <w:szCs w:val="21"/>
          <w:highlight w:val="none"/>
          <w:lang w:val="en-US" w:eastAsia="zh-CN"/>
        </w:rPr>
      </w:pPr>
    </w:p>
    <w:p>
      <w:pPr>
        <w:rPr>
          <w:rFonts w:hint="eastAsia" w:ascii="宋体" w:hAnsi="宋体" w:eastAsia="宋体" w:cs="宋体"/>
          <w:b/>
          <w:bCs/>
          <w:color w:val="000000"/>
          <w:sz w:val="21"/>
          <w:szCs w:val="21"/>
          <w:highlight w:val="none"/>
          <w:lang w:val="en-US" w:eastAsia="zh-CN"/>
        </w:rPr>
      </w:pPr>
    </w:p>
    <w:p>
      <w:pPr>
        <w:pStyle w:val="2"/>
        <w:rPr>
          <w:rFonts w:hint="eastAsia" w:ascii="宋体" w:hAnsi="宋体" w:eastAsia="宋体" w:cs="宋体"/>
          <w:b/>
          <w:bCs/>
          <w:color w:val="000000"/>
          <w:sz w:val="21"/>
          <w:szCs w:val="21"/>
          <w:highlight w:val="none"/>
          <w:lang w:val="en-US" w:eastAsia="zh-CN"/>
        </w:rPr>
      </w:pPr>
    </w:p>
    <w:p>
      <w:pPr>
        <w:rPr>
          <w:rFonts w:hint="eastAsia" w:ascii="宋体" w:hAnsi="宋体" w:eastAsia="宋体" w:cs="宋体"/>
          <w:b/>
          <w:bCs/>
          <w:color w:val="000000"/>
          <w:sz w:val="21"/>
          <w:szCs w:val="21"/>
          <w:highlight w:val="none"/>
          <w:lang w:val="en-US" w:eastAsia="zh-CN"/>
        </w:rPr>
      </w:pPr>
    </w:p>
    <w:p>
      <w:pPr>
        <w:pStyle w:val="2"/>
        <w:rPr>
          <w:rFonts w:hint="eastAsia"/>
          <w:highlight w:val="none"/>
          <w:lang w:val="en-US" w:eastAsia="zh-CN"/>
        </w:rPr>
      </w:pPr>
    </w:p>
    <w:p>
      <w:pPr>
        <w:snapToGrid w:val="0"/>
        <w:spacing w:before="50" w:after="50" w:line="360" w:lineRule="auto"/>
        <w:jc w:val="both"/>
        <w:rPr>
          <w:rFonts w:hint="default"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备注：1、本项目的全过程工程咨询服务报酬由项目建设管理费、招标代理费、造价咨询服务费、工程监理费四部分组成。</w:t>
      </w:r>
    </w:p>
    <w:p>
      <w:pPr>
        <w:snapToGrid w:val="0"/>
        <w:spacing w:before="50" w:after="50" w:line="360" w:lineRule="auto"/>
        <w:ind w:firstLine="632" w:firstLineChars="300"/>
        <w:jc w:val="both"/>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2、分项报价不能超过“第二部分 采购需求”中的单项最高限价。</w:t>
      </w:r>
    </w:p>
    <w:p>
      <w:pPr>
        <w:snapToGrid w:val="0"/>
        <w:spacing w:before="50" w:after="50" w:line="360" w:lineRule="auto"/>
        <w:ind w:left="-21" w:leftChars="-72" w:right="-817" w:rightChars="-389" w:hanging="130" w:hangingChars="62"/>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名称（盖章）：                                 </w:t>
      </w:r>
    </w:p>
    <w:p>
      <w:pPr>
        <w:snapToGrid w:val="0"/>
        <w:spacing w:before="50" w:after="50" w:line="360" w:lineRule="auto"/>
        <w:ind w:left="-21" w:leftChars="-72" w:right="-817" w:rightChars="-389" w:hanging="130" w:hangingChars="6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法定代表人或授权代表（签字或盖章）： </w:t>
      </w:r>
    </w:p>
    <w:p>
      <w:pPr>
        <w:snapToGrid w:val="0"/>
        <w:spacing w:before="50" w:after="50" w:line="360" w:lineRule="auto"/>
        <w:ind w:left="-21" w:leftChars="-72" w:right="-817" w:rightChars="-389" w:hanging="130" w:hangingChars="6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日期：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年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月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日</w:t>
      </w:r>
    </w:p>
    <w:p>
      <w:pPr>
        <w:snapToGrid w:val="0"/>
        <w:spacing w:before="120" w:beforeLines="50" w:after="50" w:line="360" w:lineRule="auto"/>
        <w:jc w:val="left"/>
        <w:outlineLvl w:val="2"/>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b/>
          <w:color w:val="000000"/>
          <w:sz w:val="21"/>
          <w:szCs w:val="21"/>
          <w:highlight w:val="none"/>
        </w:rPr>
        <w:t>格式</w:t>
      </w:r>
      <w:r>
        <w:rPr>
          <w:rFonts w:hint="eastAsia" w:ascii="宋体" w:hAnsi="宋体" w:eastAsia="宋体" w:cs="宋体"/>
          <w:b/>
          <w:color w:val="000000"/>
          <w:sz w:val="21"/>
          <w:szCs w:val="21"/>
          <w:highlight w:val="none"/>
          <w:lang w:val="en-US" w:eastAsia="zh-CN"/>
        </w:rPr>
        <w:t>四</w:t>
      </w:r>
    </w:p>
    <w:p>
      <w:pPr>
        <w:snapToGrid w:val="0"/>
        <w:spacing w:before="120" w:beforeLines="50" w:after="50" w:line="360" w:lineRule="auto"/>
        <w:jc w:val="center"/>
        <w:outlineLvl w:val="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中小企业声明函</w:t>
      </w:r>
    </w:p>
    <w:p>
      <w:pPr>
        <w:spacing w:line="360" w:lineRule="auto"/>
        <w:rPr>
          <w:rFonts w:hint="eastAsia" w:ascii="宋体" w:hAnsi="宋体" w:eastAsia="宋体" w:cs="宋体"/>
          <w:color w:val="000000"/>
          <w:kern w:val="0"/>
          <w:sz w:val="21"/>
          <w:szCs w:val="21"/>
          <w:highlight w:val="none"/>
          <w:lang w:bidi="zh-CN"/>
        </w:rPr>
      </w:pP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zh-CN"/>
        </w:rPr>
        <w:t>本公司郑重声明，根据《政府采购促进中小企业发展管理办法》（财库﹝2020﹞46 号）的规定，本公司参加</w:t>
      </w:r>
      <w:r>
        <w:rPr>
          <w:rFonts w:hint="eastAsia" w:ascii="宋体" w:hAnsi="宋体" w:eastAsia="宋体" w:cs="宋体"/>
          <w:color w:val="000000"/>
          <w:kern w:val="0"/>
          <w:sz w:val="21"/>
          <w:szCs w:val="21"/>
          <w:highlight w:val="none"/>
          <w:u w:val="single"/>
          <w:lang w:bidi="zh-CN"/>
        </w:rPr>
        <w:t xml:space="preserve"> （单位名称） </w:t>
      </w:r>
      <w:r>
        <w:rPr>
          <w:rFonts w:hint="eastAsia" w:ascii="宋体" w:hAnsi="宋体" w:eastAsia="宋体" w:cs="宋体"/>
          <w:color w:val="000000"/>
          <w:kern w:val="0"/>
          <w:sz w:val="21"/>
          <w:szCs w:val="21"/>
          <w:highlight w:val="none"/>
          <w:lang w:bidi="zh-CN"/>
        </w:rPr>
        <w:t xml:space="preserve"> 的</w:t>
      </w:r>
      <w:r>
        <w:rPr>
          <w:rFonts w:hint="eastAsia" w:ascii="宋体" w:hAnsi="宋体" w:eastAsia="宋体" w:cs="宋体"/>
          <w:color w:val="000000"/>
          <w:kern w:val="0"/>
          <w:sz w:val="21"/>
          <w:szCs w:val="21"/>
          <w:highlight w:val="none"/>
          <w:u w:val="single"/>
          <w:lang w:bidi="zh-CN"/>
        </w:rPr>
        <w:t xml:space="preserve">  （项目名称）  </w:t>
      </w:r>
      <w:r>
        <w:rPr>
          <w:rFonts w:hint="eastAsia" w:ascii="宋体" w:hAnsi="宋体" w:eastAsia="宋体" w:cs="宋体"/>
          <w:color w:val="000000"/>
          <w:kern w:val="0"/>
          <w:sz w:val="21"/>
          <w:szCs w:val="21"/>
          <w:highlight w:val="none"/>
          <w:lang w:bidi="zh-CN"/>
        </w:rPr>
        <w:t>采购活动，服务全部由符合政策要求的中小企业承接。相关企业（含联合体中的中小企业、签订分包意向协议的中小企业）的具体情况如下：</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zh-CN"/>
        </w:rPr>
        <w:t>1、</w:t>
      </w:r>
      <w:r>
        <w:rPr>
          <w:rFonts w:hint="eastAsia" w:ascii="宋体" w:hAnsi="宋体" w:eastAsia="宋体" w:cs="宋体"/>
          <w:color w:val="000000"/>
          <w:kern w:val="0"/>
          <w:sz w:val="21"/>
          <w:szCs w:val="21"/>
          <w:highlight w:val="none"/>
          <w:u w:val="single"/>
          <w:lang w:bidi="zh-CN"/>
        </w:rPr>
        <w:t xml:space="preserve">（标的名称） </w:t>
      </w:r>
      <w:r>
        <w:rPr>
          <w:rFonts w:hint="eastAsia" w:ascii="宋体" w:hAnsi="宋体" w:eastAsia="宋体" w:cs="宋体"/>
          <w:color w:val="000000"/>
          <w:kern w:val="0"/>
          <w:sz w:val="21"/>
          <w:szCs w:val="21"/>
          <w:highlight w:val="none"/>
          <w:lang w:bidi="zh-CN"/>
        </w:rPr>
        <w:t>，属于</w:t>
      </w:r>
      <w:r>
        <w:rPr>
          <w:rFonts w:hint="eastAsia" w:ascii="宋体" w:hAnsi="宋体" w:eastAsia="宋体" w:cs="宋体"/>
          <w:color w:val="000000"/>
          <w:kern w:val="0"/>
          <w:sz w:val="21"/>
          <w:szCs w:val="21"/>
          <w:highlight w:val="none"/>
          <w:u w:val="single"/>
          <w:lang w:bidi="zh-CN"/>
        </w:rPr>
        <w:t xml:space="preserve">         </w:t>
      </w:r>
      <w:r>
        <w:rPr>
          <w:rFonts w:hint="eastAsia" w:ascii="宋体" w:hAnsi="宋体" w:eastAsia="宋体" w:cs="宋体"/>
          <w:color w:val="000000"/>
          <w:kern w:val="0"/>
          <w:sz w:val="21"/>
          <w:szCs w:val="21"/>
          <w:highlight w:val="none"/>
          <w:lang w:bidi="zh-CN"/>
        </w:rPr>
        <w:t>行业；承接企业为</w:t>
      </w:r>
      <w:r>
        <w:rPr>
          <w:rFonts w:hint="eastAsia" w:ascii="宋体" w:hAnsi="宋体" w:eastAsia="宋体" w:cs="宋体"/>
          <w:color w:val="000000"/>
          <w:kern w:val="0"/>
          <w:sz w:val="21"/>
          <w:szCs w:val="21"/>
          <w:highlight w:val="none"/>
          <w:u w:val="single"/>
          <w:lang w:bidi="zh-CN"/>
        </w:rPr>
        <w:t>（企业名称）</w:t>
      </w:r>
      <w:r>
        <w:rPr>
          <w:rFonts w:hint="eastAsia" w:ascii="宋体" w:hAnsi="宋体" w:eastAsia="宋体" w:cs="宋体"/>
          <w:color w:val="000000"/>
          <w:kern w:val="0"/>
          <w:sz w:val="21"/>
          <w:szCs w:val="21"/>
          <w:highlight w:val="none"/>
          <w:lang w:bidi="zh-CN"/>
        </w:rPr>
        <w:t>，从业人员</w:t>
      </w:r>
      <w:r>
        <w:rPr>
          <w:rFonts w:hint="eastAsia" w:ascii="宋体" w:hAnsi="宋体" w:eastAsia="宋体" w:cs="宋体"/>
          <w:color w:val="000000"/>
          <w:kern w:val="0"/>
          <w:sz w:val="21"/>
          <w:szCs w:val="21"/>
          <w:highlight w:val="none"/>
          <w:u w:val="single"/>
          <w:lang w:bidi="zh-CN"/>
        </w:rPr>
        <w:t xml:space="preserve">     </w:t>
      </w:r>
      <w:r>
        <w:rPr>
          <w:rFonts w:hint="eastAsia" w:ascii="宋体" w:hAnsi="宋体" w:eastAsia="宋体" w:cs="宋体"/>
          <w:color w:val="000000"/>
          <w:kern w:val="0"/>
          <w:sz w:val="21"/>
          <w:szCs w:val="21"/>
          <w:highlight w:val="none"/>
          <w:lang w:bidi="zh-CN"/>
        </w:rPr>
        <w:t>人，营业收入为</w:t>
      </w:r>
      <w:r>
        <w:rPr>
          <w:rFonts w:hint="eastAsia" w:ascii="宋体" w:hAnsi="宋体" w:eastAsia="宋体" w:cs="宋体"/>
          <w:color w:val="000000"/>
          <w:kern w:val="0"/>
          <w:sz w:val="21"/>
          <w:szCs w:val="21"/>
          <w:highlight w:val="none"/>
          <w:u w:val="single"/>
          <w:lang w:bidi="zh-CN"/>
        </w:rPr>
        <w:t xml:space="preserve">   </w:t>
      </w:r>
      <w:r>
        <w:rPr>
          <w:rFonts w:hint="eastAsia" w:ascii="宋体" w:hAnsi="宋体" w:eastAsia="宋体" w:cs="宋体"/>
          <w:color w:val="000000"/>
          <w:kern w:val="0"/>
          <w:sz w:val="21"/>
          <w:szCs w:val="21"/>
          <w:highlight w:val="none"/>
          <w:lang w:bidi="zh-CN"/>
        </w:rPr>
        <w:t>万元，资产总额为</w:t>
      </w:r>
      <w:r>
        <w:rPr>
          <w:rFonts w:hint="eastAsia" w:ascii="宋体" w:hAnsi="宋体" w:eastAsia="宋体" w:cs="宋体"/>
          <w:color w:val="000000"/>
          <w:kern w:val="0"/>
          <w:sz w:val="21"/>
          <w:szCs w:val="21"/>
          <w:highlight w:val="none"/>
          <w:u w:val="single"/>
          <w:lang w:bidi="zh-CN"/>
        </w:rPr>
        <w:t xml:space="preserve">     </w:t>
      </w:r>
      <w:r>
        <w:rPr>
          <w:rFonts w:hint="eastAsia" w:ascii="宋体" w:hAnsi="宋体" w:eastAsia="宋体" w:cs="宋体"/>
          <w:color w:val="000000"/>
          <w:kern w:val="0"/>
          <w:sz w:val="21"/>
          <w:szCs w:val="21"/>
          <w:highlight w:val="none"/>
          <w:lang w:bidi="zh-CN"/>
        </w:rPr>
        <w:t>万元，属于</w:t>
      </w:r>
      <w:r>
        <w:rPr>
          <w:rFonts w:hint="eastAsia" w:ascii="宋体" w:hAnsi="宋体" w:eastAsia="宋体" w:cs="宋体"/>
          <w:color w:val="000000"/>
          <w:kern w:val="0"/>
          <w:sz w:val="21"/>
          <w:szCs w:val="21"/>
          <w:highlight w:val="none"/>
          <w:u w:val="single"/>
          <w:lang w:bidi="zh-CN"/>
        </w:rPr>
        <w:t>（中型企业、小型企业、微型企业）</w:t>
      </w:r>
      <w:r>
        <w:rPr>
          <w:rFonts w:hint="eastAsia" w:ascii="宋体" w:hAnsi="宋体" w:eastAsia="宋体" w:cs="宋体"/>
          <w:color w:val="000000"/>
          <w:kern w:val="0"/>
          <w:sz w:val="21"/>
          <w:szCs w:val="21"/>
          <w:highlight w:val="none"/>
          <w:lang w:bidi="zh-CN"/>
        </w:rPr>
        <w:t xml:space="preserve">； </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zh-CN"/>
        </w:rPr>
        <w:t>2、</w:t>
      </w:r>
      <w:r>
        <w:rPr>
          <w:rFonts w:hint="eastAsia" w:ascii="宋体" w:hAnsi="宋体" w:eastAsia="宋体" w:cs="宋体"/>
          <w:color w:val="000000"/>
          <w:kern w:val="0"/>
          <w:sz w:val="21"/>
          <w:szCs w:val="21"/>
          <w:highlight w:val="none"/>
          <w:u w:val="single"/>
          <w:lang w:bidi="zh-CN"/>
        </w:rPr>
        <w:t xml:space="preserve">（标的名称） </w:t>
      </w:r>
      <w:r>
        <w:rPr>
          <w:rFonts w:hint="eastAsia" w:ascii="宋体" w:hAnsi="宋体" w:eastAsia="宋体" w:cs="宋体"/>
          <w:color w:val="000000"/>
          <w:kern w:val="0"/>
          <w:sz w:val="21"/>
          <w:szCs w:val="21"/>
          <w:highlight w:val="none"/>
          <w:lang w:bidi="zh-CN"/>
        </w:rPr>
        <w:t>，属于</w:t>
      </w:r>
      <w:r>
        <w:rPr>
          <w:rFonts w:hint="eastAsia" w:ascii="宋体" w:hAnsi="宋体" w:eastAsia="宋体" w:cs="宋体"/>
          <w:color w:val="000000"/>
          <w:kern w:val="0"/>
          <w:sz w:val="21"/>
          <w:szCs w:val="21"/>
          <w:highlight w:val="none"/>
          <w:u w:val="single"/>
          <w:lang w:bidi="zh-CN"/>
        </w:rPr>
        <w:t xml:space="preserve">         </w:t>
      </w:r>
      <w:r>
        <w:rPr>
          <w:rFonts w:hint="eastAsia" w:ascii="宋体" w:hAnsi="宋体" w:eastAsia="宋体" w:cs="宋体"/>
          <w:color w:val="000000"/>
          <w:kern w:val="0"/>
          <w:sz w:val="21"/>
          <w:szCs w:val="21"/>
          <w:highlight w:val="none"/>
          <w:lang w:bidi="zh-CN"/>
        </w:rPr>
        <w:t>行业；承接企业为</w:t>
      </w:r>
      <w:r>
        <w:rPr>
          <w:rFonts w:hint="eastAsia" w:ascii="宋体" w:hAnsi="宋体" w:eastAsia="宋体" w:cs="宋体"/>
          <w:color w:val="000000"/>
          <w:kern w:val="0"/>
          <w:sz w:val="21"/>
          <w:szCs w:val="21"/>
          <w:highlight w:val="none"/>
          <w:u w:val="single"/>
          <w:lang w:bidi="zh-CN"/>
        </w:rPr>
        <w:t>（企业名称）</w:t>
      </w:r>
      <w:r>
        <w:rPr>
          <w:rFonts w:hint="eastAsia" w:ascii="宋体" w:hAnsi="宋体" w:eastAsia="宋体" w:cs="宋体"/>
          <w:color w:val="000000"/>
          <w:kern w:val="0"/>
          <w:sz w:val="21"/>
          <w:szCs w:val="21"/>
          <w:highlight w:val="none"/>
          <w:lang w:bidi="zh-CN"/>
        </w:rPr>
        <w:t>，从业人员</w:t>
      </w:r>
      <w:r>
        <w:rPr>
          <w:rFonts w:hint="eastAsia" w:ascii="宋体" w:hAnsi="宋体" w:eastAsia="宋体" w:cs="宋体"/>
          <w:color w:val="000000"/>
          <w:kern w:val="0"/>
          <w:sz w:val="21"/>
          <w:szCs w:val="21"/>
          <w:highlight w:val="none"/>
          <w:u w:val="single"/>
          <w:lang w:bidi="zh-CN"/>
        </w:rPr>
        <w:t xml:space="preserve">     </w:t>
      </w:r>
      <w:r>
        <w:rPr>
          <w:rFonts w:hint="eastAsia" w:ascii="宋体" w:hAnsi="宋体" w:eastAsia="宋体" w:cs="宋体"/>
          <w:color w:val="000000"/>
          <w:kern w:val="0"/>
          <w:sz w:val="21"/>
          <w:szCs w:val="21"/>
          <w:highlight w:val="none"/>
          <w:lang w:bidi="zh-CN"/>
        </w:rPr>
        <w:t>人，营业收入为</w:t>
      </w:r>
      <w:r>
        <w:rPr>
          <w:rFonts w:hint="eastAsia" w:ascii="宋体" w:hAnsi="宋体" w:eastAsia="宋体" w:cs="宋体"/>
          <w:color w:val="000000"/>
          <w:kern w:val="0"/>
          <w:sz w:val="21"/>
          <w:szCs w:val="21"/>
          <w:highlight w:val="none"/>
          <w:u w:val="single"/>
          <w:lang w:bidi="zh-CN"/>
        </w:rPr>
        <w:t xml:space="preserve">   </w:t>
      </w:r>
      <w:r>
        <w:rPr>
          <w:rFonts w:hint="eastAsia" w:ascii="宋体" w:hAnsi="宋体" w:eastAsia="宋体" w:cs="宋体"/>
          <w:color w:val="000000"/>
          <w:kern w:val="0"/>
          <w:sz w:val="21"/>
          <w:szCs w:val="21"/>
          <w:highlight w:val="none"/>
          <w:lang w:bidi="zh-CN"/>
        </w:rPr>
        <w:t>万元，资产总额为</w:t>
      </w:r>
      <w:r>
        <w:rPr>
          <w:rFonts w:hint="eastAsia" w:ascii="宋体" w:hAnsi="宋体" w:eastAsia="宋体" w:cs="宋体"/>
          <w:color w:val="000000"/>
          <w:kern w:val="0"/>
          <w:sz w:val="21"/>
          <w:szCs w:val="21"/>
          <w:highlight w:val="none"/>
          <w:u w:val="single"/>
          <w:lang w:bidi="zh-CN"/>
        </w:rPr>
        <w:t xml:space="preserve">     </w:t>
      </w:r>
      <w:r>
        <w:rPr>
          <w:rFonts w:hint="eastAsia" w:ascii="宋体" w:hAnsi="宋体" w:eastAsia="宋体" w:cs="宋体"/>
          <w:color w:val="000000"/>
          <w:kern w:val="0"/>
          <w:sz w:val="21"/>
          <w:szCs w:val="21"/>
          <w:highlight w:val="none"/>
          <w:lang w:bidi="zh-CN"/>
        </w:rPr>
        <w:t>万元，属于</w:t>
      </w:r>
      <w:r>
        <w:rPr>
          <w:rFonts w:hint="eastAsia" w:ascii="宋体" w:hAnsi="宋体" w:eastAsia="宋体" w:cs="宋体"/>
          <w:color w:val="000000"/>
          <w:kern w:val="0"/>
          <w:sz w:val="21"/>
          <w:szCs w:val="21"/>
          <w:highlight w:val="none"/>
          <w:u w:val="single"/>
          <w:lang w:bidi="zh-CN"/>
        </w:rPr>
        <w:t>（中型企业、小型企业、微型企业）</w:t>
      </w:r>
      <w:r>
        <w:rPr>
          <w:rFonts w:hint="eastAsia" w:ascii="宋体" w:hAnsi="宋体" w:eastAsia="宋体" w:cs="宋体"/>
          <w:color w:val="000000"/>
          <w:kern w:val="0"/>
          <w:sz w:val="21"/>
          <w:szCs w:val="21"/>
          <w:highlight w:val="none"/>
          <w:lang w:bidi="zh-CN"/>
        </w:rPr>
        <w:t xml:space="preserve">； </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zh-CN"/>
        </w:rPr>
        <w:t>……</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zh-CN"/>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zh-CN"/>
        </w:rPr>
        <w:t xml:space="preserve">本企业对上述声明内容的真实性负责。如有虚假，将依法承担相应责任。 </w:t>
      </w:r>
    </w:p>
    <w:p>
      <w:pPr>
        <w:spacing w:line="360" w:lineRule="auto"/>
        <w:ind w:firstLine="420" w:firstLineChars="200"/>
        <w:jc w:val="center"/>
        <w:rPr>
          <w:rFonts w:hint="eastAsia" w:ascii="宋体" w:hAnsi="宋体" w:eastAsia="宋体" w:cs="宋体"/>
          <w:color w:val="000000"/>
          <w:sz w:val="21"/>
          <w:szCs w:val="21"/>
          <w:highlight w:val="none"/>
        </w:rPr>
      </w:pPr>
    </w:p>
    <w:p>
      <w:pPr>
        <w:spacing w:line="360" w:lineRule="auto"/>
        <w:ind w:firstLine="420" w:firstLineChars="200"/>
        <w:jc w:val="center"/>
        <w:rPr>
          <w:rFonts w:hint="eastAsia" w:ascii="宋体" w:hAnsi="宋体" w:eastAsia="宋体" w:cs="宋体"/>
          <w:color w:val="000000"/>
          <w:sz w:val="21"/>
          <w:szCs w:val="21"/>
          <w:highlight w:val="none"/>
        </w:rPr>
      </w:pPr>
    </w:p>
    <w:p>
      <w:pPr>
        <w:spacing w:line="360" w:lineRule="auto"/>
        <w:ind w:firstLine="420" w:firstLineChars="200"/>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zh-CN"/>
        </w:rPr>
        <w:t xml:space="preserve">           企业名称（盖章）：</w:t>
      </w:r>
    </w:p>
    <w:p>
      <w:pPr>
        <w:spacing w:line="360" w:lineRule="auto"/>
        <w:ind w:right="440" w:firstLine="4305" w:firstLineChars="205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zh-CN"/>
        </w:rPr>
        <w:t>日 期：</w:t>
      </w:r>
    </w:p>
    <w:p>
      <w:pPr>
        <w:spacing w:line="360" w:lineRule="auto"/>
        <w:ind w:firstLine="420" w:firstLineChars="200"/>
        <w:rPr>
          <w:rFonts w:hint="eastAsia" w:ascii="宋体" w:hAnsi="宋体" w:eastAsia="宋体" w:cs="宋体"/>
          <w:color w:val="000000"/>
          <w:sz w:val="21"/>
          <w:szCs w:val="21"/>
          <w:highlight w:val="none"/>
        </w:rPr>
      </w:pPr>
    </w:p>
    <w:p>
      <w:pPr>
        <w:spacing w:line="360" w:lineRule="auto"/>
        <w:ind w:firstLine="420" w:firstLineChars="200"/>
        <w:rPr>
          <w:rFonts w:hint="eastAsia" w:ascii="宋体" w:hAnsi="宋体" w:eastAsia="宋体" w:cs="宋体"/>
          <w:color w:val="000000"/>
          <w:kern w:val="0"/>
          <w:sz w:val="21"/>
          <w:szCs w:val="21"/>
          <w:highlight w:val="none"/>
          <w:lang w:bidi="zh-CN"/>
        </w:rPr>
      </w:pP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zh-CN"/>
        </w:rPr>
        <w:t>注：1、</w:t>
      </w:r>
      <w:r>
        <w:rPr>
          <w:rFonts w:hint="eastAsia" w:ascii="宋体" w:hAnsi="宋体" w:eastAsia="宋体" w:cs="宋体"/>
          <w:color w:val="000000"/>
          <w:kern w:val="0"/>
          <w:sz w:val="21"/>
          <w:szCs w:val="21"/>
          <w:highlight w:val="none"/>
          <w:lang w:val="zh-CN" w:bidi="zh-CN"/>
        </w:rPr>
        <w:t>从业人员、营业收入、资产总额填报上一年度数据，无上一年度数据的新成立企业可不填报。</w:t>
      </w:r>
    </w:p>
    <w:p>
      <w:pPr>
        <w:numPr>
          <w:ilvl w:val="0"/>
          <w:numId w:val="16"/>
        </w:numPr>
        <w:spacing w:line="360" w:lineRule="auto"/>
        <w:ind w:firstLine="840" w:firstLineChars="400"/>
        <w:rPr>
          <w:rFonts w:hint="eastAsia" w:ascii="宋体" w:hAnsi="宋体" w:eastAsia="宋体" w:cs="宋体"/>
          <w:color w:val="000000"/>
          <w:kern w:val="0"/>
          <w:sz w:val="21"/>
          <w:szCs w:val="21"/>
          <w:highlight w:val="none"/>
          <w:lang w:bidi="zh-CN"/>
        </w:rPr>
      </w:pPr>
      <w:r>
        <w:rPr>
          <w:rFonts w:hint="eastAsia" w:ascii="宋体" w:hAnsi="宋体" w:eastAsia="宋体" w:cs="宋体"/>
          <w:color w:val="000000"/>
          <w:kern w:val="0"/>
          <w:sz w:val="21"/>
          <w:szCs w:val="21"/>
          <w:highlight w:val="none"/>
          <w:lang w:bidi="zh-CN"/>
        </w:rPr>
        <w:t>行业划分参照工信部联企业[2011]300号规定。</w:t>
      </w:r>
    </w:p>
    <w:p>
      <w:pPr>
        <w:numPr>
          <w:ilvl w:val="0"/>
          <w:numId w:val="16"/>
        </w:numPr>
        <w:spacing w:line="360" w:lineRule="auto"/>
        <w:ind w:firstLine="840" w:firstLineChars="400"/>
        <w:rPr>
          <w:rFonts w:hint="eastAsia" w:ascii="宋体" w:hAnsi="宋体" w:eastAsia="宋体" w:cs="宋体"/>
          <w:color w:val="000000"/>
          <w:kern w:val="0"/>
          <w:sz w:val="21"/>
          <w:szCs w:val="21"/>
          <w:highlight w:val="none"/>
          <w:lang w:bidi="zh-CN"/>
        </w:rPr>
      </w:pPr>
      <w:r>
        <w:rPr>
          <w:rFonts w:hint="eastAsia" w:ascii="宋体" w:hAnsi="宋体" w:eastAsia="宋体" w:cs="宋体"/>
          <w:color w:val="000000"/>
          <w:kern w:val="0"/>
          <w:sz w:val="21"/>
          <w:szCs w:val="21"/>
          <w:highlight w:val="none"/>
          <w:lang w:bidi="zh-CN"/>
        </w:rPr>
        <w:t>联合体投标，如联合体成员含小型、微型企业的，可提交本声明函获得报价扣减优惠，如联合体成员均符合的应当分别提交本声明函，各自填写本格式内容并加盖各自单位公章，否则不能享受政策优惠。</w:t>
      </w:r>
    </w:p>
    <w:p>
      <w:pPr>
        <w:numPr>
          <w:ilvl w:val="0"/>
          <w:numId w:val="16"/>
        </w:numPr>
        <w:spacing w:line="360" w:lineRule="auto"/>
        <w:ind w:firstLine="840" w:firstLineChars="400"/>
        <w:rPr>
          <w:rFonts w:hint="eastAsia" w:ascii="宋体" w:hAnsi="宋体" w:eastAsia="宋体" w:cs="宋体"/>
          <w:color w:val="000000"/>
          <w:kern w:val="0"/>
          <w:sz w:val="21"/>
          <w:szCs w:val="21"/>
          <w:highlight w:val="none"/>
          <w:lang w:bidi="zh-CN"/>
        </w:rPr>
        <w:sectPr>
          <w:footerReference r:id="rId11" w:type="default"/>
          <w:pgSz w:w="11906" w:h="16838"/>
          <w:pgMar w:top="935" w:right="1466" w:bottom="935" w:left="1620" w:header="851" w:footer="851" w:gutter="0"/>
          <w:pgNumType w:fmt="decimal"/>
          <w:cols w:space="720" w:num="1"/>
          <w:docGrid w:linePitch="312" w:charSpace="0"/>
        </w:sectPr>
      </w:pPr>
    </w:p>
    <w:tbl>
      <w:tblPr>
        <w:tblStyle w:val="27"/>
        <w:tblW w:w="0" w:type="auto"/>
        <w:jc w:val="center"/>
        <w:tblLayout w:type="fixed"/>
        <w:tblCellMar>
          <w:top w:w="0" w:type="dxa"/>
          <w:left w:w="108" w:type="dxa"/>
          <w:bottom w:w="0" w:type="dxa"/>
          <w:right w:w="108" w:type="dxa"/>
        </w:tblCellMar>
      </w:tblPr>
      <w:tblGrid>
        <w:gridCol w:w="1620"/>
        <w:gridCol w:w="1498"/>
        <w:gridCol w:w="1899"/>
        <w:gridCol w:w="1910"/>
        <w:gridCol w:w="1280"/>
        <w:gridCol w:w="1500"/>
        <w:gridCol w:w="1480"/>
        <w:gridCol w:w="1120"/>
        <w:gridCol w:w="1150"/>
        <w:gridCol w:w="1105"/>
      </w:tblGrid>
      <w:tr>
        <w:tblPrEx>
          <w:tblCellMar>
            <w:top w:w="0" w:type="dxa"/>
            <w:left w:w="108" w:type="dxa"/>
            <w:bottom w:w="0" w:type="dxa"/>
            <w:right w:w="108" w:type="dxa"/>
          </w:tblCellMar>
        </w:tblPrEx>
        <w:trPr>
          <w:trHeight w:val="680" w:hRule="atLeast"/>
          <w:jc w:val="center"/>
        </w:trPr>
        <w:tc>
          <w:tcPr>
            <w:tcW w:w="14562" w:type="dxa"/>
            <w:gridSpan w:val="10"/>
            <w:tcBorders>
              <w:top w:val="nil"/>
              <w:left w:val="nil"/>
              <w:bottom w:val="single" w:color="auto" w:sz="4" w:space="0"/>
              <w:right w:val="nil"/>
            </w:tcBorders>
            <w:noWrap w:val="0"/>
            <w:vAlign w:val="center"/>
          </w:tcPr>
          <w:p>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jc w:val="center"/>
        </w:trPr>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行业</w:t>
            </w:r>
          </w:p>
        </w:tc>
        <w:tc>
          <w:tcPr>
            <w:tcW w:w="53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中型企业</w:t>
            </w:r>
          </w:p>
        </w:tc>
        <w:tc>
          <w:tcPr>
            <w:tcW w:w="42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小型企业</w:t>
            </w:r>
          </w:p>
        </w:tc>
        <w:tc>
          <w:tcPr>
            <w:tcW w:w="33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微型企业</w:t>
            </w:r>
          </w:p>
        </w:tc>
      </w:tr>
      <w:tr>
        <w:tblPrEx>
          <w:tblCellMar>
            <w:top w:w="0" w:type="dxa"/>
            <w:left w:w="108" w:type="dxa"/>
            <w:bottom w:w="0" w:type="dxa"/>
            <w:right w:w="108" w:type="dxa"/>
          </w:tblCellMar>
        </w:tblPrEx>
        <w:trPr>
          <w:trHeight w:val="525" w:hRule="atLeast"/>
          <w:jc w:val="center"/>
        </w:trPr>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000000"/>
                <w:kern w:val="0"/>
                <w:sz w:val="21"/>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从业人员X（人）</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资产总额Z</w:t>
            </w:r>
          </w:p>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从业人员X（人）</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w:t>
            </w:r>
          </w:p>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资产总额Z</w:t>
            </w:r>
          </w:p>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（万元）</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从业人员X（人）</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营业收入Y（万元）</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资产总额Z（万元）</w:t>
            </w: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1、农林牧渔业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500≤Y＜20000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50≤Y＜500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Y＜50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2、工业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300≤X＜1000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2000≤Y＜40000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20≤X＜300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300≤Y＜2000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Y＜300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3、建筑业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6000≤Y＜80000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5000≤Z＜80000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300≤Y＜6000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300≤Z＜5000</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Y＜300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Z＜300</w:t>
            </w: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4、批发业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20≤X＜200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5000≤Y＜40000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5≤X＜20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1000≤Y＜5000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5、零售业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500≤Y＜20000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10≤X＜50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100≤Y＜500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6、交通运输业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300≤X＜1000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3000≤Y＜30000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20≤X＜300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200≤Y＜3000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V＜200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7、仓储业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100≤X＜200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1000≤Y＜30000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100≤Y＜1000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8、邮政业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300≤X＜1000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2000≤Y＜30000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20≤X＜300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100≤Y＜2000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X＜20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9、住宿业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2000≤Y＜10000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100≤Y＜2000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10、餐饮业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2000≤Y＜10000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100≤Y＜2000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V＜100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524"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11、信息传输业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100≤X＜2000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1000≤Y＜100000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100≤Y＜1000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12、软件和信息技术服务业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1000≤Y＜10000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50≤Y＜1000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Y＜50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13、房地产开发经营</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1000≤Y＜200000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5000≤Z＜10000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100≤Y＜1000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2000≤Z＜5000</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Y＜100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Z＜2000</w:t>
            </w: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14、物业管理</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300≤X＜1000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1000≤Y＜5000</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100≤X＜300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500≤Y＜1000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Y＜500</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15、租赁和商务服务业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8000≤Z＜120000</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100≤Z＜8000</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Z＜100</w:t>
            </w:r>
          </w:p>
        </w:tc>
      </w:tr>
      <w:tr>
        <w:tblPrEx>
          <w:tblCellMar>
            <w:top w:w="0" w:type="dxa"/>
            <w:left w:w="108" w:type="dxa"/>
            <w:bottom w:w="0" w:type="dxa"/>
            <w:right w:w="108" w:type="dxa"/>
          </w:tblCellMar>
        </w:tblPrEx>
        <w:trPr>
          <w:trHeight w:val="36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16、其他未列明行业</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100≤X＜300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10≤X＜100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X＜10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285" w:hRule="atLeast"/>
          <w:jc w:val="center"/>
        </w:trPr>
        <w:tc>
          <w:tcPr>
            <w:tcW w:w="14562" w:type="dxa"/>
            <w:gridSpan w:val="10"/>
            <w:tcBorders>
              <w:top w:val="single" w:color="auto" w:sz="4" w:space="0"/>
              <w:left w:val="nil"/>
              <w:bottom w:val="nil"/>
              <w:right w:val="nil"/>
            </w:tcBorders>
            <w:noWrap w:val="0"/>
            <w:vAlign w:val="center"/>
          </w:tcPr>
          <w:p>
            <w:pPr>
              <w:widowControl/>
              <w:spacing w:line="360" w:lineRule="auto"/>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说明</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1、企业类型的划分以统计部门的统计数据为依据。</w:t>
            </w:r>
          </w:p>
          <w:p>
            <w:pPr>
              <w:widowControl/>
              <w:spacing w:line="360" w:lineRule="auto"/>
              <w:ind w:firstLine="630" w:firstLineChars="3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2、个体工商户和本规定以外的行业，参照本规定进行划型。</w:t>
            </w:r>
          </w:p>
          <w:p>
            <w:pPr>
              <w:widowControl/>
              <w:spacing w:line="360" w:lineRule="auto"/>
              <w:ind w:firstLine="630" w:firstLineChars="3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3、本规定的中型企业标准上限即为大型企业标准的下限。</w:t>
            </w:r>
          </w:p>
        </w:tc>
      </w:tr>
    </w:tbl>
    <w:p>
      <w:pPr>
        <w:widowControl/>
        <w:spacing w:before="120" w:after="120" w:line="360" w:lineRule="auto"/>
        <w:jc w:val="left"/>
        <w:rPr>
          <w:rFonts w:hint="eastAsia" w:ascii="宋体" w:hAnsi="宋体" w:eastAsia="宋体" w:cs="宋体"/>
          <w:color w:val="000000"/>
          <w:sz w:val="21"/>
          <w:szCs w:val="21"/>
          <w:highlight w:val="none"/>
        </w:rPr>
        <w:sectPr>
          <w:pgSz w:w="16838" w:h="11906" w:orient="landscape"/>
          <w:pgMar w:top="1621" w:right="935" w:bottom="1468" w:left="935" w:header="851" w:footer="850" w:gutter="0"/>
          <w:pgNumType w:fmt="decimal"/>
          <w:cols w:space="720" w:num="1"/>
          <w:rtlGutter w:val="0"/>
          <w:docGrid w:linePitch="312" w:charSpace="0"/>
        </w:sectPr>
      </w:pPr>
    </w:p>
    <w:p>
      <w:pPr>
        <w:widowControl/>
        <w:spacing w:line="360" w:lineRule="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格式五：</w:t>
      </w:r>
    </w:p>
    <w:p>
      <w:pPr>
        <w:pStyle w:val="12"/>
        <w:widowControl/>
        <w:spacing w:line="360" w:lineRule="auto"/>
        <w:ind w:firstLine="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残疾人福利性单位声明函</w:t>
      </w:r>
    </w:p>
    <w:p>
      <w:pPr>
        <w:widowControl/>
        <w:spacing w:line="360" w:lineRule="auto"/>
        <w:jc w:val="left"/>
        <w:rPr>
          <w:rFonts w:hint="eastAsia" w:ascii="宋体" w:hAnsi="宋体" w:eastAsia="宋体" w:cs="宋体"/>
          <w:color w:val="00000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1.本单位郑重声明，根据《财政部 民政部 中国残疾人联合会关于促进残疾人就业政府采购政策的通知》（财库〔2017〕141号）的规定，本单位</w:t>
      </w:r>
      <w:r>
        <w:rPr>
          <w:rFonts w:hint="eastAsia" w:ascii="宋体" w:hAnsi="宋体" w:eastAsia="宋体" w:cs="宋体"/>
          <w:color w:val="000000"/>
          <w:sz w:val="21"/>
          <w:szCs w:val="21"/>
          <w:highlight w:val="none"/>
        </w:rPr>
        <w:t>_____（填写：</w:t>
      </w:r>
      <w:r>
        <w:rPr>
          <w:rFonts w:hint="eastAsia" w:ascii="宋体" w:hAnsi="宋体" w:eastAsia="宋体" w:cs="宋体"/>
          <w:color w:val="000000"/>
          <w:kern w:val="0"/>
          <w:sz w:val="21"/>
          <w:szCs w:val="21"/>
          <w:highlight w:val="none"/>
        </w:rPr>
        <w:t>为符合或者不符合</w:t>
      </w: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1"/>
          <w:szCs w:val="21"/>
          <w:highlight w:val="none"/>
        </w:rPr>
        <w:t>条件的残疾人福利性单位，且本单位参加</w:t>
      </w:r>
      <w:r>
        <w:rPr>
          <w:rFonts w:hint="eastAsia" w:ascii="宋体" w:hAnsi="宋体" w:eastAsia="宋体" w:cs="宋体"/>
          <w:color w:val="000000"/>
          <w:sz w:val="21"/>
          <w:szCs w:val="21"/>
          <w:highlight w:val="none"/>
        </w:rPr>
        <w:t>_____</w:t>
      </w:r>
      <w:r>
        <w:rPr>
          <w:rFonts w:hint="eastAsia" w:ascii="宋体" w:hAnsi="宋体" w:eastAsia="宋体" w:cs="宋体"/>
          <w:color w:val="000000"/>
          <w:kern w:val="0"/>
          <w:sz w:val="21"/>
          <w:szCs w:val="21"/>
          <w:highlight w:val="none"/>
        </w:rPr>
        <w:t>单位的</w:t>
      </w:r>
      <w:r>
        <w:rPr>
          <w:rFonts w:hint="eastAsia" w:ascii="宋体" w:hAnsi="宋体" w:eastAsia="宋体" w:cs="宋体"/>
          <w:color w:val="000000"/>
          <w:sz w:val="21"/>
          <w:szCs w:val="21"/>
          <w:highlight w:val="none"/>
        </w:rPr>
        <w:t>_____</w:t>
      </w:r>
      <w:r>
        <w:rPr>
          <w:rFonts w:hint="eastAsia" w:ascii="宋体" w:hAnsi="宋体" w:eastAsia="宋体" w:cs="宋体"/>
          <w:color w:val="000000"/>
          <w:kern w:val="0"/>
          <w:sz w:val="21"/>
          <w:szCs w:val="21"/>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2.本单位对上述声明的真实性负责。如有虚假，将依法承担相应责任。</w:t>
      </w:r>
    </w:p>
    <w:p>
      <w:pPr>
        <w:widowControl/>
        <w:spacing w:line="360" w:lineRule="auto"/>
        <w:jc w:val="left"/>
        <w:rPr>
          <w:rFonts w:hint="eastAsia" w:ascii="宋体" w:hAnsi="宋体" w:eastAsia="宋体" w:cs="宋体"/>
          <w:color w:val="000000"/>
          <w:kern w:val="0"/>
          <w:sz w:val="21"/>
          <w:szCs w:val="21"/>
          <w:highlight w:val="none"/>
        </w:rPr>
      </w:pPr>
    </w:p>
    <w:p>
      <w:pPr>
        <w:pStyle w:val="40"/>
        <w:spacing w:line="360" w:lineRule="auto"/>
        <w:ind w:left="0" w:leftChars="0" w:firstLine="0" w:firstLineChars="0"/>
        <w:rPr>
          <w:rFonts w:hint="eastAsia"/>
          <w:sz w:val="21"/>
          <w:szCs w:val="21"/>
          <w:highlight w:val="none"/>
        </w:rPr>
      </w:pPr>
    </w:p>
    <w:p>
      <w:pPr>
        <w:widowControl/>
        <w:tabs>
          <w:tab w:val="left" w:pos="4860"/>
        </w:tabs>
        <w:spacing w:line="360" w:lineRule="auto"/>
        <w:ind w:right="1560" w:firstLine="420" w:firstLineChars="200"/>
        <w:jc w:val="center"/>
        <w:rPr>
          <w:rFonts w:hint="eastAsia" w:ascii="宋体" w:hAnsi="宋体" w:eastAsia="宋体" w:cs="宋体"/>
          <w:color w:val="000000"/>
          <w:spacing w:val="6"/>
          <w:sz w:val="21"/>
          <w:szCs w:val="21"/>
          <w:highlight w:val="none"/>
        </w:rPr>
      </w:pPr>
      <w:r>
        <w:rPr>
          <w:rFonts w:hint="eastAsia" w:ascii="宋体" w:hAnsi="宋体" w:eastAsia="宋体" w:cs="宋体"/>
          <w:color w:val="000000"/>
          <w:kern w:val="0"/>
          <w:sz w:val="21"/>
          <w:szCs w:val="21"/>
          <w:highlight w:val="none"/>
        </w:rPr>
        <w:t xml:space="preserve">                                       </w:t>
      </w:r>
      <w:r>
        <w:rPr>
          <w:rFonts w:hint="eastAsia" w:ascii="宋体" w:hAnsi="宋体" w:eastAsia="宋体" w:cs="宋体"/>
          <w:color w:val="000000"/>
          <w:spacing w:val="6"/>
          <w:sz w:val="21"/>
          <w:szCs w:val="21"/>
          <w:highlight w:val="none"/>
        </w:rPr>
        <w:t xml:space="preserve">企业名称（盖章）： </w:t>
      </w:r>
    </w:p>
    <w:p>
      <w:pPr>
        <w:spacing w:line="360" w:lineRule="auto"/>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 xml:space="preserve">                                            日  期：</w:t>
      </w:r>
    </w:p>
    <w:p>
      <w:pPr>
        <w:pStyle w:val="40"/>
        <w:spacing w:line="360" w:lineRule="auto"/>
        <w:rPr>
          <w:rFonts w:hint="eastAsia"/>
          <w:sz w:val="21"/>
          <w:szCs w:val="21"/>
          <w:highlight w:val="none"/>
        </w:rPr>
      </w:pPr>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投标人如为非残疾人福利性单位的，可不提供本声明函。</w:t>
      </w:r>
    </w:p>
    <w:p>
      <w:pPr>
        <w:widowControl/>
        <w:adjustRightInd w:val="0"/>
        <w:snapToGrid w:val="0"/>
        <w:spacing w:line="360" w:lineRule="auto"/>
        <w:jc w:val="left"/>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注：</w:t>
      </w:r>
    </w:p>
    <w:p>
      <w:pPr>
        <w:widowControl/>
        <w:adjustRightInd w:val="0"/>
        <w:snapToGrid w:val="0"/>
        <w:spacing w:line="360" w:lineRule="auto"/>
        <w:jc w:val="left"/>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1、如投标人为非残疾人福利性单位的可不提供本声明函。</w:t>
      </w:r>
    </w:p>
    <w:p>
      <w:pPr>
        <w:widowControl/>
        <w:adjustRightInd w:val="0"/>
        <w:snapToGrid w:val="0"/>
        <w:spacing w:line="360" w:lineRule="auto"/>
        <w:jc w:val="left"/>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2、享受政府采购支持政策的残疾人福利性单位应当同时满足以下条件：</w:t>
      </w:r>
    </w:p>
    <w:p>
      <w:pPr>
        <w:widowControl/>
        <w:adjustRightInd w:val="0"/>
        <w:snapToGrid w:val="0"/>
        <w:spacing w:line="360" w:lineRule="auto"/>
        <w:jc w:val="left"/>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（一）安置的残疾人占本单位在职职工人数的比例不低于25%（含25%），并且安置的残疾人人数不少于10人（含10人）；</w:t>
      </w:r>
    </w:p>
    <w:p>
      <w:pPr>
        <w:widowControl/>
        <w:adjustRightInd w:val="0"/>
        <w:snapToGrid w:val="0"/>
        <w:spacing w:line="360" w:lineRule="auto"/>
        <w:jc w:val="left"/>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（二）依法与安置的每位残疾人签订了一年以上（含一年）的劳动合同或服务协议；</w:t>
      </w:r>
    </w:p>
    <w:p>
      <w:pPr>
        <w:widowControl/>
        <w:adjustRightInd w:val="0"/>
        <w:snapToGrid w:val="0"/>
        <w:spacing w:line="360" w:lineRule="auto"/>
        <w:jc w:val="left"/>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（三）为安置的每位残疾人按月足额缴纳了基本养老保险、基本医疗保险、失业保险、工伤保险和生育保险等社会保险费；</w:t>
      </w:r>
    </w:p>
    <w:p>
      <w:pPr>
        <w:widowControl/>
        <w:adjustRightInd w:val="0"/>
        <w:snapToGrid w:val="0"/>
        <w:spacing w:line="360" w:lineRule="auto"/>
        <w:jc w:val="left"/>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（四）通过银行等金融机构向安置的每位残疾人，按月支付了不低于单位所在区县适用的经省级人民政府批准的月最低工资标准的工资；</w:t>
      </w:r>
    </w:p>
    <w:p>
      <w:pPr>
        <w:widowControl/>
        <w:adjustRightInd w:val="0"/>
        <w:snapToGrid w:val="0"/>
        <w:spacing w:line="360" w:lineRule="auto"/>
        <w:jc w:val="left"/>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tabs>
          <w:tab w:val="left" w:pos="425"/>
          <w:tab w:val="left" w:pos="845"/>
        </w:tabs>
        <w:spacing w:line="360" w:lineRule="auto"/>
        <w:rPr>
          <w:rFonts w:hint="eastAsia" w:ascii="宋体" w:hAnsi="宋体" w:eastAsia="宋体" w:cs="宋体"/>
          <w:b/>
          <w:color w:val="000000"/>
          <w:sz w:val="21"/>
          <w:szCs w:val="21"/>
          <w:highlight w:val="none"/>
          <w:lang w:val="zh-CN"/>
        </w:rPr>
      </w:pPr>
      <w:r>
        <w:rPr>
          <w:rFonts w:hint="eastAsia" w:ascii="宋体" w:hAnsi="宋体" w:eastAsia="宋体" w:cs="宋体"/>
          <w:color w:val="000000"/>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000000"/>
          <w:sz w:val="21"/>
          <w:szCs w:val="21"/>
          <w:highlight w:val="none"/>
        </w:rPr>
        <w:br w:type="page"/>
      </w:r>
      <w:r>
        <w:rPr>
          <w:rFonts w:hint="eastAsia" w:ascii="宋体" w:hAnsi="宋体" w:eastAsia="宋体" w:cs="宋体"/>
          <w:b/>
          <w:color w:val="000000"/>
          <w:sz w:val="21"/>
          <w:szCs w:val="21"/>
          <w:highlight w:val="none"/>
        </w:rPr>
        <w:t>格式六</w:t>
      </w:r>
    </w:p>
    <w:p>
      <w:pPr>
        <w:snapToGrid w:val="0"/>
        <w:spacing w:before="120" w:beforeLines="50" w:after="50" w:line="360" w:lineRule="auto"/>
        <w:jc w:val="center"/>
        <w:outlineLvl w:val="2"/>
        <w:rPr>
          <w:rFonts w:hint="eastAsia" w:ascii="宋体" w:hAnsi="宋体" w:eastAsia="宋体" w:cs="宋体"/>
          <w:b/>
          <w:color w:val="000000"/>
          <w:sz w:val="21"/>
          <w:szCs w:val="21"/>
          <w:highlight w:val="none"/>
        </w:rPr>
      </w:pPr>
      <w:r>
        <w:rPr>
          <w:rFonts w:hint="eastAsia" w:ascii="宋体" w:hAnsi="宋体" w:cs="宋体"/>
          <w:b/>
          <w:color w:val="000000"/>
          <w:sz w:val="21"/>
          <w:szCs w:val="21"/>
          <w:highlight w:val="none"/>
          <w:lang w:eastAsia="zh-CN"/>
        </w:rPr>
        <w:t>投标人</w:t>
      </w:r>
      <w:r>
        <w:rPr>
          <w:rFonts w:hint="eastAsia" w:ascii="宋体" w:hAnsi="宋体" w:eastAsia="宋体" w:cs="宋体"/>
          <w:b/>
          <w:color w:val="000000"/>
          <w:sz w:val="21"/>
          <w:szCs w:val="21"/>
          <w:highlight w:val="none"/>
        </w:rPr>
        <w:t>基本情况表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8"/>
        <w:gridCol w:w="1080"/>
        <w:gridCol w:w="1260"/>
        <w:gridCol w:w="720"/>
        <w:gridCol w:w="540"/>
        <w:gridCol w:w="1260"/>
        <w:gridCol w:w="180"/>
        <w:gridCol w:w="7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名称</w:t>
            </w:r>
          </w:p>
        </w:tc>
        <w:tc>
          <w:tcPr>
            <w:tcW w:w="7380" w:type="dxa"/>
            <w:gridSpan w:val="8"/>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注册地址</w:t>
            </w:r>
          </w:p>
        </w:tc>
        <w:tc>
          <w:tcPr>
            <w:tcW w:w="3600" w:type="dxa"/>
            <w:gridSpan w:val="4"/>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p>
        </w:tc>
        <w:tc>
          <w:tcPr>
            <w:tcW w:w="2520" w:type="dxa"/>
            <w:gridSpan w:val="3"/>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vMerge w:val="restart"/>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联系方式</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w:t>
            </w:r>
          </w:p>
        </w:tc>
        <w:tc>
          <w:tcPr>
            <w:tcW w:w="2520"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p>
        </w:tc>
        <w:tc>
          <w:tcPr>
            <w:tcW w:w="2520" w:type="dxa"/>
            <w:gridSpan w:val="3"/>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vMerge w:val="continue"/>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传真</w:t>
            </w:r>
          </w:p>
        </w:tc>
        <w:tc>
          <w:tcPr>
            <w:tcW w:w="2520"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电子邮件</w:t>
            </w:r>
          </w:p>
        </w:tc>
        <w:tc>
          <w:tcPr>
            <w:tcW w:w="2520" w:type="dxa"/>
            <w:gridSpan w:val="3"/>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技术职称</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p>
        </w:tc>
        <w:tc>
          <w:tcPr>
            <w:tcW w:w="1620"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技术负责人</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技术职称</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p>
        </w:tc>
        <w:tc>
          <w:tcPr>
            <w:tcW w:w="1620"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成立时间</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5040" w:type="dxa"/>
            <w:gridSpan w:val="6"/>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资质等级</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720"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w:t>
            </w:r>
          </w:p>
        </w:tc>
        <w:tc>
          <w:tcPr>
            <w:tcW w:w="1980"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2340" w:type="dxa"/>
            <w:gridSpan w:val="2"/>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营业执照（法人证书）号</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720"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1980"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2340" w:type="dxa"/>
            <w:gridSpan w:val="2"/>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4"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社会统一代码</w:t>
            </w:r>
          </w:p>
        </w:tc>
        <w:tc>
          <w:tcPr>
            <w:tcW w:w="2340" w:type="dxa"/>
            <w:gridSpan w:val="2"/>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720" w:type="dxa"/>
            <w:vMerge w:val="continue"/>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1980" w:type="dxa"/>
            <w:gridSpan w:val="3"/>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p>
        </w:tc>
        <w:tc>
          <w:tcPr>
            <w:tcW w:w="2340" w:type="dxa"/>
            <w:gridSpan w:val="2"/>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注册资金</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基本帐户开户银行</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9"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基本帐户帐号</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78" w:hRule="atLeast"/>
        </w:trPr>
        <w:tc>
          <w:tcPr>
            <w:tcW w:w="1828"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经营范围</w:t>
            </w:r>
          </w:p>
        </w:tc>
        <w:tc>
          <w:tcPr>
            <w:tcW w:w="7380" w:type="dxa"/>
            <w:gridSpan w:val="8"/>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4" w:hRule="atLeast"/>
        </w:trPr>
        <w:tc>
          <w:tcPr>
            <w:tcW w:w="1828"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c>
          <w:tcPr>
            <w:tcW w:w="7380" w:type="dxa"/>
            <w:gridSpan w:val="8"/>
            <w:tcBorders>
              <w:top w:val="single" w:color="auto" w:sz="6" w:space="0"/>
              <w:left w:val="single" w:color="auto" w:sz="6" w:space="0"/>
              <w:bottom w:val="double" w:color="auto" w:sz="4" w:space="0"/>
              <w:right w:val="double" w:color="auto" w:sz="4" w:space="0"/>
            </w:tcBorders>
            <w:noWrap w:val="0"/>
            <w:vAlign w:val="center"/>
          </w:tcPr>
          <w:p>
            <w:pPr>
              <w:spacing w:line="360" w:lineRule="auto"/>
              <w:rPr>
                <w:rFonts w:hint="eastAsia" w:ascii="宋体" w:hAnsi="宋体" w:eastAsia="宋体" w:cs="宋体"/>
                <w:color w:val="000000"/>
                <w:sz w:val="21"/>
                <w:szCs w:val="21"/>
                <w:highlight w:val="none"/>
              </w:rPr>
            </w:pPr>
          </w:p>
        </w:tc>
      </w:tr>
    </w:tbl>
    <w:p>
      <w:pPr>
        <w:spacing w:line="360" w:lineRule="auto"/>
        <w:ind w:left="945" w:leftChars="200" w:right="-153" w:rightChars="-73" w:hanging="525" w:hangingChars="250"/>
        <w:rPr>
          <w:rFonts w:hint="eastAsia" w:ascii="宋体" w:hAnsi="宋体" w:eastAsia="宋体" w:cs="宋体"/>
          <w:color w:val="000000"/>
          <w:sz w:val="21"/>
          <w:szCs w:val="21"/>
          <w:highlight w:val="none"/>
        </w:rPr>
      </w:pPr>
    </w:p>
    <w:p>
      <w:pPr>
        <w:snapToGrid w:val="0"/>
        <w:spacing w:before="120" w:beforeLines="50" w:after="5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注：在本表后应附企业法人营业执照或事业单位法人证书副本（全本）的复印件、基本账户开户许可证的复印件。上述所有执照、证书复印件均应加盖</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单位章。</w:t>
      </w:r>
    </w:p>
    <w:p>
      <w:pPr>
        <w:snapToGrid w:val="0"/>
        <w:spacing w:before="120" w:beforeLines="50" w:after="50" w:line="360" w:lineRule="auto"/>
        <w:rPr>
          <w:rFonts w:hint="eastAsia" w:ascii="宋体" w:hAnsi="宋体" w:eastAsia="宋体" w:cs="宋体"/>
          <w:color w:val="000000"/>
          <w:sz w:val="21"/>
          <w:szCs w:val="21"/>
          <w:highlight w:val="none"/>
        </w:rPr>
      </w:pPr>
    </w:p>
    <w:p>
      <w:pPr>
        <w:snapToGrid w:val="0"/>
        <w:spacing w:before="120" w:beforeLines="50" w:after="50" w:line="360" w:lineRule="auto"/>
        <w:rPr>
          <w:rFonts w:hint="eastAsia" w:ascii="宋体" w:hAnsi="宋体" w:eastAsia="宋体" w:cs="宋体"/>
          <w:color w:val="000000"/>
          <w:sz w:val="21"/>
          <w:szCs w:val="21"/>
          <w:highlight w:val="none"/>
        </w:rPr>
      </w:pPr>
    </w:p>
    <w:p>
      <w:pPr>
        <w:pStyle w:val="14"/>
        <w:snapToGrid w:val="0"/>
        <w:spacing w:before="0" w:beforeLines="0" w:after="0" w:afterLines="0" w:line="36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b/>
          <w:color w:val="000000"/>
          <w:sz w:val="21"/>
          <w:szCs w:val="21"/>
          <w:highlight w:val="none"/>
        </w:rPr>
        <w:t>格式七-1</w:t>
      </w:r>
    </w:p>
    <w:p>
      <w:pPr>
        <w:snapToGrid w:val="0"/>
        <w:spacing w:before="120" w:beforeLines="50" w:after="50" w:line="360" w:lineRule="auto"/>
        <w:jc w:val="center"/>
        <w:outlineLvl w:val="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法定代表人资格证明书</w:t>
      </w:r>
    </w:p>
    <w:p>
      <w:pPr>
        <w:autoSpaceDE w:val="0"/>
        <w:autoSpaceDN w:val="0"/>
        <w:adjustRightInd w:val="0"/>
        <w:spacing w:line="360" w:lineRule="auto"/>
        <w:ind w:firstLine="539" w:firstLineChars="257"/>
        <w:rPr>
          <w:rFonts w:hint="eastAsia" w:ascii="宋体" w:hAnsi="宋体" w:eastAsia="宋体" w:cs="宋体"/>
          <w:color w:val="000000"/>
          <w:sz w:val="21"/>
          <w:szCs w:val="21"/>
          <w:highlight w:val="none"/>
        </w:rPr>
      </w:pPr>
    </w:p>
    <w:p>
      <w:pPr>
        <w:pStyle w:val="12"/>
        <w:spacing w:line="360" w:lineRule="auto"/>
        <w:ind w:firstLine="472" w:firstLineChars="225"/>
        <w:jc w:val="left"/>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单位名称：</w:t>
      </w:r>
    </w:p>
    <w:p>
      <w:pPr>
        <w:pStyle w:val="12"/>
        <w:spacing w:line="360" w:lineRule="auto"/>
        <w:ind w:firstLine="472" w:firstLineChars="225"/>
        <w:jc w:val="left"/>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地址：</w:t>
      </w:r>
    </w:p>
    <w:p>
      <w:pPr>
        <w:pStyle w:val="12"/>
        <w:spacing w:line="360" w:lineRule="auto"/>
        <w:ind w:firstLine="472" w:firstLineChars="225"/>
        <w:jc w:val="left"/>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 xml:space="preserve">姓名：          性别：           年龄：            职务：        </w:t>
      </w:r>
    </w:p>
    <w:p>
      <w:pPr>
        <w:spacing w:before="120" w:beforeLines="5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本人系</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eastAsia="zh-CN"/>
        </w:rPr>
        <w:t>（投标人</w:t>
      </w:r>
      <w:r>
        <w:rPr>
          <w:rFonts w:hint="eastAsia" w:ascii="宋体" w:hAnsi="宋体" w:eastAsia="宋体" w:cs="宋体"/>
          <w:color w:val="000000"/>
          <w:sz w:val="21"/>
          <w:szCs w:val="21"/>
          <w:highlight w:val="none"/>
          <w:u w:val="single"/>
        </w:rPr>
        <w:t>名称</w:t>
      </w:r>
      <w:r>
        <w:rPr>
          <w:rFonts w:hint="eastAsia" w:ascii="宋体" w:hAnsi="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的法定代表人。为你单位组织的</w:t>
      </w:r>
      <w:r>
        <w:rPr>
          <w:rFonts w:hint="eastAsia" w:ascii="宋体" w:hAnsi="宋体" w:cs="宋体"/>
          <w:color w:val="000000"/>
          <w:sz w:val="21"/>
          <w:szCs w:val="21"/>
          <w:highlight w:val="none"/>
          <w:lang w:val="en-US" w:eastAsia="zh-CN"/>
        </w:rPr>
        <w:t>项目</w:t>
      </w:r>
      <w:r>
        <w:rPr>
          <w:rFonts w:hint="eastAsia" w:ascii="宋体" w:hAnsi="宋体" w:eastAsia="宋体" w:cs="宋体"/>
          <w:color w:val="000000"/>
          <w:sz w:val="21"/>
          <w:szCs w:val="21"/>
          <w:highlight w:val="none"/>
        </w:rPr>
        <w:t>编号为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政府采购项目，签署上述项目的投标文件、进行合同谈判、签署合同和处理与之有关的一切事务。</w:t>
      </w:r>
    </w:p>
    <w:p>
      <w:pPr>
        <w:pStyle w:val="12"/>
        <w:spacing w:line="360" w:lineRule="auto"/>
        <w:ind w:firstLine="472" w:firstLineChars="225"/>
        <w:jc w:val="left"/>
        <w:rPr>
          <w:rFonts w:hint="eastAsia" w:ascii="宋体" w:hAnsi="宋体" w:eastAsia="宋体" w:cs="宋体"/>
          <w:color w:val="000000"/>
          <w:spacing w:val="0"/>
          <w:sz w:val="21"/>
          <w:szCs w:val="21"/>
          <w:highlight w:val="none"/>
        </w:rPr>
      </w:pPr>
      <w:r>
        <w:rPr>
          <w:rFonts w:hint="eastAsia" w:ascii="宋体" w:hAnsi="宋体" w:eastAsia="宋体" w:cs="宋体"/>
          <w:color w:val="000000"/>
          <w:spacing w:val="0"/>
          <w:sz w:val="21"/>
          <w:szCs w:val="21"/>
          <w:highlight w:val="none"/>
        </w:rPr>
        <w:t>特此证明。</w:t>
      </w:r>
    </w:p>
    <w:p>
      <w:pPr>
        <w:pStyle w:val="12"/>
        <w:spacing w:line="360" w:lineRule="auto"/>
        <w:ind w:left="-538" w:leftChars="-256" w:firstLine="542" w:firstLineChars="257"/>
        <w:jc w:val="center"/>
        <w:rPr>
          <w:rFonts w:hint="eastAsia" w:ascii="宋体" w:hAnsi="宋体" w:eastAsia="宋体" w:cs="宋体"/>
          <w:b/>
          <w:color w:val="000000"/>
          <w:spacing w:val="0"/>
          <w:sz w:val="21"/>
          <w:szCs w:val="21"/>
          <w:highlight w:val="none"/>
        </w:rPr>
      </w:pPr>
    </w:p>
    <w:p>
      <w:pPr>
        <w:pStyle w:val="12"/>
        <w:spacing w:line="360" w:lineRule="auto"/>
        <w:ind w:left="0" w:leftChars="0" w:firstLine="0" w:firstLineChars="0"/>
        <w:jc w:val="both"/>
        <w:rPr>
          <w:rFonts w:hint="eastAsia" w:ascii="宋体" w:hAnsi="宋体" w:eastAsia="宋体" w:cs="宋体"/>
          <w:b/>
          <w:color w:val="000000"/>
          <w:spacing w:val="0"/>
          <w:sz w:val="21"/>
          <w:szCs w:val="21"/>
          <w:highlight w:val="none"/>
        </w:rPr>
      </w:pPr>
    </w:p>
    <w:p>
      <w:pPr>
        <w:pStyle w:val="12"/>
        <w:spacing w:line="360" w:lineRule="auto"/>
        <w:ind w:left="-538" w:leftChars="-256" w:firstLine="542" w:firstLineChars="257"/>
        <w:jc w:val="center"/>
        <w:rPr>
          <w:rFonts w:hint="eastAsia" w:ascii="宋体" w:hAnsi="宋体" w:eastAsia="宋体" w:cs="宋体"/>
          <w:b/>
          <w:color w:val="000000"/>
          <w:spacing w:val="0"/>
          <w:sz w:val="21"/>
          <w:szCs w:val="21"/>
          <w:highlight w:val="none"/>
        </w:rPr>
      </w:pPr>
      <w:r>
        <w:rPr>
          <w:rFonts w:hint="eastAsia" w:ascii="宋体" w:hAnsi="宋体" w:eastAsia="宋体" w:cs="宋体"/>
          <w:b/>
          <w:color w:val="000000"/>
          <w:spacing w:val="0"/>
          <w:sz w:val="21"/>
          <w:szCs w:val="21"/>
          <w:highlight w:val="none"/>
        </w:rPr>
        <w:t>（※此处请粘贴法定代表人身份证复印件※）</w:t>
      </w:r>
    </w:p>
    <w:p>
      <w:pPr>
        <w:pStyle w:val="12"/>
        <w:spacing w:line="360" w:lineRule="auto"/>
        <w:ind w:firstLine="472" w:firstLineChars="225"/>
        <w:jc w:val="left"/>
        <w:rPr>
          <w:rFonts w:hint="eastAsia" w:ascii="宋体" w:hAnsi="宋体" w:eastAsia="宋体" w:cs="宋体"/>
          <w:color w:val="000000"/>
          <w:spacing w:val="0"/>
          <w:sz w:val="21"/>
          <w:szCs w:val="21"/>
          <w:highlight w:val="none"/>
        </w:rPr>
      </w:pPr>
    </w:p>
    <w:p>
      <w:pPr>
        <w:spacing w:line="360" w:lineRule="auto"/>
        <w:ind w:firstLine="1890" w:firstLineChars="900"/>
        <w:rPr>
          <w:rFonts w:hint="eastAsia" w:ascii="宋体" w:hAnsi="宋体" w:cs="宋体"/>
          <w:color w:val="000000"/>
          <w:sz w:val="21"/>
          <w:szCs w:val="21"/>
          <w:highlight w:val="none"/>
          <w:lang w:eastAsia="zh-CN"/>
        </w:rPr>
      </w:pPr>
    </w:p>
    <w:p>
      <w:pPr>
        <w:spacing w:line="360" w:lineRule="auto"/>
        <w:ind w:firstLine="1890" w:firstLineChars="900"/>
        <w:rPr>
          <w:rFonts w:hint="eastAsia" w:ascii="宋体" w:hAnsi="宋体" w:cs="宋体"/>
          <w:color w:val="000000"/>
          <w:sz w:val="21"/>
          <w:szCs w:val="21"/>
          <w:highlight w:val="none"/>
          <w:lang w:eastAsia="zh-CN"/>
        </w:rPr>
      </w:pPr>
    </w:p>
    <w:p>
      <w:pPr>
        <w:spacing w:line="360" w:lineRule="auto"/>
        <w:ind w:firstLine="1890" w:firstLineChars="900"/>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名称（加盖公章）：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spacing w:line="360" w:lineRule="auto"/>
        <w:ind w:firstLine="1890" w:firstLineChars="9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法定代表人（签字）：</w:t>
      </w:r>
      <w:r>
        <w:rPr>
          <w:rFonts w:hint="eastAsia" w:ascii="宋体" w:hAnsi="宋体" w:eastAsia="宋体" w:cs="宋体"/>
          <w:color w:val="000000"/>
          <w:sz w:val="21"/>
          <w:szCs w:val="21"/>
          <w:highlight w:val="none"/>
          <w:u w:val="single"/>
        </w:rPr>
        <w:t xml:space="preserve">                          </w:t>
      </w:r>
    </w:p>
    <w:p>
      <w:pPr>
        <w:pStyle w:val="6"/>
        <w:spacing w:before="60" w:line="360" w:lineRule="auto"/>
        <w:ind w:firstLine="1890" w:firstLineChars="9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签署日期：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年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月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日</w:t>
      </w:r>
    </w:p>
    <w:p>
      <w:pPr>
        <w:spacing w:line="360" w:lineRule="auto"/>
        <w:rPr>
          <w:rFonts w:hint="eastAsia" w:ascii="宋体" w:hAnsi="宋体" w:eastAsia="宋体" w:cs="宋体"/>
          <w:color w:val="000000"/>
          <w:sz w:val="21"/>
          <w:szCs w:val="21"/>
          <w:highlight w:val="none"/>
        </w:rPr>
      </w:pPr>
      <w:bookmarkStart w:id="14" w:name="_4.6__"/>
      <w:bookmarkEnd w:id="14"/>
    </w:p>
    <w:p>
      <w:pPr>
        <w:spacing w:line="360" w:lineRule="auto"/>
        <w:rPr>
          <w:rFonts w:hint="eastAsia" w:ascii="宋体" w:hAnsi="宋体" w:eastAsia="宋体" w:cs="宋体"/>
          <w:color w:val="000000"/>
          <w:sz w:val="21"/>
          <w:szCs w:val="21"/>
          <w:highlight w:val="none"/>
        </w:rPr>
      </w:pPr>
    </w:p>
    <w:p>
      <w:pPr>
        <w:spacing w:line="360" w:lineRule="auto"/>
        <w:jc w:val="center"/>
        <w:rPr>
          <w:rFonts w:hint="eastAsia" w:ascii="宋体" w:hAnsi="宋体" w:eastAsia="宋体" w:cs="宋体"/>
          <w:b/>
          <w:color w:val="000000"/>
          <w:kern w:val="12"/>
          <w:sz w:val="21"/>
          <w:szCs w:val="21"/>
          <w:highlight w:val="none"/>
        </w:rPr>
      </w:pPr>
    </w:p>
    <w:p>
      <w:pPr>
        <w:spacing w:line="360" w:lineRule="auto"/>
        <w:ind w:firstLine="316" w:firstLineChars="150"/>
        <w:rPr>
          <w:rFonts w:hint="eastAsia" w:ascii="宋体" w:hAnsi="宋体" w:eastAsia="宋体" w:cs="宋体"/>
          <w:color w:val="000000"/>
          <w:sz w:val="21"/>
          <w:szCs w:val="21"/>
          <w:highlight w:val="none"/>
        </w:rPr>
      </w:pPr>
      <w:r>
        <w:rPr>
          <w:rFonts w:hint="eastAsia" w:ascii="宋体" w:hAnsi="宋体" w:eastAsia="宋体" w:cs="宋体"/>
          <w:b/>
          <w:color w:val="000000"/>
          <w:kern w:val="12"/>
          <w:sz w:val="21"/>
          <w:szCs w:val="21"/>
          <w:highlight w:val="none"/>
        </w:rPr>
        <w:t>说明：法定代表人参加本招标项目投标的，仅须提供此证明书。</w:t>
      </w:r>
    </w:p>
    <w:p>
      <w:pPr>
        <w:spacing w:after="240" w:afterLines="100" w:line="360" w:lineRule="auto"/>
        <w:jc w:val="center"/>
        <w:rPr>
          <w:rFonts w:hint="eastAsia" w:ascii="宋体" w:hAnsi="宋体" w:eastAsia="宋体" w:cs="宋体"/>
          <w:b/>
          <w:color w:val="000000"/>
          <w:sz w:val="21"/>
          <w:szCs w:val="21"/>
          <w:highlight w:val="none"/>
        </w:rPr>
      </w:pPr>
    </w:p>
    <w:p>
      <w:pPr>
        <w:spacing w:after="240" w:afterLines="100" w:line="360" w:lineRule="auto"/>
        <w:jc w:val="center"/>
        <w:rPr>
          <w:rFonts w:hint="eastAsia" w:ascii="宋体" w:hAnsi="宋体" w:eastAsia="宋体" w:cs="宋体"/>
          <w:b/>
          <w:color w:val="000000"/>
          <w:sz w:val="21"/>
          <w:szCs w:val="21"/>
          <w:highlight w:val="none"/>
        </w:rPr>
      </w:pPr>
    </w:p>
    <w:p>
      <w:pPr>
        <w:spacing w:after="240" w:afterLines="100" w:line="360" w:lineRule="auto"/>
        <w:jc w:val="center"/>
        <w:rPr>
          <w:rFonts w:hint="eastAsia" w:ascii="宋体" w:hAnsi="宋体" w:eastAsia="宋体" w:cs="宋体"/>
          <w:b/>
          <w:color w:val="000000"/>
          <w:sz w:val="21"/>
          <w:szCs w:val="21"/>
          <w:highlight w:val="none"/>
        </w:rPr>
      </w:pPr>
    </w:p>
    <w:p>
      <w:pPr>
        <w:spacing w:after="240" w:afterLines="100" w:line="360" w:lineRule="auto"/>
        <w:jc w:val="center"/>
        <w:rPr>
          <w:rFonts w:hint="eastAsia" w:ascii="宋体" w:hAnsi="宋体" w:eastAsia="宋体" w:cs="宋体"/>
          <w:b/>
          <w:color w:val="000000"/>
          <w:sz w:val="21"/>
          <w:szCs w:val="21"/>
          <w:highlight w:val="none"/>
        </w:rPr>
      </w:pPr>
    </w:p>
    <w:p>
      <w:pPr>
        <w:pStyle w:val="14"/>
        <w:snapToGrid w:val="0"/>
        <w:spacing w:before="0" w:beforeLines="0" w:after="0" w:afterLines="0"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rPr>
        <w:t>格式七-2</w:t>
      </w:r>
    </w:p>
    <w:p>
      <w:pPr>
        <w:snapToGrid w:val="0"/>
        <w:spacing w:before="120" w:beforeLines="50" w:after="50" w:line="360" w:lineRule="auto"/>
        <w:jc w:val="center"/>
        <w:outlineLvl w:val="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法定代表人授权书</w:t>
      </w:r>
    </w:p>
    <w:p>
      <w:pPr>
        <w:spacing w:line="360" w:lineRule="auto"/>
        <w:rPr>
          <w:rFonts w:hint="eastAsia" w:ascii="宋体" w:hAnsi="宋体" w:eastAsia="宋体" w:cs="宋体"/>
          <w:color w:val="000000"/>
          <w:sz w:val="21"/>
          <w:szCs w:val="21"/>
          <w:highlight w:val="none"/>
          <w:u w:val="single"/>
        </w:rPr>
      </w:pPr>
    </w:p>
    <w:p>
      <w:pPr>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eastAsia="zh-CN"/>
        </w:rPr>
        <w:t>投标人</w:t>
      </w:r>
      <w:r>
        <w:rPr>
          <w:rFonts w:hint="eastAsia" w:ascii="宋体" w:hAnsi="宋体" w:eastAsia="宋体" w:cs="宋体"/>
          <w:color w:val="000000"/>
          <w:sz w:val="21"/>
          <w:szCs w:val="21"/>
          <w:highlight w:val="none"/>
          <w:u w:val="single"/>
        </w:rPr>
        <w:t xml:space="preserve">全称）     </w:t>
      </w: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（法定代表人姓名）  </w:t>
      </w:r>
      <w:r>
        <w:rPr>
          <w:rFonts w:hint="eastAsia" w:ascii="宋体" w:hAnsi="宋体" w:eastAsia="宋体" w:cs="宋体"/>
          <w:color w:val="000000"/>
          <w:sz w:val="21"/>
          <w:szCs w:val="21"/>
          <w:highlight w:val="none"/>
        </w:rPr>
        <w:t>授权本单位</w:t>
      </w:r>
      <w:r>
        <w:rPr>
          <w:rFonts w:hint="eastAsia" w:ascii="宋体" w:hAnsi="宋体" w:eastAsia="宋体" w:cs="宋体"/>
          <w:color w:val="000000"/>
          <w:sz w:val="21"/>
          <w:szCs w:val="21"/>
          <w:highlight w:val="none"/>
          <w:u w:val="single"/>
        </w:rPr>
        <w:t xml:space="preserve">     （授权代表任职部门）（授权代表姓名）      </w:t>
      </w:r>
      <w:r>
        <w:rPr>
          <w:rFonts w:hint="eastAsia" w:ascii="宋体" w:hAnsi="宋体" w:eastAsia="宋体" w:cs="宋体"/>
          <w:color w:val="000000"/>
          <w:sz w:val="21"/>
          <w:szCs w:val="21"/>
          <w:highlight w:val="none"/>
        </w:rPr>
        <w:t>为本公司的合法授权代表，参加贵处组织的</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（项目编号：             ）</w:t>
      </w:r>
      <w:r>
        <w:rPr>
          <w:rFonts w:hint="eastAsia" w:ascii="宋体" w:hAnsi="宋体" w:eastAsia="宋体" w:cs="宋体"/>
          <w:color w:val="000000"/>
          <w:sz w:val="21"/>
          <w:szCs w:val="21"/>
          <w:highlight w:val="none"/>
        </w:rPr>
        <w:t>公开招标项目的投标报价、签订合同以及合同的执行、完成、服务和保修，以本公司名义处理一切与之有关的事务。</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本授权书于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日签字生效，无转委权，特此声明。</w:t>
      </w: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全称（加盖公章）</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法定代表人（签字或盖章）</w:t>
      </w:r>
      <w:r>
        <w:rPr>
          <w:rFonts w:hint="eastAsia" w:ascii="宋体" w:hAnsi="宋体" w:eastAsia="宋体" w:cs="宋体"/>
          <w:color w:val="000000"/>
          <w:sz w:val="21"/>
          <w:szCs w:val="21"/>
          <w:highlight w:val="none"/>
          <w:u w:val="single"/>
        </w:rPr>
        <w:t xml:space="preserve">                        </w:t>
      </w:r>
    </w:p>
    <w:p>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被授权人（签字）</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日          期： </w:t>
      </w:r>
      <w:r>
        <w:rPr>
          <w:rFonts w:hint="eastAsia" w:ascii="宋体" w:hAnsi="宋体" w:eastAsia="宋体" w:cs="宋体"/>
          <w:color w:val="000000"/>
          <w:sz w:val="21"/>
          <w:szCs w:val="21"/>
          <w:highlight w:val="none"/>
          <w:u w:val="single"/>
        </w:rPr>
        <w:t xml:space="preserve">                               </w:t>
      </w: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p>
    <w:p>
      <w:pPr>
        <w:pStyle w:val="10"/>
        <w:spacing w:after="0"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授权代表姓名：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性别：</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部门：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职务：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联系电话： </w:t>
      </w:r>
      <w:r>
        <w:rPr>
          <w:rFonts w:hint="eastAsia" w:ascii="宋体" w:hAnsi="宋体" w:eastAsia="宋体" w:cs="宋体"/>
          <w:color w:val="000000"/>
          <w:sz w:val="21"/>
          <w:szCs w:val="21"/>
          <w:highlight w:val="none"/>
          <w:u w:val="single"/>
        </w:rPr>
        <w:t xml:space="preserve">            </w:t>
      </w:r>
    </w:p>
    <w:p>
      <w:pPr>
        <w:spacing w:line="360" w:lineRule="auto"/>
        <w:rPr>
          <w:rFonts w:hint="eastAsia" w:ascii="宋体" w:hAnsi="宋体" w:eastAsia="宋体" w:cs="宋体"/>
          <w:color w:val="000000"/>
          <w:sz w:val="21"/>
          <w:szCs w:val="21"/>
          <w:highlight w:val="none"/>
          <w:u w:val="single"/>
        </w:rPr>
      </w:pPr>
    </w:p>
    <w:p>
      <w:pPr>
        <w:spacing w:line="360" w:lineRule="auto"/>
        <w:rPr>
          <w:rFonts w:hint="eastAsia" w:ascii="宋体" w:hAnsi="宋体" w:eastAsia="宋体" w:cs="宋体"/>
          <w:color w:val="000000"/>
          <w:sz w:val="21"/>
          <w:szCs w:val="21"/>
          <w:highlight w:val="none"/>
          <w:u w:val="single"/>
        </w:rPr>
      </w:pPr>
    </w:p>
    <w:p>
      <w:pPr>
        <w:pStyle w:val="12"/>
        <w:spacing w:line="360" w:lineRule="auto"/>
        <w:jc w:val="center"/>
        <w:rPr>
          <w:rFonts w:hint="eastAsia" w:ascii="宋体" w:hAnsi="宋体" w:eastAsia="宋体" w:cs="宋体"/>
          <w:b/>
          <w:color w:val="000000"/>
          <w:spacing w:val="0"/>
          <w:sz w:val="21"/>
          <w:szCs w:val="21"/>
          <w:highlight w:val="none"/>
        </w:rPr>
      </w:pPr>
      <w:r>
        <w:rPr>
          <w:rFonts w:hint="eastAsia" w:ascii="宋体" w:hAnsi="宋体" w:eastAsia="宋体" w:cs="宋体"/>
          <w:b/>
          <w:color w:val="000000"/>
          <w:spacing w:val="0"/>
          <w:sz w:val="21"/>
          <w:szCs w:val="21"/>
          <w:highlight w:val="none"/>
        </w:rPr>
        <w:t>（※此处请粘贴被授权人身份证复印件※）</w:t>
      </w:r>
    </w:p>
    <w:p>
      <w:pPr>
        <w:spacing w:line="360" w:lineRule="auto"/>
        <w:rPr>
          <w:rFonts w:hint="eastAsia" w:ascii="宋体" w:hAnsi="宋体" w:eastAsia="宋体" w:cs="宋体"/>
          <w:bCs/>
          <w:color w:val="000000"/>
          <w:kern w:val="44"/>
          <w:sz w:val="21"/>
          <w:szCs w:val="21"/>
          <w:highlight w:val="none"/>
        </w:rPr>
      </w:pPr>
    </w:p>
    <w:p>
      <w:pPr>
        <w:spacing w:line="360" w:lineRule="auto"/>
        <w:rPr>
          <w:rFonts w:hint="eastAsia" w:ascii="宋体" w:hAnsi="宋体" w:eastAsia="宋体" w:cs="宋体"/>
          <w:bCs/>
          <w:color w:val="000000"/>
          <w:kern w:val="44"/>
          <w:sz w:val="21"/>
          <w:szCs w:val="21"/>
          <w:highlight w:val="none"/>
        </w:rPr>
      </w:pPr>
    </w:p>
    <w:p>
      <w:pPr>
        <w:spacing w:line="360" w:lineRule="auto"/>
        <w:rPr>
          <w:rFonts w:hint="eastAsia" w:ascii="宋体" w:hAnsi="宋体" w:eastAsia="宋体" w:cs="宋体"/>
          <w:bCs/>
          <w:color w:val="000000"/>
          <w:kern w:val="44"/>
          <w:sz w:val="21"/>
          <w:szCs w:val="21"/>
          <w:highlight w:val="none"/>
        </w:rPr>
      </w:pPr>
    </w:p>
    <w:p>
      <w:pPr>
        <w:spacing w:line="360" w:lineRule="auto"/>
        <w:rPr>
          <w:rFonts w:hint="eastAsia" w:ascii="宋体" w:hAnsi="宋体" w:eastAsia="宋体" w:cs="宋体"/>
          <w:bCs/>
          <w:color w:val="000000"/>
          <w:kern w:val="44"/>
          <w:sz w:val="21"/>
          <w:szCs w:val="21"/>
          <w:highlight w:val="none"/>
        </w:rPr>
      </w:pPr>
    </w:p>
    <w:p>
      <w:pPr>
        <w:snapToGrid w:val="0"/>
        <w:spacing w:before="120" w:beforeLines="50" w:after="50" w:line="360" w:lineRule="auto"/>
        <w:rPr>
          <w:rFonts w:hint="eastAsia" w:ascii="宋体" w:hAnsi="宋体" w:eastAsia="宋体" w:cs="宋体"/>
          <w:b/>
          <w:bCs/>
          <w:color w:val="000000"/>
          <w:kern w:val="12"/>
          <w:sz w:val="21"/>
          <w:szCs w:val="21"/>
          <w:highlight w:val="none"/>
          <w:lang w:eastAsia="zh-CN"/>
        </w:rPr>
      </w:pPr>
      <w:r>
        <w:rPr>
          <w:rFonts w:hint="eastAsia" w:ascii="宋体" w:hAnsi="宋体" w:eastAsia="宋体" w:cs="宋体"/>
          <w:b/>
          <w:bCs/>
          <w:color w:val="000000"/>
          <w:kern w:val="12"/>
          <w:sz w:val="21"/>
          <w:szCs w:val="21"/>
          <w:highlight w:val="none"/>
        </w:rPr>
        <w:t>说明：授权代表参加本招标项目投标的，须提供授权代表身份证正反面复印件及</w:t>
      </w:r>
      <w:r>
        <w:rPr>
          <w:rFonts w:hint="eastAsia" w:ascii="宋体" w:hAnsi="宋体" w:cs="宋体"/>
          <w:b/>
          <w:bCs/>
          <w:color w:val="000000"/>
          <w:kern w:val="12"/>
          <w:sz w:val="21"/>
          <w:szCs w:val="21"/>
          <w:highlight w:val="none"/>
          <w:lang w:eastAsia="zh-CN"/>
        </w:rPr>
        <w:t>投标人</w:t>
      </w:r>
      <w:r>
        <w:rPr>
          <w:rFonts w:hint="eastAsia" w:ascii="宋体" w:hAnsi="宋体" w:eastAsia="宋体" w:cs="宋体"/>
          <w:b/>
          <w:bCs/>
          <w:color w:val="000000"/>
          <w:kern w:val="12"/>
          <w:sz w:val="21"/>
          <w:szCs w:val="21"/>
          <w:highlight w:val="none"/>
        </w:rPr>
        <w:t>为授权代表所缴纳社保证明复印件</w:t>
      </w:r>
      <w:r>
        <w:rPr>
          <w:rFonts w:hint="eastAsia" w:ascii="宋体" w:hAnsi="宋体" w:cs="宋体"/>
          <w:b/>
          <w:bCs w:val="0"/>
          <w:color w:val="auto"/>
          <w:sz w:val="21"/>
          <w:szCs w:val="21"/>
          <w:highlight w:val="none"/>
          <w:lang w:val="en-US" w:eastAsia="zh-CN"/>
        </w:rPr>
        <w:t>（社保指2021年10月、2021年11月、2021年12月连续三个月）</w:t>
      </w:r>
      <w:r>
        <w:rPr>
          <w:rFonts w:hint="eastAsia" w:ascii="宋体" w:hAnsi="宋体" w:eastAsia="宋体" w:cs="宋体"/>
          <w:b/>
          <w:bCs/>
          <w:color w:val="000000"/>
          <w:kern w:val="12"/>
          <w:sz w:val="21"/>
          <w:szCs w:val="21"/>
          <w:highlight w:val="none"/>
        </w:rPr>
        <w:t>，加盖公章</w:t>
      </w:r>
      <w:r>
        <w:rPr>
          <w:rFonts w:hint="eastAsia" w:ascii="宋体" w:hAnsi="宋体" w:cs="宋体"/>
          <w:b/>
          <w:bCs/>
          <w:color w:val="000000"/>
          <w:kern w:val="12"/>
          <w:sz w:val="21"/>
          <w:szCs w:val="21"/>
          <w:highlight w:val="none"/>
          <w:lang w:eastAsia="zh-CN"/>
        </w:rPr>
        <w:t>。</w:t>
      </w:r>
    </w:p>
    <w:p>
      <w:pPr>
        <w:snapToGrid w:val="0"/>
        <w:spacing w:before="120" w:beforeLines="50" w:after="50" w:line="360" w:lineRule="auto"/>
        <w:rPr>
          <w:rFonts w:hint="eastAsia" w:ascii="宋体" w:hAnsi="宋体" w:eastAsia="宋体" w:cs="宋体"/>
          <w:b/>
          <w:bCs/>
          <w:color w:val="000000"/>
          <w:kern w:val="12"/>
          <w:sz w:val="21"/>
          <w:szCs w:val="21"/>
          <w:highlight w:val="none"/>
        </w:rPr>
      </w:pPr>
      <w:r>
        <w:rPr>
          <w:rFonts w:hint="eastAsia" w:ascii="宋体" w:hAnsi="宋体" w:eastAsia="宋体" w:cs="宋体"/>
          <w:b/>
          <w:bCs/>
          <w:color w:val="000000"/>
          <w:kern w:val="12"/>
          <w:sz w:val="21"/>
          <w:szCs w:val="21"/>
          <w:highlight w:val="none"/>
        </w:rPr>
        <w:br w:type="page"/>
      </w:r>
      <w:r>
        <w:rPr>
          <w:rFonts w:hint="eastAsia" w:ascii="宋体" w:hAnsi="宋体" w:eastAsia="宋体" w:cs="宋体"/>
          <w:b/>
          <w:bCs/>
          <w:color w:val="000000"/>
          <w:kern w:val="12"/>
          <w:sz w:val="21"/>
          <w:szCs w:val="21"/>
          <w:highlight w:val="none"/>
        </w:rPr>
        <w:t>格式八</w:t>
      </w:r>
    </w:p>
    <w:p>
      <w:pPr>
        <w:adjustRightInd w:val="0"/>
        <w:spacing w:line="360" w:lineRule="auto"/>
        <w:ind w:left="420"/>
        <w:jc w:val="center"/>
        <w:rPr>
          <w:rFonts w:hint="eastAsia" w:ascii="宋体" w:hAnsi="宋体" w:eastAsia="宋体" w:cs="宋体"/>
          <w:b/>
          <w:color w:val="000000"/>
          <w:sz w:val="21"/>
          <w:szCs w:val="21"/>
          <w:highlight w:val="none"/>
        </w:rPr>
      </w:pPr>
    </w:p>
    <w:p>
      <w:pPr>
        <w:adjustRightInd w:val="0"/>
        <w:spacing w:line="360" w:lineRule="auto"/>
        <w:ind w:left="42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具备履行合同所需的设备和专业技术能力的声明</w:t>
      </w:r>
    </w:p>
    <w:p>
      <w:pPr>
        <w:spacing w:line="360" w:lineRule="auto"/>
        <w:ind w:firstLine="630" w:firstLineChars="300"/>
        <w:rPr>
          <w:rFonts w:hint="eastAsia" w:ascii="宋体" w:hAnsi="宋体" w:eastAsia="宋体" w:cs="宋体"/>
          <w:color w:val="000000"/>
          <w:sz w:val="21"/>
          <w:szCs w:val="21"/>
          <w:highlight w:val="none"/>
        </w:rPr>
      </w:pPr>
    </w:p>
    <w:p>
      <w:pPr>
        <w:spacing w:line="360" w:lineRule="auto"/>
        <w:ind w:firstLine="630" w:firstLineChars="300"/>
        <w:rPr>
          <w:rFonts w:hint="eastAsia" w:ascii="宋体" w:hAnsi="宋体" w:eastAsia="宋体" w:cs="宋体"/>
          <w:color w:val="000000"/>
          <w:sz w:val="21"/>
          <w:szCs w:val="21"/>
          <w:highlight w:val="none"/>
        </w:rPr>
      </w:pPr>
    </w:p>
    <w:p>
      <w:pPr>
        <w:spacing w:line="360" w:lineRule="auto"/>
        <w:ind w:firstLine="630" w:firstLineChars="3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我公司（单位）具备履行合同所需的设备和专业技术能力，具体情况介绍如下：</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（内容包括：主要设备、专业技术人员、公司资质等）                                                                                                                </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特此承诺。</w:t>
      </w:r>
    </w:p>
    <w:p>
      <w:pPr>
        <w:spacing w:line="360" w:lineRule="auto"/>
        <w:jc w:val="right"/>
        <w:rPr>
          <w:rFonts w:hint="eastAsia" w:ascii="宋体" w:hAnsi="宋体" w:eastAsia="宋体" w:cs="宋体"/>
          <w:color w:val="000000"/>
          <w:sz w:val="21"/>
          <w:szCs w:val="21"/>
          <w:highlight w:val="none"/>
        </w:rPr>
      </w:pPr>
    </w:p>
    <w:p>
      <w:pPr>
        <w:spacing w:line="360" w:lineRule="auto"/>
        <w:jc w:val="right"/>
        <w:rPr>
          <w:rFonts w:hint="eastAsia" w:ascii="宋体" w:hAnsi="宋体" w:eastAsia="宋体" w:cs="宋体"/>
          <w:color w:val="000000"/>
          <w:sz w:val="21"/>
          <w:szCs w:val="21"/>
          <w:highlight w:val="none"/>
        </w:rPr>
      </w:pPr>
    </w:p>
    <w:p>
      <w:pPr>
        <w:snapToGrid w:val="0"/>
        <w:spacing w:before="50" w:after="50" w:line="360" w:lineRule="auto"/>
        <w:ind w:left="-21" w:leftChars="-72" w:right="172" w:rightChars="82" w:hanging="130" w:hangingChars="62"/>
        <w:jc w:val="righ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名称（盖章）：                                 </w:t>
      </w:r>
    </w:p>
    <w:p>
      <w:pPr>
        <w:snapToGrid w:val="0"/>
        <w:spacing w:before="50" w:after="50" w:line="360" w:lineRule="auto"/>
        <w:ind w:left="-21" w:leftChars="-72" w:right="172" w:rightChars="82" w:hanging="130" w:hangingChars="62"/>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法定代表人或授权代表（签字或盖章）： </w:t>
      </w:r>
    </w:p>
    <w:p>
      <w:pPr>
        <w:snapToGrid w:val="0"/>
        <w:spacing w:before="50" w:after="50" w:line="360" w:lineRule="auto"/>
        <w:ind w:left="-21" w:leftChars="-72" w:right="172" w:rightChars="82" w:hanging="130" w:hangingChars="62"/>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pPr>
        <w:snapToGrid w:val="0"/>
        <w:spacing w:before="120" w:beforeLines="50" w:after="50" w:line="360" w:lineRule="auto"/>
        <w:rPr>
          <w:rFonts w:hint="eastAsia" w:ascii="宋体" w:hAnsi="宋体" w:eastAsia="宋体" w:cs="宋体"/>
          <w:b/>
          <w:bCs/>
          <w:color w:val="000000"/>
          <w:kern w:val="12"/>
          <w:sz w:val="21"/>
          <w:szCs w:val="21"/>
          <w:highlight w:val="none"/>
        </w:rPr>
      </w:pPr>
      <w:r>
        <w:rPr>
          <w:rFonts w:hint="eastAsia" w:ascii="宋体" w:hAnsi="宋体" w:eastAsia="宋体" w:cs="宋体"/>
          <w:color w:val="000000"/>
          <w:sz w:val="21"/>
          <w:szCs w:val="21"/>
          <w:highlight w:val="none"/>
          <w:u w:val="single"/>
        </w:rPr>
        <w:br w:type="page"/>
      </w:r>
      <w:r>
        <w:rPr>
          <w:rFonts w:hint="eastAsia" w:ascii="宋体" w:hAnsi="宋体" w:eastAsia="宋体" w:cs="宋体"/>
          <w:b/>
          <w:bCs/>
          <w:color w:val="000000"/>
          <w:kern w:val="12"/>
          <w:sz w:val="21"/>
          <w:szCs w:val="21"/>
          <w:highlight w:val="none"/>
        </w:rPr>
        <w:t>格式九</w:t>
      </w:r>
    </w:p>
    <w:p>
      <w:pPr>
        <w:spacing w:line="360" w:lineRule="auto"/>
        <w:jc w:val="center"/>
        <w:rPr>
          <w:rFonts w:hint="eastAsia" w:ascii="宋体" w:hAnsi="宋体" w:eastAsia="宋体" w:cs="宋体"/>
          <w:color w:val="000000"/>
          <w:sz w:val="21"/>
          <w:szCs w:val="21"/>
          <w:highlight w:val="none"/>
          <w:u w:val="single"/>
        </w:rPr>
      </w:pPr>
    </w:p>
    <w:p>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近三年在政府采购活动中无重大违法记录的声明</w:t>
      </w: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致：（</w:t>
      </w:r>
      <w:r>
        <w:rPr>
          <w:rFonts w:hint="eastAsia" w:ascii="宋体" w:hAnsi="宋体" w:eastAsia="宋体" w:cs="宋体"/>
          <w:color w:val="000000"/>
          <w:sz w:val="21"/>
          <w:szCs w:val="21"/>
          <w:highlight w:val="none"/>
          <w:u w:val="single"/>
        </w:rPr>
        <w:t>采购人）</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本单位承诺：我单位参加政府采购活动前三年内，在经营活动中没有重大违法记录。我单位对上述声明的真实性负责。如有虚假，将依法承担相应法律责任。</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特此声明。  </w:t>
      </w:r>
    </w:p>
    <w:p>
      <w:pPr>
        <w:spacing w:line="360" w:lineRule="auto"/>
        <w:ind w:firstLine="420" w:firstLineChars="200"/>
        <w:rPr>
          <w:rFonts w:hint="eastAsia" w:ascii="宋体" w:hAnsi="宋体" w:eastAsia="宋体" w:cs="宋体"/>
          <w:color w:val="000000"/>
          <w:sz w:val="21"/>
          <w:szCs w:val="21"/>
          <w:highlight w:val="none"/>
        </w:rPr>
      </w:pPr>
    </w:p>
    <w:p>
      <w:pPr>
        <w:spacing w:line="360" w:lineRule="auto"/>
        <w:ind w:firstLine="420" w:firstLineChars="200"/>
        <w:rPr>
          <w:rFonts w:hint="eastAsia" w:ascii="宋体" w:hAnsi="宋体" w:eastAsia="宋体" w:cs="宋体"/>
          <w:color w:val="000000"/>
          <w:sz w:val="21"/>
          <w:szCs w:val="21"/>
          <w:highlight w:val="none"/>
        </w:rPr>
      </w:pPr>
    </w:p>
    <w:p>
      <w:pPr>
        <w:tabs>
          <w:tab w:val="left" w:pos="8647"/>
        </w:tabs>
        <w:snapToGrid w:val="0"/>
        <w:spacing w:before="50" w:after="50" w:line="360" w:lineRule="auto"/>
        <w:ind w:left="-21" w:leftChars="-72" w:right="172" w:rightChars="82" w:hanging="130" w:hangingChars="62"/>
        <w:jc w:val="righ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名称（盖章）：                                 </w:t>
      </w:r>
    </w:p>
    <w:p>
      <w:pPr>
        <w:tabs>
          <w:tab w:val="left" w:pos="8647"/>
        </w:tabs>
        <w:snapToGrid w:val="0"/>
        <w:spacing w:before="50" w:after="50" w:line="360" w:lineRule="auto"/>
        <w:ind w:left="-21" w:leftChars="-72" w:right="172" w:rightChars="82" w:hanging="130" w:hangingChars="62"/>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法定代表人或授权代表（签字或盖章）： </w:t>
      </w:r>
    </w:p>
    <w:p>
      <w:pPr>
        <w:tabs>
          <w:tab w:val="left" w:pos="8647"/>
        </w:tabs>
        <w:snapToGrid w:val="0"/>
        <w:spacing w:before="50" w:after="50" w:line="360" w:lineRule="auto"/>
        <w:ind w:left="-21" w:leftChars="-72" w:right="172" w:rightChars="82" w:hanging="130" w:hangingChars="62"/>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pPr>
        <w:pStyle w:val="13"/>
        <w:tabs>
          <w:tab w:val="left" w:pos="8647"/>
        </w:tabs>
        <w:spacing w:line="360" w:lineRule="auto"/>
        <w:ind w:left="1470" w:right="172" w:rightChars="82"/>
        <w:rPr>
          <w:rFonts w:hint="eastAsia" w:ascii="宋体" w:hAnsi="宋体" w:eastAsia="宋体" w:cs="宋体"/>
          <w:color w:val="000000"/>
          <w:sz w:val="21"/>
          <w:szCs w:val="21"/>
          <w:highlight w:val="none"/>
        </w:rPr>
      </w:pPr>
    </w:p>
    <w:p>
      <w:pPr>
        <w:pStyle w:val="13"/>
        <w:spacing w:line="360" w:lineRule="auto"/>
        <w:ind w:left="1470" w:right="1470"/>
        <w:rPr>
          <w:rFonts w:hint="eastAsia" w:ascii="宋体" w:hAnsi="宋体" w:eastAsia="宋体" w:cs="宋体"/>
          <w:color w:val="000000"/>
          <w:sz w:val="21"/>
          <w:szCs w:val="21"/>
          <w:highlight w:val="none"/>
        </w:rPr>
      </w:pP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注：1、</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注册成立不足三年的，应就</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单位成立至参加政府采购活动时段进行承诺。</w:t>
      </w:r>
    </w:p>
    <w:p>
      <w:pPr>
        <w:snapToGrid w:val="0"/>
        <w:spacing w:before="120" w:beforeLines="50" w:after="50" w:line="360" w:lineRule="auto"/>
        <w:rPr>
          <w:rFonts w:hint="eastAsia" w:ascii="宋体" w:hAnsi="宋体" w:eastAsia="宋体" w:cs="宋体"/>
          <w:color w:val="000000"/>
          <w:sz w:val="21"/>
          <w:szCs w:val="21"/>
          <w:highlight w:val="none"/>
        </w:rPr>
      </w:pPr>
    </w:p>
    <w:p>
      <w:pPr>
        <w:tabs>
          <w:tab w:val="left" w:pos="606"/>
        </w:tabs>
        <w:spacing w:line="360" w:lineRule="auto"/>
        <w:rPr>
          <w:rFonts w:hint="eastAsia" w:ascii="宋体" w:hAnsi="宋体" w:eastAsia="宋体" w:cs="宋体"/>
          <w:b/>
          <w:color w:val="000000"/>
          <w:spacing w:val="20"/>
          <w:sz w:val="21"/>
          <w:szCs w:val="21"/>
          <w:highlight w:val="none"/>
        </w:rPr>
      </w:pPr>
    </w:p>
    <w:p>
      <w:pPr>
        <w:snapToGrid w:val="0"/>
        <w:spacing w:before="120" w:beforeLines="50" w:after="50" w:line="360" w:lineRule="auto"/>
        <w:rPr>
          <w:rFonts w:hint="eastAsia" w:ascii="宋体" w:hAnsi="宋体" w:eastAsia="宋体" w:cs="宋体"/>
          <w:b/>
          <w:bCs/>
          <w:color w:val="000000"/>
          <w:kern w:val="12"/>
          <w:sz w:val="21"/>
          <w:szCs w:val="21"/>
          <w:highlight w:val="none"/>
          <w:lang w:val="en-US" w:eastAsia="zh-CN"/>
        </w:rPr>
      </w:pPr>
      <w:r>
        <w:rPr>
          <w:rFonts w:hint="eastAsia" w:ascii="宋体" w:hAnsi="宋体" w:eastAsia="宋体" w:cs="宋体"/>
          <w:b/>
          <w:color w:val="000000"/>
          <w:spacing w:val="20"/>
          <w:sz w:val="21"/>
          <w:szCs w:val="21"/>
          <w:highlight w:val="none"/>
        </w:rPr>
        <w:br w:type="page"/>
      </w:r>
      <w:r>
        <w:rPr>
          <w:rFonts w:hint="eastAsia" w:ascii="宋体" w:hAnsi="宋体" w:eastAsia="宋体" w:cs="宋体"/>
          <w:b/>
          <w:bCs/>
          <w:color w:val="000000"/>
          <w:kern w:val="12"/>
          <w:sz w:val="21"/>
          <w:szCs w:val="21"/>
          <w:highlight w:val="none"/>
        </w:rPr>
        <w:t>格式</w:t>
      </w:r>
      <w:r>
        <w:rPr>
          <w:rFonts w:hint="eastAsia" w:ascii="宋体" w:hAnsi="宋体" w:eastAsia="宋体" w:cs="宋体"/>
          <w:b/>
          <w:bCs/>
          <w:color w:val="000000"/>
          <w:kern w:val="12"/>
          <w:sz w:val="21"/>
          <w:szCs w:val="21"/>
          <w:highlight w:val="none"/>
          <w:lang w:val="en-US" w:eastAsia="zh-CN"/>
        </w:rPr>
        <w:t>十</w:t>
      </w:r>
    </w:p>
    <w:p>
      <w:pPr>
        <w:pStyle w:val="3"/>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联合体协议书</w:t>
      </w:r>
    </w:p>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（如联合体投标，必须提供）</w:t>
      </w:r>
    </w:p>
    <w:p>
      <w:pPr>
        <w:spacing w:line="360" w:lineRule="auto"/>
        <w:ind w:firstLine="420" w:firstLineChars="200"/>
        <w:rPr>
          <w:rFonts w:hint="eastAsia" w:ascii="宋体" w:hAnsi="宋体" w:eastAsia="宋体" w:cs="宋体"/>
          <w:color w:val="000000"/>
          <w:sz w:val="21"/>
          <w:szCs w:val="21"/>
          <w:highlight w:val="none"/>
          <w:u w:val="single"/>
        </w:rPr>
      </w:pPr>
    </w:p>
    <w:p>
      <w:pPr>
        <w:spacing w:line="360" w:lineRule="auto"/>
        <w:ind w:firstLine="420" w:firstLineChars="200"/>
        <w:rPr>
          <w:rFonts w:hint="eastAsia" w:ascii="宋体" w:hAnsi="宋体" w:eastAsia="宋体" w:cs="宋体"/>
          <w:color w:val="000000"/>
          <w:sz w:val="21"/>
          <w:szCs w:val="21"/>
          <w:highlight w:val="none"/>
          <w:u w:val="single"/>
        </w:rPr>
      </w:pP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（所有成员单位名称）  </w:t>
      </w:r>
      <w:r>
        <w:rPr>
          <w:rFonts w:hint="eastAsia" w:ascii="宋体" w:hAnsi="宋体" w:eastAsia="宋体" w:cs="宋体"/>
          <w:color w:val="000000"/>
          <w:sz w:val="21"/>
          <w:szCs w:val="21"/>
          <w:highlight w:val="none"/>
        </w:rPr>
        <w:t>自愿组成联合体，共同参加</w:t>
      </w:r>
      <w:r>
        <w:rPr>
          <w:rFonts w:hint="eastAsia" w:ascii="宋体" w:hAnsi="宋体" w:eastAsia="宋体" w:cs="宋体"/>
          <w:color w:val="000000"/>
          <w:sz w:val="21"/>
          <w:szCs w:val="21"/>
          <w:highlight w:val="none"/>
          <w:u w:val="single"/>
        </w:rPr>
        <w:t xml:space="preserve">   （招标项目名称）   </w:t>
      </w:r>
      <w:r>
        <w:rPr>
          <w:rFonts w:hint="eastAsia" w:ascii="宋体" w:hAnsi="宋体" w:eastAsia="宋体" w:cs="宋体"/>
          <w:color w:val="000000"/>
          <w:sz w:val="21"/>
          <w:szCs w:val="21"/>
          <w:highlight w:val="none"/>
        </w:rPr>
        <w:t>投标。现就联合体投标事宜订立如下协议。</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u w:val="single"/>
        </w:rPr>
        <w:t xml:space="preserve">     （某成员单位名称）     </w:t>
      </w:r>
      <w:r>
        <w:rPr>
          <w:rFonts w:hint="eastAsia" w:ascii="宋体" w:hAnsi="宋体" w:eastAsia="宋体" w:cs="宋体"/>
          <w:color w:val="000000"/>
          <w:sz w:val="21"/>
          <w:szCs w:val="21"/>
          <w:highlight w:val="none"/>
        </w:rPr>
        <w:t>为本联合体的牵头人。</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3、联合体将严格按照招标文件的各项要求，提交投标文件，履行合同，并对外承担连带责任。</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4、联合体各成员单位内部的职责分工如下：</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5、本协议书自签署之日起生效，合同履行完毕后自动失效。</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6、本协议书一式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份，联合体成员和招标人各执一份。</w:t>
      </w:r>
    </w:p>
    <w:p>
      <w:pPr>
        <w:spacing w:line="360" w:lineRule="auto"/>
        <w:rPr>
          <w:rFonts w:hint="eastAsia" w:ascii="宋体" w:hAnsi="宋体" w:eastAsia="宋体" w:cs="宋体"/>
          <w:b/>
          <w:color w:val="000000"/>
          <w:sz w:val="21"/>
          <w:szCs w:val="21"/>
          <w:highlight w:val="none"/>
        </w:rPr>
      </w:pPr>
    </w:p>
    <w:p>
      <w:pPr>
        <w:spacing w:line="360" w:lineRule="auto"/>
        <w:rPr>
          <w:rFonts w:hint="eastAsia" w:ascii="宋体" w:hAnsi="宋体" w:eastAsia="宋体" w:cs="宋体"/>
          <w:color w:val="000000"/>
          <w:sz w:val="21"/>
          <w:szCs w:val="21"/>
          <w:highlight w:val="none"/>
        </w:rPr>
      </w:pPr>
    </w:p>
    <w:p>
      <w:pPr>
        <w:spacing w:line="360" w:lineRule="auto"/>
        <w:ind w:firstLine="3465" w:firstLineChars="16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牵头人名称：</w:t>
      </w:r>
      <w:r>
        <w:rPr>
          <w:rFonts w:hint="eastAsia" w:ascii="宋体" w:hAnsi="宋体" w:eastAsia="宋体" w:cs="宋体"/>
          <w:color w:val="000000"/>
          <w:sz w:val="21"/>
          <w:szCs w:val="21"/>
          <w:highlight w:val="none"/>
          <w:u w:val="single"/>
        </w:rPr>
        <w:t xml:space="preserve">      （盖单位章）          </w:t>
      </w:r>
    </w:p>
    <w:p>
      <w:pPr>
        <w:spacing w:line="360" w:lineRule="auto"/>
        <w:ind w:firstLine="3465" w:firstLineChars="16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（签字或盖章）        </w:t>
      </w:r>
    </w:p>
    <w:p>
      <w:pPr>
        <w:spacing w:line="360" w:lineRule="auto"/>
        <w:ind w:firstLine="3465" w:firstLineChars="16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成员一名称：</w:t>
      </w:r>
      <w:r>
        <w:rPr>
          <w:rFonts w:hint="eastAsia" w:ascii="宋体" w:hAnsi="宋体" w:eastAsia="宋体" w:cs="宋体"/>
          <w:color w:val="000000"/>
          <w:sz w:val="21"/>
          <w:szCs w:val="21"/>
          <w:highlight w:val="none"/>
          <w:u w:val="single"/>
        </w:rPr>
        <w:t xml:space="preserve">      （盖单位章）          </w:t>
      </w:r>
    </w:p>
    <w:p>
      <w:pPr>
        <w:spacing w:line="360" w:lineRule="auto"/>
        <w:ind w:firstLine="3465" w:firstLineChars="16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（签字或盖章）        </w:t>
      </w:r>
    </w:p>
    <w:p>
      <w:pPr>
        <w:snapToGrid w:val="0"/>
        <w:spacing w:before="120" w:beforeLines="50" w:after="5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pPr>
        <w:snapToGrid w:val="0"/>
        <w:spacing w:before="120" w:beforeLines="50" w:after="50" w:line="360" w:lineRule="auto"/>
        <w:rPr>
          <w:rFonts w:hint="eastAsia" w:ascii="宋体" w:hAnsi="宋体" w:eastAsia="宋体" w:cs="宋体"/>
          <w:b/>
          <w:bCs/>
          <w:color w:val="000000"/>
          <w:kern w:val="12"/>
          <w:sz w:val="21"/>
          <w:szCs w:val="21"/>
          <w:highlight w:val="none"/>
          <w:lang w:val="en-US" w:eastAsia="zh-CN"/>
        </w:rPr>
      </w:pPr>
      <w:r>
        <w:rPr>
          <w:rFonts w:hint="eastAsia" w:ascii="宋体" w:hAnsi="宋体" w:eastAsia="宋体" w:cs="宋体"/>
          <w:b/>
          <w:bCs/>
          <w:color w:val="000000"/>
          <w:kern w:val="12"/>
          <w:sz w:val="21"/>
          <w:szCs w:val="21"/>
          <w:highlight w:val="none"/>
        </w:rPr>
        <w:br w:type="page"/>
      </w:r>
      <w:r>
        <w:rPr>
          <w:rFonts w:hint="eastAsia" w:ascii="宋体" w:hAnsi="宋体" w:eastAsia="宋体" w:cs="宋体"/>
          <w:b/>
          <w:bCs/>
          <w:color w:val="000000"/>
          <w:kern w:val="12"/>
          <w:sz w:val="21"/>
          <w:szCs w:val="21"/>
          <w:highlight w:val="none"/>
        </w:rPr>
        <w:t>格式</w:t>
      </w:r>
      <w:r>
        <w:rPr>
          <w:rFonts w:hint="eastAsia" w:ascii="宋体" w:hAnsi="宋体" w:eastAsia="宋体" w:cs="宋体"/>
          <w:b/>
          <w:bCs/>
          <w:color w:val="000000"/>
          <w:kern w:val="12"/>
          <w:sz w:val="21"/>
          <w:szCs w:val="21"/>
          <w:highlight w:val="none"/>
          <w:lang w:val="en-US" w:eastAsia="zh-CN"/>
        </w:rPr>
        <w:t>十一</w:t>
      </w:r>
    </w:p>
    <w:p>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拟派</w:t>
      </w:r>
      <w:r>
        <w:rPr>
          <w:rFonts w:hint="eastAsia" w:ascii="宋体" w:hAnsi="宋体" w:eastAsia="宋体" w:cs="宋体"/>
          <w:b/>
          <w:color w:val="000000"/>
          <w:sz w:val="21"/>
          <w:szCs w:val="21"/>
          <w:highlight w:val="none"/>
          <w:lang w:val="en-US" w:eastAsia="zh-CN"/>
        </w:rPr>
        <w:t>项目负责人</w:t>
      </w:r>
      <w:r>
        <w:rPr>
          <w:rFonts w:hint="eastAsia" w:ascii="宋体" w:hAnsi="宋体" w:eastAsia="宋体" w:cs="宋体"/>
          <w:b/>
          <w:color w:val="000000"/>
          <w:sz w:val="21"/>
          <w:szCs w:val="21"/>
          <w:highlight w:val="none"/>
        </w:rPr>
        <w:t>简历表</w:t>
      </w:r>
    </w:p>
    <w:tbl>
      <w:tblPr>
        <w:tblStyle w:val="27"/>
        <w:tblW w:w="88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1321"/>
        <w:gridCol w:w="1321"/>
        <w:gridCol w:w="1325"/>
        <w:gridCol w:w="2267"/>
        <w:gridCol w:w="13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1321"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21"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32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学历</w:t>
            </w: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职称</w:t>
            </w:r>
          </w:p>
        </w:tc>
        <w:tc>
          <w:tcPr>
            <w:tcW w:w="1321"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21"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职务</w:t>
            </w:r>
          </w:p>
        </w:tc>
        <w:tc>
          <w:tcPr>
            <w:tcW w:w="132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拟在本项目任职</w:t>
            </w: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工作年限</w:t>
            </w: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从事工作年限</w:t>
            </w: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毕业学校</w:t>
            </w:r>
          </w:p>
        </w:tc>
        <w:tc>
          <w:tcPr>
            <w:tcW w:w="7612" w:type="dxa"/>
            <w:gridSpan w:val="5"/>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56" w:type="dxa"/>
            <w:gridSpan w:val="6"/>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时间</w:t>
            </w: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参加过的项目</w:t>
            </w: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担任职务</w:t>
            </w: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bl>
    <w:p>
      <w:pPr>
        <w:spacing w:line="360" w:lineRule="auto"/>
        <w:rPr>
          <w:rFonts w:hint="eastAsia" w:ascii="宋体" w:hAnsi="宋体" w:eastAsia="宋体" w:cs="宋体"/>
          <w:b/>
          <w:color w:val="000000"/>
          <w:sz w:val="21"/>
          <w:szCs w:val="21"/>
          <w:highlight w:val="none"/>
        </w:rPr>
      </w:pPr>
      <w:r>
        <w:rPr>
          <w:rFonts w:hint="eastAsia" w:ascii="宋体" w:hAnsi="宋体" w:eastAsia="宋体" w:cs="宋体"/>
          <w:b w:val="0"/>
          <w:bCs/>
          <w:color w:val="000000"/>
          <w:sz w:val="21"/>
          <w:szCs w:val="21"/>
          <w:highlight w:val="none"/>
        </w:rPr>
        <w:t>注：本表后附人员的执业资格证书</w:t>
      </w:r>
      <w:r>
        <w:rPr>
          <w:rFonts w:hint="eastAsia" w:ascii="宋体" w:hAnsi="宋体" w:eastAsia="宋体" w:cs="宋体"/>
          <w:b w:val="0"/>
          <w:bCs/>
          <w:color w:val="000000"/>
          <w:sz w:val="21"/>
          <w:szCs w:val="21"/>
          <w:highlight w:val="none"/>
          <w:lang w:eastAsia="zh-CN"/>
        </w:rPr>
        <w:t>、</w:t>
      </w:r>
      <w:r>
        <w:rPr>
          <w:rFonts w:hint="eastAsia" w:ascii="宋体" w:hAnsi="宋体" w:eastAsia="宋体" w:cs="宋体"/>
          <w:b w:val="0"/>
          <w:bCs/>
          <w:color w:val="000000"/>
          <w:sz w:val="21"/>
          <w:szCs w:val="21"/>
          <w:highlight w:val="none"/>
          <w:lang w:val="en-US" w:eastAsia="zh-CN"/>
        </w:rPr>
        <w:t>职称证书、近三个月内（社保指2021年10月、2021年11月、2021年12月连续三个月）</w:t>
      </w:r>
      <w:r>
        <w:rPr>
          <w:rFonts w:hint="eastAsia" w:ascii="宋体" w:hAnsi="宋体" w:cs="宋体"/>
          <w:b w:val="0"/>
          <w:bCs/>
          <w:color w:val="000000"/>
          <w:sz w:val="21"/>
          <w:szCs w:val="21"/>
          <w:highlight w:val="none"/>
          <w:lang w:val="en-US" w:eastAsia="zh-CN"/>
        </w:rPr>
        <w:t>投标人</w:t>
      </w:r>
      <w:r>
        <w:rPr>
          <w:rFonts w:hint="eastAsia" w:ascii="宋体" w:hAnsi="宋体" w:eastAsia="宋体" w:cs="宋体"/>
          <w:b w:val="0"/>
          <w:bCs/>
          <w:color w:val="000000"/>
          <w:sz w:val="21"/>
          <w:szCs w:val="21"/>
          <w:highlight w:val="none"/>
          <w:lang w:val="en-US" w:eastAsia="zh-CN"/>
        </w:rPr>
        <w:t>为其缴纳社保证明复印件。</w:t>
      </w:r>
    </w:p>
    <w:p>
      <w:pPr>
        <w:snapToGrid w:val="0"/>
        <w:spacing w:before="120" w:beforeLines="50" w:after="50" w:line="360" w:lineRule="auto"/>
        <w:rPr>
          <w:rFonts w:hint="eastAsia" w:ascii="宋体" w:hAnsi="宋体" w:eastAsia="宋体" w:cs="宋体"/>
          <w:b/>
          <w:color w:val="000000"/>
          <w:sz w:val="21"/>
          <w:szCs w:val="21"/>
          <w:highlight w:val="none"/>
        </w:rPr>
      </w:pPr>
    </w:p>
    <w:p>
      <w:pPr>
        <w:spacing w:line="360" w:lineRule="auto"/>
        <w:rPr>
          <w:rFonts w:hint="eastAsia" w:ascii="宋体" w:hAnsi="宋体" w:eastAsia="宋体" w:cs="宋体"/>
          <w:color w:val="000000"/>
          <w:spacing w:val="-4"/>
          <w:sz w:val="21"/>
          <w:szCs w:val="21"/>
          <w:highlight w:val="none"/>
        </w:rPr>
      </w:pPr>
      <w:r>
        <w:rPr>
          <w:rFonts w:hint="eastAsia" w:ascii="宋体" w:hAnsi="宋体" w:cs="宋体"/>
          <w:color w:val="000000"/>
          <w:spacing w:val="-4"/>
          <w:sz w:val="21"/>
          <w:szCs w:val="21"/>
          <w:highlight w:val="none"/>
          <w:lang w:eastAsia="zh-CN"/>
        </w:rPr>
        <w:t>投标人</w:t>
      </w:r>
      <w:r>
        <w:rPr>
          <w:rFonts w:hint="eastAsia" w:ascii="宋体" w:hAnsi="宋体" w:eastAsia="宋体" w:cs="宋体"/>
          <w:color w:val="000000"/>
          <w:spacing w:val="-4"/>
          <w:sz w:val="21"/>
          <w:szCs w:val="21"/>
          <w:highlight w:val="none"/>
        </w:rPr>
        <w:t>全称（公章）：</w:t>
      </w:r>
    </w:p>
    <w:p>
      <w:pPr>
        <w:spacing w:line="360" w:lineRule="auto"/>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 xml:space="preserve">法定代表人或授权代表（签字或盖章）：                       </w:t>
      </w:r>
    </w:p>
    <w:p>
      <w:pPr>
        <w:pStyle w:val="12"/>
        <w:widowControl/>
        <w:spacing w:line="360" w:lineRule="auto"/>
        <w:ind w:firstLine="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p>
    <w:p>
      <w:pPr>
        <w:snapToGrid w:val="0"/>
        <w:spacing w:before="120" w:beforeLines="50" w:after="50" w:line="360" w:lineRule="auto"/>
        <w:rPr>
          <w:rFonts w:hint="eastAsia" w:ascii="宋体" w:hAnsi="宋体" w:eastAsia="宋体" w:cs="宋体"/>
          <w:b/>
          <w:bCs/>
          <w:color w:val="000000"/>
          <w:kern w:val="12"/>
          <w:sz w:val="21"/>
          <w:szCs w:val="21"/>
          <w:highlight w:val="none"/>
          <w:lang w:val="en-US" w:eastAsia="zh-CN"/>
        </w:rPr>
      </w:pPr>
      <w:r>
        <w:rPr>
          <w:rFonts w:hint="eastAsia" w:ascii="宋体" w:hAnsi="宋体" w:eastAsia="宋体" w:cs="宋体"/>
          <w:b/>
          <w:color w:val="000000"/>
          <w:sz w:val="21"/>
          <w:szCs w:val="21"/>
          <w:highlight w:val="none"/>
        </w:rPr>
        <w:br w:type="page"/>
      </w:r>
      <w:r>
        <w:rPr>
          <w:rFonts w:hint="eastAsia" w:ascii="宋体" w:hAnsi="宋体" w:eastAsia="宋体" w:cs="宋体"/>
          <w:b/>
          <w:bCs/>
          <w:color w:val="000000"/>
          <w:kern w:val="12"/>
          <w:sz w:val="21"/>
          <w:szCs w:val="21"/>
          <w:highlight w:val="none"/>
        </w:rPr>
        <w:t>格式</w:t>
      </w:r>
      <w:r>
        <w:rPr>
          <w:rFonts w:hint="eastAsia" w:ascii="宋体" w:hAnsi="宋体" w:eastAsia="宋体" w:cs="宋体"/>
          <w:b/>
          <w:bCs/>
          <w:color w:val="000000"/>
          <w:kern w:val="12"/>
          <w:sz w:val="21"/>
          <w:szCs w:val="21"/>
          <w:highlight w:val="none"/>
          <w:lang w:val="en-US" w:eastAsia="zh-CN"/>
        </w:rPr>
        <w:t>十二</w:t>
      </w:r>
    </w:p>
    <w:p>
      <w:pPr>
        <w:pStyle w:val="4"/>
        <w:keepNext/>
        <w:keepLines/>
        <w:spacing w:before="120" w:beforeLines="50" w:after="120" w:afterLines="50" w:line="360" w:lineRule="auto"/>
        <w:jc w:val="center"/>
        <w:rPr>
          <w:rFonts w:hint="eastAsia" w:ascii="宋体" w:hAnsi="宋体" w:eastAsia="宋体" w:cs="宋体"/>
          <w:b/>
          <w:color w:val="000000"/>
          <w:sz w:val="21"/>
          <w:szCs w:val="21"/>
          <w:highlight w:val="none"/>
        </w:rPr>
      </w:pPr>
    </w:p>
    <w:p>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拟派总监理工程师简历表</w:t>
      </w:r>
    </w:p>
    <w:tbl>
      <w:tblPr>
        <w:tblStyle w:val="27"/>
        <w:tblW w:w="88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1321"/>
        <w:gridCol w:w="1321"/>
        <w:gridCol w:w="1325"/>
        <w:gridCol w:w="2267"/>
        <w:gridCol w:w="13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1321"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21"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32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学历</w:t>
            </w: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职称</w:t>
            </w:r>
          </w:p>
        </w:tc>
        <w:tc>
          <w:tcPr>
            <w:tcW w:w="1321"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21"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职务</w:t>
            </w:r>
          </w:p>
        </w:tc>
        <w:tc>
          <w:tcPr>
            <w:tcW w:w="132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拟在本项目任职</w:t>
            </w: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工作年限</w:t>
            </w: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从事监理工作年限</w:t>
            </w: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毕业学校</w:t>
            </w:r>
          </w:p>
        </w:tc>
        <w:tc>
          <w:tcPr>
            <w:tcW w:w="7612" w:type="dxa"/>
            <w:gridSpan w:val="5"/>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56" w:type="dxa"/>
            <w:gridSpan w:val="6"/>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时间</w:t>
            </w: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参加过的项目</w:t>
            </w: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担任职务</w:t>
            </w: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4" w:type="dxa"/>
            <w:noWrap w:val="0"/>
            <w:vAlign w:val="center"/>
          </w:tcPr>
          <w:p>
            <w:pPr>
              <w:spacing w:line="360" w:lineRule="auto"/>
              <w:jc w:val="center"/>
              <w:rPr>
                <w:rFonts w:hint="eastAsia" w:ascii="宋体" w:hAnsi="宋体" w:eastAsia="宋体" w:cs="宋体"/>
                <w:color w:val="000000"/>
                <w:sz w:val="21"/>
                <w:szCs w:val="21"/>
                <w:highlight w:val="none"/>
              </w:rPr>
            </w:pPr>
          </w:p>
        </w:tc>
        <w:tc>
          <w:tcPr>
            <w:tcW w:w="3967"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26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378" w:type="dxa"/>
            <w:noWrap w:val="0"/>
            <w:vAlign w:val="center"/>
          </w:tcPr>
          <w:p>
            <w:pPr>
              <w:spacing w:line="360" w:lineRule="auto"/>
              <w:jc w:val="center"/>
              <w:rPr>
                <w:rFonts w:hint="eastAsia" w:ascii="宋体" w:hAnsi="宋体" w:eastAsia="宋体" w:cs="宋体"/>
                <w:color w:val="000000"/>
                <w:sz w:val="21"/>
                <w:szCs w:val="21"/>
                <w:highlight w:val="none"/>
              </w:rPr>
            </w:pPr>
          </w:p>
        </w:tc>
      </w:tr>
    </w:tbl>
    <w:p>
      <w:pPr>
        <w:spacing w:line="360" w:lineRule="auto"/>
        <w:rPr>
          <w:rFonts w:hint="eastAsia" w:ascii="宋体" w:hAnsi="宋体" w:eastAsia="宋体" w:cs="宋体"/>
          <w:color w:val="000000"/>
          <w:spacing w:val="-4"/>
          <w:sz w:val="21"/>
          <w:szCs w:val="21"/>
          <w:highlight w:val="none"/>
        </w:rPr>
      </w:pPr>
      <w:r>
        <w:rPr>
          <w:rFonts w:hint="eastAsia" w:ascii="宋体" w:hAnsi="宋体" w:eastAsia="宋体" w:cs="宋体"/>
          <w:b w:val="0"/>
          <w:bCs/>
          <w:color w:val="000000"/>
          <w:sz w:val="21"/>
          <w:szCs w:val="21"/>
          <w:highlight w:val="none"/>
        </w:rPr>
        <w:t>注：本表后附人员的执业资格证书</w:t>
      </w:r>
      <w:r>
        <w:rPr>
          <w:rFonts w:hint="eastAsia" w:ascii="宋体" w:hAnsi="宋体" w:eastAsia="宋体" w:cs="宋体"/>
          <w:b w:val="0"/>
          <w:bCs/>
          <w:color w:val="000000"/>
          <w:sz w:val="21"/>
          <w:szCs w:val="21"/>
          <w:highlight w:val="none"/>
          <w:lang w:val="en-US" w:eastAsia="zh-CN"/>
        </w:rPr>
        <w:t>近三个月内（社保指2021年10月、2021年11月、2021年12月连续三个月）</w:t>
      </w:r>
      <w:r>
        <w:rPr>
          <w:rFonts w:hint="eastAsia" w:ascii="宋体" w:hAnsi="宋体" w:cs="宋体"/>
          <w:b w:val="0"/>
          <w:bCs/>
          <w:color w:val="000000"/>
          <w:sz w:val="21"/>
          <w:szCs w:val="21"/>
          <w:highlight w:val="none"/>
          <w:lang w:val="en-US" w:eastAsia="zh-CN"/>
        </w:rPr>
        <w:t>投标人</w:t>
      </w:r>
      <w:r>
        <w:rPr>
          <w:rFonts w:hint="eastAsia" w:ascii="宋体" w:hAnsi="宋体" w:eastAsia="宋体" w:cs="宋体"/>
          <w:b w:val="0"/>
          <w:bCs/>
          <w:color w:val="000000"/>
          <w:sz w:val="21"/>
          <w:szCs w:val="21"/>
          <w:highlight w:val="none"/>
          <w:lang w:val="en-US" w:eastAsia="zh-CN"/>
        </w:rPr>
        <w:t>为其缴纳社保证明复印件。</w:t>
      </w:r>
    </w:p>
    <w:p>
      <w:pPr>
        <w:spacing w:line="360" w:lineRule="auto"/>
        <w:rPr>
          <w:rFonts w:hint="eastAsia" w:ascii="宋体" w:hAnsi="宋体" w:eastAsia="宋体" w:cs="宋体"/>
          <w:color w:val="000000"/>
          <w:spacing w:val="-4"/>
          <w:sz w:val="21"/>
          <w:szCs w:val="21"/>
          <w:highlight w:val="none"/>
        </w:rPr>
      </w:pPr>
    </w:p>
    <w:p>
      <w:pPr>
        <w:spacing w:line="360" w:lineRule="auto"/>
        <w:rPr>
          <w:rFonts w:hint="eastAsia" w:ascii="宋体" w:hAnsi="宋体" w:eastAsia="宋体" w:cs="宋体"/>
          <w:color w:val="000000"/>
          <w:spacing w:val="-4"/>
          <w:sz w:val="21"/>
          <w:szCs w:val="21"/>
          <w:highlight w:val="none"/>
        </w:rPr>
      </w:pPr>
      <w:r>
        <w:rPr>
          <w:rFonts w:hint="eastAsia" w:ascii="宋体" w:hAnsi="宋体" w:cs="宋体"/>
          <w:color w:val="000000"/>
          <w:spacing w:val="-4"/>
          <w:sz w:val="21"/>
          <w:szCs w:val="21"/>
          <w:highlight w:val="none"/>
          <w:lang w:eastAsia="zh-CN"/>
        </w:rPr>
        <w:t>投标人</w:t>
      </w:r>
      <w:r>
        <w:rPr>
          <w:rFonts w:hint="eastAsia" w:ascii="宋体" w:hAnsi="宋体" w:eastAsia="宋体" w:cs="宋体"/>
          <w:color w:val="000000"/>
          <w:spacing w:val="-4"/>
          <w:sz w:val="21"/>
          <w:szCs w:val="21"/>
          <w:highlight w:val="none"/>
        </w:rPr>
        <w:t>全称（公章）：</w:t>
      </w:r>
    </w:p>
    <w:p>
      <w:pPr>
        <w:spacing w:line="360" w:lineRule="auto"/>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 xml:space="preserve">法定代表人或授权代表（签字或盖章）：                       </w:t>
      </w:r>
    </w:p>
    <w:p>
      <w:pPr>
        <w:pStyle w:val="12"/>
        <w:widowControl/>
        <w:spacing w:line="360" w:lineRule="auto"/>
        <w:ind w:firstLine="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p>
    <w:p>
      <w:pPr>
        <w:tabs>
          <w:tab w:val="left" w:pos="606"/>
        </w:tabs>
        <w:spacing w:line="360" w:lineRule="auto"/>
        <w:rPr>
          <w:rFonts w:hint="eastAsia" w:ascii="宋体" w:hAnsi="宋体" w:eastAsia="宋体" w:cs="宋体"/>
          <w:b/>
          <w:color w:val="000000"/>
          <w:sz w:val="21"/>
          <w:szCs w:val="21"/>
          <w:highlight w:val="none"/>
          <w:lang w:val="en-US" w:eastAsia="zh-CN"/>
        </w:rPr>
      </w:pPr>
      <w:r>
        <w:rPr>
          <w:rFonts w:hint="eastAsia" w:ascii="宋体" w:hAnsi="宋体" w:eastAsia="宋体" w:cs="宋体"/>
          <w:color w:val="000000"/>
          <w:sz w:val="21"/>
          <w:szCs w:val="21"/>
          <w:highlight w:val="none"/>
        </w:rPr>
        <w:br w:type="page"/>
      </w:r>
      <w:r>
        <w:rPr>
          <w:rFonts w:hint="eastAsia" w:ascii="宋体" w:hAnsi="宋体" w:eastAsia="宋体" w:cs="宋体"/>
          <w:b/>
          <w:color w:val="000000"/>
          <w:sz w:val="21"/>
          <w:szCs w:val="21"/>
          <w:highlight w:val="none"/>
          <w:lang w:val="en-US" w:eastAsia="zh-CN"/>
        </w:rPr>
        <w:t>格式十三</w:t>
      </w:r>
    </w:p>
    <w:p>
      <w:pPr>
        <w:pStyle w:val="14"/>
        <w:snapToGrid w:val="0"/>
        <w:spacing w:before="295" w:beforeLines="0" w:after="295" w:afterLines="0"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商务条款响应（偏离）表</w:t>
      </w:r>
    </w:p>
    <w:p>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项目编号：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p>
    <w:tbl>
      <w:tblPr>
        <w:tblStyle w:val="2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5129"/>
        <w:gridCol w:w="857"/>
        <w:gridCol w:w="13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0" w:type="pct"/>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w:t>
            </w:r>
          </w:p>
        </w:tc>
        <w:tc>
          <w:tcPr>
            <w:tcW w:w="3009" w:type="pct"/>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招标文件要求</w:t>
            </w:r>
          </w:p>
        </w:tc>
        <w:tc>
          <w:tcPr>
            <w:tcW w:w="503" w:type="pct"/>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是否</w:t>
            </w:r>
          </w:p>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响应</w:t>
            </w:r>
          </w:p>
        </w:tc>
        <w:tc>
          <w:tcPr>
            <w:tcW w:w="796" w:type="pct"/>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cs="宋体"/>
                <w:b/>
                <w:color w:val="000000"/>
                <w:sz w:val="21"/>
                <w:szCs w:val="21"/>
                <w:highlight w:val="none"/>
                <w:lang w:eastAsia="zh-CN"/>
              </w:rPr>
              <w:t>投标人</w:t>
            </w:r>
            <w:r>
              <w:rPr>
                <w:rFonts w:hint="eastAsia" w:ascii="宋体" w:hAnsi="宋体" w:eastAsia="宋体" w:cs="宋体"/>
                <w:b/>
                <w:color w:val="000000"/>
                <w:sz w:val="21"/>
                <w:szCs w:val="21"/>
                <w:highlight w:val="none"/>
              </w:rPr>
              <w:t>的</w:t>
            </w:r>
          </w:p>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承诺或说明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pct"/>
            <w:noWrap w:val="0"/>
            <w:vAlign w:val="center"/>
          </w:tcPr>
          <w:p>
            <w:pPr>
              <w:snapToGrid w:val="0"/>
              <w:spacing w:line="360" w:lineRule="auto"/>
              <w:jc w:val="center"/>
              <w:rPr>
                <w:rFonts w:hint="eastAsia" w:ascii="宋体" w:hAnsi="宋体" w:eastAsia="宋体" w:cs="宋体"/>
                <w:color w:val="000000"/>
                <w:sz w:val="21"/>
                <w:szCs w:val="21"/>
                <w:highlight w:val="none"/>
              </w:rPr>
            </w:pPr>
          </w:p>
        </w:tc>
        <w:tc>
          <w:tcPr>
            <w:tcW w:w="3009" w:type="pct"/>
            <w:noWrap w:val="0"/>
            <w:vAlign w:val="center"/>
          </w:tcPr>
          <w:p>
            <w:pPr>
              <w:spacing w:line="360" w:lineRule="auto"/>
              <w:rPr>
                <w:rFonts w:hint="eastAsia" w:ascii="宋体" w:hAnsi="宋体" w:eastAsia="宋体" w:cs="宋体"/>
                <w:color w:val="000000"/>
                <w:sz w:val="21"/>
                <w:szCs w:val="21"/>
                <w:highlight w:val="none"/>
              </w:rPr>
            </w:pPr>
          </w:p>
        </w:tc>
        <w:tc>
          <w:tcPr>
            <w:tcW w:w="503" w:type="pct"/>
            <w:noWrap w:val="0"/>
            <w:vAlign w:val="center"/>
          </w:tcPr>
          <w:p>
            <w:pPr>
              <w:snapToGrid w:val="0"/>
              <w:spacing w:line="360" w:lineRule="auto"/>
              <w:rPr>
                <w:rFonts w:hint="eastAsia" w:ascii="宋体" w:hAnsi="宋体" w:eastAsia="宋体" w:cs="宋体"/>
                <w:color w:val="000000"/>
                <w:sz w:val="21"/>
                <w:szCs w:val="21"/>
                <w:highlight w:val="none"/>
              </w:rPr>
            </w:pPr>
          </w:p>
        </w:tc>
        <w:tc>
          <w:tcPr>
            <w:tcW w:w="796" w:type="pct"/>
            <w:noWrap w:val="0"/>
            <w:vAlign w:val="center"/>
          </w:tcPr>
          <w:p>
            <w:pPr>
              <w:snapToGrid w:val="0"/>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pct"/>
            <w:noWrap w:val="0"/>
            <w:vAlign w:val="center"/>
          </w:tcPr>
          <w:p>
            <w:pPr>
              <w:snapToGrid w:val="0"/>
              <w:spacing w:line="360" w:lineRule="auto"/>
              <w:jc w:val="center"/>
              <w:rPr>
                <w:rFonts w:hint="eastAsia" w:ascii="宋体" w:hAnsi="宋体" w:eastAsia="宋体" w:cs="宋体"/>
                <w:color w:val="000000"/>
                <w:sz w:val="21"/>
                <w:szCs w:val="21"/>
                <w:highlight w:val="none"/>
              </w:rPr>
            </w:pPr>
          </w:p>
        </w:tc>
        <w:tc>
          <w:tcPr>
            <w:tcW w:w="3009" w:type="pct"/>
            <w:noWrap w:val="0"/>
            <w:vAlign w:val="center"/>
          </w:tcPr>
          <w:p>
            <w:pPr>
              <w:snapToGrid w:val="0"/>
              <w:spacing w:line="360" w:lineRule="auto"/>
              <w:jc w:val="left"/>
              <w:rPr>
                <w:rFonts w:hint="eastAsia" w:ascii="宋体" w:hAnsi="宋体" w:eastAsia="宋体" w:cs="宋体"/>
                <w:color w:val="000000"/>
                <w:sz w:val="21"/>
                <w:szCs w:val="21"/>
                <w:highlight w:val="none"/>
              </w:rPr>
            </w:pPr>
          </w:p>
        </w:tc>
        <w:tc>
          <w:tcPr>
            <w:tcW w:w="503" w:type="pct"/>
            <w:noWrap w:val="0"/>
            <w:vAlign w:val="center"/>
          </w:tcPr>
          <w:p>
            <w:pPr>
              <w:snapToGrid w:val="0"/>
              <w:spacing w:line="360" w:lineRule="auto"/>
              <w:rPr>
                <w:rFonts w:hint="eastAsia" w:ascii="宋体" w:hAnsi="宋体" w:eastAsia="宋体" w:cs="宋体"/>
                <w:color w:val="000000"/>
                <w:sz w:val="21"/>
                <w:szCs w:val="21"/>
                <w:highlight w:val="none"/>
              </w:rPr>
            </w:pPr>
          </w:p>
        </w:tc>
        <w:tc>
          <w:tcPr>
            <w:tcW w:w="796" w:type="pct"/>
            <w:noWrap w:val="0"/>
            <w:vAlign w:val="center"/>
          </w:tcPr>
          <w:p>
            <w:pPr>
              <w:snapToGrid w:val="0"/>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pct"/>
            <w:noWrap w:val="0"/>
            <w:vAlign w:val="center"/>
          </w:tcPr>
          <w:p>
            <w:pPr>
              <w:snapToGrid w:val="0"/>
              <w:spacing w:line="360" w:lineRule="auto"/>
              <w:jc w:val="center"/>
              <w:rPr>
                <w:rFonts w:hint="eastAsia" w:ascii="宋体" w:hAnsi="宋体" w:eastAsia="宋体" w:cs="宋体"/>
                <w:color w:val="000000"/>
                <w:sz w:val="21"/>
                <w:szCs w:val="21"/>
                <w:highlight w:val="none"/>
              </w:rPr>
            </w:pPr>
          </w:p>
        </w:tc>
        <w:tc>
          <w:tcPr>
            <w:tcW w:w="3009" w:type="pct"/>
            <w:noWrap w:val="0"/>
            <w:vAlign w:val="center"/>
          </w:tcPr>
          <w:p>
            <w:pPr>
              <w:adjustRightInd w:val="0"/>
              <w:snapToGrid w:val="0"/>
              <w:spacing w:line="360" w:lineRule="auto"/>
              <w:rPr>
                <w:rFonts w:hint="eastAsia" w:ascii="宋体" w:hAnsi="宋体" w:eastAsia="宋体" w:cs="宋体"/>
                <w:color w:val="000000"/>
                <w:sz w:val="21"/>
                <w:szCs w:val="21"/>
                <w:highlight w:val="none"/>
              </w:rPr>
            </w:pPr>
          </w:p>
        </w:tc>
        <w:tc>
          <w:tcPr>
            <w:tcW w:w="503" w:type="pct"/>
            <w:noWrap w:val="0"/>
            <w:vAlign w:val="center"/>
          </w:tcPr>
          <w:p>
            <w:pPr>
              <w:spacing w:line="360" w:lineRule="auto"/>
              <w:jc w:val="center"/>
              <w:rPr>
                <w:rFonts w:hint="eastAsia" w:ascii="宋体" w:hAnsi="宋体" w:eastAsia="宋体" w:cs="宋体"/>
                <w:color w:val="000000"/>
                <w:sz w:val="21"/>
                <w:szCs w:val="21"/>
                <w:highlight w:val="none"/>
              </w:rPr>
            </w:pPr>
          </w:p>
        </w:tc>
        <w:tc>
          <w:tcPr>
            <w:tcW w:w="796" w:type="pct"/>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pct"/>
            <w:noWrap w:val="0"/>
            <w:vAlign w:val="center"/>
          </w:tcPr>
          <w:p>
            <w:pPr>
              <w:snapToGrid w:val="0"/>
              <w:spacing w:line="360" w:lineRule="auto"/>
              <w:jc w:val="center"/>
              <w:rPr>
                <w:rFonts w:hint="eastAsia" w:ascii="宋体" w:hAnsi="宋体" w:eastAsia="宋体" w:cs="宋体"/>
                <w:color w:val="000000"/>
                <w:sz w:val="21"/>
                <w:szCs w:val="21"/>
                <w:highlight w:val="none"/>
              </w:rPr>
            </w:pPr>
          </w:p>
        </w:tc>
        <w:tc>
          <w:tcPr>
            <w:tcW w:w="3009" w:type="pct"/>
            <w:noWrap w:val="0"/>
            <w:vAlign w:val="center"/>
          </w:tcPr>
          <w:p>
            <w:pPr>
              <w:spacing w:line="360" w:lineRule="auto"/>
              <w:rPr>
                <w:rFonts w:hint="eastAsia" w:ascii="宋体" w:hAnsi="宋体" w:eastAsia="宋体" w:cs="宋体"/>
                <w:color w:val="000000"/>
                <w:sz w:val="21"/>
                <w:szCs w:val="21"/>
                <w:highlight w:val="none"/>
              </w:rPr>
            </w:pPr>
          </w:p>
        </w:tc>
        <w:tc>
          <w:tcPr>
            <w:tcW w:w="503" w:type="pct"/>
            <w:noWrap w:val="0"/>
            <w:vAlign w:val="center"/>
          </w:tcPr>
          <w:p>
            <w:pPr>
              <w:snapToGrid w:val="0"/>
              <w:spacing w:line="360" w:lineRule="auto"/>
              <w:rPr>
                <w:rFonts w:hint="eastAsia" w:ascii="宋体" w:hAnsi="宋体" w:eastAsia="宋体" w:cs="宋体"/>
                <w:color w:val="000000"/>
                <w:sz w:val="21"/>
                <w:szCs w:val="21"/>
                <w:highlight w:val="none"/>
              </w:rPr>
            </w:pPr>
          </w:p>
        </w:tc>
        <w:tc>
          <w:tcPr>
            <w:tcW w:w="796" w:type="pct"/>
            <w:noWrap w:val="0"/>
            <w:vAlign w:val="center"/>
          </w:tcPr>
          <w:p>
            <w:pPr>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pct"/>
            <w:noWrap w:val="0"/>
            <w:vAlign w:val="center"/>
          </w:tcPr>
          <w:p>
            <w:pPr>
              <w:snapToGrid w:val="0"/>
              <w:spacing w:line="360" w:lineRule="auto"/>
              <w:jc w:val="center"/>
              <w:rPr>
                <w:rFonts w:hint="eastAsia" w:ascii="宋体" w:hAnsi="宋体" w:eastAsia="宋体" w:cs="宋体"/>
                <w:color w:val="000000"/>
                <w:sz w:val="21"/>
                <w:szCs w:val="21"/>
                <w:highlight w:val="none"/>
              </w:rPr>
            </w:pPr>
          </w:p>
        </w:tc>
        <w:tc>
          <w:tcPr>
            <w:tcW w:w="3009" w:type="pct"/>
            <w:noWrap w:val="0"/>
            <w:vAlign w:val="center"/>
          </w:tcPr>
          <w:p>
            <w:pPr>
              <w:widowControl/>
              <w:spacing w:line="360" w:lineRule="auto"/>
              <w:rPr>
                <w:rFonts w:hint="eastAsia" w:ascii="宋体" w:hAnsi="宋体" w:eastAsia="宋体" w:cs="宋体"/>
                <w:color w:val="000000"/>
                <w:sz w:val="21"/>
                <w:szCs w:val="21"/>
                <w:highlight w:val="none"/>
              </w:rPr>
            </w:pPr>
          </w:p>
        </w:tc>
        <w:tc>
          <w:tcPr>
            <w:tcW w:w="503" w:type="pct"/>
            <w:noWrap w:val="0"/>
            <w:vAlign w:val="center"/>
          </w:tcPr>
          <w:p>
            <w:pPr>
              <w:snapToGrid w:val="0"/>
              <w:spacing w:line="360" w:lineRule="auto"/>
              <w:rPr>
                <w:rFonts w:hint="eastAsia" w:ascii="宋体" w:hAnsi="宋体" w:eastAsia="宋体" w:cs="宋体"/>
                <w:color w:val="000000"/>
                <w:sz w:val="21"/>
                <w:szCs w:val="21"/>
                <w:highlight w:val="none"/>
              </w:rPr>
            </w:pPr>
          </w:p>
        </w:tc>
        <w:tc>
          <w:tcPr>
            <w:tcW w:w="796" w:type="pct"/>
            <w:noWrap w:val="0"/>
            <w:vAlign w:val="center"/>
          </w:tcPr>
          <w:p>
            <w:pPr>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pct"/>
            <w:noWrap w:val="0"/>
            <w:vAlign w:val="center"/>
          </w:tcPr>
          <w:p>
            <w:pPr>
              <w:spacing w:line="360" w:lineRule="auto"/>
              <w:jc w:val="center"/>
              <w:rPr>
                <w:rFonts w:hint="eastAsia" w:ascii="宋体" w:hAnsi="宋体" w:eastAsia="宋体" w:cs="宋体"/>
                <w:color w:val="000000"/>
                <w:sz w:val="21"/>
                <w:szCs w:val="21"/>
                <w:highlight w:val="none"/>
              </w:rPr>
            </w:pPr>
          </w:p>
        </w:tc>
        <w:tc>
          <w:tcPr>
            <w:tcW w:w="3009" w:type="pct"/>
            <w:noWrap w:val="0"/>
            <w:vAlign w:val="center"/>
          </w:tcPr>
          <w:p>
            <w:pPr>
              <w:spacing w:line="360" w:lineRule="auto"/>
              <w:rPr>
                <w:rFonts w:hint="eastAsia" w:ascii="宋体" w:hAnsi="宋体" w:eastAsia="宋体" w:cs="宋体"/>
                <w:color w:val="000000"/>
                <w:sz w:val="21"/>
                <w:szCs w:val="21"/>
                <w:highlight w:val="none"/>
              </w:rPr>
            </w:pPr>
          </w:p>
        </w:tc>
        <w:tc>
          <w:tcPr>
            <w:tcW w:w="503" w:type="pct"/>
            <w:noWrap w:val="0"/>
            <w:vAlign w:val="center"/>
          </w:tcPr>
          <w:p>
            <w:pPr>
              <w:snapToGrid w:val="0"/>
              <w:spacing w:line="360" w:lineRule="auto"/>
              <w:rPr>
                <w:rFonts w:hint="eastAsia" w:ascii="宋体" w:hAnsi="宋体" w:eastAsia="宋体" w:cs="宋体"/>
                <w:color w:val="000000"/>
                <w:sz w:val="21"/>
                <w:szCs w:val="21"/>
                <w:highlight w:val="none"/>
              </w:rPr>
            </w:pPr>
          </w:p>
        </w:tc>
        <w:tc>
          <w:tcPr>
            <w:tcW w:w="796" w:type="pct"/>
            <w:noWrap w:val="0"/>
            <w:vAlign w:val="center"/>
          </w:tcPr>
          <w:p>
            <w:pPr>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pct"/>
            <w:noWrap w:val="0"/>
            <w:vAlign w:val="center"/>
          </w:tcPr>
          <w:p>
            <w:pPr>
              <w:widowControl/>
              <w:spacing w:line="360" w:lineRule="auto"/>
              <w:jc w:val="center"/>
              <w:rPr>
                <w:rFonts w:hint="eastAsia" w:ascii="宋体" w:hAnsi="宋体" w:eastAsia="宋体" w:cs="宋体"/>
                <w:color w:val="000000"/>
                <w:sz w:val="21"/>
                <w:szCs w:val="21"/>
                <w:highlight w:val="none"/>
              </w:rPr>
            </w:pPr>
          </w:p>
        </w:tc>
        <w:tc>
          <w:tcPr>
            <w:tcW w:w="3009" w:type="pct"/>
            <w:noWrap w:val="0"/>
            <w:vAlign w:val="center"/>
          </w:tcPr>
          <w:p>
            <w:pPr>
              <w:overflowPunct w:val="0"/>
              <w:spacing w:line="360" w:lineRule="auto"/>
              <w:rPr>
                <w:rFonts w:hint="eastAsia" w:ascii="宋体" w:hAnsi="宋体" w:eastAsia="宋体" w:cs="宋体"/>
                <w:color w:val="000000"/>
                <w:sz w:val="21"/>
                <w:szCs w:val="21"/>
                <w:highlight w:val="none"/>
              </w:rPr>
            </w:pPr>
          </w:p>
        </w:tc>
        <w:tc>
          <w:tcPr>
            <w:tcW w:w="503" w:type="pct"/>
            <w:noWrap w:val="0"/>
            <w:vAlign w:val="center"/>
          </w:tcPr>
          <w:p>
            <w:pPr>
              <w:snapToGrid w:val="0"/>
              <w:spacing w:line="360" w:lineRule="auto"/>
              <w:rPr>
                <w:rFonts w:hint="eastAsia" w:ascii="宋体" w:hAnsi="宋体" w:eastAsia="宋体" w:cs="宋体"/>
                <w:color w:val="000000"/>
                <w:sz w:val="21"/>
                <w:szCs w:val="21"/>
                <w:highlight w:val="none"/>
              </w:rPr>
            </w:pPr>
          </w:p>
        </w:tc>
        <w:tc>
          <w:tcPr>
            <w:tcW w:w="796" w:type="pct"/>
            <w:noWrap w:val="0"/>
            <w:vAlign w:val="center"/>
          </w:tcPr>
          <w:p>
            <w:pPr>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pct"/>
            <w:noWrap w:val="0"/>
            <w:vAlign w:val="center"/>
          </w:tcPr>
          <w:p>
            <w:pPr>
              <w:snapToGrid w:val="0"/>
              <w:spacing w:line="360" w:lineRule="auto"/>
              <w:jc w:val="center"/>
              <w:rPr>
                <w:rFonts w:hint="eastAsia" w:ascii="宋体" w:hAnsi="宋体" w:eastAsia="宋体" w:cs="宋体"/>
                <w:color w:val="000000"/>
                <w:sz w:val="21"/>
                <w:szCs w:val="21"/>
                <w:highlight w:val="none"/>
              </w:rPr>
            </w:pPr>
          </w:p>
        </w:tc>
        <w:tc>
          <w:tcPr>
            <w:tcW w:w="3009" w:type="pct"/>
            <w:noWrap w:val="0"/>
            <w:vAlign w:val="center"/>
          </w:tcPr>
          <w:p>
            <w:pPr>
              <w:snapToGrid w:val="0"/>
              <w:spacing w:line="360" w:lineRule="auto"/>
              <w:jc w:val="left"/>
              <w:rPr>
                <w:rFonts w:hint="eastAsia" w:ascii="宋体" w:hAnsi="宋体" w:eastAsia="宋体" w:cs="宋体"/>
                <w:color w:val="000000"/>
                <w:sz w:val="21"/>
                <w:szCs w:val="21"/>
                <w:highlight w:val="none"/>
              </w:rPr>
            </w:pPr>
          </w:p>
        </w:tc>
        <w:tc>
          <w:tcPr>
            <w:tcW w:w="503" w:type="pct"/>
            <w:noWrap w:val="0"/>
            <w:vAlign w:val="center"/>
          </w:tcPr>
          <w:p>
            <w:pPr>
              <w:snapToGrid w:val="0"/>
              <w:spacing w:line="360" w:lineRule="auto"/>
              <w:rPr>
                <w:rFonts w:hint="eastAsia" w:ascii="宋体" w:hAnsi="宋体" w:eastAsia="宋体" w:cs="宋体"/>
                <w:color w:val="000000"/>
                <w:sz w:val="21"/>
                <w:szCs w:val="21"/>
                <w:highlight w:val="none"/>
              </w:rPr>
            </w:pPr>
          </w:p>
        </w:tc>
        <w:tc>
          <w:tcPr>
            <w:tcW w:w="796" w:type="pct"/>
            <w:noWrap w:val="0"/>
            <w:vAlign w:val="center"/>
          </w:tcPr>
          <w:p>
            <w:pPr>
              <w:spacing w:line="360" w:lineRule="auto"/>
              <w:rPr>
                <w:rFonts w:hint="eastAsia" w:ascii="宋体" w:hAnsi="宋体" w:eastAsia="宋体" w:cs="宋体"/>
                <w:color w:val="000000"/>
                <w:sz w:val="21"/>
                <w:szCs w:val="21"/>
                <w:highlight w:val="none"/>
              </w:rPr>
            </w:pPr>
          </w:p>
        </w:tc>
      </w:tr>
    </w:tbl>
    <w:p>
      <w:pPr>
        <w:snapToGrid/>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注：要求详见第二章招标需求 商务要求表及第三章</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须知前附表</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投标人</w:t>
      </w:r>
      <w:r>
        <w:rPr>
          <w:rFonts w:hint="eastAsia" w:ascii="宋体" w:hAnsi="宋体" w:eastAsia="宋体" w:cs="宋体"/>
          <w:color w:val="000000"/>
          <w:sz w:val="21"/>
          <w:szCs w:val="21"/>
          <w:highlight w:val="none"/>
          <w:lang w:val="en-US" w:eastAsia="zh-CN"/>
        </w:rPr>
        <w:t>应在“</w:t>
      </w:r>
      <w:r>
        <w:rPr>
          <w:rFonts w:hint="eastAsia" w:ascii="宋体" w:hAnsi="宋体" w:cs="宋体"/>
          <w:b w:val="0"/>
          <w:color w:val="000000"/>
          <w:sz w:val="21"/>
          <w:szCs w:val="21"/>
          <w:highlight w:val="none"/>
          <w:lang w:eastAsia="zh-CN"/>
        </w:rPr>
        <w:t>投标人</w:t>
      </w:r>
      <w:r>
        <w:rPr>
          <w:rFonts w:hint="eastAsia" w:ascii="宋体" w:hAnsi="宋体" w:eastAsia="宋体" w:cs="宋体"/>
          <w:b w:val="0"/>
          <w:color w:val="000000"/>
          <w:sz w:val="21"/>
          <w:szCs w:val="21"/>
          <w:highlight w:val="none"/>
        </w:rPr>
        <w:t>的承诺或说明</w:t>
      </w:r>
      <w:r>
        <w:rPr>
          <w:rFonts w:hint="eastAsia" w:ascii="宋体" w:hAnsi="宋体" w:eastAsia="宋体" w:cs="宋体"/>
          <w:color w:val="000000"/>
          <w:sz w:val="21"/>
          <w:szCs w:val="21"/>
          <w:highlight w:val="none"/>
          <w:lang w:val="en-US" w:eastAsia="zh-CN"/>
        </w:rPr>
        <w:t>”栏对偏离情况进行说明，若无偏离应在注明“无偏离”的字样。</w:t>
      </w:r>
    </w:p>
    <w:p>
      <w:pPr>
        <w:spacing w:line="360" w:lineRule="auto"/>
        <w:rPr>
          <w:rFonts w:hint="eastAsia" w:ascii="宋体" w:hAnsi="宋体" w:eastAsia="宋体" w:cs="宋体"/>
          <w:color w:val="000000"/>
          <w:sz w:val="21"/>
          <w:szCs w:val="21"/>
          <w:highlight w:val="none"/>
          <w:lang w:eastAsia="zh-CN"/>
        </w:rPr>
      </w:pP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pacing w:val="-4"/>
          <w:sz w:val="21"/>
          <w:szCs w:val="21"/>
          <w:highlight w:val="none"/>
        </w:rPr>
      </w:pPr>
      <w:r>
        <w:rPr>
          <w:rFonts w:hint="eastAsia" w:ascii="宋体" w:hAnsi="宋体" w:cs="宋体"/>
          <w:color w:val="000000"/>
          <w:spacing w:val="-4"/>
          <w:sz w:val="21"/>
          <w:szCs w:val="21"/>
          <w:highlight w:val="none"/>
          <w:lang w:eastAsia="zh-CN"/>
        </w:rPr>
        <w:t>投标人</w:t>
      </w:r>
      <w:r>
        <w:rPr>
          <w:rFonts w:hint="eastAsia" w:ascii="宋体" w:hAnsi="宋体" w:eastAsia="宋体" w:cs="宋体"/>
          <w:color w:val="000000"/>
          <w:spacing w:val="-4"/>
          <w:sz w:val="21"/>
          <w:szCs w:val="21"/>
          <w:highlight w:val="none"/>
        </w:rPr>
        <w:t>全称（公章）：</w:t>
      </w:r>
    </w:p>
    <w:p>
      <w:pPr>
        <w:spacing w:line="360" w:lineRule="auto"/>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 xml:space="preserve">法定代表人或授权代表（签字或盖章）：                       </w:t>
      </w:r>
    </w:p>
    <w:p>
      <w:pPr>
        <w:pStyle w:val="12"/>
        <w:widowControl/>
        <w:spacing w:line="360" w:lineRule="auto"/>
        <w:ind w:firstLine="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p>
    <w:p>
      <w:pPr>
        <w:snapToGrid w:val="0"/>
        <w:spacing w:before="120" w:beforeLines="50" w:after="50" w:line="360" w:lineRule="auto"/>
        <w:jc w:val="left"/>
        <w:outlineLvl w:val="2"/>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rPr>
        <w:t>格式十</w:t>
      </w:r>
      <w:r>
        <w:rPr>
          <w:rFonts w:hint="eastAsia" w:ascii="宋体" w:hAnsi="宋体" w:eastAsia="宋体" w:cs="宋体"/>
          <w:b/>
          <w:color w:val="000000"/>
          <w:sz w:val="21"/>
          <w:szCs w:val="21"/>
          <w:highlight w:val="none"/>
          <w:lang w:val="en-US" w:eastAsia="zh-CN"/>
        </w:rPr>
        <w:t>四</w:t>
      </w:r>
    </w:p>
    <w:p>
      <w:pPr>
        <w:snapToGrid w:val="0"/>
        <w:spacing w:before="120" w:beforeLines="50" w:after="50" w:line="360" w:lineRule="auto"/>
        <w:jc w:val="center"/>
        <w:outlineLvl w:val="2"/>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拟派本项目人员配置</w:t>
      </w:r>
      <w:r>
        <w:rPr>
          <w:rFonts w:hint="eastAsia" w:ascii="宋体" w:hAnsi="宋体" w:eastAsia="宋体" w:cs="宋体"/>
          <w:b/>
          <w:bCs/>
          <w:color w:val="000000"/>
          <w:sz w:val="21"/>
          <w:szCs w:val="21"/>
          <w:highlight w:val="none"/>
        </w:rPr>
        <w:t>表</w:t>
      </w:r>
    </w:p>
    <w:p>
      <w:pPr>
        <w:snapToGrid w:val="0"/>
        <w:spacing w:before="120" w:beforeLines="50" w:after="50" w:line="360" w:lineRule="auto"/>
        <w:jc w:val="center"/>
        <w:outlineLvl w:val="2"/>
        <w:rPr>
          <w:rFonts w:hint="eastAsia" w:ascii="宋体" w:hAnsi="宋体" w:eastAsia="宋体" w:cs="宋体"/>
          <w:b/>
          <w:color w:val="000000"/>
          <w:sz w:val="21"/>
          <w:szCs w:val="21"/>
          <w:highlight w:val="none"/>
        </w:rPr>
      </w:pPr>
    </w:p>
    <w:tbl>
      <w:tblPr>
        <w:tblStyle w:val="27"/>
        <w:tblW w:w="9268" w:type="dxa"/>
        <w:tblInd w:w="1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10"/>
        <w:gridCol w:w="707"/>
        <w:gridCol w:w="992"/>
        <w:gridCol w:w="1650"/>
        <w:gridCol w:w="1752"/>
        <w:gridCol w:w="1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5"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710"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姓名</w:t>
            </w:r>
          </w:p>
        </w:tc>
        <w:tc>
          <w:tcPr>
            <w:tcW w:w="707"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性别</w:t>
            </w:r>
          </w:p>
        </w:tc>
        <w:tc>
          <w:tcPr>
            <w:tcW w:w="992"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年龄</w:t>
            </w:r>
          </w:p>
        </w:tc>
        <w:tc>
          <w:tcPr>
            <w:tcW w:w="1650"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本项目岗位</w:t>
            </w:r>
          </w:p>
        </w:tc>
        <w:tc>
          <w:tcPr>
            <w:tcW w:w="1752"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专业</w:t>
            </w:r>
          </w:p>
        </w:tc>
        <w:tc>
          <w:tcPr>
            <w:tcW w:w="1752"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职业证书或</w:t>
            </w:r>
            <w:r>
              <w:rPr>
                <w:rFonts w:hint="eastAsia" w:ascii="宋体" w:hAnsi="宋体" w:eastAsia="宋体" w:cs="宋体"/>
                <w:b/>
                <w:color w:val="000000"/>
                <w:sz w:val="21"/>
                <w:szCs w:val="21"/>
                <w:highlight w:val="none"/>
              </w:rPr>
              <w:t>职称证书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w:t>
            </w:r>
          </w:p>
        </w:tc>
        <w:tc>
          <w:tcPr>
            <w:tcW w:w="1710" w:type="dxa"/>
            <w:noWrap w:val="0"/>
            <w:vAlign w:val="center"/>
          </w:tcPr>
          <w:p>
            <w:pPr>
              <w:spacing w:line="360" w:lineRule="auto"/>
              <w:rPr>
                <w:rFonts w:hint="eastAsia" w:ascii="宋体" w:hAnsi="宋体" w:eastAsia="宋体" w:cs="宋体"/>
                <w:b/>
                <w:color w:val="000000"/>
                <w:sz w:val="21"/>
                <w:szCs w:val="21"/>
                <w:highlight w:val="none"/>
              </w:rPr>
            </w:pPr>
          </w:p>
        </w:tc>
        <w:tc>
          <w:tcPr>
            <w:tcW w:w="707" w:type="dxa"/>
            <w:noWrap w:val="0"/>
            <w:vAlign w:val="center"/>
          </w:tcPr>
          <w:p>
            <w:pPr>
              <w:snapToGrid w:val="0"/>
              <w:spacing w:line="360" w:lineRule="auto"/>
              <w:rPr>
                <w:rFonts w:hint="eastAsia" w:ascii="宋体" w:hAnsi="宋体" w:eastAsia="宋体" w:cs="宋体"/>
                <w:b/>
                <w:color w:val="000000"/>
                <w:sz w:val="21"/>
                <w:szCs w:val="21"/>
                <w:highlight w:val="none"/>
              </w:rPr>
            </w:pPr>
          </w:p>
        </w:tc>
        <w:tc>
          <w:tcPr>
            <w:tcW w:w="992" w:type="dxa"/>
            <w:noWrap w:val="0"/>
            <w:vAlign w:val="center"/>
          </w:tcPr>
          <w:p>
            <w:pPr>
              <w:snapToGrid w:val="0"/>
              <w:spacing w:line="360" w:lineRule="auto"/>
              <w:rPr>
                <w:rFonts w:hint="eastAsia" w:ascii="宋体" w:hAnsi="宋体" w:eastAsia="宋体" w:cs="宋体"/>
                <w:b/>
                <w:color w:val="000000"/>
                <w:sz w:val="21"/>
                <w:szCs w:val="21"/>
                <w:highlight w:val="none"/>
              </w:rPr>
            </w:pPr>
          </w:p>
        </w:tc>
        <w:tc>
          <w:tcPr>
            <w:tcW w:w="1650" w:type="dxa"/>
            <w:noWrap w:val="0"/>
            <w:vAlign w:val="center"/>
          </w:tcPr>
          <w:p>
            <w:pPr>
              <w:snapToGrid w:val="0"/>
              <w:spacing w:line="360" w:lineRule="auto"/>
              <w:rPr>
                <w:rFonts w:hint="eastAsia" w:ascii="宋体" w:hAnsi="宋体" w:eastAsia="宋体" w:cs="宋体"/>
                <w:b/>
                <w:color w:val="000000"/>
                <w:sz w:val="21"/>
                <w:szCs w:val="21"/>
                <w:highlight w:val="none"/>
              </w:rPr>
            </w:pPr>
          </w:p>
        </w:tc>
        <w:tc>
          <w:tcPr>
            <w:tcW w:w="1752" w:type="dxa"/>
            <w:noWrap w:val="0"/>
            <w:vAlign w:val="center"/>
          </w:tcPr>
          <w:p>
            <w:pPr>
              <w:snapToGrid w:val="0"/>
              <w:spacing w:line="360" w:lineRule="auto"/>
              <w:rPr>
                <w:rFonts w:hint="eastAsia" w:ascii="宋体" w:hAnsi="宋体" w:eastAsia="宋体" w:cs="宋体"/>
                <w:b/>
                <w:color w:val="000000"/>
                <w:sz w:val="21"/>
                <w:szCs w:val="21"/>
                <w:highlight w:val="none"/>
              </w:rPr>
            </w:pPr>
          </w:p>
        </w:tc>
        <w:tc>
          <w:tcPr>
            <w:tcW w:w="1752" w:type="dxa"/>
            <w:noWrap w:val="0"/>
            <w:vAlign w:val="top"/>
          </w:tcPr>
          <w:p>
            <w:pPr>
              <w:snapToGrid w:val="0"/>
              <w:spacing w:line="360" w:lineRule="auto"/>
              <w:rPr>
                <w:rFonts w:hint="eastAsia" w:ascii="宋体" w:hAnsi="宋体" w:eastAsia="宋体" w:cs="宋体"/>
                <w:b/>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710" w:type="dxa"/>
            <w:noWrap w:val="0"/>
            <w:vAlign w:val="center"/>
          </w:tcPr>
          <w:p>
            <w:pPr>
              <w:spacing w:line="360" w:lineRule="auto"/>
              <w:rPr>
                <w:rFonts w:hint="eastAsia" w:ascii="宋体" w:hAnsi="宋体" w:eastAsia="宋体" w:cs="宋体"/>
                <w:color w:val="000000"/>
                <w:sz w:val="21"/>
                <w:szCs w:val="21"/>
                <w:highlight w:val="none"/>
              </w:rPr>
            </w:pPr>
          </w:p>
        </w:tc>
        <w:tc>
          <w:tcPr>
            <w:tcW w:w="707"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992"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1650"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1752"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1752" w:type="dxa"/>
            <w:noWrap w:val="0"/>
            <w:vAlign w:val="top"/>
          </w:tcPr>
          <w:p>
            <w:pPr>
              <w:snapToGrid w:val="0"/>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710" w:type="dxa"/>
            <w:noWrap w:val="0"/>
            <w:vAlign w:val="center"/>
          </w:tcPr>
          <w:p>
            <w:pPr>
              <w:spacing w:line="360" w:lineRule="auto"/>
              <w:rPr>
                <w:rFonts w:hint="eastAsia" w:ascii="宋体" w:hAnsi="宋体" w:eastAsia="宋体" w:cs="宋体"/>
                <w:color w:val="000000"/>
                <w:sz w:val="21"/>
                <w:szCs w:val="21"/>
                <w:highlight w:val="none"/>
              </w:rPr>
            </w:pPr>
          </w:p>
        </w:tc>
        <w:tc>
          <w:tcPr>
            <w:tcW w:w="707" w:type="dxa"/>
            <w:noWrap w:val="0"/>
            <w:vAlign w:val="center"/>
          </w:tcPr>
          <w:p>
            <w:pPr>
              <w:spacing w:line="360" w:lineRule="auto"/>
              <w:jc w:val="center"/>
              <w:rPr>
                <w:rFonts w:hint="eastAsia" w:ascii="宋体" w:hAnsi="宋体" w:eastAsia="宋体" w:cs="宋体"/>
                <w:color w:val="000000"/>
                <w:sz w:val="21"/>
                <w:szCs w:val="21"/>
                <w:highlight w:val="none"/>
              </w:rPr>
            </w:pPr>
          </w:p>
        </w:tc>
        <w:tc>
          <w:tcPr>
            <w:tcW w:w="992"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650"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52"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52" w:type="dxa"/>
            <w:noWrap w:val="0"/>
            <w:vAlign w:val="top"/>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710" w:type="dxa"/>
            <w:noWrap w:val="0"/>
            <w:vAlign w:val="center"/>
          </w:tcPr>
          <w:p>
            <w:pPr>
              <w:spacing w:line="360" w:lineRule="auto"/>
              <w:rPr>
                <w:rFonts w:hint="eastAsia" w:ascii="宋体" w:hAnsi="宋体" w:eastAsia="宋体" w:cs="宋体"/>
                <w:color w:val="000000"/>
                <w:sz w:val="21"/>
                <w:szCs w:val="21"/>
                <w:highlight w:val="none"/>
              </w:rPr>
            </w:pPr>
          </w:p>
        </w:tc>
        <w:tc>
          <w:tcPr>
            <w:tcW w:w="707"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992" w:type="dxa"/>
            <w:noWrap w:val="0"/>
            <w:vAlign w:val="center"/>
          </w:tcPr>
          <w:p>
            <w:pPr>
              <w:spacing w:line="360" w:lineRule="auto"/>
              <w:rPr>
                <w:rFonts w:hint="eastAsia" w:ascii="宋体" w:hAnsi="宋体" w:eastAsia="宋体" w:cs="宋体"/>
                <w:color w:val="000000"/>
                <w:sz w:val="21"/>
                <w:szCs w:val="21"/>
                <w:highlight w:val="none"/>
              </w:rPr>
            </w:pPr>
          </w:p>
        </w:tc>
        <w:tc>
          <w:tcPr>
            <w:tcW w:w="1650" w:type="dxa"/>
            <w:noWrap w:val="0"/>
            <w:vAlign w:val="center"/>
          </w:tcPr>
          <w:p>
            <w:pPr>
              <w:spacing w:line="360" w:lineRule="auto"/>
              <w:rPr>
                <w:rFonts w:hint="eastAsia" w:ascii="宋体" w:hAnsi="宋体" w:eastAsia="宋体" w:cs="宋体"/>
                <w:color w:val="000000"/>
                <w:sz w:val="21"/>
                <w:szCs w:val="21"/>
                <w:highlight w:val="none"/>
              </w:rPr>
            </w:pPr>
          </w:p>
        </w:tc>
        <w:tc>
          <w:tcPr>
            <w:tcW w:w="1752" w:type="dxa"/>
            <w:noWrap w:val="0"/>
            <w:vAlign w:val="center"/>
          </w:tcPr>
          <w:p>
            <w:pPr>
              <w:spacing w:line="360" w:lineRule="auto"/>
              <w:rPr>
                <w:rFonts w:hint="eastAsia" w:ascii="宋体" w:hAnsi="宋体" w:eastAsia="宋体" w:cs="宋体"/>
                <w:color w:val="000000"/>
                <w:sz w:val="21"/>
                <w:szCs w:val="21"/>
                <w:highlight w:val="none"/>
              </w:rPr>
            </w:pPr>
          </w:p>
        </w:tc>
        <w:tc>
          <w:tcPr>
            <w:tcW w:w="1752" w:type="dxa"/>
            <w:noWrap w:val="0"/>
            <w:vAlign w:val="top"/>
          </w:tcPr>
          <w:p>
            <w:pPr>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noWrap w:val="0"/>
            <w:vAlign w:val="center"/>
          </w:tcPr>
          <w:p>
            <w:pPr>
              <w:snapToGrid w:val="0"/>
              <w:spacing w:line="360" w:lineRule="auto"/>
              <w:jc w:val="center"/>
              <w:rPr>
                <w:rFonts w:hint="eastAsia" w:ascii="宋体" w:hAnsi="宋体" w:eastAsia="宋体" w:cs="宋体"/>
                <w:color w:val="000000"/>
                <w:sz w:val="21"/>
                <w:szCs w:val="21"/>
                <w:highlight w:val="none"/>
              </w:rPr>
            </w:pPr>
          </w:p>
        </w:tc>
        <w:tc>
          <w:tcPr>
            <w:tcW w:w="1710" w:type="dxa"/>
            <w:noWrap w:val="0"/>
            <w:vAlign w:val="center"/>
          </w:tcPr>
          <w:p>
            <w:pPr>
              <w:spacing w:line="360" w:lineRule="auto"/>
              <w:rPr>
                <w:rFonts w:hint="eastAsia" w:ascii="宋体" w:hAnsi="宋体" w:eastAsia="宋体" w:cs="宋体"/>
                <w:color w:val="000000"/>
                <w:sz w:val="21"/>
                <w:szCs w:val="21"/>
                <w:highlight w:val="none"/>
              </w:rPr>
            </w:pPr>
          </w:p>
        </w:tc>
        <w:tc>
          <w:tcPr>
            <w:tcW w:w="707"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992" w:type="dxa"/>
            <w:noWrap w:val="0"/>
            <w:vAlign w:val="center"/>
          </w:tcPr>
          <w:p>
            <w:pPr>
              <w:spacing w:line="360" w:lineRule="auto"/>
              <w:rPr>
                <w:rFonts w:hint="eastAsia" w:ascii="宋体" w:hAnsi="宋体" w:eastAsia="宋体" w:cs="宋体"/>
                <w:color w:val="000000"/>
                <w:sz w:val="21"/>
                <w:szCs w:val="21"/>
                <w:highlight w:val="none"/>
              </w:rPr>
            </w:pPr>
          </w:p>
        </w:tc>
        <w:tc>
          <w:tcPr>
            <w:tcW w:w="1650" w:type="dxa"/>
            <w:noWrap w:val="0"/>
            <w:vAlign w:val="center"/>
          </w:tcPr>
          <w:p>
            <w:pPr>
              <w:spacing w:line="360" w:lineRule="auto"/>
              <w:rPr>
                <w:rFonts w:hint="eastAsia" w:ascii="宋体" w:hAnsi="宋体" w:eastAsia="宋体" w:cs="宋体"/>
                <w:color w:val="000000"/>
                <w:sz w:val="21"/>
                <w:szCs w:val="21"/>
                <w:highlight w:val="none"/>
              </w:rPr>
            </w:pPr>
          </w:p>
        </w:tc>
        <w:tc>
          <w:tcPr>
            <w:tcW w:w="1752" w:type="dxa"/>
            <w:noWrap w:val="0"/>
            <w:vAlign w:val="center"/>
          </w:tcPr>
          <w:p>
            <w:pPr>
              <w:spacing w:line="360" w:lineRule="auto"/>
              <w:rPr>
                <w:rFonts w:hint="eastAsia" w:ascii="宋体" w:hAnsi="宋体" w:eastAsia="宋体" w:cs="宋体"/>
                <w:color w:val="000000"/>
                <w:sz w:val="21"/>
                <w:szCs w:val="21"/>
                <w:highlight w:val="none"/>
              </w:rPr>
            </w:pPr>
          </w:p>
        </w:tc>
        <w:tc>
          <w:tcPr>
            <w:tcW w:w="1752" w:type="dxa"/>
            <w:noWrap w:val="0"/>
            <w:vAlign w:val="top"/>
          </w:tcPr>
          <w:p>
            <w:pPr>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noWrap w:val="0"/>
            <w:vAlign w:val="center"/>
          </w:tcPr>
          <w:p>
            <w:pPr>
              <w:snapToGrid w:val="0"/>
              <w:spacing w:line="360" w:lineRule="auto"/>
              <w:jc w:val="center"/>
              <w:rPr>
                <w:rFonts w:hint="eastAsia" w:ascii="宋体" w:hAnsi="宋体" w:eastAsia="宋体" w:cs="宋体"/>
                <w:color w:val="000000"/>
                <w:sz w:val="21"/>
                <w:szCs w:val="21"/>
                <w:highlight w:val="none"/>
              </w:rPr>
            </w:pPr>
          </w:p>
        </w:tc>
        <w:tc>
          <w:tcPr>
            <w:tcW w:w="1710" w:type="dxa"/>
            <w:noWrap w:val="0"/>
            <w:vAlign w:val="center"/>
          </w:tcPr>
          <w:p>
            <w:pPr>
              <w:spacing w:line="360" w:lineRule="auto"/>
              <w:rPr>
                <w:rFonts w:hint="eastAsia" w:ascii="宋体" w:hAnsi="宋体" w:eastAsia="宋体" w:cs="宋体"/>
                <w:color w:val="000000"/>
                <w:sz w:val="21"/>
                <w:szCs w:val="21"/>
                <w:highlight w:val="none"/>
              </w:rPr>
            </w:pPr>
          </w:p>
        </w:tc>
        <w:tc>
          <w:tcPr>
            <w:tcW w:w="707"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992" w:type="dxa"/>
            <w:noWrap w:val="0"/>
            <w:vAlign w:val="center"/>
          </w:tcPr>
          <w:p>
            <w:pPr>
              <w:spacing w:line="360" w:lineRule="auto"/>
              <w:rPr>
                <w:rFonts w:hint="eastAsia" w:ascii="宋体" w:hAnsi="宋体" w:eastAsia="宋体" w:cs="宋体"/>
                <w:color w:val="000000"/>
                <w:sz w:val="21"/>
                <w:szCs w:val="21"/>
                <w:highlight w:val="none"/>
              </w:rPr>
            </w:pPr>
          </w:p>
        </w:tc>
        <w:tc>
          <w:tcPr>
            <w:tcW w:w="1650" w:type="dxa"/>
            <w:noWrap w:val="0"/>
            <w:vAlign w:val="center"/>
          </w:tcPr>
          <w:p>
            <w:pPr>
              <w:spacing w:line="360" w:lineRule="auto"/>
              <w:rPr>
                <w:rFonts w:hint="eastAsia" w:ascii="宋体" w:hAnsi="宋体" w:eastAsia="宋体" w:cs="宋体"/>
                <w:color w:val="000000"/>
                <w:sz w:val="21"/>
                <w:szCs w:val="21"/>
                <w:highlight w:val="none"/>
              </w:rPr>
            </w:pPr>
          </w:p>
        </w:tc>
        <w:tc>
          <w:tcPr>
            <w:tcW w:w="1752" w:type="dxa"/>
            <w:noWrap w:val="0"/>
            <w:vAlign w:val="center"/>
          </w:tcPr>
          <w:p>
            <w:pPr>
              <w:spacing w:line="360" w:lineRule="auto"/>
              <w:rPr>
                <w:rFonts w:hint="eastAsia" w:ascii="宋体" w:hAnsi="宋体" w:eastAsia="宋体" w:cs="宋体"/>
                <w:color w:val="000000"/>
                <w:sz w:val="21"/>
                <w:szCs w:val="21"/>
                <w:highlight w:val="none"/>
              </w:rPr>
            </w:pPr>
          </w:p>
        </w:tc>
        <w:tc>
          <w:tcPr>
            <w:tcW w:w="1752" w:type="dxa"/>
            <w:noWrap w:val="0"/>
            <w:vAlign w:val="top"/>
          </w:tcPr>
          <w:p>
            <w:pPr>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noWrap w:val="0"/>
            <w:vAlign w:val="center"/>
          </w:tcPr>
          <w:p>
            <w:pPr>
              <w:snapToGrid w:val="0"/>
              <w:spacing w:line="360" w:lineRule="auto"/>
              <w:jc w:val="center"/>
              <w:rPr>
                <w:rFonts w:hint="eastAsia" w:ascii="宋体" w:hAnsi="宋体" w:eastAsia="宋体" w:cs="宋体"/>
                <w:color w:val="000000"/>
                <w:sz w:val="21"/>
                <w:szCs w:val="21"/>
                <w:highlight w:val="none"/>
              </w:rPr>
            </w:pPr>
          </w:p>
        </w:tc>
        <w:tc>
          <w:tcPr>
            <w:tcW w:w="1710" w:type="dxa"/>
            <w:noWrap w:val="0"/>
            <w:vAlign w:val="center"/>
          </w:tcPr>
          <w:p>
            <w:pPr>
              <w:spacing w:line="360" w:lineRule="auto"/>
              <w:rPr>
                <w:rFonts w:hint="eastAsia" w:ascii="宋体" w:hAnsi="宋体" w:eastAsia="宋体" w:cs="宋体"/>
                <w:color w:val="000000"/>
                <w:sz w:val="21"/>
                <w:szCs w:val="21"/>
                <w:highlight w:val="none"/>
              </w:rPr>
            </w:pPr>
          </w:p>
        </w:tc>
        <w:tc>
          <w:tcPr>
            <w:tcW w:w="707"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992" w:type="dxa"/>
            <w:noWrap w:val="0"/>
            <w:vAlign w:val="center"/>
          </w:tcPr>
          <w:p>
            <w:pPr>
              <w:spacing w:line="360" w:lineRule="auto"/>
              <w:rPr>
                <w:rFonts w:hint="eastAsia" w:ascii="宋体" w:hAnsi="宋体" w:eastAsia="宋体" w:cs="宋体"/>
                <w:color w:val="000000"/>
                <w:sz w:val="21"/>
                <w:szCs w:val="21"/>
                <w:highlight w:val="none"/>
              </w:rPr>
            </w:pPr>
          </w:p>
        </w:tc>
        <w:tc>
          <w:tcPr>
            <w:tcW w:w="1650" w:type="dxa"/>
            <w:noWrap w:val="0"/>
            <w:vAlign w:val="center"/>
          </w:tcPr>
          <w:p>
            <w:pPr>
              <w:spacing w:line="360" w:lineRule="auto"/>
              <w:rPr>
                <w:rFonts w:hint="eastAsia" w:ascii="宋体" w:hAnsi="宋体" w:eastAsia="宋体" w:cs="宋体"/>
                <w:color w:val="000000"/>
                <w:sz w:val="21"/>
                <w:szCs w:val="21"/>
                <w:highlight w:val="none"/>
              </w:rPr>
            </w:pPr>
          </w:p>
        </w:tc>
        <w:tc>
          <w:tcPr>
            <w:tcW w:w="1752" w:type="dxa"/>
            <w:noWrap w:val="0"/>
            <w:vAlign w:val="center"/>
          </w:tcPr>
          <w:p>
            <w:pPr>
              <w:spacing w:line="360" w:lineRule="auto"/>
              <w:rPr>
                <w:rFonts w:hint="eastAsia" w:ascii="宋体" w:hAnsi="宋体" w:eastAsia="宋体" w:cs="宋体"/>
                <w:color w:val="000000"/>
                <w:sz w:val="21"/>
                <w:szCs w:val="21"/>
                <w:highlight w:val="none"/>
              </w:rPr>
            </w:pPr>
          </w:p>
        </w:tc>
        <w:tc>
          <w:tcPr>
            <w:tcW w:w="1752" w:type="dxa"/>
            <w:noWrap w:val="0"/>
            <w:vAlign w:val="top"/>
          </w:tcPr>
          <w:p>
            <w:pPr>
              <w:spacing w:line="360" w:lineRule="auto"/>
              <w:rPr>
                <w:rFonts w:hint="eastAsia" w:ascii="宋体" w:hAnsi="宋体" w:eastAsia="宋体" w:cs="宋体"/>
                <w:color w:val="000000"/>
                <w:sz w:val="21"/>
                <w:szCs w:val="21"/>
                <w:highlight w:val="none"/>
              </w:rPr>
            </w:pPr>
          </w:p>
        </w:tc>
      </w:tr>
    </w:tbl>
    <w:p>
      <w:pPr>
        <w:spacing w:line="360" w:lineRule="auto"/>
        <w:rPr>
          <w:rFonts w:hint="eastAsia" w:ascii="宋体" w:hAnsi="宋体" w:eastAsia="宋体" w:cs="宋体"/>
          <w:b w:val="0"/>
          <w:bCs/>
          <w:color w:val="000000"/>
          <w:sz w:val="21"/>
          <w:szCs w:val="21"/>
          <w:highlight w:val="none"/>
          <w:lang w:val="en-US"/>
        </w:rPr>
      </w:pPr>
      <w:r>
        <w:rPr>
          <w:rFonts w:hint="eastAsia" w:ascii="宋体" w:hAnsi="宋体" w:eastAsia="宋体" w:cs="宋体"/>
          <w:color w:val="000000"/>
          <w:sz w:val="21"/>
          <w:szCs w:val="21"/>
          <w:highlight w:val="none"/>
        </w:rPr>
        <w:t>注：</w:t>
      </w:r>
      <w:r>
        <w:rPr>
          <w:rFonts w:hint="eastAsia" w:ascii="宋体" w:hAnsi="宋体" w:eastAsia="宋体" w:cs="宋体"/>
          <w:b w:val="0"/>
          <w:bCs/>
          <w:color w:val="000000"/>
          <w:sz w:val="21"/>
          <w:szCs w:val="21"/>
          <w:highlight w:val="none"/>
        </w:rPr>
        <w:t>本表后附人员的执业资格证书</w:t>
      </w:r>
      <w:r>
        <w:rPr>
          <w:rFonts w:hint="eastAsia" w:ascii="宋体" w:hAnsi="宋体" w:eastAsia="宋体" w:cs="宋体"/>
          <w:b w:val="0"/>
          <w:bCs/>
          <w:color w:val="000000"/>
          <w:sz w:val="21"/>
          <w:szCs w:val="21"/>
          <w:highlight w:val="none"/>
          <w:lang w:val="en-US" w:eastAsia="zh-CN"/>
        </w:rPr>
        <w:t>或职称证书、近三个月内（社保指2021年10月、2021年11月、2021年12月连续三个月）</w:t>
      </w:r>
      <w:r>
        <w:rPr>
          <w:rFonts w:hint="eastAsia" w:ascii="宋体" w:hAnsi="宋体" w:cs="宋体"/>
          <w:b w:val="0"/>
          <w:bCs/>
          <w:color w:val="000000"/>
          <w:sz w:val="21"/>
          <w:szCs w:val="21"/>
          <w:highlight w:val="none"/>
          <w:lang w:val="en-US" w:eastAsia="zh-CN"/>
        </w:rPr>
        <w:t>投标人</w:t>
      </w:r>
      <w:r>
        <w:rPr>
          <w:rFonts w:hint="eastAsia" w:ascii="宋体" w:hAnsi="宋体" w:eastAsia="宋体" w:cs="宋体"/>
          <w:b w:val="0"/>
          <w:bCs/>
          <w:color w:val="000000"/>
          <w:sz w:val="21"/>
          <w:szCs w:val="21"/>
          <w:highlight w:val="none"/>
          <w:lang w:val="en-US" w:eastAsia="zh-CN"/>
        </w:rPr>
        <w:t>为其缴纳社保证明复印件。</w:t>
      </w:r>
    </w:p>
    <w:p>
      <w:pPr>
        <w:spacing w:before="120" w:beforeLines="50" w:line="360" w:lineRule="auto"/>
        <w:rPr>
          <w:rFonts w:hint="eastAsia" w:ascii="宋体" w:hAnsi="宋体" w:eastAsia="宋体" w:cs="宋体"/>
          <w:color w:val="000000"/>
          <w:spacing w:val="-4"/>
          <w:sz w:val="21"/>
          <w:szCs w:val="21"/>
          <w:highlight w:val="none"/>
        </w:rPr>
      </w:pPr>
    </w:p>
    <w:p>
      <w:pPr>
        <w:snapToGrid w:val="0"/>
        <w:spacing w:line="360" w:lineRule="auto"/>
        <w:jc w:val="left"/>
        <w:rPr>
          <w:rFonts w:hint="eastAsia" w:ascii="宋体" w:hAnsi="宋体" w:eastAsia="宋体" w:cs="宋体"/>
          <w:color w:val="000000"/>
          <w:sz w:val="21"/>
          <w:szCs w:val="21"/>
          <w:highlight w:val="none"/>
        </w:rPr>
      </w:pPr>
    </w:p>
    <w:p>
      <w:pPr>
        <w:spacing w:line="360" w:lineRule="auto"/>
        <w:rPr>
          <w:rFonts w:hint="eastAsia" w:ascii="宋体" w:hAnsi="宋体" w:eastAsia="宋体" w:cs="宋体"/>
          <w:b/>
          <w:color w:val="000000"/>
          <w:sz w:val="21"/>
          <w:szCs w:val="21"/>
          <w:highlight w:val="none"/>
        </w:rPr>
      </w:pPr>
    </w:p>
    <w:p>
      <w:pPr>
        <w:spacing w:line="360" w:lineRule="auto"/>
        <w:rPr>
          <w:rFonts w:hint="eastAsia" w:ascii="宋体" w:hAnsi="宋体" w:eastAsia="宋体" w:cs="宋体"/>
          <w:b/>
          <w:color w:val="000000"/>
          <w:sz w:val="21"/>
          <w:szCs w:val="21"/>
          <w:highlight w:val="none"/>
        </w:rPr>
      </w:pPr>
    </w:p>
    <w:p>
      <w:pPr>
        <w:spacing w:line="360" w:lineRule="auto"/>
        <w:rPr>
          <w:rFonts w:hint="eastAsia" w:ascii="宋体" w:hAnsi="宋体" w:eastAsia="宋体" w:cs="宋体"/>
          <w:b/>
          <w:color w:val="000000"/>
          <w:sz w:val="21"/>
          <w:szCs w:val="21"/>
          <w:highlight w:val="none"/>
        </w:rPr>
      </w:pPr>
    </w:p>
    <w:p>
      <w:pPr>
        <w:spacing w:line="360" w:lineRule="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eastAsia="zh-CN"/>
        </w:rPr>
        <w:t>投标人</w:t>
      </w:r>
      <w:r>
        <w:rPr>
          <w:rFonts w:hint="eastAsia" w:ascii="宋体" w:hAnsi="宋体" w:eastAsia="宋体" w:cs="宋体"/>
          <w:bCs/>
          <w:color w:val="000000"/>
          <w:sz w:val="21"/>
          <w:szCs w:val="21"/>
          <w:highlight w:val="none"/>
        </w:rPr>
        <w:t>全称（公章）：</w:t>
      </w:r>
    </w:p>
    <w:p>
      <w:pPr>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法定代表人或授权代表（签字或盖章）：                       </w:t>
      </w:r>
    </w:p>
    <w:p>
      <w:pPr>
        <w:pStyle w:val="40"/>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日期：</w:t>
      </w:r>
      <w:r>
        <w:rPr>
          <w:rFonts w:hint="eastAsia" w:ascii="宋体" w:hAnsi="宋体" w:eastAsia="宋体" w:cs="宋体"/>
          <w:color w:val="000000"/>
          <w:sz w:val="21"/>
          <w:szCs w:val="21"/>
          <w:highlight w:val="none"/>
        </w:rPr>
        <w:t xml:space="preserve">    年   月   日</w:t>
      </w:r>
    </w:p>
    <w:p>
      <w:pPr>
        <w:tabs>
          <w:tab w:val="left" w:pos="8647"/>
        </w:tabs>
        <w:snapToGrid w:val="0"/>
        <w:spacing w:before="50" w:after="50" w:line="360" w:lineRule="auto"/>
        <w:ind w:left="-21" w:leftChars="-72" w:right="172" w:rightChars="82" w:hanging="130" w:hangingChars="62"/>
        <w:jc w:val="left"/>
        <w:rPr>
          <w:rFonts w:hint="eastAsia" w:ascii="宋体" w:hAnsi="宋体" w:eastAsia="宋体" w:cs="宋体"/>
          <w:color w:val="000000"/>
          <w:sz w:val="21"/>
          <w:szCs w:val="21"/>
          <w:highlight w:val="none"/>
        </w:rPr>
      </w:pPr>
    </w:p>
    <w:p>
      <w:pPr>
        <w:snapToGrid w:val="0"/>
        <w:spacing w:before="120" w:beforeLines="50" w:after="50" w:line="360" w:lineRule="auto"/>
        <w:jc w:val="left"/>
        <w:outlineLvl w:val="2"/>
        <w:rPr>
          <w:rFonts w:hint="eastAsia" w:ascii="宋体" w:hAnsi="宋体" w:eastAsia="宋体" w:cs="宋体"/>
          <w:b/>
          <w:color w:val="000000"/>
          <w:sz w:val="21"/>
          <w:szCs w:val="21"/>
          <w:highlight w:val="none"/>
          <w:lang w:val="en-US" w:eastAsia="zh-CN"/>
        </w:rPr>
      </w:pPr>
      <w:r>
        <w:rPr>
          <w:rFonts w:hint="eastAsia" w:ascii="宋体" w:hAnsi="宋体" w:eastAsia="宋体" w:cs="宋体"/>
          <w:color w:val="000000"/>
          <w:sz w:val="21"/>
          <w:szCs w:val="21"/>
          <w:highlight w:val="none"/>
        </w:rPr>
        <w:br w:type="page"/>
      </w:r>
      <w:r>
        <w:rPr>
          <w:rFonts w:hint="eastAsia" w:ascii="宋体" w:hAnsi="宋体" w:eastAsia="宋体" w:cs="宋体"/>
          <w:b/>
          <w:color w:val="000000"/>
          <w:sz w:val="21"/>
          <w:szCs w:val="21"/>
          <w:highlight w:val="none"/>
        </w:rPr>
        <w:t>格式十</w:t>
      </w:r>
      <w:r>
        <w:rPr>
          <w:rFonts w:hint="eastAsia" w:ascii="宋体" w:hAnsi="宋体" w:eastAsia="宋体" w:cs="宋体"/>
          <w:b/>
          <w:color w:val="000000"/>
          <w:sz w:val="21"/>
          <w:szCs w:val="21"/>
          <w:highlight w:val="none"/>
          <w:lang w:val="en-US" w:eastAsia="zh-CN"/>
        </w:rPr>
        <w:t>五</w:t>
      </w:r>
    </w:p>
    <w:p>
      <w:pPr>
        <w:spacing w:line="360" w:lineRule="auto"/>
        <w:jc w:val="center"/>
        <w:rPr>
          <w:rFonts w:hint="eastAsia" w:ascii="宋体" w:hAnsi="宋体" w:eastAsia="宋体" w:cs="宋体"/>
          <w:b/>
          <w:color w:val="000000"/>
          <w:sz w:val="21"/>
          <w:szCs w:val="21"/>
          <w:highlight w:val="none"/>
        </w:rPr>
      </w:pPr>
      <w:r>
        <w:rPr>
          <w:rFonts w:hint="eastAsia" w:ascii="宋体" w:hAnsi="宋体" w:cs="宋体"/>
          <w:b/>
          <w:color w:val="000000"/>
          <w:sz w:val="21"/>
          <w:szCs w:val="21"/>
          <w:highlight w:val="none"/>
          <w:lang w:val="en-US" w:eastAsia="zh-CN"/>
        </w:rPr>
        <w:t>投标人</w:t>
      </w:r>
      <w:r>
        <w:rPr>
          <w:rFonts w:hint="eastAsia" w:ascii="宋体" w:hAnsi="宋体" w:eastAsia="宋体" w:cs="宋体"/>
          <w:b/>
          <w:color w:val="000000"/>
          <w:sz w:val="21"/>
          <w:szCs w:val="21"/>
          <w:highlight w:val="none"/>
        </w:rPr>
        <w:t>业绩表</w:t>
      </w:r>
    </w:p>
    <w:p>
      <w:pPr>
        <w:spacing w:line="360" w:lineRule="auto"/>
        <w:ind w:firstLine="3089"/>
        <w:rPr>
          <w:rFonts w:hint="eastAsia" w:ascii="宋体" w:hAnsi="宋体" w:eastAsia="宋体" w:cs="宋体"/>
          <w:b/>
          <w:color w:val="000000"/>
          <w:sz w:val="21"/>
          <w:szCs w:val="21"/>
          <w:highlight w:val="none"/>
        </w:rPr>
      </w:pPr>
    </w:p>
    <w:p>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招标编号：</w:t>
      </w:r>
      <w:r>
        <w:rPr>
          <w:rFonts w:hint="eastAsia" w:ascii="宋体" w:hAnsi="宋体" w:eastAsia="宋体" w:cs="宋体"/>
          <w:color w:val="000000"/>
          <w:sz w:val="21"/>
          <w:szCs w:val="21"/>
          <w:highlight w:val="none"/>
          <w:u w:val="single"/>
        </w:rPr>
        <w:t xml:space="preserve">                   </w:t>
      </w:r>
    </w:p>
    <w:tbl>
      <w:tblPr>
        <w:tblStyle w:val="27"/>
        <w:tblW w:w="0" w:type="auto"/>
        <w:tblInd w:w="-2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310"/>
        <w:gridCol w:w="1680"/>
        <w:gridCol w:w="2505"/>
        <w:gridCol w:w="1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5"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10"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项目名称</w:t>
            </w:r>
          </w:p>
        </w:tc>
        <w:tc>
          <w:tcPr>
            <w:tcW w:w="1680"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合同签订时间</w:t>
            </w:r>
          </w:p>
        </w:tc>
        <w:tc>
          <w:tcPr>
            <w:tcW w:w="2505" w:type="dxa"/>
            <w:noWrap w:val="0"/>
            <w:vAlign w:val="center"/>
          </w:tcPr>
          <w:p>
            <w:pPr>
              <w:snapToGrid w:val="0"/>
              <w:spacing w:line="360" w:lineRule="auto"/>
              <w:jc w:val="center"/>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rPr>
              <w:t>是否为</w:t>
            </w:r>
            <w:r>
              <w:rPr>
                <w:rFonts w:hint="eastAsia" w:ascii="宋体" w:hAnsi="宋体" w:eastAsia="宋体" w:cs="宋体"/>
                <w:b/>
                <w:color w:val="000000"/>
                <w:sz w:val="21"/>
                <w:szCs w:val="21"/>
                <w:highlight w:val="none"/>
                <w:lang w:val="en-US" w:eastAsia="zh-CN"/>
              </w:rPr>
              <w:t>监理或项目管理或全过程工程咨询</w:t>
            </w:r>
          </w:p>
        </w:tc>
        <w:tc>
          <w:tcPr>
            <w:tcW w:w="1920" w:type="dxa"/>
            <w:noWrap w:val="0"/>
            <w:vAlign w:val="center"/>
          </w:tcPr>
          <w:p>
            <w:pPr>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项目甲方联系人/联系电话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310" w:type="dxa"/>
            <w:noWrap w:val="0"/>
            <w:vAlign w:val="center"/>
          </w:tcPr>
          <w:p>
            <w:pPr>
              <w:spacing w:line="360" w:lineRule="auto"/>
              <w:rPr>
                <w:rFonts w:hint="eastAsia" w:ascii="宋体" w:hAnsi="宋体" w:eastAsia="宋体" w:cs="宋体"/>
                <w:color w:val="000000"/>
                <w:sz w:val="21"/>
                <w:szCs w:val="21"/>
                <w:highlight w:val="none"/>
              </w:rPr>
            </w:pPr>
          </w:p>
        </w:tc>
        <w:tc>
          <w:tcPr>
            <w:tcW w:w="1680"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2505"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1920" w:type="dxa"/>
            <w:noWrap w:val="0"/>
            <w:vAlign w:val="center"/>
          </w:tcPr>
          <w:p>
            <w:pPr>
              <w:snapToGrid w:val="0"/>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310" w:type="dxa"/>
            <w:noWrap w:val="0"/>
            <w:vAlign w:val="center"/>
          </w:tcPr>
          <w:p>
            <w:pPr>
              <w:spacing w:line="360" w:lineRule="auto"/>
              <w:rPr>
                <w:rFonts w:hint="eastAsia" w:ascii="宋体" w:hAnsi="宋体" w:eastAsia="宋体" w:cs="宋体"/>
                <w:color w:val="000000"/>
                <w:sz w:val="21"/>
                <w:szCs w:val="21"/>
                <w:highlight w:val="none"/>
              </w:rPr>
            </w:pPr>
          </w:p>
        </w:tc>
        <w:tc>
          <w:tcPr>
            <w:tcW w:w="1680"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2505"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1920" w:type="dxa"/>
            <w:noWrap w:val="0"/>
            <w:vAlign w:val="center"/>
          </w:tcPr>
          <w:p>
            <w:pPr>
              <w:snapToGrid w:val="0"/>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310" w:type="dxa"/>
            <w:noWrap w:val="0"/>
            <w:vAlign w:val="center"/>
          </w:tcPr>
          <w:p>
            <w:pPr>
              <w:spacing w:line="360" w:lineRule="auto"/>
              <w:rPr>
                <w:rFonts w:hint="eastAsia" w:ascii="宋体" w:hAnsi="宋体" w:eastAsia="宋体" w:cs="宋体"/>
                <w:color w:val="000000"/>
                <w:sz w:val="21"/>
                <w:szCs w:val="21"/>
                <w:highlight w:val="none"/>
              </w:rPr>
            </w:pPr>
          </w:p>
        </w:tc>
        <w:tc>
          <w:tcPr>
            <w:tcW w:w="1680" w:type="dxa"/>
            <w:noWrap w:val="0"/>
            <w:vAlign w:val="center"/>
          </w:tcPr>
          <w:p>
            <w:pPr>
              <w:spacing w:line="360" w:lineRule="auto"/>
              <w:jc w:val="center"/>
              <w:rPr>
                <w:rFonts w:hint="eastAsia" w:ascii="宋体" w:hAnsi="宋体" w:eastAsia="宋体" w:cs="宋体"/>
                <w:color w:val="000000"/>
                <w:sz w:val="21"/>
                <w:szCs w:val="21"/>
                <w:highlight w:val="none"/>
              </w:rPr>
            </w:pPr>
          </w:p>
        </w:tc>
        <w:tc>
          <w:tcPr>
            <w:tcW w:w="250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920"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2310" w:type="dxa"/>
            <w:noWrap w:val="0"/>
            <w:vAlign w:val="center"/>
          </w:tcPr>
          <w:p>
            <w:pPr>
              <w:spacing w:line="360" w:lineRule="auto"/>
              <w:rPr>
                <w:rFonts w:hint="eastAsia" w:ascii="宋体" w:hAnsi="宋体" w:eastAsia="宋体" w:cs="宋体"/>
                <w:color w:val="000000"/>
                <w:sz w:val="21"/>
                <w:szCs w:val="21"/>
                <w:highlight w:val="none"/>
              </w:rPr>
            </w:pPr>
          </w:p>
        </w:tc>
        <w:tc>
          <w:tcPr>
            <w:tcW w:w="1680"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2505" w:type="dxa"/>
            <w:noWrap w:val="0"/>
            <w:vAlign w:val="center"/>
          </w:tcPr>
          <w:p>
            <w:pPr>
              <w:spacing w:line="360" w:lineRule="auto"/>
              <w:rPr>
                <w:rFonts w:hint="eastAsia" w:ascii="宋体" w:hAnsi="宋体" w:eastAsia="宋体" w:cs="宋体"/>
                <w:color w:val="000000"/>
                <w:sz w:val="21"/>
                <w:szCs w:val="21"/>
                <w:highlight w:val="none"/>
              </w:rPr>
            </w:pPr>
          </w:p>
        </w:tc>
        <w:tc>
          <w:tcPr>
            <w:tcW w:w="1920" w:type="dxa"/>
            <w:noWrap w:val="0"/>
            <w:vAlign w:val="center"/>
          </w:tcPr>
          <w:p>
            <w:pPr>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2310" w:type="dxa"/>
            <w:noWrap w:val="0"/>
            <w:vAlign w:val="center"/>
          </w:tcPr>
          <w:p>
            <w:pPr>
              <w:spacing w:line="360" w:lineRule="auto"/>
              <w:rPr>
                <w:rFonts w:hint="eastAsia" w:ascii="宋体" w:hAnsi="宋体" w:eastAsia="宋体" w:cs="宋体"/>
                <w:color w:val="000000"/>
                <w:sz w:val="21"/>
                <w:szCs w:val="21"/>
                <w:highlight w:val="none"/>
              </w:rPr>
            </w:pPr>
          </w:p>
        </w:tc>
        <w:tc>
          <w:tcPr>
            <w:tcW w:w="1680"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2505" w:type="dxa"/>
            <w:noWrap w:val="0"/>
            <w:vAlign w:val="center"/>
          </w:tcPr>
          <w:p>
            <w:pPr>
              <w:spacing w:line="360" w:lineRule="auto"/>
              <w:rPr>
                <w:rFonts w:hint="eastAsia" w:ascii="宋体" w:hAnsi="宋体" w:eastAsia="宋体" w:cs="宋体"/>
                <w:color w:val="000000"/>
                <w:sz w:val="21"/>
                <w:szCs w:val="21"/>
                <w:highlight w:val="none"/>
              </w:rPr>
            </w:pPr>
          </w:p>
        </w:tc>
        <w:tc>
          <w:tcPr>
            <w:tcW w:w="1920" w:type="dxa"/>
            <w:noWrap w:val="0"/>
            <w:vAlign w:val="center"/>
          </w:tcPr>
          <w:p>
            <w:pPr>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2310" w:type="dxa"/>
            <w:noWrap w:val="0"/>
            <w:vAlign w:val="center"/>
          </w:tcPr>
          <w:p>
            <w:pPr>
              <w:spacing w:line="360" w:lineRule="auto"/>
              <w:rPr>
                <w:rFonts w:hint="eastAsia" w:ascii="宋体" w:hAnsi="宋体" w:eastAsia="宋体" w:cs="宋体"/>
                <w:color w:val="000000"/>
                <w:sz w:val="21"/>
                <w:szCs w:val="21"/>
                <w:highlight w:val="none"/>
              </w:rPr>
            </w:pPr>
          </w:p>
        </w:tc>
        <w:tc>
          <w:tcPr>
            <w:tcW w:w="1680"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2505" w:type="dxa"/>
            <w:noWrap w:val="0"/>
            <w:vAlign w:val="center"/>
          </w:tcPr>
          <w:p>
            <w:pPr>
              <w:spacing w:line="360" w:lineRule="auto"/>
              <w:rPr>
                <w:rFonts w:hint="eastAsia" w:ascii="宋体" w:hAnsi="宋体" w:eastAsia="宋体" w:cs="宋体"/>
                <w:color w:val="000000"/>
                <w:sz w:val="21"/>
                <w:szCs w:val="21"/>
                <w:highlight w:val="none"/>
              </w:rPr>
            </w:pPr>
          </w:p>
        </w:tc>
        <w:tc>
          <w:tcPr>
            <w:tcW w:w="1920" w:type="dxa"/>
            <w:noWrap w:val="0"/>
            <w:vAlign w:val="center"/>
          </w:tcPr>
          <w:p>
            <w:pPr>
              <w:spacing w:line="360" w:lineRule="auto"/>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2310" w:type="dxa"/>
            <w:noWrap w:val="0"/>
            <w:vAlign w:val="center"/>
          </w:tcPr>
          <w:p>
            <w:pPr>
              <w:spacing w:line="360" w:lineRule="auto"/>
              <w:rPr>
                <w:rFonts w:hint="eastAsia" w:ascii="宋体" w:hAnsi="宋体" w:eastAsia="宋体" w:cs="宋体"/>
                <w:color w:val="000000"/>
                <w:sz w:val="21"/>
                <w:szCs w:val="21"/>
                <w:highlight w:val="none"/>
              </w:rPr>
            </w:pPr>
          </w:p>
        </w:tc>
        <w:tc>
          <w:tcPr>
            <w:tcW w:w="1680" w:type="dxa"/>
            <w:noWrap w:val="0"/>
            <w:vAlign w:val="center"/>
          </w:tcPr>
          <w:p>
            <w:pPr>
              <w:spacing w:line="360" w:lineRule="auto"/>
              <w:jc w:val="center"/>
              <w:rPr>
                <w:rFonts w:hint="eastAsia" w:ascii="宋体" w:hAnsi="宋体" w:eastAsia="宋体" w:cs="宋体"/>
                <w:color w:val="000000"/>
                <w:sz w:val="21"/>
                <w:szCs w:val="21"/>
                <w:highlight w:val="none"/>
              </w:rPr>
            </w:pPr>
          </w:p>
        </w:tc>
        <w:tc>
          <w:tcPr>
            <w:tcW w:w="250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920"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5" w:type="dxa"/>
            <w:noWrap w:val="0"/>
            <w:vAlign w:val="center"/>
          </w:tcPr>
          <w:p>
            <w:pPr>
              <w:spacing w:line="360" w:lineRule="auto"/>
              <w:rPr>
                <w:rFonts w:hint="eastAsia" w:ascii="宋体" w:hAnsi="宋体" w:eastAsia="宋体" w:cs="宋体"/>
                <w:color w:val="000000"/>
                <w:sz w:val="21"/>
                <w:szCs w:val="21"/>
                <w:highlight w:val="none"/>
              </w:rPr>
            </w:pPr>
          </w:p>
        </w:tc>
        <w:tc>
          <w:tcPr>
            <w:tcW w:w="2310" w:type="dxa"/>
            <w:noWrap w:val="0"/>
            <w:vAlign w:val="center"/>
          </w:tcPr>
          <w:p>
            <w:pPr>
              <w:spacing w:line="360" w:lineRule="auto"/>
              <w:rPr>
                <w:rFonts w:hint="eastAsia" w:ascii="宋体" w:hAnsi="宋体" w:eastAsia="宋体" w:cs="宋体"/>
                <w:color w:val="000000"/>
                <w:sz w:val="21"/>
                <w:szCs w:val="21"/>
                <w:highlight w:val="none"/>
              </w:rPr>
            </w:pPr>
          </w:p>
        </w:tc>
        <w:tc>
          <w:tcPr>
            <w:tcW w:w="1680" w:type="dxa"/>
            <w:noWrap w:val="0"/>
            <w:vAlign w:val="center"/>
          </w:tcPr>
          <w:p>
            <w:pPr>
              <w:spacing w:line="360" w:lineRule="auto"/>
              <w:jc w:val="center"/>
              <w:rPr>
                <w:rFonts w:hint="eastAsia" w:ascii="宋体" w:hAnsi="宋体" w:eastAsia="宋体" w:cs="宋体"/>
                <w:color w:val="000000"/>
                <w:sz w:val="21"/>
                <w:szCs w:val="21"/>
                <w:highlight w:val="none"/>
              </w:rPr>
            </w:pPr>
          </w:p>
        </w:tc>
        <w:tc>
          <w:tcPr>
            <w:tcW w:w="250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920" w:type="dxa"/>
            <w:noWrap w:val="0"/>
            <w:vAlign w:val="center"/>
          </w:tcPr>
          <w:p>
            <w:pPr>
              <w:spacing w:line="360" w:lineRule="auto"/>
              <w:jc w:val="center"/>
              <w:rPr>
                <w:rFonts w:hint="eastAsia" w:ascii="宋体" w:hAnsi="宋体" w:eastAsia="宋体" w:cs="宋体"/>
                <w:color w:val="000000"/>
                <w:sz w:val="21"/>
                <w:szCs w:val="21"/>
                <w:highlight w:val="none"/>
              </w:rPr>
            </w:pPr>
          </w:p>
        </w:tc>
      </w:tr>
    </w:tbl>
    <w:p>
      <w:pPr>
        <w:tabs>
          <w:tab w:val="center" w:pos="4410"/>
        </w:tabs>
        <w:spacing w:before="120" w:beforeLines="50" w:line="360" w:lineRule="auto"/>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注：本表后附评标细则要求提供的证明资料。</w:t>
      </w: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eastAsia="zh-CN"/>
        </w:rPr>
        <w:t>投标人</w:t>
      </w:r>
      <w:r>
        <w:rPr>
          <w:rFonts w:hint="eastAsia" w:ascii="宋体" w:hAnsi="宋体" w:eastAsia="宋体" w:cs="宋体"/>
          <w:bCs/>
          <w:color w:val="000000"/>
          <w:sz w:val="21"/>
          <w:szCs w:val="21"/>
          <w:highlight w:val="none"/>
        </w:rPr>
        <w:t>全称（公章）：</w:t>
      </w:r>
    </w:p>
    <w:p>
      <w:pPr>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法定代表人或授权代表（签字或盖章）：                       </w:t>
      </w:r>
    </w:p>
    <w:p>
      <w:pPr>
        <w:pStyle w:val="40"/>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日期：</w:t>
      </w:r>
      <w:r>
        <w:rPr>
          <w:rFonts w:hint="eastAsia" w:ascii="宋体" w:hAnsi="宋体" w:eastAsia="宋体" w:cs="宋体"/>
          <w:color w:val="000000"/>
          <w:sz w:val="21"/>
          <w:szCs w:val="21"/>
          <w:highlight w:val="none"/>
        </w:rPr>
        <w:t xml:space="preserve">    年   月   日</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30"/>
        <w:rFonts w:hint="eastAsia"/>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45</w:t>
                    </w:r>
                    <w:r>
                      <w:fldChar w:fldCharType="end"/>
                    </w:r>
                  </w:p>
                </w:txbxContent>
              </v:textbox>
            </v:shape>
          </w:pict>
        </mc:Fallback>
      </mc:AlternateContent>
    </w:r>
  </w:p>
  <w:p>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1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rPr>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2ECA0"/>
    <w:multiLevelType w:val="singleLevel"/>
    <w:tmpl w:val="C5F2ECA0"/>
    <w:lvl w:ilvl="0" w:tentative="0">
      <w:start w:val="1"/>
      <w:numFmt w:val="decimal"/>
      <w:suff w:val="nothing"/>
      <w:lvlText w:val="%1、"/>
      <w:lvlJc w:val="left"/>
      <w:pPr>
        <w:ind w:left="499" w:firstLine="0"/>
      </w:pPr>
    </w:lvl>
  </w:abstractNum>
  <w:abstractNum w:abstractNumId="1">
    <w:nsid w:val="C9F2F3E9"/>
    <w:multiLevelType w:val="singleLevel"/>
    <w:tmpl w:val="C9F2F3E9"/>
    <w:lvl w:ilvl="0" w:tentative="0">
      <w:start w:val="2"/>
      <w:numFmt w:val="decimal"/>
      <w:suff w:val="nothing"/>
      <w:lvlText w:val="%1、"/>
      <w:lvlJc w:val="left"/>
    </w:lvl>
  </w:abstractNum>
  <w:abstractNum w:abstractNumId="2">
    <w:nsid w:val="CF2E16A4"/>
    <w:multiLevelType w:val="singleLevel"/>
    <w:tmpl w:val="CF2E16A4"/>
    <w:lvl w:ilvl="0" w:tentative="0">
      <w:start w:val="1"/>
      <w:numFmt w:val="decimal"/>
      <w:pStyle w:val="7"/>
      <w:lvlText w:val="%1."/>
      <w:lvlJc w:val="left"/>
      <w:pPr>
        <w:tabs>
          <w:tab w:val="left" w:pos="360"/>
        </w:tabs>
        <w:ind w:left="360" w:hanging="360"/>
      </w:pPr>
    </w:lvl>
  </w:abstractNum>
  <w:abstractNum w:abstractNumId="3">
    <w:nsid w:val="00000002"/>
    <w:multiLevelType w:val="singleLevel"/>
    <w:tmpl w:val="00000002"/>
    <w:lvl w:ilvl="0" w:tentative="0">
      <w:start w:val="1"/>
      <w:numFmt w:val="chineseCounting"/>
      <w:suff w:val="nothing"/>
      <w:lvlText w:val="（%1）"/>
      <w:lvlJc w:val="left"/>
    </w:lvl>
  </w:abstractNum>
  <w:abstractNum w:abstractNumId="4">
    <w:nsid w:val="0000000C"/>
    <w:multiLevelType w:val="singleLevel"/>
    <w:tmpl w:val="0000000C"/>
    <w:lvl w:ilvl="0" w:tentative="0">
      <w:start w:val="1"/>
      <w:numFmt w:val="chineseCounting"/>
      <w:suff w:val="nothing"/>
      <w:lvlText w:val="（%1）"/>
      <w:lvlJc w:val="left"/>
    </w:lvl>
  </w:abstractNum>
  <w:abstractNum w:abstractNumId="5">
    <w:nsid w:val="00000012"/>
    <w:multiLevelType w:val="singleLevel"/>
    <w:tmpl w:val="00000012"/>
    <w:lvl w:ilvl="0" w:tentative="0">
      <w:start w:val="1"/>
      <w:numFmt w:val="chineseCounting"/>
      <w:suff w:val="nothing"/>
      <w:lvlText w:val="%1、"/>
      <w:lvlJc w:val="left"/>
      <w:pPr>
        <w:tabs>
          <w:tab w:val="left" w:pos="0"/>
        </w:tabs>
        <w:ind w:left="0" w:firstLine="0"/>
      </w:pPr>
      <w:rPr>
        <w:rFonts w:hint="eastAsia" w:ascii="宋体" w:hAnsi="宋体" w:eastAsia="宋体" w:cs="宋体"/>
        <w:color w:val="000000"/>
      </w:rPr>
    </w:lvl>
  </w:abstractNum>
  <w:abstractNum w:abstractNumId="6">
    <w:nsid w:val="0000001E"/>
    <w:multiLevelType w:val="singleLevel"/>
    <w:tmpl w:val="0000001E"/>
    <w:lvl w:ilvl="0" w:tentative="0">
      <w:start w:val="1"/>
      <w:numFmt w:val="chineseCounting"/>
      <w:suff w:val="nothing"/>
      <w:lvlText w:val="（%1）"/>
      <w:lvlJc w:val="left"/>
    </w:lvl>
  </w:abstractNum>
  <w:abstractNum w:abstractNumId="7">
    <w:nsid w:val="0000002F"/>
    <w:multiLevelType w:val="singleLevel"/>
    <w:tmpl w:val="0000002F"/>
    <w:lvl w:ilvl="0" w:tentative="0">
      <w:start w:val="1"/>
      <w:numFmt w:val="decimal"/>
      <w:suff w:val="nothing"/>
      <w:lvlText w:val="%1、"/>
      <w:lvlJc w:val="left"/>
      <w:pPr>
        <w:ind w:left="0" w:firstLine="400"/>
      </w:pPr>
      <w:rPr>
        <w:rFonts w:hint="default"/>
      </w:rPr>
    </w:lvl>
  </w:abstractNum>
  <w:abstractNum w:abstractNumId="8">
    <w:nsid w:val="0000003D"/>
    <w:multiLevelType w:val="singleLevel"/>
    <w:tmpl w:val="0000003D"/>
    <w:lvl w:ilvl="0" w:tentative="0">
      <w:start w:val="1"/>
      <w:numFmt w:val="chineseCounting"/>
      <w:suff w:val="nothing"/>
      <w:lvlText w:val="（%1）"/>
      <w:lvlJc w:val="left"/>
    </w:lvl>
  </w:abstractNum>
  <w:abstractNum w:abstractNumId="9">
    <w:nsid w:val="00000046"/>
    <w:multiLevelType w:val="singleLevel"/>
    <w:tmpl w:val="00000046"/>
    <w:lvl w:ilvl="0" w:tentative="0">
      <w:start w:val="1"/>
      <w:numFmt w:val="chineseCounting"/>
      <w:suff w:val="nothing"/>
      <w:lvlText w:val="第%1条 "/>
      <w:lvlJc w:val="left"/>
      <w:pPr>
        <w:ind w:left="0" w:firstLine="420"/>
      </w:pPr>
      <w:rPr>
        <w:rFonts w:hint="eastAsia"/>
      </w:rPr>
    </w:lvl>
  </w:abstractNum>
  <w:abstractNum w:abstractNumId="10">
    <w:nsid w:val="12B2D167"/>
    <w:multiLevelType w:val="singleLevel"/>
    <w:tmpl w:val="12B2D167"/>
    <w:lvl w:ilvl="0" w:tentative="0">
      <w:start w:val="1"/>
      <w:numFmt w:val="decimal"/>
      <w:suff w:val="nothing"/>
      <w:lvlText w:val="（%1）"/>
      <w:lvlJc w:val="left"/>
    </w:lvl>
  </w:abstractNum>
  <w:abstractNum w:abstractNumId="11">
    <w:nsid w:val="396720CC"/>
    <w:multiLevelType w:val="singleLevel"/>
    <w:tmpl w:val="396720CC"/>
    <w:lvl w:ilvl="0" w:tentative="0">
      <w:start w:val="1"/>
      <w:numFmt w:val="decimal"/>
      <w:suff w:val="nothing"/>
      <w:lvlText w:val="%1、"/>
      <w:lvlJc w:val="left"/>
    </w:lvl>
  </w:abstractNum>
  <w:abstractNum w:abstractNumId="12">
    <w:nsid w:val="3BAA06F9"/>
    <w:multiLevelType w:val="singleLevel"/>
    <w:tmpl w:val="3BAA06F9"/>
    <w:lvl w:ilvl="0" w:tentative="0">
      <w:start w:val="4"/>
      <w:numFmt w:val="chineseCounting"/>
      <w:suff w:val="space"/>
      <w:lvlText w:val="第%1部分"/>
      <w:lvlJc w:val="left"/>
      <w:rPr>
        <w:rFonts w:hint="eastAsia"/>
      </w:rPr>
    </w:lvl>
  </w:abstractNum>
  <w:abstractNum w:abstractNumId="13">
    <w:nsid w:val="455883D5"/>
    <w:multiLevelType w:val="singleLevel"/>
    <w:tmpl w:val="455883D5"/>
    <w:lvl w:ilvl="0" w:tentative="0">
      <w:start w:val="1"/>
      <w:numFmt w:val="decimal"/>
      <w:suff w:val="nothing"/>
      <w:lvlText w:val="（%1）"/>
      <w:lvlJc w:val="left"/>
    </w:lvl>
  </w:abstractNum>
  <w:abstractNum w:abstractNumId="14">
    <w:nsid w:val="4F0C25D6"/>
    <w:multiLevelType w:val="singleLevel"/>
    <w:tmpl w:val="4F0C25D6"/>
    <w:lvl w:ilvl="0" w:tentative="0">
      <w:start w:val="1"/>
      <w:numFmt w:val="decimal"/>
      <w:suff w:val="nothing"/>
      <w:lvlText w:val="%1、"/>
      <w:lvlJc w:val="left"/>
      <w:rPr>
        <w:rFonts w:hint="default"/>
        <w:color w:val="auto"/>
      </w:rPr>
    </w:lvl>
  </w:abstractNum>
  <w:abstractNum w:abstractNumId="15">
    <w:nsid w:val="7E94A91B"/>
    <w:multiLevelType w:val="singleLevel"/>
    <w:tmpl w:val="7E94A91B"/>
    <w:lvl w:ilvl="0" w:tentative="0">
      <w:start w:val="4"/>
      <w:numFmt w:val="decimal"/>
      <w:suff w:val="nothing"/>
      <w:lvlText w:val="%1、"/>
      <w:lvlJc w:val="left"/>
    </w:lvl>
  </w:abstractNum>
  <w:num w:numId="1">
    <w:abstractNumId w:val="2"/>
  </w:num>
  <w:num w:numId="2">
    <w:abstractNumId w:val="15"/>
  </w:num>
  <w:num w:numId="3">
    <w:abstractNumId w:val="13"/>
  </w:num>
  <w:num w:numId="4">
    <w:abstractNumId w:val="14"/>
  </w:num>
  <w:num w:numId="5">
    <w:abstractNumId w:val="10"/>
  </w:num>
  <w:num w:numId="6">
    <w:abstractNumId w:val="0"/>
  </w:num>
  <w:num w:numId="7">
    <w:abstractNumId w:val="7"/>
  </w:num>
  <w:num w:numId="8">
    <w:abstractNumId w:val="12"/>
  </w:num>
  <w:num w:numId="9">
    <w:abstractNumId w:val="5"/>
  </w:num>
  <w:num w:numId="10">
    <w:abstractNumId w:val="11"/>
  </w:num>
  <w:num w:numId="11">
    <w:abstractNumId w:val="9"/>
  </w:num>
  <w:num w:numId="12">
    <w:abstractNumId w:val="6"/>
  </w:num>
  <w:num w:numId="13">
    <w:abstractNumId w:val="3"/>
  </w:num>
  <w:num w:numId="14">
    <w:abstractNumId w:val="8"/>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A4"/>
    <w:rsid w:val="002C685A"/>
    <w:rsid w:val="0054140F"/>
    <w:rsid w:val="00742FEA"/>
    <w:rsid w:val="007B464B"/>
    <w:rsid w:val="00872EA4"/>
    <w:rsid w:val="00885B23"/>
    <w:rsid w:val="00BD6E65"/>
    <w:rsid w:val="00C3529E"/>
    <w:rsid w:val="00F05336"/>
    <w:rsid w:val="00F20137"/>
    <w:rsid w:val="01536131"/>
    <w:rsid w:val="01785FBE"/>
    <w:rsid w:val="01826A17"/>
    <w:rsid w:val="020236B3"/>
    <w:rsid w:val="027207D7"/>
    <w:rsid w:val="02904E34"/>
    <w:rsid w:val="02CF6C95"/>
    <w:rsid w:val="02F456F2"/>
    <w:rsid w:val="03084977"/>
    <w:rsid w:val="03101E00"/>
    <w:rsid w:val="032B47D9"/>
    <w:rsid w:val="038014E0"/>
    <w:rsid w:val="039E565E"/>
    <w:rsid w:val="04363AE8"/>
    <w:rsid w:val="044E0E32"/>
    <w:rsid w:val="04620439"/>
    <w:rsid w:val="048D4FB3"/>
    <w:rsid w:val="04B2501E"/>
    <w:rsid w:val="05151950"/>
    <w:rsid w:val="051A4542"/>
    <w:rsid w:val="054B5371"/>
    <w:rsid w:val="05AC4062"/>
    <w:rsid w:val="069D7E4F"/>
    <w:rsid w:val="06A72A7B"/>
    <w:rsid w:val="073E6F3C"/>
    <w:rsid w:val="07443772"/>
    <w:rsid w:val="07893F2F"/>
    <w:rsid w:val="07B0770E"/>
    <w:rsid w:val="07B76250"/>
    <w:rsid w:val="07C37441"/>
    <w:rsid w:val="07C5140B"/>
    <w:rsid w:val="07F01822"/>
    <w:rsid w:val="083F2DE4"/>
    <w:rsid w:val="0858227F"/>
    <w:rsid w:val="08624EAC"/>
    <w:rsid w:val="086B43CF"/>
    <w:rsid w:val="08732C15"/>
    <w:rsid w:val="092A3856"/>
    <w:rsid w:val="09301CED"/>
    <w:rsid w:val="097E5D15"/>
    <w:rsid w:val="09AD2157"/>
    <w:rsid w:val="09D96B96"/>
    <w:rsid w:val="0A36214C"/>
    <w:rsid w:val="0A555A04"/>
    <w:rsid w:val="0A7D5FCD"/>
    <w:rsid w:val="0B626F71"/>
    <w:rsid w:val="0B8952AC"/>
    <w:rsid w:val="0C0A7D34"/>
    <w:rsid w:val="0C394176"/>
    <w:rsid w:val="0C761BC2"/>
    <w:rsid w:val="0C85560D"/>
    <w:rsid w:val="0C8A2C23"/>
    <w:rsid w:val="0CBA3508"/>
    <w:rsid w:val="0D222E5C"/>
    <w:rsid w:val="0D314E4D"/>
    <w:rsid w:val="0D6C0757"/>
    <w:rsid w:val="0DCF4D92"/>
    <w:rsid w:val="0DEB5944"/>
    <w:rsid w:val="0E15651D"/>
    <w:rsid w:val="0E2350DD"/>
    <w:rsid w:val="0E3C619F"/>
    <w:rsid w:val="0E484C0E"/>
    <w:rsid w:val="0E7D72E9"/>
    <w:rsid w:val="0EB421D9"/>
    <w:rsid w:val="0EBF67BF"/>
    <w:rsid w:val="0F054AFB"/>
    <w:rsid w:val="0F1724C5"/>
    <w:rsid w:val="0F3F7243"/>
    <w:rsid w:val="0F4322C6"/>
    <w:rsid w:val="0F74576B"/>
    <w:rsid w:val="0F781459"/>
    <w:rsid w:val="0F864F1F"/>
    <w:rsid w:val="0F890013"/>
    <w:rsid w:val="0FB32013"/>
    <w:rsid w:val="0FB51D65"/>
    <w:rsid w:val="0FEC1560"/>
    <w:rsid w:val="10967B97"/>
    <w:rsid w:val="109A0FBC"/>
    <w:rsid w:val="10AF0EAA"/>
    <w:rsid w:val="118714DF"/>
    <w:rsid w:val="11A62998"/>
    <w:rsid w:val="11AD23A8"/>
    <w:rsid w:val="121A67F7"/>
    <w:rsid w:val="12323B41"/>
    <w:rsid w:val="128B14A3"/>
    <w:rsid w:val="12A86922"/>
    <w:rsid w:val="12EA7AE7"/>
    <w:rsid w:val="130511D3"/>
    <w:rsid w:val="131818FC"/>
    <w:rsid w:val="131F34B6"/>
    <w:rsid w:val="13347445"/>
    <w:rsid w:val="13561AB1"/>
    <w:rsid w:val="137A57A0"/>
    <w:rsid w:val="13BA1693"/>
    <w:rsid w:val="14202299"/>
    <w:rsid w:val="14244083"/>
    <w:rsid w:val="14757D15"/>
    <w:rsid w:val="147E12BF"/>
    <w:rsid w:val="14C45549"/>
    <w:rsid w:val="14CD7B51"/>
    <w:rsid w:val="14EC447B"/>
    <w:rsid w:val="151614F8"/>
    <w:rsid w:val="1537321C"/>
    <w:rsid w:val="15DD78E7"/>
    <w:rsid w:val="161C5620"/>
    <w:rsid w:val="170343EA"/>
    <w:rsid w:val="170B670F"/>
    <w:rsid w:val="170F5D1E"/>
    <w:rsid w:val="17101F77"/>
    <w:rsid w:val="171121AB"/>
    <w:rsid w:val="17A364AE"/>
    <w:rsid w:val="18577CA9"/>
    <w:rsid w:val="18845B81"/>
    <w:rsid w:val="189664AC"/>
    <w:rsid w:val="18C5500F"/>
    <w:rsid w:val="18E11E1D"/>
    <w:rsid w:val="195E5D62"/>
    <w:rsid w:val="196516F5"/>
    <w:rsid w:val="198D5B01"/>
    <w:rsid w:val="19DE010A"/>
    <w:rsid w:val="19EF40C6"/>
    <w:rsid w:val="1A78230D"/>
    <w:rsid w:val="1A977A8A"/>
    <w:rsid w:val="1AC83294"/>
    <w:rsid w:val="1AC96109"/>
    <w:rsid w:val="1ACD2659"/>
    <w:rsid w:val="1B3721C8"/>
    <w:rsid w:val="1B6A3FF7"/>
    <w:rsid w:val="1BD04E5D"/>
    <w:rsid w:val="1BE55780"/>
    <w:rsid w:val="1BEA0FE8"/>
    <w:rsid w:val="1C6A3ED7"/>
    <w:rsid w:val="1CC8578D"/>
    <w:rsid w:val="1CD04682"/>
    <w:rsid w:val="1CF245F9"/>
    <w:rsid w:val="1D4568CB"/>
    <w:rsid w:val="1D784443"/>
    <w:rsid w:val="1D921938"/>
    <w:rsid w:val="1DB42355"/>
    <w:rsid w:val="1DCF09F3"/>
    <w:rsid w:val="1DF60118"/>
    <w:rsid w:val="1E6E4153"/>
    <w:rsid w:val="1EB70EA5"/>
    <w:rsid w:val="1EF503D0"/>
    <w:rsid w:val="1F703EFB"/>
    <w:rsid w:val="1F8A2C4D"/>
    <w:rsid w:val="1FAD2A59"/>
    <w:rsid w:val="200838F8"/>
    <w:rsid w:val="2011123A"/>
    <w:rsid w:val="20142AD8"/>
    <w:rsid w:val="205F7B86"/>
    <w:rsid w:val="209B2C72"/>
    <w:rsid w:val="20A83220"/>
    <w:rsid w:val="20BB73F7"/>
    <w:rsid w:val="20D858B3"/>
    <w:rsid w:val="20FA3A7C"/>
    <w:rsid w:val="210D5071"/>
    <w:rsid w:val="21307981"/>
    <w:rsid w:val="21613AFB"/>
    <w:rsid w:val="216C24A0"/>
    <w:rsid w:val="21717AB6"/>
    <w:rsid w:val="21894E00"/>
    <w:rsid w:val="21907D60"/>
    <w:rsid w:val="21937A2C"/>
    <w:rsid w:val="21B55BF5"/>
    <w:rsid w:val="21BE719F"/>
    <w:rsid w:val="22157360"/>
    <w:rsid w:val="22F02729"/>
    <w:rsid w:val="239D4B92"/>
    <w:rsid w:val="23D305B4"/>
    <w:rsid w:val="24937CC5"/>
    <w:rsid w:val="24FD0A87"/>
    <w:rsid w:val="25023F77"/>
    <w:rsid w:val="25552A53"/>
    <w:rsid w:val="25583467"/>
    <w:rsid w:val="25BB0756"/>
    <w:rsid w:val="261D223B"/>
    <w:rsid w:val="262B2929"/>
    <w:rsid w:val="26795443"/>
    <w:rsid w:val="268362C1"/>
    <w:rsid w:val="268E3B95"/>
    <w:rsid w:val="26F251F8"/>
    <w:rsid w:val="26F7280B"/>
    <w:rsid w:val="272F49D6"/>
    <w:rsid w:val="274B1D55"/>
    <w:rsid w:val="278E3170"/>
    <w:rsid w:val="27994F11"/>
    <w:rsid w:val="28261A89"/>
    <w:rsid w:val="286A598B"/>
    <w:rsid w:val="28CD1A76"/>
    <w:rsid w:val="28FF1352"/>
    <w:rsid w:val="2903193C"/>
    <w:rsid w:val="29042DE6"/>
    <w:rsid w:val="29115E06"/>
    <w:rsid w:val="2919115F"/>
    <w:rsid w:val="291E1980"/>
    <w:rsid w:val="292A2BE4"/>
    <w:rsid w:val="292F39E0"/>
    <w:rsid w:val="293B50CC"/>
    <w:rsid w:val="296138D0"/>
    <w:rsid w:val="29681660"/>
    <w:rsid w:val="29842509"/>
    <w:rsid w:val="2A0B4F4C"/>
    <w:rsid w:val="2A64640A"/>
    <w:rsid w:val="2AD45CD6"/>
    <w:rsid w:val="2B115DCA"/>
    <w:rsid w:val="2BD575BF"/>
    <w:rsid w:val="2C3079D5"/>
    <w:rsid w:val="2C6A73A8"/>
    <w:rsid w:val="2CA64AB8"/>
    <w:rsid w:val="2CAF6062"/>
    <w:rsid w:val="2CDC672B"/>
    <w:rsid w:val="2CED26E7"/>
    <w:rsid w:val="2D200C29"/>
    <w:rsid w:val="2D2A38A7"/>
    <w:rsid w:val="2D320A41"/>
    <w:rsid w:val="2D610A98"/>
    <w:rsid w:val="2D7B4196"/>
    <w:rsid w:val="2D851087"/>
    <w:rsid w:val="2D9D536C"/>
    <w:rsid w:val="2E536EC1"/>
    <w:rsid w:val="2E7876F4"/>
    <w:rsid w:val="2E940C87"/>
    <w:rsid w:val="2EA66BA9"/>
    <w:rsid w:val="2EB060C2"/>
    <w:rsid w:val="2EEA4632"/>
    <w:rsid w:val="2F0957D2"/>
    <w:rsid w:val="2F61116A"/>
    <w:rsid w:val="2FEF283E"/>
    <w:rsid w:val="30330D58"/>
    <w:rsid w:val="306569AA"/>
    <w:rsid w:val="31336B36"/>
    <w:rsid w:val="313C0D16"/>
    <w:rsid w:val="31D16A7B"/>
    <w:rsid w:val="31E76D0B"/>
    <w:rsid w:val="31F6203D"/>
    <w:rsid w:val="325A131A"/>
    <w:rsid w:val="3275418E"/>
    <w:rsid w:val="328B058E"/>
    <w:rsid w:val="32A970B0"/>
    <w:rsid w:val="32CE6B16"/>
    <w:rsid w:val="32D70388"/>
    <w:rsid w:val="32FE047D"/>
    <w:rsid w:val="33092244"/>
    <w:rsid w:val="331020D6"/>
    <w:rsid w:val="33541711"/>
    <w:rsid w:val="33572FB0"/>
    <w:rsid w:val="337E678E"/>
    <w:rsid w:val="33DB48DD"/>
    <w:rsid w:val="33F05651"/>
    <w:rsid w:val="34C6150B"/>
    <w:rsid w:val="34FA4ADF"/>
    <w:rsid w:val="35092088"/>
    <w:rsid w:val="358636D8"/>
    <w:rsid w:val="35A04361"/>
    <w:rsid w:val="35FC5651"/>
    <w:rsid w:val="35FF0B2E"/>
    <w:rsid w:val="35FF7E11"/>
    <w:rsid w:val="36162CAE"/>
    <w:rsid w:val="365E711B"/>
    <w:rsid w:val="36A22794"/>
    <w:rsid w:val="36B81FB7"/>
    <w:rsid w:val="36E508D2"/>
    <w:rsid w:val="36E54E89"/>
    <w:rsid w:val="36EE4D13"/>
    <w:rsid w:val="36FC6348"/>
    <w:rsid w:val="373B6744"/>
    <w:rsid w:val="37CE3D8B"/>
    <w:rsid w:val="37D65083"/>
    <w:rsid w:val="37F963E3"/>
    <w:rsid w:val="383E029A"/>
    <w:rsid w:val="383E4A44"/>
    <w:rsid w:val="384F4255"/>
    <w:rsid w:val="38884CF9"/>
    <w:rsid w:val="38CC4629"/>
    <w:rsid w:val="38FF383F"/>
    <w:rsid w:val="39543E64"/>
    <w:rsid w:val="39665CFB"/>
    <w:rsid w:val="397E7E4B"/>
    <w:rsid w:val="39976DA2"/>
    <w:rsid w:val="3A500759"/>
    <w:rsid w:val="3AC23405"/>
    <w:rsid w:val="3B991F8B"/>
    <w:rsid w:val="3BB80364"/>
    <w:rsid w:val="3C017507"/>
    <w:rsid w:val="3C0D4642"/>
    <w:rsid w:val="3C687FDC"/>
    <w:rsid w:val="3C8A61A4"/>
    <w:rsid w:val="3C8B7826"/>
    <w:rsid w:val="3CDC62D4"/>
    <w:rsid w:val="3D6D1DF8"/>
    <w:rsid w:val="3D803103"/>
    <w:rsid w:val="3D864BBD"/>
    <w:rsid w:val="3D995E33"/>
    <w:rsid w:val="3E23374C"/>
    <w:rsid w:val="3E292C39"/>
    <w:rsid w:val="3E6447D3"/>
    <w:rsid w:val="3E6D3687"/>
    <w:rsid w:val="3EA94304"/>
    <w:rsid w:val="3EB504FF"/>
    <w:rsid w:val="3EB8039C"/>
    <w:rsid w:val="3F870779"/>
    <w:rsid w:val="3FA7706D"/>
    <w:rsid w:val="3FD85478"/>
    <w:rsid w:val="40644F5E"/>
    <w:rsid w:val="407A208B"/>
    <w:rsid w:val="4081341A"/>
    <w:rsid w:val="409143B7"/>
    <w:rsid w:val="4093139F"/>
    <w:rsid w:val="409F1AF2"/>
    <w:rsid w:val="40A24EE0"/>
    <w:rsid w:val="40A435AC"/>
    <w:rsid w:val="41B415CD"/>
    <w:rsid w:val="41B94E35"/>
    <w:rsid w:val="42383FAC"/>
    <w:rsid w:val="42440BA3"/>
    <w:rsid w:val="42A95366"/>
    <w:rsid w:val="42B75819"/>
    <w:rsid w:val="43346E69"/>
    <w:rsid w:val="43421586"/>
    <w:rsid w:val="43E17924"/>
    <w:rsid w:val="43FE4D82"/>
    <w:rsid w:val="4416171A"/>
    <w:rsid w:val="442E38B9"/>
    <w:rsid w:val="44461A7F"/>
    <w:rsid w:val="44A616A1"/>
    <w:rsid w:val="44B252C8"/>
    <w:rsid w:val="44B42F17"/>
    <w:rsid w:val="44CB735A"/>
    <w:rsid w:val="44E93C84"/>
    <w:rsid w:val="45150625"/>
    <w:rsid w:val="45336CAD"/>
    <w:rsid w:val="45CC5137"/>
    <w:rsid w:val="46370002"/>
    <w:rsid w:val="46625A9C"/>
    <w:rsid w:val="46B60B4C"/>
    <w:rsid w:val="47105A02"/>
    <w:rsid w:val="47180B63"/>
    <w:rsid w:val="472B4A78"/>
    <w:rsid w:val="47332F94"/>
    <w:rsid w:val="475E4F3D"/>
    <w:rsid w:val="4760647F"/>
    <w:rsid w:val="47D75782"/>
    <w:rsid w:val="47FB3664"/>
    <w:rsid w:val="48054931"/>
    <w:rsid w:val="48116545"/>
    <w:rsid w:val="4819662E"/>
    <w:rsid w:val="485B27A2"/>
    <w:rsid w:val="489839F7"/>
    <w:rsid w:val="48CC6085"/>
    <w:rsid w:val="49380D36"/>
    <w:rsid w:val="49507E2D"/>
    <w:rsid w:val="49AA39E1"/>
    <w:rsid w:val="49D64EE5"/>
    <w:rsid w:val="4A190B67"/>
    <w:rsid w:val="4A25750C"/>
    <w:rsid w:val="4A4E12D1"/>
    <w:rsid w:val="4B103D18"/>
    <w:rsid w:val="4B3D435B"/>
    <w:rsid w:val="4B92078D"/>
    <w:rsid w:val="4C0B44E0"/>
    <w:rsid w:val="4C115F9A"/>
    <w:rsid w:val="4C251A45"/>
    <w:rsid w:val="4C2757BD"/>
    <w:rsid w:val="4C9170DB"/>
    <w:rsid w:val="4D3F4440"/>
    <w:rsid w:val="4DCF3852"/>
    <w:rsid w:val="4E1F24C4"/>
    <w:rsid w:val="4E2E73EF"/>
    <w:rsid w:val="4E43762E"/>
    <w:rsid w:val="4E565807"/>
    <w:rsid w:val="4F277882"/>
    <w:rsid w:val="4F98252E"/>
    <w:rsid w:val="4F9D5D96"/>
    <w:rsid w:val="4FA62E9D"/>
    <w:rsid w:val="4FBE49C9"/>
    <w:rsid w:val="50125E3D"/>
    <w:rsid w:val="50D852D8"/>
    <w:rsid w:val="50F32112"/>
    <w:rsid w:val="512901C5"/>
    <w:rsid w:val="514C2EEA"/>
    <w:rsid w:val="514E44FB"/>
    <w:rsid w:val="5157107F"/>
    <w:rsid w:val="517925CD"/>
    <w:rsid w:val="51A723FF"/>
    <w:rsid w:val="51EE4687"/>
    <w:rsid w:val="528E4DD6"/>
    <w:rsid w:val="52B61649"/>
    <w:rsid w:val="52CD6993"/>
    <w:rsid w:val="52EF5A62"/>
    <w:rsid w:val="52F43F1F"/>
    <w:rsid w:val="53116DE9"/>
    <w:rsid w:val="534529CD"/>
    <w:rsid w:val="539C0E85"/>
    <w:rsid w:val="54065CB8"/>
    <w:rsid w:val="54725440"/>
    <w:rsid w:val="54E16725"/>
    <w:rsid w:val="556C2493"/>
    <w:rsid w:val="55C37BD9"/>
    <w:rsid w:val="55CC2F32"/>
    <w:rsid w:val="55F83D27"/>
    <w:rsid w:val="56633896"/>
    <w:rsid w:val="566B274A"/>
    <w:rsid w:val="56717635"/>
    <w:rsid w:val="56777341"/>
    <w:rsid w:val="56933A4F"/>
    <w:rsid w:val="56A63783"/>
    <w:rsid w:val="56E878F7"/>
    <w:rsid w:val="56F42740"/>
    <w:rsid w:val="5714071F"/>
    <w:rsid w:val="57284198"/>
    <w:rsid w:val="574B60D8"/>
    <w:rsid w:val="574F7976"/>
    <w:rsid w:val="57DE6F4C"/>
    <w:rsid w:val="582726A1"/>
    <w:rsid w:val="583848AE"/>
    <w:rsid w:val="58A261CC"/>
    <w:rsid w:val="59480B21"/>
    <w:rsid w:val="596F2CB9"/>
    <w:rsid w:val="597550FB"/>
    <w:rsid w:val="599B3347"/>
    <w:rsid w:val="59A23368"/>
    <w:rsid w:val="5A406D7D"/>
    <w:rsid w:val="5ABA5A4E"/>
    <w:rsid w:val="5B0373F5"/>
    <w:rsid w:val="5B170624"/>
    <w:rsid w:val="5B467208"/>
    <w:rsid w:val="5B7B69D6"/>
    <w:rsid w:val="5B8D4F11"/>
    <w:rsid w:val="5C207B33"/>
    <w:rsid w:val="5CBB6429"/>
    <w:rsid w:val="5CDC1AF5"/>
    <w:rsid w:val="5D296EBB"/>
    <w:rsid w:val="5D5F28DD"/>
    <w:rsid w:val="5D830A47"/>
    <w:rsid w:val="5DC92D73"/>
    <w:rsid w:val="5DCB1D21"/>
    <w:rsid w:val="5DFC1EDA"/>
    <w:rsid w:val="5E0C6544"/>
    <w:rsid w:val="5E1100D9"/>
    <w:rsid w:val="5E423B19"/>
    <w:rsid w:val="5E647D08"/>
    <w:rsid w:val="5ED87808"/>
    <w:rsid w:val="5F0E45BB"/>
    <w:rsid w:val="5F1A6ABC"/>
    <w:rsid w:val="5F282732"/>
    <w:rsid w:val="5F571ABE"/>
    <w:rsid w:val="5F903222"/>
    <w:rsid w:val="5FDA395E"/>
    <w:rsid w:val="600734E4"/>
    <w:rsid w:val="604D5455"/>
    <w:rsid w:val="60504C29"/>
    <w:rsid w:val="60CE4002"/>
    <w:rsid w:val="60DC2FAC"/>
    <w:rsid w:val="60E92BEA"/>
    <w:rsid w:val="60F63558"/>
    <w:rsid w:val="612F3DBE"/>
    <w:rsid w:val="613A2528"/>
    <w:rsid w:val="614366A5"/>
    <w:rsid w:val="61AE5CE3"/>
    <w:rsid w:val="61C76C0C"/>
    <w:rsid w:val="61EB473F"/>
    <w:rsid w:val="61FA045C"/>
    <w:rsid w:val="620B4DE2"/>
    <w:rsid w:val="621974FF"/>
    <w:rsid w:val="623474C5"/>
    <w:rsid w:val="62642FDE"/>
    <w:rsid w:val="627604AD"/>
    <w:rsid w:val="62823CFE"/>
    <w:rsid w:val="629D4F29"/>
    <w:rsid w:val="6315416A"/>
    <w:rsid w:val="63626C83"/>
    <w:rsid w:val="63DA0F0F"/>
    <w:rsid w:val="63FE4BFE"/>
    <w:rsid w:val="64572560"/>
    <w:rsid w:val="648275DD"/>
    <w:rsid w:val="660F30F2"/>
    <w:rsid w:val="667411A7"/>
    <w:rsid w:val="66A302FF"/>
    <w:rsid w:val="66B42B0D"/>
    <w:rsid w:val="671B0677"/>
    <w:rsid w:val="672229B1"/>
    <w:rsid w:val="673B7548"/>
    <w:rsid w:val="674E6027"/>
    <w:rsid w:val="67866C51"/>
    <w:rsid w:val="680622D3"/>
    <w:rsid w:val="687D2350"/>
    <w:rsid w:val="68B63CF9"/>
    <w:rsid w:val="68F04F40"/>
    <w:rsid w:val="68FC5484"/>
    <w:rsid w:val="69234ABE"/>
    <w:rsid w:val="699252DE"/>
    <w:rsid w:val="69BD10B7"/>
    <w:rsid w:val="69FE6E5F"/>
    <w:rsid w:val="6A311BBE"/>
    <w:rsid w:val="6A505A87"/>
    <w:rsid w:val="6A9D5E40"/>
    <w:rsid w:val="6AA301FD"/>
    <w:rsid w:val="6AD43D16"/>
    <w:rsid w:val="6AEB57B0"/>
    <w:rsid w:val="6AFC176B"/>
    <w:rsid w:val="6B3453A9"/>
    <w:rsid w:val="6B6A4134"/>
    <w:rsid w:val="6B7B547B"/>
    <w:rsid w:val="6B9E73FF"/>
    <w:rsid w:val="6BB87D88"/>
    <w:rsid w:val="6BC02799"/>
    <w:rsid w:val="6C1A00FB"/>
    <w:rsid w:val="6C5D6B2D"/>
    <w:rsid w:val="6C853A9C"/>
    <w:rsid w:val="6CC91B21"/>
    <w:rsid w:val="6CDB3E4D"/>
    <w:rsid w:val="6D2154B9"/>
    <w:rsid w:val="6E1F7C4B"/>
    <w:rsid w:val="6E446601"/>
    <w:rsid w:val="6E9B4BAD"/>
    <w:rsid w:val="6EAB5982"/>
    <w:rsid w:val="6F187B6B"/>
    <w:rsid w:val="6F196D90"/>
    <w:rsid w:val="6F40431D"/>
    <w:rsid w:val="6FBC4ED7"/>
    <w:rsid w:val="6FEA24DA"/>
    <w:rsid w:val="703135F7"/>
    <w:rsid w:val="7040034C"/>
    <w:rsid w:val="70967F6C"/>
    <w:rsid w:val="70B054D2"/>
    <w:rsid w:val="70D2369A"/>
    <w:rsid w:val="70E93D77"/>
    <w:rsid w:val="70F679C3"/>
    <w:rsid w:val="70FA7D59"/>
    <w:rsid w:val="710E3FA6"/>
    <w:rsid w:val="715440AF"/>
    <w:rsid w:val="71AF78E5"/>
    <w:rsid w:val="71C50B09"/>
    <w:rsid w:val="72072A81"/>
    <w:rsid w:val="720A6C6C"/>
    <w:rsid w:val="72E72D01"/>
    <w:rsid w:val="72EB248F"/>
    <w:rsid w:val="73133AF6"/>
    <w:rsid w:val="732E0456"/>
    <w:rsid w:val="733F6699"/>
    <w:rsid w:val="737F73DD"/>
    <w:rsid w:val="73832A2A"/>
    <w:rsid w:val="73A806E2"/>
    <w:rsid w:val="73CD0149"/>
    <w:rsid w:val="7400792B"/>
    <w:rsid w:val="740D27BD"/>
    <w:rsid w:val="74640AAD"/>
    <w:rsid w:val="74651094"/>
    <w:rsid w:val="74C90910"/>
    <w:rsid w:val="74CC6CB4"/>
    <w:rsid w:val="75387367"/>
    <w:rsid w:val="75524DAA"/>
    <w:rsid w:val="75B97164"/>
    <w:rsid w:val="76071611"/>
    <w:rsid w:val="76982C90"/>
    <w:rsid w:val="76FD0D45"/>
    <w:rsid w:val="771F1C34"/>
    <w:rsid w:val="77471FC0"/>
    <w:rsid w:val="776A25F9"/>
    <w:rsid w:val="77941488"/>
    <w:rsid w:val="77BA4E88"/>
    <w:rsid w:val="77DE0B76"/>
    <w:rsid w:val="783562BD"/>
    <w:rsid w:val="78E8332F"/>
    <w:rsid w:val="794A7131"/>
    <w:rsid w:val="795A247F"/>
    <w:rsid w:val="79752E15"/>
    <w:rsid w:val="797F3C93"/>
    <w:rsid w:val="798476A8"/>
    <w:rsid w:val="798B2467"/>
    <w:rsid w:val="79ED6E4F"/>
    <w:rsid w:val="79F3220B"/>
    <w:rsid w:val="7AC2652D"/>
    <w:rsid w:val="7AFC36D7"/>
    <w:rsid w:val="7B741FCE"/>
    <w:rsid w:val="7BB36FC1"/>
    <w:rsid w:val="7BF22E42"/>
    <w:rsid w:val="7C376AA7"/>
    <w:rsid w:val="7C482A62"/>
    <w:rsid w:val="7C605FFE"/>
    <w:rsid w:val="7C6A1E79"/>
    <w:rsid w:val="7C6A2D7A"/>
    <w:rsid w:val="7C6C44D7"/>
    <w:rsid w:val="7C7575D0"/>
    <w:rsid w:val="7C806458"/>
    <w:rsid w:val="7CFC55FB"/>
    <w:rsid w:val="7D284642"/>
    <w:rsid w:val="7D40215A"/>
    <w:rsid w:val="7D7635FF"/>
    <w:rsid w:val="7D807FDA"/>
    <w:rsid w:val="7DEE7639"/>
    <w:rsid w:val="7E2F591F"/>
    <w:rsid w:val="7E3A1D07"/>
    <w:rsid w:val="7EA146AC"/>
    <w:rsid w:val="7ECB7BCE"/>
    <w:rsid w:val="7EDC3936"/>
    <w:rsid w:val="7EFE6BF3"/>
    <w:rsid w:val="7F201A75"/>
    <w:rsid w:val="7F2E4E2D"/>
    <w:rsid w:val="7F4B7AEE"/>
    <w:rsid w:val="7F527BDD"/>
    <w:rsid w:val="7F87601A"/>
    <w:rsid w:val="7F9D1317"/>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name="Hyperlink"/>
    <w:lsdException w:qFormat="1" w:uiPriority="0" w:name="FollowedHyperlink"/>
    <w:lsdException w:qFormat="1" w:unhideWhenUsed="0" w:uiPriority="22" w:semiHidden="0" w:name="Strong"/>
    <w:lsdException w:qFormat="1" w:unhideWhenUsed="0" w:uiPriority="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qFormat="1" w:uiPriority="0" w:name="HTML Cite"/>
    <w:lsdException w:qFormat="1" w:uiPriority="0" w:name="HTML Code"/>
    <w:lsdException w:qFormat="1" w:uiPriority="0" w:name="HTML Definition"/>
    <w:lsdException w:qFormat="1" w:uiPriority="0" w:name="HTML Keyboard"/>
    <w:lsdException w:uiPriority="99" w:name="HTML Preformatted"/>
    <w:lsdException w:qFormat="1" w:uiPriority="0" w:name="HTML Sample"/>
    <w:lsdException w:uiPriority="99" w:name="HTML Typewriter"/>
    <w:lsdException w:qFormat="1" w:uiPriority="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qFormat/>
    <w:uiPriority w:val="0"/>
    <w:pPr>
      <w:keepNext/>
      <w:ind w:firstLine="425"/>
      <w:outlineLvl w:val="0"/>
    </w:pPr>
    <w:rPr>
      <w:b/>
      <w:bCs/>
      <w:i/>
      <w:iCs/>
      <w:sz w:val="52"/>
      <w:szCs w:val="20"/>
    </w:rPr>
  </w:style>
  <w:style w:type="paragraph" w:styleId="3">
    <w:name w:val="heading 2"/>
    <w:basedOn w:val="1"/>
    <w:next w:val="1"/>
    <w:link w:val="45"/>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qFormat/>
    <w:uiPriority w:val="0"/>
    <w:pPr>
      <w:keepNext/>
      <w:keepLines/>
      <w:tabs>
        <w:tab w:val="left" w:pos="0"/>
        <w:tab w:val="left" w:pos="567"/>
        <w:tab w:val="left" w:pos="900"/>
      </w:tabs>
      <w:spacing w:line="360" w:lineRule="auto"/>
      <w:outlineLvl w:val="2"/>
    </w:pPr>
    <w:rPr>
      <w:rFonts w:eastAsia="仿宋"/>
      <w:b/>
      <w:bCs/>
      <w:sz w:val="28"/>
      <w:szCs w:val="21"/>
    </w:rPr>
  </w:style>
  <w:style w:type="paragraph" w:styleId="5">
    <w:name w:val="heading 4"/>
    <w:basedOn w:val="1"/>
    <w:next w:val="6"/>
    <w:link w:val="46"/>
    <w:semiHidden/>
    <w:unhideWhenUsed/>
    <w:qFormat/>
    <w:uiPriority w:val="0"/>
    <w:pPr>
      <w:keepNext/>
      <w:keepLines/>
      <w:spacing w:line="360" w:lineRule="auto"/>
      <w:outlineLvl w:val="3"/>
    </w:pPr>
    <w:rPr>
      <w:rFonts w:ascii="Arial" w:hAnsi="Arial"/>
      <w:b/>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0"/>
    <w:pPr>
      <w:ind w:firstLine="420"/>
    </w:pPr>
    <w:rPr>
      <w:szCs w:val="20"/>
    </w:rPr>
  </w:style>
  <w:style w:type="paragraph" w:styleId="7">
    <w:name w:val="List Number"/>
    <w:basedOn w:val="1"/>
    <w:semiHidden/>
    <w:unhideWhenUsed/>
    <w:qFormat/>
    <w:uiPriority w:val="99"/>
    <w:pPr>
      <w:numPr>
        <w:ilvl w:val="0"/>
        <w:numId w:val="1"/>
      </w:numPr>
    </w:p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link w:val="49"/>
    <w:semiHidden/>
    <w:unhideWhenUsed/>
    <w:qFormat/>
    <w:uiPriority w:val="0"/>
    <w:pPr>
      <w:jc w:val="left"/>
    </w:pPr>
  </w:style>
  <w:style w:type="paragraph" w:styleId="10">
    <w:name w:val="Body Text"/>
    <w:basedOn w:val="1"/>
    <w:next w:val="11"/>
    <w:link w:val="51"/>
    <w:semiHidden/>
    <w:unhideWhenUsed/>
    <w:qFormat/>
    <w:uiPriority w:val="0"/>
    <w:pPr>
      <w:spacing w:after="120"/>
    </w:pPr>
    <w:rPr>
      <w:sz w:val="28"/>
    </w:rPr>
  </w:style>
  <w:style w:type="paragraph" w:customStyle="1" w:styleId="1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
    <w:link w:val="52"/>
    <w:semiHidden/>
    <w:unhideWhenUsed/>
    <w:qFormat/>
    <w:uiPriority w:val="0"/>
    <w:pPr>
      <w:spacing w:line="200" w:lineRule="exact"/>
      <w:ind w:firstLine="301"/>
    </w:pPr>
    <w:rPr>
      <w:rFonts w:ascii="宋体" w:hAnsi="Courier New"/>
      <w:spacing w:val="-4"/>
      <w:sz w:val="18"/>
      <w:szCs w:val="20"/>
    </w:rPr>
  </w:style>
  <w:style w:type="paragraph" w:styleId="13">
    <w:name w:val="Block Text"/>
    <w:basedOn w:val="1"/>
    <w:unhideWhenUsed/>
    <w:qFormat/>
    <w:uiPriority w:val="99"/>
    <w:pPr>
      <w:spacing w:after="120"/>
      <w:ind w:left="1440" w:leftChars="700" w:right="1440" w:rightChars="700"/>
    </w:pPr>
    <w:rPr>
      <w:szCs w:val="21"/>
    </w:rPr>
  </w:style>
  <w:style w:type="paragraph" w:styleId="14">
    <w:name w:val="Plain Text"/>
    <w:basedOn w:val="1"/>
    <w:link w:val="47"/>
    <w:semiHidden/>
    <w:unhideWhenUsed/>
    <w:qFormat/>
    <w:uiPriority w:val="0"/>
    <w:rPr>
      <w:rFonts w:hAnsi="Courier New" w:cs="Courier New" w:asciiTheme="minorEastAsia" w:eastAsiaTheme="minorEastAsia"/>
    </w:rPr>
  </w:style>
  <w:style w:type="paragraph" w:styleId="15">
    <w:name w:val="Body Text Indent 2"/>
    <w:basedOn w:val="1"/>
    <w:qFormat/>
    <w:uiPriority w:val="0"/>
    <w:pPr>
      <w:snapToGrid w:val="0"/>
      <w:ind w:firstLine="542" w:firstLineChars="225"/>
    </w:pPr>
    <w:rPr>
      <w:rFonts w:ascii="仿宋_GB2312" w:hAnsi="宋体"/>
      <w:b/>
      <w:bCs/>
      <w:color w:val="000000"/>
      <w:sz w:val="24"/>
    </w:rPr>
  </w:style>
  <w:style w:type="paragraph" w:styleId="16">
    <w:name w:val="footer"/>
    <w:basedOn w:val="1"/>
    <w:link w:val="43"/>
    <w:unhideWhenUsed/>
    <w:qFormat/>
    <w:uiPriority w:val="99"/>
    <w:pPr>
      <w:tabs>
        <w:tab w:val="center" w:pos="4153"/>
        <w:tab w:val="right" w:pos="8306"/>
      </w:tabs>
      <w:snapToGrid w:val="0"/>
      <w:jc w:val="left"/>
    </w:pPr>
    <w:rPr>
      <w:sz w:val="18"/>
      <w:szCs w:val="18"/>
    </w:rPr>
  </w:style>
  <w:style w:type="paragraph" w:styleId="17">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pPr>
      <w:keepNext/>
      <w:keepLines/>
      <w:tabs>
        <w:tab w:val="right" w:leader="dot" w:pos="9240"/>
      </w:tabs>
      <w:spacing w:line="360" w:lineRule="auto"/>
    </w:pPr>
    <w:rPr>
      <w:rFonts w:eastAsia="PMingLiU"/>
      <w:sz w:val="28"/>
      <w:szCs w:val="28"/>
      <w:lang w:eastAsia="zh-TW"/>
    </w:rPr>
  </w:style>
  <w:style w:type="paragraph" w:styleId="19">
    <w:name w:val="Subtitle"/>
    <w:basedOn w:val="1"/>
    <w:next w:val="1"/>
    <w:link w:val="53"/>
    <w:qFormat/>
    <w:uiPriority w:val="0"/>
    <w:pPr>
      <w:pageBreakBefore/>
      <w:spacing w:before="240" w:after="60" w:line="312" w:lineRule="auto"/>
      <w:jc w:val="center"/>
      <w:outlineLvl w:val="0"/>
    </w:pPr>
    <w:rPr>
      <w:rFonts w:ascii="Cambria" w:hAnsi="Cambria"/>
      <w:b/>
      <w:bCs/>
      <w:kern w:val="28"/>
      <w:sz w:val="32"/>
      <w:szCs w:val="32"/>
    </w:rPr>
  </w:style>
  <w:style w:type="paragraph" w:styleId="20">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1">
    <w:name w:val="toc 2"/>
    <w:basedOn w:val="1"/>
    <w:next w:val="1"/>
    <w:semiHidden/>
    <w:unhideWhenUsed/>
    <w:qFormat/>
    <w:uiPriority w:val="39"/>
    <w:pPr>
      <w:tabs>
        <w:tab w:val="right" w:leader="middleDot" w:pos="8789"/>
      </w:tabs>
      <w:spacing w:after="60"/>
      <w:ind w:left="420" w:leftChars="200"/>
    </w:pPr>
  </w:style>
  <w:style w:type="paragraph" w:styleId="22">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23">
    <w:name w:val="Normal (Web)"/>
    <w:basedOn w:val="1"/>
    <w:semiHidden/>
    <w:unhideWhenUsed/>
    <w:qFormat/>
    <w:uiPriority w:val="0"/>
    <w:pPr>
      <w:spacing w:before="100" w:beforeAutospacing="1" w:after="100" w:afterAutospacing="1"/>
      <w:jc w:val="left"/>
    </w:pPr>
    <w:rPr>
      <w:kern w:val="0"/>
      <w:sz w:val="24"/>
    </w:rPr>
  </w:style>
  <w:style w:type="paragraph" w:styleId="24">
    <w:name w:val="Title"/>
    <w:basedOn w:val="1"/>
    <w:next w:val="1"/>
    <w:link w:val="50"/>
    <w:qFormat/>
    <w:uiPriority w:val="0"/>
    <w:pPr>
      <w:spacing w:before="240" w:after="60"/>
      <w:jc w:val="center"/>
      <w:outlineLvl w:val="0"/>
    </w:pPr>
    <w:rPr>
      <w:rFonts w:ascii="Cambria" w:hAnsi="Cambria"/>
      <w:b/>
      <w:bCs/>
      <w:sz w:val="32"/>
      <w:szCs w:val="32"/>
    </w:rPr>
  </w:style>
  <w:style w:type="paragraph" w:styleId="25">
    <w:name w:val="Body Text First Indent"/>
    <w:basedOn w:val="10"/>
    <w:qFormat/>
    <w:uiPriority w:val="0"/>
    <w:pPr>
      <w:autoSpaceDE w:val="0"/>
      <w:autoSpaceDN w:val="0"/>
      <w:adjustRightInd w:val="0"/>
      <w:spacing w:after="0"/>
      <w:jc w:val="left"/>
    </w:pPr>
    <w:rPr>
      <w:rFonts w:ascii="Times New Roman" w:hAnsi="Times New Roman" w:eastAsia="宋体" w:cs="Times New Roman"/>
      <w:kern w:val="0"/>
      <w:szCs w:val="20"/>
    </w:rPr>
  </w:style>
  <w:style w:type="paragraph" w:styleId="26">
    <w:name w:val="Body Text First Indent 2"/>
    <w:basedOn w:val="12"/>
    <w:link w:val="54"/>
    <w:semiHidden/>
    <w:unhideWhenUsed/>
    <w:qFormat/>
    <w:uiPriority w:val="0"/>
    <w:pPr>
      <w:ind w:firstLine="420" w:firstLineChars="200"/>
    </w:pPr>
  </w:style>
  <w:style w:type="table" w:styleId="28">
    <w:name w:val="Table Grid"/>
    <w:basedOn w:val="2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semiHidden/>
    <w:unhideWhenUsed/>
    <w:qFormat/>
    <w:uiPriority w:val="0"/>
    <w:rPr>
      <w:color w:val="333333"/>
      <w:u w:val="none"/>
    </w:rPr>
  </w:style>
  <w:style w:type="character" w:styleId="32">
    <w:name w:val="Emphasis"/>
    <w:qFormat/>
    <w:uiPriority w:val="0"/>
  </w:style>
  <w:style w:type="character" w:styleId="33">
    <w:name w:val="HTML Definition"/>
    <w:semiHidden/>
    <w:unhideWhenUsed/>
    <w:qFormat/>
    <w:uiPriority w:val="0"/>
  </w:style>
  <w:style w:type="character" w:styleId="34">
    <w:name w:val="HTML Variable"/>
    <w:semiHidden/>
    <w:unhideWhenUsed/>
    <w:qFormat/>
    <w:uiPriority w:val="0"/>
  </w:style>
  <w:style w:type="character" w:styleId="35">
    <w:name w:val="Hyperlink"/>
    <w:semiHidden/>
    <w:unhideWhenUsed/>
    <w:qFormat/>
    <w:uiPriority w:val="99"/>
    <w:rPr>
      <w:color w:val="333333"/>
      <w:u w:val="none"/>
    </w:rPr>
  </w:style>
  <w:style w:type="character" w:styleId="36">
    <w:name w:val="HTML Code"/>
    <w:semiHidden/>
    <w:unhideWhenUsed/>
    <w:qFormat/>
    <w:uiPriority w:val="0"/>
    <w:rPr>
      <w:rFonts w:hint="default" w:ascii="Times New Roman" w:hAnsi="Times New Roman" w:eastAsia="Times New Roman" w:cs="Times New Roman"/>
      <w:sz w:val="21"/>
      <w:szCs w:val="21"/>
    </w:rPr>
  </w:style>
  <w:style w:type="character" w:styleId="37">
    <w:name w:val="HTML Cite"/>
    <w:semiHidden/>
    <w:unhideWhenUsed/>
    <w:qFormat/>
    <w:uiPriority w:val="0"/>
  </w:style>
  <w:style w:type="character" w:styleId="38">
    <w:name w:val="HTML Keyboard"/>
    <w:semiHidden/>
    <w:unhideWhenUsed/>
    <w:qFormat/>
    <w:uiPriority w:val="0"/>
    <w:rPr>
      <w:rFonts w:hint="default" w:ascii="Times New Roman" w:hAnsi="Times New Roman" w:eastAsia="Times New Roman" w:cs="Times New Roman"/>
      <w:sz w:val="21"/>
      <w:szCs w:val="21"/>
    </w:rPr>
  </w:style>
  <w:style w:type="character" w:styleId="39">
    <w:name w:val="HTML Sample"/>
    <w:semiHidden/>
    <w:unhideWhenUsed/>
    <w:qFormat/>
    <w:uiPriority w:val="0"/>
    <w:rPr>
      <w:rFonts w:hint="default" w:ascii="Times New Roman" w:hAnsi="Times New Roman" w:eastAsia="Times New Roman" w:cs="Times New Roman"/>
      <w:sz w:val="21"/>
      <w:szCs w:val="21"/>
    </w:rPr>
  </w:style>
  <w:style w:type="paragraph" w:styleId="40">
    <w:name w:val="List Paragraph"/>
    <w:basedOn w:val="1"/>
    <w:qFormat/>
    <w:uiPriority w:val="34"/>
    <w:pPr>
      <w:ind w:firstLine="420" w:firstLineChars="200"/>
    </w:pPr>
  </w:style>
  <w:style w:type="paragraph" w:customStyle="1" w:styleId="41">
    <w:name w:val="表格文字"/>
    <w:basedOn w:val="1"/>
    <w:next w:val="10"/>
    <w:qFormat/>
    <w:uiPriority w:val="0"/>
    <w:pPr>
      <w:adjustRightInd w:val="0"/>
      <w:spacing w:line="420" w:lineRule="atLeast"/>
      <w:jc w:val="left"/>
    </w:pPr>
    <w:rPr>
      <w:kern w:val="0"/>
    </w:rPr>
  </w:style>
  <w:style w:type="character" w:customStyle="1" w:styleId="42">
    <w:name w:val="页眉 字符"/>
    <w:basedOn w:val="29"/>
    <w:link w:val="17"/>
    <w:qFormat/>
    <w:uiPriority w:val="0"/>
    <w:rPr>
      <w:sz w:val="18"/>
      <w:szCs w:val="18"/>
    </w:rPr>
  </w:style>
  <w:style w:type="character" w:customStyle="1" w:styleId="43">
    <w:name w:val="页脚 字符"/>
    <w:basedOn w:val="29"/>
    <w:link w:val="16"/>
    <w:qFormat/>
    <w:uiPriority w:val="99"/>
    <w:rPr>
      <w:sz w:val="18"/>
      <w:szCs w:val="18"/>
    </w:rPr>
  </w:style>
  <w:style w:type="character" w:customStyle="1" w:styleId="44">
    <w:name w:val="标题 1 字符"/>
    <w:basedOn w:val="29"/>
    <w:link w:val="2"/>
    <w:qFormat/>
    <w:uiPriority w:val="0"/>
    <w:rPr>
      <w:rFonts w:ascii="Calibri" w:hAnsi="Calibri" w:eastAsia="宋体" w:cs="Times New Roman"/>
      <w:b/>
      <w:bCs/>
      <w:i/>
      <w:iCs/>
      <w:sz w:val="52"/>
      <w:szCs w:val="20"/>
    </w:rPr>
  </w:style>
  <w:style w:type="character" w:customStyle="1" w:styleId="45">
    <w:name w:val="标题 2 字符"/>
    <w:basedOn w:val="29"/>
    <w:link w:val="3"/>
    <w:semiHidden/>
    <w:qFormat/>
    <w:uiPriority w:val="0"/>
    <w:rPr>
      <w:rFonts w:ascii="Arial" w:hAnsi="Arial" w:eastAsia="黑体" w:cs="Times New Roman"/>
      <w:b/>
      <w:bCs/>
      <w:sz w:val="32"/>
      <w:szCs w:val="32"/>
    </w:rPr>
  </w:style>
  <w:style w:type="character" w:customStyle="1" w:styleId="46">
    <w:name w:val="标题 4 字符"/>
    <w:basedOn w:val="29"/>
    <w:link w:val="5"/>
    <w:semiHidden/>
    <w:qFormat/>
    <w:uiPriority w:val="0"/>
    <w:rPr>
      <w:rFonts w:ascii="Arial" w:hAnsi="Arial" w:eastAsia="宋体" w:cs="Times New Roman"/>
      <w:b/>
      <w:szCs w:val="24"/>
    </w:rPr>
  </w:style>
  <w:style w:type="character" w:customStyle="1" w:styleId="47">
    <w:name w:val="纯文本 字符"/>
    <w:basedOn w:val="29"/>
    <w:link w:val="14"/>
    <w:semiHidden/>
    <w:qFormat/>
    <w:uiPriority w:val="0"/>
    <w:rPr>
      <w:rFonts w:hAnsi="Courier New" w:cs="Courier New" w:asciiTheme="minorEastAsia"/>
      <w:szCs w:val="24"/>
    </w:rPr>
  </w:style>
  <w:style w:type="paragraph" w:customStyle="1" w:styleId="48">
    <w:name w:val="msonormal"/>
    <w:basedOn w:val="1"/>
    <w:qFormat/>
    <w:uiPriority w:val="0"/>
    <w:pPr>
      <w:spacing w:before="100" w:beforeAutospacing="1" w:after="100" w:afterAutospacing="1"/>
      <w:jc w:val="left"/>
    </w:pPr>
    <w:rPr>
      <w:kern w:val="0"/>
      <w:sz w:val="24"/>
    </w:rPr>
  </w:style>
  <w:style w:type="character" w:customStyle="1" w:styleId="49">
    <w:name w:val="批注文字 字符"/>
    <w:basedOn w:val="29"/>
    <w:link w:val="9"/>
    <w:semiHidden/>
    <w:qFormat/>
    <w:uiPriority w:val="0"/>
    <w:rPr>
      <w:rFonts w:ascii="Calibri" w:hAnsi="Calibri" w:eastAsia="宋体" w:cs="Times New Roman"/>
      <w:szCs w:val="24"/>
    </w:rPr>
  </w:style>
  <w:style w:type="character" w:customStyle="1" w:styleId="50">
    <w:name w:val="标题 字符"/>
    <w:basedOn w:val="29"/>
    <w:link w:val="24"/>
    <w:qFormat/>
    <w:uiPriority w:val="0"/>
    <w:rPr>
      <w:rFonts w:ascii="Cambria" w:hAnsi="Cambria" w:eastAsia="宋体" w:cs="Times New Roman"/>
      <w:b/>
      <w:bCs/>
      <w:sz w:val="32"/>
      <w:szCs w:val="32"/>
    </w:rPr>
  </w:style>
  <w:style w:type="character" w:customStyle="1" w:styleId="51">
    <w:name w:val="正文文本 字符"/>
    <w:basedOn w:val="29"/>
    <w:link w:val="10"/>
    <w:semiHidden/>
    <w:qFormat/>
    <w:uiPriority w:val="0"/>
    <w:rPr>
      <w:rFonts w:ascii="Calibri" w:hAnsi="Calibri" w:eastAsia="宋体" w:cs="Times New Roman"/>
      <w:sz w:val="28"/>
      <w:szCs w:val="24"/>
    </w:rPr>
  </w:style>
  <w:style w:type="character" w:customStyle="1" w:styleId="52">
    <w:name w:val="正文文本缩进 字符"/>
    <w:basedOn w:val="29"/>
    <w:link w:val="12"/>
    <w:semiHidden/>
    <w:qFormat/>
    <w:uiPriority w:val="0"/>
    <w:rPr>
      <w:rFonts w:ascii="宋体" w:hAnsi="Courier New" w:eastAsia="宋体" w:cs="Times New Roman"/>
      <w:spacing w:val="-4"/>
      <w:sz w:val="18"/>
      <w:szCs w:val="20"/>
    </w:rPr>
  </w:style>
  <w:style w:type="character" w:customStyle="1" w:styleId="53">
    <w:name w:val="副标题 字符"/>
    <w:basedOn w:val="29"/>
    <w:link w:val="19"/>
    <w:qFormat/>
    <w:uiPriority w:val="0"/>
    <w:rPr>
      <w:rFonts w:ascii="Cambria" w:hAnsi="Cambria" w:eastAsia="宋体" w:cs="Times New Roman"/>
      <w:b/>
      <w:bCs/>
      <w:kern w:val="28"/>
      <w:sz w:val="32"/>
      <w:szCs w:val="32"/>
    </w:rPr>
  </w:style>
  <w:style w:type="character" w:customStyle="1" w:styleId="54">
    <w:name w:val="正文文本首行缩进 2 字符"/>
    <w:basedOn w:val="52"/>
    <w:link w:val="26"/>
    <w:semiHidden/>
    <w:qFormat/>
    <w:uiPriority w:val="0"/>
    <w:rPr>
      <w:rFonts w:ascii="宋体" w:hAnsi="Courier New" w:eastAsia="宋体" w:cs="Times New Roman"/>
      <w:spacing w:val="-4"/>
      <w:sz w:val="18"/>
      <w:szCs w:val="20"/>
    </w:rPr>
  </w:style>
  <w:style w:type="paragraph" w:customStyle="1" w:styleId="55">
    <w:name w:val="Header or footer|2"/>
    <w:basedOn w:val="1"/>
    <w:qFormat/>
    <w:uiPriority w:val="0"/>
    <w:rPr>
      <w:sz w:val="20"/>
      <w:szCs w:val="20"/>
      <w:lang w:val="zh-TW" w:eastAsia="zh-TW" w:bidi="zh-TW"/>
    </w:rPr>
  </w:style>
  <w:style w:type="paragraph" w:customStyle="1" w:styleId="56">
    <w:name w:val="二级标题"/>
    <w:basedOn w:val="14"/>
    <w:qFormat/>
    <w:uiPriority w:val="0"/>
    <w:pPr>
      <w:snapToGrid w:val="0"/>
      <w:spacing w:beforeLines="50"/>
      <w:ind w:firstLine="422"/>
      <w:outlineLvl w:val="1"/>
    </w:pPr>
    <w:rPr>
      <w:rFonts w:ascii="宋体" w:hAnsi="宋体" w:eastAsia="宋体" w:cs="Times New Roman"/>
      <w:b/>
      <w:szCs w:val="21"/>
    </w:rPr>
  </w:style>
  <w:style w:type="paragraph" w:customStyle="1" w:styleId="57">
    <w:name w:val="正文1"/>
    <w:basedOn w:val="1"/>
    <w:qFormat/>
    <w:uiPriority w:val="0"/>
    <w:pPr>
      <w:snapToGrid w:val="0"/>
      <w:spacing w:line="360" w:lineRule="auto"/>
      <w:ind w:firstLine="420"/>
      <w:jc w:val="left"/>
    </w:pPr>
    <w:rPr>
      <w:rFonts w:ascii="宋体" w:hAnsi="宋体"/>
      <w:color w:val="000000"/>
      <w:szCs w:val="21"/>
    </w:rPr>
  </w:style>
  <w:style w:type="paragraph" w:customStyle="1" w:styleId="58">
    <w:name w:val="三级标题"/>
    <w:basedOn w:val="1"/>
    <w:qFormat/>
    <w:uiPriority w:val="0"/>
    <w:pPr>
      <w:snapToGrid w:val="0"/>
      <w:spacing w:beforeLines="50"/>
      <w:jc w:val="left"/>
      <w:outlineLvl w:val="2"/>
    </w:pPr>
    <w:rPr>
      <w:rFonts w:ascii="宋体" w:hAnsi="宋体"/>
      <w:b/>
      <w:color w:val="000000"/>
      <w:szCs w:val="21"/>
    </w:rPr>
  </w:style>
  <w:style w:type="paragraph" w:customStyle="1" w:styleId="59">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60">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1">
    <w:name w:val="Char"/>
    <w:basedOn w:val="1"/>
    <w:qFormat/>
    <w:uiPriority w:val="0"/>
    <w:rPr>
      <w:szCs w:val="22"/>
    </w:rPr>
  </w:style>
  <w:style w:type="paragraph" w:customStyle="1" w:styleId="62">
    <w:name w:val="样式3"/>
    <w:basedOn w:val="14"/>
    <w:next w:val="1"/>
    <w:qFormat/>
    <w:uiPriority w:val="0"/>
    <w:pPr>
      <w:tabs>
        <w:tab w:val="left" w:pos="709"/>
      </w:tabs>
      <w:spacing w:beforeLines="50" w:afterLines="50"/>
      <w:ind w:left="709" w:hanging="709"/>
    </w:pPr>
    <w:rPr>
      <w:rFonts w:ascii="Tahoma" w:hAnsi="Tahoma" w:eastAsia="宋体" w:cs="Times New Roman"/>
      <w:sz w:val="28"/>
    </w:rPr>
  </w:style>
  <w:style w:type="paragraph" w:customStyle="1" w:styleId="63">
    <w:name w:val="TOC 标题2"/>
    <w:basedOn w:val="2"/>
    <w:next w:val="1"/>
    <w:qFormat/>
    <w:uiPriority w:val="39"/>
    <w:pPr>
      <w:keepLines/>
      <w:widowControl/>
      <w:spacing w:before="240" w:line="256" w:lineRule="auto"/>
      <w:ind w:firstLine="0"/>
      <w:jc w:val="left"/>
      <w:outlineLvl w:val="9"/>
    </w:pPr>
    <w:rPr>
      <w:rFonts w:ascii="Calibri Light" w:hAnsi="Calibri Light"/>
      <w:b w:val="0"/>
      <w:bCs w:val="0"/>
      <w:i w:val="0"/>
      <w:iCs w:val="0"/>
      <w:color w:val="2E75B5"/>
      <w:kern w:val="0"/>
      <w:sz w:val="32"/>
      <w:szCs w:val="32"/>
    </w:rPr>
  </w:style>
  <w:style w:type="paragraph" w:customStyle="1" w:styleId="64">
    <w:name w:val="Other|1"/>
    <w:basedOn w:val="1"/>
    <w:qFormat/>
    <w:uiPriority w:val="0"/>
    <w:pPr>
      <w:spacing w:line="480" w:lineRule="auto"/>
      <w:ind w:firstLine="400"/>
    </w:pPr>
    <w:rPr>
      <w:rFonts w:ascii="宋体" w:hAnsi="宋体" w:cs="宋体"/>
      <w:sz w:val="26"/>
      <w:szCs w:val="26"/>
      <w:lang w:val="zh-TW" w:eastAsia="zh-TW" w:bidi="zh-TW"/>
    </w:rPr>
  </w:style>
  <w:style w:type="paragraph" w:customStyle="1" w:styleId="65">
    <w:name w:val="5号20磅首行2"/>
    <w:basedOn w:val="1"/>
    <w:qFormat/>
    <w:uiPriority w:val="0"/>
    <w:pPr>
      <w:spacing w:line="400" w:lineRule="exact"/>
      <w:ind w:firstLine="420"/>
    </w:pPr>
    <w:rPr>
      <w:rFonts w:ascii="宋体" w:hAnsi="宋体"/>
      <w:szCs w:val="21"/>
    </w:rPr>
  </w:style>
  <w:style w:type="paragraph" w:customStyle="1" w:styleId="6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7">
    <w:name w:val="lemmawgt-lemmatitle-title"/>
    <w:basedOn w:val="1"/>
    <w:qFormat/>
    <w:uiPriority w:val="0"/>
    <w:pPr>
      <w:spacing w:after="75" w:line="585" w:lineRule="atLeast"/>
      <w:jc w:val="left"/>
    </w:pPr>
    <w:rPr>
      <w:kern w:val="0"/>
    </w:rPr>
  </w:style>
  <w:style w:type="paragraph" w:customStyle="1" w:styleId="68">
    <w:name w:val="Table Paragraph"/>
    <w:basedOn w:val="1"/>
    <w:qFormat/>
    <w:uiPriority w:val="1"/>
  </w:style>
  <w:style w:type="paragraph" w:customStyle="1" w:styleId="69">
    <w:name w:val="Basistekst Batenburg"/>
    <w:basedOn w:val="70"/>
    <w:qFormat/>
    <w:uiPriority w:val="0"/>
  </w:style>
  <w:style w:type="paragraph" w:customStyle="1" w:styleId="70">
    <w:name w:val="Zsysbasis Batenburg"/>
    <w:next w:val="69"/>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71">
    <w:name w:val="章正文"/>
    <w:basedOn w:val="1"/>
    <w:qFormat/>
    <w:uiPriority w:val="0"/>
    <w:pPr>
      <w:spacing w:beforeLines="50" w:after="120" w:line="300" w:lineRule="auto"/>
      <w:ind w:firstLine="480"/>
    </w:pPr>
    <w:rPr>
      <w:rFonts w:ascii="Helvetica" w:hAnsi="Helvetica"/>
      <w:kern w:val="0"/>
      <w:sz w:val="24"/>
    </w:rPr>
  </w:style>
  <w:style w:type="character" w:customStyle="1" w:styleId="72">
    <w:name w:val="c-icon28"/>
    <w:qFormat/>
    <w:uiPriority w:val="0"/>
  </w:style>
  <w:style w:type="character" w:customStyle="1" w:styleId="73">
    <w:name w:val="hover25"/>
    <w:qFormat/>
    <w:uiPriority w:val="0"/>
    <w:rPr>
      <w:color w:val="315EFB"/>
    </w:rPr>
  </w:style>
  <w:style w:type="character" w:customStyle="1" w:styleId="74">
    <w:name w:val="hzqfin"/>
    <w:qFormat/>
    <w:uiPriority w:val="0"/>
  </w:style>
  <w:style w:type="character" w:customStyle="1" w:styleId="75">
    <w:name w:val="gcjlrr3"/>
    <w:qFormat/>
    <w:uiPriority w:val="0"/>
  </w:style>
  <w:style w:type="character" w:customStyle="1" w:styleId="76">
    <w:name w:val="c-icon30"/>
    <w:qFormat/>
    <w:uiPriority w:val="0"/>
  </w:style>
  <w:style w:type="character" w:customStyle="1" w:styleId="77">
    <w:name w:val="bsharetext"/>
    <w:qFormat/>
    <w:uiPriority w:val="0"/>
  </w:style>
  <w:style w:type="character" w:customStyle="1" w:styleId="78">
    <w:name w:val="hover24"/>
    <w:qFormat/>
    <w:uiPriority w:val="0"/>
    <w:rPr>
      <w:color w:val="315EFB"/>
    </w:rPr>
  </w:style>
  <w:style w:type="character" w:customStyle="1" w:styleId="79">
    <w:name w:val="hover23"/>
    <w:qFormat/>
    <w:uiPriority w:val="0"/>
  </w:style>
  <w:style w:type="character" w:customStyle="1" w:styleId="80">
    <w:name w:val="c-icon"/>
    <w:qFormat/>
    <w:uiPriority w:val="0"/>
  </w:style>
  <w:style w:type="character" w:customStyle="1" w:styleId="81">
    <w:name w:val="hover26"/>
    <w:qFormat/>
    <w:uiPriority w:val="0"/>
  </w:style>
  <w:style w:type="character" w:customStyle="1" w:styleId="82">
    <w:name w:val="fontstrikethrough"/>
    <w:qFormat/>
    <w:uiPriority w:val="0"/>
    <w:rPr>
      <w:strike/>
    </w:rPr>
  </w:style>
  <w:style w:type="character" w:customStyle="1" w:styleId="83">
    <w:name w:val="fontborder"/>
    <w:qFormat/>
    <w:uiPriority w:val="0"/>
    <w:rPr>
      <w:bdr w:val="single" w:color="000000" w:sz="6" w:space="0"/>
    </w:rPr>
  </w:style>
  <w:style w:type="character" w:customStyle="1" w:styleId="84">
    <w:name w:val="hover27"/>
    <w:qFormat/>
    <w:uiPriority w:val="0"/>
    <w:rPr>
      <w:color w:val="315EFB"/>
    </w:rPr>
  </w:style>
  <w:style w:type="character" w:customStyle="1" w:styleId="85">
    <w:name w:val="lemmawgt-lemmatitle-title1"/>
    <w:qFormat/>
    <w:uiPriority w:val="0"/>
  </w:style>
  <w:style w:type="character" w:customStyle="1" w:styleId="86">
    <w:name w:val="wechat_switch"/>
    <w:qFormat/>
    <w:uiPriority w:val="0"/>
  </w:style>
  <w:style w:type="character" w:customStyle="1" w:styleId="87">
    <w:name w:val="font51"/>
    <w:basedOn w:val="29"/>
    <w:qFormat/>
    <w:uiPriority w:val="0"/>
    <w:rPr>
      <w:rFonts w:ascii="Arial" w:hAnsi="Arial" w:cs="Arial"/>
      <w:color w:val="000000"/>
      <w:sz w:val="20"/>
      <w:szCs w:val="20"/>
      <w:u w:val="none"/>
    </w:rPr>
  </w:style>
  <w:style w:type="character" w:customStyle="1" w:styleId="88">
    <w:name w:val="font21"/>
    <w:basedOn w:val="29"/>
    <w:qFormat/>
    <w:uiPriority w:val="0"/>
    <w:rPr>
      <w:rFonts w:hint="eastAsia" w:ascii="宋体" w:hAnsi="宋体" w:eastAsia="宋体" w:cs="宋体"/>
      <w:color w:val="000000"/>
      <w:sz w:val="20"/>
      <w:szCs w:val="20"/>
      <w:u w:val="none"/>
    </w:rPr>
  </w:style>
  <w:style w:type="paragraph" w:customStyle="1" w:styleId="89">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39120</Words>
  <Characters>41677</Characters>
  <Lines>184</Lines>
  <Paragraphs>51</Paragraphs>
  <TotalTime>75</TotalTime>
  <ScaleCrop>false</ScaleCrop>
  <LinksUpToDate>false</LinksUpToDate>
  <CharactersWithSpaces>44436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2021-04-27T06:36:00Z</dcterms:created>
  <dc:creator>王 松全</dc:creator>
  <cp:lastModifiedBy>世明建设项目管理有限公司</cp:lastModifiedBy>
  <cp:lastPrinted>2022-01-26T02:07:00Z</cp:lastPrinted>
  <dcterms:modified xsi:type="dcterms:W3CDTF">2022-01-26T06:22:22Z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838CA985BBA24177BC9341C0A9A5DD65</vt:lpwstr>
  </property>
</Properties>
</file>