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color w:val="auto"/>
          <w:highlight w:val="none"/>
        </w:rPr>
      </w:pPr>
      <w:bookmarkStart w:id="64" w:name="_GoBack"/>
      <w:bookmarkEnd w:id="64"/>
    </w:p>
    <w:p>
      <w:pPr>
        <w:spacing w:line="500" w:lineRule="exact"/>
        <w:rPr>
          <w:color w:val="auto"/>
          <w:highlight w:val="none"/>
        </w:rPr>
      </w:pPr>
    </w:p>
    <w:p>
      <w:pPr>
        <w:spacing w:line="500" w:lineRule="exact"/>
        <w:rPr>
          <w:color w:val="auto"/>
          <w:highlight w:val="none"/>
        </w:rPr>
      </w:pPr>
    </w:p>
    <w:p>
      <w:pPr>
        <w:spacing w:line="500" w:lineRule="exact"/>
        <w:rPr>
          <w:rFonts w:hint="eastAsia"/>
          <w:color w:val="auto"/>
          <w:highlight w:val="none"/>
        </w:rPr>
      </w:pPr>
    </w:p>
    <w:p>
      <w:pPr>
        <w:spacing w:line="1000" w:lineRule="exact"/>
        <w:jc w:val="center"/>
        <w:rPr>
          <w:rFonts w:hint="eastAsia" w:ascii="黑体" w:eastAsia="黑体"/>
          <w:color w:val="auto"/>
          <w:sz w:val="84"/>
          <w:szCs w:val="84"/>
          <w:highlight w:val="none"/>
        </w:rPr>
      </w:pPr>
      <w:r>
        <w:rPr>
          <w:rFonts w:hint="eastAsia" w:ascii="黑体" w:eastAsia="黑体"/>
          <w:color w:val="auto"/>
          <w:sz w:val="84"/>
          <w:szCs w:val="84"/>
          <w:highlight w:val="none"/>
        </w:rPr>
        <w:t>电子化政府采购</w:t>
      </w:r>
    </w:p>
    <w:p>
      <w:pPr>
        <w:spacing w:line="1000" w:lineRule="exact"/>
        <w:jc w:val="center"/>
        <w:rPr>
          <w:rFonts w:hint="eastAsia" w:ascii="黑体" w:eastAsia="黑体"/>
          <w:color w:val="auto"/>
          <w:sz w:val="84"/>
          <w:szCs w:val="84"/>
          <w:highlight w:val="none"/>
        </w:rPr>
      </w:pPr>
      <w:r>
        <w:rPr>
          <w:rFonts w:hint="eastAsia" w:ascii="黑体" w:eastAsia="黑体"/>
          <w:color w:val="auto"/>
          <w:sz w:val="84"/>
          <w:szCs w:val="84"/>
          <w:highlight w:val="none"/>
        </w:rPr>
        <w:t>招标文件</w:t>
      </w:r>
    </w:p>
    <w:p>
      <w:pPr>
        <w:spacing w:line="500" w:lineRule="exact"/>
        <w:jc w:val="center"/>
        <w:rPr>
          <w:rFonts w:ascii="宋体"/>
          <w:color w:val="auto"/>
          <w:sz w:val="32"/>
          <w:highlight w:val="none"/>
        </w:rPr>
      </w:pPr>
    </w:p>
    <w:p>
      <w:pPr>
        <w:spacing w:line="500" w:lineRule="exact"/>
        <w:jc w:val="center"/>
        <w:rPr>
          <w:rFonts w:hint="eastAsia" w:ascii="宋体"/>
          <w:color w:val="auto"/>
          <w:sz w:val="32"/>
          <w:highlight w:val="none"/>
        </w:rPr>
      </w:pPr>
    </w:p>
    <w:p>
      <w:pPr>
        <w:spacing w:line="500" w:lineRule="exact"/>
        <w:jc w:val="center"/>
        <w:rPr>
          <w:rFonts w:hint="eastAsia" w:ascii="宋体"/>
          <w:color w:val="auto"/>
          <w:sz w:val="32"/>
          <w:highlight w:val="none"/>
        </w:rPr>
      </w:pPr>
    </w:p>
    <w:p>
      <w:pPr>
        <w:spacing w:line="500" w:lineRule="exact"/>
        <w:jc w:val="center"/>
        <w:rPr>
          <w:rFonts w:hint="eastAsia" w:ascii="宋体"/>
          <w:color w:val="auto"/>
          <w:sz w:val="32"/>
          <w:highlight w:val="none"/>
        </w:rPr>
      </w:pPr>
    </w:p>
    <w:p>
      <w:pPr>
        <w:spacing w:line="500" w:lineRule="exact"/>
        <w:jc w:val="center"/>
        <w:rPr>
          <w:rFonts w:hint="eastAsia" w:ascii="宋体"/>
          <w:color w:val="auto"/>
          <w:sz w:val="32"/>
          <w:highlight w:val="none"/>
        </w:rPr>
      </w:pPr>
    </w:p>
    <w:p>
      <w:pPr>
        <w:spacing w:line="500" w:lineRule="exact"/>
        <w:rPr>
          <w:rFonts w:hint="eastAsia" w:ascii="宋体"/>
          <w:color w:val="auto"/>
          <w:sz w:val="32"/>
          <w:highlight w:val="none"/>
        </w:rPr>
      </w:pPr>
    </w:p>
    <w:p>
      <w:pPr>
        <w:spacing w:line="500" w:lineRule="exact"/>
        <w:ind w:left="1050" w:leftChars="500"/>
        <w:rPr>
          <w:rFonts w:ascii="宋体"/>
          <w:color w:val="auto"/>
          <w:sz w:val="32"/>
          <w:highlight w:val="none"/>
        </w:rPr>
      </w:pPr>
      <w:r>
        <w:rPr>
          <w:rFonts w:hint="eastAsia" w:ascii="宋体"/>
          <w:color w:val="auto"/>
          <w:sz w:val="32"/>
          <w:highlight w:val="none"/>
        </w:rPr>
        <w:t>采购编号:NBZFCG2021C002G</w:t>
      </w:r>
    </w:p>
    <w:p>
      <w:pPr>
        <w:spacing w:line="500" w:lineRule="exact"/>
        <w:ind w:left="1050" w:leftChars="500"/>
        <w:rPr>
          <w:rFonts w:hint="eastAsia" w:ascii="宋体"/>
          <w:color w:val="auto"/>
          <w:sz w:val="32"/>
          <w:highlight w:val="none"/>
        </w:rPr>
      </w:pPr>
      <w:r>
        <w:rPr>
          <w:rFonts w:hint="eastAsia" w:ascii="宋体"/>
          <w:color w:val="auto"/>
          <w:sz w:val="32"/>
          <w:highlight w:val="none"/>
        </w:rPr>
        <w:t>项目名称:宁波市东部新城b-8#办公楼物业服务项目</w:t>
      </w:r>
    </w:p>
    <w:p>
      <w:pPr>
        <w:spacing w:line="500" w:lineRule="exact"/>
        <w:ind w:left="40" w:firstLine="2730"/>
        <w:rPr>
          <w:rFonts w:hint="eastAsia" w:ascii="宋体"/>
          <w:color w:val="auto"/>
          <w:sz w:val="32"/>
          <w:highlight w:val="none"/>
          <w:u w:val="single"/>
        </w:rPr>
      </w:pPr>
    </w:p>
    <w:p>
      <w:pPr>
        <w:spacing w:line="500" w:lineRule="exact"/>
        <w:rPr>
          <w:rFonts w:hint="eastAsia" w:ascii="宋体"/>
          <w:color w:val="auto"/>
          <w:sz w:val="32"/>
          <w:highlight w:val="none"/>
          <w:u w:val="single"/>
        </w:rPr>
      </w:pPr>
    </w:p>
    <w:p>
      <w:pPr>
        <w:spacing w:line="500" w:lineRule="exact"/>
        <w:rPr>
          <w:rFonts w:hint="eastAsia" w:ascii="宋体"/>
          <w:color w:val="auto"/>
          <w:sz w:val="32"/>
          <w:highlight w:val="none"/>
          <w:u w:val="single"/>
        </w:rPr>
      </w:pPr>
    </w:p>
    <w:p>
      <w:pPr>
        <w:spacing w:line="500" w:lineRule="exact"/>
        <w:rPr>
          <w:rFonts w:hint="eastAsia" w:ascii="宋体"/>
          <w:color w:val="auto"/>
          <w:sz w:val="32"/>
          <w:highlight w:val="none"/>
          <w:u w:val="single"/>
        </w:rPr>
      </w:pPr>
    </w:p>
    <w:p>
      <w:pPr>
        <w:spacing w:line="500" w:lineRule="exact"/>
        <w:rPr>
          <w:rFonts w:hint="eastAsia" w:ascii="宋体"/>
          <w:color w:val="auto"/>
          <w:sz w:val="32"/>
          <w:highlight w:val="none"/>
          <w:u w:val="single"/>
        </w:rPr>
      </w:pPr>
    </w:p>
    <w:p>
      <w:pPr>
        <w:spacing w:line="500" w:lineRule="exact"/>
        <w:rPr>
          <w:rFonts w:hint="eastAsia" w:ascii="宋体"/>
          <w:color w:val="auto"/>
          <w:sz w:val="32"/>
          <w:highlight w:val="none"/>
          <w:u w:val="single"/>
        </w:rPr>
      </w:pPr>
    </w:p>
    <w:p>
      <w:pPr>
        <w:spacing w:line="500" w:lineRule="exact"/>
        <w:rPr>
          <w:rFonts w:hint="eastAsia" w:ascii="宋体"/>
          <w:color w:val="auto"/>
          <w:sz w:val="32"/>
          <w:highlight w:val="none"/>
        </w:rPr>
      </w:pPr>
    </w:p>
    <w:p>
      <w:pPr>
        <w:pStyle w:val="13"/>
        <w:spacing w:line="500" w:lineRule="exact"/>
        <w:jc w:val="center"/>
        <w:rPr>
          <w:rFonts w:hint="eastAsia" w:ascii="宋体"/>
          <w:color w:val="auto"/>
          <w:sz w:val="32"/>
          <w:highlight w:val="none"/>
        </w:rPr>
      </w:pPr>
      <w:r>
        <w:rPr>
          <w:rFonts w:hint="eastAsia" w:ascii="宋体"/>
          <w:color w:val="auto"/>
          <w:sz w:val="32"/>
          <w:highlight w:val="none"/>
        </w:rPr>
        <w:t>宁波市政府采购中心</w:t>
      </w:r>
    </w:p>
    <w:p>
      <w:pPr>
        <w:pStyle w:val="13"/>
        <w:spacing w:line="500" w:lineRule="exact"/>
        <w:jc w:val="center"/>
        <w:rPr>
          <w:rFonts w:hint="eastAsia" w:ascii="宋体"/>
          <w:color w:val="auto"/>
          <w:sz w:val="32"/>
          <w:highlight w:val="none"/>
        </w:rPr>
      </w:pPr>
      <w:r>
        <w:rPr>
          <w:rFonts w:hint="eastAsia" w:ascii="宋体"/>
          <w:color w:val="auto"/>
          <w:sz w:val="32"/>
          <w:highlight w:val="none"/>
        </w:rPr>
        <w:t xml:space="preserve">二 〇 二 一 年 </w:t>
      </w:r>
    </w:p>
    <w:p>
      <w:pPr>
        <w:tabs>
          <w:tab w:val="left" w:pos="105"/>
          <w:tab w:val="left" w:pos="735"/>
          <w:tab w:val="left" w:pos="945"/>
          <w:tab w:val="left" w:pos="3360"/>
        </w:tabs>
        <w:spacing w:line="500" w:lineRule="exact"/>
        <w:jc w:val="center"/>
        <w:rPr>
          <w:rFonts w:hint="eastAsia"/>
          <w:b/>
          <w:color w:val="auto"/>
          <w:sz w:val="48"/>
          <w:highlight w:val="none"/>
        </w:rPr>
      </w:pPr>
    </w:p>
    <w:p>
      <w:pPr>
        <w:tabs>
          <w:tab w:val="left" w:pos="105"/>
          <w:tab w:val="left" w:pos="735"/>
          <w:tab w:val="left" w:pos="945"/>
          <w:tab w:val="left" w:pos="3360"/>
        </w:tabs>
        <w:spacing w:line="500" w:lineRule="exact"/>
        <w:rPr>
          <w:b/>
          <w:color w:val="auto"/>
          <w:sz w:val="48"/>
          <w:highlight w:val="none"/>
        </w:rPr>
      </w:pPr>
    </w:p>
    <w:p>
      <w:pPr>
        <w:tabs>
          <w:tab w:val="left" w:pos="105"/>
          <w:tab w:val="left" w:pos="735"/>
          <w:tab w:val="left" w:pos="945"/>
          <w:tab w:val="left" w:pos="3360"/>
        </w:tabs>
        <w:spacing w:line="500" w:lineRule="exact"/>
        <w:jc w:val="center"/>
        <w:rPr>
          <w:rFonts w:hint="eastAsia"/>
          <w:b/>
          <w:color w:val="auto"/>
          <w:sz w:val="48"/>
          <w:highlight w:val="none"/>
        </w:rPr>
      </w:pPr>
      <w:r>
        <w:rPr>
          <w:b/>
          <w:color w:val="auto"/>
          <w:sz w:val="48"/>
          <w:highlight w:val="none"/>
        </w:rPr>
        <w:br w:type="page"/>
      </w:r>
    </w:p>
    <w:p>
      <w:pPr>
        <w:tabs>
          <w:tab w:val="left" w:pos="105"/>
          <w:tab w:val="left" w:pos="735"/>
          <w:tab w:val="left" w:pos="945"/>
          <w:tab w:val="left" w:pos="3360"/>
        </w:tabs>
        <w:spacing w:line="500" w:lineRule="exact"/>
        <w:jc w:val="center"/>
        <w:rPr>
          <w:rFonts w:hint="eastAsia"/>
          <w:b/>
          <w:color w:val="auto"/>
          <w:sz w:val="48"/>
          <w:highlight w:val="none"/>
        </w:rPr>
      </w:pPr>
      <w:r>
        <w:rPr>
          <w:rFonts w:hint="eastAsia"/>
          <w:b/>
          <w:color w:val="auto"/>
          <w:sz w:val="48"/>
          <w:highlight w:val="none"/>
        </w:rPr>
        <w:t>目  录</w:t>
      </w:r>
    </w:p>
    <w:p>
      <w:pPr>
        <w:tabs>
          <w:tab w:val="left" w:pos="105"/>
          <w:tab w:val="left" w:pos="735"/>
          <w:tab w:val="left" w:pos="945"/>
          <w:tab w:val="left" w:pos="3360"/>
        </w:tabs>
        <w:spacing w:line="500" w:lineRule="exact"/>
        <w:rPr>
          <w:rFonts w:hint="eastAsia" w:eastAsia="仿宋_GB2312"/>
          <w:color w:val="auto"/>
          <w:sz w:val="32"/>
          <w:highlight w:val="none"/>
        </w:rPr>
      </w:pPr>
    </w:p>
    <w:p>
      <w:pPr>
        <w:tabs>
          <w:tab w:val="left" w:pos="105"/>
          <w:tab w:val="left" w:pos="735"/>
          <w:tab w:val="left" w:pos="945"/>
          <w:tab w:val="left" w:pos="3360"/>
        </w:tabs>
        <w:spacing w:line="500" w:lineRule="exact"/>
        <w:rPr>
          <w:rFonts w:ascii="宋体" w:hAnsi="宋体"/>
          <w:color w:val="auto"/>
          <w:sz w:val="32"/>
          <w:highlight w:val="none"/>
        </w:rPr>
      </w:pPr>
      <w:r>
        <w:rPr>
          <w:rFonts w:hint="eastAsia" w:ascii="宋体" w:hAnsi="宋体"/>
          <w:color w:val="auto"/>
          <w:sz w:val="32"/>
          <w:highlight w:val="none"/>
        </w:rPr>
        <w:t>第一章 专用部分</w:t>
      </w:r>
    </w:p>
    <w:p>
      <w:pPr>
        <w:tabs>
          <w:tab w:val="left" w:pos="105"/>
          <w:tab w:val="left" w:pos="735"/>
          <w:tab w:val="left" w:pos="945"/>
          <w:tab w:val="left" w:pos="3360"/>
        </w:tabs>
        <w:spacing w:line="500" w:lineRule="exact"/>
        <w:rPr>
          <w:rFonts w:ascii="宋体" w:hAnsi="宋体"/>
          <w:color w:val="auto"/>
          <w:sz w:val="32"/>
          <w:highlight w:val="none"/>
        </w:rPr>
      </w:pPr>
      <w:r>
        <w:rPr>
          <w:rFonts w:hint="eastAsia" w:ascii="宋体" w:hAnsi="宋体"/>
          <w:color w:val="auto"/>
          <w:sz w:val="32"/>
          <w:highlight w:val="none"/>
        </w:rPr>
        <w:tab/>
      </w:r>
      <w:r>
        <w:rPr>
          <w:rFonts w:hint="eastAsia" w:ascii="宋体" w:hAnsi="宋体"/>
          <w:color w:val="auto"/>
          <w:sz w:val="32"/>
          <w:highlight w:val="none"/>
        </w:rPr>
        <w:tab/>
      </w:r>
      <w:r>
        <w:rPr>
          <w:rFonts w:hint="eastAsia" w:ascii="宋体" w:hAnsi="宋体"/>
          <w:color w:val="auto"/>
          <w:sz w:val="32"/>
          <w:highlight w:val="none"/>
        </w:rPr>
        <w:t>第一部分  投标邀请</w:t>
      </w:r>
    </w:p>
    <w:p>
      <w:pPr>
        <w:tabs>
          <w:tab w:val="left" w:pos="105"/>
          <w:tab w:val="left" w:pos="945"/>
          <w:tab w:val="left" w:pos="3360"/>
        </w:tabs>
        <w:spacing w:line="500" w:lineRule="exact"/>
        <w:rPr>
          <w:rFonts w:hint="eastAsia" w:ascii="宋体" w:hAnsi="宋体"/>
          <w:color w:val="auto"/>
          <w:sz w:val="32"/>
          <w:highlight w:val="none"/>
        </w:rPr>
      </w:pPr>
      <w:r>
        <w:rPr>
          <w:rFonts w:hint="eastAsia" w:ascii="宋体" w:hAnsi="宋体"/>
          <w:color w:val="auto"/>
          <w:sz w:val="32"/>
          <w:highlight w:val="none"/>
        </w:rPr>
        <w:tab/>
      </w:r>
      <w:r>
        <w:rPr>
          <w:rFonts w:hint="eastAsia" w:ascii="宋体" w:hAnsi="宋体"/>
          <w:color w:val="auto"/>
          <w:sz w:val="32"/>
          <w:highlight w:val="none"/>
        </w:rPr>
        <w:t xml:space="preserve">    第二部分  项目需求说明及评标标准</w:t>
      </w:r>
    </w:p>
    <w:p>
      <w:pPr>
        <w:tabs>
          <w:tab w:val="left" w:pos="105"/>
          <w:tab w:val="left" w:pos="735"/>
          <w:tab w:val="left" w:pos="945"/>
          <w:tab w:val="left" w:pos="3360"/>
        </w:tabs>
        <w:spacing w:line="500" w:lineRule="exact"/>
        <w:rPr>
          <w:rFonts w:hint="eastAsia" w:ascii="宋体" w:hAnsi="宋体"/>
          <w:color w:val="auto"/>
          <w:sz w:val="32"/>
          <w:highlight w:val="none"/>
        </w:rPr>
      </w:pPr>
      <w:r>
        <w:rPr>
          <w:rFonts w:hint="eastAsia" w:ascii="宋体" w:hAnsi="宋体"/>
          <w:color w:val="auto"/>
          <w:sz w:val="32"/>
          <w:highlight w:val="none"/>
        </w:rPr>
        <w:tab/>
      </w:r>
      <w:r>
        <w:rPr>
          <w:rFonts w:hint="eastAsia" w:ascii="宋体" w:hAnsi="宋体"/>
          <w:color w:val="auto"/>
          <w:sz w:val="32"/>
          <w:highlight w:val="none"/>
        </w:rPr>
        <w:tab/>
      </w:r>
      <w:r>
        <w:rPr>
          <w:rFonts w:hint="eastAsia" w:ascii="宋体" w:hAnsi="宋体"/>
          <w:color w:val="auto"/>
          <w:sz w:val="32"/>
          <w:highlight w:val="none"/>
        </w:rPr>
        <w:t>第三部分  投标人须知资料表</w:t>
      </w:r>
    </w:p>
    <w:p>
      <w:pPr>
        <w:tabs>
          <w:tab w:val="left" w:pos="105"/>
          <w:tab w:val="left" w:pos="735"/>
          <w:tab w:val="left" w:pos="945"/>
          <w:tab w:val="left" w:pos="3360"/>
        </w:tabs>
        <w:spacing w:line="500" w:lineRule="exact"/>
        <w:rPr>
          <w:rFonts w:ascii="宋体" w:hAnsi="宋体"/>
          <w:color w:val="auto"/>
          <w:sz w:val="32"/>
          <w:highlight w:val="none"/>
        </w:rPr>
      </w:pPr>
      <w:r>
        <w:rPr>
          <w:rFonts w:hint="eastAsia" w:ascii="宋体" w:hAnsi="宋体"/>
          <w:color w:val="auto"/>
          <w:sz w:val="32"/>
          <w:highlight w:val="none"/>
        </w:rPr>
        <w:tab/>
      </w:r>
      <w:r>
        <w:rPr>
          <w:rFonts w:hint="eastAsia" w:ascii="宋体" w:hAnsi="宋体"/>
          <w:color w:val="auto"/>
          <w:sz w:val="32"/>
          <w:highlight w:val="none"/>
        </w:rPr>
        <w:t>第二章 通用部分</w:t>
      </w:r>
    </w:p>
    <w:p>
      <w:pPr>
        <w:tabs>
          <w:tab w:val="left" w:pos="105"/>
          <w:tab w:val="left" w:pos="735"/>
          <w:tab w:val="left" w:pos="945"/>
          <w:tab w:val="left" w:pos="3360"/>
        </w:tabs>
        <w:spacing w:line="500" w:lineRule="exact"/>
        <w:rPr>
          <w:rFonts w:hint="eastAsia" w:ascii="宋体" w:hAnsi="宋体"/>
          <w:color w:val="auto"/>
          <w:sz w:val="32"/>
          <w:highlight w:val="none"/>
        </w:rPr>
      </w:pPr>
      <w:r>
        <w:rPr>
          <w:rFonts w:hint="eastAsia" w:ascii="宋体" w:hAnsi="宋体"/>
          <w:color w:val="auto"/>
          <w:sz w:val="32"/>
          <w:highlight w:val="none"/>
        </w:rPr>
        <w:tab/>
      </w:r>
      <w:r>
        <w:rPr>
          <w:rFonts w:hint="eastAsia" w:ascii="宋体" w:hAnsi="宋体"/>
          <w:color w:val="auto"/>
          <w:sz w:val="32"/>
          <w:highlight w:val="none"/>
        </w:rPr>
        <w:tab/>
      </w:r>
      <w:r>
        <w:rPr>
          <w:rFonts w:hint="eastAsia" w:ascii="宋体" w:hAnsi="宋体"/>
          <w:color w:val="auto"/>
          <w:sz w:val="32"/>
          <w:highlight w:val="none"/>
        </w:rPr>
        <w:t>第四部分  投标人须知</w:t>
      </w:r>
    </w:p>
    <w:p>
      <w:pPr>
        <w:tabs>
          <w:tab w:val="left" w:pos="105"/>
          <w:tab w:val="left" w:pos="735"/>
          <w:tab w:val="left" w:pos="945"/>
          <w:tab w:val="left" w:pos="3360"/>
        </w:tabs>
        <w:spacing w:line="500" w:lineRule="exact"/>
        <w:rPr>
          <w:rFonts w:hint="eastAsia" w:ascii="宋体" w:hAnsi="宋体"/>
          <w:color w:val="auto"/>
          <w:sz w:val="32"/>
          <w:highlight w:val="none"/>
        </w:rPr>
      </w:pPr>
      <w:r>
        <w:rPr>
          <w:rFonts w:hint="eastAsia" w:ascii="宋体" w:hAnsi="宋体"/>
          <w:color w:val="auto"/>
          <w:sz w:val="32"/>
          <w:highlight w:val="none"/>
        </w:rPr>
        <w:tab/>
      </w:r>
      <w:r>
        <w:rPr>
          <w:rFonts w:hint="eastAsia" w:ascii="宋体" w:hAnsi="宋体"/>
          <w:color w:val="auto"/>
          <w:sz w:val="32"/>
          <w:highlight w:val="none"/>
        </w:rPr>
        <w:tab/>
      </w:r>
      <w:r>
        <w:rPr>
          <w:rFonts w:hint="eastAsia" w:ascii="宋体" w:hAnsi="宋体"/>
          <w:color w:val="auto"/>
          <w:sz w:val="32"/>
          <w:highlight w:val="none"/>
        </w:rPr>
        <w:t>第五部分  合同格式</w:t>
      </w:r>
    </w:p>
    <w:p>
      <w:pPr>
        <w:tabs>
          <w:tab w:val="left" w:pos="105"/>
          <w:tab w:val="left" w:pos="735"/>
          <w:tab w:val="left" w:pos="945"/>
          <w:tab w:val="left" w:pos="3360"/>
        </w:tabs>
        <w:spacing w:line="500" w:lineRule="exact"/>
        <w:rPr>
          <w:rFonts w:hint="eastAsia" w:ascii="宋体" w:hAnsi="宋体"/>
          <w:color w:val="auto"/>
          <w:sz w:val="32"/>
          <w:highlight w:val="none"/>
        </w:rPr>
      </w:pPr>
      <w:r>
        <w:rPr>
          <w:rFonts w:hint="eastAsia" w:ascii="宋体" w:hAnsi="宋体"/>
          <w:color w:val="auto"/>
          <w:sz w:val="32"/>
          <w:highlight w:val="none"/>
        </w:rPr>
        <w:tab/>
      </w:r>
      <w:r>
        <w:rPr>
          <w:rFonts w:hint="eastAsia" w:ascii="宋体" w:hAnsi="宋体"/>
          <w:color w:val="auto"/>
          <w:sz w:val="32"/>
          <w:highlight w:val="none"/>
        </w:rPr>
        <w:tab/>
      </w:r>
      <w:r>
        <w:rPr>
          <w:rFonts w:hint="eastAsia" w:ascii="宋体" w:hAnsi="宋体"/>
          <w:color w:val="auto"/>
          <w:sz w:val="32"/>
          <w:highlight w:val="none"/>
        </w:rPr>
        <w:t>第六部分  投标文件格式</w:t>
      </w:r>
    </w:p>
    <w:p>
      <w:pPr>
        <w:tabs>
          <w:tab w:val="left" w:pos="105"/>
          <w:tab w:val="left" w:pos="735"/>
          <w:tab w:val="left" w:pos="945"/>
          <w:tab w:val="left" w:pos="3360"/>
        </w:tabs>
        <w:spacing w:line="500" w:lineRule="exact"/>
        <w:rPr>
          <w:rFonts w:hint="eastAsia" w:ascii="宋体" w:hAnsi="宋体"/>
          <w:color w:val="auto"/>
          <w:sz w:val="32"/>
          <w:highlight w:val="none"/>
        </w:rPr>
      </w:pPr>
      <w:r>
        <w:rPr>
          <w:rFonts w:hint="eastAsia" w:ascii="宋体" w:hAnsi="宋体"/>
          <w:color w:val="auto"/>
          <w:sz w:val="32"/>
          <w:highlight w:val="none"/>
        </w:rPr>
        <w:tab/>
      </w:r>
      <w:r>
        <w:rPr>
          <w:rFonts w:hint="eastAsia" w:ascii="宋体" w:hAnsi="宋体"/>
          <w:color w:val="auto"/>
          <w:sz w:val="32"/>
          <w:highlight w:val="none"/>
        </w:rPr>
        <w:tab/>
      </w:r>
      <w:r>
        <w:rPr>
          <w:rFonts w:hint="eastAsia" w:ascii="宋体" w:hAnsi="宋体"/>
          <w:color w:val="auto"/>
          <w:sz w:val="32"/>
          <w:highlight w:val="none"/>
        </w:rPr>
        <w:t>第七部分  其他文件格式</w:t>
      </w:r>
    </w:p>
    <w:p>
      <w:pPr>
        <w:tabs>
          <w:tab w:val="left" w:pos="105"/>
          <w:tab w:val="left" w:pos="735"/>
          <w:tab w:val="left" w:pos="945"/>
          <w:tab w:val="left" w:pos="3360"/>
        </w:tabs>
        <w:spacing w:line="500" w:lineRule="exact"/>
        <w:rPr>
          <w:rFonts w:hint="eastAsia" w:ascii="仿宋_GB2312" w:eastAsia="仿宋_GB2312"/>
          <w:color w:val="auto"/>
          <w:sz w:val="32"/>
          <w:highlight w:val="none"/>
        </w:rPr>
      </w:pPr>
    </w:p>
    <w:p>
      <w:pPr>
        <w:jc w:val="center"/>
        <w:rPr>
          <w:rFonts w:hint="eastAsia" w:ascii="仿宋_GB2312" w:eastAsia="仿宋_GB2312"/>
          <w:b/>
          <w:color w:val="auto"/>
          <w:sz w:val="32"/>
          <w:highlight w:val="none"/>
        </w:rPr>
      </w:pPr>
      <w:r>
        <w:rPr>
          <w:rFonts w:eastAsia="黑体"/>
          <w:color w:val="auto"/>
          <w:sz w:val="32"/>
          <w:highlight w:val="none"/>
        </w:rPr>
        <w:br w:type="page"/>
      </w:r>
      <w:r>
        <w:rPr>
          <w:rFonts w:hint="eastAsia" w:eastAsia="黑体"/>
          <w:color w:val="auto"/>
          <w:sz w:val="32"/>
          <w:highlight w:val="none"/>
        </w:rPr>
        <w:t xml:space="preserve">第一部分 </w:t>
      </w:r>
      <w:r>
        <w:rPr>
          <w:rFonts w:hint="eastAsia" w:ascii="仿宋_GB2312" w:eastAsia="仿宋_GB2312"/>
          <w:b/>
          <w:color w:val="auto"/>
          <w:sz w:val="32"/>
          <w:highlight w:val="none"/>
        </w:rPr>
        <w:t>投标邀请</w:t>
      </w:r>
    </w:p>
    <w:p>
      <w:pPr>
        <w:jc w:val="center"/>
        <w:rPr>
          <w:rFonts w:hint="eastAsia" w:ascii="宋体" w:hAnsi="宋体"/>
          <w:color w:val="auto"/>
          <w:sz w:val="24"/>
          <w:szCs w:val="24"/>
          <w:highlight w:val="none"/>
        </w:rPr>
      </w:pPr>
      <w:r>
        <w:rPr>
          <w:rFonts w:hint="eastAsia" w:ascii="宋体" w:hAnsi="宋体"/>
          <w:color w:val="auto"/>
          <w:sz w:val="24"/>
          <w:szCs w:val="24"/>
          <w:highlight w:val="none"/>
        </w:rPr>
        <w:t>日期：202</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日</w:t>
      </w:r>
    </w:p>
    <w:p>
      <w:pPr>
        <w:rPr>
          <w:rFonts w:hint="eastAsia" w:ascii="宋体" w:hAnsi="宋体"/>
          <w:color w:val="auto"/>
          <w:sz w:val="24"/>
          <w:szCs w:val="24"/>
          <w:highlight w:val="none"/>
        </w:rPr>
      </w:pPr>
    </w:p>
    <w:p>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宁波市政府采购中心就以下项目进行公开招标，现邀请合格投标人进行加密电子投标。</w:t>
      </w:r>
    </w:p>
    <w:p>
      <w:pPr>
        <w:spacing w:line="276" w:lineRule="auto"/>
        <w:rPr>
          <w:rFonts w:hint="eastAsia" w:ascii="宋体" w:hAnsi="宋体"/>
          <w:color w:val="auto"/>
          <w:sz w:val="24"/>
          <w:szCs w:val="24"/>
          <w:highlight w:val="none"/>
        </w:rPr>
      </w:pPr>
      <w:r>
        <w:rPr>
          <w:rFonts w:hint="eastAsia" w:ascii="宋体" w:hAnsi="宋体"/>
          <w:color w:val="auto"/>
          <w:sz w:val="24"/>
          <w:szCs w:val="24"/>
          <w:highlight w:val="none"/>
        </w:rPr>
        <w:t>一、项目基本情况</w:t>
      </w:r>
    </w:p>
    <w:p>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1、项目编号：NBZFCG2021C002G</w:t>
      </w:r>
    </w:p>
    <w:p>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2、项目名称：宁波市东部新城b-8#办公楼物业服务项目</w:t>
      </w:r>
    </w:p>
    <w:p>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3、采购预算：标包1：人民币656</w:t>
      </w:r>
      <w:r>
        <w:rPr>
          <w:rFonts w:hint="eastAsia" w:ascii="宋体" w:hAnsi="宋体"/>
          <w:color w:val="auto"/>
          <w:sz w:val="24"/>
          <w:szCs w:val="24"/>
          <w:highlight w:val="none"/>
          <w:lang w:val="en-US" w:eastAsia="zh-CN"/>
        </w:rPr>
        <w:t>.000001</w:t>
      </w:r>
      <w:r>
        <w:rPr>
          <w:rFonts w:hint="eastAsia" w:ascii="宋体" w:hAnsi="宋体"/>
          <w:color w:val="auto"/>
          <w:sz w:val="24"/>
          <w:szCs w:val="24"/>
          <w:highlight w:val="none"/>
        </w:rPr>
        <w:t>万元（其中1#楼为270 万元，2#楼386</w:t>
      </w:r>
      <w:r>
        <w:rPr>
          <w:rFonts w:hint="eastAsia" w:ascii="宋体" w:hAnsi="宋体"/>
          <w:color w:val="auto"/>
          <w:sz w:val="24"/>
          <w:szCs w:val="24"/>
          <w:highlight w:val="none"/>
          <w:lang w:val="en-US" w:eastAsia="zh-CN"/>
        </w:rPr>
        <w:t>.000001</w:t>
      </w:r>
      <w:r>
        <w:rPr>
          <w:rFonts w:hint="eastAsia" w:ascii="宋体" w:hAnsi="宋体"/>
          <w:color w:val="auto"/>
          <w:sz w:val="24"/>
          <w:szCs w:val="24"/>
          <w:highlight w:val="none"/>
        </w:rPr>
        <w:t>万元）；最高限价：人民币656</w:t>
      </w:r>
      <w:r>
        <w:rPr>
          <w:rFonts w:hint="eastAsia" w:ascii="宋体" w:hAnsi="宋体"/>
          <w:color w:val="auto"/>
          <w:sz w:val="24"/>
          <w:szCs w:val="24"/>
          <w:highlight w:val="none"/>
          <w:lang w:val="en-US" w:eastAsia="zh-CN"/>
        </w:rPr>
        <w:t>.000001</w:t>
      </w:r>
      <w:r>
        <w:rPr>
          <w:rFonts w:hint="eastAsia" w:ascii="宋体" w:hAnsi="宋体"/>
          <w:color w:val="auto"/>
          <w:sz w:val="24"/>
          <w:szCs w:val="24"/>
          <w:highlight w:val="none"/>
        </w:rPr>
        <w:t>万元（其中1#楼为270 万元，2#楼386</w:t>
      </w:r>
      <w:r>
        <w:rPr>
          <w:rFonts w:hint="eastAsia" w:ascii="宋体" w:hAnsi="宋体"/>
          <w:color w:val="auto"/>
          <w:sz w:val="24"/>
          <w:szCs w:val="24"/>
          <w:highlight w:val="none"/>
          <w:lang w:val="en-US" w:eastAsia="zh-CN"/>
        </w:rPr>
        <w:t>.000001</w:t>
      </w:r>
      <w:r>
        <w:rPr>
          <w:rFonts w:hint="eastAsia" w:ascii="宋体" w:hAnsi="宋体"/>
          <w:color w:val="auto"/>
          <w:sz w:val="24"/>
          <w:szCs w:val="24"/>
          <w:highlight w:val="none"/>
        </w:rPr>
        <w:t>万元）。</w:t>
      </w:r>
    </w:p>
    <w:p>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4、采购需求：</w:t>
      </w:r>
    </w:p>
    <w:p>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标包1：宁波市东部新城b-8#办公楼物业服务项目，详见项目需求说明。</w:t>
      </w:r>
    </w:p>
    <w:p>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5、合同履行期限：标包1 一招三年，合同一年一签。</w:t>
      </w:r>
    </w:p>
    <w:p>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6、联合体投标：标包1不接受</w:t>
      </w:r>
    </w:p>
    <w:p>
      <w:pPr>
        <w:spacing w:line="276" w:lineRule="auto"/>
        <w:rPr>
          <w:rFonts w:hint="eastAsia" w:ascii="宋体" w:hAnsi="宋体"/>
          <w:color w:val="auto"/>
          <w:sz w:val="24"/>
          <w:szCs w:val="24"/>
          <w:highlight w:val="none"/>
        </w:rPr>
      </w:pPr>
      <w:r>
        <w:rPr>
          <w:rFonts w:hint="eastAsia" w:ascii="宋体" w:hAnsi="宋体"/>
          <w:color w:val="auto"/>
          <w:sz w:val="24"/>
          <w:szCs w:val="24"/>
          <w:highlight w:val="none"/>
        </w:rPr>
        <w:t>二、投标人的资格要求</w:t>
      </w:r>
    </w:p>
    <w:p>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1、符合《政府采购法》第二十二条</w:t>
      </w:r>
      <w:r>
        <w:rPr>
          <w:rFonts w:ascii="宋体" w:hAnsi="宋体"/>
          <w:color w:val="auto"/>
          <w:sz w:val="24"/>
          <w:szCs w:val="24"/>
          <w:highlight w:val="none"/>
        </w:rPr>
        <w:t>的规定</w:t>
      </w:r>
      <w:r>
        <w:rPr>
          <w:rFonts w:hint="eastAsia" w:ascii="宋体" w:hAnsi="宋体"/>
          <w:color w:val="auto"/>
          <w:sz w:val="24"/>
          <w:szCs w:val="24"/>
          <w:highlight w:val="none"/>
        </w:rPr>
        <w:t>且未列入“www.creditchina.gov.cn、www.ccgp.gov.cn”网站失信被执行人、重大税收违法案件当事人名单、政府采购严重违法失信记录名单在禁止参加采购期限的供应商。</w:t>
      </w:r>
    </w:p>
    <w:p>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2、特定资格要求：无。</w:t>
      </w:r>
    </w:p>
    <w:p>
      <w:pPr>
        <w:spacing w:line="276" w:lineRule="auto"/>
        <w:rPr>
          <w:rFonts w:hint="eastAsia" w:ascii="宋体" w:hAnsi="宋体"/>
          <w:color w:val="auto"/>
          <w:sz w:val="24"/>
          <w:szCs w:val="24"/>
          <w:highlight w:val="none"/>
        </w:rPr>
      </w:pPr>
      <w:r>
        <w:rPr>
          <w:rFonts w:hint="eastAsia" w:ascii="宋体" w:hAnsi="宋体"/>
          <w:color w:val="auto"/>
          <w:sz w:val="24"/>
          <w:szCs w:val="24"/>
          <w:highlight w:val="none"/>
        </w:rPr>
        <w:t>三、获取招标文件：</w:t>
      </w:r>
    </w:p>
    <w:p>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请到浙江政府采购网(zfcg.czt.zj.gov.cn)或宁波政府采购网（www.nbzfcg.cn）免费下载电子文件。</w:t>
      </w:r>
    </w:p>
    <w:p>
      <w:pPr>
        <w:spacing w:line="276" w:lineRule="auto"/>
        <w:rPr>
          <w:rFonts w:hint="eastAsia" w:ascii="宋体" w:hAnsi="宋体"/>
          <w:color w:val="auto"/>
          <w:sz w:val="24"/>
          <w:szCs w:val="24"/>
          <w:highlight w:val="none"/>
        </w:rPr>
      </w:pPr>
      <w:r>
        <w:rPr>
          <w:rFonts w:hint="eastAsia" w:ascii="宋体" w:hAnsi="宋体"/>
          <w:color w:val="auto"/>
          <w:sz w:val="24"/>
          <w:szCs w:val="24"/>
          <w:highlight w:val="none"/>
        </w:rPr>
        <w:t>四、电子投标和开标事项</w:t>
      </w:r>
    </w:p>
    <w:p>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1、政采云电子投标开标平台：www.zcygov.cn</w:t>
      </w:r>
    </w:p>
    <w:p>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2、提交电子投标文件截止时间：2021年</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24</w:t>
      </w:r>
      <w:r>
        <w:rPr>
          <w:rFonts w:hint="eastAsia" w:ascii="宋体" w:hAnsi="宋体"/>
          <w:color w:val="auto"/>
          <w:sz w:val="24"/>
          <w:szCs w:val="24"/>
          <w:highlight w:val="none"/>
        </w:rPr>
        <w:t>日9：30。</w:t>
      </w:r>
    </w:p>
    <w:p>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3、电子投标文件解密开标时间：投标截止时间后半小时内。</w:t>
      </w:r>
    </w:p>
    <w:p>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4、开标现场地址：宁波市鄞州区宁穿路1901号市行政服务中心四楼开标区（具体场所安排详见电子指示屏幕）。</w:t>
      </w:r>
    </w:p>
    <w:p>
      <w:pPr>
        <w:spacing w:line="276" w:lineRule="auto"/>
        <w:rPr>
          <w:rFonts w:hint="eastAsia" w:ascii="宋体" w:hAnsi="宋体"/>
          <w:color w:val="auto"/>
          <w:sz w:val="24"/>
          <w:szCs w:val="24"/>
          <w:highlight w:val="none"/>
        </w:rPr>
      </w:pPr>
      <w:r>
        <w:rPr>
          <w:rFonts w:hint="eastAsia" w:ascii="宋体" w:hAnsi="宋体"/>
          <w:color w:val="auto"/>
          <w:sz w:val="24"/>
          <w:szCs w:val="24"/>
          <w:highlight w:val="none"/>
        </w:rPr>
        <w:t>五、公告期限：自公告之日起5个工作日。</w:t>
      </w:r>
    </w:p>
    <w:p>
      <w:pPr>
        <w:spacing w:line="276" w:lineRule="auto"/>
        <w:rPr>
          <w:rFonts w:hint="eastAsia" w:ascii="宋体" w:hAnsi="宋体"/>
          <w:color w:val="auto"/>
          <w:sz w:val="24"/>
          <w:szCs w:val="24"/>
          <w:highlight w:val="none"/>
        </w:rPr>
      </w:pPr>
      <w:r>
        <w:rPr>
          <w:rFonts w:hint="eastAsia" w:ascii="宋体" w:hAnsi="宋体"/>
          <w:color w:val="auto"/>
          <w:sz w:val="24"/>
          <w:szCs w:val="24"/>
          <w:highlight w:val="none"/>
        </w:rPr>
        <w:t>六、其他补充事项：本项目在四楼开标区视频直播评审现场实况</w:t>
      </w:r>
      <w:r>
        <w:rPr>
          <w:rFonts w:hint="eastAsia" w:ascii="宋体" w:hAnsi="宋体"/>
          <w:color w:val="auto"/>
          <w:sz w:val="24"/>
          <w:highlight w:val="none"/>
        </w:rPr>
        <w:t>。</w:t>
      </w:r>
    </w:p>
    <w:p>
      <w:pPr>
        <w:spacing w:line="276" w:lineRule="auto"/>
        <w:rPr>
          <w:rFonts w:hint="eastAsia" w:ascii="宋体" w:hAnsi="宋体"/>
          <w:color w:val="auto"/>
          <w:sz w:val="24"/>
          <w:szCs w:val="24"/>
          <w:highlight w:val="none"/>
        </w:rPr>
      </w:pPr>
      <w:r>
        <w:rPr>
          <w:rFonts w:hint="eastAsia" w:ascii="宋体" w:hAnsi="宋体"/>
          <w:color w:val="auto"/>
          <w:sz w:val="24"/>
          <w:szCs w:val="24"/>
          <w:highlight w:val="none"/>
        </w:rPr>
        <w:t>七、对本次采购提出询问，请按以下方式联系。</w:t>
      </w:r>
    </w:p>
    <w:p>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1、采购人：宁波市机关事务管理局、宁波市交通运输局</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宁波市交通发展研究中心</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宁波市公路与运输管理中心</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宁波市港航管理中心 联系人:陈老师、周老师电话：0574-89185311、0574-8</w:t>
      </w:r>
      <w:r>
        <w:rPr>
          <w:rFonts w:hint="eastAsia" w:ascii="宋体" w:hAnsi="宋体"/>
          <w:color w:val="auto"/>
          <w:sz w:val="24"/>
          <w:szCs w:val="24"/>
          <w:highlight w:val="none"/>
          <w:lang w:val="en-US" w:eastAsia="zh-CN"/>
        </w:rPr>
        <w:t>9189090</w:t>
      </w:r>
      <w:r>
        <w:rPr>
          <w:rFonts w:hint="eastAsia" w:ascii="宋体" w:hAnsi="宋体"/>
          <w:color w:val="auto"/>
          <w:sz w:val="24"/>
          <w:szCs w:val="24"/>
          <w:highlight w:val="none"/>
        </w:rPr>
        <w:t xml:space="preserve">  地址：</w:t>
      </w:r>
      <w:r>
        <w:rPr>
          <w:rFonts w:hint="eastAsia" w:ascii="宋体" w:hAnsi="宋体" w:cs="宋体"/>
          <w:color w:val="auto"/>
          <w:sz w:val="24"/>
          <w:szCs w:val="24"/>
          <w:highlight w:val="none"/>
        </w:rPr>
        <w:t>宁波市鄞州区昌乐路143号</w:t>
      </w:r>
      <w:r>
        <w:rPr>
          <w:rFonts w:hint="eastAsia" w:ascii="宋体" w:hAnsi="宋体"/>
          <w:color w:val="auto"/>
          <w:sz w:val="24"/>
          <w:szCs w:val="24"/>
          <w:highlight w:val="none"/>
        </w:rPr>
        <w:t>。</w:t>
      </w:r>
    </w:p>
    <w:p>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2、集中采购机构：宁波市政府采购中心</w:t>
      </w:r>
    </w:p>
    <w:p>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项目联系人：陈先生</w:t>
      </w:r>
      <w:r>
        <w:rPr>
          <w:rFonts w:hint="eastAsia" w:ascii="宋体" w:hAnsi="宋体"/>
          <w:color w:val="auto"/>
          <w:sz w:val="24"/>
          <w:szCs w:val="24"/>
          <w:highlight w:val="none"/>
        </w:rPr>
        <w:tab/>
      </w:r>
      <w:r>
        <w:rPr>
          <w:rFonts w:hint="eastAsia" w:ascii="宋体" w:hAnsi="宋体"/>
          <w:color w:val="auto"/>
          <w:sz w:val="24"/>
          <w:szCs w:val="24"/>
          <w:highlight w:val="none"/>
        </w:rPr>
        <w:t>TEL：0574-87187959</w:t>
      </w:r>
      <w:r>
        <w:rPr>
          <w:rFonts w:hint="eastAsia" w:ascii="宋体" w:hAnsi="宋体"/>
          <w:color w:val="auto"/>
          <w:sz w:val="24"/>
          <w:szCs w:val="24"/>
          <w:highlight w:val="none"/>
        </w:rPr>
        <w:tab/>
      </w:r>
      <w:r>
        <w:rPr>
          <w:rFonts w:hint="eastAsia" w:ascii="宋体" w:hAnsi="宋体"/>
          <w:color w:val="auto"/>
          <w:sz w:val="24"/>
          <w:szCs w:val="24"/>
          <w:highlight w:val="none"/>
        </w:rPr>
        <w:t>FAX：0574-87187961</w:t>
      </w:r>
    </w:p>
    <w:p>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地址：宁波市鄞州区宁穿路1901号市行政服务中心五楼  邮编：315066</w:t>
      </w:r>
    </w:p>
    <w:p>
      <w:pPr>
        <w:spacing w:line="440" w:lineRule="exact"/>
        <w:jc w:val="center"/>
        <w:rPr>
          <w:rFonts w:ascii="宋体" w:hAnsi="宋体"/>
          <w:b/>
          <w:color w:val="auto"/>
          <w:sz w:val="36"/>
          <w:highlight w:val="none"/>
        </w:rPr>
      </w:pPr>
      <w:r>
        <w:rPr>
          <w:rFonts w:eastAsia="黑体"/>
          <w:color w:val="auto"/>
          <w:sz w:val="32"/>
          <w:highlight w:val="none"/>
        </w:rPr>
        <w:br w:type="page"/>
      </w:r>
      <w:r>
        <w:rPr>
          <w:rFonts w:hint="eastAsia" w:ascii="宋体" w:hAnsi="宋体"/>
          <w:b/>
          <w:color w:val="auto"/>
          <w:sz w:val="36"/>
          <w:highlight w:val="none"/>
        </w:rPr>
        <w:t>第二部分  项目需求说明及评标标准</w:t>
      </w:r>
    </w:p>
    <w:p>
      <w:pPr>
        <w:spacing w:line="440" w:lineRule="exact"/>
        <w:rPr>
          <w:rFonts w:hint="eastAsia" w:ascii="宋体" w:hAnsi="宋体"/>
          <w:b/>
          <w:color w:val="auto"/>
          <w:sz w:val="32"/>
          <w:highlight w:val="none"/>
        </w:rPr>
      </w:pPr>
    </w:p>
    <w:p>
      <w:pPr>
        <w:tabs>
          <w:tab w:val="left" w:pos="2520"/>
        </w:tabs>
        <w:ind w:left="1" w:hanging="1"/>
        <w:rPr>
          <w:rFonts w:hint="eastAsia"/>
          <w:b/>
          <w:color w:val="auto"/>
          <w:sz w:val="28"/>
          <w:highlight w:val="none"/>
        </w:rPr>
      </w:pPr>
      <w:r>
        <w:rPr>
          <w:rFonts w:hint="eastAsia"/>
          <w:b/>
          <w:color w:val="auto"/>
          <w:sz w:val="32"/>
          <w:highlight w:val="none"/>
        </w:rPr>
        <w:t>特别申明</w:t>
      </w:r>
      <w:r>
        <w:rPr>
          <w:rFonts w:hint="eastAsia"/>
          <w:b/>
          <w:color w:val="auto"/>
          <w:sz w:val="28"/>
          <w:highlight w:val="none"/>
        </w:rPr>
        <w:t>：</w:t>
      </w:r>
    </w:p>
    <w:p>
      <w:pPr>
        <w:numPr>
          <w:ilvl w:val="0"/>
          <w:numId w:val="2"/>
        </w:numPr>
        <w:tabs>
          <w:tab w:val="left" w:pos="2520"/>
        </w:tabs>
        <w:ind w:left="1" w:hanging="1"/>
        <w:rPr>
          <w:rFonts w:hint="eastAsia"/>
          <w:b/>
          <w:color w:val="auto"/>
          <w:sz w:val="24"/>
          <w:highlight w:val="none"/>
        </w:rPr>
      </w:pPr>
      <w:r>
        <w:rPr>
          <w:rFonts w:hint="eastAsia"/>
          <w:b/>
          <w:color w:val="auto"/>
          <w:sz w:val="24"/>
          <w:highlight w:val="none"/>
        </w:rPr>
        <w:t>任何违反《政府采购法实施条例》第20条规定的要求均为无效采购需求。</w:t>
      </w:r>
    </w:p>
    <w:p>
      <w:pPr>
        <w:numPr>
          <w:ilvl w:val="0"/>
          <w:numId w:val="2"/>
        </w:numPr>
        <w:tabs>
          <w:tab w:val="left" w:pos="2520"/>
        </w:tabs>
        <w:ind w:left="1" w:hanging="1"/>
        <w:rPr>
          <w:rFonts w:hint="eastAsia"/>
          <w:b/>
          <w:color w:val="auto"/>
          <w:sz w:val="24"/>
          <w:highlight w:val="none"/>
        </w:rPr>
      </w:pPr>
      <w:r>
        <w:rPr>
          <w:rFonts w:hint="eastAsia"/>
          <w:b/>
          <w:color w:val="auto"/>
          <w:sz w:val="24"/>
          <w:highlight w:val="none"/>
        </w:rPr>
        <w:t>不得将注册资金、资产总额、营业收入、从业人员、利润、纳税额等供应商规模条件作为资格要求或者评审因素，不得将除进口产品以外的生产厂家的授权、承诺、证明、背书等作为资格要求。</w:t>
      </w:r>
    </w:p>
    <w:p>
      <w:pPr>
        <w:numPr>
          <w:ilvl w:val="0"/>
          <w:numId w:val="2"/>
        </w:numPr>
        <w:jc w:val="left"/>
        <w:rPr>
          <w:rFonts w:ascii="宋体" w:hAnsi="宋体"/>
          <w:b/>
          <w:bCs/>
          <w:color w:val="auto"/>
          <w:sz w:val="24"/>
          <w:szCs w:val="24"/>
          <w:highlight w:val="none"/>
        </w:rPr>
      </w:pPr>
      <w:r>
        <w:rPr>
          <w:rFonts w:hint="eastAsia" w:ascii="宋体" w:hAnsi="宋体"/>
          <w:b/>
          <w:bCs/>
          <w:color w:val="auto"/>
          <w:sz w:val="24"/>
          <w:szCs w:val="24"/>
          <w:highlight w:val="none"/>
        </w:rPr>
        <w:t>招标文件提供的数据资料仅为投标参考使用，详细信息投标方应实地踏勘现场调查核实，中标后，供应商不得以不完全了解施工现场和周围环境情况为借口，提出额外补偿的要求！</w:t>
      </w:r>
    </w:p>
    <w:p>
      <w:pPr>
        <w:numPr>
          <w:ilvl w:val="0"/>
          <w:numId w:val="2"/>
        </w:numPr>
        <w:jc w:val="left"/>
        <w:rPr>
          <w:rFonts w:hint="eastAsia" w:ascii="宋体" w:hAnsi="宋体"/>
          <w:b/>
          <w:bCs/>
          <w:color w:val="auto"/>
          <w:sz w:val="24"/>
          <w:szCs w:val="24"/>
          <w:highlight w:val="none"/>
        </w:rPr>
      </w:pPr>
      <w:r>
        <w:rPr>
          <w:rFonts w:hint="eastAsia" w:ascii="宋体" w:hAnsi="宋体"/>
          <w:b/>
          <w:bCs/>
          <w:color w:val="auto"/>
          <w:sz w:val="24"/>
          <w:szCs w:val="24"/>
          <w:highlight w:val="none"/>
        </w:rPr>
        <w:t>招标文件要求合同复印件、资质、证明等信息复印件需盖章编制到投标书中。</w:t>
      </w:r>
    </w:p>
    <w:p>
      <w:pPr>
        <w:numPr>
          <w:ilvl w:val="0"/>
          <w:numId w:val="2"/>
        </w:numPr>
        <w:jc w:val="left"/>
        <w:rPr>
          <w:rFonts w:hint="eastAsia" w:ascii="宋体" w:hAnsi="宋体"/>
          <w:b/>
          <w:bCs/>
          <w:color w:val="auto"/>
          <w:sz w:val="24"/>
          <w:szCs w:val="24"/>
          <w:highlight w:val="none"/>
        </w:rPr>
      </w:pPr>
      <w:r>
        <w:rPr>
          <w:rFonts w:hint="eastAsia" w:ascii="宋体" w:hAnsi="宋体"/>
          <w:b/>
          <w:bCs/>
          <w:color w:val="auto"/>
          <w:sz w:val="24"/>
          <w:szCs w:val="24"/>
          <w:highlight w:val="none"/>
        </w:rPr>
        <w:t>投标人应列出报价的明细构成表，并附上每项报价的计算方法、过程及依据。</w:t>
      </w:r>
    </w:p>
    <w:p>
      <w:pPr>
        <w:tabs>
          <w:tab w:val="left" w:pos="2520"/>
        </w:tabs>
        <w:rPr>
          <w:rFonts w:hint="eastAsia"/>
          <w:b/>
          <w:color w:val="auto"/>
          <w:sz w:val="24"/>
          <w:highlight w:val="none"/>
        </w:rPr>
      </w:pPr>
    </w:p>
    <w:p>
      <w:pPr>
        <w:spacing w:line="440" w:lineRule="exact"/>
        <w:rPr>
          <w:rFonts w:hint="eastAsia"/>
          <w:b/>
          <w:color w:val="auto"/>
          <w:sz w:val="24"/>
          <w:highlight w:val="none"/>
        </w:rPr>
      </w:pPr>
    </w:p>
    <w:p>
      <w:pPr>
        <w:tabs>
          <w:tab w:val="left" w:pos="2520"/>
        </w:tabs>
        <w:ind w:left="1" w:hanging="1"/>
        <w:rPr>
          <w:color w:val="auto"/>
          <w:sz w:val="24"/>
          <w:highlight w:val="none"/>
        </w:rPr>
      </w:pPr>
    </w:p>
    <w:p>
      <w:pPr>
        <w:pStyle w:val="54"/>
        <w:ind w:firstLine="267" w:firstLineChars="83"/>
        <w:jc w:val="center"/>
        <w:rPr>
          <w:rFonts w:hint="eastAsia" w:ascii="Arial" w:hAnsi="Arial"/>
          <w:color w:val="auto"/>
          <w:highlight w:val="none"/>
        </w:rPr>
      </w:pPr>
      <w:r>
        <w:rPr>
          <w:rFonts w:hint="eastAsia"/>
          <w:b/>
          <w:color w:val="auto"/>
          <w:sz w:val="32"/>
          <w:highlight w:val="none"/>
        </w:rPr>
        <w:t>项目需求说明</w:t>
      </w:r>
      <w:r>
        <w:rPr>
          <w:rFonts w:hint="eastAsia"/>
          <w:b/>
          <w:color w:val="auto"/>
          <w:sz w:val="28"/>
          <w:highlight w:val="none"/>
        </w:rPr>
        <w:t>：</w:t>
      </w:r>
    </w:p>
    <w:p>
      <w:pPr>
        <w:rPr>
          <w:rFonts w:hint="eastAsia"/>
          <w:color w:val="auto"/>
          <w:sz w:val="28"/>
          <w:szCs w:val="28"/>
          <w:highlight w:val="none"/>
        </w:rPr>
      </w:pPr>
      <w:r>
        <w:rPr>
          <w:rFonts w:hint="eastAsia"/>
          <w:color w:val="auto"/>
          <w:sz w:val="28"/>
          <w:szCs w:val="28"/>
          <w:highlight w:val="none"/>
        </w:rPr>
        <w:t>标包一：</w:t>
      </w:r>
    </w:p>
    <w:p>
      <w:pPr>
        <w:pStyle w:val="54"/>
        <w:ind w:firstLine="0" w:firstLineChars="0"/>
        <w:rPr>
          <w:rFonts w:hint="eastAsia" w:ascii="宋体" w:hAnsi="宋体" w:cs="Tahoma"/>
          <w:color w:val="auto"/>
          <w:highlight w:val="none"/>
        </w:rPr>
      </w:pPr>
    </w:p>
    <w:p>
      <w:pPr>
        <w:widowControl/>
        <w:spacing w:before="150" w:after="150"/>
        <w:jc w:val="left"/>
        <w:rPr>
          <w:rFonts w:ascii="宋体" w:cs="宋体"/>
          <w:b/>
          <w:color w:val="auto"/>
          <w:kern w:val="0"/>
          <w:sz w:val="28"/>
          <w:szCs w:val="28"/>
          <w:highlight w:val="none"/>
        </w:rPr>
      </w:pPr>
      <w:r>
        <w:rPr>
          <w:rFonts w:hint="eastAsia" w:ascii="宋体" w:cs="宋体"/>
          <w:b/>
          <w:color w:val="auto"/>
          <w:kern w:val="0"/>
          <w:sz w:val="28"/>
          <w:szCs w:val="28"/>
          <w:highlight w:val="none"/>
        </w:rPr>
        <w:t>一、物业概况</w:t>
      </w:r>
    </w:p>
    <w:p>
      <w:pPr>
        <w:spacing w:line="288" w:lineRule="auto"/>
        <w:rPr>
          <w:rFonts w:ascii="宋体" w:cs="宋体"/>
          <w:color w:val="auto"/>
          <w:sz w:val="24"/>
          <w:highlight w:val="none"/>
        </w:rPr>
      </w:pPr>
      <w:r>
        <w:rPr>
          <w:rFonts w:hint="eastAsia" w:ascii="宋体" w:cs="宋体"/>
          <w:b/>
          <w:bCs/>
          <w:color w:val="auto"/>
          <w:sz w:val="24"/>
          <w:highlight w:val="none"/>
        </w:rPr>
        <w:t>（一）项目说明</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1、宁波市东部新城B-8#地块1#和2#</w:t>
      </w:r>
      <w:r>
        <w:rPr>
          <w:rFonts w:hint="eastAsia" w:ascii="宋体" w:hAnsi="宋体" w:cs="宋体"/>
          <w:color w:val="auto"/>
          <w:sz w:val="24"/>
          <w:szCs w:val="24"/>
          <w:highlight w:val="none"/>
          <w:lang w:eastAsia="zh-CN"/>
        </w:rPr>
        <w:t>办公</w:t>
      </w:r>
      <w:r>
        <w:rPr>
          <w:rFonts w:hint="eastAsia" w:ascii="宋体" w:hAnsi="宋体" w:cs="宋体"/>
          <w:color w:val="auto"/>
          <w:sz w:val="24"/>
          <w:szCs w:val="24"/>
          <w:highlight w:val="none"/>
        </w:rPr>
        <w:t>楼位于东部新城中央走廊南侧混合使用区，地址：宁波市鄞州区昌乐路143号，东临承源路，南临和济街，北临民安路。</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1#楼的采购人为宁波市机关事务管理局，2#楼的采购人为宁波市交通运输局。</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2、主要设备配置：电梯、高低压配电系统、应急供电系统、闭路电视监控、暖通系统、安防系统、消防系统、给排水系统、照明系统、楼宇自控系统。</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空调：主楼中央空调为特灵品牌，空调系统，系统主机3台，系统有3套冷水机组。1-2层办公、商铺为多联机空调，空调为日立品牌，室外机组11台，热交换器1台。</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电梯：日立高速电梯高层13台、低层电梯4台，餐厅送餐梯4台，其中1#楼高层电梯5台，低层电梯2台，餐厅送餐梯2台；2#楼高层电梯8台，低层电梯2台，餐厅送餐梯2台。</w:t>
      </w: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3、技术指标：项目总占地面积9656平方米，地上建筑面积</w:t>
      </w:r>
      <w:r>
        <w:rPr>
          <w:rFonts w:hint="eastAsia" w:ascii="宋体" w:hAnsi="宋体" w:cs="宋体"/>
          <w:color w:val="auto"/>
          <w:sz w:val="24"/>
          <w:szCs w:val="24"/>
          <w:highlight w:val="none"/>
          <w:u w:val="single"/>
        </w:rPr>
        <w:t>63863.38</w:t>
      </w:r>
      <w:r>
        <w:rPr>
          <w:rFonts w:hint="eastAsia" w:ascii="宋体" w:hAnsi="宋体" w:cs="宋体"/>
          <w:color w:val="auto"/>
          <w:sz w:val="24"/>
          <w:szCs w:val="24"/>
          <w:highlight w:val="none"/>
        </w:rPr>
        <w:t>平方米，地下建筑面积</w:t>
      </w:r>
      <w:r>
        <w:rPr>
          <w:rFonts w:hint="eastAsia" w:ascii="宋体" w:hAnsi="宋体" w:cs="宋体"/>
          <w:color w:val="auto"/>
          <w:sz w:val="24"/>
          <w:szCs w:val="24"/>
          <w:highlight w:val="none"/>
          <w:u w:val="single"/>
        </w:rPr>
        <w:t>23977.01</w:t>
      </w:r>
      <w:r>
        <w:rPr>
          <w:rFonts w:hint="eastAsia" w:ascii="宋体" w:hAnsi="宋体" w:cs="宋体"/>
          <w:color w:val="auto"/>
          <w:sz w:val="24"/>
          <w:szCs w:val="24"/>
          <w:highlight w:val="none"/>
        </w:rPr>
        <w:t>平方米，地下共三层；物业用房等配套用房面积1911.34平方米。其中1#楼地上建筑面积23786.63平方米，主楼22层，附楼3层，地下停车位163个；2#楼地上建筑面积38165.41平方米，主楼29层，附楼3层，地下停车位257个，地面停车位12个。</w:t>
      </w: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4、容积率1#楼6.12，2#楼7.49。</w:t>
      </w: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5、绿化总面积为984.9平方米，其中1#楼绿化面积为378平方米，2#楼绿化面积为606.9平方米。</w:t>
      </w: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6、会议室：共39个，其中1#楼集中会议室1个（建筑面积150 平方米），楼层会议室11个。2#楼集中会议室1个（建筑面积200平方米），楼层会议室26个。</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要求供应商充分理解本项目的特点，以采购人的满意度为服务标准，全方位满足机关办公的特性。对招标文件内所有的服务内容按</w:t>
      </w:r>
      <w:r>
        <w:rPr>
          <w:rFonts w:hint="eastAsia" w:ascii="宋体" w:hAnsi="宋体" w:cs="宋体"/>
          <w:color w:val="auto"/>
          <w:sz w:val="24"/>
          <w:szCs w:val="24"/>
          <w:highlight w:val="none"/>
          <w:u w:val="single"/>
        </w:rPr>
        <w:t>浙江省、宁波市机关办公物业服务有关标准</w:t>
      </w:r>
      <w:r>
        <w:rPr>
          <w:rFonts w:hint="eastAsia" w:ascii="宋体" w:hAnsi="宋体" w:cs="宋体"/>
          <w:color w:val="auto"/>
          <w:sz w:val="24"/>
          <w:szCs w:val="24"/>
          <w:highlight w:val="none"/>
        </w:rPr>
        <w:t>及操作规范作出实质性响应，要求制定物业服务方案，并按投标响应和承诺进行实施运作。</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将由一家供应商独立承包，实行统一管理，综合服务，不得分包经营。项目实行总负责制，要求由项目总负责人和各部业务主管组成项目的核心服务团队。要求供应商承诺派出的核心服务团队成员到岗率达100%，并接受采购人的考核。要求服务人员配置合理，统筹使用；专业技术人员必须持证上岗，标志明显，作风严谨，服务规范；全体员工在后勤服务期间，必须仪容整洁、仪表端正、礼仪规范；同时按采购人要求做好节能工作。</w:t>
      </w:r>
    </w:p>
    <w:p>
      <w:pPr>
        <w:spacing w:line="440" w:lineRule="exact"/>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为了提高综合服务水平，确保服务质量，投标人应在拟派团队中组建一个由下表人员和数量组成的核心团队岗位。投标人应采取有效措施稳定核心团队队伍，年人员更换率不得超过20%，如确需更换，需提前1月书面申请，并</w:t>
      </w:r>
      <w:r>
        <w:rPr>
          <w:rFonts w:hint="eastAsia" w:ascii="宋体" w:hAnsi="宋体" w:cs="宋体"/>
          <w:snapToGrid w:val="0"/>
          <w:color w:val="auto"/>
          <w:kern w:val="0"/>
          <w:sz w:val="24"/>
          <w:szCs w:val="24"/>
          <w:highlight w:val="none"/>
        </w:rPr>
        <w:t>征得采购人批准，否则将承担违约责任。</w:t>
      </w:r>
      <w:r>
        <w:rPr>
          <w:rFonts w:hint="eastAsia" w:ascii="宋体" w:hAnsi="宋体" w:cs="宋体"/>
          <w:b/>
          <w:bCs/>
          <w:color w:val="auto"/>
          <w:sz w:val="24"/>
          <w:szCs w:val="24"/>
          <w:highlight w:val="none"/>
        </w:rPr>
        <w:t>核心团队的岗位设定和人数具体如下:</w:t>
      </w:r>
    </w:p>
    <w:p>
      <w:pPr>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核心团队岗位列表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3139"/>
        <w:gridCol w:w="2140"/>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1"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690"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岗位名称</w:t>
            </w:r>
          </w:p>
        </w:tc>
        <w:tc>
          <w:tcPr>
            <w:tcW w:w="1152"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人数</w:t>
            </w:r>
          </w:p>
        </w:tc>
        <w:tc>
          <w:tcPr>
            <w:tcW w:w="1435"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690"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项目经理</w:t>
            </w:r>
          </w:p>
        </w:tc>
        <w:tc>
          <w:tcPr>
            <w:tcW w:w="1152"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435" w:type="pct"/>
            <w:noWrap/>
            <w:vAlign w:val="center"/>
          </w:tcPr>
          <w:p>
            <w:pPr>
              <w:widowControl/>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1"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90"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项目经理助理</w:t>
            </w:r>
          </w:p>
        </w:tc>
        <w:tc>
          <w:tcPr>
            <w:tcW w:w="1152"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435" w:type="pct"/>
            <w:noWrap/>
            <w:vAlign w:val="center"/>
          </w:tcPr>
          <w:p>
            <w:pPr>
              <w:widowControl/>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1"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90"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部门主管</w:t>
            </w:r>
          </w:p>
        </w:tc>
        <w:tc>
          <w:tcPr>
            <w:tcW w:w="1152"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435" w:type="pct"/>
            <w:noWrap/>
            <w:vAlign w:val="center"/>
          </w:tcPr>
          <w:p>
            <w:pPr>
              <w:widowControl/>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1"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690"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安保领班</w:t>
            </w:r>
          </w:p>
        </w:tc>
        <w:tc>
          <w:tcPr>
            <w:tcW w:w="1152"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435" w:type="pct"/>
            <w:noWrap/>
            <w:vAlign w:val="center"/>
          </w:tcPr>
          <w:p>
            <w:pPr>
              <w:widowControl/>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1"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90"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保洁领班</w:t>
            </w:r>
          </w:p>
        </w:tc>
        <w:tc>
          <w:tcPr>
            <w:tcW w:w="1152"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435" w:type="pct"/>
            <w:noWrap/>
            <w:vAlign w:val="center"/>
          </w:tcPr>
          <w:p>
            <w:pPr>
              <w:widowControl/>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1"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690"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财务及人事管理</w:t>
            </w:r>
          </w:p>
        </w:tc>
        <w:tc>
          <w:tcPr>
            <w:tcW w:w="1152"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435" w:type="pct"/>
            <w:noWrap/>
            <w:vAlign w:val="center"/>
          </w:tcPr>
          <w:p>
            <w:pPr>
              <w:widowControl/>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1"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690"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档案管理</w:t>
            </w:r>
          </w:p>
        </w:tc>
        <w:tc>
          <w:tcPr>
            <w:tcW w:w="1152"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435" w:type="pct"/>
            <w:noWrap/>
            <w:vAlign w:val="center"/>
          </w:tcPr>
          <w:p>
            <w:pPr>
              <w:widowControl/>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1" w:type="pct"/>
            <w:noWrap/>
            <w:vAlign w:val="center"/>
          </w:tcPr>
          <w:p>
            <w:pPr>
              <w:rPr>
                <w:rFonts w:hint="eastAsia" w:ascii="宋体" w:hAnsi="宋体" w:eastAsia="宋体" w:cs="宋体"/>
                <w:color w:val="auto"/>
                <w:sz w:val="24"/>
                <w:szCs w:val="24"/>
                <w:highlight w:val="none"/>
              </w:rPr>
            </w:pPr>
          </w:p>
        </w:tc>
        <w:tc>
          <w:tcPr>
            <w:tcW w:w="1690" w:type="pct"/>
            <w:noWrap/>
            <w:vAlign w:val="center"/>
          </w:tcPr>
          <w:p>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合计</w:t>
            </w:r>
          </w:p>
        </w:tc>
        <w:tc>
          <w:tcPr>
            <w:tcW w:w="1152" w:type="pct"/>
            <w:noWrap/>
            <w:vAlign w:val="center"/>
          </w:tcPr>
          <w:p>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12</w:t>
            </w:r>
          </w:p>
        </w:tc>
        <w:tc>
          <w:tcPr>
            <w:tcW w:w="1435" w:type="pct"/>
            <w:noWrap/>
            <w:vAlign w:val="center"/>
          </w:tcPr>
          <w:p>
            <w:pPr>
              <w:widowControl/>
              <w:jc w:val="left"/>
              <w:rPr>
                <w:rFonts w:hint="eastAsia" w:ascii="宋体" w:hAnsi="宋体" w:eastAsia="宋体" w:cs="宋体"/>
                <w:color w:val="auto"/>
                <w:kern w:val="0"/>
                <w:sz w:val="24"/>
                <w:szCs w:val="24"/>
                <w:highlight w:val="none"/>
              </w:rPr>
            </w:pPr>
          </w:p>
        </w:tc>
      </w:tr>
    </w:tbl>
    <w:p>
      <w:pPr>
        <w:spacing w:line="288" w:lineRule="auto"/>
        <w:rPr>
          <w:rFonts w:ascii="宋体" w:cs="宋体"/>
          <w:b/>
          <w:bCs/>
          <w:color w:val="auto"/>
          <w:sz w:val="24"/>
          <w:highlight w:val="none"/>
        </w:rPr>
      </w:pPr>
      <w:r>
        <w:rPr>
          <w:rFonts w:hint="eastAsia" w:ascii="宋体" w:cs="宋体"/>
          <w:b/>
          <w:bCs/>
          <w:color w:val="auto"/>
          <w:sz w:val="24"/>
          <w:highlight w:val="none"/>
        </w:rPr>
        <w:t>（二）投标报价</w:t>
      </w:r>
    </w:p>
    <w:p>
      <w:pPr>
        <w:snapToGrid w:val="0"/>
        <w:spacing w:line="360" w:lineRule="auto"/>
        <w:rPr>
          <w:rFonts w:ascii="宋体"/>
          <w:color w:val="auto"/>
          <w:sz w:val="24"/>
          <w:szCs w:val="24"/>
          <w:highlight w:val="none"/>
        </w:rPr>
      </w:pPr>
      <w:r>
        <w:rPr>
          <w:rFonts w:hint="eastAsia" w:ascii="宋体"/>
          <w:color w:val="auto"/>
          <w:highlight w:val="none"/>
        </w:rPr>
        <w:t xml:space="preserve">   </w:t>
      </w:r>
      <w:r>
        <w:rPr>
          <w:rFonts w:hint="eastAsia" w:ascii="宋体"/>
          <w:color w:val="auto"/>
          <w:sz w:val="24"/>
          <w:szCs w:val="24"/>
          <w:highlight w:val="none"/>
        </w:rPr>
        <w:t xml:space="preserve"> 本项目物业实行包干制，1#楼、2#楼物业服务费用分别测算，总体报价，评标价格为1#楼与2#楼相加的总体报价。其中：</w:t>
      </w:r>
    </w:p>
    <w:p>
      <w:pPr>
        <w:numPr>
          <w:ilvl w:val="0"/>
          <w:numId w:val="3"/>
        </w:numPr>
        <w:snapToGrid w:val="0"/>
        <w:spacing w:line="360" w:lineRule="auto"/>
        <w:rPr>
          <w:rFonts w:ascii="宋体"/>
          <w:color w:val="auto"/>
          <w:sz w:val="24"/>
          <w:szCs w:val="24"/>
          <w:highlight w:val="none"/>
        </w:rPr>
      </w:pPr>
      <w:r>
        <w:rPr>
          <w:rFonts w:hint="eastAsia" w:ascii="宋体"/>
          <w:color w:val="auto"/>
          <w:sz w:val="24"/>
          <w:szCs w:val="24"/>
          <w:highlight w:val="none"/>
        </w:rPr>
        <w:t>工程维修人员费用按各自地上建筑面积进行分摊。</w:t>
      </w:r>
    </w:p>
    <w:p>
      <w:pPr>
        <w:numPr>
          <w:ilvl w:val="0"/>
          <w:numId w:val="3"/>
        </w:numPr>
        <w:snapToGrid w:val="0"/>
        <w:spacing w:line="360" w:lineRule="auto"/>
        <w:rPr>
          <w:rFonts w:ascii="宋体"/>
          <w:color w:val="auto"/>
          <w:sz w:val="24"/>
          <w:szCs w:val="24"/>
          <w:highlight w:val="none"/>
        </w:rPr>
      </w:pPr>
      <w:r>
        <w:rPr>
          <w:rFonts w:hint="eastAsia" w:ascii="宋体"/>
          <w:color w:val="auto"/>
          <w:sz w:val="24"/>
          <w:szCs w:val="24"/>
          <w:highlight w:val="none"/>
        </w:rPr>
        <w:t>电梯年检及维护费用根据1#楼及2#楼不同的配置数量分别测算。</w:t>
      </w:r>
    </w:p>
    <w:p>
      <w:pPr>
        <w:numPr>
          <w:ilvl w:val="0"/>
          <w:numId w:val="3"/>
        </w:numPr>
        <w:snapToGrid w:val="0"/>
        <w:spacing w:line="360" w:lineRule="auto"/>
        <w:rPr>
          <w:rFonts w:ascii="宋体"/>
          <w:color w:val="auto"/>
          <w:sz w:val="24"/>
          <w:szCs w:val="24"/>
          <w:highlight w:val="none"/>
        </w:rPr>
      </w:pPr>
      <w:r>
        <w:rPr>
          <w:rFonts w:ascii="宋体"/>
          <w:color w:val="auto"/>
          <w:sz w:val="24"/>
          <w:szCs w:val="24"/>
          <w:highlight w:val="none"/>
        </w:rPr>
        <w:t>项目</w:t>
      </w:r>
      <w:r>
        <w:rPr>
          <w:rFonts w:hint="eastAsia" w:ascii="宋体"/>
          <w:color w:val="auto"/>
          <w:sz w:val="24"/>
          <w:szCs w:val="24"/>
          <w:highlight w:val="none"/>
        </w:rPr>
        <w:t>经理</w:t>
      </w:r>
      <w:r>
        <w:rPr>
          <w:rFonts w:ascii="宋体"/>
          <w:color w:val="auto"/>
          <w:sz w:val="24"/>
          <w:szCs w:val="24"/>
          <w:highlight w:val="none"/>
        </w:rPr>
        <w:t>、</w:t>
      </w:r>
      <w:r>
        <w:rPr>
          <w:rFonts w:hint="eastAsia" w:ascii="宋体"/>
          <w:color w:val="auto"/>
          <w:sz w:val="24"/>
          <w:szCs w:val="24"/>
          <w:highlight w:val="none"/>
        </w:rPr>
        <w:t>经理助理、</w:t>
      </w:r>
      <w:r>
        <w:rPr>
          <w:rFonts w:ascii="宋体"/>
          <w:color w:val="auto"/>
          <w:sz w:val="24"/>
          <w:szCs w:val="24"/>
          <w:highlight w:val="none"/>
        </w:rPr>
        <w:t>档案</w:t>
      </w:r>
      <w:r>
        <w:rPr>
          <w:rFonts w:hint="eastAsia" w:ascii="宋体"/>
          <w:color w:val="auto"/>
          <w:sz w:val="24"/>
          <w:szCs w:val="24"/>
          <w:highlight w:val="none"/>
        </w:rPr>
        <w:t>、</w:t>
      </w:r>
      <w:r>
        <w:rPr>
          <w:rFonts w:hint="eastAsia" w:ascii="宋体" w:hAnsi="宋体" w:cs="宋体"/>
          <w:color w:val="auto"/>
          <w:kern w:val="0"/>
          <w:sz w:val="24"/>
          <w:szCs w:val="24"/>
          <w:highlight w:val="none"/>
        </w:rPr>
        <w:t>财务及人事管理</w:t>
      </w:r>
      <w:r>
        <w:rPr>
          <w:rFonts w:hint="eastAsia" w:ascii="宋体"/>
          <w:color w:val="auto"/>
          <w:sz w:val="24"/>
          <w:szCs w:val="24"/>
          <w:highlight w:val="none"/>
        </w:rPr>
        <w:t>行政人员</w:t>
      </w:r>
      <w:r>
        <w:rPr>
          <w:rFonts w:ascii="宋体"/>
          <w:color w:val="auto"/>
          <w:sz w:val="24"/>
          <w:szCs w:val="24"/>
          <w:highlight w:val="none"/>
        </w:rPr>
        <w:t>，</w:t>
      </w:r>
      <w:r>
        <w:rPr>
          <w:rFonts w:hint="eastAsia" w:ascii="宋体"/>
          <w:color w:val="auto"/>
          <w:sz w:val="24"/>
          <w:szCs w:val="24"/>
          <w:highlight w:val="none"/>
        </w:rPr>
        <w:t>主管及主管以上管理人员费用按各自地上建筑面积进行分摊。</w:t>
      </w:r>
    </w:p>
    <w:p>
      <w:pPr>
        <w:numPr>
          <w:ilvl w:val="0"/>
          <w:numId w:val="3"/>
        </w:numPr>
        <w:snapToGrid w:val="0"/>
        <w:spacing w:line="360" w:lineRule="auto"/>
        <w:rPr>
          <w:rFonts w:ascii="宋体"/>
          <w:color w:val="auto"/>
          <w:sz w:val="24"/>
          <w:szCs w:val="24"/>
          <w:highlight w:val="none"/>
        </w:rPr>
      </w:pPr>
      <w:r>
        <w:rPr>
          <w:rFonts w:hint="eastAsia" w:ascii="宋体"/>
          <w:color w:val="auto"/>
          <w:sz w:val="24"/>
          <w:szCs w:val="24"/>
          <w:highlight w:val="none"/>
        </w:rPr>
        <w:t>报价</w:t>
      </w:r>
      <w:r>
        <w:rPr>
          <w:rFonts w:ascii="宋体"/>
          <w:color w:val="auto"/>
          <w:sz w:val="24"/>
          <w:szCs w:val="24"/>
          <w:highlight w:val="none"/>
        </w:rPr>
        <w:t>含公共设备小修费，</w:t>
      </w:r>
      <w:r>
        <w:rPr>
          <w:rFonts w:hint="eastAsia" w:ascii="宋体"/>
          <w:color w:val="auto"/>
          <w:sz w:val="24"/>
          <w:szCs w:val="24"/>
          <w:highlight w:val="none"/>
        </w:rPr>
        <w:t>不含公共设备实施大中修费。</w:t>
      </w:r>
    </w:p>
    <w:p>
      <w:pPr>
        <w:numPr>
          <w:ilvl w:val="0"/>
          <w:numId w:val="3"/>
        </w:numPr>
        <w:spacing w:line="360" w:lineRule="auto"/>
        <w:jc w:val="left"/>
        <w:rPr>
          <w:rFonts w:ascii="宋体"/>
          <w:color w:val="auto"/>
          <w:sz w:val="24"/>
          <w:szCs w:val="24"/>
          <w:highlight w:val="none"/>
        </w:rPr>
      </w:pPr>
      <w:r>
        <w:rPr>
          <w:rFonts w:hint="eastAsia" w:ascii="宋体"/>
          <w:color w:val="auto"/>
          <w:sz w:val="24"/>
          <w:szCs w:val="24"/>
          <w:highlight w:val="none"/>
        </w:rPr>
        <w:t>报价不含应由供应商承担其参加本招标活动自身所发生的费用。</w:t>
      </w:r>
    </w:p>
    <w:p>
      <w:pPr>
        <w:numPr>
          <w:ilvl w:val="0"/>
          <w:numId w:val="3"/>
        </w:numPr>
        <w:spacing w:line="360" w:lineRule="auto"/>
        <w:jc w:val="left"/>
        <w:rPr>
          <w:rFonts w:ascii="宋体"/>
          <w:color w:val="auto"/>
          <w:sz w:val="24"/>
          <w:szCs w:val="24"/>
          <w:highlight w:val="none"/>
        </w:rPr>
      </w:pPr>
      <w:r>
        <w:rPr>
          <w:rFonts w:hint="eastAsia" w:ascii="宋体"/>
          <w:color w:val="auto"/>
          <w:sz w:val="24"/>
          <w:szCs w:val="24"/>
          <w:highlight w:val="none"/>
        </w:rPr>
        <w:t>实际物业费按各单位建筑面积计算（空置房物业费用原则上按全额的80%收取，特殊情况协商解决）。</w:t>
      </w:r>
    </w:p>
    <w:p>
      <w:pPr>
        <w:widowControl/>
        <w:spacing w:before="150" w:after="150"/>
        <w:jc w:val="left"/>
        <w:rPr>
          <w:rFonts w:ascii="宋体" w:cs="宋体"/>
          <w:b/>
          <w:color w:val="auto"/>
          <w:kern w:val="0"/>
          <w:sz w:val="28"/>
          <w:szCs w:val="28"/>
          <w:highlight w:val="none"/>
        </w:rPr>
      </w:pPr>
      <w:r>
        <w:rPr>
          <w:rFonts w:hint="eastAsia" w:ascii="宋体" w:cs="宋体"/>
          <w:b/>
          <w:color w:val="auto"/>
          <w:kern w:val="0"/>
          <w:sz w:val="28"/>
          <w:szCs w:val="28"/>
          <w:highlight w:val="none"/>
        </w:rPr>
        <w:t>二、物业管理服务内容及要求</w:t>
      </w:r>
    </w:p>
    <w:p>
      <w:pPr>
        <w:spacing w:line="360" w:lineRule="auto"/>
        <w:rPr>
          <w:rFonts w:ascii="宋体"/>
          <w:b/>
          <w:bCs/>
          <w:color w:val="auto"/>
          <w:sz w:val="28"/>
          <w:highlight w:val="none"/>
        </w:rPr>
      </w:pPr>
      <w:bookmarkStart w:id="0" w:name="_Toc250022307"/>
      <w:bookmarkStart w:id="1" w:name="_Toc285835322"/>
      <w:bookmarkStart w:id="2" w:name="_Toc250369380"/>
      <w:bookmarkStart w:id="3" w:name="_Toc291516856"/>
      <w:bookmarkStart w:id="4" w:name="_Toc297576587"/>
      <w:bookmarkStart w:id="5" w:name="_Toc292975327"/>
      <w:bookmarkStart w:id="6" w:name="_Toc290976093"/>
      <w:bookmarkStart w:id="7" w:name="_Toc290975020"/>
      <w:bookmarkStart w:id="8" w:name="_Toc296267609"/>
      <w:bookmarkStart w:id="9" w:name="_Toc293438065"/>
      <w:bookmarkStart w:id="10" w:name="_Toc297576798"/>
      <w:bookmarkStart w:id="11" w:name="_Toc297576885"/>
      <w:bookmarkStart w:id="12" w:name="_Toc293674300"/>
      <w:r>
        <w:rPr>
          <w:rFonts w:hint="eastAsia" w:ascii="宋体"/>
          <w:b/>
          <w:color w:val="auto"/>
          <w:highlight w:val="none"/>
        </w:rPr>
        <w:t>(一)</w:t>
      </w:r>
      <w:bookmarkEnd w:id="0"/>
      <w:bookmarkEnd w:id="1"/>
      <w:bookmarkEnd w:id="2"/>
      <w:r>
        <w:rPr>
          <w:rFonts w:hint="eastAsia" w:ascii="宋体"/>
          <w:b/>
          <w:bCs/>
          <w:color w:val="auto"/>
          <w:sz w:val="28"/>
          <w:highlight w:val="none"/>
        </w:rPr>
        <w:t>房屋维护</w:t>
      </w:r>
      <w:r>
        <w:rPr>
          <w:rFonts w:ascii="宋体"/>
          <w:b/>
          <w:bCs/>
          <w:color w:val="auto"/>
          <w:sz w:val="28"/>
          <w:highlight w:val="none"/>
        </w:rPr>
        <w:t>和</w:t>
      </w:r>
      <w:r>
        <w:rPr>
          <w:rFonts w:hint="eastAsia" w:ascii="宋体"/>
          <w:b/>
          <w:bCs/>
          <w:color w:val="auto"/>
          <w:sz w:val="28"/>
          <w:highlight w:val="none"/>
        </w:rPr>
        <w:t>设备设施服务标准</w:t>
      </w:r>
      <w:r>
        <w:rPr>
          <w:rFonts w:ascii="宋体"/>
          <w:b/>
          <w:bCs/>
          <w:color w:val="auto"/>
          <w:sz w:val="28"/>
          <w:highlight w:val="none"/>
        </w:rPr>
        <w:t>及</w:t>
      </w:r>
      <w:r>
        <w:rPr>
          <w:rFonts w:hint="eastAsia" w:ascii="宋体"/>
          <w:b/>
          <w:bCs/>
          <w:color w:val="auto"/>
          <w:sz w:val="28"/>
          <w:highlight w:val="none"/>
        </w:rPr>
        <w:t>技术要求</w:t>
      </w:r>
      <w:bookmarkEnd w:id="3"/>
      <w:bookmarkEnd w:id="4"/>
      <w:bookmarkEnd w:id="5"/>
      <w:bookmarkEnd w:id="6"/>
      <w:bookmarkEnd w:id="7"/>
      <w:bookmarkEnd w:id="8"/>
      <w:bookmarkEnd w:id="9"/>
      <w:bookmarkEnd w:id="10"/>
      <w:bookmarkEnd w:id="11"/>
      <w:bookmarkEnd w:id="12"/>
    </w:p>
    <w:p>
      <w:pPr>
        <w:spacing w:line="360" w:lineRule="auto"/>
        <w:rPr>
          <w:rFonts w:hint="eastAsia" w:ascii="宋体" w:hAnsi="宋体" w:cs="宋体"/>
          <w:b/>
          <w:color w:val="auto"/>
          <w:sz w:val="24"/>
          <w:szCs w:val="24"/>
          <w:highlight w:val="none"/>
        </w:rPr>
      </w:pPr>
      <w:bookmarkStart w:id="13" w:name="_Toc290975021"/>
      <w:bookmarkStart w:id="14" w:name="_Toc296267610"/>
      <w:bookmarkStart w:id="15" w:name="_Toc293438066"/>
      <w:bookmarkStart w:id="16" w:name="_Toc293674301"/>
      <w:bookmarkStart w:id="17" w:name="_Toc297576886"/>
      <w:bookmarkStart w:id="18" w:name="_Toc297576799"/>
      <w:bookmarkStart w:id="19" w:name="_Toc297576588"/>
      <w:bookmarkStart w:id="20" w:name="_Toc292975328"/>
      <w:bookmarkStart w:id="21" w:name="_Toc291516857"/>
      <w:bookmarkStart w:id="22" w:name="_Toc290976094"/>
      <w:r>
        <w:rPr>
          <w:rFonts w:hint="eastAsia" w:ascii="宋体" w:hAnsi="宋体" w:cs="宋体"/>
          <w:b/>
          <w:color w:val="auto"/>
          <w:sz w:val="24"/>
          <w:szCs w:val="24"/>
          <w:highlight w:val="none"/>
        </w:rPr>
        <w:t>1、概况：</w:t>
      </w:r>
      <w:bookmarkEnd w:id="13"/>
      <w:bookmarkEnd w:id="14"/>
      <w:bookmarkEnd w:id="15"/>
      <w:bookmarkEnd w:id="16"/>
      <w:bookmarkEnd w:id="17"/>
      <w:bookmarkEnd w:id="18"/>
      <w:bookmarkEnd w:id="19"/>
      <w:bookmarkEnd w:id="20"/>
      <w:bookmarkEnd w:id="21"/>
      <w:bookmarkEnd w:id="22"/>
    </w:p>
    <w:p>
      <w:pPr>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房屋：详见物业概况。</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主要设备配置：电梯、高低压配电系统（应急发电系统）、闭路电视监控、暖通系统、安防系统、消防系统、给排水系统、照明系统、楼宇自控系统。</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空调：主楼中央空调为特灵品牌，空调系统，系统主机3台，系统有3套冷水机组 。1-2层办公、商铺为多联机空调，空调为日立品牌，室外机组11台、热交换器1台。</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电梯：日立高速电梯高层13台、低层电梯4台和餐厅送餐梯4台，其中1#楼高层电梯5台，低层电梯2台，餐厅送餐梯2台；2#楼高层电梯8台，低层电梯2台，餐厅送餐梯2台。</w:t>
      </w:r>
    </w:p>
    <w:p>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2、服务总体要求和目标：</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依据现代企业管理要求，采用先进的设备设施管理理念、办法和手段，提供大厦各系统及室外配套工程的运行、维护、维修保养以及对其他外来服务单位（指专业厂家或公司）监督、管理、配合等服务。</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设备设施服务的目标：无重大责任事故或重大安全事故；管理和维护采购人的设备，使其处于优良的状态，充分发挥设备的功能，提升应用价值，延长使用寿命，最大限度使设备得以保值；合理、科学地控制成本，为采购人提供优质高效的服务。要求中标单位接管后，导入ISO9001质量管理系列体系，严格按ISO14001环境质量保证体系和OHSAS18001职业安全卫生管理体系提供服务。</w:t>
      </w:r>
    </w:p>
    <w:p>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3、服务标准与要求：</w:t>
      </w:r>
    </w:p>
    <w:p>
      <w:pPr>
        <w:tabs>
          <w:tab w:val="left" w:pos="1220"/>
        </w:tabs>
        <w:spacing w:line="360" w:lineRule="auto"/>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3.1 做好房屋维护，每季度巡视不少于1 次屋架、屋面、梁、柱、板、梯、池、承重墙、地基等结构构件，发现有位移、沉降、变形、开裂等现象时，应当及时建议甲方申请房屋安全鉴定，并采取必要的避险和防护措施。每季度检查不少于1 次外墙贴饰面、幕墙玻璃、雨篷、空调室外机支撑构件等。每半月巡查不少于1 次共用部位的门、窗、楼梯、通风道等。每两个月检查不少于1 次共用部位的室内地面、墙面、天棚和室外屋面等。每半月巡查不少于1 次大门、围墙（栏）、道路、场地、管井、沟渠、景观等，每年检测不少于1 次防雷设施。每半月检查不少于1 次雨、污水管井、化粪池等。每年汛期前和强降雨天气后检查屋面防水和雨落管等，确保房屋维护安全。</w:t>
      </w:r>
    </w:p>
    <w:p>
      <w:pPr>
        <w:tabs>
          <w:tab w:val="left" w:pos="1220"/>
        </w:tabs>
        <w:spacing w:line="360" w:lineRule="auto"/>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3.2 定期检查平面路线图、指引标识、楼层标识、各功能区标识、安全警示标识、温馨提醒标识、供配电系统模拟示意图、电气开关状态标识、主要供水阀门、主要管线流向标识、交通标识等，确保标识标牌规范清晰，安装稳固。</w:t>
      </w:r>
    </w:p>
    <w:p>
      <w:pPr>
        <w:tabs>
          <w:tab w:val="left" w:pos="1220"/>
        </w:tabs>
        <w:spacing w:line="360" w:lineRule="auto"/>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3.3 房屋设计及各类设备图纸、档案资料收集齐全、分类清晰、管理完善；建立设备台账，登记详细，账物相符。</w:t>
      </w:r>
    </w:p>
    <w:p>
      <w:pPr>
        <w:tabs>
          <w:tab w:val="left" w:pos="1220"/>
        </w:tabs>
        <w:spacing w:line="360" w:lineRule="auto"/>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3.4严格按规范做好房屋维护和设备管理服务，确保各类设施设备正常使用，完好率应达到98％以上。设备机房环境整洁，物品摆放有序；机房内严禁吸烟、饮酒等，无关人员不得随意入内。</w:t>
      </w:r>
    </w:p>
    <w:p>
      <w:pPr>
        <w:tabs>
          <w:tab w:val="left" w:pos="1220"/>
        </w:tabs>
        <w:spacing w:line="360" w:lineRule="auto"/>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3.5落实设备安全运行的岗位责任制；定期巡检和维护保养，严格执行维修保养和操作使用规程，并按规定记录设备运行状况。</w:t>
      </w:r>
    </w:p>
    <w:p>
      <w:pPr>
        <w:tabs>
          <w:tab w:val="left" w:pos="1220"/>
        </w:tabs>
        <w:spacing w:line="360" w:lineRule="auto"/>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3.6设立服务电话，贯彻24小时值班值勤制度，随时接受采购人对物业管理报修、求助、建议、问询、质疑、投拆等各类信息的收集和反馈，并及时处理，有回访制度和记录；要求投诉率低于2‰，处理率和回访率应达到100%。</w:t>
      </w:r>
    </w:p>
    <w:p>
      <w:pPr>
        <w:tabs>
          <w:tab w:val="left" w:pos="1220"/>
        </w:tabs>
        <w:spacing w:line="360" w:lineRule="auto"/>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3.7在接到维修通知后，应在15分钟内到达现场，维修及时率保证达到100％。原则上要求维修期限为24小时。要求保证维修质量，减少返修，并有回访记录。</w:t>
      </w:r>
    </w:p>
    <w:p>
      <w:pPr>
        <w:tabs>
          <w:tab w:val="left" w:pos="1220"/>
        </w:tabs>
        <w:spacing w:line="360" w:lineRule="auto"/>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3.8加强日常工作巡查，及时发现并解决问题，做好问题处理情况的记录。根据季节转换特点，主动做好空调等设备的调整工作；出现电梯关人事故，接报后维修人员应在5分钟内抵达现场，协助电梯维保单位解决电梯关人问题。</w:t>
      </w:r>
    </w:p>
    <w:p>
      <w:pPr>
        <w:tabs>
          <w:tab w:val="left" w:pos="1220"/>
        </w:tabs>
        <w:spacing w:line="360" w:lineRule="auto"/>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3.9每月底向采购人提交设备管理服务运行情况工作报告。对各类消防器材做到日检查，周保养，月测试，并将检查、测试的结果及时书面报采购人。及时记录各类维修材料损耗和流向情况，定期分析物耗具体原因。</w:t>
      </w:r>
    </w:p>
    <w:p>
      <w:pPr>
        <w:tabs>
          <w:tab w:val="left" w:pos="1220"/>
        </w:tabs>
        <w:spacing w:line="360" w:lineRule="auto"/>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3.10 严格控制停水停电审批权限，有计划限停水电时，应按规定通知采购人。一旦发生事故，维修人员须在5分钟内抵现场抢修。</w:t>
      </w:r>
    </w:p>
    <w:p>
      <w:pPr>
        <w:tabs>
          <w:tab w:val="left" w:pos="1220"/>
        </w:tabs>
        <w:spacing w:line="360" w:lineRule="auto"/>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3.11积极开展节能降耗工作，每月提供能耗数据分析报告，提出节能降耗的合理化建议。</w:t>
      </w:r>
    </w:p>
    <w:p>
      <w:pPr>
        <w:tabs>
          <w:tab w:val="left" w:pos="1220"/>
        </w:tabs>
        <w:spacing w:line="360" w:lineRule="auto"/>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3.12技术骨干离职调动，须提前告知采购人；保持员工队伍相对稳定。</w:t>
      </w:r>
    </w:p>
    <w:p>
      <w:pPr>
        <w:tabs>
          <w:tab w:val="left" w:pos="1220"/>
        </w:tabs>
        <w:spacing w:line="360" w:lineRule="auto"/>
        <w:ind w:firstLine="360" w:firstLineChars="150"/>
        <w:jc w:val="left"/>
        <w:rPr>
          <w:rFonts w:hint="eastAsia" w:ascii="宋体" w:hAnsi="宋体" w:cs="宋体"/>
          <w:b/>
          <w:color w:val="auto"/>
          <w:sz w:val="24"/>
          <w:szCs w:val="24"/>
          <w:highlight w:val="none"/>
        </w:rPr>
      </w:pPr>
      <w:r>
        <w:rPr>
          <w:rFonts w:hint="eastAsia" w:ascii="宋体" w:hAnsi="宋体" w:cs="宋体"/>
          <w:color w:val="auto"/>
          <w:sz w:val="24"/>
          <w:szCs w:val="24"/>
          <w:highlight w:val="none"/>
        </w:rPr>
        <w:t>3.13特种设备由专业性机构进行维保养护，做好日常管理，负责与专业维保单位等第三方的联系及现场监理工作，记录专业维保单位的服务情况，并进一步向采购人提出合理化建议。</w:t>
      </w:r>
    </w:p>
    <w:p>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4、设备设施服务方与相关部门的责任界定：</w:t>
      </w:r>
    </w:p>
    <w:p>
      <w:pPr>
        <w:tabs>
          <w:tab w:val="left" w:pos="1160"/>
        </w:tabs>
        <w:spacing w:line="360" w:lineRule="auto"/>
        <w:ind w:firstLine="361" w:firstLineChars="15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4.1与其他部门的责任界定：</w:t>
      </w:r>
      <w:r>
        <w:rPr>
          <w:rFonts w:hint="eastAsia" w:ascii="宋体" w:hAnsi="宋体" w:cs="宋体"/>
          <w:color w:val="auto"/>
          <w:sz w:val="24"/>
          <w:szCs w:val="24"/>
          <w:highlight w:val="none"/>
        </w:rPr>
        <w:t>设备设施主要是指大楼综合验收范围内的设备设施，其他服务场所（如餐厅、网络、邮政、电信等）的自购设备的操作、维修和保养由使用部门负责。</w:t>
      </w:r>
    </w:p>
    <w:p>
      <w:pPr>
        <w:tabs>
          <w:tab w:val="left" w:pos="1160"/>
        </w:tabs>
        <w:spacing w:line="360" w:lineRule="auto"/>
        <w:ind w:firstLine="361" w:firstLineChars="15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4.2供应商责任：</w:t>
      </w:r>
      <w:r>
        <w:rPr>
          <w:rFonts w:hint="eastAsia" w:ascii="宋体" w:hAnsi="宋体" w:cs="宋体"/>
          <w:color w:val="auto"/>
          <w:sz w:val="24"/>
          <w:szCs w:val="24"/>
          <w:highlight w:val="none"/>
        </w:rPr>
        <w:t>大楼公共设备设施的日常小维修与养护由供应商负责。</w:t>
      </w:r>
    </w:p>
    <w:p>
      <w:pPr>
        <w:tabs>
          <w:tab w:val="left" w:pos="1160"/>
        </w:tabs>
        <w:spacing w:line="360" w:lineRule="auto"/>
        <w:ind w:firstLine="361" w:firstLineChars="15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4.3采购人责任：</w:t>
      </w:r>
      <w:r>
        <w:rPr>
          <w:rFonts w:hint="eastAsia" w:ascii="宋体" w:hAnsi="宋体" w:cs="宋体"/>
          <w:color w:val="auto"/>
          <w:sz w:val="24"/>
          <w:szCs w:val="24"/>
          <w:highlight w:val="none"/>
        </w:rPr>
        <w:t>大楼室内及相关装饰工程，公共区域设备设施中、大型维修，如：幕墙玻璃更换、中央空调大型维修、屋面专业防水、摄像监控设备更换等，如因日常保养不够，操作不当引起的设备大、中修应由供应商承担责任。</w:t>
      </w:r>
    </w:p>
    <w:p>
      <w:pPr>
        <w:tabs>
          <w:tab w:val="left" w:pos="1160"/>
        </w:tabs>
        <w:spacing w:line="360" w:lineRule="auto"/>
        <w:ind w:firstLine="361" w:firstLineChars="15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4.4</w:t>
      </w:r>
      <w:r>
        <w:rPr>
          <w:rFonts w:hint="eastAsia" w:ascii="宋体" w:hAnsi="宋体" w:cs="宋体"/>
          <w:color w:val="auto"/>
          <w:sz w:val="24"/>
          <w:szCs w:val="24"/>
          <w:highlight w:val="none"/>
        </w:rPr>
        <w:t>公共设备设施日常小修与大中修责任界定。以单项单笔维修费2000元为界，日常小修由供应商负责，报</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同意后实施，费用从小修费中列支。维修费单笔单项2000元以上，供应商报采购人确认后，费用由采购人支付，其中涉及1#和2#共用部分的设备设施2000元以上单笔单项费，采购人按地上面积比例分摊。</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负责的日常小修与大中修需列明维修清单，包含维修项目和市场公允报价，维修清单需按照实际维修情况列明，不得谎报、多报维修项目，维修清单需交</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审核，</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有权对维修清单的项目和价格进行质询，有权通过第三方评估报价。</w:t>
      </w:r>
    </w:p>
    <w:p>
      <w:pPr>
        <w:autoSpaceDE w:val="0"/>
        <w:autoSpaceDN w:val="0"/>
        <w:adjustRightInd w:val="0"/>
        <w:snapToGrid w:val="0"/>
        <w:spacing w:line="360" w:lineRule="auto"/>
        <w:textAlignment w:val="bottom"/>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5、以下是需维护、保养、年检、管理的设备设施系统(包括但不仅限于)名称。要求供应商按以下顺序编写计划性管理服务方案，建立相关管理制度，制定岗位职责和相关应急预案。（投标时须附上）。</w:t>
      </w:r>
    </w:p>
    <w:p>
      <w:pPr>
        <w:tabs>
          <w:tab w:val="left" w:pos="1160"/>
        </w:tabs>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5.1 供配电系统（包括发电机系统）。建立配送电运行制度、电气维修制度和配电房管理制度，制定突发事件应急处理程序和临时用电管理措施。建立24 小时运行值班监控制度，一般故障半小时内修复，复杂故障涉及供电部门维修处置的应当及时与供电部门联系，并且向使用单位报告；发现应急照明故障，30 分钟内到达并组织维修。对供电范围内的电气设备定期巡视维护，加强低压配电柜、配电箱、控制柜以及线路的重点监测，公共使用的照明、指示灯具线路、开关应当保持完好，确保用电安全；照明设备每周巡视1 次，一般故障1 日内修复，复杂故障1 周内修复。核心部位建立可控用电保障系统，配备并定期维护应急发电设备，确保机关在突发情况下正常运转。</w:t>
      </w:r>
    </w:p>
    <w:p>
      <w:pPr>
        <w:tabs>
          <w:tab w:val="left" w:pos="1160"/>
        </w:tabs>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5.2 给排水系统。建立正常供水管理制度。每半年至少对二次供水设施进行1 次清洗消毒，水质符合《生活饮用水卫生标准》（GB5749）的要求。每日巡检不少于1 次供水设施，设备、阀门、管道等运行正常，无跑冒滴漏现象；有水泵房、水箱间的，每日巡视不少于1 次，每年养护水泵不少于1次。有事故应急预案，及时发现并解决故障。如遇供水单位限水、停水，应当按规定时间通知办公区内用户。定期对排水管进行疏通、清污，保证室内外排水系统通畅；每年汛前对雨、污水管井、屋面雨水口等排水设施进行检查；建立防汛预案，配备有防汛物资（沙袋、雨具、照明工具等），每年至少组织1 次演练。</w:t>
      </w:r>
    </w:p>
    <w:p>
      <w:pPr>
        <w:tabs>
          <w:tab w:val="left" w:pos="1160"/>
        </w:tabs>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5.3 消防系统。严格执行消防法规，建立消防安全管理制度和突发火灾的应急处置预案，确保整个系统处于良好的状态。配备完善的消防器材，定期检查消防设备，消防设施的维护管理应当符合《建筑消防设施的维护管理》（GB25201）的要求，维保质量达到消防要求，保证系统开通率以及完好率。每月至少检查1 次消防设备，每周检查各处消火栓是否损坏，水龙带、水枪是否在位；检查各处消防水管是否漏水；检查防火门、安全出口指示灯、消防疏散图、安全通道照明是否完好；检查安全通道是否通畅。每月至少检查消防加压水泵1 次；检查各类信号指示灯是否正常；检查各类水压压力表是否正常；检查消防水泵泵体是否漏水、生锈；检查消防备用电源是否正常，能否及时切换。每月检查手提式灭火器是否有效；检查烟感、温感探测器是否正常工作；检查消防报警按钮、警铃以及指示灯；检查消防广播系统；检查自动喷洒系统管道和各消防水箱、水池排水；检查气体灭火装置；消火栓放水检查不少于1 次；消防控制联动系统试验测试不少于1 次。消防系统应当有第三方消防检测报告并通过消防部门的审查监督。</w:t>
      </w:r>
    </w:p>
    <w:p>
      <w:pPr>
        <w:tabs>
          <w:tab w:val="left" w:pos="1160"/>
        </w:tabs>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5.4 空调系统。建立空调运行管理制度、应急处置预案和安全操作规程，保证空调系统安全运行和正常使用。定期维保，保证空调设备设施处于良好状态。空调系统出现运行故障后，维修人员应当及时到达现场维修，并做好记录。制冷、供暖系统温度设定以及启用时间符合节能要求，每月对能耗进行统计、分析。</w:t>
      </w:r>
    </w:p>
    <w:p>
      <w:pPr>
        <w:tabs>
          <w:tab w:val="left" w:pos="1160"/>
        </w:tabs>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中央空调运行前对冷水机组、循环水泵、冷却塔、风机等设施设备进行系统检查，运行期间每日巡查1 次运行情况；每半年至少检查1 次管道、阀门并除锈；每年对系统进行不少于1 次整体性维修养护，至少检验1 次压力容器、仪表以及冷却塔噪音，清洗消毒不少于1 次新风机、空气处理机滤网等；每2 年清洗消毒1 次风管。分体式空调每年清洁1 次主机和室外机，每月至少巡查1 次挂机和室外支架是否稳固，确保正常运行和安全使用。</w:t>
      </w:r>
    </w:p>
    <w:p>
      <w:pPr>
        <w:tabs>
          <w:tab w:val="left" w:pos="1160"/>
        </w:tabs>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5.5 电梯系统。建立电梯运行管理、设备维护、安全管理等制度，做好档案管理。严格执行国家有关电梯管理规定和安全规程，做到电梯准用证、年检合格证、维保合同完备。每年进行不少于1 次定期检验，按规定进行维修保养，每周检查2次安全状况，保障运行完好。维保专业人员应当取得经特种设备安全监督管理部门考核合格的特种作业操作证。每日对电梯进行清洁，保持轿厢、井道、机房整洁。有电梯突发事件或者事故的应急措施与救援预案，每半年演练1 次。电梯出现故障，物业服务人员15 分钟内到场应急处理，维保专业人员30 分钟内到场进行救助和排除故障。</w:t>
      </w:r>
    </w:p>
    <w:p>
      <w:pPr>
        <w:tabs>
          <w:tab w:val="left" w:pos="1160"/>
        </w:tabs>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5.6 办公系统。对监控系统、消防报警系统、门禁一卡通系统、停车库管理系统等为机关运转提供安全防范措施的设施设备，每周巡查1 次，检查运行状态；对有线电视、局域网、信息与视频显示系统等信息自动化系统设施设备，每日巡查1 次，检查运行状态、管线接触通畅情况，每月表面清洁1 次，每季度检查1 次按键、显示屏等，每年内部除尘1 次。保存运行记录；发现故障及时更换坏损设备，对物业服务技术人员无法修复的信息化智能办公设施设备，及时通知专业机构进行维护并做好过程监督。</w:t>
      </w:r>
    </w:p>
    <w:p>
      <w:pPr>
        <w:autoSpaceDE w:val="0"/>
        <w:autoSpaceDN w:val="0"/>
        <w:adjustRightInd w:val="0"/>
        <w:snapToGrid w:val="0"/>
        <w:spacing w:line="360" w:lineRule="auto"/>
        <w:textAlignment w:val="bottom"/>
        <w:rPr>
          <w:rFonts w:ascii="宋体"/>
          <w:b/>
          <w:bCs/>
          <w:color w:val="auto"/>
          <w:sz w:val="28"/>
          <w:highlight w:val="none"/>
        </w:rPr>
      </w:pPr>
      <w:r>
        <w:rPr>
          <w:rFonts w:hint="eastAsia" w:ascii="宋体"/>
          <w:b/>
          <w:bCs/>
          <w:color w:val="auto"/>
          <w:sz w:val="28"/>
          <w:highlight w:val="none"/>
        </w:rPr>
        <w:t>（二）安保服务标准和技术要求</w:t>
      </w:r>
    </w:p>
    <w:p>
      <w:pPr>
        <w:autoSpaceDE w:val="0"/>
        <w:autoSpaceDN w:val="0"/>
        <w:adjustRightInd w:val="0"/>
        <w:snapToGrid w:val="0"/>
        <w:spacing w:line="360" w:lineRule="auto"/>
        <w:textAlignment w:val="bottom"/>
        <w:rPr>
          <w:rFonts w:ascii="宋体"/>
          <w:b/>
          <w:color w:val="auto"/>
          <w:sz w:val="24"/>
          <w:szCs w:val="24"/>
          <w:highlight w:val="none"/>
        </w:rPr>
      </w:pPr>
      <w:r>
        <w:rPr>
          <w:rFonts w:hint="eastAsia" w:ascii="宋体"/>
          <w:b/>
          <w:color w:val="auto"/>
          <w:sz w:val="24"/>
          <w:szCs w:val="24"/>
          <w:highlight w:val="none"/>
        </w:rPr>
        <w:t>1、安保服务分类：</w:t>
      </w:r>
    </w:p>
    <w:p>
      <w:pPr>
        <w:tabs>
          <w:tab w:val="left" w:pos="1120"/>
        </w:tabs>
        <w:autoSpaceDE w:val="0"/>
        <w:autoSpaceDN w:val="0"/>
        <w:adjustRightInd w:val="0"/>
        <w:snapToGrid w:val="0"/>
        <w:spacing w:line="360" w:lineRule="auto"/>
        <w:ind w:firstLine="360" w:firstLineChars="150"/>
        <w:textAlignment w:val="bottom"/>
        <w:rPr>
          <w:rFonts w:ascii="宋体"/>
          <w:color w:val="auto"/>
          <w:sz w:val="24"/>
          <w:szCs w:val="24"/>
          <w:highlight w:val="none"/>
        </w:rPr>
      </w:pPr>
      <w:r>
        <w:rPr>
          <w:rFonts w:hint="eastAsia" w:ascii="宋体"/>
          <w:color w:val="auto"/>
          <w:sz w:val="24"/>
          <w:szCs w:val="24"/>
          <w:highlight w:val="none"/>
        </w:rPr>
        <w:t>1.1 公共安全管理：主要是保障大楼区域内人身财产安全、公共秩序维持、公共活动的正常开展。</w:t>
      </w:r>
    </w:p>
    <w:p>
      <w:pPr>
        <w:autoSpaceDE w:val="0"/>
        <w:autoSpaceDN w:val="0"/>
        <w:adjustRightInd w:val="0"/>
        <w:snapToGrid w:val="0"/>
        <w:spacing w:line="360" w:lineRule="auto"/>
        <w:ind w:firstLine="360" w:firstLineChars="150"/>
        <w:textAlignment w:val="bottom"/>
        <w:rPr>
          <w:rFonts w:ascii="宋体"/>
          <w:color w:val="auto"/>
          <w:sz w:val="24"/>
          <w:szCs w:val="24"/>
          <w:highlight w:val="none"/>
        </w:rPr>
      </w:pPr>
      <w:r>
        <w:rPr>
          <w:rFonts w:hint="eastAsia" w:ascii="宋体"/>
          <w:color w:val="auto"/>
          <w:sz w:val="24"/>
          <w:szCs w:val="24"/>
          <w:highlight w:val="none"/>
        </w:rPr>
        <w:t>1.2 消防安全管理：主要是日常防火及做好抵御自然灾害的各项常规工作。</w:t>
      </w:r>
    </w:p>
    <w:p>
      <w:pPr>
        <w:autoSpaceDE w:val="0"/>
        <w:autoSpaceDN w:val="0"/>
        <w:adjustRightInd w:val="0"/>
        <w:snapToGrid w:val="0"/>
        <w:spacing w:line="360" w:lineRule="auto"/>
        <w:ind w:firstLine="360" w:firstLineChars="150"/>
        <w:textAlignment w:val="bottom"/>
        <w:rPr>
          <w:rFonts w:ascii="宋体"/>
          <w:color w:val="auto"/>
          <w:sz w:val="24"/>
          <w:szCs w:val="24"/>
          <w:highlight w:val="none"/>
        </w:rPr>
      </w:pPr>
      <w:r>
        <w:rPr>
          <w:rFonts w:hint="eastAsia" w:ascii="宋体"/>
          <w:color w:val="auto"/>
          <w:sz w:val="24"/>
          <w:szCs w:val="24"/>
          <w:highlight w:val="none"/>
        </w:rPr>
        <w:t>1.3 交通安全管理：主要维护大楼范围的交通秩序，防止交通事故和车辆被损、被盗情况的发生。地面和地下各有4个出入口。地面2个出入口实行24小时值班，2个出入口实行12小时值班。</w:t>
      </w:r>
    </w:p>
    <w:p>
      <w:pPr>
        <w:autoSpaceDE w:val="0"/>
        <w:autoSpaceDN w:val="0"/>
        <w:adjustRightInd w:val="0"/>
        <w:snapToGrid w:val="0"/>
        <w:spacing w:line="360" w:lineRule="auto"/>
        <w:ind w:firstLine="360" w:firstLineChars="150"/>
        <w:textAlignment w:val="bottom"/>
        <w:rPr>
          <w:rFonts w:ascii="宋体"/>
          <w:b/>
          <w:color w:val="auto"/>
          <w:sz w:val="24"/>
          <w:szCs w:val="24"/>
          <w:highlight w:val="none"/>
        </w:rPr>
      </w:pPr>
      <w:r>
        <w:rPr>
          <w:rFonts w:hint="eastAsia" w:ascii="宋体"/>
          <w:color w:val="auto"/>
          <w:sz w:val="24"/>
          <w:szCs w:val="24"/>
          <w:highlight w:val="none"/>
        </w:rPr>
        <w:t>1.4 保密安全管理：主要是遵守采购人各项保密制度，防止不宜公开的资料、文件和信息的泄露。</w:t>
      </w:r>
    </w:p>
    <w:p>
      <w:pPr>
        <w:autoSpaceDE w:val="0"/>
        <w:autoSpaceDN w:val="0"/>
        <w:adjustRightInd w:val="0"/>
        <w:snapToGrid w:val="0"/>
        <w:spacing w:line="360" w:lineRule="auto"/>
        <w:textAlignment w:val="bottom"/>
        <w:rPr>
          <w:rFonts w:ascii="宋体"/>
          <w:color w:val="auto"/>
          <w:sz w:val="24"/>
          <w:szCs w:val="24"/>
          <w:highlight w:val="none"/>
        </w:rPr>
      </w:pPr>
      <w:r>
        <w:rPr>
          <w:rFonts w:hint="eastAsia" w:ascii="宋体"/>
          <w:b/>
          <w:color w:val="auto"/>
          <w:sz w:val="24"/>
          <w:szCs w:val="24"/>
          <w:highlight w:val="none"/>
        </w:rPr>
        <w:t>2、安保服务标准与要求：</w:t>
      </w:r>
    </w:p>
    <w:p>
      <w:pPr>
        <w:tabs>
          <w:tab w:val="left" w:pos="1280"/>
        </w:tabs>
        <w:autoSpaceDE w:val="0"/>
        <w:autoSpaceDN w:val="0"/>
        <w:adjustRightInd w:val="0"/>
        <w:snapToGrid w:val="0"/>
        <w:spacing w:line="360" w:lineRule="auto"/>
        <w:ind w:firstLine="360" w:firstLineChars="150"/>
        <w:textAlignment w:val="bottom"/>
        <w:rPr>
          <w:rFonts w:ascii="宋体"/>
          <w:color w:val="auto"/>
          <w:sz w:val="24"/>
          <w:szCs w:val="24"/>
          <w:highlight w:val="none"/>
        </w:rPr>
      </w:pPr>
      <w:r>
        <w:rPr>
          <w:rFonts w:hint="eastAsia" w:ascii="宋体"/>
          <w:color w:val="auto"/>
          <w:sz w:val="24"/>
          <w:szCs w:val="24"/>
          <w:highlight w:val="none"/>
        </w:rPr>
        <w:t>2.1 供应商按照服务内容编制检查表，每日进行检查，发现问题及时整改。</w:t>
      </w:r>
    </w:p>
    <w:p>
      <w:pPr>
        <w:tabs>
          <w:tab w:val="left" w:pos="1280"/>
        </w:tabs>
        <w:autoSpaceDE w:val="0"/>
        <w:autoSpaceDN w:val="0"/>
        <w:adjustRightInd w:val="0"/>
        <w:snapToGrid w:val="0"/>
        <w:spacing w:line="360" w:lineRule="auto"/>
        <w:ind w:firstLine="360" w:firstLineChars="150"/>
        <w:textAlignment w:val="bottom"/>
        <w:rPr>
          <w:rFonts w:ascii="宋体"/>
          <w:color w:val="auto"/>
          <w:sz w:val="24"/>
          <w:szCs w:val="24"/>
          <w:highlight w:val="none"/>
        </w:rPr>
      </w:pPr>
      <w:r>
        <w:rPr>
          <w:rFonts w:hint="eastAsia" w:ascii="宋体"/>
          <w:color w:val="auto"/>
          <w:sz w:val="24"/>
          <w:szCs w:val="24"/>
          <w:highlight w:val="none"/>
        </w:rPr>
        <w:t>2.2 采购人有权对供应商各工作岗位的服务质量随时进行抽查。如发现问题，供应商应及时整改。</w:t>
      </w:r>
    </w:p>
    <w:p>
      <w:pPr>
        <w:tabs>
          <w:tab w:val="left" w:pos="1280"/>
        </w:tabs>
        <w:autoSpaceDE w:val="0"/>
        <w:autoSpaceDN w:val="0"/>
        <w:adjustRightInd w:val="0"/>
        <w:snapToGrid w:val="0"/>
        <w:spacing w:line="360" w:lineRule="auto"/>
        <w:ind w:firstLine="360" w:firstLineChars="150"/>
        <w:textAlignment w:val="bottom"/>
        <w:rPr>
          <w:rFonts w:ascii="宋体"/>
          <w:color w:val="auto"/>
          <w:sz w:val="24"/>
          <w:szCs w:val="24"/>
          <w:highlight w:val="none"/>
        </w:rPr>
      </w:pPr>
      <w:r>
        <w:rPr>
          <w:rFonts w:hint="eastAsia" w:ascii="宋体"/>
          <w:color w:val="auto"/>
          <w:sz w:val="24"/>
          <w:szCs w:val="24"/>
          <w:highlight w:val="none"/>
        </w:rPr>
        <w:t>2.3 除供应商自行对服务人员的培训外，如有需要，需接受采购人对服务人员的集中培训。</w:t>
      </w:r>
    </w:p>
    <w:p>
      <w:pPr>
        <w:tabs>
          <w:tab w:val="left" w:pos="1280"/>
        </w:tabs>
        <w:autoSpaceDE w:val="0"/>
        <w:autoSpaceDN w:val="0"/>
        <w:adjustRightInd w:val="0"/>
        <w:snapToGrid w:val="0"/>
        <w:spacing w:line="360" w:lineRule="auto"/>
        <w:ind w:firstLine="360" w:firstLineChars="150"/>
        <w:textAlignment w:val="bottom"/>
        <w:rPr>
          <w:rFonts w:ascii="宋体"/>
          <w:color w:val="auto"/>
          <w:sz w:val="24"/>
          <w:szCs w:val="24"/>
          <w:highlight w:val="none"/>
        </w:rPr>
      </w:pPr>
      <w:r>
        <w:rPr>
          <w:rFonts w:hint="eastAsia" w:ascii="宋体"/>
          <w:color w:val="auto"/>
          <w:sz w:val="24"/>
          <w:szCs w:val="24"/>
          <w:highlight w:val="none"/>
        </w:rPr>
        <w:t xml:space="preserve">2.4 </w:t>
      </w:r>
      <w:r>
        <w:rPr>
          <w:rFonts w:ascii="宋体"/>
          <w:color w:val="auto"/>
          <w:sz w:val="24"/>
          <w:szCs w:val="24"/>
          <w:highlight w:val="none"/>
        </w:rPr>
        <w:t>供应商</w:t>
      </w:r>
      <w:r>
        <w:rPr>
          <w:rFonts w:hint="eastAsia" w:ascii="宋体"/>
          <w:color w:val="auto"/>
          <w:sz w:val="24"/>
          <w:szCs w:val="24"/>
          <w:highlight w:val="none"/>
        </w:rPr>
        <w:t>应</w:t>
      </w:r>
      <w:r>
        <w:rPr>
          <w:rFonts w:hint="eastAsia" w:ascii="宋体"/>
          <w:b/>
          <w:color w:val="auto"/>
          <w:sz w:val="24"/>
          <w:szCs w:val="24"/>
          <w:highlight w:val="none"/>
        </w:rPr>
        <w:t>建立传达、车辆以及公共秩序等管理制度</w:t>
      </w:r>
      <w:r>
        <w:rPr>
          <w:rFonts w:ascii="宋体"/>
          <w:b/>
          <w:color w:val="auto"/>
          <w:sz w:val="24"/>
          <w:szCs w:val="24"/>
          <w:highlight w:val="none"/>
        </w:rPr>
        <w:t>，明确</w:t>
      </w:r>
      <w:r>
        <w:rPr>
          <w:rFonts w:hint="eastAsia" w:ascii="宋体"/>
          <w:color w:val="auto"/>
          <w:sz w:val="24"/>
          <w:szCs w:val="24"/>
          <w:highlight w:val="none"/>
        </w:rPr>
        <w:t>岗位责任，</w:t>
      </w:r>
      <w:r>
        <w:rPr>
          <w:rFonts w:ascii="宋体"/>
          <w:color w:val="auto"/>
          <w:sz w:val="24"/>
          <w:szCs w:val="24"/>
          <w:highlight w:val="none"/>
        </w:rPr>
        <w:t>规范</w:t>
      </w:r>
      <w:r>
        <w:rPr>
          <w:rFonts w:hint="eastAsia" w:ascii="宋体"/>
          <w:color w:val="auto"/>
          <w:sz w:val="24"/>
          <w:szCs w:val="24"/>
          <w:highlight w:val="none"/>
        </w:rPr>
        <w:t>运作程序和工作质量标准，并无条件接受采购人监督检查。</w:t>
      </w:r>
    </w:p>
    <w:p>
      <w:pPr>
        <w:tabs>
          <w:tab w:val="left" w:pos="1280"/>
        </w:tabs>
        <w:autoSpaceDE w:val="0"/>
        <w:autoSpaceDN w:val="0"/>
        <w:adjustRightInd w:val="0"/>
        <w:snapToGrid w:val="0"/>
        <w:spacing w:line="360" w:lineRule="auto"/>
        <w:ind w:firstLine="360" w:firstLineChars="150"/>
        <w:textAlignment w:val="bottom"/>
        <w:rPr>
          <w:rFonts w:ascii="宋体"/>
          <w:color w:val="auto"/>
          <w:sz w:val="24"/>
          <w:szCs w:val="24"/>
          <w:highlight w:val="none"/>
        </w:rPr>
      </w:pPr>
      <w:r>
        <w:rPr>
          <w:rFonts w:hint="eastAsia" w:ascii="宋体"/>
          <w:color w:val="auto"/>
          <w:sz w:val="24"/>
          <w:szCs w:val="24"/>
          <w:highlight w:val="none"/>
        </w:rPr>
        <w:t>2.5 供应商建立各类应急预案（如防火、防盗、防破坏、防自然灾害事故、防疫、群体性事件等），培训相关人员达到相关要求并组织演练。</w:t>
      </w:r>
    </w:p>
    <w:p>
      <w:pPr>
        <w:tabs>
          <w:tab w:val="left" w:pos="1280"/>
        </w:tabs>
        <w:autoSpaceDE w:val="0"/>
        <w:autoSpaceDN w:val="0"/>
        <w:adjustRightInd w:val="0"/>
        <w:snapToGrid w:val="0"/>
        <w:spacing w:line="360" w:lineRule="auto"/>
        <w:ind w:firstLine="360" w:firstLineChars="150"/>
        <w:textAlignment w:val="bottom"/>
        <w:rPr>
          <w:rFonts w:ascii="宋体"/>
          <w:color w:val="auto"/>
          <w:sz w:val="24"/>
          <w:szCs w:val="24"/>
          <w:highlight w:val="none"/>
        </w:rPr>
      </w:pPr>
      <w:r>
        <w:rPr>
          <w:rFonts w:hint="eastAsia" w:ascii="宋体"/>
          <w:color w:val="auto"/>
          <w:sz w:val="24"/>
          <w:szCs w:val="24"/>
          <w:highlight w:val="none"/>
        </w:rPr>
        <w:t>2.6 重大任务必须事先制订周密的安保方案，并严格按方案实施。</w:t>
      </w:r>
    </w:p>
    <w:p>
      <w:pPr>
        <w:autoSpaceDE w:val="0"/>
        <w:autoSpaceDN w:val="0"/>
        <w:adjustRightInd w:val="0"/>
        <w:snapToGrid w:val="0"/>
        <w:spacing w:line="360" w:lineRule="auto"/>
        <w:textAlignment w:val="bottom"/>
        <w:rPr>
          <w:rFonts w:ascii="宋体"/>
          <w:b/>
          <w:color w:val="auto"/>
          <w:sz w:val="24"/>
          <w:szCs w:val="24"/>
          <w:highlight w:val="none"/>
        </w:rPr>
      </w:pPr>
      <w:r>
        <w:rPr>
          <w:rFonts w:hint="eastAsia" w:ascii="宋体"/>
          <w:b/>
          <w:color w:val="auto"/>
          <w:sz w:val="24"/>
          <w:szCs w:val="24"/>
          <w:highlight w:val="none"/>
        </w:rPr>
        <w:t>3、安保具体服务内容：</w:t>
      </w:r>
    </w:p>
    <w:p>
      <w:pPr>
        <w:autoSpaceDE w:val="0"/>
        <w:autoSpaceDN w:val="0"/>
        <w:adjustRightInd w:val="0"/>
        <w:snapToGrid w:val="0"/>
        <w:spacing w:line="360" w:lineRule="auto"/>
        <w:ind w:firstLine="480" w:firstLineChars="200"/>
        <w:textAlignment w:val="bottom"/>
        <w:rPr>
          <w:rFonts w:ascii="宋体"/>
          <w:color w:val="auto"/>
          <w:sz w:val="24"/>
          <w:szCs w:val="24"/>
          <w:highlight w:val="none"/>
        </w:rPr>
      </w:pPr>
      <w:r>
        <w:rPr>
          <w:rFonts w:hint="eastAsia" w:ascii="宋体"/>
          <w:color w:val="auto"/>
          <w:sz w:val="24"/>
          <w:szCs w:val="24"/>
          <w:highlight w:val="none"/>
        </w:rPr>
        <w:t>3.1 办公秩序维护与门岗管理</w:t>
      </w:r>
      <w:r>
        <w:rPr>
          <w:rFonts w:ascii="宋体"/>
          <w:color w:val="auto"/>
          <w:sz w:val="24"/>
          <w:szCs w:val="24"/>
          <w:highlight w:val="none"/>
        </w:rPr>
        <w:t>。</w:t>
      </w:r>
      <w:r>
        <w:rPr>
          <w:rFonts w:hint="eastAsia" w:ascii="宋体"/>
          <w:color w:val="auto"/>
          <w:sz w:val="24"/>
          <w:szCs w:val="24"/>
          <w:highlight w:val="none"/>
        </w:rPr>
        <w:t>出入口24 小时值守，办公区有巡逻人员定时巡逻，确保秩序井然有序。对外来人员进行验证、登记，发现疑点及时询问，防止闲杂人员进入，积极疏导群访人员；对物品进出实施分类记录，大宗物品进出应当进行审验，严防危险物品进入。有效疏导进出车辆，保持出入畅通。</w:t>
      </w:r>
    </w:p>
    <w:p>
      <w:pPr>
        <w:autoSpaceDE w:val="0"/>
        <w:autoSpaceDN w:val="0"/>
        <w:adjustRightInd w:val="0"/>
        <w:snapToGrid w:val="0"/>
        <w:spacing w:line="360" w:lineRule="auto"/>
        <w:ind w:firstLine="480" w:firstLineChars="200"/>
        <w:textAlignment w:val="bottom"/>
        <w:rPr>
          <w:rFonts w:hint="eastAsia" w:ascii="宋体"/>
          <w:color w:val="auto"/>
          <w:sz w:val="24"/>
          <w:szCs w:val="24"/>
          <w:highlight w:val="none"/>
        </w:rPr>
      </w:pPr>
      <w:r>
        <w:rPr>
          <w:rFonts w:hint="eastAsia" w:ascii="宋体"/>
          <w:color w:val="auto"/>
          <w:sz w:val="24"/>
          <w:szCs w:val="24"/>
          <w:highlight w:val="none"/>
        </w:rPr>
        <w:t>3.2 车辆秩序管理。对进出车辆进行管理，维护交通秩序。设置行车指示标识，规定行驶路线，指定停放区域，保证车辆有序通行、易于停放。收费管理的车库应当24 小时专人管理，定时清洁，无易燃易爆等危险物品存放，监控、照明、消防器械配置齐全。非机动车应当定点停放。</w:t>
      </w:r>
    </w:p>
    <w:p>
      <w:pPr>
        <w:autoSpaceDE w:val="0"/>
        <w:autoSpaceDN w:val="0"/>
        <w:adjustRightInd w:val="0"/>
        <w:snapToGrid w:val="0"/>
        <w:spacing w:line="360" w:lineRule="auto"/>
        <w:ind w:firstLine="480" w:firstLineChars="200"/>
        <w:textAlignment w:val="bottom"/>
        <w:rPr>
          <w:rFonts w:hint="eastAsia" w:ascii="宋体"/>
          <w:color w:val="auto"/>
          <w:sz w:val="24"/>
          <w:szCs w:val="24"/>
          <w:highlight w:val="none"/>
        </w:rPr>
      </w:pPr>
      <w:r>
        <w:rPr>
          <w:rFonts w:hint="eastAsia" w:ascii="宋体"/>
          <w:color w:val="auto"/>
          <w:sz w:val="24"/>
          <w:szCs w:val="24"/>
          <w:highlight w:val="none"/>
        </w:rPr>
        <w:t>3.3 监控值守管理。监控设施应当24 小时正常运行，保证对安全出入口、内部重点区域的安全监控，保持完整记录。安排合理数量，符合从业资格条件人员负责消防控制室管理与值班，严格执行消防控制室管理有关规定。监控中心收到火情、险情等报警信号以及其他异常情况信号后，立即安排安保人员到场处理并报警，同时根据现场情况按预案对人员进行疏散。监控资料至少保存3 个月（特殊要求除外）；有特殊要求的，按其规定执行。保持值班电话畅通，接听及时。</w:t>
      </w:r>
    </w:p>
    <w:p>
      <w:pPr>
        <w:autoSpaceDE w:val="0"/>
        <w:autoSpaceDN w:val="0"/>
        <w:adjustRightInd w:val="0"/>
        <w:snapToGrid w:val="0"/>
        <w:spacing w:line="360" w:lineRule="auto"/>
        <w:ind w:firstLine="480" w:firstLineChars="200"/>
        <w:textAlignment w:val="bottom"/>
        <w:rPr>
          <w:rFonts w:hint="eastAsia" w:ascii="宋体"/>
          <w:color w:val="auto"/>
          <w:sz w:val="24"/>
          <w:szCs w:val="24"/>
          <w:highlight w:val="none"/>
        </w:rPr>
      </w:pPr>
      <w:r>
        <w:rPr>
          <w:rFonts w:hint="eastAsia" w:ascii="宋体"/>
          <w:color w:val="auto"/>
          <w:sz w:val="24"/>
          <w:szCs w:val="24"/>
          <w:highlight w:val="none"/>
        </w:rPr>
        <w:t>3.4 应急管理。建立健全卫生防疫和安全生产规章制度。依据突发公共事件应急工作要求，制定机关办公区物业管理服务突发公共事件应急预案，每年应当组织不少于1 次的突发公共事件应急演练；当发生公共卫生事件、自然灾害、事故灾难或者社会安全事件时，启动应急预案，全力配合有关部门单位采取相应措施，保障机关人身安全，减少财产损失。建立灭火和应急疏散预案，定期开展消防安全培训和演练。</w:t>
      </w:r>
    </w:p>
    <w:p>
      <w:pPr>
        <w:autoSpaceDE w:val="0"/>
        <w:autoSpaceDN w:val="0"/>
        <w:adjustRightInd w:val="0"/>
        <w:snapToGrid w:val="0"/>
        <w:spacing w:line="360" w:lineRule="auto"/>
        <w:ind w:firstLine="480" w:firstLineChars="200"/>
        <w:textAlignment w:val="bottom"/>
        <w:rPr>
          <w:rFonts w:hint="eastAsia" w:ascii="宋体"/>
          <w:color w:val="auto"/>
          <w:sz w:val="24"/>
          <w:szCs w:val="24"/>
          <w:highlight w:val="none"/>
        </w:rPr>
      </w:pPr>
      <w:r>
        <w:rPr>
          <w:rFonts w:hint="eastAsia" w:ascii="宋体"/>
          <w:color w:val="auto"/>
          <w:sz w:val="24"/>
          <w:szCs w:val="24"/>
          <w:highlight w:val="none"/>
        </w:rPr>
        <w:t>建立消防安全责任制，明确各级岗位的消防安全职责；定期巡视、检查和维护消防设施，保证设施正常使用，保持消防通道畅通，对易燃易爆品设专人专区管理，并在明显位置设置警示标志；楼梯出入口、电梯口等醒目位置有提示火灾危险性警示标语、安全疏散示意图；消火栓和灭火器箱张贴消防设施器材使用方法。合理安排巡查路线，排除不安全因素，防止被盗事件的发生，发现违规行为及时制止，发现异常情况立即通知相关部门并现场采取必要措施。收到中央监控室指令后，巡查人员及时到达并采取相应措施。</w:t>
      </w:r>
    </w:p>
    <w:p>
      <w:pPr>
        <w:autoSpaceDE w:val="0"/>
        <w:autoSpaceDN w:val="0"/>
        <w:adjustRightInd w:val="0"/>
        <w:snapToGrid w:val="0"/>
        <w:spacing w:line="360" w:lineRule="auto"/>
        <w:ind w:firstLine="480" w:firstLineChars="200"/>
        <w:textAlignment w:val="bottom"/>
        <w:rPr>
          <w:rFonts w:hint="eastAsia" w:ascii="宋体"/>
          <w:color w:val="auto"/>
          <w:sz w:val="24"/>
          <w:szCs w:val="24"/>
          <w:highlight w:val="none"/>
        </w:rPr>
      </w:pPr>
      <w:r>
        <w:rPr>
          <w:rFonts w:hint="eastAsia" w:ascii="宋体"/>
          <w:color w:val="auto"/>
          <w:sz w:val="24"/>
          <w:szCs w:val="24"/>
          <w:highlight w:val="none"/>
        </w:rPr>
        <w:t>3.5 由于安保服务不到位造成财产与设施损失的，供应商须承担相应的赔偿责任。</w:t>
      </w:r>
    </w:p>
    <w:p>
      <w:pPr>
        <w:autoSpaceDE w:val="0"/>
        <w:autoSpaceDN w:val="0"/>
        <w:adjustRightInd w:val="0"/>
        <w:snapToGrid w:val="0"/>
        <w:spacing w:line="360" w:lineRule="auto"/>
        <w:ind w:firstLine="480" w:firstLineChars="200"/>
        <w:textAlignment w:val="bottom"/>
        <w:rPr>
          <w:rFonts w:hint="eastAsia" w:ascii="宋体"/>
          <w:color w:val="auto"/>
          <w:sz w:val="24"/>
          <w:szCs w:val="24"/>
          <w:highlight w:val="none"/>
        </w:rPr>
      </w:pPr>
      <w:r>
        <w:rPr>
          <w:rFonts w:hint="eastAsia" w:ascii="宋体"/>
          <w:color w:val="auto"/>
          <w:sz w:val="24"/>
          <w:szCs w:val="24"/>
          <w:highlight w:val="none"/>
        </w:rPr>
        <w:t>3.6 安保装备（含对讲机、警棍等）由供应商自行负责。安保服装样式须经采购人认可后方可穿着。</w:t>
      </w:r>
    </w:p>
    <w:p>
      <w:pPr>
        <w:autoSpaceDE w:val="0"/>
        <w:autoSpaceDN w:val="0"/>
        <w:adjustRightInd w:val="0"/>
        <w:spacing w:line="360" w:lineRule="auto"/>
        <w:textAlignment w:val="bottom"/>
        <w:rPr>
          <w:rFonts w:ascii="宋体"/>
          <w:b/>
          <w:bCs/>
          <w:color w:val="auto"/>
          <w:sz w:val="28"/>
          <w:highlight w:val="none"/>
        </w:rPr>
      </w:pPr>
      <w:r>
        <w:rPr>
          <w:rFonts w:hint="eastAsia" w:ascii="宋体"/>
          <w:b/>
          <w:bCs/>
          <w:color w:val="auto"/>
          <w:sz w:val="28"/>
          <w:highlight w:val="none"/>
        </w:rPr>
        <w:t>（三）保洁、绿化服务标准与技术要求</w:t>
      </w:r>
    </w:p>
    <w:p>
      <w:pPr>
        <w:autoSpaceDE w:val="0"/>
        <w:autoSpaceDN w:val="0"/>
        <w:adjustRightInd w:val="0"/>
        <w:spacing w:line="360" w:lineRule="auto"/>
        <w:textAlignment w:val="bottom"/>
        <w:rPr>
          <w:rFonts w:ascii="宋体"/>
          <w:b/>
          <w:color w:val="auto"/>
          <w:sz w:val="24"/>
          <w:szCs w:val="24"/>
          <w:highlight w:val="none"/>
        </w:rPr>
      </w:pPr>
      <w:r>
        <w:rPr>
          <w:rFonts w:hint="eastAsia" w:ascii="宋体"/>
          <w:b/>
          <w:color w:val="auto"/>
          <w:sz w:val="24"/>
          <w:szCs w:val="24"/>
          <w:highlight w:val="none"/>
        </w:rPr>
        <w:t>1、1#楼保洁服务范围：</w:t>
      </w:r>
    </w:p>
    <w:p>
      <w:pPr>
        <w:pStyle w:val="12"/>
        <w:spacing w:line="360" w:lineRule="auto"/>
        <w:ind w:firstLine="360" w:firstLineChars="150"/>
        <w:rPr>
          <w:color w:val="auto"/>
          <w:highlight w:val="none"/>
        </w:rPr>
      </w:pPr>
      <w:r>
        <w:rPr>
          <w:rFonts w:hint="eastAsia"/>
          <w:color w:val="auto"/>
          <w:highlight w:val="none"/>
        </w:rPr>
        <w:t>1.1  1#楼所有公共部位包括集中会议室1个、活动室、大厅、电梯、走廊、楼梯、楼道、卫生间、茶水间、停车场等所有公共区域的保洁工作。</w:t>
      </w:r>
    </w:p>
    <w:p>
      <w:pPr>
        <w:pStyle w:val="12"/>
        <w:spacing w:line="360" w:lineRule="auto"/>
        <w:ind w:left="315" w:leftChars="150"/>
        <w:rPr>
          <w:color w:val="auto"/>
          <w:highlight w:val="none"/>
        </w:rPr>
      </w:pPr>
      <w:r>
        <w:rPr>
          <w:rFonts w:hint="eastAsia"/>
          <w:color w:val="auto"/>
          <w:highlight w:val="none"/>
        </w:rPr>
        <w:t xml:space="preserve">1.2楼内公共区域墙面、大理石的清洁保养工作； </w:t>
      </w:r>
    </w:p>
    <w:p>
      <w:pPr>
        <w:pStyle w:val="12"/>
        <w:spacing w:line="360" w:lineRule="auto"/>
        <w:ind w:left="315" w:leftChars="150"/>
        <w:rPr>
          <w:color w:val="auto"/>
          <w:highlight w:val="none"/>
        </w:rPr>
      </w:pPr>
      <w:r>
        <w:rPr>
          <w:rFonts w:hint="eastAsia"/>
          <w:color w:val="auto"/>
          <w:highlight w:val="none"/>
        </w:rPr>
        <w:t>1.3 楼外墙及玻璃幕墙的清洁保养工作。</w:t>
      </w:r>
    </w:p>
    <w:p>
      <w:pPr>
        <w:pStyle w:val="12"/>
        <w:spacing w:line="360" w:lineRule="auto"/>
        <w:ind w:left="315" w:leftChars="150"/>
        <w:rPr>
          <w:color w:val="auto"/>
          <w:highlight w:val="none"/>
        </w:rPr>
      </w:pPr>
      <w:r>
        <w:rPr>
          <w:rFonts w:hint="eastAsia"/>
          <w:color w:val="auto"/>
          <w:highlight w:val="none"/>
        </w:rPr>
        <w:t>1.4</w:t>
      </w:r>
      <w:r>
        <w:rPr>
          <w:color w:val="auto"/>
          <w:highlight w:val="none"/>
        </w:rPr>
        <w:t xml:space="preserve"> </w:t>
      </w:r>
      <w:r>
        <w:rPr>
          <w:rFonts w:hint="eastAsia"/>
          <w:color w:val="auto"/>
          <w:highlight w:val="none"/>
        </w:rPr>
        <w:t>1#楼以外的公共区域卫生工作。</w:t>
      </w:r>
    </w:p>
    <w:p>
      <w:pPr>
        <w:pStyle w:val="12"/>
        <w:spacing w:line="360" w:lineRule="auto"/>
        <w:ind w:left="315" w:leftChars="150"/>
        <w:rPr>
          <w:color w:val="auto"/>
          <w:highlight w:val="none"/>
        </w:rPr>
      </w:pPr>
      <w:r>
        <w:rPr>
          <w:rFonts w:hint="eastAsia"/>
          <w:color w:val="auto"/>
          <w:highlight w:val="none"/>
        </w:rPr>
        <w:t>1.5 地下室公共区域的墙面、地面、管道等，化粪池清理；</w:t>
      </w:r>
    </w:p>
    <w:p>
      <w:pPr>
        <w:pStyle w:val="12"/>
        <w:spacing w:line="360" w:lineRule="auto"/>
        <w:ind w:left="315" w:leftChars="150"/>
        <w:rPr>
          <w:color w:val="auto"/>
          <w:highlight w:val="none"/>
        </w:rPr>
      </w:pPr>
      <w:r>
        <w:rPr>
          <w:rFonts w:hint="eastAsia"/>
          <w:color w:val="auto"/>
          <w:highlight w:val="none"/>
        </w:rPr>
        <w:t xml:space="preserve">1.6垃圾的清运工作，餐厨垃圾除外。 </w:t>
      </w:r>
    </w:p>
    <w:p>
      <w:pPr>
        <w:autoSpaceDE w:val="0"/>
        <w:autoSpaceDN w:val="0"/>
        <w:adjustRightInd w:val="0"/>
        <w:spacing w:line="360" w:lineRule="auto"/>
        <w:textAlignment w:val="bottom"/>
        <w:rPr>
          <w:rFonts w:ascii="宋体"/>
          <w:b/>
          <w:color w:val="auto"/>
          <w:sz w:val="24"/>
          <w:szCs w:val="24"/>
          <w:highlight w:val="none"/>
        </w:rPr>
      </w:pPr>
      <w:r>
        <w:rPr>
          <w:rFonts w:hint="eastAsia"/>
          <w:color w:val="auto"/>
          <w:sz w:val="24"/>
          <w:szCs w:val="24"/>
          <w:highlight w:val="none"/>
        </w:rPr>
        <w:t xml:space="preserve">  </w:t>
      </w:r>
      <w:r>
        <w:rPr>
          <w:rFonts w:hint="eastAsia" w:ascii="宋体"/>
          <w:b/>
          <w:color w:val="auto"/>
          <w:sz w:val="24"/>
          <w:szCs w:val="24"/>
          <w:highlight w:val="none"/>
        </w:rPr>
        <w:t>2、2#楼保洁服务范围：</w:t>
      </w:r>
    </w:p>
    <w:p>
      <w:pPr>
        <w:pStyle w:val="12"/>
        <w:spacing w:line="360" w:lineRule="auto"/>
        <w:ind w:firstLine="360" w:firstLineChars="150"/>
        <w:rPr>
          <w:color w:val="auto"/>
          <w:highlight w:val="none"/>
        </w:rPr>
      </w:pPr>
      <w:r>
        <w:rPr>
          <w:rFonts w:hint="eastAsia"/>
          <w:color w:val="auto"/>
          <w:highlight w:val="none"/>
        </w:rPr>
        <w:t>2.1  2#楼所有公共部位包括楼层会议室、大厅、电梯、走廊、楼梯、楼道、卫生间、茶水间、停车场的保洁工作。</w:t>
      </w:r>
    </w:p>
    <w:p>
      <w:pPr>
        <w:pStyle w:val="12"/>
        <w:spacing w:line="360" w:lineRule="auto"/>
        <w:ind w:left="315" w:leftChars="150"/>
        <w:rPr>
          <w:color w:val="auto"/>
          <w:highlight w:val="none"/>
        </w:rPr>
      </w:pPr>
      <w:r>
        <w:rPr>
          <w:rFonts w:hint="eastAsia"/>
          <w:color w:val="auto"/>
          <w:highlight w:val="none"/>
        </w:rPr>
        <w:t>2.2楼内公共区域墙面、大理石的清洁保养工作。</w:t>
      </w:r>
    </w:p>
    <w:p>
      <w:pPr>
        <w:pStyle w:val="12"/>
        <w:spacing w:line="360" w:lineRule="auto"/>
        <w:ind w:left="315" w:leftChars="150"/>
        <w:rPr>
          <w:color w:val="auto"/>
          <w:highlight w:val="none"/>
        </w:rPr>
      </w:pPr>
      <w:r>
        <w:rPr>
          <w:rFonts w:hint="eastAsia"/>
          <w:color w:val="auto"/>
          <w:highlight w:val="none"/>
        </w:rPr>
        <w:t>2.3 楼外墙及玻璃幕墙（一年2次）的清洁保养工作。</w:t>
      </w:r>
    </w:p>
    <w:p>
      <w:pPr>
        <w:pStyle w:val="12"/>
        <w:spacing w:line="360" w:lineRule="auto"/>
        <w:ind w:left="315" w:leftChars="150"/>
        <w:rPr>
          <w:color w:val="auto"/>
          <w:highlight w:val="none"/>
        </w:rPr>
      </w:pPr>
      <w:r>
        <w:rPr>
          <w:rFonts w:hint="eastAsia"/>
          <w:color w:val="auto"/>
          <w:highlight w:val="none"/>
        </w:rPr>
        <w:t>2.4 2#楼以外的公共区域卫生工作。</w:t>
      </w:r>
    </w:p>
    <w:p>
      <w:pPr>
        <w:pStyle w:val="12"/>
        <w:spacing w:line="360" w:lineRule="auto"/>
        <w:ind w:left="315" w:leftChars="150"/>
        <w:rPr>
          <w:color w:val="auto"/>
          <w:highlight w:val="none"/>
        </w:rPr>
      </w:pPr>
      <w:r>
        <w:rPr>
          <w:rFonts w:hint="eastAsia"/>
          <w:color w:val="auto"/>
          <w:highlight w:val="none"/>
        </w:rPr>
        <w:t>2.5主楼三层活动中心、29层停机坪。</w:t>
      </w:r>
    </w:p>
    <w:p>
      <w:pPr>
        <w:pStyle w:val="12"/>
        <w:spacing w:line="360" w:lineRule="auto"/>
        <w:ind w:left="315" w:leftChars="150"/>
        <w:rPr>
          <w:color w:val="auto"/>
          <w:highlight w:val="none"/>
        </w:rPr>
      </w:pPr>
      <w:r>
        <w:rPr>
          <w:rFonts w:hint="eastAsia"/>
          <w:color w:val="auto"/>
          <w:highlight w:val="none"/>
        </w:rPr>
        <w:t>2.6地下室公共区域的墙面、地面、管道等，化粪池清理。</w:t>
      </w:r>
    </w:p>
    <w:p>
      <w:pPr>
        <w:pStyle w:val="12"/>
        <w:spacing w:line="360" w:lineRule="auto"/>
        <w:ind w:left="315" w:leftChars="150"/>
        <w:rPr>
          <w:color w:val="auto"/>
          <w:highlight w:val="none"/>
        </w:rPr>
      </w:pPr>
      <w:r>
        <w:rPr>
          <w:rFonts w:hint="eastAsia"/>
          <w:color w:val="auto"/>
          <w:highlight w:val="none"/>
        </w:rPr>
        <w:t>2.7垃圾的清运工作，餐厨垃圾除外。</w:t>
      </w:r>
    </w:p>
    <w:p>
      <w:pPr>
        <w:pStyle w:val="12"/>
        <w:numPr>
          <w:ilvl w:val="0"/>
          <w:numId w:val="4"/>
        </w:numPr>
        <w:spacing w:line="360" w:lineRule="auto"/>
        <w:rPr>
          <w:b/>
          <w:color w:val="auto"/>
          <w:highlight w:val="none"/>
        </w:rPr>
      </w:pPr>
      <w:r>
        <w:rPr>
          <w:rFonts w:hint="eastAsia"/>
          <w:b/>
          <w:color w:val="auto"/>
          <w:highlight w:val="none"/>
        </w:rPr>
        <w:t>其他保洁服务范围：</w:t>
      </w:r>
    </w:p>
    <w:p>
      <w:pPr>
        <w:pStyle w:val="12"/>
        <w:spacing w:line="360" w:lineRule="auto"/>
        <w:rPr>
          <w:bCs/>
          <w:color w:val="auto"/>
          <w:highlight w:val="none"/>
        </w:rPr>
      </w:pPr>
      <w:r>
        <w:rPr>
          <w:rFonts w:hint="eastAsia"/>
          <w:b/>
          <w:color w:val="auto"/>
          <w:highlight w:val="none"/>
        </w:rPr>
        <w:t xml:space="preserve"> </w:t>
      </w:r>
      <w:r>
        <w:rPr>
          <w:rFonts w:hint="eastAsia"/>
          <w:bCs/>
          <w:color w:val="auto"/>
          <w:highlight w:val="none"/>
        </w:rPr>
        <w:t xml:space="preserve">  3.1裙楼（不含餐厅、厨房）公共区域。</w:t>
      </w:r>
    </w:p>
    <w:p>
      <w:pPr>
        <w:pStyle w:val="12"/>
        <w:spacing w:line="360" w:lineRule="auto"/>
        <w:rPr>
          <w:bCs/>
          <w:color w:val="auto"/>
          <w:highlight w:val="none"/>
        </w:rPr>
      </w:pPr>
      <w:r>
        <w:rPr>
          <w:rFonts w:hint="eastAsia"/>
          <w:bCs/>
          <w:color w:val="auto"/>
          <w:highlight w:val="none"/>
        </w:rPr>
        <w:t xml:space="preserve">   3.2信访室的保洁工作。</w:t>
      </w:r>
    </w:p>
    <w:p>
      <w:pPr>
        <w:pStyle w:val="12"/>
        <w:spacing w:line="360" w:lineRule="auto"/>
        <w:rPr>
          <w:b/>
          <w:color w:val="auto"/>
          <w:highlight w:val="none"/>
        </w:rPr>
      </w:pPr>
      <w:r>
        <w:rPr>
          <w:rFonts w:hint="eastAsia"/>
          <w:b/>
          <w:color w:val="auto"/>
          <w:highlight w:val="none"/>
        </w:rPr>
        <w:t>4、</w:t>
      </w:r>
      <w:r>
        <w:rPr>
          <w:b/>
          <w:color w:val="auto"/>
          <w:highlight w:val="none"/>
        </w:rPr>
        <w:t>保洁服务</w:t>
      </w:r>
      <w:r>
        <w:rPr>
          <w:rFonts w:hint="eastAsia"/>
          <w:b/>
          <w:color w:val="auto"/>
          <w:highlight w:val="none"/>
        </w:rPr>
        <w:t>的</w:t>
      </w:r>
      <w:r>
        <w:rPr>
          <w:b/>
          <w:color w:val="auto"/>
          <w:highlight w:val="none"/>
        </w:rPr>
        <w:t>标准与要求</w:t>
      </w:r>
      <w:r>
        <w:rPr>
          <w:rFonts w:hint="eastAsia"/>
          <w:b/>
          <w:color w:val="auto"/>
          <w:highlight w:val="none"/>
        </w:rPr>
        <w:t>：</w:t>
      </w:r>
      <w:r>
        <w:rPr>
          <w:b/>
          <w:color w:val="auto"/>
          <w:highlight w:val="none"/>
        </w:rPr>
        <w:t xml:space="preserve"> </w:t>
      </w:r>
    </w:p>
    <w:p>
      <w:pPr>
        <w:autoSpaceDE w:val="0"/>
        <w:autoSpaceDN w:val="0"/>
        <w:adjustRightInd w:val="0"/>
        <w:snapToGrid w:val="0"/>
        <w:spacing w:line="360" w:lineRule="auto"/>
        <w:ind w:firstLine="360" w:firstLineChars="150"/>
        <w:textAlignment w:val="bottom"/>
        <w:rPr>
          <w:rFonts w:ascii="宋体"/>
          <w:color w:val="auto"/>
          <w:sz w:val="24"/>
          <w:szCs w:val="24"/>
          <w:highlight w:val="none"/>
        </w:rPr>
      </w:pPr>
      <w:r>
        <w:rPr>
          <w:rFonts w:hint="eastAsia" w:ascii="宋体"/>
          <w:color w:val="auto"/>
          <w:sz w:val="24"/>
          <w:szCs w:val="24"/>
          <w:highlight w:val="none"/>
        </w:rPr>
        <w:t>4.1 垃圾日产日清并按指定位置倒入，卫生设施齐全、完好率达99%以上，对损坏的卫生设施及时进行处理。</w:t>
      </w:r>
    </w:p>
    <w:p>
      <w:pPr>
        <w:autoSpaceDE w:val="0"/>
        <w:autoSpaceDN w:val="0"/>
        <w:adjustRightInd w:val="0"/>
        <w:snapToGrid w:val="0"/>
        <w:spacing w:line="360" w:lineRule="auto"/>
        <w:ind w:firstLine="360" w:firstLineChars="150"/>
        <w:textAlignment w:val="bottom"/>
        <w:rPr>
          <w:rFonts w:ascii="宋体"/>
          <w:color w:val="auto"/>
          <w:sz w:val="24"/>
          <w:szCs w:val="24"/>
          <w:highlight w:val="none"/>
        </w:rPr>
      </w:pPr>
      <w:r>
        <w:rPr>
          <w:rFonts w:hint="eastAsia" w:ascii="宋体"/>
          <w:color w:val="auto"/>
          <w:sz w:val="24"/>
          <w:szCs w:val="24"/>
          <w:highlight w:val="none"/>
        </w:rPr>
        <w:t>4.2 大厅、楼内公共通道：大厅地面保持干净无水渍，大理石、花岗石等材质定期养护，进出口地垫整洁；公共通道门框、窗框、窗台、金属件表面光亮无尘无污渍</w:t>
      </w:r>
      <w:r>
        <w:rPr>
          <w:rFonts w:ascii="宋体"/>
          <w:color w:val="auto"/>
          <w:sz w:val="24"/>
          <w:szCs w:val="24"/>
          <w:highlight w:val="none"/>
        </w:rPr>
        <w:t>，</w:t>
      </w:r>
      <w:r>
        <w:rPr>
          <w:rFonts w:hint="eastAsia" w:ascii="宋体"/>
          <w:color w:val="auto"/>
          <w:sz w:val="24"/>
          <w:szCs w:val="24"/>
          <w:highlight w:val="none"/>
        </w:rPr>
        <w:t>走道四角及踢脚板应保持干净卫生；门窗玻璃干净无尘，透光性好；天花板无蛛网；灯具干净无积尘，空调风口干净无污迹；指示牌干净无污渍，指示醒目。</w:t>
      </w:r>
    </w:p>
    <w:p>
      <w:pPr>
        <w:spacing w:line="360" w:lineRule="auto"/>
        <w:ind w:firstLine="360" w:firstLineChars="150"/>
        <w:rPr>
          <w:rFonts w:ascii="宋体"/>
          <w:color w:val="auto"/>
          <w:sz w:val="24"/>
          <w:szCs w:val="24"/>
          <w:highlight w:val="none"/>
        </w:rPr>
      </w:pPr>
      <w:r>
        <w:rPr>
          <w:rFonts w:hint="eastAsia" w:ascii="宋体"/>
          <w:color w:val="auto"/>
          <w:sz w:val="24"/>
          <w:szCs w:val="24"/>
          <w:highlight w:val="none"/>
        </w:rPr>
        <w:t>4.</w:t>
      </w:r>
      <w:r>
        <w:rPr>
          <w:rFonts w:ascii="宋体"/>
          <w:color w:val="auto"/>
          <w:sz w:val="24"/>
          <w:szCs w:val="24"/>
          <w:highlight w:val="none"/>
        </w:rPr>
        <w:t>3</w:t>
      </w:r>
      <w:r>
        <w:rPr>
          <w:rFonts w:hint="eastAsia" w:ascii="宋体"/>
          <w:color w:val="auto"/>
          <w:sz w:val="24"/>
          <w:szCs w:val="24"/>
          <w:highlight w:val="none"/>
        </w:rPr>
        <w:t xml:space="preserve"> </w:t>
      </w:r>
      <w:r>
        <w:rPr>
          <w:rFonts w:ascii="宋体"/>
          <w:color w:val="auto"/>
          <w:sz w:val="24"/>
          <w:szCs w:val="24"/>
          <w:highlight w:val="none"/>
        </w:rPr>
        <w:t>卫生</w:t>
      </w:r>
      <w:r>
        <w:rPr>
          <w:rFonts w:hint="eastAsia" w:ascii="宋体"/>
          <w:color w:val="auto"/>
          <w:sz w:val="24"/>
          <w:szCs w:val="24"/>
          <w:highlight w:val="none"/>
        </w:rPr>
        <w:t>间：循环保洁，地面干净，无污渍无积水；洁具洁净，无污渍；门窗、墙壁、隔断、玻璃、窗台表面干净，无污迹，金属饰件有金属光泽，天花板表面无蛛网；换气扇表面无积尘；洗手台干净无污垢；保持空气流通，无明显异味。</w:t>
      </w:r>
    </w:p>
    <w:p>
      <w:pPr>
        <w:spacing w:line="360" w:lineRule="auto"/>
        <w:ind w:firstLine="360" w:firstLineChars="150"/>
        <w:rPr>
          <w:rFonts w:ascii="宋体"/>
          <w:color w:val="auto"/>
          <w:sz w:val="24"/>
          <w:szCs w:val="24"/>
          <w:highlight w:val="none"/>
        </w:rPr>
      </w:pPr>
      <w:r>
        <w:rPr>
          <w:rFonts w:hint="eastAsia" w:ascii="宋体"/>
          <w:color w:val="auto"/>
          <w:sz w:val="24"/>
          <w:szCs w:val="24"/>
          <w:highlight w:val="none"/>
        </w:rPr>
        <w:t>4.4 开水间以及清洁间：每日清洁，地面干净，无杂物无积水，天花板无蛛网，灯罩表面无积尘，墙面干净无污渍，各种物品表面干净无渍，清洁工具摆放整齐有序。</w:t>
      </w:r>
    </w:p>
    <w:p>
      <w:pPr>
        <w:autoSpaceDE w:val="0"/>
        <w:autoSpaceDN w:val="0"/>
        <w:adjustRightInd w:val="0"/>
        <w:snapToGrid w:val="0"/>
        <w:spacing w:line="360" w:lineRule="auto"/>
        <w:ind w:firstLine="360" w:firstLineChars="150"/>
        <w:textAlignment w:val="bottom"/>
        <w:rPr>
          <w:rFonts w:ascii="宋体"/>
          <w:color w:val="auto"/>
          <w:sz w:val="24"/>
          <w:szCs w:val="24"/>
          <w:highlight w:val="none"/>
        </w:rPr>
      </w:pPr>
      <w:r>
        <w:rPr>
          <w:rFonts w:hint="eastAsia" w:ascii="宋体"/>
          <w:color w:val="auto"/>
          <w:sz w:val="24"/>
          <w:szCs w:val="24"/>
          <w:highlight w:val="none"/>
        </w:rPr>
        <w:t>4.</w:t>
      </w:r>
      <w:r>
        <w:rPr>
          <w:rFonts w:ascii="宋体"/>
          <w:color w:val="auto"/>
          <w:sz w:val="24"/>
          <w:szCs w:val="24"/>
          <w:highlight w:val="none"/>
        </w:rPr>
        <w:t>5</w:t>
      </w:r>
      <w:r>
        <w:rPr>
          <w:rFonts w:hint="eastAsia" w:ascii="宋体"/>
          <w:color w:val="auto"/>
          <w:sz w:val="24"/>
          <w:szCs w:val="24"/>
          <w:highlight w:val="none"/>
        </w:rPr>
        <w:t xml:space="preserve"> 指定办公室保洁：定时打扫，保持地面、墙面、屋顶、门窗、空调、踢脚线等部位的清洁</w:t>
      </w:r>
      <w:r>
        <w:rPr>
          <w:rFonts w:ascii="宋体"/>
          <w:color w:val="auto"/>
          <w:sz w:val="24"/>
          <w:szCs w:val="24"/>
          <w:highlight w:val="none"/>
        </w:rPr>
        <w:t>，</w:t>
      </w:r>
      <w:r>
        <w:rPr>
          <w:rFonts w:hint="eastAsia" w:ascii="宋体"/>
          <w:color w:val="auto"/>
          <w:sz w:val="24"/>
          <w:szCs w:val="24"/>
          <w:highlight w:val="none"/>
        </w:rPr>
        <w:t>办公家具</w:t>
      </w:r>
      <w:r>
        <w:rPr>
          <w:rFonts w:ascii="宋体"/>
          <w:color w:val="auto"/>
          <w:sz w:val="24"/>
          <w:szCs w:val="24"/>
          <w:highlight w:val="none"/>
        </w:rPr>
        <w:t>、</w:t>
      </w:r>
      <w:r>
        <w:rPr>
          <w:rFonts w:hint="eastAsia" w:ascii="宋体"/>
          <w:color w:val="auto"/>
          <w:sz w:val="24"/>
          <w:szCs w:val="24"/>
          <w:highlight w:val="none"/>
        </w:rPr>
        <w:t>茶具清洁</w:t>
      </w:r>
      <w:r>
        <w:rPr>
          <w:rFonts w:ascii="宋体"/>
          <w:color w:val="auto"/>
          <w:sz w:val="24"/>
          <w:szCs w:val="24"/>
          <w:highlight w:val="none"/>
        </w:rPr>
        <w:t>。</w:t>
      </w:r>
    </w:p>
    <w:p>
      <w:pPr>
        <w:spacing w:line="360" w:lineRule="auto"/>
        <w:ind w:firstLine="360" w:firstLineChars="150"/>
        <w:rPr>
          <w:rFonts w:ascii="宋体"/>
          <w:color w:val="auto"/>
          <w:sz w:val="24"/>
          <w:szCs w:val="24"/>
          <w:highlight w:val="none"/>
        </w:rPr>
      </w:pPr>
      <w:r>
        <w:rPr>
          <w:rFonts w:ascii="宋体"/>
          <w:color w:val="auto"/>
          <w:sz w:val="24"/>
          <w:szCs w:val="24"/>
          <w:highlight w:val="none"/>
        </w:rPr>
        <w:t xml:space="preserve">4.6 </w:t>
      </w:r>
      <w:r>
        <w:rPr>
          <w:rFonts w:hint="eastAsia" w:ascii="宋体"/>
          <w:color w:val="auto"/>
          <w:sz w:val="24"/>
          <w:szCs w:val="24"/>
          <w:highlight w:val="none"/>
        </w:rPr>
        <w:t>电梯轿厢：每日擦拭轿厢门、面板，清拖1 次轿厢地面；不锈钢材料装饰的轿厢每月护理2 次；石材装饰的轿厢每季度养护1 次；轿厢内无污渍无粘贴物；灯具、操作指示板明亮；厢内地面干净无异味，电梯门槽内无垃圾无杂物。</w:t>
      </w:r>
    </w:p>
    <w:p>
      <w:pPr>
        <w:spacing w:line="360" w:lineRule="auto"/>
        <w:ind w:firstLine="360" w:firstLineChars="150"/>
        <w:rPr>
          <w:rFonts w:ascii="宋体"/>
          <w:color w:val="auto"/>
          <w:sz w:val="24"/>
          <w:szCs w:val="24"/>
          <w:highlight w:val="none"/>
        </w:rPr>
      </w:pPr>
      <w:r>
        <w:rPr>
          <w:rFonts w:ascii="宋体"/>
          <w:color w:val="auto"/>
          <w:sz w:val="24"/>
          <w:szCs w:val="24"/>
          <w:highlight w:val="none"/>
        </w:rPr>
        <w:t>4.7 电器、消防等设施设备：配电箱、设备机房、消防栓、报警器以及开关插座等每周清洁1 次，保证表面干净，无尘无污迹；监控摄像头、门警器等表面光亮，无尘无斑点。</w:t>
      </w:r>
    </w:p>
    <w:p>
      <w:pPr>
        <w:spacing w:line="360" w:lineRule="auto"/>
        <w:ind w:firstLine="360" w:firstLineChars="150"/>
        <w:rPr>
          <w:rFonts w:ascii="宋体"/>
          <w:color w:val="auto"/>
          <w:sz w:val="24"/>
          <w:szCs w:val="24"/>
          <w:highlight w:val="none"/>
        </w:rPr>
      </w:pPr>
      <w:r>
        <w:rPr>
          <w:rFonts w:ascii="宋体"/>
          <w:color w:val="auto"/>
          <w:sz w:val="24"/>
          <w:szCs w:val="24"/>
          <w:highlight w:val="none"/>
        </w:rPr>
        <w:t>4.8 室外公共场所：每日清扫道路地面，保持干净，无杂物无积水无污迹；沟渠、池、井内无杂物无异味；各种路标、标志、宣传栏表面干净，无积尘无水印；室外照明以及公用设施每半月清洁1 次，属高空作业范围的部分路灯、景观灯等每半年清洁1 次，表面无污渍。</w:t>
      </w:r>
    </w:p>
    <w:p>
      <w:pPr>
        <w:spacing w:line="360" w:lineRule="auto"/>
        <w:ind w:firstLine="360" w:firstLineChars="150"/>
        <w:rPr>
          <w:rFonts w:ascii="宋体"/>
          <w:color w:val="auto"/>
          <w:sz w:val="24"/>
          <w:szCs w:val="24"/>
          <w:highlight w:val="none"/>
        </w:rPr>
      </w:pPr>
      <w:r>
        <w:rPr>
          <w:rFonts w:ascii="宋体"/>
          <w:color w:val="auto"/>
          <w:sz w:val="24"/>
          <w:szCs w:val="24"/>
          <w:highlight w:val="none"/>
        </w:rPr>
        <w:t>4.9 绿化带以及景观：每日清洁1 次；绿地内无杂物，花台、雕塑、景观表面干净无污渍；景观水质清澈无异味无漂浮物，建筑整洁无涂污。</w:t>
      </w:r>
    </w:p>
    <w:p>
      <w:pPr>
        <w:spacing w:line="360" w:lineRule="auto"/>
        <w:ind w:firstLine="360" w:firstLineChars="150"/>
        <w:rPr>
          <w:rFonts w:ascii="宋体"/>
          <w:color w:val="auto"/>
          <w:sz w:val="24"/>
          <w:szCs w:val="24"/>
          <w:highlight w:val="none"/>
        </w:rPr>
      </w:pPr>
      <w:r>
        <w:rPr>
          <w:rFonts w:ascii="宋体"/>
          <w:color w:val="auto"/>
          <w:sz w:val="24"/>
          <w:szCs w:val="24"/>
          <w:highlight w:val="none"/>
        </w:rPr>
        <w:t>4.10 办公楼以及业务、技术用房的平台、屋顶：天台、内天井，有杂物及时清扫；外墙（幕墙）目视洁净无污垢；表面、接缝、角落、边线等处洁净无污渍无积尘。</w:t>
      </w:r>
    </w:p>
    <w:p>
      <w:pPr>
        <w:autoSpaceDE w:val="0"/>
        <w:autoSpaceDN w:val="0"/>
        <w:adjustRightInd w:val="0"/>
        <w:snapToGrid w:val="0"/>
        <w:spacing w:line="360" w:lineRule="auto"/>
        <w:ind w:firstLine="360" w:firstLineChars="150"/>
        <w:textAlignment w:val="bottom"/>
        <w:rPr>
          <w:rFonts w:ascii="宋体"/>
          <w:color w:val="auto"/>
          <w:sz w:val="24"/>
          <w:szCs w:val="24"/>
          <w:highlight w:val="none"/>
        </w:rPr>
      </w:pPr>
      <w:r>
        <w:rPr>
          <w:rFonts w:hint="eastAsia" w:ascii="宋体"/>
          <w:color w:val="auto"/>
          <w:sz w:val="24"/>
          <w:szCs w:val="24"/>
          <w:highlight w:val="none"/>
        </w:rPr>
        <w:t>4.</w:t>
      </w:r>
      <w:r>
        <w:rPr>
          <w:rFonts w:ascii="宋体"/>
          <w:color w:val="auto"/>
          <w:sz w:val="24"/>
          <w:szCs w:val="24"/>
          <w:highlight w:val="none"/>
        </w:rPr>
        <w:t>11</w:t>
      </w:r>
      <w:r>
        <w:rPr>
          <w:rFonts w:hint="eastAsia" w:ascii="宋体"/>
          <w:color w:val="auto"/>
          <w:sz w:val="24"/>
          <w:szCs w:val="24"/>
          <w:highlight w:val="none"/>
        </w:rPr>
        <w:t xml:space="preserve"> 区域内公共场所大面积保洁服务时（如外墙清洗、地毯清洗等），需提前1周将保洁计划报采购人，经同意后方可实施。</w:t>
      </w:r>
    </w:p>
    <w:p>
      <w:pPr>
        <w:autoSpaceDE w:val="0"/>
        <w:autoSpaceDN w:val="0"/>
        <w:adjustRightInd w:val="0"/>
        <w:snapToGrid w:val="0"/>
        <w:spacing w:line="360" w:lineRule="auto"/>
        <w:ind w:firstLine="360" w:firstLineChars="150"/>
        <w:textAlignment w:val="bottom"/>
        <w:rPr>
          <w:rFonts w:ascii="宋体"/>
          <w:color w:val="auto"/>
          <w:sz w:val="24"/>
          <w:szCs w:val="24"/>
          <w:highlight w:val="none"/>
        </w:rPr>
      </w:pPr>
      <w:r>
        <w:rPr>
          <w:rFonts w:hint="eastAsia" w:ascii="宋体"/>
          <w:color w:val="auto"/>
          <w:sz w:val="24"/>
          <w:szCs w:val="24"/>
          <w:highlight w:val="none"/>
        </w:rPr>
        <w:t>4.1</w:t>
      </w:r>
      <w:r>
        <w:rPr>
          <w:rFonts w:ascii="宋体"/>
          <w:color w:val="auto"/>
          <w:sz w:val="24"/>
          <w:szCs w:val="24"/>
          <w:highlight w:val="none"/>
        </w:rPr>
        <w:t>2</w:t>
      </w:r>
      <w:r>
        <w:rPr>
          <w:rFonts w:hint="eastAsia" w:ascii="宋体"/>
          <w:color w:val="auto"/>
          <w:sz w:val="24"/>
          <w:szCs w:val="24"/>
          <w:highlight w:val="none"/>
        </w:rPr>
        <w:t xml:space="preserve"> 负责在区域内消灭蚊虫、苍蝇、蟑螂、老鼠等的工作，达到市爱卫会的有关标准。采取综合措施消灭老鼠、蟑螂，控制室内外蚊虫孳生，达到基本无蝇；配合有关部门进行有害生物的预防和控制，投放药物应当预先告知，投药位置有明显标识。公共卫生间、电梯轿厢至少每日消毒1 次；垃圾收集容器至少每日消毒2 次；公共区域根据实际需要进行消毒。</w:t>
      </w:r>
    </w:p>
    <w:p>
      <w:pPr>
        <w:spacing w:line="360" w:lineRule="auto"/>
        <w:ind w:firstLine="360" w:firstLineChars="150"/>
        <w:rPr>
          <w:rFonts w:ascii="宋体"/>
          <w:color w:val="auto"/>
          <w:sz w:val="24"/>
          <w:szCs w:val="24"/>
          <w:highlight w:val="none"/>
        </w:rPr>
      </w:pPr>
      <w:r>
        <w:rPr>
          <w:rFonts w:hint="eastAsia" w:ascii="宋体"/>
          <w:color w:val="auto"/>
          <w:sz w:val="24"/>
          <w:szCs w:val="24"/>
          <w:highlight w:val="none"/>
        </w:rPr>
        <w:t>4.13垃圾</w:t>
      </w:r>
      <w:r>
        <w:rPr>
          <w:rFonts w:ascii="宋体"/>
          <w:color w:val="auto"/>
          <w:sz w:val="24"/>
          <w:szCs w:val="24"/>
          <w:highlight w:val="none"/>
        </w:rPr>
        <w:t>分类。</w:t>
      </w:r>
      <w:r>
        <w:rPr>
          <w:rFonts w:hint="eastAsia" w:ascii="宋体"/>
          <w:color w:val="auto"/>
          <w:sz w:val="24"/>
          <w:szCs w:val="24"/>
          <w:highlight w:val="none"/>
        </w:rPr>
        <w:t>设置垃圾分类桶，张贴垃圾分类标识，对垃圾进行强制分类。垃圾桶（箱）按指定位置摆放，桶（箱）身表面干净无污渍，地面无垃圾。垃圾中转房地面每日拖洗2 次，无明显异味；垃圾袋装，日产日清。</w:t>
      </w:r>
    </w:p>
    <w:p>
      <w:pPr>
        <w:spacing w:line="360" w:lineRule="auto"/>
        <w:ind w:firstLine="360" w:firstLineChars="150"/>
        <w:rPr>
          <w:rFonts w:ascii="宋体"/>
          <w:color w:val="auto"/>
          <w:sz w:val="24"/>
          <w:szCs w:val="24"/>
          <w:highlight w:val="none"/>
        </w:rPr>
      </w:pPr>
      <w:r>
        <w:rPr>
          <w:rFonts w:hint="eastAsia" w:ascii="宋体"/>
          <w:color w:val="auto"/>
          <w:sz w:val="24"/>
          <w:szCs w:val="24"/>
          <w:highlight w:val="none"/>
        </w:rPr>
        <w:t>4.14 绿化养护</w:t>
      </w:r>
      <w:r>
        <w:rPr>
          <w:rFonts w:ascii="宋体"/>
          <w:color w:val="auto"/>
          <w:sz w:val="24"/>
          <w:szCs w:val="24"/>
          <w:highlight w:val="none"/>
        </w:rPr>
        <w:t>。</w:t>
      </w:r>
      <w:r>
        <w:rPr>
          <w:rFonts w:hint="eastAsia" w:ascii="宋体" w:cs="宋体"/>
          <w:color w:val="auto"/>
          <w:sz w:val="24"/>
          <w:szCs w:val="24"/>
          <w:highlight w:val="none"/>
        </w:rPr>
        <w:t>养护花草长势良好，布局合理，具有整体观赏效果，达到宁波市公共绿地一级标准。</w:t>
      </w:r>
      <w:r>
        <w:rPr>
          <w:rFonts w:hint="eastAsia" w:ascii="宋体"/>
          <w:color w:val="auto"/>
          <w:sz w:val="24"/>
          <w:szCs w:val="24"/>
          <w:highlight w:val="none"/>
        </w:rPr>
        <w:t>定期巡查室外绿地设施以及硬质景观，保持完好无损。有计划地进行浇灌，灌溉水下渗充足均匀，无明显旱涝情况发生。根据植物生长情况施肥。根据病虫害发生规律，防治病虫害。定期对绿植进行整形修剪：乔木每年冬季修剪1 次，灌木每年生长季节和冬季修剪1 次，绿篱每年至少修剪4 次，草坪春夏季每两个月修剪1 次、秋冬季每季1 次，重点绿地在重大活动重大节日适时整治，保持美观。制定防台防汛应急预案，暴雨、暴雪等恶劣天气来临前后，专人巡查，及时加固、支撑、修剪高大乔木，排除安全隐患。</w:t>
      </w:r>
    </w:p>
    <w:p>
      <w:pPr>
        <w:spacing w:line="360" w:lineRule="auto"/>
        <w:ind w:firstLine="360" w:firstLineChars="150"/>
        <w:rPr>
          <w:rFonts w:ascii="宋体"/>
          <w:color w:val="auto"/>
          <w:sz w:val="24"/>
          <w:szCs w:val="24"/>
          <w:highlight w:val="none"/>
        </w:rPr>
      </w:pPr>
      <w:r>
        <w:rPr>
          <w:rFonts w:ascii="宋体"/>
          <w:color w:val="auto"/>
          <w:sz w:val="24"/>
          <w:szCs w:val="24"/>
          <w:highlight w:val="none"/>
        </w:rPr>
        <w:t>4.15 疫情防控。根据国家、省、市疫情防控要求，抓好公共区域环境消毒和卫生保洁工作。</w:t>
      </w:r>
    </w:p>
    <w:p>
      <w:pPr>
        <w:autoSpaceDE w:val="0"/>
        <w:autoSpaceDN w:val="0"/>
        <w:adjustRightInd w:val="0"/>
        <w:snapToGrid w:val="0"/>
        <w:spacing w:line="360" w:lineRule="auto"/>
        <w:ind w:firstLine="360" w:firstLineChars="150"/>
        <w:textAlignment w:val="bottom"/>
        <w:rPr>
          <w:rFonts w:ascii="宋体"/>
          <w:color w:val="auto"/>
          <w:sz w:val="24"/>
          <w:szCs w:val="24"/>
          <w:highlight w:val="none"/>
        </w:rPr>
      </w:pPr>
      <w:r>
        <w:rPr>
          <w:rFonts w:hint="eastAsia" w:ascii="宋体"/>
          <w:color w:val="auto"/>
          <w:sz w:val="24"/>
          <w:szCs w:val="24"/>
          <w:highlight w:val="none"/>
        </w:rPr>
        <w:t>4.16 按档案管理的要求，将保洁管理服务的有关资料分类管理，保存完好。</w:t>
      </w:r>
    </w:p>
    <w:p>
      <w:pPr>
        <w:autoSpaceDE w:val="0"/>
        <w:autoSpaceDN w:val="0"/>
        <w:adjustRightInd w:val="0"/>
        <w:snapToGrid w:val="0"/>
        <w:spacing w:line="360" w:lineRule="auto"/>
        <w:ind w:firstLine="120" w:firstLineChars="50"/>
        <w:textAlignment w:val="bottom"/>
        <w:rPr>
          <w:rFonts w:ascii="宋体"/>
          <w:b/>
          <w:color w:val="auto"/>
          <w:sz w:val="24"/>
          <w:szCs w:val="24"/>
          <w:highlight w:val="none"/>
        </w:rPr>
      </w:pPr>
      <w:r>
        <w:rPr>
          <w:rFonts w:hint="eastAsia" w:ascii="宋体"/>
          <w:color w:val="auto"/>
          <w:sz w:val="24"/>
          <w:szCs w:val="24"/>
          <w:highlight w:val="none"/>
        </w:rPr>
        <w:t xml:space="preserve">  4.17 及时落实采购人要求的其它合理服务事项。 </w:t>
      </w:r>
    </w:p>
    <w:p>
      <w:pPr>
        <w:autoSpaceDE w:val="0"/>
        <w:autoSpaceDN w:val="0"/>
        <w:adjustRightInd w:val="0"/>
        <w:snapToGrid w:val="0"/>
        <w:spacing w:line="360" w:lineRule="auto"/>
        <w:textAlignment w:val="bottom"/>
        <w:rPr>
          <w:rFonts w:ascii="宋体"/>
          <w:b/>
          <w:bCs/>
          <w:color w:val="auto"/>
          <w:sz w:val="28"/>
          <w:szCs w:val="28"/>
          <w:highlight w:val="none"/>
        </w:rPr>
      </w:pPr>
      <w:r>
        <w:rPr>
          <w:rFonts w:hint="eastAsia" w:ascii="宋体"/>
          <w:b/>
          <w:bCs/>
          <w:color w:val="auto"/>
          <w:sz w:val="28"/>
          <w:szCs w:val="28"/>
          <w:highlight w:val="none"/>
        </w:rPr>
        <w:t>（四）综合服务标准和技术要求</w:t>
      </w:r>
    </w:p>
    <w:p>
      <w:pPr>
        <w:spacing w:line="360" w:lineRule="auto"/>
        <w:ind w:firstLine="241" w:firstLineChars="100"/>
        <w:rPr>
          <w:rFonts w:ascii="宋体"/>
          <w:color w:val="auto"/>
          <w:sz w:val="24"/>
          <w:szCs w:val="24"/>
          <w:highlight w:val="none"/>
        </w:rPr>
      </w:pPr>
      <w:r>
        <w:rPr>
          <w:rFonts w:ascii="宋体"/>
          <w:b/>
          <w:color w:val="auto"/>
          <w:sz w:val="24"/>
          <w:szCs w:val="24"/>
          <w:highlight w:val="none"/>
        </w:rPr>
        <w:t>1、服务内容。</w:t>
      </w:r>
      <w:r>
        <w:rPr>
          <w:rFonts w:hint="eastAsia" w:ascii="宋体"/>
          <w:color w:val="auto"/>
          <w:sz w:val="24"/>
          <w:szCs w:val="24"/>
          <w:highlight w:val="none"/>
        </w:rPr>
        <w:t>负责整个项目的运行与协调</w:t>
      </w:r>
      <w:r>
        <w:rPr>
          <w:rFonts w:ascii="宋体"/>
          <w:color w:val="auto"/>
          <w:sz w:val="24"/>
          <w:szCs w:val="24"/>
          <w:highlight w:val="none"/>
        </w:rPr>
        <w:t>，</w:t>
      </w:r>
      <w:r>
        <w:rPr>
          <w:rFonts w:hint="eastAsia" w:ascii="宋体"/>
          <w:color w:val="auto"/>
          <w:sz w:val="24"/>
          <w:szCs w:val="24"/>
          <w:highlight w:val="none"/>
        </w:rPr>
        <w:t>确保整体服务质量</w:t>
      </w:r>
      <w:r>
        <w:rPr>
          <w:rFonts w:ascii="宋体"/>
          <w:color w:val="auto"/>
          <w:sz w:val="24"/>
          <w:szCs w:val="24"/>
          <w:highlight w:val="none"/>
        </w:rPr>
        <w:t>；负责</w:t>
      </w:r>
      <w:r>
        <w:rPr>
          <w:rFonts w:hint="eastAsia" w:ascii="宋体"/>
          <w:color w:val="auto"/>
          <w:sz w:val="24"/>
          <w:szCs w:val="24"/>
          <w:highlight w:val="none"/>
        </w:rPr>
        <w:t>员工队伍的稳定</w:t>
      </w:r>
      <w:r>
        <w:rPr>
          <w:rFonts w:ascii="宋体"/>
          <w:color w:val="auto"/>
          <w:sz w:val="24"/>
          <w:szCs w:val="24"/>
          <w:highlight w:val="none"/>
        </w:rPr>
        <w:t>、</w:t>
      </w:r>
      <w:r>
        <w:rPr>
          <w:rFonts w:hint="eastAsia" w:ascii="宋体"/>
          <w:color w:val="auto"/>
          <w:sz w:val="24"/>
          <w:szCs w:val="24"/>
          <w:highlight w:val="none"/>
        </w:rPr>
        <w:t>大楼的整体安全</w:t>
      </w:r>
      <w:r>
        <w:rPr>
          <w:rFonts w:ascii="宋体"/>
          <w:color w:val="auto"/>
          <w:sz w:val="24"/>
          <w:szCs w:val="24"/>
          <w:highlight w:val="none"/>
        </w:rPr>
        <w:t>；负责</w:t>
      </w:r>
      <w:r>
        <w:rPr>
          <w:rFonts w:hint="eastAsia" w:ascii="宋体"/>
          <w:color w:val="auto"/>
          <w:sz w:val="24"/>
          <w:szCs w:val="24"/>
          <w:highlight w:val="none"/>
        </w:rPr>
        <w:t>总台接待、会议服务、礼仪服务、迎送服务、引领服务、投诉回访、信件派发服务</w:t>
      </w:r>
      <w:r>
        <w:rPr>
          <w:rFonts w:ascii="宋体"/>
          <w:color w:val="auto"/>
          <w:sz w:val="24"/>
          <w:szCs w:val="24"/>
          <w:highlight w:val="none"/>
        </w:rPr>
        <w:t>以及档案管理、人事财务等</w:t>
      </w:r>
      <w:r>
        <w:rPr>
          <w:rFonts w:hint="eastAsia" w:ascii="宋体"/>
          <w:color w:val="auto"/>
          <w:sz w:val="24"/>
          <w:szCs w:val="24"/>
          <w:highlight w:val="none"/>
        </w:rPr>
        <w:t>。</w:t>
      </w:r>
    </w:p>
    <w:p>
      <w:pPr>
        <w:spacing w:line="360" w:lineRule="auto"/>
        <w:ind w:firstLine="361" w:firstLineChars="150"/>
        <w:rPr>
          <w:rFonts w:ascii="宋体"/>
          <w:b/>
          <w:color w:val="auto"/>
          <w:sz w:val="24"/>
          <w:szCs w:val="24"/>
          <w:highlight w:val="none"/>
        </w:rPr>
      </w:pPr>
      <w:r>
        <w:rPr>
          <w:rFonts w:ascii="宋体"/>
          <w:b/>
          <w:color w:val="auto"/>
          <w:sz w:val="24"/>
          <w:szCs w:val="24"/>
          <w:highlight w:val="none"/>
        </w:rPr>
        <w:t>2</w:t>
      </w:r>
      <w:r>
        <w:rPr>
          <w:rFonts w:hint="eastAsia" w:ascii="宋体"/>
          <w:b/>
          <w:color w:val="auto"/>
          <w:sz w:val="24"/>
          <w:szCs w:val="24"/>
          <w:highlight w:val="none"/>
        </w:rPr>
        <w:t>、具体服务要求：</w:t>
      </w:r>
    </w:p>
    <w:p>
      <w:pPr>
        <w:spacing w:line="360" w:lineRule="auto"/>
        <w:ind w:firstLine="361" w:firstLineChars="150"/>
        <w:rPr>
          <w:rFonts w:ascii="宋体"/>
          <w:color w:val="auto"/>
          <w:sz w:val="24"/>
          <w:szCs w:val="24"/>
          <w:highlight w:val="none"/>
        </w:rPr>
      </w:pPr>
      <w:r>
        <w:rPr>
          <w:rFonts w:ascii="宋体"/>
          <w:b/>
          <w:color w:val="auto"/>
          <w:sz w:val="24"/>
          <w:szCs w:val="24"/>
          <w:highlight w:val="none"/>
        </w:rPr>
        <w:t xml:space="preserve">2.1 </w:t>
      </w:r>
      <w:r>
        <w:rPr>
          <w:rFonts w:hint="eastAsia" w:ascii="宋体"/>
          <w:color w:val="auto"/>
          <w:sz w:val="24"/>
          <w:szCs w:val="24"/>
          <w:highlight w:val="none"/>
        </w:rPr>
        <w:t>建立完善的规章制度，主要包括物业服务方案、岗位职责、工作流程以及服务规范、内控管理制度、各类应急预案等。</w:t>
      </w:r>
    </w:p>
    <w:p>
      <w:pPr>
        <w:spacing w:line="360" w:lineRule="auto"/>
        <w:ind w:firstLine="360" w:firstLineChars="150"/>
        <w:rPr>
          <w:rFonts w:ascii="宋体"/>
          <w:color w:val="auto"/>
          <w:sz w:val="24"/>
          <w:szCs w:val="24"/>
          <w:highlight w:val="none"/>
        </w:rPr>
      </w:pPr>
      <w:r>
        <w:rPr>
          <w:rFonts w:ascii="宋体"/>
          <w:color w:val="auto"/>
          <w:sz w:val="24"/>
          <w:szCs w:val="24"/>
          <w:highlight w:val="none"/>
        </w:rPr>
        <w:t xml:space="preserve">2.2 </w:t>
      </w:r>
      <w:r>
        <w:rPr>
          <w:rFonts w:hint="eastAsia" w:ascii="宋体"/>
          <w:color w:val="auto"/>
          <w:sz w:val="24"/>
          <w:szCs w:val="24"/>
          <w:highlight w:val="none"/>
        </w:rPr>
        <w:t>由供应商按采购人要求提供专业的综合服务，对会议、礼仪等各项服务的要求做到专业化、标准化、规范化，符合浙江省、宁波市有关要求。</w:t>
      </w:r>
    </w:p>
    <w:p>
      <w:pPr>
        <w:spacing w:line="360" w:lineRule="auto"/>
        <w:ind w:firstLine="360" w:firstLineChars="150"/>
        <w:rPr>
          <w:rFonts w:ascii="宋体"/>
          <w:color w:val="auto"/>
          <w:sz w:val="24"/>
          <w:szCs w:val="24"/>
          <w:highlight w:val="none"/>
        </w:rPr>
      </w:pPr>
      <w:r>
        <w:rPr>
          <w:rFonts w:ascii="宋体"/>
          <w:color w:val="auto"/>
          <w:sz w:val="24"/>
          <w:szCs w:val="24"/>
          <w:highlight w:val="none"/>
        </w:rPr>
        <w:t>2.3 根据项目要求做好人员招聘培训，服务品质检查，财务核算等工作。</w:t>
      </w:r>
    </w:p>
    <w:p>
      <w:pPr>
        <w:spacing w:line="360" w:lineRule="auto"/>
        <w:ind w:firstLine="360" w:firstLineChars="150"/>
        <w:rPr>
          <w:rFonts w:ascii="宋体"/>
          <w:color w:val="auto"/>
          <w:sz w:val="24"/>
          <w:szCs w:val="24"/>
          <w:highlight w:val="none"/>
        </w:rPr>
      </w:pPr>
      <w:r>
        <w:rPr>
          <w:rFonts w:ascii="宋体"/>
          <w:color w:val="auto"/>
          <w:sz w:val="24"/>
          <w:szCs w:val="24"/>
          <w:highlight w:val="none"/>
        </w:rPr>
        <w:t>2.4 做好</w:t>
      </w:r>
      <w:r>
        <w:rPr>
          <w:rFonts w:hint="eastAsia" w:ascii="宋体"/>
          <w:color w:val="auto"/>
          <w:sz w:val="24"/>
          <w:szCs w:val="24"/>
          <w:highlight w:val="none"/>
        </w:rPr>
        <w:t>档案管理</w:t>
      </w:r>
      <w:r>
        <w:rPr>
          <w:rFonts w:ascii="宋体"/>
          <w:color w:val="auto"/>
          <w:sz w:val="24"/>
          <w:szCs w:val="24"/>
          <w:highlight w:val="none"/>
        </w:rPr>
        <w:t>，</w:t>
      </w:r>
      <w:r>
        <w:rPr>
          <w:rFonts w:hint="eastAsia" w:ascii="宋体"/>
          <w:color w:val="auto"/>
          <w:sz w:val="24"/>
          <w:szCs w:val="24"/>
          <w:highlight w:val="none"/>
        </w:rPr>
        <w:t>资料完整齐全，检索简便，及时移交采购人备份。</w:t>
      </w:r>
    </w:p>
    <w:p>
      <w:pPr>
        <w:autoSpaceDE w:val="0"/>
        <w:autoSpaceDN w:val="0"/>
        <w:adjustRightInd w:val="0"/>
        <w:snapToGrid w:val="0"/>
        <w:spacing w:line="360" w:lineRule="auto"/>
        <w:ind w:firstLine="360" w:firstLineChars="150"/>
        <w:textAlignment w:val="bottom"/>
        <w:rPr>
          <w:rFonts w:ascii="宋体"/>
          <w:color w:val="auto"/>
          <w:sz w:val="24"/>
          <w:szCs w:val="24"/>
          <w:highlight w:val="none"/>
        </w:rPr>
      </w:pPr>
      <w:r>
        <w:rPr>
          <w:rFonts w:hint="eastAsia" w:ascii="宋体"/>
          <w:color w:val="auto"/>
          <w:sz w:val="24"/>
          <w:szCs w:val="24"/>
          <w:highlight w:val="none"/>
        </w:rPr>
        <w:t xml:space="preserve">2.5 有用户投诉和服务要求时，应在10—15分钟时间内向相关部门发出工作通知单，对于投诉应在一个工作日内电话或书面或上门回复客户处理进展情况。投诉率≤2‰；处理率和回访率达100%。 </w:t>
      </w:r>
    </w:p>
    <w:p>
      <w:pPr>
        <w:spacing w:line="360" w:lineRule="auto"/>
        <w:ind w:firstLine="360" w:firstLineChars="150"/>
        <w:rPr>
          <w:rFonts w:ascii="宋体"/>
          <w:color w:val="auto"/>
          <w:sz w:val="24"/>
          <w:szCs w:val="24"/>
          <w:highlight w:val="none"/>
        </w:rPr>
      </w:pPr>
      <w:r>
        <w:rPr>
          <w:rFonts w:ascii="宋体"/>
          <w:color w:val="auto"/>
          <w:sz w:val="24"/>
          <w:szCs w:val="24"/>
          <w:highlight w:val="none"/>
        </w:rPr>
        <w:t>2.</w:t>
      </w:r>
      <w:r>
        <w:rPr>
          <w:rFonts w:hint="eastAsia" w:ascii="宋体"/>
          <w:color w:val="auto"/>
          <w:sz w:val="24"/>
          <w:szCs w:val="24"/>
          <w:highlight w:val="none"/>
        </w:rPr>
        <w:t>6</w:t>
      </w:r>
      <w:r>
        <w:rPr>
          <w:rFonts w:ascii="宋体"/>
          <w:color w:val="auto"/>
          <w:sz w:val="24"/>
          <w:szCs w:val="24"/>
          <w:highlight w:val="none"/>
        </w:rPr>
        <w:t xml:space="preserve"> 根据国家、省、市相关要求，</w:t>
      </w:r>
      <w:r>
        <w:rPr>
          <w:rFonts w:hint="eastAsia" w:ascii="宋体"/>
          <w:color w:val="auto"/>
          <w:sz w:val="24"/>
          <w:szCs w:val="24"/>
          <w:highlight w:val="none"/>
        </w:rPr>
        <w:t>严格</w:t>
      </w:r>
      <w:r>
        <w:rPr>
          <w:rFonts w:ascii="宋体"/>
          <w:color w:val="auto"/>
          <w:sz w:val="24"/>
          <w:szCs w:val="24"/>
          <w:highlight w:val="none"/>
        </w:rPr>
        <w:t>做好文明城市创建、平安宁波创建，疫情防控</w:t>
      </w:r>
      <w:r>
        <w:rPr>
          <w:rFonts w:hint="eastAsia" w:ascii="宋体"/>
          <w:color w:val="auto"/>
          <w:sz w:val="24"/>
          <w:szCs w:val="24"/>
          <w:highlight w:val="none"/>
        </w:rPr>
        <w:t>、控烟、禁塑</w:t>
      </w:r>
      <w:r>
        <w:rPr>
          <w:rFonts w:ascii="宋体"/>
          <w:color w:val="auto"/>
          <w:sz w:val="24"/>
          <w:szCs w:val="24"/>
          <w:highlight w:val="none"/>
        </w:rPr>
        <w:t>、垃圾分类</w:t>
      </w:r>
      <w:r>
        <w:rPr>
          <w:rFonts w:hint="eastAsia" w:ascii="宋体"/>
          <w:color w:val="auto"/>
          <w:sz w:val="24"/>
          <w:szCs w:val="24"/>
          <w:highlight w:val="none"/>
        </w:rPr>
        <w:t>等</w:t>
      </w:r>
      <w:r>
        <w:rPr>
          <w:rFonts w:ascii="宋体"/>
          <w:color w:val="auto"/>
          <w:sz w:val="24"/>
          <w:szCs w:val="24"/>
          <w:highlight w:val="none"/>
        </w:rPr>
        <w:t>工作</w:t>
      </w:r>
      <w:r>
        <w:rPr>
          <w:rFonts w:hint="eastAsia" w:ascii="宋体"/>
          <w:color w:val="auto"/>
          <w:sz w:val="24"/>
          <w:szCs w:val="24"/>
          <w:highlight w:val="none"/>
        </w:rPr>
        <w:t>，做好防台、节日环境布置、检查。</w:t>
      </w:r>
    </w:p>
    <w:p>
      <w:pPr>
        <w:spacing w:line="360" w:lineRule="auto"/>
        <w:rPr>
          <w:rFonts w:ascii="宋体" w:cs="宋体"/>
          <w:b/>
          <w:bCs/>
          <w:color w:val="auto"/>
          <w:sz w:val="28"/>
          <w:szCs w:val="28"/>
          <w:highlight w:val="none"/>
        </w:rPr>
      </w:pPr>
      <w:bookmarkStart w:id="23" w:name="_Toc290976095"/>
      <w:bookmarkStart w:id="24" w:name="_Toc290975022"/>
      <w:bookmarkStart w:id="25" w:name="_Toc296267611"/>
      <w:bookmarkStart w:id="26" w:name="_Toc291516858"/>
      <w:bookmarkStart w:id="27" w:name="_Toc293438067"/>
      <w:bookmarkStart w:id="28" w:name="_Toc297576589"/>
      <w:bookmarkStart w:id="29" w:name="_Toc297576800"/>
      <w:bookmarkStart w:id="30" w:name="_Toc292975329"/>
      <w:bookmarkStart w:id="31" w:name="_Toc297576887"/>
      <w:bookmarkStart w:id="32" w:name="_Toc293674302"/>
      <w:r>
        <w:rPr>
          <w:rFonts w:hint="eastAsia" w:ascii="宋体" w:cs="宋体"/>
          <w:b/>
          <w:bCs/>
          <w:color w:val="auto"/>
          <w:sz w:val="28"/>
          <w:szCs w:val="28"/>
          <w:highlight w:val="none"/>
        </w:rPr>
        <w:t>（五）人员配置及基本素质要求</w:t>
      </w:r>
    </w:p>
    <w:tbl>
      <w:tblPr>
        <w:tblStyle w:val="20"/>
        <w:tblW w:w="9995" w:type="dxa"/>
        <w:jc w:val="center"/>
        <w:tblLayout w:type="fixed"/>
        <w:tblCellMar>
          <w:top w:w="0" w:type="dxa"/>
          <w:left w:w="0" w:type="dxa"/>
          <w:bottom w:w="0" w:type="dxa"/>
          <w:right w:w="0" w:type="dxa"/>
        </w:tblCellMar>
      </w:tblPr>
      <w:tblGrid>
        <w:gridCol w:w="575"/>
        <w:gridCol w:w="1278"/>
        <w:gridCol w:w="5910"/>
        <w:gridCol w:w="852"/>
        <w:gridCol w:w="1380"/>
      </w:tblGrid>
      <w:tr>
        <w:tblPrEx>
          <w:tblCellMar>
            <w:top w:w="0" w:type="dxa"/>
            <w:left w:w="0" w:type="dxa"/>
            <w:bottom w:w="0" w:type="dxa"/>
            <w:right w:w="0" w:type="dxa"/>
          </w:tblCellMar>
        </w:tblPrEx>
        <w:trPr>
          <w:trHeight w:val="473" w:hRule="atLeast"/>
          <w:jc w:val="center"/>
        </w:trPr>
        <w:tc>
          <w:tcPr>
            <w:tcW w:w="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序号</w:t>
            </w:r>
          </w:p>
        </w:tc>
        <w:tc>
          <w:tcPr>
            <w:tcW w:w="12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岗位名称</w:t>
            </w:r>
          </w:p>
        </w:tc>
        <w:tc>
          <w:tcPr>
            <w:tcW w:w="5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基本素质要求</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人数</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年龄要求</w:t>
            </w:r>
          </w:p>
        </w:tc>
      </w:tr>
      <w:tr>
        <w:tblPrEx>
          <w:tblCellMar>
            <w:top w:w="0" w:type="dxa"/>
            <w:left w:w="0" w:type="dxa"/>
            <w:bottom w:w="0" w:type="dxa"/>
            <w:right w:w="0" w:type="dxa"/>
          </w:tblCellMar>
        </w:tblPrEx>
        <w:trPr>
          <w:trHeight w:val="471" w:hRule="atLeast"/>
          <w:jc w:val="center"/>
        </w:trPr>
        <w:tc>
          <w:tcPr>
            <w:tcW w:w="8615"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一、综合部:不少于21人，</w:t>
            </w:r>
            <w:r>
              <w:rPr>
                <w:rFonts w:hint="eastAsia" w:ascii="宋体" w:hAnsi="宋体" w:eastAsia="宋体" w:cs="宋体"/>
                <w:b/>
                <w:bCs/>
                <w:color w:val="auto"/>
                <w:sz w:val="24"/>
                <w:szCs w:val="24"/>
                <w:highlight w:val="none"/>
              </w:rPr>
              <w:t>其中1#楼不少于7人，2#楼不少于14人。</w:t>
            </w:r>
          </w:p>
        </w:tc>
        <w:tc>
          <w:tcPr>
            <w:tcW w:w="13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eastAsia="宋体" w:cs="宋体"/>
                <w:b/>
                <w:bCs/>
                <w:color w:val="auto"/>
                <w:kern w:val="0"/>
                <w:sz w:val="24"/>
                <w:szCs w:val="24"/>
                <w:highlight w:val="none"/>
              </w:rPr>
            </w:pPr>
          </w:p>
        </w:tc>
      </w:tr>
      <w:tr>
        <w:tblPrEx>
          <w:tblCellMar>
            <w:top w:w="0" w:type="dxa"/>
            <w:left w:w="0" w:type="dxa"/>
            <w:bottom w:w="0" w:type="dxa"/>
            <w:right w:w="0" w:type="dxa"/>
          </w:tblCellMar>
        </w:tblPrEx>
        <w:trPr>
          <w:trHeight w:val="588" w:hRule="atLeast"/>
          <w:jc w:val="center"/>
        </w:trPr>
        <w:tc>
          <w:tcPr>
            <w:tcW w:w="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2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项目经理</w:t>
            </w:r>
          </w:p>
        </w:tc>
        <w:tc>
          <w:tcPr>
            <w:tcW w:w="5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tabs>
                <w:tab w:val="left" w:pos="124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负责整个项目的运行与协调，负责物业项目部与政府各部门的日常联系，负责员工的日常管理、考核工作，确保整体服务质量，大楼的整体安全。大专及以上学历，具有酒店或大楼物业管理经验5年以上。</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周岁以下。</w:t>
            </w:r>
          </w:p>
        </w:tc>
      </w:tr>
      <w:tr>
        <w:tblPrEx>
          <w:tblCellMar>
            <w:top w:w="0" w:type="dxa"/>
            <w:left w:w="0" w:type="dxa"/>
            <w:bottom w:w="0" w:type="dxa"/>
            <w:right w:w="0" w:type="dxa"/>
          </w:tblCellMar>
        </w:tblPrEx>
        <w:trPr>
          <w:trHeight w:val="588" w:hRule="atLeast"/>
          <w:jc w:val="center"/>
        </w:trPr>
        <w:tc>
          <w:tcPr>
            <w:tcW w:w="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c>
          <w:tcPr>
            <w:tcW w:w="12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项目助理</w:t>
            </w:r>
          </w:p>
        </w:tc>
        <w:tc>
          <w:tcPr>
            <w:tcW w:w="5910"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tabs>
                <w:tab w:val="left" w:pos="124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项目助理协助项目经理工作，各部门主管负责本部门工作。中专及以上学历，具有酒店或物业相关管理经验，沟通能力较强。</w:t>
            </w:r>
          </w:p>
        </w:tc>
        <w:tc>
          <w:tcPr>
            <w:tcW w:w="852" w:type="dxa"/>
            <w:tcBorders>
              <w:top w:val="single" w:color="000000" w:sz="4" w:space="0"/>
              <w:left w:val="single" w:color="000000" w:sz="4" w:space="0"/>
              <w:right w:val="single" w:color="000000" w:sz="4" w:space="0"/>
            </w:tcBorders>
            <w:noWrap w:val="0"/>
            <w:vAlign w:val="center"/>
          </w:tcPr>
          <w:p>
            <w:pPr>
              <w:tabs>
                <w:tab w:val="left" w:pos="124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80" w:type="dxa"/>
            <w:vMerge w:val="restart"/>
            <w:tcBorders>
              <w:top w:val="single" w:color="000000" w:sz="4" w:space="0"/>
              <w:left w:val="single" w:color="000000" w:sz="4" w:space="0"/>
              <w:right w:val="single" w:color="000000" w:sz="4" w:space="0"/>
            </w:tcBorders>
            <w:noWrap w:val="0"/>
            <w:vAlign w:val="center"/>
          </w:tcPr>
          <w:p>
            <w:pPr>
              <w:tabs>
                <w:tab w:val="left" w:pos="124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周岁以下。</w:t>
            </w:r>
          </w:p>
        </w:tc>
      </w:tr>
      <w:tr>
        <w:tblPrEx>
          <w:tblCellMar>
            <w:top w:w="0" w:type="dxa"/>
            <w:left w:w="0" w:type="dxa"/>
            <w:bottom w:w="0" w:type="dxa"/>
            <w:right w:w="0" w:type="dxa"/>
          </w:tblCellMar>
        </w:tblPrEx>
        <w:trPr>
          <w:trHeight w:val="588" w:hRule="atLeast"/>
          <w:jc w:val="center"/>
        </w:trPr>
        <w:tc>
          <w:tcPr>
            <w:tcW w:w="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2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各部门主管</w:t>
            </w:r>
          </w:p>
        </w:tc>
        <w:tc>
          <w:tcPr>
            <w:tcW w:w="5910"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eastAsia="宋体" w:cs="宋体"/>
                <w:color w:val="auto"/>
                <w:sz w:val="24"/>
                <w:szCs w:val="24"/>
                <w:highlight w:val="none"/>
              </w:rPr>
            </w:pPr>
          </w:p>
        </w:tc>
        <w:tc>
          <w:tcPr>
            <w:tcW w:w="852" w:type="dxa"/>
            <w:tcBorders>
              <w:left w:val="single" w:color="000000" w:sz="4" w:space="0"/>
              <w:bottom w:val="single" w:color="000000" w:sz="4" w:space="0"/>
              <w:right w:val="single" w:color="000000" w:sz="4" w:space="0"/>
            </w:tcBorders>
            <w:noWrap w:val="0"/>
            <w:vAlign w:val="center"/>
          </w:tcPr>
          <w:p>
            <w:pPr>
              <w:tabs>
                <w:tab w:val="left" w:pos="124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80" w:type="dxa"/>
            <w:vMerge w:val="continue"/>
            <w:tcBorders>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588" w:hRule="atLeast"/>
          <w:jc w:val="center"/>
        </w:trPr>
        <w:tc>
          <w:tcPr>
            <w:tcW w:w="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p>
        </w:tc>
        <w:tc>
          <w:tcPr>
            <w:tcW w:w="12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财务及人事管理</w:t>
            </w:r>
          </w:p>
        </w:tc>
        <w:tc>
          <w:tcPr>
            <w:tcW w:w="5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napToGrid w:val="0"/>
              <w:spacing w:line="36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根据人员流动情况，及时提交人员招聘计划；做好员工考核及年度考核汇总工作；负责人员招聘、面试及培训；负责财务工作；大专及以上学历，具有相关工作经验1年以上，责任心强，形象良好。</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45周岁以下。</w:t>
            </w:r>
          </w:p>
        </w:tc>
      </w:tr>
      <w:tr>
        <w:tblPrEx>
          <w:tblCellMar>
            <w:top w:w="0" w:type="dxa"/>
            <w:left w:w="0" w:type="dxa"/>
            <w:bottom w:w="0" w:type="dxa"/>
            <w:right w:w="0" w:type="dxa"/>
          </w:tblCellMar>
        </w:tblPrEx>
        <w:trPr>
          <w:trHeight w:val="588" w:hRule="atLeast"/>
          <w:jc w:val="center"/>
        </w:trPr>
        <w:tc>
          <w:tcPr>
            <w:tcW w:w="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档案管理</w:t>
            </w:r>
          </w:p>
        </w:tc>
        <w:tc>
          <w:tcPr>
            <w:tcW w:w="5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tabs>
                <w:tab w:val="left" w:pos="124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工作细致，能熟练运用办公软件，沟通能力较强，高中或中专及以上学历，具有1年以上相关工作经验。</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45周岁以下。</w:t>
            </w:r>
          </w:p>
        </w:tc>
      </w:tr>
      <w:tr>
        <w:tblPrEx>
          <w:tblCellMar>
            <w:top w:w="0" w:type="dxa"/>
            <w:left w:w="0" w:type="dxa"/>
            <w:bottom w:w="0" w:type="dxa"/>
            <w:right w:w="0" w:type="dxa"/>
          </w:tblCellMar>
        </w:tblPrEx>
        <w:trPr>
          <w:trHeight w:val="587" w:hRule="atLeas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前台、会议、服务</w:t>
            </w:r>
          </w:p>
        </w:tc>
        <w:tc>
          <w:tcPr>
            <w:tcW w:w="5910" w:type="dxa"/>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高中以上学历，形象良好，能吃苦。无不良嗜好及不良记录。</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35周岁以下。</w:t>
            </w:r>
          </w:p>
        </w:tc>
      </w:tr>
      <w:tr>
        <w:tblPrEx>
          <w:tblCellMar>
            <w:top w:w="0" w:type="dxa"/>
            <w:left w:w="0" w:type="dxa"/>
            <w:bottom w:w="0" w:type="dxa"/>
            <w:right w:w="0" w:type="dxa"/>
          </w:tblCellMar>
        </w:tblPrEx>
        <w:trPr>
          <w:trHeight w:val="587" w:hRule="atLeast"/>
          <w:jc w:val="center"/>
        </w:trPr>
        <w:tc>
          <w:tcPr>
            <w:tcW w:w="8615"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二、房屋维护与设施设备服务：</w:t>
            </w:r>
            <w:r>
              <w:rPr>
                <w:rFonts w:hint="eastAsia" w:ascii="宋体" w:hAnsi="宋体" w:eastAsia="宋体" w:cs="宋体"/>
                <w:b/>
                <w:bCs/>
                <w:color w:val="auto"/>
                <w:sz w:val="24"/>
                <w:szCs w:val="24"/>
                <w:highlight w:val="none"/>
              </w:rPr>
              <w:t>不少于 17人，其中，1#楼不少于6.5人，2#楼不少于10.5人。</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spacing w:line="360" w:lineRule="auto"/>
              <w:jc w:val="center"/>
              <w:rPr>
                <w:rFonts w:hint="eastAsia" w:ascii="宋体" w:hAnsi="宋体" w:eastAsia="宋体" w:cs="宋体"/>
                <w:b/>
                <w:bCs/>
                <w:color w:val="auto"/>
                <w:kern w:val="0"/>
                <w:sz w:val="24"/>
                <w:szCs w:val="24"/>
                <w:highlight w:val="none"/>
              </w:rPr>
            </w:pPr>
          </w:p>
        </w:tc>
      </w:tr>
      <w:tr>
        <w:tblPrEx>
          <w:tblCellMar>
            <w:top w:w="0" w:type="dxa"/>
            <w:left w:w="0" w:type="dxa"/>
            <w:bottom w:w="0" w:type="dxa"/>
            <w:right w:w="0" w:type="dxa"/>
          </w:tblCellMar>
        </w:tblPrEx>
        <w:trPr>
          <w:trHeight w:val="925" w:hRule="atLeast"/>
          <w:jc w:val="center"/>
        </w:trPr>
        <w:tc>
          <w:tcPr>
            <w:tcW w:w="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电气设备系统</w:t>
            </w:r>
          </w:p>
        </w:tc>
        <w:tc>
          <w:tcPr>
            <w:tcW w:w="5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持有相关从业资格职业证书（《维修电工》、《电工作业安装维修》等），具有2年以上实操工作经验，具有相应维修能力，能够排除各类设备故障。</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tabs>
                <w:tab w:val="left" w:pos="1160"/>
              </w:tabs>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60周岁以下。</w:t>
            </w:r>
          </w:p>
        </w:tc>
      </w:tr>
      <w:tr>
        <w:tblPrEx>
          <w:tblCellMar>
            <w:top w:w="0" w:type="dxa"/>
            <w:left w:w="0" w:type="dxa"/>
            <w:bottom w:w="0" w:type="dxa"/>
            <w:right w:w="0" w:type="dxa"/>
          </w:tblCellMar>
        </w:tblPrEx>
        <w:trPr>
          <w:trHeight w:val="613" w:hRule="atLeast"/>
          <w:jc w:val="center"/>
        </w:trPr>
        <w:tc>
          <w:tcPr>
            <w:tcW w:w="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电梯设备系统</w:t>
            </w:r>
          </w:p>
        </w:tc>
        <w:tc>
          <w:tcPr>
            <w:tcW w:w="5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持有特种电梯安全管理证书（如《特种设备电梯安全管理》），具有2年以上实操工作经验。</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60周岁以下。</w:t>
            </w:r>
          </w:p>
        </w:tc>
      </w:tr>
      <w:tr>
        <w:tblPrEx>
          <w:tblCellMar>
            <w:top w:w="0" w:type="dxa"/>
            <w:left w:w="0" w:type="dxa"/>
            <w:bottom w:w="0" w:type="dxa"/>
            <w:right w:w="0" w:type="dxa"/>
          </w:tblCellMar>
        </w:tblPrEx>
        <w:trPr>
          <w:trHeight w:val="613" w:hRule="atLeast"/>
          <w:jc w:val="center"/>
        </w:trPr>
        <w:tc>
          <w:tcPr>
            <w:tcW w:w="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弱电设备系统</w:t>
            </w:r>
          </w:p>
        </w:tc>
        <w:tc>
          <w:tcPr>
            <w:tcW w:w="5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持证上岗，具有2年以上高层楼宇工程管理经验，具有较丰富的管理经验和维修能力。</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60周岁以下。</w:t>
            </w:r>
          </w:p>
        </w:tc>
      </w:tr>
      <w:tr>
        <w:tblPrEx>
          <w:tblCellMar>
            <w:top w:w="0" w:type="dxa"/>
            <w:left w:w="0" w:type="dxa"/>
            <w:bottom w:w="0" w:type="dxa"/>
            <w:right w:w="0" w:type="dxa"/>
          </w:tblCellMar>
        </w:tblPrEx>
        <w:trPr>
          <w:trHeight w:val="613" w:hRule="atLeast"/>
          <w:jc w:val="center"/>
        </w:trPr>
        <w:tc>
          <w:tcPr>
            <w:tcW w:w="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给排水设备系统</w:t>
            </w:r>
          </w:p>
        </w:tc>
        <w:tc>
          <w:tcPr>
            <w:tcW w:w="5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具有2年以上实操工作经验。</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60周岁以下。</w:t>
            </w:r>
          </w:p>
        </w:tc>
      </w:tr>
      <w:tr>
        <w:tblPrEx>
          <w:tblCellMar>
            <w:top w:w="0" w:type="dxa"/>
            <w:left w:w="0" w:type="dxa"/>
            <w:bottom w:w="0" w:type="dxa"/>
            <w:right w:w="0" w:type="dxa"/>
          </w:tblCellMar>
        </w:tblPrEx>
        <w:trPr>
          <w:trHeight w:val="613" w:hRule="atLeast"/>
          <w:jc w:val="center"/>
        </w:trPr>
        <w:tc>
          <w:tcPr>
            <w:tcW w:w="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空调设备系统</w:t>
            </w:r>
          </w:p>
        </w:tc>
        <w:tc>
          <w:tcPr>
            <w:tcW w:w="5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持有制冷设备维修证书（《制冷设备维修工》），具有2年以上实操工作经验。</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60周岁以下。</w:t>
            </w:r>
          </w:p>
        </w:tc>
      </w:tr>
      <w:tr>
        <w:tblPrEx>
          <w:tblCellMar>
            <w:top w:w="0" w:type="dxa"/>
            <w:left w:w="0" w:type="dxa"/>
            <w:bottom w:w="0" w:type="dxa"/>
            <w:right w:w="0" w:type="dxa"/>
          </w:tblCellMar>
        </w:tblPrEx>
        <w:trPr>
          <w:trHeight w:val="613" w:hRule="atLeast"/>
          <w:jc w:val="center"/>
        </w:trPr>
        <w:tc>
          <w:tcPr>
            <w:tcW w:w="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万能工</w:t>
            </w:r>
          </w:p>
        </w:tc>
        <w:tc>
          <w:tcPr>
            <w:tcW w:w="5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具有2年以上工作经验。其中，房屋养护维修相关高空作业人员应持证。</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60周岁以下。</w:t>
            </w:r>
          </w:p>
        </w:tc>
      </w:tr>
      <w:tr>
        <w:tblPrEx>
          <w:tblCellMar>
            <w:top w:w="0" w:type="dxa"/>
            <w:left w:w="0" w:type="dxa"/>
            <w:bottom w:w="0" w:type="dxa"/>
            <w:right w:w="0" w:type="dxa"/>
          </w:tblCellMar>
        </w:tblPrEx>
        <w:trPr>
          <w:trHeight w:val="613" w:hRule="atLeast"/>
          <w:jc w:val="center"/>
        </w:trPr>
        <w:tc>
          <w:tcPr>
            <w:tcW w:w="8615"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napToGrid w:val="0"/>
              <w:spacing w:line="360" w:lineRule="auto"/>
              <w:ind w:firstLine="361" w:firstLineChars="150"/>
              <w:textAlignment w:val="bottom"/>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三、安保服务：</w:t>
            </w:r>
            <w:r>
              <w:rPr>
                <w:rFonts w:hint="eastAsia" w:ascii="宋体" w:hAnsi="宋体" w:eastAsia="宋体" w:cs="宋体"/>
                <w:b/>
                <w:bCs/>
                <w:color w:val="auto"/>
                <w:sz w:val="24"/>
                <w:szCs w:val="24"/>
                <w:highlight w:val="none"/>
              </w:rPr>
              <w:t>不少于27人</w:t>
            </w:r>
            <w:r>
              <w:rPr>
                <w:rFonts w:hint="eastAsia" w:ascii="宋体" w:hAnsi="宋体" w:eastAsia="宋体" w:cs="宋体"/>
                <w:color w:val="auto"/>
                <w:sz w:val="24"/>
                <w:szCs w:val="24"/>
                <w:highlight w:val="none"/>
              </w:rPr>
              <w:t>，其中1#楼不少于11人 ，2#楼不少于16人。</w:t>
            </w:r>
          </w:p>
        </w:tc>
        <w:tc>
          <w:tcPr>
            <w:tcW w:w="13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napToGrid w:val="0"/>
              <w:spacing w:line="360" w:lineRule="auto"/>
              <w:ind w:firstLine="361" w:firstLineChars="150"/>
              <w:textAlignment w:val="bottom"/>
              <w:rPr>
                <w:rFonts w:hint="eastAsia" w:ascii="宋体" w:hAnsi="宋体" w:eastAsia="宋体" w:cs="宋体"/>
                <w:b/>
                <w:bCs/>
                <w:color w:val="auto"/>
                <w:kern w:val="0"/>
                <w:sz w:val="24"/>
                <w:szCs w:val="24"/>
                <w:highlight w:val="none"/>
              </w:rPr>
            </w:pPr>
          </w:p>
        </w:tc>
      </w:tr>
      <w:tr>
        <w:tblPrEx>
          <w:tblCellMar>
            <w:top w:w="0" w:type="dxa"/>
            <w:left w:w="0" w:type="dxa"/>
            <w:bottom w:w="0" w:type="dxa"/>
            <w:right w:w="0" w:type="dxa"/>
          </w:tblCellMar>
        </w:tblPrEx>
        <w:trPr>
          <w:trHeight w:val="613" w:hRule="atLeast"/>
          <w:jc w:val="center"/>
        </w:trPr>
        <w:tc>
          <w:tcPr>
            <w:tcW w:w="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领班</w:t>
            </w:r>
          </w:p>
        </w:tc>
        <w:tc>
          <w:tcPr>
            <w:tcW w:w="5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4"/>
              <w:spacing w:before="0"/>
              <w:rPr>
                <w:rFonts w:hint="eastAsia" w:ascii="宋体" w:hAnsi="宋体" w:eastAsia="宋体" w:cs="宋体"/>
                <w:color w:val="auto"/>
                <w:szCs w:val="24"/>
                <w:highlight w:val="none"/>
              </w:rPr>
            </w:pPr>
            <w:r>
              <w:rPr>
                <w:rFonts w:hint="eastAsia" w:ascii="宋体" w:hAnsi="宋体" w:eastAsia="宋体" w:cs="宋体"/>
                <w:color w:val="auto"/>
                <w:szCs w:val="24"/>
                <w:highlight w:val="none"/>
              </w:rPr>
              <w:t>能熟练操作监控和消防技能，自觉带领管辖人员学习和提高各项安保技术，尽职尽责做好各项工作。</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pStyle w:val="4"/>
              <w:spacing w:before="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45周岁以下。</w:t>
            </w:r>
          </w:p>
        </w:tc>
      </w:tr>
      <w:tr>
        <w:tblPrEx>
          <w:tblCellMar>
            <w:top w:w="0" w:type="dxa"/>
            <w:left w:w="0" w:type="dxa"/>
            <w:bottom w:w="0" w:type="dxa"/>
            <w:right w:w="0" w:type="dxa"/>
          </w:tblCellMar>
        </w:tblPrEx>
        <w:trPr>
          <w:trHeight w:val="613" w:hRule="atLeast"/>
          <w:jc w:val="center"/>
        </w:trPr>
        <w:tc>
          <w:tcPr>
            <w:tcW w:w="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安保人员</w:t>
            </w:r>
          </w:p>
        </w:tc>
        <w:tc>
          <w:tcPr>
            <w:tcW w:w="5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4"/>
              <w:spacing w:before="0"/>
              <w:rPr>
                <w:rFonts w:hint="eastAsia" w:ascii="宋体" w:hAnsi="宋体" w:eastAsia="宋体" w:cs="宋体"/>
                <w:color w:val="auto"/>
                <w:szCs w:val="24"/>
                <w:highlight w:val="none"/>
              </w:rPr>
            </w:pPr>
            <w:r>
              <w:rPr>
                <w:rFonts w:hint="eastAsia" w:ascii="宋体" w:hAnsi="宋体" w:eastAsia="宋体" w:cs="宋体"/>
                <w:color w:val="auto"/>
                <w:szCs w:val="24"/>
                <w:highlight w:val="none"/>
              </w:rPr>
              <w:t>所有安保人员男性身高要求168cm及以上，女性158cm米以上，学历要求初中及以上。复员军人、行业立功人员、管理人员可适当放宽条件。所有安保人员必须经过供应商培训满足岗位和政审要求后上岗。相关人员要求政治素质高、道德品质好，身体健康，无不良行为及违法犯罪记录，所有安保人员必须专职于本项目，不得兼职。</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pStyle w:val="4"/>
              <w:spacing w:before="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20岁-45岁之间。</w:t>
            </w:r>
          </w:p>
        </w:tc>
      </w:tr>
      <w:tr>
        <w:tblPrEx>
          <w:tblCellMar>
            <w:top w:w="0" w:type="dxa"/>
            <w:left w:w="0" w:type="dxa"/>
            <w:bottom w:w="0" w:type="dxa"/>
            <w:right w:w="0" w:type="dxa"/>
          </w:tblCellMar>
        </w:tblPrEx>
        <w:trPr>
          <w:trHeight w:val="613" w:hRule="atLeast"/>
          <w:jc w:val="center"/>
        </w:trPr>
        <w:tc>
          <w:tcPr>
            <w:tcW w:w="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消控中心24小时值班的安保人员</w:t>
            </w:r>
          </w:p>
        </w:tc>
        <w:tc>
          <w:tcPr>
            <w:tcW w:w="5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4"/>
              <w:spacing w:before="0"/>
              <w:rPr>
                <w:rFonts w:hint="eastAsia" w:ascii="宋体" w:hAnsi="宋体" w:eastAsia="宋体" w:cs="宋体"/>
                <w:color w:val="auto"/>
                <w:szCs w:val="24"/>
                <w:highlight w:val="none"/>
              </w:rPr>
            </w:pPr>
            <w:r>
              <w:rPr>
                <w:rFonts w:hint="eastAsia" w:ascii="宋体" w:hAnsi="宋体" w:eastAsia="宋体" w:cs="宋体"/>
                <w:color w:val="auto"/>
                <w:szCs w:val="24"/>
                <w:highlight w:val="none"/>
              </w:rPr>
              <w:t>必须经过县级以上消防部门具有相关资质培训合格才可上岗。</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pStyle w:val="4"/>
              <w:spacing w:before="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45周岁以下。</w:t>
            </w:r>
          </w:p>
        </w:tc>
      </w:tr>
      <w:tr>
        <w:tblPrEx>
          <w:tblCellMar>
            <w:top w:w="0" w:type="dxa"/>
            <w:left w:w="0" w:type="dxa"/>
            <w:bottom w:w="0" w:type="dxa"/>
            <w:right w:w="0" w:type="dxa"/>
          </w:tblCellMar>
        </w:tblPrEx>
        <w:trPr>
          <w:trHeight w:val="613" w:hRule="atLeast"/>
          <w:jc w:val="center"/>
        </w:trPr>
        <w:tc>
          <w:tcPr>
            <w:tcW w:w="8615"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四、保洁、绿化服务：</w:t>
            </w:r>
            <w:r>
              <w:rPr>
                <w:rFonts w:hint="eastAsia" w:ascii="宋体" w:hAnsi="宋体" w:eastAsia="宋体" w:cs="宋体"/>
                <w:b/>
                <w:bCs/>
                <w:color w:val="auto"/>
                <w:sz w:val="24"/>
                <w:szCs w:val="24"/>
                <w:highlight w:val="none"/>
              </w:rPr>
              <w:t>不少于26人</w:t>
            </w:r>
            <w:r>
              <w:rPr>
                <w:rFonts w:hint="eastAsia" w:ascii="宋体" w:hAnsi="宋体" w:eastAsia="宋体" w:cs="宋体"/>
                <w:color w:val="auto"/>
                <w:sz w:val="24"/>
                <w:szCs w:val="24"/>
                <w:highlight w:val="none"/>
              </w:rPr>
              <w:t>，其中1#楼不少于12人，2#楼不少于14人。</w:t>
            </w:r>
          </w:p>
        </w:tc>
        <w:tc>
          <w:tcPr>
            <w:tcW w:w="13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eastAsia="宋体" w:cs="宋体"/>
                <w:bCs/>
                <w:color w:val="auto"/>
                <w:sz w:val="24"/>
                <w:szCs w:val="24"/>
                <w:highlight w:val="none"/>
              </w:rPr>
            </w:pPr>
          </w:p>
        </w:tc>
      </w:tr>
      <w:tr>
        <w:tblPrEx>
          <w:tblCellMar>
            <w:top w:w="0" w:type="dxa"/>
            <w:left w:w="0" w:type="dxa"/>
            <w:bottom w:w="0" w:type="dxa"/>
            <w:right w:w="0" w:type="dxa"/>
          </w:tblCellMar>
        </w:tblPrEx>
        <w:trPr>
          <w:trHeight w:val="613" w:hRule="atLeast"/>
          <w:jc w:val="center"/>
        </w:trPr>
        <w:tc>
          <w:tcPr>
            <w:tcW w:w="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ind w:left="-84" w:leftChars="-40" w:firstLine="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ind w:left="-84" w:leftChars="-40" w:firstLine="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保洁领班 </w:t>
            </w:r>
          </w:p>
        </w:tc>
        <w:tc>
          <w:tcPr>
            <w:tcW w:w="5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ind w:left="-84" w:leftChars="-40" w:firstLine="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高中以上学历，具有酒店或物业清洁管理经验二年以上，形象良好。</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ind w:left="-84" w:leftChars="-40" w:firstLine="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0</w:t>
            </w:r>
            <w:r>
              <w:rPr>
                <w:rFonts w:hint="eastAsia" w:ascii="宋体" w:hAnsi="宋体" w:eastAsia="宋体" w:cs="宋体"/>
                <w:color w:val="auto"/>
                <w:sz w:val="24"/>
                <w:szCs w:val="24"/>
                <w:highlight w:val="none"/>
              </w:rPr>
              <w:t>岁以下。</w:t>
            </w:r>
          </w:p>
        </w:tc>
      </w:tr>
      <w:tr>
        <w:tblPrEx>
          <w:tblCellMar>
            <w:top w:w="0" w:type="dxa"/>
            <w:left w:w="0" w:type="dxa"/>
            <w:bottom w:w="0" w:type="dxa"/>
            <w:right w:w="0" w:type="dxa"/>
          </w:tblCellMar>
        </w:tblPrEx>
        <w:trPr>
          <w:trHeight w:val="613" w:hRule="atLeast"/>
          <w:jc w:val="center"/>
        </w:trPr>
        <w:tc>
          <w:tcPr>
            <w:tcW w:w="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ind w:left="-84" w:leftChars="-40" w:firstLine="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ind w:left="-84" w:leftChars="-40" w:firstLine="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保洁员工</w:t>
            </w:r>
          </w:p>
        </w:tc>
        <w:tc>
          <w:tcPr>
            <w:tcW w:w="5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ind w:left="-84" w:leftChars="-40" w:firstLine="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培训合格，能吃苦耐劳，无不良嗜好及不良记录；如特殊岗位年龄和其他条件另有需求，均须无条件接受采购人的要求。</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ind w:left="-84" w:leftChars="-40" w:firstLine="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男性55岁以下，女性55岁以下。</w:t>
            </w:r>
          </w:p>
        </w:tc>
      </w:tr>
      <w:tr>
        <w:tblPrEx>
          <w:tblCellMar>
            <w:top w:w="0" w:type="dxa"/>
            <w:left w:w="0" w:type="dxa"/>
            <w:bottom w:w="0" w:type="dxa"/>
            <w:right w:w="0" w:type="dxa"/>
          </w:tblCellMar>
        </w:tblPrEx>
        <w:trPr>
          <w:trHeight w:val="613" w:hRule="atLeast"/>
          <w:jc w:val="center"/>
        </w:trPr>
        <w:tc>
          <w:tcPr>
            <w:tcW w:w="5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ind w:left="-84" w:leftChars="-40" w:firstLine="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绿化员工</w:t>
            </w:r>
          </w:p>
        </w:tc>
        <w:tc>
          <w:tcPr>
            <w:tcW w:w="5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有3年以上工作经验。</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50岁以下。</w:t>
            </w:r>
          </w:p>
        </w:tc>
      </w:tr>
    </w:tbl>
    <w:p>
      <w:pPr>
        <w:autoSpaceDE w:val="0"/>
        <w:autoSpaceDN w:val="0"/>
        <w:adjustRightInd w:val="0"/>
        <w:snapToGrid w:val="0"/>
        <w:spacing w:line="360" w:lineRule="auto"/>
        <w:textAlignment w:val="bottom"/>
        <w:rPr>
          <w:b/>
          <w:bCs/>
          <w:color w:val="auto"/>
          <w:sz w:val="28"/>
          <w:szCs w:val="28"/>
          <w:highlight w:val="none"/>
        </w:rPr>
      </w:pPr>
      <w:r>
        <w:rPr>
          <w:rFonts w:hint="eastAsia"/>
          <w:b/>
          <w:bCs/>
          <w:color w:val="auto"/>
          <w:sz w:val="28"/>
          <w:szCs w:val="28"/>
          <w:highlight w:val="none"/>
        </w:rPr>
        <w:t>服务人员共计不少于91人，其中1#楼不少于36.5人，2#楼不少于54.5人。</w:t>
      </w:r>
    </w:p>
    <w:bookmarkEnd w:id="23"/>
    <w:bookmarkEnd w:id="24"/>
    <w:bookmarkEnd w:id="25"/>
    <w:bookmarkEnd w:id="26"/>
    <w:bookmarkEnd w:id="27"/>
    <w:bookmarkEnd w:id="28"/>
    <w:bookmarkEnd w:id="29"/>
    <w:bookmarkEnd w:id="30"/>
    <w:bookmarkEnd w:id="31"/>
    <w:bookmarkEnd w:id="32"/>
    <w:p>
      <w:pPr>
        <w:rPr>
          <w:color w:val="auto"/>
          <w:highlight w:val="none"/>
        </w:rPr>
      </w:pPr>
    </w:p>
    <w:p>
      <w:pPr>
        <w:adjustRightInd w:val="0"/>
        <w:snapToGrid w:val="0"/>
        <w:spacing w:line="360" w:lineRule="auto"/>
        <w:rPr>
          <w:rFonts w:ascii="宋体"/>
          <w:b/>
          <w:bCs/>
          <w:color w:val="auto"/>
          <w:sz w:val="28"/>
          <w:szCs w:val="28"/>
          <w:highlight w:val="none"/>
        </w:rPr>
      </w:pPr>
      <w:r>
        <w:rPr>
          <w:rFonts w:hint="eastAsia" w:ascii="宋体"/>
          <w:b/>
          <w:bCs/>
          <w:color w:val="auto"/>
          <w:sz w:val="28"/>
          <w:szCs w:val="28"/>
          <w:highlight w:val="none"/>
        </w:rPr>
        <w:t>（六）主要设备工具基本配置要求</w:t>
      </w:r>
    </w:p>
    <w:tbl>
      <w:tblPr>
        <w:tblStyle w:val="20"/>
        <w:tblpPr w:leftFromText="180" w:rightFromText="180" w:vertAnchor="text" w:horzAnchor="page" w:tblpX="1763" w:tblpY="460"/>
        <w:tblOverlap w:val="never"/>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46"/>
        <w:gridCol w:w="2941"/>
        <w:gridCol w:w="1312"/>
        <w:gridCol w:w="42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trPr>
        <w:tc>
          <w:tcPr>
            <w:tcW w:w="402" w:type="pct"/>
            <w:noWrap w:val="0"/>
            <w:vAlign w:val="center"/>
          </w:tcPr>
          <w:p>
            <w:pPr>
              <w:spacing w:line="360" w:lineRule="auto"/>
              <w:ind w:hanging="8"/>
              <w:jc w:val="center"/>
              <w:rPr>
                <w:rFonts w:ascii="宋体"/>
                <w:color w:val="auto"/>
                <w:highlight w:val="none"/>
              </w:rPr>
            </w:pPr>
            <w:r>
              <w:rPr>
                <w:rFonts w:hint="eastAsia" w:ascii="宋体"/>
                <w:color w:val="auto"/>
                <w:highlight w:val="none"/>
              </w:rPr>
              <w:t>序号</w:t>
            </w:r>
          </w:p>
        </w:tc>
        <w:tc>
          <w:tcPr>
            <w:tcW w:w="1583" w:type="pct"/>
            <w:noWrap w:val="0"/>
            <w:vAlign w:val="center"/>
          </w:tcPr>
          <w:p>
            <w:pPr>
              <w:spacing w:line="360" w:lineRule="auto"/>
              <w:ind w:hanging="8"/>
              <w:jc w:val="center"/>
              <w:rPr>
                <w:rFonts w:ascii="宋体"/>
                <w:color w:val="auto"/>
                <w:highlight w:val="none"/>
              </w:rPr>
            </w:pPr>
            <w:r>
              <w:rPr>
                <w:rFonts w:hint="eastAsia" w:ascii="宋体"/>
                <w:color w:val="auto"/>
                <w:highlight w:val="none"/>
              </w:rPr>
              <w:t>名称</w:t>
            </w:r>
          </w:p>
        </w:tc>
        <w:tc>
          <w:tcPr>
            <w:tcW w:w="706" w:type="pct"/>
            <w:noWrap w:val="0"/>
            <w:vAlign w:val="center"/>
          </w:tcPr>
          <w:p>
            <w:pPr>
              <w:spacing w:line="360" w:lineRule="auto"/>
              <w:ind w:hanging="8"/>
              <w:jc w:val="center"/>
              <w:rPr>
                <w:rFonts w:ascii="宋体"/>
                <w:color w:val="auto"/>
                <w:highlight w:val="none"/>
              </w:rPr>
            </w:pPr>
            <w:r>
              <w:rPr>
                <w:rFonts w:hint="eastAsia" w:ascii="宋体"/>
                <w:color w:val="auto"/>
                <w:highlight w:val="none"/>
              </w:rPr>
              <w:t>数量</w:t>
            </w:r>
          </w:p>
        </w:tc>
        <w:tc>
          <w:tcPr>
            <w:tcW w:w="2306" w:type="pct"/>
            <w:noWrap w:val="0"/>
            <w:vAlign w:val="center"/>
          </w:tcPr>
          <w:p>
            <w:pPr>
              <w:spacing w:line="360" w:lineRule="auto"/>
              <w:ind w:hanging="8"/>
              <w:jc w:val="center"/>
              <w:rPr>
                <w:rFonts w:ascii="宋体"/>
                <w:color w:val="auto"/>
                <w:highlight w:val="none"/>
              </w:rPr>
            </w:pPr>
            <w:r>
              <w:rPr>
                <w:rFonts w:hint="eastAsia" w:ascii="宋体"/>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trPr>
        <w:tc>
          <w:tcPr>
            <w:tcW w:w="402" w:type="pct"/>
            <w:noWrap w:val="0"/>
            <w:vAlign w:val="center"/>
          </w:tcPr>
          <w:p>
            <w:pPr>
              <w:spacing w:line="360" w:lineRule="auto"/>
              <w:ind w:hanging="8"/>
              <w:jc w:val="center"/>
              <w:rPr>
                <w:rFonts w:ascii="宋体"/>
                <w:color w:val="auto"/>
                <w:highlight w:val="none"/>
              </w:rPr>
            </w:pPr>
            <w:r>
              <w:rPr>
                <w:rFonts w:hint="eastAsia" w:ascii="宋体"/>
                <w:color w:val="auto"/>
                <w:highlight w:val="none"/>
              </w:rPr>
              <w:t>1</w:t>
            </w:r>
          </w:p>
        </w:tc>
        <w:tc>
          <w:tcPr>
            <w:tcW w:w="1583" w:type="pct"/>
            <w:noWrap w:val="0"/>
            <w:vAlign w:val="center"/>
          </w:tcPr>
          <w:p>
            <w:pPr>
              <w:spacing w:line="360" w:lineRule="auto"/>
              <w:ind w:hanging="8"/>
              <w:jc w:val="center"/>
              <w:rPr>
                <w:rFonts w:ascii="宋体"/>
                <w:color w:val="auto"/>
                <w:highlight w:val="none"/>
              </w:rPr>
            </w:pPr>
            <w:r>
              <w:rPr>
                <w:rFonts w:hint="eastAsia" w:ascii="宋体"/>
                <w:color w:val="auto"/>
                <w:highlight w:val="none"/>
              </w:rPr>
              <w:t>空调专用修理工具</w:t>
            </w:r>
          </w:p>
        </w:tc>
        <w:tc>
          <w:tcPr>
            <w:tcW w:w="706" w:type="pct"/>
            <w:noWrap w:val="0"/>
            <w:vAlign w:val="center"/>
          </w:tcPr>
          <w:p>
            <w:pPr>
              <w:spacing w:line="360" w:lineRule="auto"/>
              <w:ind w:hanging="8"/>
              <w:jc w:val="center"/>
              <w:rPr>
                <w:rFonts w:ascii="宋体"/>
                <w:color w:val="auto"/>
                <w:highlight w:val="none"/>
              </w:rPr>
            </w:pPr>
            <w:r>
              <w:rPr>
                <w:rFonts w:hint="eastAsia" w:ascii="宋体"/>
                <w:color w:val="auto"/>
                <w:highlight w:val="none"/>
              </w:rPr>
              <w:t>1套</w:t>
            </w:r>
          </w:p>
        </w:tc>
        <w:tc>
          <w:tcPr>
            <w:tcW w:w="2306" w:type="pct"/>
            <w:noWrap w:val="0"/>
            <w:vAlign w:val="center"/>
          </w:tcPr>
          <w:p>
            <w:pPr>
              <w:spacing w:line="360" w:lineRule="auto"/>
              <w:ind w:hanging="8"/>
              <w:jc w:val="center"/>
              <w:rPr>
                <w:rFonts w:asci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trPr>
        <w:tc>
          <w:tcPr>
            <w:tcW w:w="402" w:type="pct"/>
            <w:noWrap w:val="0"/>
            <w:vAlign w:val="center"/>
          </w:tcPr>
          <w:p>
            <w:pPr>
              <w:spacing w:line="360" w:lineRule="auto"/>
              <w:ind w:hanging="8"/>
              <w:jc w:val="center"/>
              <w:rPr>
                <w:rFonts w:ascii="宋体"/>
                <w:color w:val="auto"/>
                <w:highlight w:val="none"/>
              </w:rPr>
            </w:pPr>
            <w:r>
              <w:rPr>
                <w:rFonts w:hint="eastAsia" w:ascii="宋体"/>
                <w:color w:val="auto"/>
                <w:highlight w:val="none"/>
              </w:rPr>
              <w:t>2</w:t>
            </w:r>
          </w:p>
        </w:tc>
        <w:tc>
          <w:tcPr>
            <w:tcW w:w="1583" w:type="pct"/>
            <w:noWrap w:val="0"/>
            <w:vAlign w:val="center"/>
          </w:tcPr>
          <w:p>
            <w:pPr>
              <w:spacing w:line="360" w:lineRule="auto"/>
              <w:ind w:hanging="8"/>
              <w:jc w:val="center"/>
              <w:rPr>
                <w:rFonts w:ascii="宋体"/>
                <w:color w:val="auto"/>
                <w:highlight w:val="none"/>
              </w:rPr>
            </w:pPr>
            <w:r>
              <w:rPr>
                <w:rFonts w:hint="eastAsia" w:ascii="宋体"/>
                <w:color w:val="auto"/>
                <w:highlight w:val="none"/>
              </w:rPr>
              <w:t>电动绞丝机</w:t>
            </w:r>
          </w:p>
        </w:tc>
        <w:tc>
          <w:tcPr>
            <w:tcW w:w="706" w:type="pct"/>
            <w:noWrap w:val="0"/>
            <w:vAlign w:val="center"/>
          </w:tcPr>
          <w:p>
            <w:pPr>
              <w:spacing w:line="360" w:lineRule="auto"/>
              <w:ind w:hanging="8"/>
              <w:jc w:val="center"/>
              <w:rPr>
                <w:rFonts w:ascii="宋体"/>
                <w:color w:val="auto"/>
                <w:highlight w:val="none"/>
              </w:rPr>
            </w:pPr>
            <w:r>
              <w:rPr>
                <w:rFonts w:hint="eastAsia" w:ascii="宋体"/>
                <w:color w:val="auto"/>
                <w:highlight w:val="none"/>
              </w:rPr>
              <w:t>1套</w:t>
            </w:r>
          </w:p>
        </w:tc>
        <w:tc>
          <w:tcPr>
            <w:tcW w:w="2306" w:type="pct"/>
            <w:noWrap w:val="0"/>
            <w:vAlign w:val="center"/>
          </w:tcPr>
          <w:p>
            <w:pPr>
              <w:spacing w:line="360" w:lineRule="auto"/>
              <w:ind w:hanging="8"/>
              <w:jc w:val="center"/>
              <w:rPr>
                <w:rFonts w:asci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trPr>
        <w:tc>
          <w:tcPr>
            <w:tcW w:w="402" w:type="pct"/>
            <w:noWrap w:val="0"/>
            <w:vAlign w:val="center"/>
          </w:tcPr>
          <w:p>
            <w:pPr>
              <w:spacing w:line="360" w:lineRule="auto"/>
              <w:ind w:hanging="8"/>
              <w:jc w:val="center"/>
              <w:rPr>
                <w:rFonts w:ascii="宋体"/>
                <w:color w:val="auto"/>
                <w:highlight w:val="none"/>
              </w:rPr>
            </w:pPr>
            <w:r>
              <w:rPr>
                <w:rFonts w:hint="eastAsia" w:ascii="宋体"/>
                <w:color w:val="auto"/>
                <w:highlight w:val="none"/>
              </w:rPr>
              <w:t>3</w:t>
            </w:r>
          </w:p>
        </w:tc>
        <w:tc>
          <w:tcPr>
            <w:tcW w:w="1583" w:type="pct"/>
            <w:noWrap w:val="0"/>
            <w:vAlign w:val="center"/>
          </w:tcPr>
          <w:p>
            <w:pPr>
              <w:spacing w:line="360" w:lineRule="auto"/>
              <w:ind w:hanging="8"/>
              <w:jc w:val="center"/>
              <w:rPr>
                <w:rFonts w:ascii="宋体"/>
                <w:color w:val="auto"/>
                <w:highlight w:val="none"/>
              </w:rPr>
            </w:pPr>
            <w:r>
              <w:rPr>
                <w:rFonts w:hint="eastAsia" w:ascii="宋体"/>
                <w:color w:val="auto"/>
                <w:highlight w:val="none"/>
              </w:rPr>
              <w:t>台式钻床</w:t>
            </w:r>
          </w:p>
        </w:tc>
        <w:tc>
          <w:tcPr>
            <w:tcW w:w="706" w:type="pct"/>
            <w:noWrap w:val="0"/>
            <w:vAlign w:val="center"/>
          </w:tcPr>
          <w:p>
            <w:pPr>
              <w:spacing w:line="360" w:lineRule="auto"/>
              <w:ind w:hanging="8"/>
              <w:jc w:val="center"/>
              <w:rPr>
                <w:rFonts w:ascii="宋体"/>
                <w:color w:val="auto"/>
                <w:highlight w:val="none"/>
              </w:rPr>
            </w:pPr>
            <w:r>
              <w:rPr>
                <w:rFonts w:hint="eastAsia" w:ascii="宋体"/>
                <w:color w:val="auto"/>
                <w:highlight w:val="none"/>
              </w:rPr>
              <w:t>1套</w:t>
            </w:r>
          </w:p>
        </w:tc>
        <w:tc>
          <w:tcPr>
            <w:tcW w:w="2306" w:type="pct"/>
            <w:noWrap w:val="0"/>
            <w:vAlign w:val="center"/>
          </w:tcPr>
          <w:p>
            <w:pPr>
              <w:spacing w:line="360" w:lineRule="auto"/>
              <w:ind w:hanging="8"/>
              <w:jc w:val="center"/>
              <w:rPr>
                <w:rFonts w:asci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trPr>
        <w:tc>
          <w:tcPr>
            <w:tcW w:w="402" w:type="pct"/>
            <w:noWrap w:val="0"/>
            <w:vAlign w:val="center"/>
          </w:tcPr>
          <w:p>
            <w:pPr>
              <w:spacing w:line="360" w:lineRule="auto"/>
              <w:ind w:hanging="8"/>
              <w:jc w:val="center"/>
              <w:rPr>
                <w:rFonts w:ascii="宋体"/>
                <w:color w:val="auto"/>
                <w:highlight w:val="none"/>
              </w:rPr>
            </w:pPr>
            <w:r>
              <w:rPr>
                <w:rFonts w:hint="eastAsia" w:ascii="宋体"/>
                <w:color w:val="auto"/>
                <w:highlight w:val="none"/>
              </w:rPr>
              <w:t>4</w:t>
            </w:r>
          </w:p>
        </w:tc>
        <w:tc>
          <w:tcPr>
            <w:tcW w:w="1583" w:type="pct"/>
            <w:noWrap w:val="0"/>
            <w:vAlign w:val="center"/>
          </w:tcPr>
          <w:p>
            <w:pPr>
              <w:spacing w:line="360" w:lineRule="auto"/>
              <w:ind w:hanging="8"/>
              <w:jc w:val="center"/>
              <w:rPr>
                <w:rFonts w:ascii="宋体"/>
                <w:color w:val="auto"/>
                <w:highlight w:val="none"/>
              </w:rPr>
            </w:pPr>
            <w:r>
              <w:rPr>
                <w:rFonts w:hint="eastAsia" w:ascii="宋体"/>
                <w:color w:val="auto"/>
                <w:highlight w:val="none"/>
              </w:rPr>
              <w:t>立式砂轮机</w:t>
            </w:r>
          </w:p>
        </w:tc>
        <w:tc>
          <w:tcPr>
            <w:tcW w:w="706" w:type="pct"/>
            <w:noWrap w:val="0"/>
            <w:vAlign w:val="center"/>
          </w:tcPr>
          <w:p>
            <w:pPr>
              <w:spacing w:line="360" w:lineRule="auto"/>
              <w:ind w:hanging="8"/>
              <w:jc w:val="center"/>
              <w:rPr>
                <w:rFonts w:ascii="宋体"/>
                <w:color w:val="auto"/>
                <w:highlight w:val="none"/>
              </w:rPr>
            </w:pPr>
            <w:r>
              <w:rPr>
                <w:rFonts w:hint="eastAsia" w:ascii="宋体"/>
                <w:color w:val="auto"/>
                <w:highlight w:val="none"/>
              </w:rPr>
              <w:t>1套</w:t>
            </w:r>
          </w:p>
        </w:tc>
        <w:tc>
          <w:tcPr>
            <w:tcW w:w="2306" w:type="pct"/>
            <w:noWrap w:val="0"/>
            <w:vAlign w:val="center"/>
          </w:tcPr>
          <w:p>
            <w:pPr>
              <w:spacing w:line="360" w:lineRule="auto"/>
              <w:ind w:hanging="8"/>
              <w:jc w:val="center"/>
              <w:rPr>
                <w:rFonts w:asci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trPr>
        <w:tc>
          <w:tcPr>
            <w:tcW w:w="402" w:type="pct"/>
            <w:noWrap w:val="0"/>
            <w:vAlign w:val="center"/>
          </w:tcPr>
          <w:p>
            <w:pPr>
              <w:spacing w:line="360" w:lineRule="auto"/>
              <w:ind w:hanging="8"/>
              <w:jc w:val="center"/>
              <w:rPr>
                <w:rFonts w:ascii="宋体"/>
                <w:color w:val="auto"/>
                <w:highlight w:val="none"/>
              </w:rPr>
            </w:pPr>
            <w:r>
              <w:rPr>
                <w:rFonts w:hint="eastAsia" w:ascii="宋体"/>
                <w:color w:val="auto"/>
                <w:highlight w:val="none"/>
              </w:rPr>
              <w:t>5</w:t>
            </w:r>
          </w:p>
        </w:tc>
        <w:tc>
          <w:tcPr>
            <w:tcW w:w="1583" w:type="pct"/>
            <w:noWrap w:val="0"/>
            <w:vAlign w:val="center"/>
          </w:tcPr>
          <w:p>
            <w:pPr>
              <w:spacing w:line="360" w:lineRule="auto"/>
              <w:ind w:hanging="8"/>
              <w:jc w:val="center"/>
              <w:rPr>
                <w:rFonts w:ascii="宋体"/>
                <w:color w:val="auto"/>
                <w:highlight w:val="none"/>
              </w:rPr>
            </w:pPr>
            <w:r>
              <w:rPr>
                <w:rFonts w:hint="eastAsia" w:ascii="宋体"/>
                <w:color w:val="auto"/>
                <w:highlight w:val="none"/>
              </w:rPr>
              <w:t>电焊设备</w:t>
            </w:r>
          </w:p>
        </w:tc>
        <w:tc>
          <w:tcPr>
            <w:tcW w:w="706" w:type="pct"/>
            <w:noWrap w:val="0"/>
            <w:vAlign w:val="center"/>
          </w:tcPr>
          <w:p>
            <w:pPr>
              <w:spacing w:line="360" w:lineRule="auto"/>
              <w:ind w:hanging="8"/>
              <w:jc w:val="center"/>
              <w:rPr>
                <w:rFonts w:ascii="宋体"/>
                <w:color w:val="auto"/>
                <w:highlight w:val="none"/>
              </w:rPr>
            </w:pPr>
            <w:r>
              <w:rPr>
                <w:rFonts w:hint="eastAsia" w:ascii="宋体"/>
                <w:color w:val="auto"/>
                <w:highlight w:val="none"/>
              </w:rPr>
              <w:t>1套</w:t>
            </w:r>
          </w:p>
        </w:tc>
        <w:tc>
          <w:tcPr>
            <w:tcW w:w="2306" w:type="pct"/>
            <w:noWrap w:val="0"/>
            <w:vAlign w:val="center"/>
          </w:tcPr>
          <w:p>
            <w:pPr>
              <w:spacing w:line="360" w:lineRule="auto"/>
              <w:ind w:hanging="8"/>
              <w:jc w:val="center"/>
              <w:rPr>
                <w:rFonts w:asci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trPr>
        <w:tc>
          <w:tcPr>
            <w:tcW w:w="402" w:type="pct"/>
            <w:noWrap w:val="0"/>
            <w:vAlign w:val="center"/>
          </w:tcPr>
          <w:p>
            <w:pPr>
              <w:spacing w:line="360" w:lineRule="auto"/>
              <w:ind w:hanging="8"/>
              <w:jc w:val="center"/>
              <w:rPr>
                <w:rFonts w:ascii="宋体"/>
                <w:color w:val="auto"/>
                <w:highlight w:val="none"/>
              </w:rPr>
            </w:pPr>
            <w:r>
              <w:rPr>
                <w:rFonts w:hint="eastAsia" w:ascii="宋体"/>
                <w:color w:val="auto"/>
                <w:highlight w:val="none"/>
              </w:rPr>
              <w:t>6</w:t>
            </w:r>
          </w:p>
        </w:tc>
        <w:tc>
          <w:tcPr>
            <w:tcW w:w="1583" w:type="pct"/>
            <w:noWrap w:val="0"/>
            <w:vAlign w:val="center"/>
          </w:tcPr>
          <w:p>
            <w:pPr>
              <w:spacing w:line="360" w:lineRule="auto"/>
              <w:ind w:hanging="8"/>
              <w:jc w:val="center"/>
              <w:rPr>
                <w:rFonts w:ascii="宋体"/>
                <w:color w:val="auto"/>
                <w:highlight w:val="none"/>
              </w:rPr>
            </w:pPr>
            <w:r>
              <w:rPr>
                <w:rFonts w:hint="eastAsia" w:ascii="宋体"/>
                <w:color w:val="auto"/>
                <w:highlight w:val="none"/>
              </w:rPr>
              <w:t>切割机</w:t>
            </w:r>
          </w:p>
        </w:tc>
        <w:tc>
          <w:tcPr>
            <w:tcW w:w="706" w:type="pct"/>
            <w:noWrap w:val="0"/>
            <w:vAlign w:val="center"/>
          </w:tcPr>
          <w:p>
            <w:pPr>
              <w:spacing w:line="360" w:lineRule="auto"/>
              <w:ind w:hanging="8"/>
              <w:jc w:val="center"/>
              <w:rPr>
                <w:rFonts w:ascii="宋体"/>
                <w:color w:val="auto"/>
                <w:highlight w:val="none"/>
              </w:rPr>
            </w:pPr>
            <w:r>
              <w:rPr>
                <w:rFonts w:hint="eastAsia" w:ascii="宋体"/>
                <w:color w:val="auto"/>
                <w:highlight w:val="none"/>
              </w:rPr>
              <w:t>1套</w:t>
            </w:r>
          </w:p>
        </w:tc>
        <w:tc>
          <w:tcPr>
            <w:tcW w:w="2306" w:type="pct"/>
            <w:noWrap w:val="0"/>
            <w:vAlign w:val="center"/>
          </w:tcPr>
          <w:p>
            <w:pPr>
              <w:spacing w:line="360" w:lineRule="auto"/>
              <w:ind w:hanging="8"/>
              <w:jc w:val="center"/>
              <w:rPr>
                <w:rFonts w:asci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trPr>
        <w:tc>
          <w:tcPr>
            <w:tcW w:w="402" w:type="pct"/>
            <w:noWrap w:val="0"/>
            <w:vAlign w:val="center"/>
          </w:tcPr>
          <w:p>
            <w:pPr>
              <w:spacing w:line="360" w:lineRule="auto"/>
              <w:ind w:hanging="8"/>
              <w:jc w:val="center"/>
              <w:rPr>
                <w:rFonts w:ascii="宋体"/>
                <w:color w:val="auto"/>
                <w:highlight w:val="none"/>
              </w:rPr>
            </w:pPr>
            <w:r>
              <w:rPr>
                <w:rFonts w:hint="eastAsia" w:ascii="宋体"/>
                <w:color w:val="auto"/>
                <w:highlight w:val="none"/>
              </w:rPr>
              <w:t>7</w:t>
            </w:r>
          </w:p>
        </w:tc>
        <w:tc>
          <w:tcPr>
            <w:tcW w:w="1583" w:type="pct"/>
            <w:noWrap w:val="0"/>
            <w:vAlign w:val="center"/>
          </w:tcPr>
          <w:p>
            <w:pPr>
              <w:spacing w:line="360" w:lineRule="auto"/>
              <w:ind w:hanging="8"/>
              <w:jc w:val="center"/>
              <w:rPr>
                <w:rFonts w:ascii="宋体"/>
                <w:color w:val="auto"/>
                <w:highlight w:val="none"/>
              </w:rPr>
            </w:pPr>
            <w:r>
              <w:rPr>
                <w:rFonts w:hint="eastAsia" w:ascii="宋体"/>
                <w:color w:val="auto"/>
                <w:highlight w:val="none"/>
              </w:rPr>
              <w:t>弱电检测及维修工具</w:t>
            </w:r>
          </w:p>
        </w:tc>
        <w:tc>
          <w:tcPr>
            <w:tcW w:w="706" w:type="pct"/>
            <w:noWrap w:val="0"/>
            <w:vAlign w:val="center"/>
          </w:tcPr>
          <w:p>
            <w:pPr>
              <w:spacing w:line="360" w:lineRule="auto"/>
              <w:ind w:hanging="8"/>
              <w:jc w:val="center"/>
              <w:rPr>
                <w:rFonts w:ascii="宋体"/>
                <w:color w:val="auto"/>
                <w:highlight w:val="none"/>
              </w:rPr>
            </w:pPr>
            <w:r>
              <w:rPr>
                <w:rFonts w:hint="eastAsia" w:ascii="宋体"/>
                <w:color w:val="auto"/>
                <w:highlight w:val="none"/>
              </w:rPr>
              <w:t>1套</w:t>
            </w:r>
          </w:p>
        </w:tc>
        <w:tc>
          <w:tcPr>
            <w:tcW w:w="2306" w:type="pct"/>
            <w:noWrap w:val="0"/>
            <w:vAlign w:val="center"/>
          </w:tcPr>
          <w:p>
            <w:pPr>
              <w:spacing w:line="360" w:lineRule="auto"/>
              <w:ind w:hanging="8"/>
              <w:jc w:val="center"/>
              <w:rPr>
                <w:rFonts w:asci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trPr>
        <w:tc>
          <w:tcPr>
            <w:tcW w:w="402" w:type="pct"/>
            <w:noWrap w:val="0"/>
            <w:vAlign w:val="center"/>
          </w:tcPr>
          <w:p>
            <w:pPr>
              <w:spacing w:line="360" w:lineRule="auto"/>
              <w:ind w:hanging="8"/>
              <w:jc w:val="center"/>
              <w:rPr>
                <w:rFonts w:ascii="宋体"/>
                <w:color w:val="auto"/>
                <w:highlight w:val="none"/>
              </w:rPr>
            </w:pPr>
            <w:r>
              <w:rPr>
                <w:rFonts w:hint="eastAsia" w:ascii="宋体"/>
                <w:color w:val="auto"/>
                <w:highlight w:val="none"/>
              </w:rPr>
              <w:t>8</w:t>
            </w:r>
          </w:p>
        </w:tc>
        <w:tc>
          <w:tcPr>
            <w:tcW w:w="1583" w:type="pct"/>
            <w:noWrap w:val="0"/>
            <w:vAlign w:val="center"/>
          </w:tcPr>
          <w:p>
            <w:pPr>
              <w:spacing w:line="360" w:lineRule="auto"/>
              <w:ind w:hanging="8"/>
              <w:jc w:val="center"/>
              <w:rPr>
                <w:rFonts w:ascii="宋体"/>
                <w:color w:val="auto"/>
                <w:highlight w:val="none"/>
              </w:rPr>
            </w:pPr>
            <w:r>
              <w:rPr>
                <w:rFonts w:hint="eastAsia" w:ascii="宋体"/>
                <w:color w:val="auto"/>
                <w:highlight w:val="none"/>
              </w:rPr>
              <w:t>电气检测及维修工具</w:t>
            </w:r>
          </w:p>
        </w:tc>
        <w:tc>
          <w:tcPr>
            <w:tcW w:w="706" w:type="pct"/>
            <w:noWrap w:val="0"/>
            <w:vAlign w:val="center"/>
          </w:tcPr>
          <w:p>
            <w:pPr>
              <w:spacing w:line="360" w:lineRule="auto"/>
              <w:ind w:hanging="8"/>
              <w:jc w:val="center"/>
              <w:rPr>
                <w:rFonts w:ascii="宋体"/>
                <w:color w:val="auto"/>
                <w:highlight w:val="none"/>
              </w:rPr>
            </w:pPr>
            <w:r>
              <w:rPr>
                <w:rFonts w:hint="eastAsia" w:ascii="宋体"/>
                <w:color w:val="auto"/>
                <w:highlight w:val="none"/>
              </w:rPr>
              <w:t>1套</w:t>
            </w:r>
          </w:p>
        </w:tc>
        <w:tc>
          <w:tcPr>
            <w:tcW w:w="2306" w:type="pct"/>
            <w:noWrap w:val="0"/>
            <w:vAlign w:val="center"/>
          </w:tcPr>
          <w:p>
            <w:pPr>
              <w:spacing w:line="360" w:lineRule="auto"/>
              <w:ind w:hanging="8"/>
              <w:jc w:val="center"/>
              <w:rPr>
                <w:rFonts w:asci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trPr>
        <w:tc>
          <w:tcPr>
            <w:tcW w:w="402" w:type="pct"/>
            <w:noWrap w:val="0"/>
            <w:vAlign w:val="center"/>
          </w:tcPr>
          <w:p>
            <w:pPr>
              <w:spacing w:line="360" w:lineRule="auto"/>
              <w:ind w:hanging="8"/>
              <w:jc w:val="center"/>
              <w:rPr>
                <w:rFonts w:ascii="宋体"/>
                <w:color w:val="auto"/>
                <w:highlight w:val="none"/>
              </w:rPr>
            </w:pPr>
            <w:r>
              <w:rPr>
                <w:rFonts w:hint="eastAsia" w:ascii="宋体"/>
                <w:color w:val="auto"/>
                <w:highlight w:val="none"/>
              </w:rPr>
              <w:t>9</w:t>
            </w:r>
          </w:p>
        </w:tc>
        <w:tc>
          <w:tcPr>
            <w:tcW w:w="1583" w:type="pct"/>
            <w:noWrap w:val="0"/>
            <w:vAlign w:val="center"/>
          </w:tcPr>
          <w:p>
            <w:pPr>
              <w:spacing w:line="360" w:lineRule="auto"/>
              <w:ind w:hanging="8"/>
              <w:jc w:val="center"/>
              <w:rPr>
                <w:rFonts w:ascii="宋体"/>
                <w:color w:val="auto"/>
                <w:highlight w:val="none"/>
              </w:rPr>
            </w:pPr>
            <w:r>
              <w:rPr>
                <w:rFonts w:hint="eastAsia" w:ascii="宋体"/>
                <w:color w:val="auto"/>
                <w:highlight w:val="none"/>
              </w:rPr>
              <w:t>其它必备工具</w:t>
            </w:r>
          </w:p>
        </w:tc>
        <w:tc>
          <w:tcPr>
            <w:tcW w:w="706" w:type="pct"/>
            <w:noWrap w:val="0"/>
            <w:vAlign w:val="center"/>
          </w:tcPr>
          <w:p>
            <w:pPr>
              <w:spacing w:line="360" w:lineRule="auto"/>
              <w:ind w:hanging="8"/>
              <w:jc w:val="center"/>
              <w:rPr>
                <w:rFonts w:ascii="宋体"/>
                <w:color w:val="auto"/>
                <w:highlight w:val="none"/>
              </w:rPr>
            </w:pPr>
            <w:r>
              <w:rPr>
                <w:rFonts w:hint="eastAsia" w:ascii="宋体"/>
                <w:color w:val="auto"/>
                <w:highlight w:val="none"/>
              </w:rPr>
              <w:t>若干</w:t>
            </w:r>
          </w:p>
        </w:tc>
        <w:tc>
          <w:tcPr>
            <w:tcW w:w="2306" w:type="pct"/>
            <w:noWrap w:val="0"/>
            <w:vAlign w:val="center"/>
          </w:tcPr>
          <w:p>
            <w:pPr>
              <w:spacing w:line="360" w:lineRule="auto"/>
              <w:ind w:hanging="8"/>
              <w:jc w:val="center"/>
              <w:rPr>
                <w:rFonts w:asci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trPr>
        <w:tc>
          <w:tcPr>
            <w:tcW w:w="402" w:type="pct"/>
            <w:noWrap w:val="0"/>
            <w:vAlign w:val="center"/>
          </w:tcPr>
          <w:p>
            <w:pPr>
              <w:spacing w:line="360" w:lineRule="auto"/>
              <w:ind w:hanging="8"/>
              <w:jc w:val="center"/>
              <w:rPr>
                <w:rFonts w:ascii="宋体"/>
                <w:color w:val="auto"/>
                <w:highlight w:val="none"/>
              </w:rPr>
            </w:pPr>
            <w:r>
              <w:rPr>
                <w:rFonts w:hint="eastAsia" w:ascii="宋体"/>
                <w:color w:val="auto"/>
                <w:highlight w:val="none"/>
              </w:rPr>
              <w:t>10</w:t>
            </w:r>
          </w:p>
        </w:tc>
        <w:tc>
          <w:tcPr>
            <w:tcW w:w="1583" w:type="pct"/>
            <w:noWrap w:val="0"/>
            <w:vAlign w:val="center"/>
          </w:tcPr>
          <w:p>
            <w:pPr>
              <w:spacing w:line="360" w:lineRule="auto"/>
              <w:ind w:hanging="8"/>
              <w:jc w:val="center"/>
              <w:rPr>
                <w:rFonts w:ascii="宋体"/>
                <w:color w:val="auto"/>
                <w:highlight w:val="none"/>
              </w:rPr>
            </w:pPr>
            <w:r>
              <w:rPr>
                <w:rFonts w:hint="eastAsia" w:ascii="宋体"/>
                <w:color w:val="auto"/>
                <w:highlight w:val="none"/>
              </w:rPr>
              <w:t>高级洗地机</w:t>
            </w:r>
          </w:p>
        </w:tc>
        <w:tc>
          <w:tcPr>
            <w:tcW w:w="706" w:type="pct"/>
            <w:noWrap w:val="0"/>
            <w:vAlign w:val="center"/>
          </w:tcPr>
          <w:p>
            <w:pPr>
              <w:spacing w:line="360" w:lineRule="auto"/>
              <w:ind w:hanging="8"/>
              <w:jc w:val="center"/>
              <w:rPr>
                <w:rFonts w:ascii="宋体"/>
                <w:color w:val="auto"/>
                <w:highlight w:val="none"/>
              </w:rPr>
            </w:pPr>
            <w:r>
              <w:rPr>
                <w:rFonts w:hint="eastAsia" w:ascii="宋体"/>
                <w:color w:val="auto"/>
                <w:highlight w:val="none"/>
              </w:rPr>
              <w:t>1套</w:t>
            </w:r>
          </w:p>
        </w:tc>
        <w:tc>
          <w:tcPr>
            <w:tcW w:w="2306" w:type="pct"/>
            <w:noWrap w:val="0"/>
            <w:vAlign w:val="center"/>
          </w:tcPr>
          <w:p>
            <w:pPr>
              <w:spacing w:line="360" w:lineRule="auto"/>
              <w:ind w:hanging="8"/>
              <w:jc w:val="center"/>
              <w:rPr>
                <w:rFonts w:asci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trPr>
        <w:tc>
          <w:tcPr>
            <w:tcW w:w="402" w:type="pct"/>
            <w:noWrap w:val="0"/>
            <w:vAlign w:val="center"/>
          </w:tcPr>
          <w:p>
            <w:pPr>
              <w:spacing w:line="360" w:lineRule="auto"/>
              <w:ind w:hanging="8"/>
              <w:jc w:val="center"/>
              <w:rPr>
                <w:rFonts w:ascii="宋体"/>
                <w:color w:val="auto"/>
                <w:highlight w:val="none"/>
              </w:rPr>
            </w:pPr>
            <w:r>
              <w:rPr>
                <w:rFonts w:hint="eastAsia" w:ascii="宋体"/>
                <w:color w:val="auto"/>
                <w:highlight w:val="none"/>
              </w:rPr>
              <w:t>11</w:t>
            </w:r>
          </w:p>
        </w:tc>
        <w:tc>
          <w:tcPr>
            <w:tcW w:w="1583" w:type="pct"/>
            <w:noWrap w:val="0"/>
            <w:vAlign w:val="center"/>
          </w:tcPr>
          <w:p>
            <w:pPr>
              <w:spacing w:line="360" w:lineRule="auto"/>
              <w:ind w:hanging="8"/>
              <w:jc w:val="center"/>
              <w:rPr>
                <w:rFonts w:ascii="宋体"/>
                <w:color w:val="auto"/>
                <w:highlight w:val="none"/>
              </w:rPr>
            </w:pPr>
            <w:r>
              <w:rPr>
                <w:rFonts w:hint="eastAsia" w:ascii="宋体"/>
                <w:color w:val="auto"/>
                <w:highlight w:val="none"/>
              </w:rPr>
              <w:t>其他</w:t>
            </w:r>
          </w:p>
        </w:tc>
        <w:tc>
          <w:tcPr>
            <w:tcW w:w="706" w:type="pct"/>
            <w:noWrap w:val="0"/>
            <w:vAlign w:val="center"/>
          </w:tcPr>
          <w:p>
            <w:pPr>
              <w:spacing w:line="360" w:lineRule="auto"/>
              <w:ind w:hanging="8"/>
              <w:jc w:val="center"/>
              <w:rPr>
                <w:rFonts w:ascii="宋体"/>
                <w:color w:val="auto"/>
                <w:highlight w:val="none"/>
              </w:rPr>
            </w:pPr>
          </w:p>
        </w:tc>
        <w:tc>
          <w:tcPr>
            <w:tcW w:w="2306" w:type="pct"/>
            <w:noWrap w:val="0"/>
            <w:vAlign w:val="center"/>
          </w:tcPr>
          <w:p>
            <w:pPr>
              <w:spacing w:line="360" w:lineRule="auto"/>
              <w:ind w:hanging="8"/>
              <w:jc w:val="center"/>
              <w:rPr>
                <w:rFonts w:ascii="宋体"/>
                <w:color w:val="auto"/>
                <w:highlight w:val="none"/>
              </w:rPr>
            </w:pPr>
            <w:r>
              <w:rPr>
                <w:rFonts w:hint="eastAsia" w:ascii="宋体"/>
                <w:color w:val="auto"/>
                <w:highlight w:val="none"/>
              </w:rPr>
              <w:t>由供应商自行添加</w:t>
            </w:r>
          </w:p>
        </w:tc>
      </w:tr>
    </w:tbl>
    <w:p>
      <w:pPr>
        <w:spacing w:line="360" w:lineRule="auto"/>
        <w:ind w:firstLine="210" w:firstLineChars="100"/>
        <w:jc w:val="center"/>
        <w:rPr>
          <w:rFonts w:ascii="宋体"/>
          <w:color w:val="auto"/>
          <w:highlight w:val="none"/>
        </w:rPr>
      </w:pPr>
      <w:r>
        <w:rPr>
          <w:rFonts w:hint="eastAsia" w:ascii="宋体"/>
          <w:color w:val="auto"/>
          <w:highlight w:val="none"/>
        </w:rPr>
        <w:t>（包括特殊检测仪表）</w:t>
      </w:r>
    </w:p>
    <w:p>
      <w:pPr>
        <w:widowControl/>
        <w:spacing w:before="150" w:after="150"/>
        <w:ind w:left="2811" w:hanging="2811" w:hangingChars="1000"/>
        <w:jc w:val="left"/>
        <w:rPr>
          <w:rFonts w:ascii="宋体" w:cs="宋体"/>
          <w:b/>
          <w:color w:val="auto"/>
          <w:sz w:val="32"/>
          <w:szCs w:val="32"/>
          <w:highlight w:val="none"/>
        </w:rPr>
      </w:pPr>
      <w:r>
        <w:rPr>
          <w:rFonts w:hint="eastAsia" w:ascii="宋体"/>
          <w:b/>
          <w:color w:val="auto"/>
          <w:sz w:val="28"/>
          <w:szCs w:val="28"/>
          <w:highlight w:val="none"/>
        </w:rPr>
        <w:t>（</w:t>
      </w:r>
      <w:r>
        <w:rPr>
          <w:rFonts w:ascii="宋体"/>
          <w:b/>
          <w:color w:val="auto"/>
          <w:sz w:val="28"/>
          <w:szCs w:val="28"/>
          <w:highlight w:val="none"/>
        </w:rPr>
        <w:t>七</w:t>
      </w:r>
      <w:r>
        <w:rPr>
          <w:rFonts w:hint="eastAsia" w:ascii="宋体"/>
          <w:b/>
          <w:color w:val="auto"/>
          <w:sz w:val="28"/>
          <w:szCs w:val="28"/>
          <w:highlight w:val="none"/>
        </w:rPr>
        <w:t>）</w:t>
      </w:r>
      <w:r>
        <w:rPr>
          <w:rFonts w:hint="eastAsia" w:ascii="宋体"/>
          <w:b/>
          <w:bCs/>
          <w:color w:val="auto"/>
          <w:sz w:val="28"/>
          <w:szCs w:val="28"/>
          <w:highlight w:val="none"/>
        </w:rPr>
        <w:t>共用场所</w:t>
      </w:r>
      <w:r>
        <w:rPr>
          <w:rFonts w:hint="eastAsia" w:ascii="宋体" w:cs="宋体"/>
          <w:b/>
          <w:bCs/>
          <w:color w:val="auto"/>
          <w:sz w:val="28"/>
          <w:szCs w:val="28"/>
          <w:highlight w:val="none"/>
        </w:rPr>
        <w:t>保洁易耗品费用</w:t>
      </w:r>
    </w:p>
    <w:tbl>
      <w:tblPr>
        <w:tblStyle w:val="20"/>
        <w:tblW w:w="9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190"/>
        <w:gridCol w:w="4971"/>
        <w:gridCol w:w="1787"/>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95" w:type="dxa"/>
            <w:noWrap w:val="0"/>
            <w:vAlign w:val="center"/>
          </w:tcPr>
          <w:p>
            <w:pPr>
              <w:widowControl/>
              <w:spacing w:before="150" w:after="150"/>
              <w:jc w:val="center"/>
              <w:rPr>
                <w:rFonts w:ascii="宋体" w:cs="宋体"/>
                <w:b/>
                <w:color w:val="auto"/>
                <w:sz w:val="24"/>
                <w:szCs w:val="24"/>
                <w:highlight w:val="none"/>
              </w:rPr>
            </w:pPr>
            <w:r>
              <w:rPr>
                <w:rFonts w:hint="eastAsia" w:ascii="宋体" w:cs="宋体"/>
                <w:b/>
                <w:color w:val="auto"/>
                <w:sz w:val="24"/>
                <w:szCs w:val="24"/>
                <w:highlight w:val="none"/>
              </w:rPr>
              <w:t>序号</w:t>
            </w:r>
          </w:p>
        </w:tc>
        <w:tc>
          <w:tcPr>
            <w:tcW w:w="1190" w:type="dxa"/>
            <w:noWrap w:val="0"/>
            <w:vAlign w:val="center"/>
          </w:tcPr>
          <w:p>
            <w:pPr>
              <w:widowControl/>
              <w:spacing w:before="150" w:after="150"/>
              <w:jc w:val="center"/>
              <w:rPr>
                <w:rFonts w:ascii="宋体" w:cs="宋体"/>
                <w:b/>
                <w:color w:val="auto"/>
                <w:sz w:val="24"/>
                <w:szCs w:val="24"/>
                <w:highlight w:val="none"/>
              </w:rPr>
            </w:pPr>
            <w:r>
              <w:rPr>
                <w:rFonts w:ascii="宋体" w:cs="宋体"/>
                <w:b/>
                <w:color w:val="auto"/>
                <w:sz w:val="24"/>
                <w:szCs w:val="24"/>
                <w:highlight w:val="none"/>
              </w:rPr>
              <w:t>单位</w:t>
            </w:r>
          </w:p>
        </w:tc>
        <w:tc>
          <w:tcPr>
            <w:tcW w:w="4971" w:type="dxa"/>
            <w:noWrap w:val="0"/>
            <w:vAlign w:val="center"/>
          </w:tcPr>
          <w:p>
            <w:pPr>
              <w:widowControl/>
              <w:spacing w:before="150" w:after="150"/>
              <w:jc w:val="center"/>
              <w:rPr>
                <w:rFonts w:ascii="宋体" w:cs="宋体"/>
                <w:b/>
                <w:color w:val="auto"/>
                <w:sz w:val="24"/>
                <w:szCs w:val="24"/>
                <w:highlight w:val="none"/>
              </w:rPr>
            </w:pPr>
            <w:r>
              <w:rPr>
                <w:rFonts w:hint="eastAsia" w:ascii="宋体" w:cs="宋体"/>
                <w:b/>
                <w:color w:val="auto"/>
                <w:sz w:val="24"/>
                <w:szCs w:val="24"/>
                <w:highlight w:val="none"/>
              </w:rPr>
              <w:t>项目</w:t>
            </w:r>
          </w:p>
        </w:tc>
        <w:tc>
          <w:tcPr>
            <w:tcW w:w="1787" w:type="dxa"/>
            <w:noWrap w:val="0"/>
            <w:vAlign w:val="center"/>
          </w:tcPr>
          <w:p>
            <w:pPr>
              <w:widowControl/>
              <w:spacing w:before="150" w:after="150"/>
              <w:jc w:val="center"/>
              <w:rPr>
                <w:rFonts w:hint="eastAsia" w:ascii="宋体" w:eastAsia="宋体" w:cs="宋体"/>
                <w:b/>
                <w:color w:val="auto"/>
                <w:sz w:val="24"/>
                <w:szCs w:val="24"/>
                <w:highlight w:val="none"/>
                <w:lang w:eastAsia="zh-CN"/>
              </w:rPr>
            </w:pPr>
            <w:r>
              <w:rPr>
                <w:rFonts w:hint="eastAsia" w:ascii="宋体" w:cs="宋体"/>
                <w:b/>
                <w:color w:val="auto"/>
                <w:sz w:val="24"/>
                <w:szCs w:val="24"/>
                <w:highlight w:val="none"/>
                <w:lang w:eastAsia="zh-CN"/>
              </w:rPr>
              <w:t>产品质量数量要求</w:t>
            </w:r>
          </w:p>
        </w:tc>
        <w:tc>
          <w:tcPr>
            <w:tcW w:w="822" w:type="dxa"/>
            <w:noWrap w:val="0"/>
            <w:vAlign w:val="center"/>
          </w:tcPr>
          <w:p>
            <w:pPr>
              <w:widowControl/>
              <w:spacing w:before="150" w:after="150"/>
              <w:jc w:val="center"/>
              <w:rPr>
                <w:rFonts w:ascii="宋体" w:cs="宋体"/>
                <w:b/>
                <w:color w:val="auto"/>
                <w:sz w:val="24"/>
                <w:szCs w:val="24"/>
                <w:highlight w:val="none"/>
              </w:rPr>
            </w:pPr>
            <w:r>
              <w:rPr>
                <w:rFonts w:ascii="宋体" w:cs="宋体"/>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595" w:type="dxa"/>
            <w:noWrap w:val="0"/>
            <w:vAlign w:val="center"/>
          </w:tcPr>
          <w:p>
            <w:pPr>
              <w:widowControl/>
              <w:spacing w:before="150" w:after="150"/>
              <w:jc w:val="center"/>
              <w:rPr>
                <w:rFonts w:ascii="宋体" w:cs="宋体"/>
                <w:bCs/>
                <w:color w:val="auto"/>
                <w:sz w:val="24"/>
                <w:szCs w:val="24"/>
                <w:highlight w:val="none"/>
              </w:rPr>
            </w:pPr>
            <w:r>
              <w:rPr>
                <w:rFonts w:ascii="宋体" w:cs="宋体"/>
                <w:bCs/>
                <w:color w:val="auto"/>
                <w:sz w:val="24"/>
                <w:szCs w:val="24"/>
                <w:highlight w:val="none"/>
              </w:rPr>
              <w:t>1</w:t>
            </w:r>
          </w:p>
        </w:tc>
        <w:tc>
          <w:tcPr>
            <w:tcW w:w="1190" w:type="dxa"/>
            <w:noWrap w:val="0"/>
            <w:vAlign w:val="center"/>
          </w:tcPr>
          <w:p>
            <w:pPr>
              <w:widowControl/>
              <w:spacing w:before="150" w:after="150"/>
              <w:jc w:val="center"/>
              <w:rPr>
                <w:rFonts w:ascii="宋体" w:cs="宋体"/>
                <w:bCs/>
                <w:color w:val="auto"/>
                <w:sz w:val="24"/>
                <w:szCs w:val="24"/>
                <w:highlight w:val="none"/>
              </w:rPr>
            </w:pPr>
            <w:r>
              <w:rPr>
                <w:rFonts w:ascii="宋体" w:cs="宋体"/>
                <w:bCs/>
                <w:color w:val="auto"/>
                <w:sz w:val="24"/>
                <w:szCs w:val="24"/>
                <w:highlight w:val="none"/>
              </w:rPr>
              <w:t>1号楼</w:t>
            </w:r>
          </w:p>
        </w:tc>
        <w:tc>
          <w:tcPr>
            <w:tcW w:w="4971" w:type="dxa"/>
            <w:tcBorders>
              <w:bottom w:val="single" w:color="auto" w:sz="4" w:space="0"/>
            </w:tcBorders>
            <w:noWrap w:val="0"/>
            <w:vAlign w:val="center"/>
          </w:tcPr>
          <w:p>
            <w:pPr>
              <w:widowControl/>
              <w:spacing w:before="150" w:after="150"/>
              <w:jc w:val="center"/>
              <w:rPr>
                <w:rFonts w:hint="eastAsia" w:ascii="宋体" w:cs="宋体"/>
                <w:color w:val="auto"/>
                <w:kern w:val="0"/>
                <w:szCs w:val="21"/>
                <w:highlight w:val="none"/>
              </w:rPr>
            </w:pPr>
            <w:r>
              <w:rPr>
                <w:rFonts w:hint="eastAsia" w:ascii="宋体" w:cs="宋体"/>
                <w:color w:val="auto"/>
                <w:kern w:val="0"/>
                <w:szCs w:val="21"/>
                <w:highlight w:val="none"/>
              </w:rPr>
              <w:t>卫生纸、擦手纸、洗手液等，品牌、数量符合采购人要求。其中：擦手纸（参考品牌：清风B913AC，规格：200抽/包*20包/箱、单层三折）、大卷纸（参考品牌：唯洁双层，规格：240米/卷*12卷/箱））、小卷纸（参考品牌：清风三层，规格：275段/卷*10卷/提*10提/箱）；洗手液（参考品牌：蓝月亮，规格：500克/瓶）</w:t>
            </w:r>
            <w:r>
              <w:rPr>
                <w:rFonts w:hint="eastAsia" w:ascii="宋体" w:cs="宋体"/>
                <w:color w:val="auto"/>
                <w:kern w:val="0"/>
                <w:szCs w:val="21"/>
                <w:highlight w:val="none"/>
              </w:rPr>
              <w:tab/>
            </w:r>
          </w:p>
        </w:tc>
        <w:tc>
          <w:tcPr>
            <w:tcW w:w="1787" w:type="dxa"/>
            <w:tcBorders>
              <w:bottom w:val="single" w:color="auto" w:sz="4" w:space="0"/>
            </w:tcBorders>
            <w:noWrap w:val="0"/>
            <w:vAlign w:val="center"/>
          </w:tcPr>
          <w:p>
            <w:pPr>
              <w:widowControl/>
              <w:spacing w:before="150" w:after="150"/>
              <w:jc w:val="center"/>
              <w:rPr>
                <w:rFonts w:hint="eastAsia" w:ascii="宋体" w:cs="宋体"/>
                <w:color w:val="auto"/>
                <w:kern w:val="0"/>
                <w:szCs w:val="21"/>
                <w:highlight w:val="none"/>
              </w:rPr>
            </w:pPr>
            <w:r>
              <w:rPr>
                <w:rFonts w:hint="eastAsia" w:ascii="宋体" w:cs="宋体"/>
                <w:color w:val="auto"/>
                <w:kern w:val="0"/>
                <w:szCs w:val="21"/>
                <w:highlight w:val="none"/>
              </w:rPr>
              <w:t>产品质量、数量符合使用需求。</w:t>
            </w:r>
          </w:p>
        </w:tc>
        <w:tc>
          <w:tcPr>
            <w:tcW w:w="822" w:type="dxa"/>
            <w:tcBorders>
              <w:bottom w:val="single" w:color="auto" w:sz="4" w:space="0"/>
            </w:tcBorders>
            <w:noWrap w:val="0"/>
            <w:vAlign w:val="center"/>
          </w:tcPr>
          <w:p>
            <w:pPr>
              <w:widowControl/>
              <w:spacing w:before="150" w:after="150"/>
              <w:jc w:val="center"/>
              <w:rPr>
                <w:rFonts w:ascii="宋体" w:cs="宋体"/>
                <w:bCs/>
                <w:color w:val="auto"/>
                <w:sz w:val="24"/>
                <w:szCs w:val="24"/>
                <w:highlight w:val="none"/>
              </w:rPr>
            </w:pPr>
          </w:p>
        </w:tc>
      </w:tr>
    </w:tbl>
    <w:p>
      <w:pPr>
        <w:spacing w:line="360" w:lineRule="auto"/>
        <w:rPr>
          <w:rFonts w:ascii="宋体"/>
          <w:b/>
          <w:snapToGrid w:val="0"/>
          <w:color w:val="auto"/>
          <w:kern w:val="0"/>
          <w:sz w:val="30"/>
          <w:szCs w:val="30"/>
          <w:highlight w:val="none"/>
        </w:rPr>
      </w:pPr>
      <w:r>
        <w:rPr>
          <w:rFonts w:hint="eastAsia" w:ascii="宋体"/>
          <w:b/>
          <w:snapToGrid w:val="0"/>
          <w:color w:val="auto"/>
          <w:kern w:val="0"/>
          <w:sz w:val="30"/>
          <w:szCs w:val="30"/>
          <w:highlight w:val="none"/>
        </w:rPr>
        <w:t>三、物业管理费用及补充说明</w:t>
      </w:r>
    </w:p>
    <w:p>
      <w:pPr>
        <w:spacing w:line="360" w:lineRule="auto"/>
        <w:ind w:firstLine="120" w:firstLineChars="50"/>
        <w:jc w:val="left"/>
        <w:rPr>
          <w:rFonts w:ascii="宋体"/>
          <w:b/>
          <w:snapToGrid w:val="0"/>
          <w:color w:val="auto"/>
          <w:kern w:val="0"/>
          <w:sz w:val="24"/>
          <w:highlight w:val="none"/>
        </w:rPr>
      </w:pPr>
      <w:r>
        <w:rPr>
          <w:rFonts w:hint="eastAsia" w:ascii="宋体"/>
          <w:b/>
          <w:snapToGrid w:val="0"/>
          <w:color w:val="auto"/>
          <w:kern w:val="0"/>
          <w:sz w:val="24"/>
          <w:highlight w:val="none"/>
        </w:rPr>
        <w:t>（一）物业管理经费使用范围</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本项目采用“包干制物业管理服务”的方式发包。包干的费用包括但不仅限于以下：</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1、人员费用(工资、各种社会保险、福利和津贴)。</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2、人员综合费用（办公费用、服装费、通讯费、培训费、食宿与交通费等）。</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公共部位和公共设施日常小型维修费（含室内小修），费用标准按地上建筑面积2元/平方米/年计提，专款专用，结余顺延，用于大楼房屋公共部位和公共设施的小型维修（含室内小修），维修工具由供应商负责。采购人监督日常小型维修费使用，每月向采购人报告小修费开支情况。</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4、垃圾清运及消杀费用（不含餐厨垃圾）。</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5、共用场所保洁易耗品费用（含保洁用品：工具、垃圾袋、清洁保养用品等，卫生用品：洗手间卫生纸、擦手纸及洗手液等）。</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6、室外绿地养护费。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公共区域能耗（主要指公共区域照明用电和用水，包括不仅限于公共区域楼道、走廊、公共洗手间、一层大厅、地下停车场、给排水系统、消防系统、安防监控系统、水景系统，但不包括电梯用电、空调能耗及食堂所有能耗）。</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8、幕墙玻璃清洗费用（其中，1号楼一年不少于1次，2号楼一年不少于2次）。</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9、楼宇文化活动费。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10、电梯运行、消防系统、空调系统、强弱电系统等维护和检测费用。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11、公共设备设施的维护及保养费用（设备设施维修所产生的材料费用在公共设施日常小型维修费中列支）。</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12、管理费。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13、保险费。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14、税金。</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15、其它费用。</w:t>
      </w:r>
    </w:p>
    <w:p>
      <w:pPr>
        <w:spacing w:line="360" w:lineRule="auto"/>
        <w:ind w:firstLine="120" w:firstLineChars="50"/>
        <w:jc w:val="left"/>
        <w:rPr>
          <w:rFonts w:ascii="宋体"/>
          <w:b/>
          <w:snapToGrid w:val="0"/>
          <w:color w:val="auto"/>
          <w:kern w:val="0"/>
          <w:sz w:val="24"/>
          <w:highlight w:val="none"/>
        </w:rPr>
      </w:pPr>
      <w:r>
        <w:rPr>
          <w:rFonts w:hint="eastAsia" w:ascii="宋体"/>
          <w:b/>
          <w:snapToGrid w:val="0"/>
          <w:color w:val="auto"/>
          <w:kern w:val="0"/>
          <w:sz w:val="24"/>
          <w:highlight w:val="none"/>
        </w:rPr>
        <w:t>（二）其它补充说明</w:t>
      </w:r>
    </w:p>
    <w:p>
      <w:pPr>
        <w:spacing w:line="360" w:lineRule="auto"/>
        <w:ind w:firstLine="470" w:firstLineChars="196"/>
        <w:rPr>
          <w:rFonts w:ascii="宋体" w:cs="宋体"/>
          <w:b/>
          <w:bCs/>
          <w:color w:val="auto"/>
          <w:sz w:val="24"/>
          <w:szCs w:val="24"/>
          <w:highlight w:val="none"/>
        </w:rPr>
      </w:pPr>
      <w:bookmarkStart w:id="33" w:name="bt工程技术要求"/>
      <w:bookmarkEnd w:id="33"/>
      <w:bookmarkStart w:id="34" w:name="_Toc58910667"/>
      <w:bookmarkStart w:id="35" w:name="_Toc72050368"/>
      <w:bookmarkStart w:id="36" w:name="_Toc66353737"/>
      <w:bookmarkStart w:id="37" w:name="_Toc95016343"/>
      <w:bookmarkStart w:id="38" w:name="_Toc77407614"/>
      <w:bookmarkStart w:id="39" w:name="_Toc69814308"/>
      <w:bookmarkStart w:id="40" w:name="_Toc65917390"/>
      <w:bookmarkStart w:id="41" w:name="工程技术要求"/>
      <w:bookmarkStart w:id="42" w:name="_Toc101074872"/>
      <w:bookmarkStart w:id="43" w:name="_Toc100052360"/>
      <w:r>
        <w:rPr>
          <w:rFonts w:hint="eastAsia" w:ascii="宋体"/>
          <w:snapToGrid w:val="0"/>
          <w:color w:val="auto"/>
          <w:kern w:val="0"/>
          <w:sz w:val="24"/>
          <w:szCs w:val="24"/>
          <w:highlight w:val="none"/>
        </w:rPr>
        <w:t>1、本次招标，委托管理权限为三年。管理服务费用由各投标方自行报价（投标人在进行投标报价时要充分考虑未来三年价格因素的变化，中标价格将作为合同价格执行三年；</w:t>
      </w:r>
      <w:r>
        <w:rPr>
          <w:rFonts w:hint="eastAsia" w:ascii="宋体" w:cs="宋体"/>
          <w:b/>
          <w:bCs/>
          <w:color w:val="auto"/>
          <w:sz w:val="24"/>
          <w:szCs w:val="24"/>
          <w:highlight w:val="none"/>
        </w:rPr>
        <w:t>如在合同执行期间，遇到社保缴费基数、比例及最低工资标准上调，则合同中的人员工资相应部分按实际情况予以调整，确保用工合法，由此增加的费用由中标单位自行负责）。</w:t>
      </w:r>
    </w:p>
    <w:p>
      <w:pPr>
        <w:spacing w:line="360" w:lineRule="auto"/>
        <w:ind w:firstLine="470" w:firstLineChars="196"/>
        <w:rPr>
          <w:rFonts w:ascii="宋体"/>
          <w:snapToGrid w:val="0"/>
          <w:color w:val="auto"/>
          <w:kern w:val="0"/>
          <w:sz w:val="24"/>
          <w:szCs w:val="24"/>
          <w:highlight w:val="none"/>
        </w:rPr>
      </w:pPr>
      <w:r>
        <w:rPr>
          <w:rFonts w:ascii="宋体"/>
          <w:snapToGrid w:val="0"/>
          <w:color w:val="auto"/>
          <w:kern w:val="0"/>
          <w:sz w:val="24"/>
          <w:szCs w:val="24"/>
          <w:highlight w:val="none"/>
        </w:rPr>
        <w:t>管理服务</w:t>
      </w:r>
      <w:r>
        <w:rPr>
          <w:rFonts w:hint="eastAsia" w:ascii="宋体"/>
          <w:snapToGrid w:val="0"/>
          <w:color w:val="auto"/>
          <w:kern w:val="0"/>
          <w:sz w:val="24"/>
          <w:szCs w:val="24"/>
          <w:highlight w:val="none"/>
        </w:rPr>
        <w:t>合同一签一</w:t>
      </w:r>
      <w:r>
        <w:rPr>
          <w:rFonts w:ascii="宋体"/>
          <w:snapToGrid w:val="0"/>
          <w:color w:val="auto"/>
          <w:kern w:val="0"/>
          <w:sz w:val="24"/>
          <w:szCs w:val="24"/>
          <w:highlight w:val="none"/>
        </w:rPr>
        <w:t>年</w:t>
      </w:r>
      <w:r>
        <w:rPr>
          <w:rFonts w:hint="eastAsia" w:ascii="宋体"/>
          <w:snapToGrid w:val="0"/>
          <w:color w:val="auto"/>
          <w:kern w:val="0"/>
          <w:sz w:val="24"/>
          <w:szCs w:val="24"/>
          <w:highlight w:val="none"/>
        </w:rPr>
        <w:t>，</w:t>
      </w:r>
      <w:r>
        <w:rPr>
          <w:rFonts w:ascii="宋体"/>
          <w:snapToGrid w:val="0"/>
          <w:color w:val="auto"/>
          <w:kern w:val="0"/>
          <w:sz w:val="24"/>
          <w:szCs w:val="24"/>
          <w:highlight w:val="none"/>
        </w:rPr>
        <w:t>每年组织年度考核</w:t>
      </w:r>
      <w:r>
        <w:rPr>
          <w:rFonts w:hint="eastAsia" w:ascii="宋体"/>
          <w:snapToGrid w:val="0"/>
          <w:color w:val="auto"/>
          <w:kern w:val="0"/>
          <w:sz w:val="24"/>
          <w:szCs w:val="24"/>
          <w:highlight w:val="none"/>
        </w:rPr>
        <w:t>（考核标准见附件），考核合格后续签下一年度合同，</w:t>
      </w:r>
      <w:r>
        <w:rPr>
          <w:rFonts w:ascii="宋体"/>
          <w:snapToGrid w:val="0"/>
          <w:color w:val="auto"/>
          <w:kern w:val="0"/>
          <w:sz w:val="24"/>
          <w:szCs w:val="24"/>
          <w:highlight w:val="none"/>
        </w:rPr>
        <w:t>考核不合格</w:t>
      </w:r>
      <w:r>
        <w:rPr>
          <w:rFonts w:hint="eastAsia" w:ascii="宋体"/>
          <w:snapToGrid w:val="0"/>
          <w:color w:val="auto"/>
          <w:kern w:val="0"/>
          <w:sz w:val="24"/>
          <w:szCs w:val="24"/>
          <w:highlight w:val="none"/>
        </w:rPr>
        <w:t>甲方</w:t>
      </w:r>
      <w:r>
        <w:rPr>
          <w:rFonts w:ascii="宋体"/>
          <w:snapToGrid w:val="0"/>
          <w:color w:val="auto"/>
          <w:kern w:val="0"/>
          <w:sz w:val="24"/>
          <w:szCs w:val="24"/>
          <w:highlight w:val="none"/>
        </w:rPr>
        <w:t>可中止合同</w:t>
      </w:r>
      <w:r>
        <w:rPr>
          <w:rFonts w:hint="eastAsia" w:ascii="宋体"/>
          <w:snapToGrid w:val="0"/>
          <w:color w:val="auto"/>
          <w:kern w:val="0"/>
          <w:sz w:val="24"/>
          <w:szCs w:val="24"/>
          <w:highlight w:val="none"/>
        </w:rPr>
        <w:t>。</w:t>
      </w:r>
    </w:p>
    <w:p>
      <w:pPr>
        <w:spacing w:line="360" w:lineRule="auto"/>
        <w:ind w:firstLine="470" w:firstLineChars="196"/>
        <w:rPr>
          <w:rFonts w:ascii="宋体"/>
          <w:snapToGrid w:val="0"/>
          <w:color w:val="auto"/>
          <w:kern w:val="0"/>
          <w:sz w:val="24"/>
          <w:szCs w:val="24"/>
          <w:highlight w:val="none"/>
        </w:rPr>
      </w:pPr>
      <w:r>
        <w:rPr>
          <w:rFonts w:hint="eastAsia" w:ascii="宋体"/>
          <w:snapToGrid w:val="0"/>
          <w:color w:val="auto"/>
          <w:kern w:val="0"/>
          <w:sz w:val="24"/>
          <w:szCs w:val="24"/>
          <w:highlight w:val="none"/>
        </w:rPr>
        <w:t>2、中标单位根据有关法规与采购人签订物业</w:t>
      </w:r>
      <w:r>
        <w:rPr>
          <w:rFonts w:ascii="宋体"/>
          <w:snapToGrid w:val="0"/>
          <w:color w:val="auto"/>
          <w:kern w:val="0"/>
          <w:sz w:val="24"/>
          <w:szCs w:val="24"/>
          <w:highlight w:val="none"/>
        </w:rPr>
        <w:t>管理服务</w:t>
      </w:r>
      <w:r>
        <w:rPr>
          <w:rFonts w:hint="eastAsia" w:ascii="宋体"/>
          <w:snapToGrid w:val="0"/>
          <w:color w:val="auto"/>
          <w:kern w:val="0"/>
          <w:sz w:val="24"/>
          <w:szCs w:val="24"/>
          <w:highlight w:val="none"/>
        </w:rPr>
        <w:t>合同，对本物业管理项目实行管理，自主经营，自负盈亏。</w:t>
      </w:r>
    </w:p>
    <w:p>
      <w:pPr>
        <w:spacing w:line="360" w:lineRule="auto"/>
        <w:ind w:firstLine="470" w:firstLineChars="196"/>
        <w:rPr>
          <w:rFonts w:ascii="宋体"/>
          <w:snapToGrid w:val="0"/>
          <w:color w:val="auto"/>
          <w:kern w:val="0"/>
          <w:sz w:val="24"/>
          <w:szCs w:val="24"/>
          <w:highlight w:val="none"/>
        </w:rPr>
      </w:pPr>
      <w:r>
        <w:rPr>
          <w:rFonts w:hint="eastAsia" w:ascii="宋体"/>
          <w:snapToGrid w:val="0"/>
          <w:color w:val="auto"/>
          <w:kern w:val="0"/>
          <w:sz w:val="24"/>
          <w:szCs w:val="24"/>
          <w:highlight w:val="none"/>
        </w:rPr>
        <w:t>3、投标人的投标总报价不得超过财政预算限额。</w:t>
      </w:r>
    </w:p>
    <w:p>
      <w:pPr>
        <w:spacing w:line="360" w:lineRule="auto"/>
        <w:ind w:firstLine="470" w:firstLineChars="196"/>
        <w:rPr>
          <w:rFonts w:ascii="宋体"/>
          <w:snapToGrid w:val="0"/>
          <w:color w:val="auto"/>
          <w:kern w:val="0"/>
          <w:sz w:val="24"/>
          <w:szCs w:val="24"/>
          <w:highlight w:val="none"/>
        </w:rPr>
      </w:pPr>
      <w:r>
        <w:rPr>
          <w:rFonts w:hint="eastAsia" w:ascii="宋体"/>
          <w:snapToGrid w:val="0"/>
          <w:color w:val="auto"/>
          <w:kern w:val="0"/>
          <w:sz w:val="24"/>
          <w:szCs w:val="24"/>
          <w:highlight w:val="none"/>
        </w:rPr>
        <w:t>4、中标单位与采购人签订</w:t>
      </w:r>
      <w:r>
        <w:rPr>
          <w:rFonts w:ascii="宋体"/>
          <w:snapToGrid w:val="0"/>
          <w:color w:val="auto"/>
          <w:kern w:val="0"/>
          <w:sz w:val="24"/>
          <w:szCs w:val="24"/>
          <w:highlight w:val="none"/>
        </w:rPr>
        <w:t>管理服务</w:t>
      </w:r>
      <w:r>
        <w:rPr>
          <w:rFonts w:hint="eastAsia" w:ascii="宋体"/>
          <w:snapToGrid w:val="0"/>
          <w:color w:val="auto"/>
          <w:kern w:val="0"/>
          <w:sz w:val="24"/>
          <w:szCs w:val="24"/>
          <w:highlight w:val="none"/>
        </w:rPr>
        <w:t>合同时需向采购人提交中标金额5%的</w:t>
      </w:r>
      <w:r>
        <w:rPr>
          <w:rFonts w:ascii="宋体"/>
          <w:snapToGrid w:val="0"/>
          <w:color w:val="auto"/>
          <w:kern w:val="0"/>
          <w:sz w:val="24"/>
          <w:szCs w:val="24"/>
          <w:highlight w:val="none"/>
        </w:rPr>
        <w:t>银行</w:t>
      </w:r>
      <w:r>
        <w:rPr>
          <w:rFonts w:hint="eastAsia" w:ascii="宋体"/>
          <w:snapToGrid w:val="0"/>
          <w:color w:val="auto"/>
          <w:kern w:val="0"/>
          <w:sz w:val="24"/>
          <w:szCs w:val="24"/>
          <w:highlight w:val="none"/>
        </w:rPr>
        <w:t>履约保</w:t>
      </w:r>
      <w:r>
        <w:rPr>
          <w:rFonts w:ascii="宋体"/>
          <w:snapToGrid w:val="0"/>
          <w:color w:val="auto"/>
          <w:kern w:val="0"/>
          <w:sz w:val="24"/>
          <w:szCs w:val="24"/>
          <w:highlight w:val="none"/>
        </w:rPr>
        <w:t>函</w:t>
      </w:r>
      <w:r>
        <w:rPr>
          <w:rFonts w:hint="eastAsia" w:ascii="宋体"/>
          <w:snapToGrid w:val="0"/>
          <w:color w:val="auto"/>
          <w:kern w:val="0"/>
          <w:sz w:val="24"/>
          <w:szCs w:val="24"/>
          <w:highlight w:val="none"/>
        </w:rPr>
        <w:t>。</w:t>
      </w:r>
    </w:p>
    <w:p>
      <w:pPr>
        <w:spacing w:line="360" w:lineRule="auto"/>
        <w:ind w:firstLine="470" w:firstLineChars="196"/>
        <w:rPr>
          <w:rFonts w:ascii="宋体"/>
          <w:snapToGrid w:val="0"/>
          <w:color w:val="auto"/>
          <w:kern w:val="0"/>
          <w:sz w:val="24"/>
          <w:szCs w:val="24"/>
          <w:highlight w:val="none"/>
        </w:rPr>
      </w:pPr>
      <w:r>
        <w:rPr>
          <w:rFonts w:hint="eastAsia" w:ascii="宋体"/>
          <w:snapToGrid w:val="0"/>
          <w:color w:val="auto"/>
          <w:kern w:val="0"/>
          <w:sz w:val="24"/>
          <w:szCs w:val="24"/>
          <w:highlight w:val="none"/>
        </w:rPr>
        <w:t>5、采购人有权对中标单位的工作质量进行考核，以保证奖罚分明。详细的内容在合同中明确。</w:t>
      </w:r>
    </w:p>
    <w:p>
      <w:pPr>
        <w:spacing w:line="360" w:lineRule="auto"/>
        <w:ind w:firstLine="470" w:firstLineChars="196"/>
        <w:rPr>
          <w:rFonts w:ascii="宋体"/>
          <w:snapToGrid w:val="0"/>
          <w:color w:val="auto"/>
          <w:kern w:val="0"/>
          <w:sz w:val="24"/>
          <w:szCs w:val="24"/>
          <w:highlight w:val="none"/>
        </w:rPr>
      </w:pPr>
      <w:r>
        <w:rPr>
          <w:rFonts w:hint="eastAsia" w:ascii="宋体"/>
          <w:snapToGrid w:val="0"/>
          <w:color w:val="auto"/>
          <w:kern w:val="0"/>
          <w:sz w:val="24"/>
          <w:szCs w:val="24"/>
          <w:highlight w:val="none"/>
        </w:rPr>
        <w:t>6、服务费用结算具体时间为：物业费每月预付80%，余款每个季度由采购人按照中标人承诺的服务目标及技术规程进行考核，如考核合格，采购人在下季度向中标人支付该季度服务费余款。如达不到要求按合同约定扣减。结算时中标人需要提供增值税发票。</w:t>
      </w:r>
    </w:p>
    <w:bookmarkEnd w:id="34"/>
    <w:bookmarkEnd w:id="35"/>
    <w:bookmarkEnd w:id="36"/>
    <w:bookmarkEnd w:id="37"/>
    <w:bookmarkEnd w:id="38"/>
    <w:bookmarkEnd w:id="39"/>
    <w:bookmarkEnd w:id="40"/>
    <w:bookmarkEnd w:id="41"/>
    <w:bookmarkEnd w:id="42"/>
    <w:bookmarkEnd w:id="43"/>
    <w:p>
      <w:pPr>
        <w:spacing w:line="360" w:lineRule="auto"/>
        <w:rPr>
          <w:rFonts w:ascii="宋体"/>
          <w:b/>
          <w:snapToGrid w:val="0"/>
          <w:color w:val="auto"/>
          <w:kern w:val="0"/>
          <w:sz w:val="30"/>
          <w:szCs w:val="30"/>
          <w:highlight w:val="none"/>
        </w:rPr>
      </w:pPr>
      <w:r>
        <w:rPr>
          <w:rFonts w:hint="eastAsia" w:ascii="宋体"/>
          <w:b/>
          <w:snapToGrid w:val="0"/>
          <w:color w:val="auto"/>
          <w:kern w:val="0"/>
          <w:sz w:val="30"/>
          <w:szCs w:val="30"/>
          <w:highlight w:val="none"/>
        </w:rPr>
        <w:t>四、注意事项</w:t>
      </w:r>
    </w:p>
    <w:p>
      <w:pPr>
        <w:pStyle w:val="8"/>
        <w:spacing w:line="360" w:lineRule="auto"/>
        <w:ind w:firstLine="480"/>
        <w:rPr>
          <w:rFonts w:ascii="宋体"/>
          <w:color w:val="auto"/>
          <w:szCs w:val="21"/>
          <w:highlight w:val="none"/>
        </w:rPr>
      </w:pPr>
      <w:r>
        <w:rPr>
          <w:rFonts w:hint="eastAsia" w:ascii="宋体"/>
          <w:color w:val="auto"/>
          <w:szCs w:val="21"/>
          <w:highlight w:val="none"/>
        </w:rPr>
        <w:t>1、</w:t>
      </w:r>
      <w:r>
        <w:rPr>
          <w:rFonts w:ascii="宋体"/>
          <w:color w:val="auto"/>
          <w:szCs w:val="21"/>
          <w:highlight w:val="none"/>
        </w:rPr>
        <w:t>中标人不得将项目非法分包或</w:t>
      </w:r>
      <w:r>
        <w:rPr>
          <w:rFonts w:hint="eastAsia" w:ascii="宋体"/>
          <w:color w:val="auto"/>
          <w:szCs w:val="21"/>
          <w:highlight w:val="none"/>
        </w:rPr>
        <w:t>整体</w:t>
      </w:r>
      <w:r>
        <w:rPr>
          <w:rFonts w:ascii="宋体"/>
          <w:color w:val="auto"/>
          <w:szCs w:val="21"/>
          <w:highlight w:val="none"/>
        </w:rPr>
        <w:t>转包给任何单位和个人。否则，采购单位有权即刻终止合同，并要求中标人赔偿相应损失。</w:t>
      </w:r>
    </w:p>
    <w:p>
      <w:pPr>
        <w:pStyle w:val="8"/>
        <w:spacing w:line="360" w:lineRule="auto"/>
        <w:ind w:firstLine="480"/>
        <w:rPr>
          <w:rFonts w:ascii="宋体"/>
          <w:color w:val="auto"/>
          <w:szCs w:val="21"/>
          <w:highlight w:val="none"/>
        </w:rPr>
      </w:pPr>
      <w:r>
        <w:rPr>
          <w:rFonts w:hint="eastAsia" w:ascii="宋体"/>
          <w:color w:val="auto"/>
          <w:szCs w:val="21"/>
          <w:highlight w:val="none"/>
        </w:rPr>
        <w:t>2、投标人若认为招标文件的技术要求或其他要求有倾向性或不公正性，可在招标答疑阶段提出，以维护招标行为的公平、公正。</w:t>
      </w:r>
    </w:p>
    <w:p>
      <w:pPr>
        <w:pStyle w:val="8"/>
        <w:spacing w:line="360" w:lineRule="auto"/>
        <w:ind w:firstLine="480"/>
        <w:rPr>
          <w:rFonts w:ascii="宋体"/>
          <w:color w:val="auto"/>
          <w:szCs w:val="21"/>
          <w:highlight w:val="none"/>
        </w:rPr>
      </w:pPr>
      <w:r>
        <w:rPr>
          <w:rFonts w:hint="eastAsia" w:ascii="宋体"/>
          <w:color w:val="auto"/>
          <w:szCs w:val="21"/>
          <w:highlight w:val="none"/>
        </w:rPr>
        <w:t>3、投标人使用的标准必须是国际公认或国家、或地方政府颁布的同等或更高的标准，如投标人使用的标准低于上述标准,评标委员会将有权不予接受，投标人必须列表将明显的差异详细说明。</w:t>
      </w:r>
    </w:p>
    <w:p>
      <w:pPr>
        <w:pStyle w:val="8"/>
        <w:spacing w:line="360" w:lineRule="auto"/>
        <w:ind w:firstLine="482"/>
        <w:rPr>
          <w:rFonts w:ascii="宋体"/>
          <w:b/>
          <w:color w:val="auto"/>
          <w:szCs w:val="21"/>
          <w:highlight w:val="none"/>
        </w:rPr>
      </w:pPr>
      <w:r>
        <w:rPr>
          <w:rFonts w:hint="eastAsia" w:ascii="宋体"/>
          <w:b/>
          <w:color w:val="auto"/>
          <w:szCs w:val="21"/>
          <w:highlight w:val="none"/>
        </w:rPr>
        <w:t>4、如投标人提交伪造资质证书、合同文件，一经发现按有关规定进行处罚,没收投标保证金、通报批评，并在宁波市政府采购网上公布。</w:t>
      </w:r>
    </w:p>
    <w:p>
      <w:pPr>
        <w:spacing w:line="360" w:lineRule="auto"/>
        <w:ind w:firstLine="480" w:firstLineChars="200"/>
        <w:jc w:val="left"/>
        <w:rPr>
          <w:rFonts w:hint="eastAsia" w:ascii="宋体"/>
          <w:color w:val="auto"/>
          <w:kern w:val="0"/>
          <w:sz w:val="24"/>
          <w:szCs w:val="21"/>
          <w:highlight w:val="none"/>
        </w:rPr>
      </w:pPr>
      <w:r>
        <w:rPr>
          <w:rFonts w:hint="eastAsia" w:ascii="宋体"/>
          <w:color w:val="auto"/>
          <w:kern w:val="0"/>
          <w:sz w:val="24"/>
          <w:szCs w:val="21"/>
          <w:highlight w:val="none"/>
        </w:rPr>
        <w:t>5、违反招标文件规定及在投标过程中违法违纪，或以任何形式采取不正当竞争手段的，一经查实，由招标单位按规定给予处罚，取消本次投标资格，已经中标的终止委托管理合同，一切后果由责任者自负。</w:t>
      </w:r>
    </w:p>
    <w:p>
      <w:pPr>
        <w:spacing w:line="360" w:lineRule="auto"/>
        <w:ind w:firstLine="480" w:firstLineChars="200"/>
        <w:jc w:val="left"/>
        <w:rPr>
          <w:rFonts w:hint="eastAsia" w:ascii="宋体"/>
          <w:color w:val="auto"/>
          <w:kern w:val="0"/>
          <w:sz w:val="24"/>
          <w:szCs w:val="21"/>
          <w:highlight w:val="none"/>
        </w:rPr>
      </w:pPr>
    </w:p>
    <w:p>
      <w:pPr>
        <w:spacing w:line="360" w:lineRule="auto"/>
        <w:ind w:firstLine="480" w:firstLineChars="200"/>
        <w:jc w:val="left"/>
        <w:rPr>
          <w:rFonts w:hint="eastAsia" w:ascii="宋体"/>
          <w:color w:val="auto"/>
          <w:kern w:val="0"/>
          <w:sz w:val="24"/>
          <w:szCs w:val="21"/>
          <w:highlight w:val="none"/>
        </w:rPr>
      </w:pPr>
    </w:p>
    <w:p>
      <w:pPr>
        <w:spacing w:line="360" w:lineRule="auto"/>
        <w:ind w:firstLine="480" w:firstLineChars="200"/>
        <w:jc w:val="left"/>
        <w:rPr>
          <w:rFonts w:hint="eastAsia" w:ascii="宋体"/>
          <w:color w:val="auto"/>
          <w:kern w:val="0"/>
          <w:sz w:val="24"/>
          <w:szCs w:val="21"/>
          <w:highlight w:val="none"/>
        </w:rPr>
      </w:pPr>
    </w:p>
    <w:p>
      <w:pPr>
        <w:spacing w:line="430" w:lineRule="exact"/>
        <w:rPr>
          <w:rFonts w:ascii="黑体" w:eastAsia="黑体" w:cs="宋体"/>
          <w:b/>
          <w:color w:val="auto"/>
          <w:sz w:val="32"/>
          <w:szCs w:val="32"/>
          <w:highlight w:val="none"/>
        </w:rPr>
      </w:pPr>
      <w:r>
        <w:rPr>
          <w:rFonts w:hint="eastAsia" w:ascii="黑体" w:eastAsia="黑体" w:cs="宋体"/>
          <w:b/>
          <w:color w:val="auto"/>
          <w:sz w:val="32"/>
          <w:szCs w:val="32"/>
          <w:highlight w:val="none"/>
        </w:rPr>
        <w:t xml:space="preserve">附件一 </w:t>
      </w:r>
    </w:p>
    <w:p>
      <w:pPr>
        <w:spacing w:line="43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管理服务考核办法</w:t>
      </w:r>
    </w:p>
    <w:p>
      <w:pPr>
        <w:widowControl/>
        <w:tabs>
          <w:tab w:val="left" w:pos="0"/>
        </w:tabs>
        <w:spacing w:before="150" w:after="150"/>
        <w:rPr>
          <w:rFonts w:ascii="宋体" w:cs="宋体"/>
          <w:b/>
          <w:color w:val="auto"/>
          <w:sz w:val="24"/>
          <w:highlight w:val="none"/>
        </w:rPr>
      </w:pPr>
      <w:r>
        <w:rPr>
          <w:rFonts w:hint="eastAsia" w:ascii="宋体" w:cs="宋体"/>
          <w:b/>
          <w:color w:val="auto"/>
          <w:sz w:val="24"/>
          <w:highlight w:val="none"/>
        </w:rPr>
        <w:t>月考核细则</w:t>
      </w:r>
    </w:p>
    <w:p>
      <w:pPr>
        <w:widowControl/>
        <w:spacing w:before="150" w:after="150"/>
        <w:rPr>
          <w:color w:val="auto"/>
          <w:highlight w:val="none"/>
        </w:rPr>
      </w:pPr>
      <w:r>
        <w:rPr>
          <w:rFonts w:hint="eastAsia" w:ascii="宋体" w:cs="宋体"/>
          <w:b/>
          <w:color w:val="auto"/>
          <w:sz w:val="24"/>
          <w:highlight w:val="none"/>
        </w:rPr>
        <w:t>1.综合监管月考核细则</w:t>
      </w:r>
    </w:p>
    <w:tbl>
      <w:tblPr>
        <w:tblStyle w:val="20"/>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34"/>
        <w:gridCol w:w="4517"/>
        <w:gridCol w:w="1026"/>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jc w:val="center"/>
        </w:trPr>
        <w:tc>
          <w:tcPr>
            <w:tcW w:w="671" w:type="dxa"/>
            <w:shd w:val="clear" w:color="auto" w:fill="auto"/>
            <w:noWrap w:val="0"/>
            <w:vAlign w:val="center"/>
          </w:tcPr>
          <w:p>
            <w:pPr>
              <w:jc w:val="center"/>
              <w:rPr>
                <w:rFonts w:ascii="宋体" w:cs="宋体"/>
                <w:color w:val="auto"/>
                <w:spacing w:val="-20"/>
                <w:szCs w:val="21"/>
                <w:highlight w:val="none"/>
              </w:rPr>
            </w:pPr>
            <w:r>
              <w:rPr>
                <w:rFonts w:hint="eastAsia" w:ascii="宋体" w:cs="宋体"/>
                <w:color w:val="auto"/>
                <w:spacing w:val="-20"/>
                <w:szCs w:val="21"/>
                <w:highlight w:val="none"/>
              </w:rPr>
              <w:t>序号</w:t>
            </w:r>
          </w:p>
        </w:tc>
        <w:tc>
          <w:tcPr>
            <w:tcW w:w="1134" w:type="dxa"/>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考核项目</w:t>
            </w:r>
          </w:p>
        </w:tc>
        <w:tc>
          <w:tcPr>
            <w:tcW w:w="4517"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考核标准</w:t>
            </w:r>
          </w:p>
        </w:tc>
        <w:tc>
          <w:tcPr>
            <w:tcW w:w="1026"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标准分</w:t>
            </w:r>
          </w:p>
        </w:tc>
        <w:tc>
          <w:tcPr>
            <w:tcW w:w="2016"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71" w:type="dxa"/>
            <w:vMerge w:val="restart"/>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1</w:t>
            </w:r>
          </w:p>
        </w:tc>
        <w:tc>
          <w:tcPr>
            <w:tcW w:w="1134" w:type="dxa"/>
            <w:vMerge w:val="restart"/>
            <w:shd w:val="clear" w:color="auto" w:fill="auto"/>
            <w:noWrap w:val="0"/>
            <w:vAlign w:val="center"/>
          </w:tcPr>
          <w:p>
            <w:pPr>
              <w:rPr>
                <w:rFonts w:ascii="宋体" w:cs="宋体"/>
                <w:color w:val="auto"/>
                <w:szCs w:val="21"/>
                <w:highlight w:val="none"/>
              </w:rPr>
            </w:pPr>
            <w:r>
              <w:rPr>
                <w:rFonts w:hint="eastAsia" w:ascii="宋体" w:cs="宋体"/>
                <w:color w:val="auto"/>
                <w:szCs w:val="21"/>
                <w:highlight w:val="none"/>
              </w:rPr>
              <w:t>品质</w:t>
            </w:r>
            <w:r>
              <w:rPr>
                <w:rFonts w:ascii="宋体" w:cs="宋体"/>
                <w:color w:val="auto"/>
                <w:szCs w:val="21"/>
                <w:highlight w:val="none"/>
              </w:rPr>
              <w:t>服务</w:t>
            </w:r>
          </w:p>
        </w:tc>
        <w:tc>
          <w:tcPr>
            <w:tcW w:w="4517" w:type="dxa"/>
            <w:shd w:val="clear" w:color="000000" w:fill="FFFFFF"/>
            <w:noWrap w:val="0"/>
            <w:vAlign w:val="center"/>
          </w:tcPr>
          <w:p>
            <w:pPr>
              <w:jc w:val="left"/>
              <w:rPr>
                <w:rFonts w:ascii="宋体" w:cs="宋体"/>
                <w:color w:val="auto"/>
                <w:szCs w:val="21"/>
                <w:highlight w:val="none"/>
              </w:rPr>
            </w:pPr>
            <w:r>
              <w:rPr>
                <w:rFonts w:hint="eastAsia" w:ascii="宋体"/>
                <w:color w:val="auto"/>
                <w:szCs w:val="21"/>
                <w:highlight w:val="none"/>
              </w:rPr>
              <w:t>落实各级政府发布的物业后勤服务相关的通知要求</w:t>
            </w:r>
          </w:p>
        </w:tc>
        <w:tc>
          <w:tcPr>
            <w:tcW w:w="1026" w:type="dxa"/>
            <w:vMerge w:val="restart"/>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20分</w:t>
            </w:r>
          </w:p>
        </w:tc>
        <w:tc>
          <w:tcPr>
            <w:tcW w:w="2016"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不达标1项扣2-5分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按服务标准，建立质量记录表单，规范记录</w:t>
            </w:r>
          </w:p>
        </w:tc>
        <w:tc>
          <w:tcPr>
            <w:tcW w:w="1026" w:type="dxa"/>
            <w:vMerge w:val="continue"/>
            <w:shd w:val="clear" w:color="auto" w:fill="auto"/>
            <w:noWrap w:val="0"/>
            <w:vAlign w:val="center"/>
          </w:tcPr>
          <w:p>
            <w:pPr>
              <w:rPr>
                <w:color w:val="auto"/>
                <w:highlight w:val="none"/>
              </w:rPr>
            </w:pPr>
          </w:p>
        </w:tc>
        <w:tc>
          <w:tcPr>
            <w:tcW w:w="2016" w:type="dxa"/>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不达标1项扣2-5分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做好日常及节前安全检查，节前检查情况及时上报</w:t>
            </w:r>
          </w:p>
        </w:tc>
        <w:tc>
          <w:tcPr>
            <w:tcW w:w="1026" w:type="dxa"/>
            <w:vMerge w:val="continue"/>
            <w:shd w:val="clear" w:color="auto" w:fill="auto"/>
            <w:noWrap w:val="0"/>
            <w:vAlign w:val="center"/>
          </w:tcPr>
          <w:p>
            <w:pPr>
              <w:rPr>
                <w:color w:val="auto"/>
                <w:highlight w:val="none"/>
              </w:rPr>
            </w:pPr>
          </w:p>
        </w:tc>
        <w:tc>
          <w:tcPr>
            <w:tcW w:w="2016" w:type="dxa"/>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不达标1项扣2-5分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每月2次品质检查，发现问题及时制定整改措施，记录归档并上报</w:t>
            </w:r>
          </w:p>
        </w:tc>
        <w:tc>
          <w:tcPr>
            <w:tcW w:w="1026" w:type="dxa"/>
            <w:vMerge w:val="continue"/>
            <w:shd w:val="clear" w:color="auto" w:fill="auto"/>
            <w:noWrap w:val="0"/>
            <w:vAlign w:val="center"/>
          </w:tcPr>
          <w:p>
            <w:pPr>
              <w:rPr>
                <w:color w:val="auto"/>
                <w:highlight w:val="none"/>
              </w:rPr>
            </w:pPr>
          </w:p>
        </w:tc>
        <w:tc>
          <w:tcPr>
            <w:tcW w:w="2016" w:type="dxa"/>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不达标1项扣2-5分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检查整改措施的落实情况，并记录备案</w:t>
            </w:r>
          </w:p>
        </w:tc>
        <w:tc>
          <w:tcPr>
            <w:tcW w:w="1026" w:type="dxa"/>
            <w:vMerge w:val="continue"/>
            <w:shd w:val="clear" w:color="auto" w:fill="auto"/>
            <w:noWrap w:val="0"/>
            <w:vAlign w:val="center"/>
          </w:tcPr>
          <w:p>
            <w:pPr>
              <w:rPr>
                <w:color w:val="auto"/>
                <w:highlight w:val="none"/>
              </w:rPr>
            </w:pPr>
          </w:p>
        </w:tc>
        <w:tc>
          <w:tcPr>
            <w:tcW w:w="2016" w:type="dxa"/>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不达标1项扣2-5分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定期组织质量管理培训</w:t>
            </w:r>
          </w:p>
        </w:tc>
        <w:tc>
          <w:tcPr>
            <w:tcW w:w="1026" w:type="dxa"/>
            <w:vMerge w:val="continue"/>
            <w:shd w:val="clear" w:color="auto" w:fill="auto"/>
            <w:noWrap w:val="0"/>
            <w:vAlign w:val="center"/>
          </w:tcPr>
          <w:p>
            <w:pPr>
              <w:rPr>
                <w:color w:val="auto"/>
                <w:highlight w:val="none"/>
              </w:rPr>
            </w:pPr>
          </w:p>
        </w:tc>
        <w:tc>
          <w:tcPr>
            <w:tcW w:w="2016" w:type="dxa"/>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不达标1项扣2-5分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月底召开质量问题分析会议，研究提高服务质量方法，解决存在的问题，并上报整改情况</w:t>
            </w:r>
          </w:p>
        </w:tc>
        <w:tc>
          <w:tcPr>
            <w:tcW w:w="1026" w:type="dxa"/>
            <w:vMerge w:val="continue"/>
            <w:shd w:val="clear" w:color="auto" w:fill="auto"/>
            <w:noWrap w:val="0"/>
            <w:vAlign w:val="center"/>
          </w:tcPr>
          <w:p>
            <w:pPr>
              <w:rPr>
                <w:color w:val="auto"/>
                <w:highlight w:val="none"/>
              </w:rPr>
            </w:pPr>
          </w:p>
        </w:tc>
        <w:tc>
          <w:tcPr>
            <w:tcW w:w="2016" w:type="dxa"/>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不达标1项扣2-5分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71" w:type="dxa"/>
            <w:vMerge w:val="restart"/>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2</w:t>
            </w:r>
          </w:p>
        </w:tc>
        <w:tc>
          <w:tcPr>
            <w:tcW w:w="1134" w:type="dxa"/>
            <w:vMerge w:val="restart"/>
            <w:shd w:val="clear" w:color="auto" w:fill="auto"/>
            <w:noWrap w:val="0"/>
            <w:vAlign w:val="center"/>
          </w:tcPr>
          <w:p>
            <w:pPr>
              <w:rPr>
                <w:rFonts w:ascii="宋体" w:cs="宋体"/>
                <w:color w:val="auto"/>
                <w:szCs w:val="21"/>
                <w:highlight w:val="none"/>
              </w:rPr>
            </w:pPr>
            <w:r>
              <w:rPr>
                <w:rFonts w:hint="eastAsia" w:ascii="宋体" w:cs="宋体"/>
                <w:color w:val="auto"/>
                <w:szCs w:val="21"/>
                <w:highlight w:val="none"/>
              </w:rPr>
              <w:t>人</w:t>
            </w:r>
            <w:r>
              <w:rPr>
                <w:rFonts w:ascii="宋体" w:cs="宋体"/>
                <w:color w:val="auto"/>
                <w:szCs w:val="21"/>
                <w:highlight w:val="none"/>
              </w:rPr>
              <w:t>事管理</w:t>
            </w:r>
          </w:p>
        </w:tc>
        <w:tc>
          <w:tcPr>
            <w:tcW w:w="4517"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员工具有强烈的工作责任心，严禁人浮于事或弄虚作假，不得有违法、违纪、违规现象</w:t>
            </w:r>
          </w:p>
        </w:tc>
        <w:tc>
          <w:tcPr>
            <w:tcW w:w="1026" w:type="dxa"/>
            <w:vMerge w:val="restart"/>
            <w:shd w:val="clear" w:color="auto" w:fill="auto"/>
            <w:noWrap w:val="0"/>
            <w:vAlign w:val="center"/>
          </w:tcPr>
          <w:p>
            <w:pPr>
              <w:jc w:val="center"/>
              <w:rPr>
                <w:color w:val="auto"/>
                <w:highlight w:val="none"/>
              </w:rPr>
            </w:pPr>
            <w:r>
              <w:rPr>
                <w:rFonts w:ascii="宋体" w:cs="宋体"/>
                <w:color w:val="auto"/>
                <w:szCs w:val="21"/>
                <w:highlight w:val="none"/>
              </w:rPr>
              <w:t>15</w:t>
            </w:r>
            <w:r>
              <w:rPr>
                <w:rFonts w:hint="eastAsia" w:ascii="宋体" w:cs="宋体"/>
                <w:color w:val="auto"/>
                <w:szCs w:val="21"/>
                <w:highlight w:val="none"/>
              </w:rPr>
              <w:t>分</w:t>
            </w:r>
          </w:p>
          <w:p>
            <w:pPr>
              <w:jc w:val="center"/>
              <w:rPr>
                <w:rFonts w:ascii="宋体" w:cs="宋体"/>
                <w:color w:val="auto"/>
                <w:szCs w:val="21"/>
                <w:highlight w:val="none"/>
              </w:rPr>
            </w:pPr>
          </w:p>
        </w:tc>
        <w:tc>
          <w:tcPr>
            <w:tcW w:w="2016"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根据人员流动实际，及时做好招聘、人员入职引导，并在规定期限内办理员工劳动合同签订、续订、变更、终止、解除工作</w:t>
            </w:r>
          </w:p>
        </w:tc>
        <w:tc>
          <w:tcPr>
            <w:tcW w:w="1026" w:type="dxa"/>
            <w:vMerge w:val="continue"/>
            <w:shd w:val="clear" w:color="auto" w:fill="auto"/>
            <w:noWrap w:val="0"/>
            <w:vAlign w:val="center"/>
          </w:tcPr>
          <w:p>
            <w:pPr>
              <w:rPr>
                <w:color w:val="auto"/>
                <w:highlight w:val="none"/>
              </w:rPr>
            </w:pPr>
          </w:p>
        </w:tc>
        <w:tc>
          <w:tcPr>
            <w:tcW w:w="2016"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jc w:val="center"/>
              <w:rPr>
                <w:rFonts w:hint="eastAsia" w:ascii="宋体" w:eastAsia="宋体" w:cs="宋体"/>
                <w:color w:val="auto"/>
                <w:szCs w:val="21"/>
                <w:highlight w:val="none"/>
              </w:rPr>
            </w:pPr>
            <w:r>
              <w:rPr>
                <w:rFonts w:hint="eastAsia" w:ascii="宋体" w:eastAsia="宋体" w:cs="宋体"/>
                <w:color w:val="auto"/>
                <w:szCs w:val="21"/>
                <w:highlight w:val="none"/>
              </w:rPr>
              <w:t>入职人员均符合岗位素质要求、年龄要求</w:t>
            </w:r>
          </w:p>
        </w:tc>
        <w:tc>
          <w:tcPr>
            <w:tcW w:w="1026" w:type="dxa"/>
            <w:vMerge w:val="continue"/>
            <w:shd w:val="clear" w:color="auto" w:fill="auto"/>
            <w:noWrap w:val="0"/>
            <w:vAlign w:val="center"/>
          </w:tcPr>
          <w:p>
            <w:pPr>
              <w:rPr>
                <w:color w:val="auto"/>
                <w:highlight w:val="none"/>
              </w:rPr>
            </w:pPr>
          </w:p>
        </w:tc>
        <w:tc>
          <w:tcPr>
            <w:tcW w:w="2016"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不达标1项扣</w:t>
            </w:r>
            <w:r>
              <w:rPr>
                <w:rFonts w:hint="eastAsia" w:ascii="宋体" w:cs="宋体"/>
                <w:color w:val="auto"/>
                <w:szCs w:val="21"/>
                <w:highlight w:val="none"/>
                <w:lang w:val="en-US" w:eastAsia="zh-CN"/>
              </w:rPr>
              <w:t>2</w:t>
            </w:r>
            <w:r>
              <w:rPr>
                <w:rFonts w:hint="eastAsia" w:asci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按时上报人员考勤表及排班表</w:t>
            </w:r>
            <w:r>
              <w:rPr>
                <w:rFonts w:hint="eastAsia" w:ascii="宋体" w:eastAsia="宋体" w:cs="宋体"/>
                <w:color w:val="auto"/>
                <w:szCs w:val="21"/>
                <w:highlight w:val="none"/>
              </w:rPr>
              <w:t>，</w:t>
            </w:r>
            <w:r>
              <w:rPr>
                <w:rFonts w:hint="eastAsia" w:ascii="宋体" w:cs="宋体"/>
                <w:color w:val="auto"/>
                <w:szCs w:val="21"/>
                <w:highlight w:val="none"/>
              </w:rPr>
              <w:t>按排班表确保相应人员在岗在位</w:t>
            </w:r>
          </w:p>
        </w:tc>
        <w:tc>
          <w:tcPr>
            <w:tcW w:w="1026" w:type="dxa"/>
            <w:vMerge w:val="continue"/>
            <w:shd w:val="clear" w:color="auto" w:fill="auto"/>
            <w:noWrap w:val="0"/>
            <w:vAlign w:val="center"/>
          </w:tcPr>
          <w:p>
            <w:pPr>
              <w:rPr>
                <w:color w:val="auto"/>
                <w:highlight w:val="none"/>
              </w:rPr>
            </w:pPr>
          </w:p>
        </w:tc>
        <w:tc>
          <w:tcPr>
            <w:tcW w:w="2016"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员工必须服从合理的工作分配</w:t>
            </w:r>
          </w:p>
        </w:tc>
        <w:tc>
          <w:tcPr>
            <w:tcW w:w="1026" w:type="dxa"/>
            <w:vMerge w:val="continue"/>
            <w:shd w:val="clear" w:color="auto" w:fill="auto"/>
            <w:noWrap w:val="0"/>
            <w:vAlign w:val="center"/>
          </w:tcPr>
          <w:p>
            <w:pPr>
              <w:rPr>
                <w:color w:val="auto"/>
                <w:highlight w:val="none"/>
              </w:rPr>
            </w:pPr>
          </w:p>
        </w:tc>
        <w:tc>
          <w:tcPr>
            <w:tcW w:w="2016"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按规定进行人事管理，人员变动及时上报</w:t>
            </w:r>
          </w:p>
        </w:tc>
        <w:tc>
          <w:tcPr>
            <w:tcW w:w="1026" w:type="dxa"/>
            <w:vMerge w:val="continue"/>
            <w:shd w:val="clear" w:color="auto" w:fill="auto"/>
            <w:noWrap w:val="0"/>
            <w:vAlign w:val="center"/>
          </w:tcPr>
          <w:p>
            <w:pPr>
              <w:rPr>
                <w:color w:val="auto"/>
                <w:highlight w:val="none"/>
              </w:rPr>
            </w:pPr>
          </w:p>
        </w:tc>
        <w:tc>
          <w:tcPr>
            <w:tcW w:w="2016"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确保队伍稳定，减少人员流动</w:t>
            </w:r>
          </w:p>
        </w:tc>
        <w:tc>
          <w:tcPr>
            <w:tcW w:w="1026" w:type="dxa"/>
            <w:vMerge w:val="continue"/>
            <w:shd w:val="clear" w:color="auto" w:fill="auto"/>
            <w:noWrap w:val="0"/>
            <w:vAlign w:val="center"/>
          </w:tcPr>
          <w:p>
            <w:pPr>
              <w:rPr>
                <w:color w:val="auto"/>
                <w:highlight w:val="none"/>
              </w:rPr>
            </w:pPr>
          </w:p>
        </w:tc>
        <w:tc>
          <w:tcPr>
            <w:tcW w:w="2016"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Merge w:val="restart"/>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3</w:t>
            </w:r>
          </w:p>
        </w:tc>
        <w:tc>
          <w:tcPr>
            <w:tcW w:w="1134" w:type="dxa"/>
            <w:vMerge w:val="restart"/>
            <w:shd w:val="clear" w:color="auto" w:fill="auto"/>
            <w:noWrap w:val="0"/>
            <w:vAlign w:val="center"/>
          </w:tcPr>
          <w:p>
            <w:pPr>
              <w:rPr>
                <w:rFonts w:ascii="宋体" w:cs="宋体"/>
                <w:color w:val="auto"/>
                <w:szCs w:val="21"/>
                <w:highlight w:val="none"/>
              </w:rPr>
            </w:pPr>
            <w:r>
              <w:rPr>
                <w:rFonts w:ascii="宋体" w:cs="宋体"/>
                <w:color w:val="auto"/>
                <w:szCs w:val="21"/>
                <w:highlight w:val="none"/>
              </w:rPr>
              <w:t>行政管理</w:t>
            </w:r>
          </w:p>
        </w:tc>
        <w:tc>
          <w:tcPr>
            <w:tcW w:w="4517"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对外协调，落实反馈，快速有效完成任务</w:t>
            </w:r>
          </w:p>
        </w:tc>
        <w:tc>
          <w:tcPr>
            <w:tcW w:w="1026" w:type="dxa"/>
            <w:vMerge w:val="restart"/>
            <w:shd w:val="clear" w:color="000000" w:fill="FFFFFF"/>
            <w:noWrap w:val="0"/>
            <w:vAlign w:val="center"/>
          </w:tcPr>
          <w:p>
            <w:pPr>
              <w:jc w:val="center"/>
              <w:rPr>
                <w:rFonts w:ascii="宋体" w:cs="宋体"/>
                <w:color w:val="auto"/>
                <w:szCs w:val="21"/>
                <w:highlight w:val="none"/>
              </w:rPr>
            </w:pPr>
            <w:r>
              <w:rPr>
                <w:rFonts w:ascii="宋体" w:cs="宋体"/>
                <w:color w:val="auto"/>
                <w:szCs w:val="21"/>
                <w:highlight w:val="none"/>
              </w:rPr>
              <w:t>15</w:t>
            </w:r>
            <w:r>
              <w:rPr>
                <w:rFonts w:hint="eastAsia" w:ascii="宋体" w:cs="宋体"/>
                <w:color w:val="auto"/>
                <w:szCs w:val="21"/>
                <w:highlight w:val="none"/>
              </w:rPr>
              <w:t>分</w:t>
            </w:r>
          </w:p>
        </w:tc>
        <w:tc>
          <w:tcPr>
            <w:tcW w:w="2016"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所有人员必须严守制度和行为准则，不得有违法、违纪、违规现象</w:t>
            </w:r>
          </w:p>
        </w:tc>
        <w:tc>
          <w:tcPr>
            <w:tcW w:w="1026" w:type="dxa"/>
            <w:vMerge w:val="continue"/>
            <w:shd w:val="clear" w:color="000000" w:fill="FFFFFF"/>
            <w:noWrap w:val="0"/>
            <w:vAlign w:val="center"/>
          </w:tcPr>
          <w:p>
            <w:pPr>
              <w:rPr>
                <w:color w:val="auto"/>
                <w:highlight w:val="none"/>
              </w:rPr>
            </w:pPr>
          </w:p>
        </w:tc>
        <w:tc>
          <w:tcPr>
            <w:tcW w:w="2016"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所有工作人员按规定着装，注重仪容仪表，做到服装整洁，佩戴统一工作牌</w:t>
            </w:r>
          </w:p>
        </w:tc>
        <w:tc>
          <w:tcPr>
            <w:tcW w:w="1026" w:type="dxa"/>
            <w:vMerge w:val="continue"/>
            <w:shd w:val="clear" w:color="000000" w:fill="FFFFFF"/>
            <w:noWrap w:val="0"/>
            <w:vAlign w:val="center"/>
          </w:tcPr>
          <w:p>
            <w:pPr>
              <w:rPr>
                <w:color w:val="auto"/>
                <w:highlight w:val="none"/>
              </w:rPr>
            </w:pPr>
          </w:p>
        </w:tc>
        <w:tc>
          <w:tcPr>
            <w:tcW w:w="2016"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注重服务态度，服务人员仪态端庄、文明礼貌、微笑热情、耐心细致</w:t>
            </w:r>
          </w:p>
        </w:tc>
        <w:tc>
          <w:tcPr>
            <w:tcW w:w="1026" w:type="dxa"/>
            <w:vMerge w:val="continue"/>
            <w:shd w:val="clear" w:color="000000" w:fill="FFFFFF"/>
            <w:noWrap w:val="0"/>
            <w:vAlign w:val="center"/>
          </w:tcPr>
          <w:p>
            <w:pPr>
              <w:rPr>
                <w:color w:val="auto"/>
                <w:highlight w:val="none"/>
              </w:rPr>
            </w:pPr>
          </w:p>
        </w:tc>
        <w:tc>
          <w:tcPr>
            <w:tcW w:w="2016"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正确理解领导意图，做好承上启下工作</w:t>
            </w:r>
          </w:p>
        </w:tc>
        <w:tc>
          <w:tcPr>
            <w:tcW w:w="1026" w:type="dxa"/>
            <w:vMerge w:val="continue"/>
            <w:shd w:val="clear" w:color="000000" w:fill="FFFFFF"/>
            <w:noWrap w:val="0"/>
            <w:vAlign w:val="center"/>
          </w:tcPr>
          <w:p>
            <w:pPr>
              <w:rPr>
                <w:color w:val="auto"/>
                <w:highlight w:val="none"/>
              </w:rPr>
            </w:pPr>
          </w:p>
        </w:tc>
        <w:tc>
          <w:tcPr>
            <w:tcW w:w="2016"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按时提交月工作总结及计划</w:t>
            </w:r>
          </w:p>
        </w:tc>
        <w:tc>
          <w:tcPr>
            <w:tcW w:w="1026" w:type="dxa"/>
            <w:vMerge w:val="continue"/>
            <w:shd w:val="clear" w:color="auto" w:fill="auto"/>
            <w:noWrap w:val="0"/>
            <w:vAlign w:val="center"/>
          </w:tcPr>
          <w:p>
            <w:pPr>
              <w:rPr>
                <w:color w:val="auto"/>
                <w:highlight w:val="none"/>
              </w:rPr>
            </w:pPr>
          </w:p>
        </w:tc>
        <w:tc>
          <w:tcPr>
            <w:tcW w:w="2016"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按时召开周例会，做好会议记录并上传物业管理软件</w:t>
            </w:r>
          </w:p>
        </w:tc>
        <w:tc>
          <w:tcPr>
            <w:tcW w:w="1026" w:type="dxa"/>
            <w:vMerge w:val="continue"/>
            <w:shd w:val="clear" w:color="auto" w:fill="auto"/>
            <w:noWrap w:val="0"/>
            <w:vAlign w:val="center"/>
          </w:tcPr>
          <w:p>
            <w:pPr>
              <w:rPr>
                <w:color w:val="auto"/>
                <w:highlight w:val="none"/>
              </w:rPr>
            </w:pPr>
          </w:p>
        </w:tc>
        <w:tc>
          <w:tcPr>
            <w:tcW w:w="2016"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制定季度培训计划并按时实施，培训实施率达100%</w:t>
            </w:r>
          </w:p>
        </w:tc>
        <w:tc>
          <w:tcPr>
            <w:tcW w:w="1026" w:type="dxa"/>
            <w:vMerge w:val="continue"/>
            <w:shd w:val="clear" w:color="auto" w:fill="auto"/>
            <w:noWrap w:val="0"/>
            <w:vAlign w:val="center"/>
          </w:tcPr>
          <w:p>
            <w:pPr>
              <w:rPr>
                <w:color w:val="auto"/>
                <w:highlight w:val="none"/>
              </w:rPr>
            </w:pPr>
          </w:p>
        </w:tc>
        <w:tc>
          <w:tcPr>
            <w:tcW w:w="2016"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针对机关季度考核意见，及时进行分类、整改并反馈</w:t>
            </w:r>
          </w:p>
        </w:tc>
        <w:tc>
          <w:tcPr>
            <w:tcW w:w="1026" w:type="dxa"/>
            <w:vMerge w:val="continue"/>
            <w:shd w:val="clear" w:color="auto" w:fill="auto"/>
            <w:noWrap w:val="0"/>
            <w:vAlign w:val="center"/>
          </w:tcPr>
          <w:p>
            <w:pPr>
              <w:rPr>
                <w:color w:val="auto"/>
                <w:highlight w:val="none"/>
              </w:rPr>
            </w:pPr>
          </w:p>
        </w:tc>
        <w:tc>
          <w:tcPr>
            <w:tcW w:w="2016"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定时对固定资产进行帐实核对</w:t>
            </w:r>
          </w:p>
        </w:tc>
        <w:tc>
          <w:tcPr>
            <w:tcW w:w="1026" w:type="dxa"/>
            <w:vMerge w:val="continue"/>
            <w:shd w:val="clear" w:color="auto" w:fill="auto"/>
            <w:noWrap w:val="0"/>
            <w:vAlign w:val="center"/>
          </w:tcPr>
          <w:p>
            <w:pPr>
              <w:rPr>
                <w:color w:val="auto"/>
                <w:highlight w:val="none"/>
              </w:rPr>
            </w:pPr>
          </w:p>
        </w:tc>
        <w:tc>
          <w:tcPr>
            <w:tcW w:w="2016"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按管理目标，组织人员实施创优工作并达标</w:t>
            </w:r>
          </w:p>
        </w:tc>
        <w:tc>
          <w:tcPr>
            <w:tcW w:w="1026" w:type="dxa"/>
            <w:vMerge w:val="continue"/>
            <w:shd w:val="clear" w:color="auto" w:fill="auto"/>
            <w:noWrap w:val="0"/>
            <w:vAlign w:val="center"/>
          </w:tcPr>
          <w:p>
            <w:pPr>
              <w:rPr>
                <w:color w:val="auto"/>
                <w:highlight w:val="none"/>
              </w:rPr>
            </w:pPr>
          </w:p>
        </w:tc>
        <w:tc>
          <w:tcPr>
            <w:tcW w:w="2016"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71" w:type="dxa"/>
            <w:vMerge w:val="restart"/>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4</w:t>
            </w:r>
          </w:p>
        </w:tc>
        <w:tc>
          <w:tcPr>
            <w:tcW w:w="1134" w:type="dxa"/>
            <w:vMerge w:val="restart"/>
            <w:shd w:val="clear" w:color="auto" w:fill="auto"/>
            <w:noWrap w:val="0"/>
            <w:vAlign w:val="center"/>
          </w:tcPr>
          <w:p>
            <w:pPr>
              <w:rPr>
                <w:rFonts w:ascii="宋体" w:cs="宋体"/>
                <w:color w:val="auto"/>
                <w:szCs w:val="21"/>
                <w:highlight w:val="none"/>
              </w:rPr>
            </w:pPr>
            <w:r>
              <w:rPr>
                <w:rFonts w:hint="eastAsia" w:ascii="宋体" w:cs="宋体"/>
                <w:color w:val="auto"/>
                <w:szCs w:val="21"/>
                <w:highlight w:val="none"/>
              </w:rPr>
              <w:t>档案</w:t>
            </w:r>
            <w:r>
              <w:rPr>
                <w:rFonts w:ascii="宋体" w:cs="宋体"/>
                <w:color w:val="auto"/>
                <w:szCs w:val="21"/>
                <w:highlight w:val="none"/>
              </w:rPr>
              <w:t>管理</w:t>
            </w:r>
          </w:p>
        </w:tc>
        <w:tc>
          <w:tcPr>
            <w:tcW w:w="4517"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严格执行档案管理制度，具有良好的职业道德和业务素质</w:t>
            </w:r>
          </w:p>
        </w:tc>
        <w:tc>
          <w:tcPr>
            <w:tcW w:w="1026" w:type="dxa"/>
            <w:vMerge w:val="restart"/>
            <w:shd w:val="clear" w:color="000000" w:fill="FFFFFF"/>
            <w:noWrap w:val="0"/>
            <w:vAlign w:val="center"/>
          </w:tcPr>
          <w:p>
            <w:pPr>
              <w:jc w:val="center"/>
              <w:rPr>
                <w:rFonts w:ascii="宋体" w:cs="宋体"/>
                <w:color w:val="auto"/>
                <w:szCs w:val="21"/>
                <w:highlight w:val="none"/>
              </w:rPr>
            </w:pPr>
            <w:r>
              <w:rPr>
                <w:rFonts w:ascii="宋体" w:cs="宋体"/>
                <w:color w:val="auto"/>
                <w:szCs w:val="21"/>
                <w:highlight w:val="none"/>
              </w:rPr>
              <w:t>10</w:t>
            </w:r>
            <w:r>
              <w:rPr>
                <w:rFonts w:hint="eastAsia" w:ascii="宋体" w:cs="宋体"/>
                <w:color w:val="auto"/>
                <w:szCs w:val="21"/>
                <w:highlight w:val="none"/>
              </w:rPr>
              <w:t>分</w:t>
            </w:r>
          </w:p>
        </w:tc>
        <w:tc>
          <w:tcPr>
            <w:tcW w:w="2016"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制定科学的分类编码办法，对全部档案详细、系统分类</w:t>
            </w:r>
          </w:p>
        </w:tc>
        <w:tc>
          <w:tcPr>
            <w:tcW w:w="1026" w:type="dxa"/>
            <w:vMerge w:val="continue"/>
            <w:shd w:val="clear" w:color="auto" w:fill="auto"/>
            <w:noWrap w:val="0"/>
            <w:vAlign w:val="center"/>
          </w:tcPr>
          <w:p>
            <w:pPr>
              <w:rPr>
                <w:color w:val="auto"/>
                <w:highlight w:val="none"/>
              </w:rPr>
            </w:pPr>
          </w:p>
        </w:tc>
        <w:tc>
          <w:tcPr>
            <w:tcW w:w="2016"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按标准格式装订，按类别储藏放置，对破损档案及时修补</w:t>
            </w:r>
          </w:p>
        </w:tc>
        <w:tc>
          <w:tcPr>
            <w:tcW w:w="1026" w:type="dxa"/>
            <w:vMerge w:val="continue"/>
            <w:shd w:val="clear" w:color="auto" w:fill="auto"/>
            <w:noWrap w:val="0"/>
            <w:vAlign w:val="center"/>
          </w:tcPr>
          <w:p>
            <w:pPr>
              <w:rPr>
                <w:color w:val="auto"/>
                <w:highlight w:val="none"/>
              </w:rPr>
            </w:pPr>
          </w:p>
        </w:tc>
        <w:tc>
          <w:tcPr>
            <w:tcW w:w="2016"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严禁闲杂人员进入档案室，保持室内清洁，温度、湿度恒定，卫生消杀良好，防火设施安全可靠</w:t>
            </w:r>
          </w:p>
        </w:tc>
        <w:tc>
          <w:tcPr>
            <w:tcW w:w="1026" w:type="dxa"/>
            <w:vMerge w:val="continue"/>
            <w:shd w:val="clear" w:color="auto" w:fill="auto"/>
            <w:noWrap w:val="0"/>
            <w:vAlign w:val="center"/>
          </w:tcPr>
          <w:p>
            <w:pPr>
              <w:rPr>
                <w:color w:val="auto"/>
                <w:highlight w:val="none"/>
              </w:rPr>
            </w:pPr>
          </w:p>
        </w:tc>
        <w:tc>
          <w:tcPr>
            <w:tcW w:w="2016"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每月底对档案资料进行系统整理</w:t>
            </w:r>
          </w:p>
        </w:tc>
        <w:tc>
          <w:tcPr>
            <w:tcW w:w="1026" w:type="dxa"/>
            <w:vMerge w:val="continue"/>
            <w:shd w:val="clear" w:color="auto" w:fill="auto"/>
            <w:noWrap w:val="0"/>
            <w:vAlign w:val="center"/>
          </w:tcPr>
          <w:p>
            <w:pPr>
              <w:rPr>
                <w:color w:val="auto"/>
                <w:highlight w:val="none"/>
              </w:rPr>
            </w:pPr>
          </w:p>
        </w:tc>
        <w:tc>
          <w:tcPr>
            <w:tcW w:w="2016"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71" w:type="dxa"/>
            <w:vMerge w:val="restart"/>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5</w:t>
            </w:r>
          </w:p>
        </w:tc>
        <w:tc>
          <w:tcPr>
            <w:tcW w:w="1134" w:type="dxa"/>
            <w:vMerge w:val="restart"/>
            <w:shd w:val="clear" w:color="auto" w:fill="auto"/>
            <w:noWrap w:val="0"/>
            <w:vAlign w:val="center"/>
          </w:tcPr>
          <w:p>
            <w:pPr>
              <w:widowControl/>
              <w:jc w:val="center"/>
              <w:rPr>
                <w:rFonts w:ascii="宋体" w:cs="宋体"/>
                <w:color w:val="auto"/>
                <w:kern w:val="0"/>
                <w:sz w:val="22"/>
                <w:szCs w:val="22"/>
                <w:highlight w:val="none"/>
              </w:rPr>
            </w:pPr>
            <w:r>
              <w:rPr>
                <w:rFonts w:ascii="宋体" w:cs="宋体"/>
                <w:color w:val="auto"/>
                <w:kern w:val="0"/>
                <w:sz w:val="22"/>
                <w:szCs w:val="22"/>
                <w:highlight w:val="none"/>
              </w:rPr>
              <w:t>前台</w:t>
            </w:r>
          </w:p>
        </w:tc>
        <w:tc>
          <w:tcPr>
            <w:tcW w:w="4517" w:type="dxa"/>
            <w:shd w:val="clear" w:color="000000" w:fill="FFFFFF"/>
            <w:noWrap w:val="0"/>
            <w:vAlign w:val="center"/>
          </w:tcPr>
          <w:p>
            <w:pPr>
              <w:widowControl/>
              <w:spacing w:line="260" w:lineRule="exact"/>
              <w:jc w:val="left"/>
              <w:rPr>
                <w:rFonts w:ascii="宋体" w:cs="宋体"/>
                <w:color w:val="auto"/>
                <w:szCs w:val="21"/>
                <w:highlight w:val="none"/>
              </w:rPr>
            </w:pPr>
            <w:r>
              <w:rPr>
                <w:rFonts w:hint="eastAsia" w:ascii="宋体" w:cs="宋体"/>
                <w:color w:val="auto"/>
                <w:szCs w:val="21"/>
                <w:highlight w:val="none"/>
              </w:rPr>
              <w:t>做好内部业主求助报修、投诉、接待工作并对报修做好回访工作。</w:t>
            </w:r>
          </w:p>
        </w:tc>
        <w:tc>
          <w:tcPr>
            <w:tcW w:w="1026" w:type="dxa"/>
            <w:vMerge w:val="restart"/>
            <w:shd w:val="clear" w:color="000000" w:fill="FFFFFF"/>
            <w:noWrap w:val="0"/>
            <w:vAlign w:val="center"/>
          </w:tcPr>
          <w:p>
            <w:pPr>
              <w:widowControl/>
              <w:spacing w:line="260" w:lineRule="exact"/>
              <w:jc w:val="center"/>
              <w:rPr>
                <w:rFonts w:ascii="宋体" w:cs="宋体"/>
                <w:color w:val="auto"/>
                <w:szCs w:val="21"/>
                <w:highlight w:val="none"/>
              </w:rPr>
            </w:pPr>
            <w:r>
              <w:rPr>
                <w:rFonts w:ascii="宋体" w:cs="宋体"/>
                <w:color w:val="auto"/>
                <w:szCs w:val="21"/>
                <w:highlight w:val="none"/>
              </w:rPr>
              <w:t>10分</w:t>
            </w:r>
          </w:p>
        </w:tc>
        <w:tc>
          <w:tcPr>
            <w:tcW w:w="2016" w:type="dxa"/>
            <w:shd w:val="clear" w:color="000000" w:fill="FFFFFF"/>
            <w:noWrap w:val="0"/>
            <w:vAlign w:val="center"/>
          </w:tcPr>
          <w:p>
            <w:pPr>
              <w:widowControl/>
              <w:spacing w:line="260" w:lineRule="exact"/>
              <w:jc w:val="center"/>
              <w:rPr>
                <w:rFonts w:ascii="宋体" w:cs="宋体"/>
                <w:color w:val="auto"/>
                <w:kern w:val="0"/>
                <w:sz w:val="22"/>
                <w:szCs w:val="22"/>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widowControl/>
              <w:spacing w:line="260" w:lineRule="exact"/>
              <w:jc w:val="left"/>
              <w:rPr>
                <w:rFonts w:ascii="宋体" w:cs="宋体"/>
                <w:color w:val="auto"/>
                <w:szCs w:val="21"/>
                <w:highlight w:val="none"/>
              </w:rPr>
            </w:pPr>
            <w:r>
              <w:rPr>
                <w:rFonts w:hint="eastAsia" w:ascii="宋体" w:cs="宋体"/>
                <w:color w:val="auto"/>
                <w:szCs w:val="21"/>
                <w:highlight w:val="none"/>
              </w:rPr>
              <w:t>每日做好电梯引导服务。</w:t>
            </w:r>
          </w:p>
        </w:tc>
        <w:tc>
          <w:tcPr>
            <w:tcW w:w="1026" w:type="dxa"/>
            <w:vMerge w:val="continue"/>
            <w:shd w:val="clear" w:color="auto" w:fill="auto"/>
            <w:noWrap w:val="0"/>
            <w:vAlign w:val="center"/>
          </w:tcPr>
          <w:p>
            <w:pPr>
              <w:rPr>
                <w:color w:val="auto"/>
                <w:highlight w:val="none"/>
              </w:rPr>
            </w:pPr>
          </w:p>
        </w:tc>
        <w:tc>
          <w:tcPr>
            <w:tcW w:w="2016" w:type="dxa"/>
            <w:shd w:val="clear" w:color="000000" w:fill="FFFFFF"/>
            <w:noWrap w:val="0"/>
            <w:vAlign w:val="center"/>
          </w:tcPr>
          <w:p>
            <w:pPr>
              <w:widowControl/>
              <w:spacing w:line="260" w:lineRule="exact"/>
              <w:jc w:val="center"/>
              <w:rPr>
                <w:rFonts w:ascii="宋体" w:cs="宋体"/>
                <w:color w:val="auto"/>
                <w:kern w:val="0"/>
                <w:sz w:val="22"/>
                <w:szCs w:val="22"/>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widowControl/>
              <w:spacing w:line="260" w:lineRule="exact"/>
              <w:jc w:val="left"/>
              <w:rPr>
                <w:rFonts w:ascii="宋体" w:cs="宋体"/>
                <w:color w:val="auto"/>
                <w:szCs w:val="21"/>
                <w:highlight w:val="none"/>
              </w:rPr>
            </w:pPr>
            <w:r>
              <w:rPr>
                <w:rFonts w:hint="eastAsia" w:ascii="宋体" w:cs="宋体"/>
                <w:color w:val="auto"/>
                <w:szCs w:val="21"/>
                <w:highlight w:val="none"/>
              </w:rPr>
              <w:t>大堂休息区域的服务工作。</w:t>
            </w:r>
          </w:p>
        </w:tc>
        <w:tc>
          <w:tcPr>
            <w:tcW w:w="1026" w:type="dxa"/>
            <w:vMerge w:val="continue"/>
            <w:shd w:val="clear" w:color="auto" w:fill="auto"/>
            <w:noWrap w:val="0"/>
            <w:vAlign w:val="center"/>
          </w:tcPr>
          <w:p>
            <w:pPr>
              <w:rPr>
                <w:color w:val="auto"/>
                <w:highlight w:val="none"/>
              </w:rPr>
            </w:pPr>
          </w:p>
        </w:tc>
        <w:tc>
          <w:tcPr>
            <w:tcW w:w="2016" w:type="dxa"/>
            <w:shd w:val="clear" w:color="000000" w:fill="FFFFFF"/>
            <w:noWrap w:val="0"/>
            <w:vAlign w:val="center"/>
          </w:tcPr>
          <w:p>
            <w:pPr>
              <w:widowControl/>
              <w:spacing w:line="260" w:lineRule="exact"/>
              <w:jc w:val="center"/>
              <w:rPr>
                <w:rFonts w:ascii="宋体" w:cs="宋体"/>
                <w:color w:val="auto"/>
                <w:kern w:val="0"/>
                <w:sz w:val="22"/>
                <w:szCs w:val="22"/>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widowControl/>
              <w:spacing w:line="260" w:lineRule="exact"/>
              <w:jc w:val="left"/>
              <w:rPr>
                <w:rFonts w:ascii="宋体" w:cs="宋体"/>
                <w:color w:val="auto"/>
                <w:szCs w:val="21"/>
                <w:highlight w:val="none"/>
              </w:rPr>
            </w:pPr>
            <w:r>
              <w:rPr>
                <w:rFonts w:hint="eastAsia" w:ascii="宋体" w:cs="宋体"/>
                <w:color w:val="auto"/>
                <w:szCs w:val="21"/>
                <w:highlight w:val="none"/>
              </w:rPr>
              <w:t>做好雨伞、钥匙、推车、工具箱、充电器物品的借用服务。</w:t>
            </w:r>
          </w:p>
        </w:tc>
        <w:tc>
          <w:tcPr>
            <w:tcW w:w="1026" w:type="dxa"/>
            <w:vMerge w:val="continue"/>
            <w:shd w:val="clear" w:color="auto" w:fill="auto"/>
            <w:noWrap w:val="0"/>
            <w:vAlign w:val="center"/>
          </w:tcPr>
          <w:p>
            <w:pPr>
              <w:rPr>
                <w:color w:val="auto"/>
                <w:highlight w:val="none"/>
              </w:rPr>
            </w:pPr>
          </w:p>
        </w:tc>
        <w:tc>
          <w:tcPr>
            <w:tcW w:w="2016" w:type="dxa"/>
            <w:shd w:val="clear" w:color="000000" w:fill="FFFFFF"/>
            <w:noWrap w:val="0"/>
            <w:vAlign w:val="center"/>
          </w:tcPr>
          <w:p>
            <w:pPr>
              <w:widowControl/>
              <w:spacing w:line="260" w:lineRule="exact"/>
              <w:jc w:val="center"/>
              <w:rPr>
                <w:rFonts w:ascii="宋体" w:cs="宋体"/>
                <w:color w:val="auto"/>
                <w:kern w:val="0"/>
                <w:sz w:val="22"/>
                <w:szCs w:val="22"/>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widowControl/>
              <w:spacing w:line="260" w:lineRule="exact"/>
              <w:jc w:val="left"/>
              <w:rPr>
                <w:rFonts w:ascii="宋体" w:cs="宋体"/>
                <w:color w:val="auto"/>
                <w:szCs w:val="21"/>
                <w:highlight w:val="none"/>
              </w:rPr>
            </w:pPr>
            <w:r>
              <w:rPr>
                <w:rFonts w:hint="eastAsia" w:ascii="宋体" w:cs="宋体"/>
                <w:color w:val="auto"/>
                <w:szCs w:val="21"/>
                <w:highlight w:val="none"/>
              </w:rPr>
              <w:t>做好相关资料收集工作，系统整理台账资料。</w:t>
            </w:r>
          </w:p>
        </w:tc>
        <w:tc>
          <w:tcPr>
            <w:tcW w:w="1026" w:type="dxa"/>
            <w:vMerge w:val="continue"/>
            <w:shd w:val="clear" w:color="auto" w:fill="auto"/>
            <w:noWrap w:val="0"/>
            <w:vAlign w:val="center"/>
          </w:tcPr>
          <w:p>
            <w:pPr>
              <w:rPr>
                <w:color w:val="auto"/>
                <w:highlight w:val="none"/>
              </w:rPr>
            </w:pPr>
          </w:p>
        </w:tc>
        <w:tc>
          <w:tcPr>
            <w:tcW w:w="2016" w:type="dxa"/>
            <w:shd w:val="clear" w:color="000000" w:fill="FFFFFF"/>
            <w:noWrap w:val="0"/>
            <w:vAlign w:val="center"/>
          </w:tcPr>
          <w:p>
            <w:pPr>
              <w:widowControl/>
              <w:spacing w:line="260" w:lineRule="exact"/>
              <w:jc w:val="center"/>
              <w:rPr>
                <w:rFonts w:ascii="宋体" w:cs="宋体"/>
                <w:color w:val="auto"/>
                <w:kern w:val="0"/>
                <w:sz w:val="22"/>
                <w:szCs w:val="22"/>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71" w:type="dxa"/>
            <w:vMerge w:val="restart"/>
            <w:shd w:val="clear" w:color="auto" w:fill="auto"/>
            <w:noWrap w:val="0"/>
            <w:vAlign w:val="center"/>
          </w:tcPr>
          <w:p>
            <w:pPr>
              <w:jc w:val="center"/>
              <w:rPr>
                <w:rFonts w:ascii="宋体" w:cs="宋体"/>
                <w:color w:val="auto"/>
                <w:szCs w:val="21"/>
                <w:highlight w:val="none"/>
              </w:rPr>
            </w:pPr>
            <w:r>
              <w:rPr>
                <w:rFonts w:ascii="宋体" w:cs="宋体"/>
                <w:color w:val="auto"/>
                <w:szCs w:val="21"/>
                <w:highlight w:val="none"/>
              </w:rPr>
              <w:t>7</w:t>
            </w:r>
          </w:p>
        </w:tc>
        <w:tc>
          <w:tcPr>
            <w:tcW w:w="1134" w:type="dxa"/>
            <w:vMerge w:val="restart"/>
            <w:shd w:val="clear" w:color="auto" w:fill="auto"/>
            <w:noWrap w:val="0"/>
            <w:vAlign w:val="center"/>
          </w:tcPr>
          <w:p>
            <w:pPr>
              <w:rPr>
                <w:rFonts w:ascii="宋体" w:cs="宋体"/>
                <w:color w:val="auto"/>
                <w:szCs w:val="21"/>
                <w:highlight w:val="none"/>
              </w:rPr>
            </w:pPr>
            <w:r>
              <w:rPr>
                <w:rFonts w:hint="eastAsia" w:ascii="宋体" w:cs="宋体"/>
                <w:color w:val="auto"/>
                <w:szCs w:val="21"/>
                <w:highlight w:val="none"/>
              </w:rPr>
              <w:t>节能</w:t>
            </w:r>
            <w:r>
              <w:rPr>
                <w:rFonts w:ascii="宋体" w:cs="宋体"/>
                <w:color w:val="auto"/>
                <w:szCs w:val="21"/>
                <w:highlight w:val="none"/>
              </w:rPr>
              <w:t>工作</w:t>
            </w:r>
          </w:p>
        </w:tc>
        <w:tc>
          <w:tcPr>
            <w:tcW w:w="4517"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使用自来水后及时关闭水龙头</w:t>
            </w:r>
          </w:p>
        </w:tc>
        <w:tc>
          <w:tcPr>
            <w:tcW w:w="1026" w:type="dxa"/>
            <w:vMerge w:val="restart"/>
            <w:shd w:val="clear" w:color="000000" w:fill="FFFFFF"/>
            <w:noWrap w:val="0"/>
            <w:vAlign w:val="center"/>
          </w:tcPr>
          <w:p>
            <w:pPr>
              <w:jc w:val="center"/>
              <w:rPr>
                <w:rFonts w:ascii="宋体" w:cs="宋体"/>
                <w:color w:val="auto"/>
                <w:szCs w:val="21"/>
                <w:highlight w:val="none"/>
              </w:rPr>
            </w:pPr>
          </w:p>
          <w:p>
            <w:pPr>
              <w:jc w:val="center"/>
              <w:rPr>
                <w:rFonts w:ascii="宋体" w:cs="宋体"/>
                <w:color w:val="auto"/>
                <w:szCs w:val="21"/>
                <w:highlight w:val="none"/>
              </w:rPr>
            </w:pPr>
          </w:p>
          <w:p>
            <w:pPr>
              <w:jc w:val="center"/>
              <w:rPr>
                <w:rFonts w:ascii="宋体" w:cs="宋体"/>
                <w:color w:val="auto"/>
                <w:szCs w:val="21"/>
                <w:highlight w:val="none"/>
              </w:rPr>
            </w:pPr>
            <w:r>
              <w:rPr>
                <w:rFonts w:hint="eastAsia" w:ascii="宋体" w:cs="宋体"/>
                <w:color w:val="auto"/>
                <w:szCs w:val="21"/>
                <w:highlight w:val="none"/>
              </w:rPr>
              <w:t>10分</w:t>
            </w:r>
          </w:p>
          <w:p>
            <w:pPr>
              <w:jc w:val="center"/>
              <w:rPr>
                <w:rFonts w:ascii="宋体" w:cs="宋体"/>
                <w:color w:val="auto"/>
                <w:szCs w:val="21"/>
                <w:highlight w:val="none"/>
              </w:rPr>
            </w:pPr>
          </w:p>
        </w:tc>
        <w:tc>
          <w:tcPr>
            <w:tcW w:w="2016"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离开办公室1小时以上需关闭个人电脑</w:t>
            </w:r>
          </w:p>
        </w:tc>
        <w:tc>
          <w:tcPr>
            <w:tcW w:w="1026" w:type="dxa"/>
            <w:vMerge w:val="continue"/>
            <w:shd w:val="clear" w:color="000000" w:fill="FFFFFF"/>
            <w:noWrap w:val="0"/>
            <w:vAlign w:val="center"/>
          </w:tcPr>
          <w:p>
            <w:pPr>
              <w:rPr>
                <w:color w:val="auto"/>
                <w:highlight w:val="none"/>
              </w:rPr>
            </w:pPr>
          </w:p>
        </w:tc>
        <w:tc>
          <w:tcPr>
            <w:tcW w:w="2016"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习惯使用环保纸及双面打印纸</w:t>
            </w:r>
          </w:p>
        </w:tc>
        <w:tc>
          <w:tcPr>
            <w:tcW w:w="1026" w:type="dxa"/>
            <w:vMerge w:val="continue"/>
            <w:shd w:val="clear" w:color="000000" w:fill="FFFFFF"/>
            <w:noWrap w:val="0"/>
            <w:vAlign w:val="center"/>
          </w:tcPr>
          <w:p>
            <w:pPr>
              <w:rPr>
                <w:color w:val="auto"/>
                <w:highlight w:val="none"/>
              </w:rPr>
            </w:pPr>
          </w:p>
        </w:tc>
        <w:tc>
          <w:tcPr>
            <w:tcW w:w="2016"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7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4517"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非工作时间关闭所有灯光电脑、打印机、复印机等办公设备空调</w:t>
            </w:r>
          </w:p>
        </w:tc>
        <w:tc>
          <w:tcPr>
            <w:tcW w:w="1026" w:type="dxa"/>
            <w:vMerge w:val="continue"/>
            <w:shd w:val="clear" w:color="000000" w:fill="FFFFFF"/>
            <w:noWrap w:val="0"/>
            <w:vAlign w:val="center"/>
          </w:tcPr>
          <w:p>
            <w:pPr>
              <w:rPr>
                <w:color w:val="auto"/>
                <w:highlight w:val="none"/>
              </w:rPr>
            </w:pPr>
          </w:p>
        </w:tc>
        <w:tc>
          <w:tcPr>
            <w:tcW w:w="2016"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1" w:type="dxa"/>
            <w:shd w:val="clear" w:color="auto" w:fill="auto"/>
            <w:noWrap w:val="0"/>
            <w:vAlign w:val="center"/>
          </w:tcPr>
          <w:p>
            <w:pPr>
              <w:jc w:val="center"/>
              <w:rPr>
                <w:rFonts w:ascii="宋体" w:cs="宋体"/>
                <w:color w:val="auto"/>
                <w:szCs w:val="21"/>
                <w:highlight w:val="none"/>
              </w:rPr>
            </w:pPr>
            <w:r>
              <w:rPr>
                <w:rFonts w:ascii="宋体" w:cs="宋体"/>
                <w:color w:val="auto"/>
                <w:szCs w:val="21"/>
                <w:highlight w:val="none"/>
              </w:rPr>
              <w:t>8</w:t>
            </w:r>
          </w:p>
        </w:tc>
        <w:tc>
          <w:tcPr>
            <w:tcW w:w="1134" w:type="dxa"/>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垃圾分类</w:t>
            </w:r>
            <w:r>
              <w:rPr>
                <w:rFonts w:ascii="宋体" w:cs="宋体"/>
                <w:color w:val="auto"/>
                <w:szCs w:val="21"/>
                <w:highlight w:val="none"/>
              </w:rPr>
              <w:t>工作</w:t>
            </w:r>
          </w:p>
        </w:tc>
        <w:tc>
          <w:tcPr>
            <w:tcW w:w="4517" w:type="dxa"/>
            <w:shd w:val="clear" w:color="000000" w:fill="FFFFFF"/>
            <w:noWrap w:val="0"/>
            <w:vAlign w:val="center"/>
          </w:tcPr>
          <w:p>
            <w:pPr>
              <w:jc w:val="center"/>
              <w:rPr>
                <w:rFonts w:ascii="宋体" w:cs="宋体"/>
                <w:b/>
                <w:bCs/>
                <w:color w:val="auto"/>
                <w:szCs w:val="21"/>
                <w:highlight w:val="none"/>
              </w:rPr>
            </w:pPr>
            <w:r>
              <w:rPr>
                <w:rFonts w:hint="eastAsia" w:ascii="宋体" w:cs="宋体"/>
                <w:color w:val="auto"/>
                <w:szCs w:val="21"/>
                <w:highlight w:val="none"/>
              </w:rPr>
              <w:t>建立制度、搜集信息、做好宣传、严格检查、落实整改、完善台账</w:t>
            </w:r>
          </w:p>
        </w:tc>
        <w:tc>
          <w:tcPr>
            <w:tcW w:w="1026" w:type="dxa"/>
            <w:shd w:val="clear" w:color="000000" w:fill="FFFFFF"/>
            <w:noWrap w:val="0"/>
            <w:vAlign w:val="center"/>
          </w:tcPr>
          <w:p>
            <w:pPr>
              <w:jc w:val="center"/>
              <w:rPr>
                <w:rFonts w:ascii="宋体" w:cs="宋体"/>
                <w:color w:val="auto"/>
                <w:szCs w:val="21"/>
                <w:highlight w:val="none"/>
              </w:rPr>
            </w:pPr>
            <w:r>
              <w:rPr>
                <w:rFonts w:ascii="宋体" w:cs="宋体"/>
                <w:color w:val="auto"/>
                <w:szCs w:val="21"/>
                <w:highlight w:val="none"/>
              </w:rPr>
              <w:t>10分</w:t>
            </w:r>
          </w:p>
        </w:tc>
        <w:tc>
          <w:tcPr>
            <w:tcW w:w="2016"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71" w:type="dxa"/>
            <w:shd w:val="clear" w:color="auto" w:fill="auto"/>
            <w:noWrap w:val="0"/>
            <w:vAlign w:val="center"/>
          </w:tcPr>
          <w:p>
            <w:pPr>
              <w:jc w:val="center"/>
              <w:rPr>
                <w:rFonts w:ascii="宋体" w:cs="宋体"/>
                <w:color w:val="auto"/>
                <w:szCs w:val="21"/>
                <w:highlight w:val="none"/>
              </w:rPr>
            </w:pPr>
            <w:r>
              <w:rPr>
                <w:rFonts w:ascii="宋体" w:cs="宋体"/>
                <w:color w:val="auto"/>
                <w:szCs w:val="21"/>
                <w:highlight w:val="none"/>
              </w:rPr>
              <w:t>9</w:t>
            </w:r>
          </w:p>
        </w:tc>
        <w:tc>
          <w:tcPr>
            <w:tcW w:w="1134" w:type="dxa"/>
            <w:shd w:val="clear" w:color="auto" w:fill="auto"/>
            <w:noWrap w:val="0"/>
            <w:vAlign w:val="center"/>
          </w:tcPr>
          <w:p>
            <w:pPr>
              <w:jc w:val="center"/>
              <w:rPr>
                <w:rFonts w:ascii="宋体" w:cs="宋体"/>
                <w:color w:val="auto"/>
                <w:szCs w:val="21"/>
                <w:highlight w:val="none"/>
              </w:rPr>
            </w:pPr>
            <w:r>
              <w:rPr>
                <w:rFonts w:ascii="宋体" w:cs="宋体"/>
                <w:color w:val="auto"/>
                <w:szCs w:val="21"/>
                <w:highlight w:val="none"/>
              </w:rPr>
              <w:t>其他工作</w:t>
            </w:r>
          </w:p>
        </w:tc>
        <w:tc>
          <w:tcPr>
            <w:tcW w:w="4517" w:type="dxa"/>
            <w:shd w:val="clear" w:color="000000" w:fill="FFFFFF"/>
            <w:noWrap w:val="0"/>
            <w:vAlign w:val="center"/>
          </w:tcPr>
          <w:p>
            <w:pPr>
              <w:jc w:val="center"/>
              <w:rPr>
                <w:rFonts w:ascii="宋体" w:cs="宋体"/>
                <w:color w:val="auto"/>
                <w:szCs w:val="21"/>
                <w:highlight w:val="none"/>
              </w:rPr>
            </w:pPr>
            <w:r>
              <w:rPr>
                <w:rFonts w:ascii="宋体" w:cs="宋体"/>
                <w:color w:val="auto"/>
                <w:szCs w:val="21"/>
                <w:highlight w:val="none"/>
              </w:rPr>
              <w:t>认真落实疫情防控、文明城市创建、平安宁波创建、限塑、控烟等工作</w:t>
            </w:r>
          </w:p>
        </w:tc>
        <w:tc>
          <w:tcPr>
            <w:tcW w:w="1026" w:type="dxa"/>
            <w:shd w:val="clear" w:color="000000" w:fill="FFFFFF"/>
            <w:noWrap w:val="0"/>
            <w:vAlign w:val="center"/>
          </w:tcPr>
          <w:p>
            <w:pPr>
              <w:jc w:val="center"/>
              <w:rPr>
                <w:rFonts w:ascii="宋体" w:cs="宋体"/>
                <w:color w:val="auto"/>
                <w:szCs w:val="21"/>
                <w:highlight w:val="none"/>
              </w:rPr>
            </w:pPr>
            <w:r>
              <w:rPr>
                <w:rFonts w:ascii="宋体" w:cs="宋体"/>
                <w:color w:val="auto"/>
                <w:szCs w:val="21"/>
                <w:highlight w:val="none"/>
              </w:rPr>
              <w:t>10分</w:t>
            </w:r>
          </w:p>
        </w:tc>
        <w:tc>
          <w:tcPr>
            <w:tcW w:w="2016"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71" w:type="dxa"/>
            <w:shd w:val="clear" w:color="auto" w:fill="auto"/>
            <w:noWrap w:val="0"/>
            <w:vAlign w:val="center"/>
          </w:tcPr>
          <w:p>
            <w:pPr>
              <w:jc w:val="center"/>
              <w:rPr>
                <w:rFonts w:ascii="宋体" w:cs="宋体"/>
                <w:color w:val="auto"/>
                <w:szCs w:val="21"/>
                <w:highlight w:val="none"/>
              </w:rPr>
            </w:pPr>
          </w:p>
        </w:tc>
        <w:tc>
          <w:tcPr>
            <w:tcW w:w="1134" w:type="dxa"/>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合计</w:t>
            </w:r>
          </w:p>
        </w:tc>
        <w:tc>
          <w:tcPr>
            <w:tcW w:w="4517" w:type="dxa"/>
            <w:shd w:val="clear" w:color="000000" w:fill="FFFFFF"/>
            <w:noWrap w:val="0"/>
            <w:vAlign w:val="center"/>
          </w:tcPr>
          <w:p>
            <w:pPr>
              <w:jc w:val="center"/>
              <w:rPr>
                <w:rFonts w:ascii="宋体" w:cs="宋体"/>
                <w:color w:val="auto"/>
                <w:szCs w:val="21"/>
                <w:highlight w:val="none"/>
              </w:rPr>
            </w:pPr>
          </w:p>
        </w:tc>
        <w:tc>
          <w:tcPr>
            <w:tcW w:w="1026" w:type="dxa"/>
            <w:shd w:val="clear" w:color="000000" w:fill="FFFFFF"/>
            <w:noWrap w:val="0"/>
            <w:vAlign w:val="center"/>
          </w:tcPr>
          <w:p>
            <w:pPr>
              <w:jc w:val="center"/>
              <w:rPr>
                <w:rFonts w:ascii="宋体" w:cs="宋体"/>
                <w:color w:val="auto"/>
                <w:szCs w:val="21"/>
                <w:highlight w:val="none"/>
              </w:rPr>
            </w:pPr>
            <w:r>
              <w:rPr>
                <w:rFonts w:ascii="宋体" w:cs="宋体"/>
                <w:color w:val="auto"/>
                <w:szCs w:val="21"/>
                <w:highlight w:val="none"/>
              </w:rPr>
              <w:t>100分</w:t>
            </w:r>
          </w:p>
        </w:tc>
        <w:tc>
          <w:tcPr>
            <w:tcW w:w="2016" w:type="dxa"/>
            <w:shd w:val="clear" w:color="000000" w:fill="FFFFFF"/>
            <w:noWrap w:val="0"/>
            <w:vAlign w:val="center"/>
          </w:tcPr>
          <w:p>
            <w:pPr>
              <w:rPr>
                <w:rFonts w:ascii="宋体" w:cs="宋体"/>
                <w:color w:val="auto"/>
                <w:szCs w:val="21"/>
                <w:highlight w:val="none"/>
              </w:rPr>
            </w:pPr>
          </w:p>
        </w:tc>
      </w:tr>
    </w:tbl>
    <w:p>
      <w:pPr>
        <w:widowControl/>
        <w:spacing w:before="150" w:after="150"/>
        <w:rPr>
          <w:rFonts w:ascii="宋体" w:cs="宋体"/>
          <w:b/>
          <w:color w:val="auto"/>
          <w:sz w:val="24"/>
          <w:highlight w:val="none"/>
        </w:rPr>
      </w:pPr>
    </w:p>
    <w:p>
      <w:pPr>
        <w:widowControl/>
        <w:spacing w:before="150" w:after="150"/>
        <w:rPr>
          <w:rFonts w:ascii="宋体" w:cs="宋体"/>
          <w:b/>
          <w:color w:val="auto"/>
          <w:sz w:val="24"/>
          <w:highlight w:val="none"/>
        </w:rPr>
      </w:pPr>
      <w:r>
        <w:rPr>
          <w:rFonts w:hint="eastAsia" w:ascii="宋体" w:cs="宋体"/>
          <w:b/>
          <w:color w:val="auto"/>
          <w:sz w:val="24"/>
          <w:highlight w:val="none"/>
        </w:rPr>
        <w:t>2.</w:t>
      </w:r>
      <w:r>
        <w:rPr>
          <w:rFonts w:ascii="宋体" w:cs="宋体"/>
          <w:b/>
          <w:color w:val="auto"/>
          <w:sz w:val="24"/>
          <w:highlight w:val="none"/>
        </w:rPr>
        <w:t>房屋维护与</w:t>
      </w:r>
      <w:r>
        <w:rPr>
          <w:rFonts w:hint="eastAsia" w:ascii="宋体" w:cs="宋体"/>
          <w:b/>
          <w:color w:val="auto"/>
          <w:sz w:val="24"/>
          <w:highlight w:val="none"/>
        </w:rPr>
        <w:t>设施设备运维管理监管月考核细则</w:t>
      </w:r>
    </w:p>
    <w:tbl>
      <w:tblPr>
        <w:tblStyle w:val="20"/>
        <w:tblW w:w="9454" w:type="dxa"/>
        <w:jc w:val="center"/>
        <w:tblLayout w:type="fixed"/>
        <w:tblCellMar>
          <w:top w:w="0" w:type="dxa"/>
          <w:left w:w="108" w:type="dxa"/>
          <w:bottom w:w="0" w:type="dxa"/>
          <w:right w:w="108" w:type="dxa"/>
        </w:tblCellMar>
      </w:tblPr>
      <w:tblGrid>
        <w:gridCol w:w="665"/>
        <w:gridCol w:w="1134"/>
        <w:gridCol w:w="4114"/>
        <w:gridCol w:w="1026"/>
        <w:gridCol w:w="2515"/>
      </w:tblGrid>
      <w:tr>
        <w:tblPrEx>
          <w:tblCellMar>
            <w:top w:w="0" w:type="dxa"/>
            <w:left w:w="108" w:type="dxa"/>
            <w:bottom w:w="0" w:type="dxa"/>
            <w:right w:w="108" w:type="dxa"/>
          </w:tblCellMar>
        </w:tblPrEx>
        <w:trPr>
          <w:trHeight w:val="482" w:hRule="atLeast"/>
          <w:tblHeader/>
          <w:jc w:val="center"/>
        </w:trPr>
        <w:tc>
          <w:tcPr>
            <w:tcW w:w="6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序号</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考核项目</w:t>
            </w:r>
          </w:p>
        </w:tc>
        <w:tc>
          <w:tcPr>
            <w:tcW w:w="4114"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考核标准</w:t>
            </w:r>
          </w:p>
        </w:tc>
        <w:tc>
          <w:tcPr>
            <w:tcW w:w="1026"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标准分</w:t>
            </w:r>
          </w:p>
        </w:tc>
        <w:tc>
          <w:tcPr>
            <w:tcW w:w="2515"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评分标准</w:t>
            </w:r>
          </w:p>
        </w:tc>
      </w:tr>
      <w:tr>
        <w:tblPrEx>
          <w:tblCellMar>
            <w:top w:w="0" w:type="dxa"/>
            <w:left w:w="108" w:type="dxa"/>
            <w:bottom w:w="0" w:type="dxa"/>
            <w:right w:w="108" w:type="dxa"/>
          </w:tblCellMar>
        </w:tblPrEx>
        <w:trPr>
          <w:trHeight w:val="270" w:hRule="atLeast"/>
          <w:jc w:val="center"/>
        </w:trPr>
        <w:tc>
          <w:tcPr>
            <w:tcW w:w="665" w:type="dxa"/>
            <w:vMerge w:val="restar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1</w:t>
            </w:r>
          </w:p>
        </w:tc>
        <w:tc>
          <w:tcPr>
            <w:tcW w:w="1134" w:type="dxa"/>
            <w:vMerge w:val="restar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日常</w:t>
            </w:r>
            <w:r>
              <w:rPr>
                <w:rFonts w:ascii="宋体" w:cs="宋体"/>
                <w:color w:val="auto"/>
                <w:szCs w:val="21"/>
                <w:highlight w:val="none"/>
              </w:rPr>
              <w:t>管理</w:t>
            </w: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ascii="宋体" w:cs="宋体"/>
                <w:color w:val="auto"/>
                <w:szCs w:val="21"/>
                <w:highlight w:val="none"/>
              </w:rPr>
              <w:t>维护</w:t>
            </w:r>
            <w:r>
              <w:rPr>
                <w:rFonts w:hint="eastAsia" w:ascii="宋体" w:cs="宋体"/>
                <w:color w:val="auto"/>
                <w:szCs w:val="21"/>
                <w:highlight w:val="none"/>
              </w:rPr>
              <w:t>台帐、档案、设备卡及各类记录齐全</w:t>
            </w:r>
          </w:p>
        </w:tc>
        <w:tc>
          <w:tcPr>
            <w:tcW w:w="102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10分</w:t>
            </w: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不达标每项扣1分</w:t>
            </w:r>
          </w:p>
        </w:tc>
      </w:tr>
      <w:tr>
        <w:tblPrEx>
          <w:tblCellMar>
            <w:top w:w="0" w:type="dxa"/>
            <w:left w:w="108" w:type="dxa"/>
            <w:bottom w:w="0" w:type="dxa"/>
            <w:right w:w="108" w:type="dxa"/>
          </w:tblCellMar>
        </w:tblPrEx>
        <w:trPr>
          <w:trHeight w:val="27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按时提交月度、年度设施设备维保计划，及时上报工作小结及其他有要求的书面材料</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不达标扣2-5分</w:t>
            </w:r>
          </w:p>
        </w:tc>
      </w:tr>
      <w:tr>
        <w:tblPrEx>
          <w:tblCellMar>
            <w:top w:w="0" w:type="dxa"/>
            <w:left w:w="108" w:type="dxa"/>
            <w:bottom w:w="0" w:type="dxa"/>
            <w:right w:w="108" w:type="dxa"/>
          </w:tblCellMar>
        </w:tblPrEx>
        <w:trPr>
          <w:trHeight w:val="51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按设施设备维保计划执行维保工作，及时更换易损配件，设施设备完好率98%以上</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不达标每次扣1分</w:t>
            </w:r>
          </w:p>
        </w:tc>
      </w:tr>
      <w:tr>
        <w:tblPrEx>
          <w:tblCellMar>
            <w:top w:w="0" w:type="dxa"/>
            <w:left w:w="108" w:type="dxa"/>
            <w:bottom w:w="0" w:type="dxa"/>
            <w:right w:w="108" w:type="dxa"/>
          </w:tblCellMar>
        </w:tblPrEx>
        <w:trPr>
          <w:trHeight w:val="293"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设施设备操作规范上墙</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不达标每项扣1分</w:t>
            </w:r>
          </w:p>
        </w:tc>
      </w:tr>
      <w:tr>
        <w:tblPrEx>
          <w:tblCellMar>
            <w:top w:w="0" w:type="dxa"/>
            <w:left w:w="108" w:type="dxa"/>
            <w:bottom w:w="0" w:type="dxa"/>
            <w:right w:w="108" w:type="dxa"/>
          </w:tblCellMar>
        </w:tblPrEx>
        <w:trPr>
          <w:trHeight w:val="27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各种设备责任人挂牌明示</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不达标每项扣1分</w:t>
            </w:r>
          </w:p>
        </w:tc>
      </w:tr>
      <w:tr>
        <w:tblPrEx>
          <w:tblCellMar>
            <w:top w:w="0" w:type="dxa"/>
            <w:left w:w="108" w:type="dxa"/>
            <w:bottom w:w="0" w:type="dxa"/>
            <w:right w:w="108" w:type="dxa"/>
          </w:tblCellMar>
        </w:tblPrEx>
        <w:trPr>
          <w:trHeight w:val="27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设备的运行状态挂牌明示</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不达标每项扣1分</w:t>
            </w:r>
          </w:p>
        </w:tc>
      </w:tr>
      <w:tr>
        <w:tblPrEx>
          <w:tblCellMar>
            <w:top w:w="0" w:type="dxa"/>
            <w:left w:w="108" w:type="dxa"/>
            <w:bottom w:w="0" w:type="dxa"/>
            <w:right w:w="108" w:type="dxa"/>
          </w:tblCellMar>
        </w:tblPrEx>
        <w:trPr>
          <w:trHeight w:val="27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设备房环境整洁，物品堆放有序</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不达标每次扣1分</w:t>
            </w:r>
          </w:p>
        </w:tc>
      </w:tr>
      <w:tr>
        <w:tblPrEx>
          <w:tblCellMar>
            <w:top w:w="0" w:type="dxa"/>
            <w:left w:w="108" w:type="dxa"/>
            <w:bottom w:w="0" w:type="dxa"/>
            <w:right w:w="108" w:type="dxa"/>
          </w:tblCellMar>
        </w:tblPrEx>
        <w:trPr>
          <w:trHeight w:val="27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设备巡查记录报表按时填写，清晰整洁</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不达标每次扣1分</w:t>
            </w:r>
          </w:p>
        </w:tc>
      </w:tr>
      <w:tr>
        <w:tblPrEx>
          <w:tblCellMar>
            <w:top w:w="0" w:type="dxa"/>
            <w:left w:w="108" w:type="dxa"/>
            <w:bottom w:w="0" w:type="dxa"/>
            <w:right w:w="108" w:type="dxa"/>
          </w:tblCellMar>
        </w:tblPrEx>
        <w:trPr>
          <w:trHeight w:val="270" w:hRule="atLeast"/>
          <w:jc w:val="center"/>
        </w:trPr>
        <w:tc>
          <w:tcPr>
            <w:tcW w:w="665" w:type="dxa"/>
            <w:vMerge w:val="restar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2</w:t>
            </w:r>
          </w:p>
        </w:tc>
        <w:tc>
          <w:tcPr>
            <w:tcW w:w="1134" w:type="dxa"/>
            <w:vMerge w:val="restar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运行</w:t>
            </w:r>
            <w:r>
              <w:rPr>
                <w:rFonts w:ascii="宋体" w:cs="宋体"/>
                <w:color w:val="auto"/>
                <w:szCs w:val="21"/>
                <w:highlight w:val="none"/>
              </w:rPr>
              <w:t>管理</w:t>
            </w: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无重大设备故障、重大责任事故、人身伤害事故</w:t>
            </w:r>
          </w:p>
        </w:tc>
        <w:tc>
          <w:tcPr>
            <w:tcW w:w="102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20分</w:t>
            </w: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负主要责任的，一次性扣20分</w:t>
            </w:r>
          </w:p>
        </w:tc>
      </w:tr>
      <w:tr>
        <w:tblPrEx>
          <w:tblCellMar>
            <w:top w:w="0" w:type="dxa"/>
            <w:left w:w="108" w:type="dxa"/>
            <w:bottom w:w="0" w:type="dxa"/>
            <w:right w:w="108" w:type="dxa"/>
          </w:tblCellMar>
        </w:tblPrEx>
        <w:trPr>
          <w:trHeight w:val="27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严格按规定对设备设施进行运行管理操作</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不达标一次扣2分</w:t>
            </w:r>
          </w:p>
        </w:tc>
      </w:tr>
      <w:tr>
        <w:tblPrEx>
          <w:tblCellMar>
            <w:top w:w="0" w:type="dxa"/>
            <w:left w:w="108" w:type="dxa"/>
            <w:bottom w:w="0" w:type="dxa"/>
            <w:right w:w="108" w:type="dxa"/>
          </w:tblCellMar>
        </w:tblPrEx>
        <w:trPr>
          <w:trHeight w:val="48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按规定对各设备设施进行检查、巡查，巡查记录及时汇总备查</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不达标每项扣1分</w:t>
            </w:r>
          </w:p>
        </w:tc>
      </w:tr>
      <w:tr>
        <w:tblPrEx>
          <w:tblCellMar>
            <w:top w:w="0" w:type="dxa"/>
            <w:left w:w="108" w:type="dxa"/>
            <w:bottom w:w="0" w:type="dxa"/>
            <w:right w:w="108" w:type="dxa"/>
          </w:tblCellMar>
        </w:tblPrEx>
        <w:trPr>
          <w:trHeight w:val="48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及时发现设备安全隐患并以书面形式上报</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不达标每项扣2分</w:t>
            </w:r>
          </w:p>
        </w:tc>
      </w:tr>
      <w:tr>
        <w:tblPrEx>
          <w:tblCellMar>
            <w:top w:w="0" w:type="dxa"/>
            <w:left w:w="108" w:type="dxa"/>
            <w:bottom w:w="0" w:type="dxa"/>
            <w:right w:w="108" w:type="dxa"/>
          </w:tblCellMar>
        </w:tblPrEx>
        <w:trPr>
          <w:trHeight w:val="48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及时发现设备故障，及时报告，及时处理</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不达标每项扣2分</w:t>
            </w:r>
          </w:p>
        </w:tc>
      </w:tr>
      <w:tr>
        <w:tblPrEx>
          <w:tblCellMar>
            <w:top w:w="0" w:type="dxa"/>
            <w:left w:w="108" w:type="dxa"/>
            <w:bottom w:w="0" w:type="dxa"/>
            <w:right w:w="108" w:type="dxa"/>
          </w:tblCellMar>
        </w:tblPrEx>
        <w:trPr>
          <w:trHeight w:val="27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严格执行值班、交接班等制度，做好各项运行记录和台账</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不达标每次扣2分</w:t>
            </w:r>
          </w:p>
        </w:tc>
      </w:tr>
      <w:tr>
        <w:tblPrEx>
          <w:tblCellMar>
            <w:top w:w="0" w:type="dxa"/>
            <w:left w:w="108" w:type="dxa"/>
            <w:bottom w:w="0" w:type="dxa"/>
            <w:right w:w="108" w:type="dxa"/>
          </w:tblCellMar>
        </w:tblPrEx>
        <w:trPr>
          <w:trHeight w:val="27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按时上报年度和月度能耗统计报表等</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不达标每次扣2分</w:t>
            </w:r>
          </w:p>
        </w:tc>
      </w:tr>
      <w:tr>
        <w:tblPrEx>
          <w:tblCellMar>
            <w:top w:w="0" w:type="dxa"/>
            <w:left w:w="108" w:type="dxa"/>
            <w:bottom w:w="0" w:type="dxa"/>
            <w:right w:w="108" w:type="dxa"/>
          </w:tblCellMar>
        </w:tblPrEx>
        <w:trPr>
          <w:trHeight w:val="27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其他</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视情相应扣分</w:t>
            </w:r>
          </w:p>
        </w:tc>
      </w:tr>
      <w:tr>
        <w:tblPrEx>
          <w:tblCellMar>
            <w:top w:w="0" w:type="dxa"/>
            <w:left w:w="108" w:type="dxa"/>
            <w:bottom w:w="0" w:type="dxa"/>
            <w:right w:w="108" w:type="dxa"/>
          </w:tblCellMar>
        </w:tblPrEx>
        <w:trPr>
          <w:trHeight w:val="270" w:hRule="atLeast"/>
          <w:jc w:val="center"/>
        </w:trPr>
        <w:tc>
          <w:tcPr>
            <w:tcW w:w="665" w:type="dxa"/>
            <w:vMerge w:val="restar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3</w:t>
            </w:r>
          </w:p>
        </w:tc>
        <w:tc>
          <w:tcPr>
            <w:tcW w:w="1134" w:type="dxa"/>
            <w:vMerge w:val="restar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维修维保</w:t>
            </w: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建立服务电话，实行24小时值班制度，15分钟到达现场，维修及时率100%</w:t>
            </w:r>
          </w:p>
        </w:tc>
        <w:tc>
          <w:tcPr>
            <w:tcW w:w="102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20分</w:t>
            </w: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不达标每项扣2分</w:t>
            </w:r>
          </w:p>
        </w:tc>
      </w:tr>
      <w:tr>
        <w:tblPrEx>
          <w:tblCellMar>
            <w:top w:w="0" w:type="dxa"/>
            <w:left w:w="108" w:type="dxa"/>
            <w:bottom w:w="0" w:type="dxa"/>
            <w:right w:w="108" w:type="dxa"/>
          </w:tblCellMar>
        </w:tblPrEx>
        <w:trPr>
          <w:trHeight w:val="48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接到报修后及时响应，做到零投诉</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不达标每次扣3分</w:t>
            </w:r>
          </w:p>
        </w:tc>
      </w:tr>
      <w:tr>
        <w:tblPrEx>
          <w:tblCellMar>
            <w:top w:w="0" w:type="dxa"/>
            <w:left w:w="108" w:type="dxa"/>
            <w:bottom w:w="0" w:type="dxa"/>
            <w:right w:w="108" w:type="dxa"/>
          </w:tblCellMar>
        </w:tblPrEx>
        <w:trPr>
          <w:trHeight w:val="27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报修服务过程中着装、举止规范、服务热情主动，做到零投诉</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不达标每项扣0.5分</w:t>
            </w:r>
          </w:p>
        </w:tc>
      </w:tr>
      <w:tr>
        <w:tblPrEx>
          <w:tblCellMar>
            <w:top w:w="0" w:type="dxa"/>
            <w:left w:w="108" w:type="dxa"/>
            <w:bottom w:w="0" w:type="dxa"/>
            <w:right w:w="108" w:type="dxa"/>
          </w:tblCellMar>
        </w:tblPrEx>
        <w:trPr>
          <w:trHeight w:val="48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报修服务程序完备，表单填写符合要求</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不达标每次扣2分</w:t>
            </w:r>
          </w:p>
        </w:tc>
      </w:tr>
      <w:tr>
        <w:tblPrEx>
          <w:tblCellMar>
            <w:top w:w="0" w:type="dxa"/>
            <w:left w:w="108" w:type="dxa"/>
            <w:bottom w:w="0" w:type="dxa"/>
            <w:right w:w="108" w:type="dxa"/>
          </w:tblCellMar>
        </w:tblPrEx>
        <w:trPr>
          <w:trHeight w:val="27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房屋及设施设备外包施工、维护保养时，提前提交设备施工（维保）执行计划，全程跟踪，做好监管协调配合工作</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视情相应扣分</w:t>
            </w:r>
          </w:p>
        </w:tc>
      </w:tr>
      <w:tr>
        <w:tblPrEx>
          <w:tblCellMar>
            <w:top w:w="0" w:type="dxa"/>
            <w:left w:w="108" w:type="dxa"/>
            <w:bottom w:w="0" w:type="dxa"/>
            <w:right w:w="108" w:type="dxa"/>
          </w:tblCellMar>
        </w:tblPrEx>
        <w:trPr>
          <w:trHeight w:val="270" w:hRule="atLeast"/>
          <w:jc w:val="center"/>
        </w:trPr>
        <w:tc>
          <w:tcPr>
            <w:tcW w:w="665" w:type="dxa"/>
            <w:vMerge w:val="restar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cs="宋体"/>
                <w:color w:val="auto"/>
                <w:szCs w:val="21"/>
                <w:highlight w:val="none"/>
              </w:rPr>
            </w:pPr>
          </w:p>
          <w:p>
            <w:pPr>
              <w:jc w:val="center"/>
              <w:rPr>
                <w:rFonts w:ascii="宋体" w:cs="宋体"/>
                <w:color w:val="auto"/>
                <w:szCs w:val="21"/>
                <w:highlight w:val="none"/>
              </w:rPr>
            </w:pPr>
          </w:p>
          <w:p>
            <w:pPr>
              <w:jc w:val="center"/>
              <w:rPr>
                <w:rFonts w:ascii="宋体" w:cs="宋体"/>
                <w:color w:val="auto"/>
                <w:szCs w:val="21"/>
                <w:highlight w:val="none"/>
              </w:rPr>
            </w:pPr>
          </w:p>
          <w:p>
            <w:pPr>
              <w:jc w:val="center"/>
              <w:rPr>
                <w:rFonts w:ascii="宋体" w:cs="宋体"/>
                <w:color w:val="auto"/>
                <w:szCs w:val="21"/>
                <w:highlight w:val="none"/>
              </w:rPr>
            </w:pPr>
            <w:r>
              <w:rPr>
                <w:rFonts w:hint="eastAsia" w:ascii="宋体" w:cs="宋体"/>
                <w:color w:val="auto"/>
                <w:szCs w:val="21"/>
                <w:highlight w:val="none"/>
              </w:rPr>
              <w:t>4</w:t>
            </w:r>
          </w:p>
          <w:p>
            <w:pPr>
              <w:jc w:val="center"/>
              <w:rPr>
                <w:rFonts w:ascii="宋体" w:cs="宋体"/>
                <w:color w:val="auto"/>
                <w:szCs w:val="21"/>
                <w:highlight w:val="none"/>
              </w:rPr>
            </w:pPr>
          </w:p>
          <w:p>
            <w:pPr>
              <w:jc w:val="center"/>
              <w:rPr>
                <w:rFonts w:ascii="宋体" w:cs="宋体"/>
                <w:color w:val="auto"/>
                <w:szCs w:val="21"/>
                <w:highlight w:val="none"/>
              </w:rPr>
            </w:pPr>
          </w:p>
          <w:p>
            <w:pPr>
              <w:jc w:val="center"/>
              <w:rPr>
                <w:rFonts w:ascii="宋体" w:cs="宋体"/>
                <w:color w:val="auto"/>
                <w:szCs w:val="21"/>
                <w:highlight w:val="none"/>
              </w:rPr>
            </w:pPr>
          </w:p>
          <w:p>
            <w:pPr>
              <w:rPr>
                <w:rFonts w:ascii="宋体" w:cs="宋体"/>
                <w:color w:val="auto"/>
                <w:szCs w:val="21"/>
                <w:highlight w:val="none"/>
              </w:rPr>
            </w:pPr>
          </w:p>
        </w:tc>
        <w:tc>
          <w:tcPr>
            <w:tcW w:w="1134" w:type="dxa"/>
            <w:vMerge w:val="restar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cs="宋体"/>
                <w:color w:val="auto"/>
                <w:szCs w:val="21"/>
                <w:highlight w:val="none"/>
              </w:rPr>
            </w:pPr>
          </w:p>
          <w:p>
            <w:pPr>
              <w:jc w:val="center"/>
              <w:rPr>
                <w:rFonts w:ascii="宋体" w:cs="宋体"/>
                <w:color w:val="auto"/>
                <w:szCs w:val="21"/>
                <w:highlight w:val="none"/>
              </w:rPr>
            </w:pPr>
          </w:p>
          <w:p>
            <w:pPr>
              <w:jc w:val="center"/>
              <w:rPr>
                <w:rFonts w:ascii="宋体" w:cs="宋体"/>
                <w:color w:val="auto"/>
                <w:szCs w:val="21"/>
                <w:highlight w:val="none"/>
              </w:rPr>
            </w:pPr>
          </w:p>
          <w:p>
            <w:pPr>
              <w:jc w:val="center"/>
              <w:rPr>
                <w:rFonts w:ascii="宋体" w:cs="宋体"/>
                <w:color w:val="auto"/>
                <w:szCs w:val="21"/>
                <w:highlight w:val="none"/>
              </w:rPr>
            </w:pPr>
            <w:r>
              <w:rPr>
                <w:rFonts w:ascii="宋体" w:cs="宋体"/>
                <w:color w:val="auto"/>
                <w:szCs w:val="21"/>
                <w:highlight w:val="none"/>
              </w:rPr>
              <w:t>人员管理</w:t>
            </w:r>
          </w:p>
          <w:p>
            <w:pPr>
              <w:jc w:val="center"/>
              <w:rPr>
                <w:rFonts w:ascii="宋体" w:cs="宋体"/>
                <w:color w:val="auto"/>
                <w:szCs w:val="21"/>
                <w:highlight w:val="none"/>
              </w:rPr>
            </w:pPr>
          </w:p>
          <w:p>
            <w:pPr>
              <w:jc w:val="center"/>
              <w:rPr>
                <w:rFonts w:ascii="宋体" w:cs="宋体"/>
                <w:color w:val="auto"/>
                <w:szCs w:val="21"/>
                <w:highlight w:val="none"/>
              </w:rPr>
            </w:pPr>
          </w:p>
          <w:p>
            <w:pPr>
              <w:jc w:val="center"/>
              <w:rPr>
                <w:rFonts w:ascii="宋体" w:cs="宋体"/>
                <w:color w:val="auto"/>
                <w:szCs w:val="21"/>
                <w:highlight w:val="none"/>
              </w:rPr>
            </w:pPr>
          </w:p>
          <w:p>
            <w:pPr>
              <w:jc w:val="center"/>
              <w:rPr>
                <w:rFonts w:ascii="宋体" w:cs="宋体"/>
                <w:color w:val="auto"/>
                <w:szCs w:val="21"/>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按时上报人员考勤表和排班表</w:t>
            </w:r>
          </w:p>
        </w:tc>
        <w:tc>
          <w:tcPr>
            <w:tcW w:w="102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jc w:val="center"/>
              <w:rPr>
                <w:rFonts w:ascii="宋体" w:cs="宋体"/>
                <w:color w:val="auto"/>
                <w:szCs w:val="21"/>
                <w:highlight w:val="none"/>
              </w:rPr>
            </w:pPr>
          </w:p>
          <w:p>
            <w:pPr>
              <w:jc w:val="center"/>
              <w:rPr>
                <w:rFonts w:ascii="宋体" w:cs="宋体"/>
                <w:color w:val="auto"/>
                <w:szCs w:val="21"/>
                <w:highlight w:val="none"/>
              </w:rPr>
            </w:pPr>
          </w:p>
          <w:p>
            <w:pPr>
              <w:jc w:val="center"/>
              <w:rPr>
                <w:rFonts w:ascii="宋体" w:cs="宋体"/>
                <w:color w:val="auto"/>
                <w:szCs w:val="21"/>
                <w:highlight w:val="none"/>
              </w:rPr>
            </w:pPr>
          </w:p>
          <w:p>
            <w:pPr>
              <w:jc w:val="center"/>
              <w:rPr>
                <w:rFonts w:ascii="宋体" w:cs="宋体"/>
                <w:color w:val="auto"/>
                <w:szCs w:val="21"/>
                <w:highlight w:val="none"/>
              </w:rPr>
            </w:pPr>
            <w:r>
              <w:rPr>
                <w:rFonts w:hint="eastAsia" w:ascii="宋体" w:cs="宋体"/>
                <w:color w:val="auto"/>
                <w:szCs w:val="21"/>
                <w:highlight w:val="none"/>
              </w:rPr>
              <w:t>10分</w:t>
            </w:r>
          </w:p>
          <w:p>
            <w:pPr>
              <w:jc w:val="center"/>
              <w:rPr>
                <w:rFonts w:ascii="宋体" w:cs="宋体"/>
                <w:color w:val="auto"/>
                <w:szCs w:val="21"/>
                <w:highlight w:val="none"/>
              </w:rPr>
            </w:pPr>
          </w:p>
          <w:p>
            <w:pPr>
              <w:jc w:val="center"/>
              <w:rPr>
                <w:rFonts w:ascii="宋体" w:cs="宋体"/>
                <w:color w:val="auto"/>
                <w:szCs w:val="21"/>
                <w:highlight w:val="none"/>
              </w:rPr>
            </w:pPr>
          </w:p>
          <w:p>
            <w:pPr>
              <w:jc w:val="center"/>
              <w:rPr>
                <w:rFonts w:ascii="宋体" w:cs="宋体"/>
                <w:color w:val="auto"/>
                <w:szCs w:val="21"/>
                <w:highlight w:val="none"/>
              </w:rPr>
            </w:pPr>
          </w:p>
          <w:p>
            <w:pPr>
              <w:jc w:val="center"/>
              <w:rPr>
                <w:rFonts w:ascii="宋体" w:cs="宋体"/>
                <w:color w:val="auto"/>
                <w:szCs w:val="21"/>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不达标每项扣2分</w:t>
            </w:r>
          </w:p>
        </w:tc>
      </w:tr>
      <w:tr>
        <w:tblPrEx>
          <w:tblCellMar>
            <w:top w:w="0" w:type="dxa"/>
            <w:left w:w="108" w:type="dxa"/>
            <w:bottom w:w="0" w:type="dxa"/>
            <w:right w:w="108" w:type="dxa"/>
          </w:tblCellMar>
        </w:tblPrEx>
        <w:trPr>
          <w:trHeight w:val="27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按规定进行人事管理，人员变动及时上报</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不达标每次扣2分</w:t>
            </w:r>
          </w:p>
        </w:tc>
      </w:tr>
      <w:tr>
        <w:tblPrEx>
          <w:tblCellMar>
            <w:top w:w="0" w:type="dxa"/>
            <w:left w:w="108" w:type="dxa"/>
            <w:bottom w:w="0" w:type="dxa"/>
            <w:right w:w="108" w:type="dxa"/>
          </w:tblCellMar>
        </w:tblPrEx>
        <w:trPr>
          <w:trHeight w:val="27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各专业技术人员证书与岗位相符</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不达标每项扣0.5分</w:t>
            </w:r>
          </w:p>
        </w:tc>
      </w:tr>
      <w:tr>
        <w:tblPrEx>
          <w:tblCellMar>
            <w:top w:w="0" w:type="dxa"/>
            <w:left w:w="108" w:type="dxa"/>
            <w:bottom w:w="0" w:type="dxa"/>
            <w:right w:w="108" w:type="dxa"/>
          </w:tblCellMar>
        </w:tblPrEx>
        <w:trPr>
          <w:trHeight w:val="27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工程部人员不得有违法、违纪、违规现象</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不达标每起扣4分</w:t>
            </w:r>
          </w:p>
        </w:tc>
      </w:tr>
      <w:tr>
        <w:tblPrEx>
          <w:tblCellMar>
            <w:top w:w="0" w:type="dxa"/>
            <w:left w:w="108" w:type="dxa"/>
            <w:bottom w:w="0" w:type="dxa"/>
            <w:right w:w="108" w:type="dxa"/>
          </w:tblCellMar>
        </w:tblPrEx>
        <w:trPr>
          <w:trHeight w:val="27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工程部人员必须服从合理的工作分配</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不达标每次扣2分</w:t>
            </w:r>
          </w:p>
        </w:tc>
      </w:tr>
      <w:tr>
        <w:tblPrEx>
          <w:tblCellMar>
            <w:top w:w="0" w:type="dxa"/>
            <w:left w:w="108" w:type="dxa"/>
            <w:bottom w:w="0" w:type="dxa"/>
            <w:right w:w="108" w:type="dxa"/>
          </w:tblCellMar>
        </w:tblPrEx>
        <w:trPr>
          <w:trHeight w:val="48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工程部人员行为举止应文明礼貌</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不达标每次扣2至5分</w:t>
            </w:r>
          </w:p>
        </w:tc>
      </w:tr>
      <w:tr>
        <w:tblPrEx>
          <w:tblCellMar>
            <w:top w:w="0" w:type="dxa"/>
            <w:left w:w="108" w:type="dxa"/>
            <w:bottom w:w="0" w:type="dxa"/>
            <w:right w:w="108" w:type="dxa"/>
          </w:tblCellMar>
        </w:tblPrEx>
        <w:trPr>
          <w:trHeight w:val="27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工作责任心强，严禁人浮于事或弄虚作假</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不达标扣2至5分</w:t>
            </w:r>
          </w:p>
        </w:tc>
      </w:tr>
      <w:tr>
        <w:tblPrEx>
          <w:tblCellMar>
            <w:top w:w="0" w:type="dxa"/>
            <w:left w:w="108" w:type="dxa"/>
            <w:bottom w:w="0" w:type="dxa"/>
            <w:right w:w="108" w:type="dxa"/>
          </w:tblCellMar>
        </w:tblPrEx>
        <w:trPr>
          <w:trHeight w:val="27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其他</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视情相应扣分</w:t>
            </w:r>
          </w:p>
        </w:tc>
      </w:tr>
      <w:tr>
        <w:tblPrEx>
          <w:tblCellMar>
            <w:top w:w="0" w:type="dxa"/>
            <w:left w:w="108" w:type="dxa"/>
            <w:bottom w:w="0" w:type="dxa"/>
            <w:right w:w="108" w:type="dxa"/>
          </w:tblCellMar>
        </w:tblPrEx>
        <w:trPr>
          <w:trHeight w:val="270" w:hRule="atLeast"/>
          <w:jc w:val="center"/>
        </w:trPr>
        <w:tc>
          <w:tcPr>
            <w:tcW w:w="665" w:type="dxa"/>
            <w:vMerge w:val="restart"/>
            <w:tcBorders>
              <w:top w:val="nil"/>
              <w:left w:val="single" w:color="auto" w:sz="4" w:space="0"/>
              <w:right w:val="single" w:color="auto" w:sz="4" w:space="0"/>
            </w:tcBorders>
            <w:shd w:val="clear" w:color="auto" w:fill="auto"/>
            <w:noWrap w:val="0"/>
            <w:vAlign w:val="center"/>
          </w:tcPr>
          <w:p>
            <w:pPr>
              <w:jc w:val="center"/>
              <w:rPr>
                <w:color w:val="auto"/>
                <w:highlight w:val="none"/>
              </w:rPr>
            </w:pPr>
            <w:r>
              <w:rPr>
                <w:rFonts w:hint="eastAsia"/>
                <w:color w:val="auto"/>
                <w:highlight w:val="none"/>
              </w:rPr>
              <w:t>5</w:t>
            </w:r>
          </w:p>
        </w:tc>
        <w:tc>
          <w:tcPr>
            <w:tcW w:w="1134" w:type="dxa"/>
            <w:vMerge w:val="restart"/>
            <w:tcBorders>
              <w:top w:val="nil"/>
              <w:left w:val="single" w:color="auto" w:sz="4" w:space="0"/>
              <w:right w:val="single" w:color="auto" w:sz="4" w:space="0"/>
            </w:tcBorders>
            <w:shd w:val="clear" w:color="auto" w:fill="auto"/>
            <w:noWrap w:val="0"/>
            <w:vAlign w:val="center"/>
          </w:tcPr>
          <w:p>
            <w:pPr>
              <w:rPr>
                <w:color w:val="auto"/>
                <w:highlight w:val="none"/>
              </w:rPr>
            </w:pPr>
            <w:r>
              <w:rPr>
                <w:rFonts w:hint="eastAsia"/>
                <w:color w:val="auto"/>
                <w:highlight w:val="none"/>
              </w:rPr>
              <w:t>房屋维护</w:t>
            </w: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做好屋面、梁柱、地基、墙面等巡查工作</w:t>
            </w:r>
          </w:p>
        </w:tc>
        <w:tc>
          <w:tcPr>
            <w:tcW w:w="1026" w:type="dxa"/>
            <w:vMerge w:val="restart"/>
            <w:tcBorders>
              <w:top w:val="nil"/>
              <w:left w:val="single" w:color="auto" w:sz="4" w:space="0"/>
              <w:right w:val="single" w:color="auto" w:sz="4" w:space="0"/>
            </w:tcBorders>
            <w:shd w:val="clear" w:color="auto" w:fill="auto"/>
            <w:noWrap w:val="0"/>
            <w:vAlign w:val="center"/>
          </w:tcPr>
          <w:p>
            <w:pPr>
              <w:jc w:val="center"/>
              <w:rPr>
                <w:color w:val="auto"/>
                <w:highlight w:val="none"/>
              </w:rPr>
            </w:pPr>
            <w:r>
              <w:rPr>
                <w:rFonts w:hint="eastAsia"/>
                <w:color w:val="auto"/>
                <w:highlight w:val="none"/>
              </w:rPr>
              <w:t>10分</w:t>
            </w: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不达标扣2至5分</w:t>
            </w:r>
          </w:p>
        </w:tc>
      </w:tr>
      <w:tr>
        <w:tblPrEx>
          <w:tblCellMar>
            <w:top w:w="0" w:type="dxa"/>
            <w:left w:w="108" w:type="dxa"/>
            <w:bottom w:w="0" w:type="dxa"/>
            <w:right w:w="108" w:type="dxa"/>
          </w:tblCellMar>
        </w:tblPrEx>
        <w:trPr>
          <w:trHeight w:val="270" w:hRule="atLeast"/>
          <w:jc w:val="center"/>
        </w:trPr>
        <w:tc>
          <w:tcPr>
            <w:tcW w:w="665" w:type="dxa"/>
            <w:vMerge w:val="continue"/>
            <w:tcBorders>
              <w:left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left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做好雨水、污水管井检查及疏通工作</w:t>
            </w:r>
          </w:p>
        </w:tc>
        <w:tc>
          <w:tcPr>
            <w:tcW w:w="1026" w:type="dxa"/>
            <w:vMerge w:val="continue"/>
            <w:tcBorders>
              <w:left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不达标扣2至5分</w:t>
            </w:r>
          </w:p>
        </w:tc>
      </w:tr>
      <w:tr>
        <w:tblPrEx>
          <w:tblCellMar>
            <w:top w:w="0" w:type="dxa"/>
            <w:left w:w="108" w:type="dxa"/>
            <w:bottom w:w="0" w:type="dxa"/>
            <w:right w:w="108" w:type="dxa"/>
          </w:tblCellMar>
        </w:tblPrEx>
        <w:trPr>
          <w:trHeight w:val="270" w:hRule="atLeast"/>
          <w:jc w:val="center"/>
        </w:trPr>
        <w:tc>
          <w:tcPr>
            <w:tcW w:w="665" w:type="dxa"/>
            <w:vMerge w:val="continue"/>
            <w:tcBorders>
              <w:left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left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发现沉降、变形、开裂等安全隐患时，采取必要措施进行防护</w:t>
            </w:r>
          </w:p>
        </w:tc>
        <w:tc>
          <w:tcPr>
            <w:tcW w:w="1026" w:type="dxa"/>
            <w:vMerge w:val="continue"/>
            <w:tcBorders>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不达标扣2至5分</w:t>
            </w:r>
          </w:p>
        </w:tc>
      </w:tr>
      <w:tr>
        <w:tblPrEx>
          <w:tblCellMar>
            <w:top w:w="0" w:type="dxa"/>
            <w:left w:w="108" w:type="dxa"/>
            <w:bottom w:w="0" w:type="dxa"/>
            <w:right w:w="108" w:type="dxa"/>
          </w:tblCellMar>
        </w:tblPrEx>
        <w:trPr>
          <w:trHeight w:val="270" w:hRule="atLeast"/>
          <w:jc w:val="center"/>
        </w:trPr>
        <w:tc>
          <w:tcPr>
            <w:tcW w:w="665" w:type="dxa"/>
            <w:vMerge w:val="restart"/>
            <w:tcBorders>
              <w:left w:val="single" w:color="auto" w:sz="4" w:space="0"/>
              <w:right w:val="single" w:color="auto" w:sz="4" w:space="0"/>
            </w:tcBorders>
            <w:shd w:val="clear" w:color="auto" w:fill="auto"/>
            <w:noWrap w:val="0"/>
            <w:vAlign w:val="center"/>
          </w:tcPr>
          <w:p>
            <w:pPr>
              <w:jc w:val="center"/>
              <w:rPr>
                <w:color w:val="auto"/>
                <w:highlight w:val="none"/>
              </w:rPr>
            </w:pPr>
            <w:r>
              <w:rPr>
                <w:rFonts w:hint="eastAsia"/>
                <w:color w:val="auto"/>
                <w:highlight w:val="none"/>
              </w:rPr>
              <w:t>6</w:t>
            </w:r>
          </w:p>
        </w:tc>
        <w:tc>
          <w:tcPr>
            <w:tcW w:w="1134" w:type="dxa"/>
            <w:vMerge w:val="restart"/>
            <w:tcBorders>
              <w:left w:val="single" w:color="auto" w:sz="4" w:space="0"/>
              <w:right w:val="single" w:color="auto" w:sz="4" w:space="0"/>
            </w:tcBorders>
            <w:shd w:val="clear" w:color="auto" w:fill="auto"/>
            <w:noWrap w:val="0"/>
            <w:vAlign w:val="center"/>
          </w:tcPr>
          <w:p>
            <w:pPr>
              <w:rPr>
                <w:color w:val="auto"/>
                <w:highlight w:val="none"/>
              </w:rPr>
            </w:pPr>
            <w:r>
              <w:rPr>
                <w:rFonts w:hint="eastAsia"/>
                <w:color w:val="auto"/>
                <w:highlight w:val="none"/>
              </w:rPr>
              <w:t>系统运维</w:t>
            </w: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建立供配电、给排水、消防等各系统管理制度</w:t>
            </w:r>
          </w:p>
        </w:tc>
        <w:tc>
          <w:tcPr>
            <w:tcW w:w="1026" w:type="dxa"/>
            <w:vMerge w:val="restart"/>
            <w:tcBorders>
              <w:top w:val="nil"/>
              <w:left w:val="single" w:color="auto" w:sz="4" w:space="0"/>
              <w:right w:val="single" w:color="auto" w:sz="4" w:space="0"/>
            </w:tcBorders>
            <w:shd w:val="clear" w:color="auto" w:fill="auto"/>
            <w:noWrap w:val="0"/>
            <w:vAlign w:val="center"/>
          </w:tcPr>
          <w:p>
            <w:pPr>
              <w:jc w:val="center"/>
              <w:rPr>
                <w:color w:val="auto"/>
                <w:highlight w:val="none"/>
              </w:rPr>
            </w:pPr>
            <w:r>
              <w:rPr>
                <w:rFonts w:hint="eastAsia"/>
                <w:color w:val="auto"/>
                <w:highlight w:val="none"/>
              </w:rPr>
              <w:t>10分</w:t>
            </w: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不达标扣2至5分</w:t>
            </w:r>
          </w:p>
        </w:tc>
      </w:tr>
      <w:tr>
        <w:tblPrEx>
          <w:tblCellMar>
            <w:top w:w="0" w:type="dxa"/>
            <w:left w:w="108" w:type="dxa"/>
            <w:bottom w:w="0" w:type="dxa"/>
            <w:right w:w="108" w:type="dxa"/>
          </w:tblCellMar>
        </w:tblPrEx>
        <w:trPr>
          <w:trHeight w:val="270" w:hRule="atLeast"/>
          <w:jc w:val="center"/>
        </w:trPr>
        <w:tc>
          <w:tcPr>
            <w:tcW w:w="665" w:type="dxa"/>
            <w:vMerge w:val="continue"/>
            <w:tcBorders>
              <w:left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left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有应急处置预案并按要求组织演练</w:t>
            </w:r>
          </w:p>
        </w:tc>
        <w:tc>
          <w:tcPr>
            <w:tcW w:w="1026" w:type="dxa"/>
            <w:vMerge w:val="continue"/>
            <w:tcBorders>
              <w:left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不达标每次扣2分</w:t>
            </w:r>
          </w:p>
        </w:tc>
      </w:tr>
      <w:tr>
        <w:tblPrEx>
          <w:tblCellMar>
            <w:top w:w="0" w:type="dxa"/>
            <w:left w:w="108" w:type="dxa"/>
            <w:bottom w:w="0" w:type="dxa"/>
            <w:right w:w="108" w:type="dxa"/>
          </w:tblCellMar>
        </w:tblPrEx>
        <w:trPr>
          <w:trHeight w:val="270" w:hRule="atLeast"/>
          <w:jc w:val="center"/>
        </w:trPr>
        <w:tc>
          <w:tcPr>
            <w:tcW w:w="665" w:type="dxa"/>
            <w:vMerge w:val="continue"/>
            <w:tcBorders>
              <w:left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left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巡查、巡检到位，数据记录规范</w:t>
            </w:r>
          </w:p>
        </w:tc>
        <w:tc>
          <w:tcPr>
            <w:tcW w:w="1026" w:type="dxa"/>
            <w:vMerge w:val="continue"/>
            <w:tcBorders>
              <w:left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不达标每次扣2分</w:t>
            </w:r>
          </w:p>
        </w:tc>
      </w:tr>
      <w:tr>
        <w:tblPrEx>
          <w:tblCellMar>
            <w:top w:w="0" w:type="dxa"/>
            <w:left w:w="108" w:type="dxa"/>
            <w:bottom w:w="0" w:type="dxa"/>
            <w:right w:w="108" w:type="dxa"/>
          </w:tblCellMar>
        </w:tblPrEx>
        <w:trPr>
          <w:trHeight w:val="270" w:hRule="atLeast"/>
          <w:jc w:val="center"/>
        </w:trPr>
        <w:tc>
          <w:tcPr>
            <w:tcW w:w="665" w:type="dxa"/>
            <w:vMerge w:val="continue"/>
            <w:tcBorders>
              <w:left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left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监管专业机构进行设备维保</w:t>
            </w:r>
          </w:p>
        </w:tc>
        <w:tc>
          <w:tcPr>
            <w:tcW w:w="1026" w:type="dxa"/>
            <w:vMerge w:val="continue"/>
            <w:tcBorders>
              <w:left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不达标每次扣2分</w:t>
            </w:r>
          </w:p>
        </w:tc>
      </w:tr>
      <w:tr>
        <w:tblPrEx>
          <w:tblCellMar>
            <w:top w:w="0" w:type="dxa"/>
            <w:left w:w="108" w:type="dxa"/>
            <w:bottom w:w="0" w:type="dxa"/>
            <w:right w:w="108" w:type="dxa"/>
          </w:tblCellMar>
        </w:tblPrEx>
        <w:trPr>
          <w:trHeight w:val="270" w:hRule="atLeast"/>
          <w:jc w:val="center"/>
        </w:trPr>
        <w:tc>
          <w:tcPr>
            <w:tcW w:w="665" w:type="dxa"/>
            <w:vMerge w:val="continue"/>
            <w:tcBorders>
              <w:left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left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设备间卫生整洁、标识规范</w:t>
            </w:r>
          </w:p>
        </w:tc>
        <w:tc>
          <w:tcPr>
            <w:tcW w:w="1026" w:type="dxa"/>
            <w:vMerge w:val="continue"/>
            <w:tcBorders>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不达标每次扣2分</w:t>
            </w:r>
          </w:p>
        </w:tc>
      </w:tr>
      <w:tr>
        <w:tblPrEx>
          <w:tblCellMar>
            <w:top w:w="0" w:type="dxa"/>
            <w:left w:w="108" w:type="dxa"/>
            <w:bottom w:w="0" w:type="dxa"/>
            <w:right w:w="108" w:type="dxa"/>
          </w:tblCellMar>
        </w:tblPrEx>
        <w:trPr>
          <w:trHeight w:val="270" w:hRule="atLeast"/>
          <w:jc w:val="center"/>
        </w:trPr>
        <w:tc>
          <w:tcPr>
            <w:tcW w:w="665" w:type="dxa"/>
            <w:vMerge w:val="restar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7</w:t>
            </w:r>
          </w:p>
        </w:tc>
        <w:tc>
          <w:tcPr>
            <w:tcW w:w="1134" w:type="dxa"/>
            <w:vMerge w:val="restar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备品备件</w:t>
            </w:r>
            <w:r>
              <w:rPr>
                <w:rFonts w:ascii="宋体" w:cs="宋体"/>
                <w:color w:val="auto"/>
                <w:szCs w:val="21"/>
                <w:highlight w:val="none"/>
              </w:rPr>
              <w:t>管理</w:t>
            </w: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按月上报备品备件采购计划，紧急采购程序完备</w:t>
            </w:r>
          </w:p>
        </w:tc>
        <w:tc>
          <w:tcPr>
            <w:tcW w:w="102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10分</w:t>
            </w: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不达标每项扣1分</w:t>
            </w:r>
          </w:p>
        </w:tc>
      </w:tr>
      <w:tr>
        <w:tblPrEx>
          <w:tblCellMar>
            <w:top w:w="0" w:type="dxa"/>
            <w:left w:w="108" w:type="dxa"/>
            <w:bottom w:w="0" w:type="dxa"/>
            <w:right w:w="108" w:type="dxa"/>
          </w:tblCellMar>
        </w:tblPrEx>
        <w:trPr>
          <w:trHeight w:val="27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备品备件领用、更换、报废记录完整，程序完备</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不达标每项扣1分</w:t>
            </w:r>
          </w:p>
        </w:tc>
      </w:tr>
      <w:tr>
        <w:tblPrEx>
          <w:tblCellMar>
            <w:top w:w="0" w:type="dxa"/>
            <w:left w:w="108" w:type="dxa"/>
            <w:bottom w:w="0" w:type="dxa"/>
            <w:right w:w="108" w:type="dxa"/>
          </w:tblCellMar>
        </w:tblPrEx>
        <w:trPr>
          <w:trHeight w:val="27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备品备件按类别、分特性管理，物品堆放整齐有序</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不达标每次扣2分</w:t>
            </w:r>
          </w:p>
        </w:tc>
      </w:tr>
      <w:tr>
        <w:tblPrEx>
          <w:tblCellMar>
            <w:top w:w="0" w:type="dxa"/>
            <w:left w:w="108" w:type="dxa"/>
            <w:bottom w:w="0" w:type="dxa"/>
            <w:right w:w="108" w:type="dxa"/>
          </w:tblCellMar>
        </w:tblPrEx>
        <w:trPr>
          <w:trHeight w:val="27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树立成本节约意识，做到领用相符，不得有浪费现象</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不达标每起扣1分</w:t>
            </w:r>
          </w:p>
        </w:tc>
      </w:tr>
      <w:tr>
        <w:tblPrEx>
          <w:tblCellMar>
            <w:top w:w="0" w:type="dxa"/>
            <w:left w:w="108" w:type="dxa"/>
            <w:bottom w:w="0" w:type="dxa"/>
            <w:right w:w="108" w:type="dxa"/>
          </w:tblCellMar>
        </w:tblPrEx>
        <w:trPr>
          <w:trHeight w:val="51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可修复的备品备件应及时维修，重复使用，不得故意损坏报废</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不达标扣2至5分</w:t>
            </w:r>
          </w:p>
        </w:tc>
      </w:tr>
      <w:tr>
        <w:tblPrEx>
          <w:tblCellMar>
            <w:top w:w="0" w:type="dxa"/>
            <w:left w:w="108" w:type="dxa"/>
            <w:bottom w:w="0" w:type="dxa"/>
            <w:right w:w="108" w:type="dxa"/>
          </w:tblCellMar>
        </w:tblPrEx>
        <w:trPr>
          <w:trHeight w:val="27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不得将备品备件占为私用</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不达标扣2至5分</w:t>
            </w:r>
          </w:p>
        </w:tc>
      </w:tr>
      <w:tr>
        <w:tblPrEx>
          <w:tblCellMar>
            <w:top w:w="0" w:type="dxa"/>
            <w:left w:w="108" w:type="dxa"/>
            <w:bottom w:w="0" w:type="dxa"/>
            <w:right w:w="108" w:type="dxa"/>
          </w:tblCellMar>
        </w:tblPrEx>
        <w:trPr>
          <w:trHeight w:val="27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其他</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视情相应扣分</w:t>
            </w:r>
          </w:p>
        </w:tc>
      </w:tr>
      <w:tr>
        <w:tblPrEx>
          <w:tblCellMar>
            <w:top w:w="0" w:type="dxa"/>
            <w:left w:w="108" w:type="dxa"/>
            <w:bottom w:w="0" w:type="dxa"/>
            <w:right w:w="108" w:type="dxa"/>
          </w:tblCellMar>
        </w:tblPrEx>
        <w:trPr>
          <w:trHeight w:val="270" w:hRule="atLeast"/>
          <w:jc w:val="center"/>
        </w:trPr>
        <w:tc>
          <w:tcPr>
            <w:tcW w:w="665" w:type="dxa"/>
            <w:vMerge w:val="restar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8</w:t>
            </w:r>
          </w:p>
        </w:tc>
        <w:tc>
          <w:tcPr>
            <w:tcW w:w="1134" w:type="dxa"/>
            <w:vMerge w:val="restar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节能</w:t>
            </w:r>
            <w:r>
              <w:rPr>
                <w:rFonts w:ascii="宋体" w:cs="宋体"/>
                <w:color w:val="auto"/>
                <w:szCs w:val="21"/>
                <w:highlight w:val="none"/>
              </w:rPr>
              <w:t>工作</w:t>
            </w: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日常运行</w:t>
            </w:r>
          </w:p>
        </w:tc>
        <w:tc>
          <w:tcPr>
            <w:tcW w:w="102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10分</w:t>
            </w: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按工程部节能管理责任表扣分</w:t>
            </w:r>
          </w:p>
        </w:tc>
      </w:tr>
      <w:tr>
        <w:tblPrEx>
          <w:tblCellMar>
            <w:top w:w="0" w:type="dxa"/>
            <w:left w:w="108" w:type="dxa"/>
            <w:bottom w:w="0" w:type="dxa"/>
            <w:right w:w="108" w:type="dxa"/>
          </w:tblCellMar>
        </w:tblPrEx>
        <w:trPr>
          <w:trHeight w:val="27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按指定人员指令进行设备操作</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不达标每次扣2分</w:t>
            </w:r>
          </w:p>
        </w:tc>
      </w:tr>
      <w:tr>
        <w:tblPrEx>
          <w:tblCellMar>
            <w:top w:w="0" w:type="dxa"/>
            <w:left w:w="108" w:type="dxa"/>
            <w:bottom w:w="0" w:type="dxa"/>
            <w:right w:w="108" w:type="dxa"/>
          </w:tblCellMar>
        </w:tblPrEx>
        <w:trPr>
          <w:trHeight w:val="27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按照相关规定根据天气温度调整空调机组出水温度</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不达标每次扣2分</w:t>
            </w:r>
          </w:p>
        </w:tc>
      </w:tr>
      <w:tr>
        <w:tblPrEx>
          <w:tblCellMar>
            <w:top w:w="0" w:type="dxa"/>
            <w:left w:w="108" w:type="dxa"/>
            <w:bottom w:w="0" w:type="dxa"/>
            <w:right w:w="108" w:type="dxa"/>
          </w:tblCellMar>
        </w:tblPrEx>
        <w:trPr>
          <w:trHeight w:val="270" w:hRule="atLeast"/>
          <w:jc w:val="center"/>
        </w:trPr>
        <w:tc>
          <w:tcPr>
            <w:tcW w:w="665"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4114"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其他</w:t>
            </w:r>
          </w:p>
        </w:tc>
        <w:tc>
          <w:tcPr>
            <w:tcW w:w="10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color w:val="auto"/>
                <w:highlight w:val="none"/>
              </w:rPr>
            </w:pPr>
          </w:p>
        </w:tc>
        <w:tc>
          <w:tcPr>
            <w:tcW w:w="2515" w:type="dxa"/>
            <w:tcBorders>
              <w:top w:val="nil"/>
              <w:left w:val="nil"/>
              <w:bottom w:val="single" w:color="auto" w:sz="4" w:space="0"/>
              <w:right w:val="single" w:color="auto" w:sz="4" w:space="0"/>
            </w:tcBorders>
            <w:shd w:val="clear" w:color="000000" w:fill="FFFFFF"/>
            <w:noWrap w:val="0"/>
            <w:vAlign w:val="center"/>
          </w:tcPr>
          <w:p>
            <w:pPr>
              <w:jc w:val="left"/>
              <w:rPr>
                <w:rFonts w:ascii="宋体" w:cs="宋体"/>
                <w:color w:val="auto"/>
                <w:szCs w:val="21"/>
                <w:highlight w:val="none"/>
              </w:rPr>
            </w:pPr>
            <w:r>
              <w:rPr>
                <w:rFonts w:hint="eastAsia" w:ascii="宋体" w:cs="宋体"/>
                <w:color w:val="auto"/>
                <w:szCs w:val="21"/>
                <w:highlight w:val="none"/>
              </w:rPr>
              <w:t>视情相应扣分</w:t>
            </w:r>
          </w:p>
        </w:tc>
      </w:tr>
      <w:tr>
        <w:tblPrEx>
          <w:tblCellMar>
            <w:top w:w="0" w:type="dxa"/>
            <w:left w:w="108" w:type="dxa"/>
            <w:bottom w:w="0" w:type="dxa"/>
            <w:right w:w="108" w:type="dxa"/>
          </w:tblCellMar>
        </w:tblPrEx>
        <w:trPr>
          <w:trHeight w:val="473"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合计</w:t>
            </w:r>
          </w:p>
        </w:tc>
        <w:tc>
          <w:tcPr>
            <w:tcW w:w="41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ascii="宋体" w:cs="宋体"/>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100分</w:t>
            </w:r>
          </w:p>
        </w:tc>
        <w:tc>
          <w:tcPr>
            <w:tcW w:w="25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　</w:t>
            </w:r>
          </w:p>
        </w:tc>
      </w:tr>
    </w:tbl>
    <w:p>
      <w:pPr>
        <w:widowControl/>
        <w:spacing w:before="150" w:after="150"/>
        <w:rPr>
          <w:rFonts w:ascii="宋体" w:cs="宋体"/>
          <w:b/>
          <w:color w:val="auto"/>
          <w:sz w:val="24"/>
          <w:highlight w:val="none"/>
        </w:rPr>
      </w:pPr>
      <w:r>
        <w:rPr>
          <w:rFonts w:ascii="宋体" w:cs="宋体"/>
          <w:b/>
          <w:color w:val="auto"/>
          <w:sz w:val="24"/>
          <w:highlight w:val="none"/>
        </w:rPr>
        <w:t>3</w:t>
      </w:r>
      <w:r>
        <w:rPr>
          <w:rFonts w:hint="eastAsia" w:ascii="宋体" w:cs="宋体"/>
          <w:b/>
          <w:color w:val="auto"/>
          <w:sz w:val="24"/>
          <w:highlight w:val="none"/>
        </w:rPr>
        <w:t>.保洁</w:t>
      </w:r>
      <w:r>
        <w:rPr>
          <w:rFonts w:ascii="宋体" w:cs="宋体"/>
          <w:b/>
          <w:color w:val="auto"/>
          <w:sz w:val="24"/>
          <w:highlight w:val="none"/>
        </w:rPr>
        <w:t>、绿化</w:t>
      </w:r>
      <w:r>
        <w:rPr>
          <w:rFonts w:hint="eastAsia" w:ascii="宋体" w:cs="宋体"/>
          <w:b/>
          <w:color w:val="auto"/>
          <w:sz w:val="24"/>
          <w:highlight w:val="none"/>
        </w:rPr>
        <w:t>监管月考核细则</w:t>
      </w:r>
    </w:p>
    <w:tbl>
      <w:tblPr>
        <w:tblStyle w:val="20"/>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044"/>
        <w:gridCol w:w="4636"/>
        <w:gridCol w:w="857"/>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75" w:type="dxa"/>
            <w:shd w:val="clear" w:color="auto" w:fill="auto"/>
            <w:noWrap/>
            <w:vAlign w:val="center"/>
          </w:tcPr>
          <w:p>
            <w:pPr>
              <w:spacing w:line="280" w:lineRule="exact"/>
              <w:jc w:val="center"/>
              <w:rPr>
                <w:rFonts w:ascii="宋体" w:cs="宋体"/>
                <w:color w:val="auto"/>
                <w:szCs w:val="21"/>
                <w:highlight w:val="none"/>
              </w:rPr>
            </w:pPr>
            <w:r>
              <w:rPr>
                <w:rFonts w:hint="eastAsia" w:ascii="宋体" w:cs="宋体"/>
                <w:color w:val="auto"/>
                <w:szCs w:val="21"/>
                <w:highlight w:val="none"/>
              </w:rPr>
              <w:t>序号</w:t>
            </w:r>
          </w:p>
        </w:tc>
        <w:tc>
          <w:tcPr>
            <w:tcW w:w="1044" w:type="dxa"/>
            <w:shd w:val="clear" w:color="auto" w:fill="auto"/>
            <w:noWrap/>
            <w:vAlign w:val="center"/>
          </w:tcPr>
          <w:p>
            <w:pPr>
              <w:spacing w:line="280" w:lineRule="exact"/>
              <w:jc w:val="center"/>
              <w:rPr>
                <w:rFonts w:ascii="宋体" w:cs="宋体"/>
                <w:color w:val="auto"/>
                <w:szCs w:val="21"/>
                <w:highlight w:val="none"/>
              </w:rPr>
            </w:pPr>
            <w:r>
              <w:rPr>
                <w:rFonts w:hint="eastAsia" w:ascii="宋体" w:cs="宋体"/>
                <w:color w:val="auto"/>
                <w:szCs w:val="21"/>
                <w:highlight w:val="none"/>
              </w:rPr>
              <w:t>考核项目</w:t>
            </w:r>
          </w:p>
        </w:tc>
        <w:tc>
          <w:tcPr>
            <w:tcW w:w="4636" w:type="dxa"/>
            <w:shd w:val="clear" w:color="000000" w:fill="FFFFFF"/>
            <w:noWrap/>
            <w:vAlign w:val="center"/>
          </w:tcPr>
          <w:p>
            <w:pPr>
              <w:spacing w:line="280" w:lineRule="exact"/>
              <w:jc w:val="center"/>
              <w:rPr>
                <w:rFonts w:ascii="宋体" w:cs="宋体"/>
                <w:color w:val="auto"/>
                <w:szCs w:val="21"/>
                <w:highlight w:val="none"/>
              </w:rPr>
            </w:pPr>
            <w:r>
              <w:rPr>
                <w:rFonts w:hint="eastAsia" w:ascii="宋体" w:cs="宋体"/>
                <w:color w:val="auto"/>
                <w:szCs w:val="21"/>
                <w:highlight w:val="none"/>
              </w:rPr>
              <w:t>考核标准</w:t>
            </w:r>
          </w:p>
        </w:tc>
        <w:tc>
          <w:tcPr>
            <w:tcW w:w="857" w:type="dxa"/>
            <w:shd w:val="clear" w:color="000000" w:fill="FFFFFF"/>
            <w:noWrap/>
            <w:vAlign w:val="center"/>
          </w:tcPr>
          <w:p>
            <w:pPr>
              <w:spacing w:line="280" w:lineRule="exact"/>
              <w:jc w:val="center"/>
              <w:rPr>
                <w:rFonts w:ascii="宋体" w:cs="宋体"/>
                <w:color w:val="auto"/>
                <w:szCs w:val="21"/>
                <w:highlight w:val="none"/>
              </w:rPr>
            </w:pPr>
            <w:r>
              <w:rPr>
                <w:rFonts w:hint="eastAsia" w:ascii="宋体" w:cs="宋体"/>
                <w:color w:val="auto"/>
                <w:szCs w:val="21"/>
                <w:highlight w:val="none"/>
              </w:rPr>
              <w:t>标准分</w:t>
            </w:r>
          </w:p>
        </w:tc>
        <w:tc>
          <w:tcPr>
            <w:tcW w:w="2165" w:type="dxa"/>
            <w:shd w:val="clear" w:color="000000" w:fill="FFFFFF"/>
            <w:noWrap/>
            <w:vAlign w:val="center"/>
          </w:tcPr>
          <w:p>
            <w:pPr>
              <w:spacing w:line="280" w:lineRule="exact"/>
              <w:jc w:val="center"/>
              <w:rPr>
                <w:rFonts w:ascii="宋体" w:cs="宋体"/>
                <w:color w:val="auto"/>
                <w:szCs w:val="21"/>
                <w:highlight w:val="none"/>
              </w:rPr>
            </w:pPr>
            <w:r>
              <w:rPr>
                <w:rFonts w:hint="eastAsia" w:ascii="宋体" w:cs="宋体"/>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75" w:type="dxa"/>
            <w:vMerge w:val="restart"/>
            <w:shd w:val="clear" w:color="auto" w:fill="auto"/>
            <w:noWrap/>
            <w:vAlign w:val="center"/>
          </w:tcPr>
          <w:p>
            <w:pPr>
              <w:spacing w:line="280" w:lineRule="exact"/>
              <w:jc w:val="center"/>
              <w:rPr>
                <w:rFonts w:ascii="宋体" w:cs="宋体"/>
                <w:color w:val="auto"/>
                <w:szCs w:val="21"/>
                <w:highlight w:val="none"/>
              </w:rPr>
            </w:pPr>
            <w:r>
              <w:rPr>
                <w:rFonts w:hint="eastAsia" w:ascii="宋体" w:cs="宋体"/>
                <w:color w:val="auto"/>
                <w:szCs w:val="21"/>
                <w:highlight w:val="none"/>
              </w:rPr>
              <w:t>1</w:t>
            </w:r>
          </w:p>
        </w:tc>
        <w:tc>
          <w:tcPr>
            <w:tcW w:w="1044" w:type="dxa"/>
            <w:vMerge w:val="restart"/>
            <w:shd w:val="clear" w:color="auto" w:fill="auto"/>
            <w:noWrap/>
            <w:vAlign w:val="center"/>
          </w:tcPr>
          <w:p>
            <w:pPr>
              <w:spacing w:line="280" w:lineRule="exact"/>
              <w:jc w:val="center"/>
              <w:rPr>
                <w:rFonts w:ascii="宋体" w:cs="宋体"/>
                <w:color w:val="auto"/>
                <w:szCs w:val="21"/>
                <w:highlight w:val="none"/>
              </w:rPr>
            </w:pPr>
            <w:r>
              <w:rPr>
                <w:rFonts w:hint="eastAsia" w:ascii="宋体" w:cs="宋体"/>
                <w:color w:val="auto"/>
                <w:szCs w:val="21"/>
                <w:highlight w:val="none"/>
              </w:rPr>
              <w:t>大厅</w:t>
            </w:r>
            <w:r>
              <w:rPr>
                <w:rFonts w:ascii="宋体" w:cs="宋体"/>
                <w:color w:val="auto"/>
                <w:szCs w:val="21"/>
                <w:highlight w:val="none"/>
              </w:rPr>
              <w:t>、楼道</w:t>
            </w:r>
            <w:r>
              <w:rPr>
                <w:rFonts w:hint="eastAsia" w:ascii="宋体" w:cs="宋体"/>
                <w:color w:val="auto"/>
                <w:szCs w:val="21"/>
                <w:highlight w:val="none"/>
              </w:rPr>
              <w:t>保洁服务</w:t>
            </w: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门、窗、台面、沙发、茶几、插座面板、标识牌等目视无灰尘、印渍、污渍</w:t>
            </w:r>
          </w:p>
        </w:tc>
        <w:tc>
          <w:tcPr>
            <w:tcW w:w="857" w:type="dxa"/>
            <w:vMerge w:val="restart"/>
            <w:shd w:val="clear" w:color="000000" w:fill="FFFFFF"/>
            <w:noWrap/>
            <w:vAlign w:val="center"/>
          </w:tcPr>
          <w:p>
            <w:pPr>
              <w:spacing w:line="280" w:lineRule="exact"/>
              <w:jc w:val="center"/>
              <w:rPr>
                <w:rFonts w:ascii="宋体" w:cs="宋体"/>
                <w:color w:val="auto"/>
                <w:szCs w:val="21"/>
                <w:highlight w:val="none"/>
              </w:rPr>
            </w:pPr>
            <w:r>
              <w:rPr>
                <w:rFonts w:ascii="宋体" w:cs="宋体"/>
                <w:color w:val="auto"/>
                <w:szCs w:val="21"/>
                <w:highlight w:val="none"/>
              </w:rPr>
              <w:t>10</w:t>
            </w:r>
            <w:r>
              <w:rPr>
                <w:rFonts w:hint="eastAsia" w:ascii="宋体" w:cs="宋体"/>
                <w:color w:val="auto"/>
                <w:szCs w:val="21"/>
                <w:highlight w:val="none"/>
              </w:rPr>
              <w:t>分</w:t>
            </w: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雨伞架摆放位置合理、整齐，雨伞放入锁扣或整理箱内，无随意乱放</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玻璃</w:t>
            </w:r>
            <w:r>
              <w:rPr>
                <w:rFonts w:ascii="宋体" w:cs="宋体"/>
                <w:color w:val="auto"/>
                <w:szCs w:val="21"/>
                <w:highlight w:val="none"/>
              </w:rPr>
              <w:t>、</w:t>
            </w:r>
            <w:r>
              <w:rPr>
                <w:rFonts w:hint="eastAsia" w:ascii="宋体" w:cs="宋体"/>
                <w:color w:val="auto"/>
                <w:szCs w:val="21"/>
                <w:highlight w:val="none"/>
              </w:rPr>
              <w:t>墙面、柱、花岗石、大理石目视干净、明亮、无浮尘、印渍</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消防设施外表及箱内无灰尘、污渍</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落地烟缸（垃圾桶）表面干净无污渍无积灰，烟缸内烟蒂不超过3个、石英沙平整干净，桶内保持干净、垃圾不超过三分之二</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排风口无积灰、污渍，空调进、出风口无积灰</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灯具目视无灰尘、污渍，灯罩内无死蚊、蝇、虫</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墙面、柱、花岗石、大理石目视无灰尘、污渍，大理石保养频次科学合理</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地面、地毯无垃圾、污渍，保养后地面光泽均匀</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不锈钢表面干净无污渍积灰</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天花目视干净无积灰、污渍、蜘蛛网</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75" w:type="dxa"/>
            <w:shd w:val="clear" w:color="auto" w:fill="auto"/>
            <w:noWrap/>
            <w:vAlign w:val="center"/>
          </w:tcPr>
          <w:p>
            <w:pPr>
              <w:rPr>
                <w:color w:val="auto"/>
                <w:highlight w:val="none"/>
              </w:rPr>
            </w:pPr>
          </w:p>
        </w:tc>
        <w:tc>
          <w:tcPr>
            <w:tcW w:w="1044" w:type="dxa"/>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消防通道目视干净无灰尘、无杂物；墙面、天花干净无积灰、污渍、蜘蛛网；照明及附属设备无灰尘、污渍</w:t>
            </w:r>
          </w:p>
        </w:tc>
        <w:tc>
          <w:tcPr>
            <w:tcW w:w="857" w:type="dxa"/>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不达标1项扣1-1.5分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75" w:type="dxa"/>
            <w:vMerge w:val="restart"/>
            <w:shd w:val="clear" w:color="auto" w:fill="auto"/>
            <w:noWrap/>
            <w:vAlign w:val="center"/>
          </w:tcPr>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r>
              <w:rPr>
                <w:rFonts w:ascii="宋体" w:cs="宋体"/>
                <w:color w:val="auto"/>
                <w:szCs w:val="21"/>
                <w:highlight w:val="none"/>
              </w:rPr>
              <w:t>2</w:t>
            </w: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tc>
        <w:tc>
          <w:tcPr>
            <w:tcW w:w="1044" w:type="dxa"/>
            <w:vMerge w:val="restart"/>
            <w:shd w:val="clear" w:color="auto" w:fill="auto"/>
            <w:noWrap/>
            <w:vAlign w:val="center"/>
          </w:tcPr>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r>
              <w:rPr>
                <w:rFonts w:hint="eastAsia" w:ascii="宋体" w:cs="宋体"/>
                <w:color w:val="auto"/>
                <w:szCs w:val="21"/>
                <w:highlight w:val="none"/>
              </w:rPr>
              <w:t>卫生间保洁服务</w:t>
            </w: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门、窗、踢脚线、开关插座面板、标识牌、目视无灰尘、印渍、污渍</w:t>
            </w:r>
          </w:p>
        </w:tc>
        <w:tc>
          <w:tcPr>
            <w:tcW w:w="857" w:type="dxa"/>
            <w:vMerge w:val="restart"/>
            <w:shd w:val="clear" w:color="000000" w:fill="FFFFFF"/>
            <w:noWrap/>
            <w:vAlign w:val="center"/>
          </w:tcPr>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r>
              <w:rPr>
                <w:rFonts w:ascii="宋体" w:cs="宋体"/>
                <w:color w:val="auto"/>
                <w:szCs w:val="21"/>
                <w:highlight w:val="none"/>
              </w:rPr>
              <w:t>10</w:t>
            </w:r>
            <w:r>
              <w:rPr>
                <w:rFonts w:hint="eastAsia" w:ascii="宋体" w:cs="宋体"/>
                <w:color w:val="auto"/>
                <w:szCs w:val="21"/>
                <w:highlight w:val="none"/>
              </w:rPr>
              <w:t>分</w:t>
            </w: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玻璃干净、明亮、无浮尘、印渍</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地面、台面干净、无污渍、无杂物</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隔屏板干净无污渍、涂画</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卫生纸架、烘手机，目视无尘灰</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墙面干净无浮尘、无污渍</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卫生洁具干净无污渍</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目视天花、灯具、墙角无灰尘、蜘蛛网</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垃圾桶表面干净无污渍，桶内套用垃圾袋，垃圾不超过三分之二</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灯具无灰尘，灯罩内无死蚊、蝇、虫</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75" w:type="dxa"/>
            <w:vMerge w:val="continue"/>
            <w:shd w:val="clear" w:color="auto" w:fill="auto"/>
            <w:noWrap/>
            <w:vAlign w:val="center"/>
          </w:tcPr>
          <w:p>
            <w:pPr>
              <w:rPr>
                <w:color w:val="auto"/>
                <w:highlight w:val="none"/>
              </w:rPr>
            </w:pPr>
          </w:p>
        </w:tc>
        <w:tc>
          <w:tcPr>
            <w:tcW w:w="1044"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ascii="宋体" w:cs="宋体"/>
                <w:color w:val="auto"/>
                <w:szCs w:val="21"/>
                <w:highlight w:val="none"/>
              </w:rPr>
              <w:t>保持空气流通，无明显异味</w:t>
            </w:r>
          </w:p>
        </w:tc>
        <w:tc>
          <w:tcPr>
            <w:tcW w:w="857"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洗手液、擦手纸和卫生纸不短缺</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75" w:type="dxa"/>
            <w:vMerge w:val="restart"/>
            <w:shd w:val="clear" w:color="auto" w:fill="auto"/>
            <w:noWrap/>
            <w:vAlign w:val="center"/>
          </w:tcPr>
          <w:p>
            <w:pPr>
              <w:spacing w:line="280" w:lineRule="exact"/>
              <w:jc w:val="center"/>
              <w:rPr>
                <w:rFonts w:ascii="宋体" w:cs="宋体"/>
                <w:color w:val="auto"/>
                <w:szCs w:val="21"/>
                <w:highlight w:val="none"/>
              </w:rPr>
            </w:pPr>
            <w:r>
              <w:rPr>
                <w:rFonts w:ascii="宋体" w:cs="宋体"/>
                <w:color w:val="auto"/>
                <w:szCs w:val="21"/>
                <w:highlight w:val="none"/>
              </w:rPr>
              <w:t>3</w:t>
            </w:r>
          </w:p>
        </w:tc>
        <w:tc>
          <w:tcPr>
            <w:tcW w:w="1044" w:type="dxa"/>
            <w:vMerge w:val="restart"/>
            <w:shd w:val="clear" w:color="auto" w:fill="auto"/>
            <w:noWrap/>
            <w:vAlign w:val="center"/>
          </w:tcPr>
          <w:p>
            <w:pPr>
              <w:spacing w:line="280" w:lineRule="exact"/>
              <w:jc w:val="center"/>
              <w:rPr>
                <w:rFonts w:ascii="宋体" w:cs="宋体"/>
                <w:color w:val="auto"/>
                <w:szCs w:val="21"/>
                <w:highlight w:val="none"/>
              </w:rPr>
            </w:pPr>
            <w:r>
              <w:rPr>
                <w:rFonts w:ascii="宋体" w:cs="宋体"/>
                <w:color w:val="auto"/>
                <w:szCs w:val="21"/>
                <w:highlight w:val="none"/>
              </w:rPr>
              <w:t>开</w:t>
            </w:r>
            <w:r>
              <w:rPr>
                <w:rFonts w:hint="eastAsia" w:ascii="宋体" w:cs="宋体"/>
                <w:color w:val="auto"/>
                <w:szCs w:val="21"/>
                <w:highlight w:val="none"/>
              </w:rPr>
              <w:t>水间</w:t>
            </w:r>
            <w:r>
              <w:rPr>
                <w:rFonts w:ascii="宋体" w:cs="宋体"/>
                <w:color w:val="auto"/>
                <w:szCs w:val="21"/>
                <w:highlight w:val="none"/>
              </w:rPr>
              <w:t>及清洁间</w:t>
            </w:r>
            <w:r>
              <w:rPr>
                <w:rFonts w:hint="eastAsia" w:ascii="宋体" w:cs="宋体"/>
                <w:color w:val="auto"/>
                <w:szCs w:val="21"/>
                <w:highlight w:val="none"/>
              </w:rPr>
              <w:t>保洁服务</w:t>
            </w: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门、窗、开关插座面板、标识牌、茶水器无灰尘、印渍、污垢、污渍</w:t>
            </w:r>
          </w:p>
        </w:tc>
        <w:tc>
          <w:tcPr>
            <w:tcW w:w="857" w:type="dxa"/>
            <w:vMerge w:val="restart"/>
            <w:shd w:val="clear" w:color="000000" w:fill="FFFFFF"/>
            <w:noWrap/>
            <w:vAlign w:val="center"/>
          </w:tcPr>
          <w:p>
            <w:pPr>
              <w:spacing w:line="280" w:lineRule="exact"/>
              <w:jc w:val="center"/>
              <w:rPr>
                <w:rFonts w:ascii="宋体" w:cs="宋体"/>
                <w:color w:val="auto"/>
                <w:szCs w:val="21"/>
                <w:highlight w:val="none"/>
              </w:rPr>
            </w:pPr>
            <w:r>
              <w:rPr>
                <w:rFonts w:ascii="宋体" w:cs="宋体"/>
                <w:color w:val="auto"/>
                <w:szCs w:val="21"/>
                <w:highlight w:val="none"/>
              </w:rPr>
              <w:t>10</w:t>
            </w:r>
            <w:r>
              <w:rPr>
                <w:rFonts w:hint="eastAsia" w:ascii="宋体" w:cs="宋体"/>
                <w:color w:val="auto"/>
                <w:szCs w:val="21"/>
                <w:highlight w:val="none"/>
              </w:rPr>
              <w:t>分</w:t>
            </w: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墙面、天花干净无积灰、无蜘蛛网</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台面、地面无积水，无杂物</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上、下水道通畅、无异味</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垃圾桶表面干净无污渍，桶内套用垃圾袋，垃圾不超过三分之二</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灯具无灰尘、污渍，灯罩内无死蚊、蝇、虫</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restart"/>
            <w:shd w:val="clear" w:color="auto" w:fill="auto"/>
            <w:noWrap/>
            <w:vAlign w:val="center"/>
          </w:tcPr>
          <w:p>
            <w:pPr>
              <w:spacing w:line="280" w:lineRule="exact"/>
              <w:jc w:val="center"/>
              <w:rPr>
                <w:rFonts w:ascii="宋体" w:cs="宋体"/>
                <w:color w:val="auto"/>
                <w:szCs w:val="21"/>
                <w:highlight w:val="none"/>
              </w:rPr>
            </w:pPr>
            <w:r>
              <w:rPr>
                <w:rFonts w:ascii="宋体" w:cs="宋体"/>
                <w:color w:val="auto"/>
                <w:szCs w:val="21"/>
                <w:highlight w:val="none"/>
              </w:rPr>
              <w:t>4</w:t>
            </w:r>
          </w:p>
        </w:tc>
        <w:tc>
          <w:tcPr>
            <w:tcW w:w="1044" w:type="dxa"/>
            <w:vMerge w:val="restart"/>
            <w:shd w:val="clear" w:color="auto" w:fill="auto"/>
            <w:noWrap/>
            <w:vAlign w:val="center"/>
          </w:tcPr>
          <w:p>
            <w:pPr>
              <w:spacing w:line="280" w:lineRule="exact"/>
              <w:jc w:val="center"/>
              <w:rPr>
                <w:rFonts w:ascii="宋体" w:cs="宋体"/>
                <w:color w:val="auto"/>
                <w:szCs w:val="21"/>
                <w:highlight w:val="none"/>
              </w:rPr>
            </w:pPr>
            <w:r>
              <w:rPr>
                <w:rFonts w:hint="eastAsia" w:ascii="宋体" w:cs="宋体"/>
                <w:color w:val="auto"/>
                <w:szCs w:val="21"/>
                <w:highlight w:val="none"/>
              </w:rPr>
              <w:t>电梯保洁服务</w:t>
            </w: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轿厢内地面干净无垃圾，门表面光亮</w:t>
            </w:r>
          </w:p>
        </w:tc>
        <w:tc>
          <w:tcPr>
            <w:tcW w:w="857" w:type="dxa"/>
            <w:vMerge w:val="restart"/>
            <w:shd w:val="clear" w:color="000000" w:fill="FFFFFF"/>
            <w:noWrap/>
            <w:vAlign w:val="center"/>
          </w:tcPr>
          <w:p>
            <w:pPr>
              <w:spacing w:line="280" w:lineRule="exact"/>
              <w:jc w:val="center"/>
              <w:rPr>
                <w:rFonts w:ascii="宋体" w:cs="宋体"/>
                <w:color w:val="auto"/>
                <w:szCs w:val="21"/>
                <w:highlight w:val="none"/>
              </w:rPr>
            </w:pPr>
            <w:r>
              <w:rPr>
                <w:rFonts w:ascii="宋体" w:cs="宋体"/>
                <w:color w:val="auto"/>
                <w:szCs w:val="21"/>
                <w:highlight w:val="none"/>
              </w:rPr>
              <w:t>10</w:t>
            </w:r>
            <w:r>
              <w:rPr>
                <w:rFonts w:hint="eastAsia" w:ascii="宋体" w:cs="宋体"/>
                <w:color w:val="auto"/>
                <w:szCs w:val="21"/>
                <w:highlight w:val="none"/>
              </w:rPr>
              <w:t>分</w:t>
            </w: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轿厢内壁、显示屏干净无灰尘、印渍、污渍</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不锈钢表面光亮无印渍</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排风口无积灰、污渍，空调进、出风口无积灰</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摄像头无灰尘、污渍、水渍</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目视天花干净无积灰、污渍、蜘蛛网</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灯具无灰尘、污渍，灯罩内无死蚊、蝇、虫</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restart"/>
            <w:shd w:val="clear" w:color="auto" w:fill="auto"/>
            <w:noWrap/>
            <w:vAlign w:val="center"/>
          </w:tcPr>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r>
              <w:rPr>
                <w:rFonts w:ascii="宋体" w:cs="宋体"/>
                <w:color w:val="auto"/>
                <w:szCs w:val="21"/>
                <w:highlight w:val="none"/>
              </w:rPr>
              <w:t>5</w:t>
            </w: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tc>
        <w:tc>
          <w:tcPr>
            <w:tcW w:w="1044" w:type="dxa"/>
            <w:vMerge w:val="restart"/>
            <w:shd w:val="clear" w:color="auto" w:fill="auto"/>
            <w:noWrap/>
            <w:vAlign w:val="center"/>
          </w:tcPr>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r>
              <w:rPr>
                <w:rFonts w:hint="eastAsia" w:ascii="宋体" w:cs="宋体"/>
                <w:color w:val="auto"/>
                <w:szCs w:val="21"/>
                <w:highlight w:val="none"/>
              </w:rPr>
              <w:t>外环境保洁服务</w:t>
            </w: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道路地面无垃圾、污垢，不积水</w:t>
            </w:r>
          </w:p>
        </w:tc>
        <w:tc>
          <w:tcPr>
            <w:tcW w:w="857" w:type="dxa"/>
            <w:vMerge w:val="restart"/>
            <w:shd w:val="clear" w:color="000000" w:fill="FFFFFF"/>
            <w:noWrap/>
            <w:vAlign w:val="center"/>
          </w:tcPr>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r>
              <w:rPr>
                <w:rFonts w:hint="eastAsia" w:ascii="宋体" w:cs="宋体"/>
                <w:color w:val="auto"/>
                <w:szCs w:val="21"/>
                <w:highlight w:val="none"/>
              </w:rPr>
              <w:t>1</w:t>
            </w:r>
            <w:r>
              <w:rPr>
                <w:rFonts w:ascii="宋体" w:cs="宋体"/>
                <w:color w:val="auto"/>
                <w:szCs w:val="21"/>
                <w:highlight w:val="none"/>
              </w:rPr>
              <w:t>0</w:t>
            </w:r>
            <w:r>
              <w:rPr>
                <w:rFonts w:hint="eastAsia" w:ascii="宋体" w:cs="宋体"/>
                <w:color w:val="auto"/>
                <w:szCs w:val="21"/>
                <w:highlight w:val="none"/>
              </w:rPr>
              <w:t>分</w:t>
            </w: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p>
            <w:pPr>
              <w:spacing w:line="280" w:lineRule="exact"/>
              <w:jc w:val="center"/>
              <w:rPr>
                <w:rFonts w:ascii="宋体" w:cs="宋体"/>
                <w:color w:val="auto"/>
                <w:szCs w:val="21"/>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垃圾桶表面干净无污渍无积灰，烟缸内烟蒂不超过3个、桶内干净、垃圾不超过三分之二</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垃圾房地面干净、无异味，墙面无污渍、粘附物，目视天花干净无积灰、污渍、蜘蛛网；垃圾桶表面无积灰、污渍，桶内垃圾不满溢，盖好垃圾桶盖；在垃圾房周围5米内进行消毒、灭虫</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消防设施外表无灰尘、污渍，箱内无积灰</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管线目视无灰尘、蜘蛛网</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照明设施无污渍，灯罩内无死蚊蝇、虫</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标识牌表面无灰尘、污渍</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花坛边沿无污渍</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雨篷顶部无积灰、杂物</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录像监控探头外壳无灰尘、污渍、水渍</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天台、平台无垃圾杂物，排水口畅通</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排水沟目视干净无杂物，下水道通畅</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外墙玻璃（低位）干净、明亮、无污渍</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75" w:type="dxa"/>
            <w:vMerge w:val="restart"/>
            <w:shd w:val="clear" w:color="auto" w:fill="auto"/>
            <w:noWrap/>
            <w:vAlign w:val="center"/>
          </w:tcPr>
          <w:p>
            <w:pPr>
              <w:spacing w:line="280" w:lineRule="exact"/>
              <w:jc w:val="center"/>
              <w:rPr>
                <w:rFonts w:ascii="宋体" w:cs="宋体"/>
                <w:color w:val="auto"/>
                <w:szCs w:val="21"/>
                <w:highlight w:val="none"/>
              </w:rPr>
            </w:pPr>
            <w:r>
              <w:rPr>
                <w:rFonts w:ascii="宋体" w:cs="宋体"/>
                <w:color w:val="auto"/>
                <w:szCs w:val="21"/>
                <w:highlight w:val="none"/>
              </w:rPr>
              <w:t>6</w:t>
            </w:r>
          </w:p>
        </w:tc>
        <w:tc>
          <w:tcPr>
            <w:tcW w:w="1044" w:type="dxa"/>
            <w:vMerge w:val="restart"/>
            <w:shd w:val="clear" w:color="auto" w:fill="auto"/>
            <w:noWrap/>
            <w:vAlign w:val="center"/>
          </w:tcPr>
          <w:p>
            <w:pPr>
              <w:spacing w:line="280" w:lineRule="exact"/>
              <w:jc w:val="center"/>
              <w:rPr>
                <w:rFonts w:ascii="宋体" w:cs="宋体"/>
                <w:color w:val="auto"/>
                <w:szCs w:val="21"/>
                <w:highlight w:val="none"/>
              </w:rPr>
            </w:pPr>
            <w:r>
              <w:rPr>
                <w:rFonts w:ascii="宋体" w:cs="宋体"/>
                <w:color w:val="auto"/>
                <w:szCs w:val="21"/>
                <w:highlight w:val="none"/>
              </w:rPr>
              <w:t>绿化养护</w:t>
            </w:r>
          </w:p>
        </w:tc>
        <w:tc>
          <w:tcPr>
            <w:tcW w:w="4636" w:type="dxa"/>
            <w:shd w:val="clear" w:color="000000" w:fill="FFFFFF"/>
            <w:noWrap/>
            <w:vAlign w:val="center"/>
          </w:tcPr>
          <w:p>
            <w:pPr>
              <w:spacing w:line="280" w:lineRule="exact"/>
              <w:rPr>
                <w:rFonts w:ascii="宋体" w:cs="宋体"/>
                <w:color w:val="auto"/>
                <w:szCs w:val="21"/>
                <w:highlight w:val="none"/>
              </w:rPr>
            </w:pPr>
            <w:r>
              <w:rPr>
                <w:rFonts w:ascii="宋体" w:cs="宋体"/>
                <w:color w:val="auto"/>
                <w:szCs w:val="21"/>
                <w:highlight w:val="none"/>
              </w:rPr>
              <w:t>花草长势良好，布局合理</w:t>
            </w:r>
          </w:p>
        </w:tc>
        <w:tc>
          <w:tcPr>
            <w:tcW w:w="857" w:type="dxa"/>
            <w:vMerge w:val="restart"/>
            <w:shd w:val="clear" w:color="auto" w:fill="auto"/>
            <w:noWrap/>
            <w:vAlign w:val="center"/>
          </w:tcPr>
          <w:p>
            <w:pPr>
              <w:spacing w:line="280" w:lineRule="exact"/>
              <w:jc w:val="center"/>
              <w:rPr>
                <w:rFonts w:ascii="宋体" w:cs="宋体"/>
                <w:color w:val="auto"/>
                <w:szCs w:val="21"/>
                <w:highlight w:val="none"/>
              </w:rPr>
            </w:pPr>
            <w:r>
              <w:rPr>
                <w:rFonts w:ascii="宋体" w:cs="宋体"/>
                <w:color w:val="auto"/>
                <w:szCs w:val="21"/>
                <w:highlight w:val="none"/>
              </w:rPr>
              <w:t>10分</w:t>
            </w: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ascii="宋体" w:cs="宋体"/>
                <w:color w:val="auto"/>
                <w:szCs w:val="21"/>
                <w:highlight w:val="none"/>
              </w:rPr>
              <w:t>有计划浇灌，无明显旱涝现象</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ascii="宋体" w:cs="宋体"/>
                <w:color w:val="auto"/>
                <w:szCs w:val="21"/>
                <w:highlight w:val="none"/>
              </w:rPr>
              <w:t>根据植物生长施肥，无营养不良现象</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ascii="宋体" w:cs="宋体"/>
                <w:color w:val="auto"/>
                <w:szCs w:val="21"/>
                <w:highlight w:val="none"/>
              </w:rPr>
              <w:t>根据虫害情况，做好杀虫工作</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ascii="宋体" w:cs="宋体"/>
                <w:color w:val="auto"/>
                <w:szCs w:val="21"/>
                <w:highlight w:val="none"/>
              </w:rPr>
              <w:t>对绿植整形修剪，保持美观</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ascii="宋体" w:cs="宋体"/>
                <w:color w:val="auto"/>
                <w:szCs w:val="21"/>
                <w:highlight w:val="none"/>
              </w:rPr>
              <w:t>做好极端天气绿植保护</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不达标扣2至5分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75" w:type="dxa"/>
            <w:vMerge w:val="restart"/>
            <w:shd w:val="clear" w:color="auto" w:fill="auto"/>
            <w:noWrap/>
            <w:vAlign w:val="center"/>
          </w:tcPr>
          <w:p>
            <w:pPr>
              <w:spacing w:line="280" w:lineRule="exact"/>
              <w:jc w:val="center"/>
              <w:rPr>
                <w:rFonts w:ascii="宋体" w:cs="宋体"/>
                <w:color w:val="auto"/>
                <w:szCs w:val="21"/>
                <w:highlight w:val="none"/>
              </w:rPr>
            </w:pPr>
            <w:r>
              <w:rPr>
                <w:rFonts w:ascii="宋体" w:cs="宋体"/>
                <w:color w:val="auto"/>
                <w:szCs w:val="21"/>
                <w:highlight w:val="none"/>
              </w:rPr>
              <w:t>7</w:t>
            </w:r>
          </w:p>
        </w:tc>
        <w:tc>
          <w:tcPr>
            <w:tcW w:w="1044" w:type="dxa"/>
            <w:vMerge w:val="restart"/>
            <w:shd w:val="clear" w:color="auto" w:fill="auto"/>
            <w:noWrap/>
            <w:vAlign w:val="center"/>
          </w:tcPr>
          <w:p>
            <w:pPr>
              <w:spacing w:line="280" w:lineRule="exact"/>
              <w:jc w:val="center"/>
              <w:rPr>
                <w:rFonts w:ascii="宋体" w:cs="宋体"/>
                <w:color w:val="auto"/>
                <w:szCs w:val="21"/>
                <w:highlight w:val="none"/>
              </w:rPr>
            </w:pPr>
            <w:r>
              <w:rPr>
                <w:rFonts w:ascii="宋体" w:cs="宋体"/>
                <w:color w:val="auto"/>
                <w:szCs w:val="21"/>
                <w:highlight w:val="none"/>
              </w:rPr>
              <w:t>病媒消杀</w:t>
            </w:r>
          </w:p>
        </w:tc>
        <w:tc>
          <w:tcPr>
            <w:tcW w:w="4636" w:type="dxa"/>
            <w:shd w:val="clear" w:color="000000" w:fill="FFFFFF"/>
            <w:noWrap/>
            <w:vAlign w:val="center"/>
          </w:tcPr>
          <w:p>
            <w:pPr>
              <w:spacing w:line="280" w:lineRule="exact"/>
              <w:rPr>
                <w:rFonts w:ascii="宋体" w:cs="宋体"/>
                <w:color w:val="auto"/>
                <w:szCs w:val="21"/>
                <w:highlight w:val="none"/>
              </w:rPr>
            </w:pPr>
            <w:r>
              <w:rPr>
                <w:rFonts w:ascii="宋体" w:cs="宋体"/>
                <w:color w:val="auto"/>
                <w:szCs w:val="21"/>
                <w:highlight w:val="none"/>
              </w:rPr>
              <w:t>消灭蚊虫、苍蝇、蟑螂、老鼠，达到爱卫会标准</w:t>
            </w:r>
          </w:p>
        </w:tc>
        <w:tc>
          <w:tcPr>
            <w:tcW w:w="857" w:type="dxa"/>
            <w:vMerge w:val="restart"/>
            <w:shd w:val="clear" w:color="auto" w:fill="auto"/>
            <w:noWrap/>
            <w:vAlign w:val="center"/>
          </w:tcPr>
          <w:p>
            <w:pPr>
              <w:spacing w:line="280" w:lineRule="exact"/>
              <w:jc w:val="center"/>
              <w:rPr>
                <w:rFonts w:ascii="宋体" w:cs="宋体"/>
                <w:color w:val="auto"/>
                <w:szCs w:val="21"/>
                <w:highlight w:val="none"/>
              </w:rPr>
            </w:pPr>
            <w:r>
              <w:rPr>
                <w:rFonts w:ascii="宋体" w:cs="宋体"/>
                <w:color w:val="auto"/>
                <w:szCs w:val="21"/>
                <w:highlight w:val="none"/>
              </w:rPr>
              <w:t>10分</w:t>
            </w: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75" w:type="dxa"/>
            <w:vMerge w:val="continue"/>
            <w:shd w:val="clear" w:color="auto" w:fill="auto"/>
            <w:noWrap/>
            <w:vAlign w:val="center"/>
          </w:tcPr>
          <w:p>
            <w:pPr>
              <w:rPr>
                <w:color w:val="auto"/>
                <w:highlight w:val="none"/>
              </w:rPr>
            </w:pPr>
          </w:p>
        </w:tc>
        <w:tc>
          <w:tcPr>
            <w:tcW w:w="1044"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ascii="宋体" w:cs="宋体"/>
                <w:color w:val="auto"/>
                <w:szCs w:val="21"/>
                <w:highlight w:val="none"/>
              </w:rPr>
              <w:t>投放药物预告告知，并有明显标识</w:t>
            </w:r>
          </w:p>
        </w:tc>
        <w:tc>
          <w:tcPr>
            <w:tcW w:w="857"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75" w:type="dxa"/>
            <w:vMerge w:val="continue"/>
            <w:shd w:val="clear" w:color="auto" w:fill="auto"/>
            <w:noWrap/>
            <w:vAlign w:val="center"/>
          </w:tcPr>
          <w:p>
            <w:pPr>
              <w:rPr>
                <w:color w:val="auto"/>
                <w:highlight w:val="none"/>
              </w:rPr>
            </w:pPr>
          </w:p>
        </w:tc>
        <w:tc>
          <w:tcPr>
            <w:tcW w:w="1044"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ascii="宋体" w:cs="宋体"/>
                <w:color w:val="auto"/>
                <w:szCs w:val="21"/>
                <w:highlight w:val="none"/>
              </w:rPr>
              <w:t>公共卫生间、电梯轿厢至少每日消毒1次</w:t>
            </w:r>
          </w:p>
        </w:tc>
        <w:tc>
          <w:tcPr>
            <w:tcW w:w="857"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75" w:type="dxa"/>
            <w:vMerge w:val="continue"/>
            <w:shd w:val="clear" w:color="auto" w:fill="auto"/>
            <w:noWrap/>
            <w:vAlign w:val="center"/>
          </w:tcPr>
          <w:p>
            <w:pPr>
              <w:rPr>
                <w:color w:val="auto"/>
                <w:highlight w:val="none"/>
              </w:rPr>
            </w:pPr>
          </w:p>
        </w:tc>
        <w:tc>
          <w:tcPr>
            <w:tcW w:w="1044"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ascii="宋体" w:cs="宋体"/>
                <w:color w:val="auto"/>
                <w:szCs w:val="21"/>
                <w:highlight w:val="none"/>
              </w:rPr>
              <w:t>垃圾收集容器每日至少消毒2次</w:t>
            </w:r>
          </w:p>
        </w:tc>
        <w:tc>
          <w:tcPr>
            <w:tcW w:w="857"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restart"/>
            <w:shd w:val="clear" w:color="auto" w:fill="auto"/>
            <w:noWrap/>
            <w:vAlign w:val="center"/>
          </w:tcPr>
          <w:p>
            <w:pPr>
              <w:rPr>
                <w:color w:val="auto"/>
                <w:highlight w:val="none"/>
              </w:rPr>
            </w:pPr>
            <w:r>
              <w:rPr>
                <w:color w:val="auto"/>
                <w:highlight w:val="none"/>
              </w:rPr>
              <w:t>8</w:t>
            </w:r>
          </w:p>
        </w:tc>
        <w:tc>
          <w:tcPr>
            <w:tcW w:w="1044" w:type="dxa"/>
            <w:vMerge w:val="restart"/>
            <w:shd w:val="clear" w:color="auto" w:fill="auto"/>
            <w:noWrap/>
            <w:vAlign w:val="center"/>
          </w:tcPr>
          <w:p>
            <w:pPr>
              <w:rPr>
                <w:color w:val="auto"/>
                <w:highlight w:val="none"/>
              </w:rPr>
            </w:pPr>
            <w:r>
              <w:rPr>
                <w:color w:val="auto"/>
                <w:highlight w:val="none"/>
              </w:rPr>
              <w:t>垃圾分类工作</w:t>
            </w: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分类收运程序规范</w:t>
            </w:r>
          </w:p>
        </w:tc>
        <w:tc>
          <w:tcPr>
            <w:tcW w:w="857" w:type="dxa"/>
            <w:vMerge w:val="restart"/>
            <w:shd w:val="clear" w:color="000000" w:fill="FFFFFF"/>
            <w:noWrap/>
            <w:vAlign w:val="center"/>
          </w:tcPr>
          <w:p>
            <w:pPr>
              <w:rPr>
                <w:color w:val="auto"/>
                <w:highlight w:val="none"/>
              </w:rPr>
            </w:pPr>
            <w:r>
              <w:rPr>
                <w:color w:val="auto"/>
                <w:highlight w:val="none"/>
              </w:rPr>
              <w:t>10分</w:t>
            </w: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分类精准投放引导、分拣</w:t>
            </w:r>
          </w:p>
        </w:tc>
        <w:tc>
          <w:tcPr>
            <w:tcW w:w="858" w:type="dxa"/>
            <w:vMerge w:val="continue"/>
            <w:shd w:val="clear" w:color="000000" w:fill="FFFFFF"/>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中转站收运制度、员工职责</w:t>
            </w:r>
          </w:p>
        </w:tc>
        <w:tc>
          <w:tcPr>
            <w:tcW w:w="858" w:type="dxa"/>
            <w:vMerge w:val="continue"/>
            <w:shd w:val="clear" w:color="000000" w:fill="FFFFFF"/>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生活垃圾清运和建筑垃圾清运及时、数据真实、台账完整</w:t>
            </w:r>
          </w:p>
        </w:tc>
        <w:tc>
          <w:tcPr>
            <w:tcW w:w="858" w:type="dxa"/>
            <w:vMerge w:val="continue"/>
            <w:shd w:val="clear" w:color="000000" w:fill="FFFFFF"/>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75" w:type="dxa"/>
            <w:vMerge w:val="restart"/>
            <w:shd w:val="clear" w:color="auto" w:fill="auto"/>
            <w:noWrap/>
            <w:vAlign w:val="center"/>
          </w:tcPr>
          <w:p>
            <w:pPr>
              <w:spacing w:line="280" w:lineRule="exact"/>
              <w:jc w:val="center"/>
              <w:rPr>
                <w:rFonts w:ascii="宋体" w:cs="宋体"/>
                <w:color w:val="auto"/>
                <w:szCs w:val="21"/>
                <w:highlight w:val="none"/>
              </w:rPr>
            </w:pPr>
            <w:r>
              <w:rPr>
                <w:rFonts w:ascii="宋体" w:cs="宋体"/>
                <w:color w:val="auto"/>
                <w:szCs w:val="21"/>
                <w:highlight w:val="none"/>
              </w:rPr>
              <w:t>9</w:t>
            </w:r>
          </w:p>
        </w:tc>
        <w:tc>
          <w:tcPr>
            <w:tcW w:w="1044" w:type="dxa"/>
            <w:vMerge w:val="restart"/>
            <w:shd w:val="clear" w:color="auto" w:fill="auto"/>
            <w:noWrap/>
            <w:vAlign w:val="center"/>
          </w:tcPr>
          <w:p>
            <w:pPr>
              <w:spacing w:line="280" w:lineRule="exact"/>
              <w:jc w:val="center"/>
              <w:rPr>
                <w:rFonts w:ascii="宋体" w:cs="宋体"/>
                <w:color w:val="auto"/>
                <w:szCs w:val="21"/>
                <w:highlight w:val="none"/>
              </w:rPr>
            </w:pPr>
            <w:r>
              <w:rPr>
                <w:rFonts w:hint="eastAsia" w:ascii="宋体" w:cs="宋体"/>
                <w:color w:val="auto"/>
                <w:szCs w:val="21"/>
                <w:highlight w:val="none"/>
              </w:rPr>
              <w:t>保洁设备和易耗品的使用管理</w:t>
            </w: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管理制度健全（采购制度、保管制度、领用制度、成本核算制度）、落实、无违反现象</w:t>
            </w:r>
          </w:p>
        </w:tc>
        <w:tc>
          <w:tcPr>
            <w:tcW w:w="857" w:type="dxa"/>
            <w:vMerge w:val="restart"/>
            <w:shd w:val="clear" w:color="000000" w:fill="FFFFFF"/>
            <w:noWrap/>
            <w:vAlign w:val="center"/>
          </w:tcPr>
          <w:p>
            <w:pPr>
              <w:spacing w:line="280" w:lineRule="exact"/>
              <w:jc w:val="center"/>
              <w:rPr>
                <w:rFonts w:ascii="宋体" w:cs="宋体"/>
                <w:color w:val="auto"/>
                <w:szCs w:val="21"/>
                <w:highlight w:val="none"/>
              </w:rPr>
            </w:pPr>
            <w:r>
              <w:rPr>
                <w:rFonts w:ascii="宋体" w:cs="宋体"/>
                <w:color w:val="auto"/>
                <w:szCs w:val="21"/>
                <w:highlight w:val="none"/>
              </w:rPr>
              <w:t>10</w:t>
            </w:r>
            <w:r>
              <w:rPr>
                <w:rFonts w:hint="eastAsia" w:ascii="宋体" w:cs="宋体"/>
                <w:color w:val="auto"/>
                <w:szCs w:val="21"/>
                <w:highlight w:val="none"/>
              </w:rPr>
              <w:t>分</w:t>
            </w: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不达标1项扣1-1.5分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保洁设施设备的使用、维护按规程执行，无违规和损坏现象</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不达标扣2至5分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实行6T管理流程，保洁易耗品的领用按标准执行，无管理混乱和使用过度现象，确保足量提供。</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台账记录及时、清晰、完整，按要求上传智能化信息平台</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保洁易耗品领用、库存记录清晰，月度报表呈报及时准确</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restart"/>
            <w:shd w:val="clear" w:color="auto" w:fill="auto"/>
            <w:noWrap/>
            <w:vAlign w:val="center"/>
          </w:tcPr>
          <w:p>
            <w:pPr>
              <w:spacing w:line="280" w:lineRule="exact"/>
              <w:jc w:val="center"/>
              <w:rPr>
                <w:rFonts w:ascii="宋体" w:cs="宋体"/>
                <w:color w:val="auto"/>
                <w:szCs w:val="21"/>
                <w:highlight w:val="none"/>
              </w:rPr>
            </w:pPr>
            <w:r>
              <w:rPr>
                <w:rFonts w:ascii="宋体" w:cs="宋体"/>
                <w:color w:val="auto"/>
                <w:szCs w:val="21"/>
                <w:highlight w:val="none"/>
              </w:rPr>
              <w:t>10</w:t>
            </w:r>
          </w:p>
        </w:tc>
        <w:tc>
          <w:tcPr>
            <w:tcW w:w="1044" w:type="dxa"/>
            <w:vMerge w:val="restart"/>
            <w:shd w:val="clear" w:color="auto" w:fill="auto"/>
            <w:noWrap/>
            <w:vAlign w:val="center"/>
          </w:tcPr>
          <w:p>
            <w:pPr>
              <w:spacing w:line="280" w:lineRule="exact"/>
              <w:jc w:val="center"/>
              <w:rPr>
                <w:rFonts w:ascii="宋体" w:cs="宋体"/>
                <w:color w:val="auto"/>
                <w:szCs w:val="21"/>
                <w:highlight w:val="none"/>
              </w:rPr>
            </w:pPr>
            <w:r>
              <w:rPr>
                <w:rFonts w:hint="eastAsia" w:ascii="宋体" w:cs="宋体"/>
                <w:color w:val="auto"/>
                <w:szCs w:val="21"/>
                <w:highlight w:val="none"/>
              </w:rPr>
              <w:t>节能</w:t>
            </w:r>
            <w:r>
              <w:rPr>
                <w:rFonts w:ascii="宋体" w:cs="宋体"/>
                <w:color w:val="auto"/>
                <w:szCs w:val="21"/>
                <w:highlight w:val="none"/>
              </w:rPr>
              <w:t>工作</w:t>
            </w: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公共区域空调开启时，保持门窗关闭</w:t>
            </w:r>
          </w:p>
        </w:tc>
        <w:tc>
          <w:tcPr>
            <w:tcW w:w="857" w:type="dxa"/>
            <w:vMerge w:val="restart"/>
            <w:shd w:val="clear" w:color="000000" w:fill="FFFFFF"/>
            <w:noWrap/>
            <w:vAlign w:val="center"/>
          </w:tcPr>
          <w:p>
            <w:pPr>
              <w:spacing w:line="280" w:lineRule="exact"/>
              <w:jc w:val="center"/>
              <w:rPr>
                <w:rFonts w:ascii="宋体" w:cs="宋体"/>
                <w:color w:val="auto"/>
                <w:szCs w:val="21"/>
                <w:highlight w:val="none"/>
              </w:rPr>
            </w:pPr>
            <w:r>
              <w:rPr>
                <w:rFonts w:ascii="宋体" w:cs="宋体"/>
                <w:color w:val="auto"/>
                <w:szCs w:val="21"/>
                <w:highlight w:val="none"/>
              </w:rPr>
              <w:t>10</w:t>
            </w:r>
            <w:r>
              <w:rPr>
                <w:rFonts w:hint="eastAsia" w:ascii="宋体" w:cs="宋体"/>
                <w:color w:val="auto"/>
                <w:szCs w:val="21"/>
                <w:highlight w:val="none"/>
              </w:rPr>
              <w:t>分</w:t>
            </w: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非工作时间关闭公区空调开关、电热开水器、卫生间换气扇、茶水间照明</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工作时间卫生间照明开启一路</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shd w:val="clear" w:color="auto" w:fill="auto"/>
            <w:noWrap/>
            <w:vAlign w:val="center"/>
          </w:tcPr>
          <w:p>
            <w:pPr>
              <w:rPr>
                <w:color w:val="auto"/>
                <w:highlight w:val="none"/>
              </w:rPr>
            </w:pPr>
          </w:p>
        </w:tc>
        <w:tc>
          <w:tcPr>
            <w:tcW w:w="1045" w:type="dxa"/>
            <w:vMerge w:val="continue"/>
            <w:shd w:val="clear" w:color="auto" w:fill="auto"/>
            <w:noWrap/>
            <w:vAlign w:val="center"/>
          </w:tcPr>
          <w:p>
            <w:pPr>
              <w:rPr>
                <w:color w:val="auto"/>
                <w:highlight w:val="none"/>
              </w:rPr>
            </w:pP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发现安全通道、楼层、电梯照明有损坏问题及时报修</w:t>
            </w:r>
          </w:p>
        </w:tc>
        <w:tc>
          <w:tcPr>
            <w:tcW w:w="858" w:type="dxa"/>
            <w:vMerge w:val="continue"/>
            <w:shd w:val="clear" w:color="auto" w:fill="auto"/>
            <w:noWrap/>
            <w:vAlign w:val="center"/>
          </w:tcPr>
          <w:p>
            <w:pPr>
              <w:rPr>
                <w:color w:val="auto"/>
                <w:highlight w:val="none"/>
              </w:rPr>
            </w:pP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不达标1项扣0.5-1分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5" w:type="dxa"/>
            <w:shd w:val="clear" w:color="auto" w:fill="auto"/>
            <w:noWrap/>
            <w:vAlign w:val="center"/>
          </w:tcPr>
          <w:p>
            <w:pPr>
              <w:spacing w:line="280" w:lineRule="exact"/>
              <w:jc w:val="center"/>
              <w:rPr>
                <w:rFonts w:ascii="宋体" w:cs="宋体"/>
                <w:color w:val="auto"/>
                <w:szCs w:val="21"/>
                <w:highlight w:val="none"/>
              </w:rPr>
            </w:pPr>
          </w:p>
        </w:tc>
        <w:tc>
          <w:tcPr>
            <w:tcW w:w="1044" w:type="dxa"/>
            <w:shd w:val="clear" w:color="auto" w:fill="auto"/>
            <w:noWrap/>
            <w:vAlign w:val="center"/>
          </w:tcPr>
          <w:p>
            <w:pPr>
              <w:spacing w:line="280" w:lineRule="exact"/>
              <w:jc w:val="center"/>
              <w:rPr>
                <w:rFonts w:ascii="宋体" w:cs="宋体"/>
                <w:color w:val="auto"/>
                <w:szCs w:val="21"/>
                <w:highlight w:val="none"/>
              </w:rPr>
            </w:pPr>
            <w:r>
              <w:rPr>
                <w:rFonts w:hint="eastAsia" w:ascii="宋体" w:cs="宋体"/>
                <w:color w:val="auto"/>
                <w:szCs w:val="21"/>
                <w:highlight w:val="none"/>
              </w:rPr>
              <w:t>小计</w:t>
            </w:r>
          </w:p>
        </w:tc>
        <w:tc>
          <w:tcPr>
            <w:tcW w:w="4636"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　</w:t>
            </w:r>
          </w:p>
        </w:tc>
        <w:tc>
          <w:tcPr>
            <w:tcW w:w="857" w:type="dxa"/>
            <w:shd w:val="clear" w:color="000000" w:fill="FFFFFF"/>
            <w:noWrap/>
            <w:vAlign w:val="center"/>
          </w:tcPr>
          <w:p>
            <w:pPr>
              <w:spacing w:line="280" w:lineRule="exact"/>
              <w:jc w:val="center"/>
              <w:rPr>
                <w:rFonts w:ascii="宋体" w:cs="宋体"/>
                <w:color w:val="auto"/>
                <w:szCs w:val="21"/>
                <w:highlight w:val="none"/>
              </w:rPr>
            </w:pPr>
            <w:r>
              <w:rPr>
                <w:rFonts w:hint="eastAsia" w:ascii="宋体" w:cs="宋体"/>
                <w:color w:val="auto"/>
                <w:szCs w:val="21"/>
                <w:highlight w:val="none"/>
              </w:rPr>
              <w:t>100分</w:t>
            </w:r>
          </w:p>
        </w:tc>
        <w:tc>
          <w:tcPr>
            <w:tcW w:w="2165" w:type="dxa"/>
            <w:shd w:val="clear" w:color="000000" w:fill="FFFFFF"/>
            <w:noWrap/>
            <w:vAlign w:val="center"/>
          </w:tcPr>
          <w:p>
            <w:pPr>
              <w:spacing w:line="280" w:lineRule="exact"/>
              <w:rPr>
                <w:rFonts w:ascii="宋体" w:cs="宋体"/>
                <w:color w:val="auto"/>
                <w:szCs w:val="21"/>
                <w:highlight w:val="none"/>
              </w:rPr>
            </w:pPr>
            <w:r>
              <w:rPr>
                <w:rFonts w:hint="eastAsia" w:ascii="宋体" w:cs="宋体"/>
                <w:color w:val="auto"/>
                <w:szCs w:val="21"/>
                <w:highlight w:val="none"/>
              </w:rPr>
              <w:t>　</w:t>
            </w:r>
          </w:p>
        </w:tc>
      </w:tr>
    </w:tbl>
    <w:p>
      <w:pPr>
        <w:widowControl/>
        <w:spacing w:before="150" w:after="150"/>
        <w:rPr>
          <w:rFonts w:ascii="宋体" w:cs="宋体"/>
          <w:b/>
          <w:color w:val="auto"/>
          <w:sz w:val="24"/>
          <w:highlight w:val="none"/>
        </w:rPr>
      </w:pPr>
      <w:r>
        <w:rPr>
          <w:rFonts w:ascii="宋体" w:cs="宋体"/>
          <w:b/>
          <w:color w:val="auto"/>
          <w:sz w:val="24"/>
          <w:highlight w:val="none"/>
        </w:rPr>
        <w:t>4</w:t>
      </w:r>
      <w:r>
        <w:rPr>
          <w:rFonts w:hint="eastAsia" w:ascii="宋体" w:cs="宋体"/>
          <w:b/>
          <w:color w:val="auto"/>
          <w:sz w:val="24"/>
          <w:highlight w:val="none"/>
        </w:rPr>
        <w:t>.安保监管月考核细则</w:t>
      </w:r>
    </w:p>
    <w:tbl>
      <w:tblPr>
        <w:tblStyle w:val="20"/>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34"/>
        <w:gridCol w:w="3458"/>
        <w:gridCol w:w="1026"/>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blHeader/>
          <w:jc w:val="center"/>
        </w:trPr>
        <w:tc>
          <w:tcPr>
            <w:tcW w:w="681" w:type="dxa"/>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序号</w:t>
            </w:r>
          </w:p>
        </w:tc>
        <w:tc>
          <w:tcPr>
            <w:tcW w:w="1134" w:type="dxa"/>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考核项目</w:t>
            </w:r>
          </w:p>
        </w:tc>
        <w:tc>
          <w:tcPr>
            <w:tcW w:w="3458"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考核标准</w:t>
            </w:r>
          </w:p>
        </w:tc>
        <w:tc>
          <w:tcPr>
            <w:tcW w:w="1026"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标准分</w:t>
            </w:r>
          </w:p>
        </w:tc>
        <w:tc>
          <w:tcPr>
            <w:tcW w:w="3085"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1" w:type="dxa"/>
            <w:vMerge w:val="restart"/>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1</w:t>
            </w:r>
          </w:p>
        </w:tc>
        <w:tc>
          <w:tcPr>
            <w:tcW w:w="1134" w:type="dxa"/>
            <w:vMerge w:val="restart"/>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工作计划、实施和总结</w:t>
            </w: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每年11月30日前向监管提交本年度工作总结和下年度工作计划</w:t>
            </w:r>
          </w:p>
        </w:tc>
        <w:tc>
          <w:tcPr>
            <w:tcW w:w="1026" w:type="dxa"/>
            <w:vMerge w:val="restart"/>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5分</w:t>
            </w: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不达标每项扣5分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制定月工作计划，按月及时完成，工作每月有小结，于28日前报监管</w:t>
            </w:r>
          </w:p>
        </w:tc>
        <w:tc>
          <w:tcPr>
            <w:tcW w:w="1026" w:type="dxa"/>
            <w:vMerge w:val="continue"/>
            <w:shd w:val="clear" w:color="auto" w:fill="auto"/>
            <w:noWrap w:val="0"/>
            <w:vAlign w:val="center"/>
          </w:tcPr>
          <w:p>
            <w:pPr>
              <w:rPr>
                <w:color w:val="auto"/>
                <w:highlight w:val="none"/>
              </w:rPr>
            </w:pP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不达标每项扣1-2分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8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对监管安排的工作能有效落实</w:t>
            </w:r>
          </w:p>
        </w:tc>
        <w:tc>
          <w:tcPr>
            <w:tcW w:w="1026" w:type="dxa"/>
            <w:vMerge w:val="continue"/>
            <w:shd w:val="clear" w:color="auto" w:fill="auto"/>
            <w:noWrap w:val="0"/>
            <w:vAlign w:val="center"/>
          </w:tcPr>
          <w:p>
            <w:pPr>
              <w:rPr>
                <w:color w:val="auto"/>
                <w:highlight w:val="none"/>
              </w:rPr>
            </w:pP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不达标每项（次）扣1分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对工作中存在的问题能及时发现并落实整改</w:t>
            </w:r>
          </w:p>
        </w:tc>
        <w:tc>
          <w:tcPr>
            <w:tcW w:w="1026" w:type="dxa"/>
            <w:vMerge w:val="continue"/>
            <w:shd w:val="clear" w:color="auto" w:fill="auto"/>
            <w:noWrap w:val="0"/>
            <w:vAlign w:val="center"/>
          </w:tcPr>
          <w:p>
            <w:pPr>
              <w:rPr>
                <w:color w:val="auto"/>
                <w:highlight w:val="none"/>
              </w:rPr>
            </w:pP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不达标的第一次扣1分，第二次扣2分，依次翻倍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81" w:type="dxa"/>
            <w:vMerge w:val="restart"/>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2</w:t>
            </w:r>
          </w:p>
        </w:tc>
        <w:tc>
          <w:tcPr>
            <w:tcW w:w="1134" w:type="dxa"/>
            <w:vMerge w:val="restart"/>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队伍组建</w:t>
            </w: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安保人员必须按照要求到公安机关登记备案</w:t>
            </w:r>
          </w:p>
        </w:tc>
        <w:tc>
          <w:tcPr>
            <w:tcW w:w="1026" w:type="dxa"/>
            <w:vMerge w:val="restart"/>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15分</w:t>
            </w: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不达标每人次扣1分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安保人员必须具备从事相应岗位的工作能力，培训合格，持证上岗。</w:t>
            </w:r>
          </w:p>
        </w:tc>
        <w:tc>
          <w:tcPr>
            <w:tcW w:w="1026" w:type="dxa"/>
            <w:vMerge w:val="continue"/>
            <w:shd w:val="clear" w:color="auto" w:fill="auto"/>
            <w:noWrap w:val="0"/>
            <w:vAlign w:val="center"/>
          </w:tcPr>
          <w:p>
            <w:pPr>
              <w:rPr>
                <w:color w:val="auto"/>
                <w:highlight w:val="none"/>
              </w:rPr>
            </w:pP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不达标每人次扣1分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消防专职人员、消控室操作员必须具备从事相应岗位的工作能力，持证上岗率达100%，确保队伍稳定</w:t>
            </w:r>
          </w:p>
        </w:tc>
        <w:tc>
          <w:tcPr>
            <w:tcW w:w="1026" w:type="dxa"/>
            <w:vMerge w:val="continue"/>
            <w:shd w:val="clear" w:color="auto" w:fill="auto"/>
            <w:noWrap w:val="0"/>
            <w:vAlign w:val="center"/>
          </w:tcPr>
          <w:p>
            <w:pPr>
              <w:rPr>
                <w:color w:val="auto"/>
                <w:highlight w:val="none"/>
              </w:rPr>
            </w:pP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不达标扣2至5分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制定完善的教育和培训计划，做好各类安全、防火宣传工作，每月不少于1次，且“时间、人员、内容”三落实</w:t>
            </w:r>
          </w:p>
        </w:tc>
        <w:tc>
          <w:tcPr>
            <w:tcW w:w="1026" w:type="dxa"/>
            <w:vMerge w:val="continue"/>
            <w:shd w:val="clear" w:color="auto" w:fill="auto"/>
            <w:noWrap w:val="0"/>
            <w:vAlign w:val="center"/>
          </w:tcPr>
          <w:p>
            <w:pPr>
              <w:rPr>
                <w:color w:val="auto"/>
                <w:highlight w:val="none"/>
              </w:rPr>
            </w:pP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应组建义务消防队，其队员的数量不少于中标人人数的15%，由安保部负责牵头落实</w:t>
            </w:r>
          </w:p>
        </w:tc>
        <w:tc>
          <w:tcPr>
            <w:tcW w:w="1026" w:type="dxa"/>
            <w:vMerge w:val="continue"/>
            <w:shd w:val="clear" w:color="auto" w:fill="auto"/>
            <w:noWrap w:val="0"/>
            <w:vAlign w:val="center"/>
          </w:tcPr>
          <w:p>
            <w:pPr>
              <w:rPr>
                <w:color w:val="auto"/>
                <w:highlight w:val="none"/>
              </w:rPr>
            </w:pP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义务消防队员应掌握消防安全知识和灭火的基本技能，每月开展消防训练或演练</w:t>
            </w:r>
          </w:p>
        </w:tc>
        <w:tc>
          <w:tcPr>
            <w:tcW w:w="1026" w:type="dxa"/>
            <w:vMerge w:val="continue"/>
            <w:shd w:val="clear" w:color="auto" w:fill="auto"/>
            <w:noWrap w:val="0"/>
            <w:vAlign w:val="center"/>
          </w:tcPr>
          <w:p>
            <w:pPr>
              <w:rPr>
                <w:color w:val="auto"/>
                <w:highlight w:val="none"/>
              </w:rPr>
            </w:pP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不达标扣2至5分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火灾时应履行扑救火灾和引导人员疏散的义务</w:t>
            </w:r>
          </w:p>
        </w:tc>
        <w:tc>
          <w:tcPr>
            <w:tcW w:w="1026" w:type="dxa"/>
            <w:vMerge w:val="continue"/>
            <w:shd w:val="clear" w:color="auto" w:fill="auto"/>
            <w:noWrap w:val="0"/>
            <w:vAlign w:val="center"/>
          </w:tcPr>
          <w:p>
            <w:pPr>
              <w:rPr>
                <w:color w:val="auto"/>
                <w:highlight w:val="none"/>
              </w:rPr>
            </w:pP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1" w:type="dxa"/>
            <w:vMerge w:val="restart"/>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3</w:t>
            </w:r>
          </w:p>
        </w:tc>
        <w:tc>
          <w:tcPr>
            <w:tcW w:w="1134" w:type="dxa"/>
            <w:vMerge w:val="restart"/>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人员考核</w:t>
            </w: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按招标文件或业主方要求配备安保人员，采取措施，减少人员流动，确保队伍稳定，人员流动每月不得超过</w:t>
            </w:r>
            <w:r>
              <w:rPr>
                <w:rFonts w:ascii="宋体" w:cs="宋体"/>
                <w:color w:val="auto"/>
                <w:szCs w:val="21"/>
                <w:highlight w:val="none"/>
              </w:rPr>
              <w:t>2</w:t>
            </w:r>
            <w:r>
              <w:rPr>
                <w:rFonts w:hint="eastAsia" w:ascii="宋体" w:cs="宋体"/>
                <w:color w:val="auto"/>
                <w:szCs w:val="21"/>
                <w:highlight w:val="none"/>
              </w:rPr>
              <w:t>人</w:t>
            </w:r>
          </w:p>
        </w:tc>
        <w:tc>
          <w:tcPr>
            <w:tcW w:w="1026" w:type="dxa"/>
            <w:vMerge w:val="restart"/>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15分</w:t>
            </w: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不达标一人扣1分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人员流动须提前30天报监管备案</w:t>
            </w:r>
          </w:p>
        </w:tc>
        <w:tc>
          <w:tcPr>
            <w:tcW w:w="1026" w:type="dxa"/>
            <w:vMerge w:val="continue"/>
            <w:shd w:val="clear" w:color="auto" w:fill="auto"/>
            <w:noWrap w:val="0"/>
            <w:vAlign w:val="center"/>
          </w:tcPr>
          <w:p>
            <w:pPr>
              <w:rPr>
                <w:color w:val="auto"/>
                <w:highlight w:val="none"/>
              </w:rPr>
            </w:pP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不达标每人次扣1分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按设定岗位和排班表确保相应人员在岗在位，如上岗人员有变动，须以书面形式提前1天报监管。</w:t>
            </w:r>
          </w:p>
        </w:tc>
        <w:tc>
          <w:tcPr>
            <w:tcW w:w="1026" w:type="dxa"/>
            <w:vMerge w:val="continue"/>
            <w:shd w:val="clear" w:color="auto" w:fill="auto"/>
            <w:noWrap w:val="0"/>
            <w:vAlign w:val="center"/>
          </w:tcPr>
          <w:p>
            <w:pPr>
              <w:rPr>
                <w:color w:val="auto"/>
                <w:highlight w:val="none"/>
              </w:rPr>
            </w:pP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不达标每人次扣0.5-2分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新进实习人员须进行至少7天的岗前培训，培训期间不得单独上岗。</w:t>
            </w:r>
          </w:p>
        </w:tc>
        <w:tc>
          <w:tcPr>
            <w:tcW w:w="1026" w:type="dxa"/>
            <w:vMerge w:val="continue"/>
            <w:shd w:val="clear" w:color="auto" w:fill="auto"/>
            <w:noWrap w:val="0"/>
            <w:vAlign w:val="center"/>
          </w:tcPr>
          <w:p>
            <w:pPr>
              <w:rPr>
                <w:color w:val="auto"/>
                <w:highlight w:val="none"/>
              </w:rPr>
            </w:pP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1" w:type="dxa"/>
            <w:vMerge w:val="restart"/>
            <w:shd w:val="clear" w:color="auto" w:fill="auto"/>
            <w:noWrap w:val="0"/>
            <w:vAlign w:val="center"/>
          </w:tcPr>
          <w:p>
            <w:pPr>
              <w:jc w:val="center"/>
              <w:rPr>
                <w:rFonts w:ascii="宋体" w:cs="宋体"/>
                <w:color w:val="auto"/>
                <w:szCs w:val="21"/>
                <w:highlight w:val="none"/>
              </w:rPr>
            </w:pPr>
          </w:p>
          <w:p>
            <w:pPr>
              <w:jc w:val="center"/>
              <w:rPr>
                <w:rFonts w:ascii="宋体" w:cs="宋体"/>
                <w:color w:val="auto"/>
                <w:szCs w:val="21"/>
                <w:highlight w:val="none"/>
              </w:rPr>
            </w:pPr>
          </w:p>
          <w:p>
            <w:pPr>
              <w:jc w:val="center"/>
              <w:rPr>
                <w:rFonts w:ascii="宋体" w:cs="宋体"/>
                <w:color w:val="auto"/>
                <w:szCs w:val="21"/>
                <w:highlight w:val="none"/>
              </w:rPr>
            </w:pPr>
            <w:r>
              <w:rPr>
                <w:rFonts w:hint="eastAsia" w:ascii="宋体" w:cs="宋体"/>
                <w:color w:val="auto"/>
                <w:szCs w:val="21"/>
                <w:highlight w:val="none"/>
              </w:rPr>
              <w:t>4</w:t>
            </w:r>
          </w:p>
        </w:tc>
        <w:tc>
          <w:tcPr>
            <w:tcW w:w="1134" w:type="dxa"/>
            <w:vMerge w:val="restart"/>
            <w:shd w:val="clear" w:color="auto" w:fill="auto"/>
            <w:noWrap w:val="0"/>
            <w:vAlign w:val="center"/>
          </w:tcPr>
          <w:p>
            <w:pPr>
              <w:jc w:val="center"/>
              <w:rPr>
                <w:rFonts w:ascii="宋体" w:cs="宋体"/>
                <w:color w:val="auto"/>
                <w:szCs w:val="21"/>
                <w:highlight w:val="none"/>
              </w:rPr>
            </w:pPr>
          </w:p>
          <w:p>
            <w:pPr>
              <w:jc w:val="center"/>
              <w:rPr>
                <w:rFonts w:ascii="宋体" w:cs="宋体"/>
                <w:color w:val="auto"/>
                <w:szCs w:val="21"/>
                <w:highlight w:val="none"/>
              </w:rPr>
            </w:pPr>
          </w:p>
          <w:p>
            <w:pPr>
              <w:jc w:val="center"/>
              <w:rPr>
                <w:rFonts w:ascii="宋体" w:cs="宋体"/>
                <w:color w:val="auto"/>
                <w:szCs w:val="21"/>
                <w:highlight w:val="none"/>
              </w:rPr>
            </w:pPr>
            <w:r>
              <w:rPr>
                <w:rFonts w:hint="eastAsia" w:ascii="宋体" w:cs="宋体"/>
                <w:color w:val="auto"/>
                <w:szCs w:val="21"/>
                <w:highlight w:val="none"/>
              </w:rPr>
              <w:t>岗位</w:t>
            </w:r>
            <w:r>
              <w:rPr>
                <w:rFonts w:ascii="宋体" w:cs="宋体"/>
                <w:color w:val="auto"/>
                <w:szCs w:val="21"/>
                <w:highlight w:val="none"/>
              </w:rPr>
              <w:t>职责</w:t>
            </w: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制定完善的岗位职责、服务标准和规章制度，并落实到岗到人</w:t>
            </w:r>
          </w:p>
        </w:tc>
        <w:tc>
          <w:tcPr>
            <w:tcW w:w="1026" w:type="dxa"/>
            <w:vMerge w:val="restart"/>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20分</w:t>
            </w: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不达标每次扣1-2分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各岗位人员能熟练使用现有设备，熟记本岗位工作职责，胜任岗位要求，认真落实各项工作</w:t>
            </w:r>
          </w:p>
        </w:tc>
        <w:tc>
          <w:tcPr>
            <w:tcW w:w="1026" w:type="dxa"/>
            <w:vMerge w:val="continue"/>
            <w:shd w:val="clear" w:color="auto" w:fill="auto"/>
            <w:noWrap w:val="0"/>
            <w:vAlign w:val="center"/>
          </w:tcPr>
          <w:p>
            <w:pPr>
              <w:rPr>
                <w:color w:val="auto"/>
                <w:highlight w:val="none"/>
              </w:rPr>
            </w:pP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不达标一人次扣1分，被有效投诉一人次扣1-5分；工作未完成或失误一人次扣1分，造成重大影响的扣2-10分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8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根据公安部61号令，每日进行防火巡查，并确定巡查的人员、内容、部位和频次；公众聚集场所(如大型会议、服务大厅等)每二小时进行一次防火巡查；每月进行一次全面防火检查。填写巡查检查记录。涉及明火施工必须按照动火制度实施，应进行防火巡查，现场监督</w:t>
            </w:r>
          </w:p>
        </w:tc>
        <w:tc>
          <w:tcPr>
            <w:tcW w:w="1026" w:type="dxa"/>
            <w:vMerge w:val="continue"/>
            <w:shd w:val="clear" w:color="auto" w:fill="auto"/>
            <w:noWrap w:val="0"/>
            <w:vAlign w:val="center"/>
          </w:tcPr>
          <w:p>
            <w:pPr>
              <w:rPr>
                <w:color w:val="auto"/>
                <w:highlight w:val="none"/>
              </w:rPr>
            </w:pP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每日未进行防火巡查的每幢楼（含二期）扣1分；每月未进行防火检查的每幢楼（含二期）扣2分；未按照动火制度实施的扣5分；未进行防火巡查、现场监督的扣5分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发现消防隐患应及时消除，对不能当场消除的，及时上报，明确整改要求、期限、被整改的部门等内容。在火险隐患未消除前，应有防范措施，保障安全</w:t>
            </w:r>
          </w:p>
        </w:tc>
        <w:tc>
          <w:tcPr>
            <w:tcW w:w="1026" w:type="dxa"/>
            <w:vMerge w:val="continue"/>
            <w:shd w:val="clear" w:color="auto" w:fill="auto"/>
            <w:noWrap w:val="0"/>
            <w:vAlign w:val="center"/>
          </w:tcPr>
          <w:p>
            <w:pPr>
              <w:rPr>
                <w:color w:val="auto"/>
                <w:highlight w:val="none"/>
              </w:rPr>
            </w:pP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不达标扣2至5分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8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按时间、按要求进行巡更打点。</w:t>
            </w:r>
          </w:p>
        </w:tc>
        <w:tc>
          <w:tcPr>
            <w:tcW w:w="1026" w:type="dxa"/>
            <w:vMerge w:val="continue"/>
            <w:shd w:val="clear" w:color="auto" w:fill="auto"/>
            <w:noWrap w:val="0"/>
            <w:vAlign w:val="center"/>
          </w:tcPr>
          <w:p>
            <w:pPr>
              <w:rPr>
                <w:color w:val="auto"/>
                <w:highlight w:val="none"/>
              </w:rPr>
            </w:pP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消控室值班人员经过专业培训持证上岗，熟悉消防各类设备设施操作技能，并熟练掌握火警处置及启动消防设施设备的程序和方法。消防专职人员熟练掌握消防设施的故障原因和应急处理办法、并及时上报</w:t>
            </w:r>
            <w:r>
              <w:rPr>
                <w:rFonts w:ascii="宋体" w:cs="宋体"/>
                <w:color w:val="auto"/>
                <w:szCs w:val="21"/>
                <w:highlight w:val="none"/>
              </w:rPr>
              <w:t>，监控设施24小时正常运行，保持完整记录，保持值班电话畅通。</w:t>
            </w:r>
          </w:p>
        </w:tc>
        <w:tc>
          <w:tcPr>
            <w:tcW w:w="1026" w:type="dxa"/>
            <w:vMerge w:val="continue"/>
            <w:shd w:val="clear" w:color="auto" w:fill="auto"/>
            <w:noWrap w:val="0"/>
            <w:vAlign w:val="center"/>
          </w:tcPr>
          <w:p>
            <w:pPr>
              <w:rPr>
                <w:color w:val="auto"/>
                <w:highlight w:val="none"/>
              </w:rPr>
            </w:pP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8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各岗位保持清洁卫生</w:t>
            </w:r>
          </w:p>
        </w:tc>
        <w:tc>
          <w:tcPr>
            <w:tcW w:w="1026" w:type="dxa"/>
            <w:vMerge w:val="continue"/>
            <w:shd w:val="clear" w:color="auto" w:fill="auto"/>
            <w:noWrap w:val="0"/>
            <w:vAlign w:val="center"/>
          </w:tcPr>
          <w:p>
            <w:pPr>
              <w:rPr>
                <w:color w:val="auto"/>
                <w:highlight w:val="none"/>
              </w:rPr>
            </w:pP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81" w:type="dxa"/>
            <w:vMerge w:val="restart"/>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5</w:t>
            </w:r>
          </w:p>
        </w:tc>
        <w:tc>
          <w:tcPr>
            <w:tcW w:w="1134" w:type="dxa"/>
            <w:vMerge w:val="restart"/>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设施设备管理</w:t>
            </w:r>
            <w:r>
              <w:rPr>
                <w:rFonts w:ascii="宋体" w:cs="宋体"/>
                <w:color w:val="auto"/>
                <w:szCs w:val="21"/>
                <w:highlight w:val="none"/>
              </w:rPr>
              <w:t>服务</w:t>
            </w: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熟练掌握所有安防设备位置、使用方法。维护安防设备，不发生人为损坏，不把设备用于与工作无关的事，保证设备外表的清洁卫生</w:t>
            </w:r>
          </w:p>
        </w:tc>
        <w:tc>
          <w:tcPr>
            <w:tcW w:w="1026" w:type="dxa"/>
            <w:vMerge w:val="restart"/>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10分</w:t>
            </w: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一项设备不掌握的扣1分；设备不清洁卫生的扣1分；设备发生人为损坏或者把设备用于与工作无关的事，扣2-5分并赔偿损失；造成重大损失或影响的扣6-10分并赔偿损失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每月至少一次对所有安防设备进行全面检查和测试。设备发生故障时及时向设备管理部门（人员）和维保单位报修并提交监管备案；对维修项目进行跟踪和报备</w:t>
            </w:r>
          </w:p>
        </w:tc>
        <w:tc>
          <w:tcPr>
            <w:tcW w:w="1026" w:type="dxa"/>
            <w:vMerge w:val="continue"/>
            <w:shd w:val="clear" w:color="auto" w:fill="auto"/>
            <w:noWrap w:val="0"/>
            <w:vAlign w:val="center"/>
          </w:tcPr>
          <w:p>
            <w:pPr>
              <w:rPr>
                <w:color w:val="auto"/>
                <w:highlight w:val="none"/>
              </w:rPr>
            </w:pP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不达标每项扣1-2分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掌握安防设备常见故障排除方法和应急处理办法，制定应急预案并进行演练,各项演练每年不少于1次</w:t>
            </w:r>
          </w:p>
        </w:tc>
        <w:tc>
          <w:tcPr>
            <w:tcW w:w="1026" w:type="dxa"/>
            <w:vMerge w:val="continue"/>
            <w:shd w:val="clear" w:color="auto" w:fill="auto"/>
            <w:noWrap w:val="0"/>
            <w:vAlign w:val="center"/>
          </w:tcPr>
          <w:p>
            <w:pPr>
              <w:rPr>
                <w:color w:val="auto"/>
                <w:highlight w:val="none"/>
              </w:rPr>
            </w:pP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应急预案不制定或不演练的扣1-2分；应急方法不掌握的扣1-2分，造成重大损失或影响的扣3-5分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根据GB_25201-2010_建筑消防设施的维护管理要求和《消防设施维护制度》分别达到维护管理要求。定期检查各类消防器材、设施状态完好。消防系统完好，各项联动有效。建立消防设施设备台帐</w:t>
            </w:r>
          </w:p>
        </w:tc>
        <w:tc>
          <w:tcPr>
            <w:tcW w:w="1026" w:type="dxa"/>
            <w:vMerge w:val="continue"/>
            <w:shd w:val="clear" w:color="auto" w:fill="auto"/>
            <w:noWrap w:val="0"/>
            <w:vAlign w:val="center"/>
          </w:tcPr>
          <w:p>
            <w:pPr>
              <w:rPr>
                <w:color w:val="auto"/>
                <w:highlight w:val="none"/>
              </w:rPr>
            </w:pP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现场检查，发现消防器材、设施一处不完好有效的，扣0.5分；系统不完好，联动存在故障的扣5分；消防设施设备台帐每少一项（次）扣1分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各类设备落实专人负责管理、检查，及时记录</w:t>
            </w:r>
          </w:p>
        </w:tc>
        <w:tc>
          <w:tcPr>
            <w:tcW w:w="1026" w:type="dxa"/>
            <w:vMerge w:val="continue"/>
            <w:shd w:val="clear" w:color="auto" w:fill="auto"/>
            <w:noWrap w:val="0"/>
            <w:vAlign w:val="center"/>
          </w:tcPr>
          <w:p>
            <w:pPr>
              <w:rPr>
                <w:color w:val="auto"/>
                <w:highlight w:val="none"/>
              </w:rPr>
            </w:pP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设备未落实专人管理的扣0.5分；未记录每少一项（次）的扣0.5分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81" w:type="dxa"/>
            <w:vMerge w:val="restart"/>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6</w:t>
            </w:r>
          </w:p>
        </w:tc>
        <w:tc>
          <w:tcPr>
            <w:tcW w:w="1134" w:type="dxa"/>
            <w:vMerge w:val="restart"/>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应急处置</w:t>
            </w: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制定防盗、防破坏、防自然灾害事故、防群体性事件和个体极端事件等各种应急预案，参与**应急预案，各项演练每年不少于一次。胜任所有应急预案中所担负的任务，妥善处理各类突发事件，并进行有效总结和改进</w:t>
            </w:r>
          </w:p>
        </w:tc>
        <w:tc>
          <w:tcPr>
            <w:tcW w:w="1026" w:type="dxa"/>
            <w:vMerge w:val="restart"/>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10分</w:t>
            </w:r>
          </w:p>
        </w:tc>
        <w:tc>
          <w:tcPr>
            <w:tcW w:w="3085" w:type="dxa"/>
            <w:vMerge w:val="restart"/>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预案少一项的扣2分，演练少一次的扣2分；未妥善处理突发事件的扣2-5分，造成重大损失或影响的扣6-10分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建立完善消防应急预案，区域内重点部位均有消防灭火和应急疏散预案。预案符合单位实际需求，每半年应组织一次规模较大的灭火和疏散演练；每年应组织一次规模较大的消防预案演练</w:t>
            </w:r>
          </w:p>
        </w:tc>
        <w:tc>
          <w:tcPr>
            <w:tcW w:w="1026" w:type="dxa"/>
            <w:vMerge w:val="continue"/>
            <w:noWrap w:val="0"/>
            <w:vAlign w:val="center"/>
          </w:tcPr>
          <w:p>
            <w:pPr>
              <w:rPr>
                <w:color w:val="auto"/>
                <w:highlight w:val="none"/>
              </w:rPr>
            </w:pPr>
          </w:p>
        </w:tc>
        <w:tc>
          <w:tcPr>
            <w:tcW w:w="3085" w:type="dxa"/>
            <w:vMerge w:val="continue"/>
            <w:noWrap w:val="0"/>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1" w:type="dxa"/>
            <w:vMerge w:val="restart"/>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7</w:t>
            </w:r>
          </w:p>
        </w:tc>
        <w:tc>
          <w:tcPr>
            <w:tcW w:w="1134" w:type="dxa"/>
            <w:vMerge w:val="restart"/>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安保</w:t>
            </w:r>
            <w:r>
              <w:rPr>
                <w:rFonts w:hint="eastAsia" w:ascii="宋体" w:cs="宋体"/>
                <w:color w:val="auto"/>
                <w:szCs w:val="21"/>
                <w:highlight w:val="none"/>
              </w:rPr>
              <w:br w:type="textWrapping"/>
            </w:r>
            <w:r>
              <w:rPr>
                <w:rFonts w:hint="eastAsia" w:ascii="宋体" w:cs="宋体"/>
                <w:color w:val="auto"/>
                <w:szCs w:val="21"/>
                <w:highlight w:val="none"/>
              </w:rPr>
              <w:t>台账</w:t>
            </w: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安保工作所涉及的所有设备、管线等图纸和资料收集齐全，分类归档，长期保存。当设备发生变化时资料及时相应变更</w:t>
            </w:r>
          </w:p>
        </w:tc>
        <w:tc>
          <w:tcPr>
            <w:tcW w:w="1026" w:type="dxa"/>
            <w:vMerge w:val="restart"/>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10分</w:t>
            </w: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一项资料不记录或不完整或不归档的扣1分，重要资料扣2-5分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使用适合各岗位工作需要的登记本，所有的记录资料必须清楚完整，整理归档，长期保存。人员资料清楚完整长期保存</w:t>
            </w:r>
          </w:p>
        </w:tc>
        <w:tc>
          <w:tcPr>
            <w:tcW w:w="1026" w:type="dxa"/>
            <w:vMerge w:val="continue"/>
            <w:shd w:val="clear" w:color="auto" w:fill="auto"/>
            <w:noWrap w:val="0"/>
            <w:vAlign w:val="center"/>
          </w:tcPr>
          <w:p>
            <w:pPr>
              <w:rPr>
                <w:color w:val="auto"/>
                <w:highlight w:val="none"/>
              </w:rPr>
            </w:pPr>
          </w:p>
        </w:tc>
        <w:tc>
          <w:tcPr>
            <w:tcW w:w="3085" w:type="dxa"/>
            <w:vMerge w:val="restart"/>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未制定保密制度扣2分；培训每少一次扣2分；员工不知晓保密规定或不具有保密意识的一人（次）扣1分；发生泄密行为的一次扣1-5分，造成重大损失或影响的扣6-10分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8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建立消防安防各类档案、台账资料</w:t>
            </w:r>
          </w:p>
        </w:tc>
        <w:tc>
          <w:tcPr>
            <w:tcW w:w="1026" w:type="dxa"/>
            <w:vMerge w:val="continue"/>
            <w:noWrap w:val="0"/>
            <w:vAlign w:val="center"/>
          </w:tcPr>
          <w:p>
            <w:pPr>
              <w:rPr>
                <w:color w:val="auto"/>
                <w:highlight w:val="none"/>
              </w:rPr>
            </w:pPr>
          </w:p>
        </w:tc>
        <w:tc>
          <w:tcPr>
            <w:tcW w:w="3085" w:type="dxa"/>
            <w:vMerge w:val="continue"/>
            <w:noWrap w:val="0"/>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制定保密制度，开展保密培训，每年不少于2次，所有人员具有保密意识。大院情况、人员情况、各单位文件资料和所有设备的所有数据资料（包括录像资料）、使用方法等都必须做好保密工作，不得泄密</w:t>
            </w:r>
          </w:p>
        </w:tc>
        <w:tc>
          <w:tcPr>
            <w:tcW w:w="1026" w:type="dxa"/>
            <w:vMerge w:val="continue"/>
            <w:noWrap w:val="0"/>
            <w:vAlign w:val="center"/>
          </w:tcPr>
          <w:p>
            <w:pPr>
              <w:rPr>
                <w:color w:val="auto"/>
                <w:highlight w:val="none"/>
              </w:rPr>
            </w:pPr>
          </w:p>
        </w:tc>
        <w:tc>
          <w:tcPr>
            <w:tcW w:w="3085" w:type="dxa"/>
            <w:vMerge w:val="continue"/>
            <w:noWrap w:val="0"/>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1" w:type="dxa"/>
            <w:vMerge w:val="restart"/>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8</w:t>
            </w:r>
          </w:p>
        </w:tc>
        <w:tc>
          <w:tcPr>
            <w:tcW w:w="1134" w:type="dxa"/>
            <w:vMerge w:val="restart"/>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车辆管理</w:t>
            </w:r>
            <w:r>
              <w:rPr>
                <w:rFonts w:ascii="宋体" w:cs="宋体"/>
                <w:color w:val="auto"/>
                <w:szCs w:val="21"/>
                <w:highlight w:val="none"/>
              </w:rPr>
              <w:t>服务</w:t>
            </w: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根据业主方的工作要求，车辆管理有措施，认真落实好停车管理制度</w:t>
            </w:r>
          </w:p>
        </w:tc>
        <w:tc>
          <w:tcPr>
            <w:tcW w:w="1026" w:type="dxa"/>
            <w:vMerge w:val="restart"/>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5分</w:t>
            </w: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未履行管理职责的，一次扣1分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8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做好各类车辆进出引导和停放管理</w:t>
            </w:r>
          </w:p>
        </w:tc>
        <w:tc>
          <w:tcPr>
            <w:tcW w:w="1026" w:type="dxa"/>
            <w:vMerge w:val="continue"/>
            <w:shd w:val="clear" w:color="auto" w:fill="auto"/>
            <w:noWrap w:val="0"/>
            <w:vAlign w:val="center"/>
          </w:tcPr>
          <w:p>
            <w:pPr>
              <w:rPr>
                <w:color w:val="auto"/>
                <w:highlight w:val="none"/>
              </w:rPr>
            </w:pP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车辆管理发生操作责任或失误一次扣1分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做好车况巡查，发现问题能按规定处理，妥善解决，并做好记录，上报监管</w:t>
            </w:r>
          </w:p>
        </w:tc>
        <w:tc>
          <w:tcPr>
            <w:tcW w:w="1026" w:type="dxa"/>
            <w:vMerge w:val="continue"/>
            <w:shd w:val="clear" w:color="auto" w:fill="auto"/>
            <w:noWrap w:val="0"/>
            <w:vAlign w:val="center"/>
          </w:tcPr>
          <w:p>
            <w:pPr>
              <w:rPr>
                <w:color w:val="auto"/>
                <w:highlight w:val="none"/>
              </w:rPr>
            </w:pP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车辆在停车场区域发生情况，未及时上报的一次扣0.5分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1" w:type="dxa"/>
            <w:vMerge w:val="restart"/>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9</w:t>
            </w:r>
          </w:p>
        </w:tc>
        <w:tc>
          <w:tcPr>
            <w:tcW w:w="1134" w:type="dxa"/>
            <w:vMerge w:val="restart"/>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节能工作</w:t>
            </w: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更衣室、消控室保持基本照明条件</w:t>
            </w:r>
          </w:p>
        </w:tc>
        <w:tc>
          <w:tcPr>
            <w:tcW w:w="1026" w:type="dxa"/>
            <w:vMerge w:val="restart"/>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10分</w:t>
            </w: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不达标每项扣0.5分</w:t>
            </w:r>
          </w:p>
          <w:p>
            <w:pPr>
              <w:rPr>
                <w:rFonts w:ascii="宋体" w:cs="宋体"/>
                <w:color w:val="auto"/>
                <w:szCs w:val="21"/>
                <w:highlight w:val="none"/>
              </w:rPr>
            </w:pPr>
            <w:r>
              <w:rPr>
                <w:rFonts w:hint="eastAsia" w:ascii="宋体" w:cs="宋体"/>
                <w:color w:val="auto"/>
                <w:szCs w:val="21"/>
                <w:highlight w:val="none"/>
              </w:rPr>
              <w:t>消控室开灯超过50%，扣0.5分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大厅照明、自行车库照明、地下车库照明、地下室电梯厅照明以满足监控摄像要求为标准</w:t>
            </w:r>
          </w:p>
        </w:tc>
        <w:tc>
          <w:tcPr>
            <w:tcW w:w="1026" w:type="dxa"/>
            <w:vMerge w:val="continue"/>
            <w:shd w:val="clear" w:color="auto" w:fill="auto"/>
            <w:noWrap w:val="0"/>
            <w:vAlign w:val="center"/>
          </w:tcPr>
          <w:p>
            <w:pPr>
              <w:rPr>
                <w:color w:val="auto"/>
                <w:highlight w:val="none"/>
              </w:rPr>
            </w:pP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不达标每项扣0.5分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路灯、自动扶梯、工程部LED屏按设备运行时间表控制开关时间（协助工程部执行）</w:t>
            </w:r>
          </w:p>
        </w:tc>
        <w:tc>
          <w:tcPr>
            <w:tcW w:w="1026" w:type="dxa"/>
            <w:vMerge w:val="continue"/>
            <w:shd w:val="clear" w:color="auto" w:fill="auto"/>
            <w:noWrap w:val="0"/>
            <w:vAlign w:val="center"/>
          </w:tcPr>
          <w:p>
            <w:pPr>
              <w:rPr>
                <w:color w:val="auto"/>
                <w:highlight w:val="none"/>
              </w:rPr>
            </w:pP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1" w:type="dxa"/>
            <w:vMerge w:val="continue"/>
            <w:shd w:val="clear" w:color="auto" w:fill="auto"/>
            <w:noWrap w:val="0"/>
            <w:vAlign w:val="center"/>
          </w:tcPr>
          <w:p>
            <w:pPr>
              <w:rPr>
                <w:color w:val="auto"/>
                <w:highlight w:val="none"/>
              </w:rPr>
            </w:pPr>
          </w:p>
        </w:tc>
        <w:tc>
          <w:tcPr>
            <w:tcW w:w="1134" w:type="dxa"/>
            <w:vMerge w:val="continue"/>
            <w:shd w:val="clear" w:color="auto" w:fill="auto"/>
            <w:noWrap w:val="0"/>
            <w:vAlign w:val="center"/>
          </w:tcPr>
          <w:p>
            <w:pPr>
              <w:rPr>
                <w:color w:val="auto"/>
                <w:highlight w:val="none"/>
              </w:rPr>
            </w:pP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排烟风机、正压送风风机无异常情况停用</w:t>
            </w:r>
          </w:p>
        </w:tc>
        <w:tc>
          <w:tcPr>
            <w:tcW w:w="1026" w:type="dxa"/>
            <w:vMerge w:val="continue"/>
            <w:shd w:val="clear" w:color="auto" w:fill="auto"/>
            <w:noWrap w:val="0"/>
            <w:vAlign w:val="center"/>
          </w:tcPr>
          <w:p>
            <w:pPr>
              <w:rPr>
                <w:color w:val="auto"/>
                <w:highlight w:val="none"/>
              </w:rPr>
            </w:pP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不达标每项扣1分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81" w:type="dxa"/>
            <w:shd w:val="clear" w:color="auto" w:fill="auto"/>
            <w:noWrap w:val="0"/>
            <w:vAlign w:val="center"/>
          </w:tcPr>
          <w:p>
            <w:pPr>
              <w:jc w:val="center"/>
              <w:rPr>
                <w:rFonts w:ascii="宋体" w:cs="宋体"/>
                <w:color w:val="auto"/>
                <w:szCs w:val="21"/>
                <w:highlight w:val="none"/>
              </w:rPr>
            </w:pPr>
          </w:p>
        </w:tc>
        <w:tc>
          <w:tcPr>
            <w:tcW w:w="1134" w:type="dxa"/>
            <w:shd w:val="clear" w:color="auto" w:fill="auto"/>
            <w:noWrap w:val="0"/>
            <w:vAlign w:val="center"/>
          </w:tcPr>
          <w:p>
            <w:pPr>
              <w:jc w:val="center"/>
              <w:rPr>
                <w:rFonts w:ascii="宋体" w:cs="宋体"/>
                <w:color w:val="auto"/>
                <w:szCs w:val="21"/>
                <w:highlight w:val="none"/>
              </w:rPr>
            </w:pPr>
            <w:r>
              <w:rPr>
                <w:rFonts w:hint="eastAsia" w:ascii="宋体" w:cs="宋体"/>
                <w:color w:val="auto"/>
                <w:szCs w:val="21"/>
                <w:highlight w:val="none"/>
              </w:rPr>
              <w:t>小计</w:t>
            </w:r>
          </w:p>
        </w:tc>
        <w:tc>
          <w:tcPr>
            <w:tcW w:w="3458"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　</w:t>
            </w:r>
          </w:p>
        </w:tc>
        <w:tc>
          <w:tcPr>
            <w:tcW w:w="1026" w:type="dxa"/>
            <w:shd w:val="clear" w:color="000000" w:fill="FFFFFF"/>
            <w:noWrap w:val="0"/>
            <w:vAlign w:val="center"/>
          </w:tcPr>
          <w:p>
            <w:pPr>
              <w:jc w:val="center"/>
              <w:rPr>
                <w:rFonts w:ascii="宋体" w:cs="宋体"/>
                <w:color w:val="auto"/>
                <w:szCs w:val="21"/>
                <w:highlight w:val="none"/>
              </w:rPr>
            </w:pPr>
            <w:r>
              <w:rPr>
                <w:rFonts w:hint="eastAsia" w:ascii="宋体" w:cs="宋体"/>
                <w:color w:val="auto"/>
                <w:szCs w:val="21"/>
                <w:highlight w:val="none"/>
              </w:rPr>
              <w:t>100分</w:t>
            </w:r>
          </w:p>
        </w:tc>
        <w:tc>
          <w:tcPr>
            <w:tcW w:w="3085" w:type="dxa"/>
            <w:shd w:val="clear" w:color="000000" w:fill="FFFFFF"/>
            <w:noWrap w:val="0"/>
            <w:vAlign w:val="center"/>
          </w:tcPr>
          <w:p>
            <w:pPr>
              <w:rPr>
                <w:rFonts w:ascii="宋体" w:cs="宋体"/>
                <w:color w:val="auto"/>
                <w:szCs w:val="21"/>
                <w:highlight w:val="none"/>
              </w:rPr>
            </w:pPr>
            <w:r>
              <w:rPr>
                <w:rFonts w:hint="eastAsia" w:ascii="宋体" w:cs="宋体"/>
                <w:color w:val="auto"/>
                <w:szCs w:val="21"/>
                <w:highlight w:val="none"/>
              </w:rPr>
              <w:t>　</w:t>
            </w:r>
          </w:p>
        </w:tc>
      </w:tr>
    </w:tbl>
    <w:p>
      <w:pPr>
        <w:widowControl/>
        <w:spacing w:before="150" w:after="150"/>
        <w:rPr>
          <w:rFonts w:ascii="宋体" w:cs="宋体"/>
          <w:b/>
          <w:color w:val="auto"/>
          <w:sz w:val="24"/>
          <w:highlight w:val="none"/>
        </w:rPr>
      </w:pPr>
    </w:p>
    <w:p>
      <w:pPr>
        <w:pStyle w:val="2"/>
        <w:rPr>
          <w:rFonts w:ascii="宋体" w:cs="宋体"/>
          <w:b/>
          <w:color w:val="auto"/>
          <w:sz w:val="24"/>
          <w:highlight w:val="none"/>
        </w:rPr>
      </w:pPr>
    </w:p>
    <w:p>
      <w:pPr>
        <w:pStyle w:val="4"/>
        <w:rPr>
          <w:rFonts w:ascii="宋体" w:cs="宋体"/>
          <w:b/>
          <w:color w:val="auto"/>
          <w:sz w:val="24"/>
          <w:highlight w:val="none"/>
        </w:rPr>
      </w:pPr>
    </w:p>
    <w:p>
      <w:pPr>
        <w:rPr>
          <w:rFonts w:ascii="宋体" w:cs="宋体"/>
          <w:b/>
          <w:color w:val="auto"/>
          <w:sz w:val="24"/>
          <w:highlight w:val="none"/>
        </w:rPr>
      </w:pPr>
    </w:p>
    <w:p>
      <w:pPr>
        <w:pStyle w:val="2"/>
      </w:pPr>
    </w:p>
    <w:p>
      <w:pPr>
        <w:spacing w:line="560" w:lineRule="exact"/>
        <w:jc w:val="left"/>
        <w:outlineLvl w:val="0"/>
        <w:rPr>
          <w:rFonts w:ascii="宋体" w:cs="宋体"/>
          <w:b/>
          <w:color w:val="auto"/>
          <w:szCs w:val="21"/>
          <w:highlight w:val="none"/>
        </w:rPr>
      </w:pPr>
      <w:r>
        <w:rPr>
          <w:rFonts w:hint="eastAsia" w:ascii="宋体" w:cs="宋体"/>
          <w:b/>
          <w:color w:val="auto"/>
          <w:szCs w:val="21"/>
          <w:highlight w:val="none"/>
          <w:lang w:val="en-US" w:eastAsia="zh-CN"/>
        </w:rPr>
        <w:t>2</w:t>
      </w:r>
      <w:r>
        <w:rPr>
          <w:rFonts w:hint="eastAsia" w:ascii="宋体" w:cs="宋体"/>
          <w:b/>
          <w:color w:val="auto"/>
          <w:szCs w:val="21"/>
          <w:highlight w:val="none"/>
        </w:rPr>
        <w:t>.季度监管考评汇总评价表</w:t>
      </w:r>
    </w:p>
    <w:tbl>
      <w:tblPr>
        <w:tblStyle w:val="20"/>
        <w:tblW w:w="9024" w:type="dxa"/>
        <w:jc w:val="center"/>
        <w:tblLayout w:type="fixed"/>
        <w:tblCellMar>
          <w:top w:w="0" w:type="dxa"/>
          <w:left w:w="108" w:type="dxa"/>
          <w:bottom w:w="0" w:type="dxa"/>
          <w:right w:w="108" w:type="dxa"/>
        </w:tblCellMar>
      </w:tblPr>
      <w:tblGrid>
        <w:gridCol w:w="778"/>
        <w:gridCol w:w="1959"/>
        <w:gridCol w:w="1155"/>
        <w:gridCol w:w="1200"/>
        <w:gridCol w:w="1440"/>
        <w:gridCol w:w="1245"/>
        <w:gridCol w:w="1247"/>
      </w:tblGrid>
      <w:tr>
        <w:tblPrEx>
          <w:tblCellMar>
            <w:top w:w="0" w:type="dxa"/>
            <w:left w:w="108" w:type="dxa"/>
            <w:bottom w:w="0" w:type="dxa"/>
            <w:right w:w="108" w:type="dxa"/>
          </w:tblCellMar>
        </w:tblPrEx>
        <w:trPr>
          <w:trHeight w:val="360" w:hRule="atLeast"/>
          <w:jc w:val="center"/>
        </w:trPr>
        <w:tc>
          <w:tcPr>
            <w:tcW w:w="7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序号</w:t>
            </w:r>
          </w:p>
        </w:tc>
        <w:tc>
          <w:tcPr>
            <w:tcW w:w="1959"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监管项目</w:t>
            </w:r>
          </w:p>
        </w:tc>
        <w:tc>
          <w:tcPr>
            <w:tcW w:w="1155"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到岗率（%）</w:t>
            </w:r>
          </w:p>
        </w:tc>
        <w:tc>
          <w:tcPr>
            <w:tcW w:w="1200"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满意度测评（%）</w:t>
            </w:r>
          </w:p>
        </w:tc>
        <w:tc>
          <w:tcPr>
            <w:tcW w:w="1440"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季考核得分</w:t>
            </w:r>
          </w:p>
        </w:tc>
        <w:tc>
          <w:tcPr>
            <w:tcW w:w="1245"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r>
              <w:rPr>
                <w:rFonts w:ascii="宋体" w:cs="宋体"/>
                <w:color w:val="auto"/>
                <w:kern w:val="0"/>
                <w:szCs w:val="21"/>
                <w:highlight w:val="none"/>
              </w:rPr>
              <w:t>扣罚金额</w:t>
            </w:r>
          </w:p>
        </w:tc>
        <w:tc>
          <w:tcPr>
            <w:tcW w:w="1247"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备注</w:t>
            </w:r>
          </w:p>
        </w:tc>
      </w:tr>
      <w:tr>
        <w:tblPrEx>
          <w:tblCellMar>
            <w:top w:w="0" w:type="dxa"/>
            <w:left w:w="108" w:type="dxa"/>
            <w:bottom w:w="0" w:type="dxa"/>
            <w:right w:w="108" w:type="dxa"/>
          </w:tblCellMar>
        </w:tblPrEx>
        <w:trPr>
          <w:trHeight w:val="736" w:hRule="exact"/>
          <w:jc w:val="center"/>
        </w:trPr>
        <w:tc>
          <w:tcPr>
            <w:tcW w:w="779" w:type="dxa"/>
            <w:tcBorders>
              <w:top w:val="nil"/>
              <w:left w:val="single" w:color="auto" w:sz="4" w:space="0"/>
              <w:bottom w:val="nil"/>
              <w:right w:val="single" w:color="auto" w:sz="4" w:space="0"/>
            </w:tcBorders>
            <w:noWrap/>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1</w:t>
            </w:r>
          </w:p>
        </w:tc>
        <w:tc>
          <w:tcPr>
            <w:tcW w:w="1959"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综合服务</w:t>
            </w:r>
          </w:p>
        </w:tc>
        <w:tc>
          <w:tcPr>
            <w:tcW w:w="1155"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p>
        </w:tc>
        <w:tc>
          <w:tcPr>
            <w:tcW w:w="1200"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p>
        </w:tc>
        <w:tc>
          <w:tcPr>
            <w:tcW w:w="1440"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p>
        </w:tc>
        <w:tc>
          <w:tcPr>
            <w:tcW w:w="1245"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p>
        </w:tc>
        <w:tc>
          <w:tcPr>
            <w:tcW w:w="1247"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　</w:t>
            </w:r>
          </w:p>
        </w:tc>
      </w:tr>
      <w:tr>
        <w:tblPrEx>
          <w:tblCellMar>
            <w:top w:w="0" w:type="dxa"/>
            <w:left w:w="108" w:type="dxa"/>
            <w:bottom w:w="0" w:type="dxa"/>
            <w:right w:w="108" w:type="dxa"/>
          </w:tblCellMar>
        </w:tblPrEx>
        <w:trPr>
          <w:trHeight w:val="736" w:hRule="exact"/>
          <w:jc w:val="center"/>
        </w:trPr>
        <w:tc>
          <w:tcPr>
            <w:tcW w:w="7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2</w:t>
            </w:r>
          </w:p>
        </w:tc>
        <w:tc>
          <w:tcPr>
            <w:tcW w:w="1959"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房屋维护与</w:t>
            </w:r>
            <w:r>
              <w:rPr>
                <w:rFonts w:ascii="宋体" w:cs="宋体"/>
                <w:color w:val="auto"/>
                <w:kern w:val="0"/>
                <w:szCs w:val="21"/>
                <w:highlight w:val="none"/>
              </w:rPr>
              <w:t>设施设备运维管理</w:t>
            </w:r>
            <w:r>
              <w:rPr>
                <w:rFonts w:hint="eastAsia" w:ascii="宋体" w:cs="宋体"/>
                <w:color w:val="auto"/>
                <w:kern w:val="0"/>
                <w:szCs w:val="21"/>
                <w:highlight w:val="none"/>
              </w:rPr>
              <w:t>服务</w:t>
            </w:r>
          </w:p>
        </w:tc>
        <w:tc>
          <w:tcPr>
            <w:tcW w:w="1155"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p>
        </w:tc>
        <w:tc>
          <w:tcPr>
            <w:tcW w:w="1200"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p>
        </w:tc>
        <w:tc>
          <w:tcPr>
            <w:tcW w:w="1440"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p>
        </w:tc>
        <w:tc>
          <w:tcPr>
            <w:tcW w:w="1245"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p>
        </w:tc>
        <w:tc>
          <w:tcPr>
            <w:tcW w:w="1247"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　</w:t>
            </w:r>
          </w:p>
        </w:tc>
      </w:tr>
      <w:tr>
        <w:tblPrEx>
          <w:tblCellMar>
            <w:top w:w="0" w:type="dxa"/>
            <w:left w:w="108" w:type="dxa"/>
            <w:bottom w:w="0" w:type="dxa"/>
            <w:right w:w="108" w:type="dxa"/>
          </w:tblCellMar>
        </w:tblPrEx>
        <w:trPr>
          <w:trHeight w:val="736" w:hRule="exact"/>
          <w:jc w:val="center"/>
        </w:trPr>
        <w:tc>
          <w:tcPr>
            <w:tcW w:w="77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auto"/>
                <w:kern w:val="0"/>
                <w:szCs w:val="21"/>
                <w:highlight w:val="none"/>
              </w:rPr>
            </w:pPr>
            <w:r>
              <w:rPr>
                <w:rFonts w:ascii="宋体" w:cs="宋体"/>
                <w:color w:val="auto"/>
                <w:kern w:val="0"/>
                <w:szCs w:val="21"/>
                <w:highlight w:val="none"/>
              </w:rPr>
              <w:t>3</w:t>
            </w:r>
          </w:p>
        </w:tc>
        <w:tc>
          <w:tcPr>
            <w:tcW w:w="1959"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保洁</w:t>
            </w:r>
            <w:r>
              <w:rPr>
                <w:rFonts w:ascii="宋体" w:cs="宋体"/>
                <w:color w:val="auto"/>
                <w:kern w:val="0"/>
                <w:szCs w:val="21"/>
                <w:highlight w:val="none"/>
              </w:rPr>
              <w:t>、绿化</w:t>
            </w:r>
            <w:r>
              <w:rPr>
                <w:rFonts w:hint="eastAsia" w:ascii="宋体" w:cs="宋体"/>
                <w:color w:val="auto"/>
                <w:kern w:val="0"/>
                <w:szCs w:val="21"/>
                <w:highlight w:val="none"/>
              </w:rPr>
              <w:t>服务</w:t>
            </w:r>
          </w:p>
        </w:tc>
        <w:tc>
          <w:tcPr>
            <w:tcW w:w="1155"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p>
        </w:tc>
        <w:tc>
          <w:tcPr>
            <w:tcW w:w="1200"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p>
        </w:tc>
        <w:tc>
          <w:tcPr>
            <w:tcW w:w="1440"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p>
        </w:tc>
        <w:tc>
          <w:tcPr>
            <w:tcW w:w="1245"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p>
        </w:tc>
        <w:tc>
          <w:tcPr>
            <w:tcW w:w="1247"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　</w:t>
            </w:r>
          </w:p>
        </w:tc>
      </w:tr>
      <w:tr>
        <w:tblPrEx>
          <w:tblCellMar>
            <w:top w:w="0" w:type="dxa"/>
            <w:left w:w="108" w:type="dxa"/>
            <w:bottom w:w="0" w:type="dxa"/>
            <w:right w:w="108" w:type="dxa"/>
          </w:tblCellMar>
        </w:tblPrEx>
        <w:trPr>
          <w:trHeight w:val="736" w:hRule="exact"/>
          <w:jc w:val="center"/>
        </w:trPr>
        <w:tc>
          <w:tcPr>
            <w:tcW w:w="77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auto"/>
                <w:kern w:val="0"/>
                <w:szCs w:val="21"/>
                <w:highlight w:val="none"/>
              </w:rPr>
            </w:pPr>
            <w:r>
              <w:rPr>
                <w:rFonts w:ascii="宋体" w:cs="宋体"/>
                <w:color w:val="auto"/>
                <w:kern w:val="0"/>
                <w:szCs w:val="21"/>
                <w:highlight w:val="none"/>
              </w:rPr>
              <w:t>4</w:t>
            </w:r>
          </w:p>
        </w:tc>
        <w:tc>
          <w:tcPr>
            <w:tcW w:w="1959"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安保服务</w:t>
            </w:r>
          </w:p>
        </w:tc>
        <w:tc>
          <w:tcPr>
            <w:tcW w:w="1155"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p>
        </w:tc>
        <w:tc>
          <w:tcPr>
            <w:tcW w:w="1200"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p>
        </w:tc>
        <w:tc>
          <w:tcPr>
            <w:tcW w:w="1440"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p>
        </w:tc>
        <w:tc>
          <w:tcPr>
            <w:tcW w:w="1245"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p>
        </w:tc>
        <w:tc>
          <w:tcPr>
            <w:tcW w:w="1247"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　</w:t>
            </w:r>
          </w:p>
        </w:tc>
      </w:tr>
      <w:tr>
        <w:tblPrEx>
          <w:tblCellMar>
            <w:top w:w="0" w:type="dxa"/>
            <w:left w:w="108" w:type="dxa"/>
            <w:bottom w:w="0" w:type="dxa"/>
            <w:right w:w="108" w:type="dxa"/>
          </w:tblCellMar>
        </w:tblPrEx>
        <w:trPr>
          <w:trHeight w:val="736" w:hRule="exact"/>
          <w:jc w:val="center"/>
        </w:trPr>
        <w:tc>
          <w:tcPr>
            <w:tcW w:w="779"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auto"/>
                <w:kern w:val="0"/>
                <w:szCs w:val="21"/>
                <w:highlight w:val="none"/>
              </w:rPr>
            </w:pPr>
            <w:r>
              <w:rPr>
                <w:rFonts w:ascii="宋体" w:cs="宋体"/>
                <w:color w:val="auto"/>
                <w:kern w:val="0"/>
                <w:szCs w:val="21"/>
                <w:highlight w:val="none"/>
              </w:rPr>
              <w:t>5</w:t>
            </w:r>
          </w:p>
        </w:tc>
        <w:tc>
          <w:tcPr>
            <w:tcW w:w="1959"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r>
              <w:rPr>
                <w:rFonts w:ascii="宋体" w:cs="宋体"/>
                <w:color w:val="auto"/>
                <w:kern w:val="0"/>
                <w:szCs w:val="21"/>
                <w:highlight w:val="none"/>
              </w:rPr>
              <w:t>总体</w:t>
            </w:r>
            <w:r>
              <w:rPr>
                <w:rFonts w:hint="eastAsia" w:ascii="宋体" w:cs="宋体"/>
                <w:color w:val="auto"/>
                <w:kern w:val="0"/>
                <w:szCs w:val="21"/>
                <w:highlight w:val="none"/>
              </w:rPr>
              <w:t>结果</w:t>
            </w:r>
          </w:p>
        </w:tc>
        <w:tc>
          <w:tcPr>
            <w:tcW w:w="1155"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p>
        </w:tc>
        <w:tc>
          <w:tcPr>
            <w:tcW w:w="1200"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p>
        </w:tc>
        <w:tc>
          <w:tcPr>
            <w:tcW w:w="1440"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p>
        </w:tc>
        <w:tc>
          <w:tcPr>
            <w:tcW w:w="1245"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p>
        </w:tc>
        <w:tc>
          <w:tcPr>
            <w:tcW w:w="1247" w:type="dxa"/>
            <w:tcBorders>
              <w:top w:val="nil"/>
              <w:left w:val="nil"/>
              <w:bottom w:val="single" w:color="auto" w:sz="4" w:space="0"/>
              <w:right w:val="single" w:color="auto" w:sz="4" w:space="0"/>
            </w:tcBorders>
            <w:noWrap/>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　</w:t>
            </w:r>
          </w:p>
        </w:tc>
      </w:tr>
    </w:tbl>
    <w:p>
      <w:pPr>
        <w:spacing w:line="430" w:lineRule="exact"/>
        <w:rPr>
          <w:rFonts w:ascii="仿宋" w:eastAsia="仿宋" w:cs="宋体"/>
          <w:color w:val="auto"/>
          <w:sz w:val="24"/>
          <w:highlight w:val="none"/>
        </w:rPr>
      </w:pPr>
    </w:p>
    <w:p>
      <w:pPr>
        <w:spacing w:line="430" w:lineRule="exact"/>
        <w:rPr>
          <w:rFonts w:ascii="黑体" w:eastAsia="黑体" w:cs="宋体"/>
          <w:b/>
          <w:color w:val="auto"/>
          <w:sz w:val="32"/>
          <w:szCs w:val="32"/>
          <w:highlight w:val="none"/>
        </w:rPr>
      </w:pPr>
      <w:r>
        <w:rPr>
          <w:rFonts w:hint="eastAsia" w:ascii="黑体" w:eastAsia="黑体" w:cs="宋体"/>
          <w:b/>
          <w:color w:val="auto"/>
          <w:sz w:val="32"/>
          <w:szCs w:val="32"/>
          <w:highlight w:val="none"/>
        </w:rPr>
        <w:t>附件二</w:t>
      </w:r>
    </w:p>
    <w:p>
      <w:pPr>
        <w:spacing w:line="43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东部新城B8地块商务楼物业管理考核办法</w:t>
      </w:r>
    </w:p>
    <w:p>
      <w:pPr>
        <w:spacing w:line="430" w:lineRule="exact"/>
        <w:rPr>
          <w:rFonts w:ascii="仿宋" w:eastAsia="仿宋" w:cs="宋体"/>
          <w:color w:val="auto"/>
          <w:sz w:val="24"/>
          <w:highlight w:val="none"/>
        </w:rPr>
      </w:pPr>
    </w:p>
    <w:p>
      <w:pPr>
        <w:spacing w:line="430" w:lineRule="exact"/>
        <w:ind w:firstLine="480" w:firstLineChars="200"/>
        <w:rPr>
          <w:rFonts w:ascii="仿宋" w:eastAsia="仿宋" w:cs="宋体"/>
          <w:color w:val="auto"/>
          <w:sz w:val="24"/>
          <w:highlight w:val="none"/>
        </w:rPr>
      </w:pPr>
      <w:r>
        <w:rPr>
          <w:rFonts w:hint="eastAsia" w:ascii="仿宋" w:eastAsia="仿宋" w:cs="宋体"/>
          <w:color w:val="auto"/>
          <w:sz w:val="24"/>
          <w:highlight w:val="none"/>
        </w:rPr>
        <w:t>一、为创建安全有序的办公环境，提高大楼管理的服务质量，促</w:t>
      </w:r>
      <w:r>
        <w:rPr>
          <w:rFonts w:ascii="仿宋" w:eastAsia="仿宋" w:cs="宋体"/>
          <w:color w:val="auto"/>
          <w:sz w:val="24"/>
          <w:highlight w:val="none"/>
        </w:rPr>
        <w:t>进</w:t>
      </w:r>
      <w:r>
        <w:rPr>
          <w:rFonts w:hint="eastAsia" w:ascii="仿宋" w:eastAsia="仿宋" w:cs="宋体"/>
          <w:color w:val="auto"/>
          <w:sz w:val="24"/>
          <w:highlight w:val="none"/>
        </w:rPr>
        <w:t>物业管理公司切实履行合同，制订本考核办法。</w:t>
      </w:r>
    </w:p>
    <w:p>
      <w:pPr>
        <w:spacing w:line="430" w:lineRule="exact"/>
        <w:ind w:firstLine="480" w:firstLineChars="200"/>
        <w:rPr>
          <w:rFonts w:ascii="仿宋" w:eastAsia="仿宋" w:cs="宋体"/>
          <w:color w:val="auto"/>
          <w:sz w:val="24"/>
          <w:highlight w:val="none"/>
        </w:rPr>
      </w:pPr>
      <w:r>
        <w:rPr>
          <w:rFonts w:hint="eastAsia" w:ascii="仿宋" w:eastAsia="仿宋" w:cs="宋体"/>
          <w:color w:val="auto"/>
          <w:sz w:val="24"/>
          <w:highlight w:val="none"/>
        </w:rPr>
        <w:t>二、由宁波市机关事务管理局</w:t>
      </w:r>
      <w:r>
        <w:rPr>
          <w:rFonts w:hint="eastAsia" w:ascii="仿宋" w:eastAsia="仿宋" w:cs="宋体"/>
          <w:color w:val="auto"/>
          <w:sz w:val="24"/>
          <w:highlight w:val="none"/>
          <w:lang w:eastAsia="zh-CN"/>
        </w:rPr>
        <w:t>、市</w:t>
      </w:r>
      <w:r>
        <w:rPr>
          <w:rFonts w:ascii="仿宋" w:eastAsia="仿宋" w:cs="宋体"/>
          <w:color w:val="auto"/>
          <w:sz w:val="24"/>
          <w:highlight w:val="none"/>
        </w:rPr>
        <w:t>交通运输局分别</w:t>
      </w:r>
      <w:r>
        <w:rPr>
          <w:rFonts w:hint="eastAsia" w:ascii="仿宋" w:eastAsia="仿宋" w:cs="宋体"/>
          <w:color w:val="auto"/>
          <w:sz w:val="24"/>
          <w:highlight w:val="none"/>
        </w:rPr>
        <w:t>对</w:t>
      </w:r>
      <w:r>
        <w:rPr>
          <w:rFonts w:ascii="仿宋" w:eastAsia="仿宋" w:cs="宋体"/>
          <w:color w:val="auto"/>
          <w:sz w:val="24"/>
          <w:highlight w:val="none"/>
        </w:rPr>
        <w:t>1#、2#楼</w:t>
      </w:r>
      <w:r>
        <w:rPr>
          <w:rFonts w:hint="eastAsia" w:ascii="仿宋" w:eastAsia="仿宋" w:cs="宋体"/>
          <w:color w:val="auto"/>
          <w:sz w:val="24"/>
          <w:highlight w:val="none"/>
        </w:rPr>
        <w:t>的物业服务情况进行考核。</w:t>
      </w:r>
    </w:p>
    <w:p>
      <w:pPr>
        <w:spacing w:line="430" w:lineRule="exact"/>
        <w:ind w:firstLine="480" w:firstLineChars="200"/>
        <w:rPr>
          <w:rFonts w:ascii="仿宋" w:eastAsia="仿宋" w:cs="宋体"/>
          <w:color w:val="auto"/>
          <w:sz w:val="24"/>
          <w:highlight w:val="none"/>
        </w:rPr>
      </w:pPr>
      <w:r>
        <w:rPr>
          <w:rFonts w:hint="eastAsia" w:ascii="仿宋" w:eastAsia="仿宋" w:cs="宋体"/>
          <w:color w:val="auto"/>
          <w:sz w:val="24"/>
          <w:highlight w:val="none"/>
        </w:rPr>
        <w:t>1、服务满意度以采购人季度满意度测评为依据。满意度测评达到90%为合格；低于90%的，每低1%（不足1%按1%计算）扣除该季度服务费的0.2万；有效投诉</w:t>
      </w:r>
      <w:r>
        <w:rPr>
          <w:rFonts w:hint="eastAsia" w:ascii="仿宋" w:eastAsia="仿宋" w:cs="宋体"/>
          <w:bCs/>
          <w:color w:val="auto"/>
          <w:sz w:val="24"/>
          <w:highlight w:val="none"/>
        </w:rPr>
        <w:t>处理率和回访率达100%，</w:t>
      </w:r>
      <w:r>
        <w:rPr>
          <w:rFonts w:hint="eastAsia" w:ascii="仿宋" w:eastAsia="仿宋" w:cs="宋体"/>
          <w:color w:val="auto"/>
          <w:sz w:val="24"/>
          <w:highlight w:val="none"/>
        </w:rPr>
        <w:t>发生有效投诉或问题整改不及时的，每次扣0.1-1万，如年度累计5起，甲方有权终止合同，乙方支付履约保</w:t>
      </w:r>
      <w:r>
        <w:rPr>
          <w:rFonts w:ascii="仿宋" w:eastAsia="仿宋" w:cs="宋体"/>
          <w:color w:val="auto"/>
          <w:sz w:val="24"/>
          <w:highlight w:val="none"/>
        </w:rPr>
        <w:t>函</w:t>
      </w:r>
      <w:r>
        <w:rPr>
          <w:rFonts w:hint="eastAsia" w:ascii="仿宋" w:eastAsia="仿宋" w:cs="宋体"/>
          <w:color w:val="auto"/>
          <w:sz w:val="24"/>
          <w:highlight w:val="none"/>
        </w:rPr>
        <w:t>金</w:t>
      </w:r>
      <w:r>
        <w:rPr>
          <w:rFonts w:ascii="仿宋" w:eastAsia="仿宋" w:cs="宋体"/>
          <w:color w:val="auto"/>
          <w:sz w:val="24"/>
          <w:highlight w:val="none"/>
        </w:rPr>
        <w:t>额</w:t>
      </w:r>
      <w:r>
        <w:rPr>
          <w:rFonts w:hint="eastAsia" w:ascii="仿宋" w:eastAsia="仿宋" w:cs="宋体"/>
          <w:color w:val="auto"/>
          <w:sz w:val="24"/>
          <w:highlight w:val="none"/>
        </w:rPr>
        <w:t>的25%作为赔偿。</w:t>
      </w:r>
    </w:p>
    <w:p>
      <w:pPr>
        <w:spacing w:line="430" w:lineRule="exact"/>
        <w:ind w:firstLine="480" w:firstLineChars="200"/>
        <w:rPr>
          <w:rFonts w:hint="eastAsia" w:ascii="仿宋" w:eastAsia="仿宋" w:cs="宋体"/>
          <w:color w:val="auto"/>
          <w:sz w:val="24"/>
          <w:highlight w:val="none"/>
        </w:rPr>
      </w:pPr>
      <w:r>
        <w:rPr>
          <w:rFonts w:hint="eastAsia" w:ascii="仿宋" w:eastAsia="仿宋" w:cs="宋体"/>
          <w:color w:val="auto"/>
          <w:sz w:val="24"/>
          <w:highlight w:val="none"/>
        </w:rPr>
        <w:t>2、服务质量考核分以监管月考评汇总为依据。达到85分为合格；低于85分进行扣罚，每低1分（不足1分按1分计算）扣除该季度服务费的0.2万。</w:t>
      </w:r>
    </w:p>
    <w:p>
      <w:pPr>
        <w:pStyle w:val="2"/>
        <w:ind w:left="0" w:leftChars="0" w:firstLine="0" w:firstLineChars="0"/>
        <w:rPr>
          <w:rFonts w:hint="default" w:eastAsia="仿宋"/>
          <w:lang w:val="en-US" w:eastAsia="zh-CN"/>
        </w:rPr>
      </w:pPr>
      <w:r>
        <w:rPr>
          <w:rFonts w:hint="eastAsia" w:ascii="仿宋" w:eastAsia="仿宋" w:cs="宋体"/>
          <w:color w:val="auto"/>
          <w:sz w:val="24"/>
          <w:highlight w:val="none"/>
          <w:lang w:val="en-US" w:eastAsia="zh-CN"/>
        </w:rPr>
        <w:t xml:space="preserve">    3、获得市级以上部门或市领导书面感谢信、表扬信的，每次增加服务质量考核分2分。</w:t>
      </w:r>
    </w:p>
    <w:p>
      <w:pPr>
        <w:spacing w:line="430" w:lineRule="exact"/>
        <w:ind w:firstLine="480" w:firstLineChars="200"/>
        <w:rPr>
          <w:rFonts w:ascii="仿宋" w:eastAsia="仿宋" w:cs="宋体"/>
          <w:color w:val="auto"/>
          <w:sz w:val="24"/>
          <w:highlight w:val="none"/>
        </w:rPr>
      </w:pPr>
      <w:r>
        <w:rPr>
          <w:rFonts w:hint="eastAsia" w:ascii="仿宋" w:eastAsia="仿宋" w:cs="宋体"/>
          <w:color w:val="auto"/>
          <w:sz w:val="24"/>
          <w:highlight w:val="none"/>
          <w:lang w:val="en-US" w:eastAsia="zh-CN"/>
        </w:rPr>
        <w:t>4</w:t>
      </w:r>
      <w:r>
        <w:rPr>
          <w:rFonts w:hint="eastAsia" w:ascii="仿宋" w:eastAsia="仿宋" w:cs="宋体"/>
          <w:color w:val="auto"/>
          <w:sz w:val="24"/>
          <w:highlight w:val="none"/>
        </w:rPr>
        <w:t>、采购人可</w:t>
      </w:r>
      <w:r>
        <w:rPr>
          <w:rFonts w:hint="eastAsia" w:ascii="仿宋" w:eastAsia="仿宋" w:cs="宋体"/>
          <w:color w:val="auto"/>
          <w:sz w:val="24"/>
          <w:highlight w:val="none"/>
          <w:lang w:eastAsia="zh-CN"/>
        </w:rPr>
        <w:t>组织重点工作专项考核，或</w:t>
      </w:r>
      <w:r>
        <w:rPr>
          <w:rFonts w:hint="eastAsia" w:ascii="仿宋" w:eastAsia="仿宋" w:cs="宋体"/>
          <w:color w:val="auto"/>
          <w:sz w:val="24"/>
          <w:highlight w:val="none"/>
        </w:rPr>
        <w:t>委托第三方机构依据考核办法进行不定期考核</w:t>
      </w:r>
      <w:r>
        <w:rPr>
          <w:rFonts w:hint="eastAsia" w:ascii="仿宋" w:eastAsia="仿宋" w:cs="宋体"/>
          <w:color w:val="auto"/>
          <w:sz w:val="24"/>
          <w:highlight w:val="none"/>
          <w:lang w:eastAsia="zh-CN"/>
        </w:rPr>
        <w:t>。其中，第三方机构</w:t>
      </w:r>
      <w:r>
        <w:rPr>
          <w:rFonts w:hint="eastAsia" w:ascii="仿宋" w:eastAsia="仿宋" w:cs="宋体"/>
          <w:color w:val="auto"/>
          <w:sz w:val="24"/>
          <w:highlight w:val="none"/>
        </w:rPr>
        <w:t>考核结果占季考核得分的</w:t>
      </w:r>
      <w:r>
        <w:rPr>
          <w:rFonts w:hint="eastAsia" w:ascii="仿宋" w:eastAsia="仿宋" w:cs="宋体"/>
          <w:color w:val="auto"/>
          <w:sz w:val="24"/>
          <w:highlight w:val="none"/>
          <w:lang w:val="en-US" w:eastAsia="zh-CN"/>
        </w:rPr>
        <w:t>2</w:t>
      </w:r>
      <w:r>
        <w:rPr>
          <w:rFonts w:hint="eastAsia" w:ascii="仿宋" w:eastAsia="仿宋" w:cs="宋体"/>
          <w:color w:val="auto"/>
          <w:sz w:val="24"/>
          <w:highlight w:val="none"/>
        </w:rPr>
        <w:t>0%；采购人考核结果占季考核得分的</w:t>
      </w:r>
      <w:r>
        <w:rPr>
          <w:rFonts w:hint="eastAsia" w:ascii="仿宋" w:eastAsia="仿宋" w:cs="宋体"/>
          <w:color w:val="auto"/>
          <w:sz w:val="24"/>
          <w:highlight w:val="none"/>
          <w:lang w:val="en-US" w:eastAsia="zh-CN"/>
        </w:rPr>
        <w:t>8</w:t>
      </w:r>
      <w:r>
        <w:rPr>
          <w:rFonts w:hint="eastAsia" w:ascii="仿宋" w:eastAsia="仿宋" w:cs="宋体"/>
          <w:color w:val="auto"/>
          <w:sz w:val="24"/>
          <w:highlight w:val="none"/>
        </w:rPr>
        <w:t>0%。</w:t>
      </w:r>
    </w:p>
    <w:p>
      <w:pPr>
        <w:spacing w:line="430" w:lineRule="exact"/>
        <w:ind w:firstLine="480" w:firstLineChars="200"/>
        <w:rPr>
          <w:rFonts w:ascii="仿宋" w:eastAsia="仿宋" w:cs="宋体"/>
          <w:color w:val="auto"/>
          <w:sz w:val="24"/>
          <w:highlight w:val="none"/>
        </w:rPr>
      </w:pPr>
      <w:r>
        <w:rPr>
          <w:rFonts w:hint="eastAsia" w:ascii="仿宋" w:eastAsia="仿宋" w:cs="宋体"/>
          <w:color w:val="auto"/>
          <w:sz w:val="24"/>
          <w:highlight w:val="none"/>
        </w:rPr>
        <w:t>三、本考核办法由宁波市交通</w:t>
      </w:r>
      <w:r>
        <w:rPr>
          <w:rFonts w:ascii="仿宋" w:eastAsia="仿宋" w:cs="宋体"/>
          <w:color w:val="auto"/>
          <w:sz w:val="24"/>
          <w:highlight w:val="none"/>
        </w:rPr>
        <w:t>运输</w:t>
      </w:r>
      <w:r>
        <w:rPr>
          <w:rFonts w:hint="eastAsia" w:ascii="仿宋" w:eastAsia="仿宋" w:cs="宋体"/>
          <w:color w:val="auto"/>
          <w:sz w:val="24"/>
          <w:highlight w:val="none"/>
        </w:rPr>
        <w:t>局、机关事务管理局负责解释。</w:t>
      </w:r>
    </w:p>
    <w:p>
      <w:pPr>
        <w:spacing w:line="360" w:lineRule="auto"/>
        <w:ind w:firstLine="643" w:firstLineChars="200"/>
        <w:jc w:val="center"/>
        <w:rPr>
          <w:b/>
          <w:color w:val="auto"/>
          <w:sz w:val="32"/>
          <w:highlight w:val="none"/>
        </w:rPr>
      </w:pPr>
      <w:r>
        <w:rPr>
          <w:b/>
          <w:color w:val="auto"/>
          <w:sz w:val="32"/>
          <w:highlight w:val="none"/>
        </w:rPr>
        <w:br w:type="page"/>
      </w:r>
      <w:r>
        <w:rPr>
          <w:b/>
          <w:color w:val="auto"/>
          <w:sz w:val="32"/>
          <w:highlight w:val="none"/>
        </w:rPr>
        <w:t>评标</w:t>
      </w:r>
      <w:r>
        <w:rPr>
          <w:rFonts w:hint="eastAsia"/>
          <w:b/>
          <w:color w:val="auto"/>
          <w:sz w:val="32"/>
          <w:highlight w:val="none"/>
        </w:rPr>
        <w:t>标准与评标</w:t>
      </w:r>
      <w:r>
        <w:rPr>
          <w:b/>
          <w:color w:val="auto"/>
          <w:sz w:val="32"/>
          <w:highlight w:val="none"/>
        </w:rPr>
        <w:t>办法</w:t>
      </w:r>
    </w:p>
    <w:p>
      <w:pPr>
        <w:pStyle w:val="47"/>
        <w:spacing w:line="440" w:lineRule="exact"/>
        <w:rPr>
          <w:rFonts w:ascii="宋体" w:hAnsi="宋体"/>
          <w:color w:val="auto"/>
          <w:szCs w:val="24"/>
          <w:highlight w:val="none"/>
        </w:rPr>
      </w:pPr>
      <w:r>
        <w:rPr>
          <w:rFonts w:hint="eastAsia" w:ascii="宋体" w:hAnsi="宋体"/>
          <w:color w:val="auto"/>
          <w:szCs w:val="24"/>
          <w:highlight w:val="none"/>
        </w:rPr>
        <w:t>一、评标原则</w:t>
      </w:r>
    </w:p>
    <w:p>
      <w:pPr>
        <w:tabs>
          <w:tab w:val="left" w:pos="780"/>
        </w:tabs>
        <w:spacing w:line="440" w:lineRule="exact"/>
        <w:ind w:firstLine="638" w:firstLineChars="266"/>
        <w:rPr>
          <w:rFonts w:hint="eastAsia" w:ascii="宋体" w:hAnsi="宋体"/>
          <w:color w:val="auto"/>
          <w:sz w:val="24"/>
          <w:highlight w:val="none"/>
        </w:rPr>
      </w:pPr>
      <w:r>
        <w:rPr>
          <w:rFonts w:ascii="宋体" w:hAnsi="宋体"/>
          <w:color w:val="auto"/>
          <w:sz w:val="24"/>
          <w:highlight w:val="none"/>
        </w:rPr>
        <w:t>1、公平、公正地对待所有合格的投标人</w:t>
      </w:r>
      <w:r>
        <w:rPr>
          <w:rFonts w:hint="eastAsia" w:ascii="宋体" w:hAnsi="宋体"/>
          <w:color w:val="auto"/>
          <w:sz w:val="24"/>
          <w:highlight w:val="none"/>
        </w:rPr>
        <w:t>。</w:t>
      </w:r>
    </w:p>
    <w:p>
      <w:pPr>
        <w:tabs>
          <w:tab w:val="left" w:pos="780"/>
        </w:tabs>
        <w:spacing w:line="440" w:lineRule="exact"/>
        <w:ind w:firstLine="638" w:firstLineChars="266"/>
        <w:rPr>
          <w:rFonts w:hint="eastAsia" w:ascii="宋体" w:hAnsi="宋体"/>
          <w:color w:val="auto"/>
          <w:sz w:val="24"/>
          <w:highlight w:val="none"/>
        </w:rPr>
      </w:pPr>
      <w:r>
        <w:rPr>
          <w:rFonts w:ascii="宋体" w:hAnsi="宋体"/>
          <w:color w:val="auto"/>
          <w:sz w:val="24"/>
          <w:highlight w:val="none"/>
        </w:rPr>
        <w:t>2、遵守《中华</w:t>
      </w:r>
      <w:r>
        <w:rPr>
          <w:rFonts w:hint="eastAsia" w:ascii="宋体" w:hAnsi="宋体"/>
          <w:color w:val="auto"/>
          <w:sz w:val="24"/>
          <w:highlight w:val="none"/>
        </w:rPr>
        <w:t>人民</w:t>
      </w:r>
      <w:r>
        <w:rPr>
          <w:rFonts w:ascii="宋体" w:hAnsi="宋体"/>
          <w:color w:val="auto"/>
          <w:sz w:val="24"/>
          <w:highlight w:val="none"/>
        </w:rPr>
        <w:t>共和国政府采购法》</w:t>
      </w:r>
      <w:r>
        <w:rPr>
          <w:rFonts w:hint="eastAsia" w:ascii="宋体" w:hAnsi="宋体"/>
          <w:color w:val="auto"/>
          <w:sz w:val="24"/>
          <w:highlight w:val="none"/>
        </w:rPr>
        <w:t>等</w:t>
      </w:r>
      <w:r>
        <w:rPr>
          <w:rFonts w:ascii="宋体" w:hAnsi="宋体"/>
          <w:color w:val="auto"/>
          <w:sz w:val="24"/>
          <w:highlight w:val="none"/>
        </w:rPr>
        <w:t>有关</w:t>
      </w:r>
      <w:r>
        <w:rPr>
          <w:rFonts w:hint="eastAsia" w:ascii="宋体" w:hAnsi="宋体"/>
          <w:color w:val="auto"/>
          <w:sz w:val="24"/>
          <w:highlight w:val="none"/>
        </w:rPr>
        <w:t>法律法规的</w:t>
      </w:r>
      <w:r>
        <w:rPr>
          <w:rFonts w:ascii="宋体" w:hAnsi="宋体"/>
          <w:color w:val="auto"/>
          <w:sz w:val="24"/>
          <w:highlight w:val="none"/>
        </w:rPr>
        <w:t>规定</w:t>
      </w:r>
      <w:r>
        <w:rPr>
          <w:rFonts w:hint="eastAsia" w:ascii="宋体" w:hAnsi="宋体"/>
          <w:color w:val="auto"/>
          <w:sz w:val="24"/>
          <w:highlight w:val="none"/>
        </w:rPr>
        <w:t>。</w:t>
      </w:r>
    </w:p>
    <w:p>
      <w:pPr>
        <w:tabs>
          <w:tab w:val="left" w:pos="780"/>
        </w:tabs>
        <w:spacing w:line="440" w:lineRule="exact"/>
        <w:ind w:firstLine="638" w:firstLineChars="266"/>
        <w:rPr>
          <w:rFonts w:hint="eastAsia" w:ascii="宋体" w:hAnsi="宋体"/>
          <w:color w:val="auto"/>
          <w:sz w:val="24"/>
          <w:highlight w:val="none"/>
        </w:rPr>
      </w:pPr>
      <w:r>
        <w:rPr>
          <w:rFonts w:ascii="宋体" w:hAnsi="宋体"/>
          <w:color w:val="auto"/>
          <w:sz w:val="24"/>
          <w:highlight w:val="none"/>
        </w:rPr>
        <w:t>3、评标必须以招标文件中各项规定条件为准</w:t>
      </w:r>
      <w:r>
        <w:rPr>
          <w:rFonts w:hint="eastAsia" w:ascii="宋体" w:hAnsi="宋体"/>
          <w:color w:val="auto"/>
          <w:sz w:val="24"/>
          <w:highlight w:val="none"/>
        </w:rPr>
        <w:t>。</w:t>
      </w:r>
    </w:p>
    <w:p>
      <w:pPr>
        <w:pStyle w:val="47"/>
        <w:spacing w:line="440" w:lineRule="exact"/>
        <w:rPr>
          <w:rFonts w:ascii="宋体" w:hAnsi="宋体"/>
          <w:color w:val="auto"/>
          <w:szCs w:val="24"/>
          <w:highlight w:val="none"/>
        </w:rPr>
      </w:pPr>
      <w:r>
        <w:rPr>
          <w:rFonts w:hint="eastAsia" w:ascii="宋体" w:hAnsi="宋体"/>
          <w:color w:val="auto"/>
          <w:szCs w:val="24"/>
          <w:highlight w:val="none"/>
        </w:rPr>
        <w:t>二、</w:t>
      </w:r>
      <w:r>
        <w:rPr>
          <w:rFonts w:hint="eastAsia" w:ascii="宋体" w:hAnsi="宋体"/>
          <w:b/>
          <w:color w:val="auto"/>
          <w:szCs w:val="24"/>
          <w:highlight w:val="none"/>
        </w:rPr>
        <w:t>无效标</w:t>
      </w:r>
    </w:p>
    <w:p>
      <w:pPr>
        <w:spacing w:line="440" w:lineRule="exact"/>
        <w:ind w:firstLine="560"/>
        <w:rPr>
          <w:rFonts w:ascii="宋体" w:hAnsi="宋体"/>
          <w:color w:val="auto"/>
          <w:sz w:val="24"/>
          <w:highlight w:val="none"/>
        </w:rPr>
      </w:pPr>
      <w:r>
        <w:rPr>
          <w:rFonts w:hint="eastAsia" w:ascii="宋体" w:hAnsi="宋体"/>
          <w:color w:val="auto"/>
          <w:sz w:val="24"/>
          <w:highlight w:val="none"/>
        </w:rPr>
        <w:t>资格审查由招标人负责，符合性审查及评审由评审委员会负责。凡出现以下情况之一的投标文件将被视为无效标，不进入技术评议及综合打分：</w:t>
      </w:r>
    </w:p>
    <w:p>
      <w:pPr>
        <w:numPr>
          <w:ilvl w:val="1"/>
          <w:numId w:val="5"/>
        </w:numPr>
        <w:spacing w:line="440" w:lineRule="exact"/>
        <w:rPr>
          <w:rFonts w:hint="eastAsia" w:ascii="宋体" w:hAnsi="宋体"/>
          <w:color w:val="auto"/>
          <w:sz w:val="24"/>
          <w:highlight w:val="none"/>
        </w:rPr>
      </w:pPr>
      <w:r>
        <w:rPr>
          <w:rFonts w:hint="eastAsia" w:ascii="宋体" w:hAnsi="宋体"/>
          <w:color w:val="auto"/>
          <w:sz w:val="24"/>
          <w:highlight w:val="none"/>
        </w:rPr>
        <w:t>符合下列条件之一的，资格性审查不合格：</w:t>
      </w:r>
    </w:p>
    <w:p>
      <w:pPr>
        <w:numPr>
          <w:ilvl w:val="0"/>
          <w:numId w:val="6"/>
        </w:numPr>
        <w:spacing w:line="440" w:lineRule="exact"/>
        <w:ind w:left="900"/>
        <w:rPr>
          <w:rFonts w:hint="eastAsia" w:ascii="宋体" w:hAnsi="宋体"/>
          <w:color w:val="auto"/>
          <w:sz w:val="24"/>
          <w:highlight w:val="none"/>
        </w:rPr>
      </w:pPr>
      <w:r>
        <w:rPr>
          <w:rFonts w:hint="eastAsia" w:ascii="宋体" w:hAnsi="宋体"/>
          <w:color w:val="auto"/>
          <w:sz w:val="24"/>
          <w:highlight w:val="none"/>
        </w:rPr>
        <w:t>不符合政府采购法第22条第1款之规定；</w:t>
      </w:r>
    </w:p>
    <w:p>
      <w:pPr>
        <w:numPr>
          <w:ilvl w:val="0"/>
          <w:numId w:val="6"/>
        </w:numPr>
        <w:spacing w:line="440" w:lineRule="exact"/>
        <w:ind w:left="900"/>
        <w:rPr>
          <w:rFonts w:hint="eastAsia" w:ascii="宋体" w:hAnsi="宋体"/>
          <w:color w:val="auto"/>
          <w:sz w:val="24"/>
          <w:highlight w:val="none"/>
        </w:rPr>
      </w:pPr>
      <w:r>
        <w:rPr>
          <w:rFonts w:hint="eastAsia" w:ascii="宋体" w:hAnsi="宋体"/>
          <w:color w:val="auto"/>
          <w:sz w:val="24"/>
          <w:szCs w:val="24"/>
          <w:highlight w:val="none"/>
        </w:rPr>
        <w:t>列入失信被执行人、重大税收违法案件当事人名单、政府采购严重违法失信记录名单在禁止参加采购期限的供应商（以投标截止日“www.creditchina.gov.cn、www.ccgp.gov.cn”网站查询数据为准，打印不合格投标人的查询记录网页一并作为资格审查资料存档）</w:t>
      </w:r>
      <w:r>
        <w:rPr>
          <w:rFonts w:hint="eastAsia" w:ascii="宋体" w:hAnsi="宋体"/>
          <w:color w:val="auto"/>
          <w:sz w:val="24"/>
          <w:highlight w:val="none"/>
        </w:rPr>
        <w:t>；</w:t>
      </w:r>
    </w:p>
    <w:p>
      <w:pPr>
        <w:spacing w:line="440" w:lineRule="exact"/>
        <w:ind w:left="900"/>
        <w:rPr>
          <w:rFonts w:hint="eastAsia" w:ascii="宋体" w:hAnsi="宋体"/>
          <w:color w:val="auto"/>
          <w:sz w:val="24"/>
          <w:highlight w:val="none"/>
        </w:rPr>
      </w:pPr>
      <w:r>
        <w:rPr>
          <w:rFonts w:hint="eastAsia" w:ascii="宋体" w:hAnsi="宋体"/>
          <w:color w:val="auto"/>
          <w:sz w:val="24"/>
          <w:highlight w:val="none"/>
        </w:rPr>
        <w:t>（3）不符合特定资格条件的（若有）；</w:t>
      </w:r>
    </w:p>
    <w:p>
      <w:pPr>
        <w:spacing w:line="440" w:lineRule="exact"/>
        <w:ind w:left="900"/>
        <w:rPr>
          <w:rFonts w:hint="eastAsia" w:ascii="宋体" w:hAnsi="宋体"/>
          <w:color w:val="auto"/>
          <w:sz w:val="24"/>
          <w:highlight w:val="none"/>
        </w:rPr>
      </w:pPr>
      <w:r>
        <w:rPr>
          <w:rFonts w:hint="eastAsia" w:ascii="宋体" w:hAnsi="宋体"/>
          <w:color w:val="auto"/>
          <w:sz w:val="24"/>
          <w:highlight w:val="none"/>
        </w:rPr>
        <w:t>（4）未按规定缴纳投标保证金（若有）。</w:t>
      </w:r>
    </w:p>
    <w:p>
      <w:pPr>
        <w:numPr>
          <w:ilvl w:val="1"/>
          <w:numId w:val="5"/>
        </w:numPr>
        <w:spacing w:line="440" w:lineRule="exact"/>
        <w:rPr>
          <w:rFonts w:hint="eastAsia" w:ascii="宋体" w:hAnsi="宋体"/>
          <w:color w:val="auto"/>
          <w:sz w:val="24"/>
          <w:highlight w:val="none"/>
        </w:rPr>
      </w:pPr>
      <w:r>
        <w:rPr>
          <w:rFonts w:hint="eastAsia" w:ascii="宋体" w:hAnsi="宋体"/>
          <w:color w:val="auto"/>
          <w:sz w:val="24"/>
          <w:highlight w:val="none"/>
        </w:rPr>
        <w:t>符合下列条件之一的，符合性审查不合格：</w:t>
      </w:r>
    </w:p>
    <w:p>
      <w:pPr>
        <w:numPr>
          <w:ilvl w:val="0"/>
          <w:numId w:val="7"/>
        </w:numPr>
        <w:spacing w:line="440" w:lineRule="exact"/>
        <w:ind w:left="900"/>
        <w:rPr>
          <w:rFonts w:hint="eastAsia" w:ascii="宋体" w:hAnsi="宋体"/>
          <w:b/>
          <w:color w:val="auto"/>
          <w:sz w:val="24"/>
          <w:szCs w:val="22"/>
          <w:highlight w:val="none"/>
        </w:rPr>
      </w:pPr>
      <w:r>
        <w:rPr>
          <w:rFonts w:hint="eastAsia" w:ascii="宋体" w:hAnsi="宋体"/>
          <w:b/>
          <w:color w:val="auto"/>
          <w:sz w:val="24"/>
          <w:highlight w:val="none"/>
        </w:rPr>
        <w:t>未按要求提供诚信投标承诺书、</w:t>
      </w:r>
      <w:r>
        <w:rPr>
          <w:rFonts w:hint="eastAsia" w:ascii="宋体" w:hAnsi="宋体"/>
          <w:b/>
          <w:color w:val="auto"/>
          <w:sz w:val="24"/>
          <w:szCs w:val="22"/>
          <w:highlight w:val="none"/>
        </w:rPr>
        <w:t>投标函、开标一览表的；</w:t>
      </w:r>
    </w:p>
    <w:p>
      <w:pPr>
        <w:numPr>
          <w:ilvl w:val="0"/>
          <w:numId w:val="7"/>
        </w:numPr>
        <w:spacing w:line="440" w:lineRule="exact"/>
        <w:ind w:left="900"/>
        <w:rPr>
          <w:rFonts w:hint="eastAsia" w:ascii="宋体" w:hAnsi="宋体"/>
          <w:b/>
          <w:color w:val="auto"/>
          <w:sz w:val="24"/>
          <w:szCs w:val="22"/>
          <w:highlight w:val="none"/>
        </w:rPr>
      </w:pPr>
      <w:r>
        <w:rPr>
          <w:rFonts w:hint="eastAsia" w:ascii="宋体" w:hAnsi="宋体"/>
          <w:b/>
          <w:color w:val="auto"/>
          <w:sz w:val="24"/>
          <w:szCs w:val="22"/>
          <w:highlight w:val="none"/>
        </w:rPr>
        <w:t>应当提供法定代表人授权书而未提供的；</w:t>
      </w:r>
    </w:p>
    <w:p>
      <w:pPr>
        <w:numPr>
          <w:ilvl w:val="0"/>
          <w:numId w:val="7"/>
        </w:numPr>
        <w:spacing w:line="440" w:lineRule="exact"/>
        <w:ind w:left="900"/>
        <w:rPr>
          <w:rFonts w:hint="eastAsia" w:ascii="宋体" w:hAnsi="宋体"/>
          <w:b/>
          <w:color w:val="auto"/>
          <w:sz w:val="24"/>
          <w:szCs w:val="22"/>
          <w:highlight w:val="none"/>
        </w:rPr>
      </w:pPr>
      <w:r>
        <w:rPr>
          <w:rFonts w:hint="eastAsia" w:ascii="宋体" w:hAnsi="宋体"/>
          <w:b/>
          <w:color w:val="auto"/>
          <w:sz w:val="24"/>
          <w:szCs w:val="22"/>
          <w:highlight w:val="none"/>
        </w:rPr>
        <w:t>实质性条款不满足的；</w:t>
      </w:r>
    </w:p>
    <w:p>
      <w:pPr>
        <w:numPr>
          <w:ilvl w:val="0"/>
          <w:numId w:val="7"/>
        </w:numPr>
        <w:spacing w:line="440" w:lineRule="exact"/>
        <w:ind w:left="900"/>
        <w:rPr>
          <w:rFonts w:hint="eastAsia" w:ascii="宋体" w:hAnsi="宋体"/>
          <w:b/>
          <w:bCs/>
          <w:color w:val="auto"/>
          <w:sz w:val="24"/>
          <w:highlight w:val="none"/>
        </w:rPr>
      </w:pPr>
      <w:r>
        <w:rPr>
          <w:rFonts w:hint="eastAsia" w:ascii="宋体" w:hAnsi="宋体"/>
          <w:b/>
          <w:bCs/>
          <w:color w:val="auto"/>
          <w:sz w:val="24"/>
          <w:highlight w:val="none"/>
        </w:rPr>
        <w:t>投标有效期少于招标文件要求的；</w:t>
      </w:r>
    </w:p>
    <w:p>
      <w:pPr>
        <w:spacing w:line="440" w:lineRule="exact"/>
        <w:ind w:left="900"/>
        <w:rPr>
          <w:rFonts w:hint="eastAsia" w:ascii="宋体" w:hAnsi="宋体"/>
          <w:b/>
          <w:bCs/>
          <w:color w:val="auto"/>
          <w:sz w:val="24"/>
          <w:highlight w:val="none"/>
        </w:rPr>
      </w:pPr>
      <w:r>
        <w:rPr>
          <w:rFonts w:hint="eastAsia" w:ascii="宋体" w:hAnsi="宋体"/>
          <w:b/>
          <w:bCs/>
          <w:color w:val="auto"/>
          <w:sz w:val="24"/>
          <w:highlight w:val="none"/>
        </w:rPr>
        <w:t>（5）</w:t>
      </w:r>
      <w:r>
        <w:rPr>
          <w:rFonts w:hint="eastAsia" w:ascii="宋体" w:hAnsi="宋体"/>
          <w:b/>
          <w:bCs/>
          <w:color w:val="auto"/>
          <w:sz w:val="24"/>
          <w:szCs w:val="24"/>
          <w:highlight w:val="none"/>
        </w:rPr>
        <w:t>投标人应填写全称，加盖与全称相一致的公章（不得加盖带有“专用章”等字样的印章），</w:t>
      </w:r>
      <w:r>
        <w:rPr>
          <w:rFonts w:hint="eastAsia" w:ascii="宋体" w:hAnsi="宋体"/>
          <w:b/>
          <w:bCs/>
          <w:color w:val="auto"/>
          <w:sz w:val="24"/>
          <w:highlight w:val="none"/>
        </w:rPr>
        <w:t>未按规定签署、盖章的，影响投标效力的；</w:t>
      </w:r>
    </w:p>
    <w:p>
      <w:pPr>
        <w:spacing w:line="440" w:lineRule="exact"/>
        <w:ind w:left="900"/>
        <w:rPr>
          <w:rFonts w:hint="eastAsia" w:ascii="宋体" w:hAnsi="宋体"/>
          <w:b/>
          <w:bCs/>
          <w:color w:val="auto"/>
          <w:sz w:val="24"/>
          <w:highlight w:val="none"/>
        </w:rPr>
      </w:pPr>
      <w:r>
        <w:rPr>
          <w:rFonts w:hint="eastAsia" w:ascii="宋体" w:hAnsi="宋体"/>
          <w:b/>
          <w:bCs/>
          <w:color w:val="auto"/>
          <w:sz w:val="24"/>
          <w:highlight w:val="none"/>
        </w:rPr>
        <w:t>（6）投标文件未按要求编制，内容缺失、不完整，导致无法评审的；</w:t>
      </w:r>
    </w:p>
    <w:p>
      <w:pPr>
        <w:spacing w:line="440" w:lineRule="exact"/>
        <w:ind w:left="900"/>
        <w:rPr>
          <w:rFonts w:hint="eastAsia" w:ascii="宋体" w:hAnsi="宋体"/>
          <w:b/>
          <w:bCs/>
          <w:color w:val="auto"/>
          <w:sz w:val="24"/>
          <w:highlight w:val="none"/>
        </w:rPr>
      </w:pPr>
      <w:r>
        <w:rPr>
          <w:rFonts w:hint="eastAsia" w:ascii="宋体" w:hAnsi="宋体"/>
          <w:b/>
          <w:bCs/>
          <w:color w:val="auto"/>
          <w:sz w:val="24"/>
          <w:highlight w:val="none"/>
        </w:rPr>
        <w:t>（7）投标价格错误且不同意按招标文件要求进行修正的；</w:t>
      </w:r>
    </w:p>
    <w:p>
      <w:pPr>
        <w:spacing w:line="440" w:lineRule="exact"/>
        <w:ind w:left="840" w:leftChars="400"/>
        <w:rPr>
          <w:rFonts w:hint="eastAsia" w:ascii="宋体" w:hAnsi="宋体"/>
          <w:b/>
          <w:color w:val="auto"/>
          <w:sz w:val="24"/>
          <w:highlight w:val="none"/>
        </w:rPr>
      </w:pPr>
      <w:r>
        <w:rPr>
          <w:rFonts w:hint="eastAsia" w:ascii="宋体" w:hAnsi="宋体"/>
          <w:b/>
          <w:color w:val="auto"/>
          <w:sz w:val="24"/>
          <w:highlight w:val="none"/>
        </w:rPr>
        <w:t>（8）投标人应做好详细的投标成本测算，有下列情形之一的，视为投标人不能证明其报价合理性：</w:t>
      </w:r>
    </w:p>
    <w:p>
      <w:pPr>
        <w:spacing w:line="440" w:lineRule="exact"/>
        <w:ind w:left="840" w:leftChars="400"/>
        <w:rPr>
          <w:rFonts w:hint="eastAsia" w:ascii="宋体" w:hAnsi="宋体"/>
          <w:b/>
          <w:color w:val="auto"/>
          <w:sz w:val="24"/>
          <w:highlight w:val="none"/>
        </w:rPr>
      </w:pPr>
      <w:r>
        <w:rPr>
          <w:rFonts w:hint="eastAsia" w:ascii="宋体" w:hAnsi="宋体"/>
          <w:b/>
          <w:color w:val="auto"/>
          <w:sz w:val="24"/>
          <w:highlight w:val="none"/>
        </w:rPr>
        <w:t>（i）对于低于采购预算（或最高限价）70%的投标报价，投标人未在投标文件中提供成本测算资料的；</w:t>
      </w:r>
    </w:p>
    <w:p>
      <w:pPr>
        <w:spacing w:line="440" w:lineRule="exact"/>
        <w:ind w:left="840" w:leftChars="400"/>
        <w:rPr>
          <w:rFonts w:hint="eastAsia" w:ascii="宋体" w:hAnsi="宋体"/>
          <w:b/>
          <w:color w:val="auto"/>
          <w:sz w:val="24"/>
          <w:highlight w:val="none"/>
        </w:rPr>
      </w:pPr>
      <w:r>
        <w:rPr>
          <w:rFonts w:hint="eastAsia" w:ascii="宋体" w:hAnsi="宋体"/>
          <w:b/>
          <w:color w:val="auto"/>
          <w:sz w:val="24"/>
          <w:highlight w:val="none"/>
        </w:rPr>
        <w:t>（ii）评审委员会半数以上成员认为投标人的报价明显过低时，投标人未在1小时内向评审委员会提供成本测算资料的；</w:t>
      </w:r>
    </w:p>
    <w:p>
      <w:pPr>
        <w:spacing w:line="440" w:lineRule="exact"/>
        <w:ind w:left="840" w:leftChars="400"/>
        <w:rPr>
          <w:rFonts w:hint="eastAsia" w:ascii="宋体" w:hAnsi="宋体"/>
          <w:b/>
          <w:color w:val="auto"/>
          <w:sz w:val="24"/>
          <w:highlight w:val="none"/>
        </w:rPr>
      </w:pPr>
      <w:r>
        <w:rPr>
          <w:rFonts w:hint="eastAsia" w:ascii="宋体" w:hAnsi="宋体"/>
          <w:b/>
          <w:color w:val="auto"/>
          <w:sz w:val="24"/>
          <w:highlight w:val="none"/>
        </w:rPr>
        <w:t>（iii）投标人虽然提供了成本测算资料，但评审委员会半数以上成员认为其成本测算依据不合理的。</w:t>
      </w:r>
    </w:p>
    <w:p>
      <w:pPr>
        <w:spacing w:line="440" w:lineRule="exact"/>
        <w:ind w:left="900"/>
        <w:rPr>
          <w:rFonts w:hint="eastAsia" w:ascii="宋体" w:hAnsi="宋体"/>
          <w:b/>
          <w:bCs/>
          <w:color w:val="auto"/>
          <w:sz w:val="24"/>
          <w:highlight w:val="none"/>
        </w:rPr>
      </w:pPr>
      <w:r>
        <w:rPr>
          <w:rFonts w:hint="eastAsia" w:ascii="宋体" w:hAnsi="宋体"/>
          <w:b/>
          <w:bCs/>
          <w:color w:val="auto"/>
          <w:sz w:val="24"/>
          <w:highlight w:val="none"/>
        </w:rPr>
        <w:t>（9）出现招标文件规定作无效标处理的其他情形。</w:t>
      </w:r>
    </w:p>
    <w:p>
      <w:pPr>
        <w:numPr>
          <w:ilvl w:val="1"/>
          <w:numId w:val="5"/>
        </w:numPr>
        <w:spacing w:line="440" w:lineRule="exact"/>
        <w:rPr>
          <w:rFonts w:ascii="宋体" w:hAnsi="宋体"/>
          <w:color w:val="auto"/>
          <w:sz w:val="24"/>
          <w:highlight w:val="none"/>
        </w:rPr>
      </w:pPr>
      <w:r>
        <w:rPr>
          <w:rFonts w:hint="eastAsia" w:ascii="宋体" w:hAnsi="宋体"/>
          <w:color w:val="auto"/>
          <w:sz w:val="24"/>
          <w:highlight w:val="none"/>
        </w:rPr>
        <w:t>法律、法规和规章规定的其他情形。</w:t>
      </w:r>
    </w:p>
    <w:p>
      <w:pPr>
        <w:spacing w:line="440" w:lineRule="exact"/>
        <w:rPr>
          <w:rFonts w:hint="eastAsia" w:ascii="宋体" w:hAnsi="宋体"/>
          <w:color w:val="auto"/>
          <w:sz w:val="24"/>
          <w:highlight w:val="none"/>
        </w:rPr>
      </w:pPr>
      <w:r>
        <w:rPr>
          <w:rFonts w:hint="eastAsia" w:ascii="宋体" w:hAnsi="宋体"/>
          <w:color w:val="auto"/>
          <w:sz w:val="24"/>
          <w:highlight w:val="none"/>
        </w:rPr>
        <w:t>三、</w:t>
      </w:r>
      <w:r>
        <w:rPr>
          <w:rFonts w:hint="eastAsia" w:ascii="宋体" w:hAnsi="宋体"/>
          <w:b/>
          <w:color w:val="auto"/>
          <w:sz w:val="24"/>
          <w:highlight w:val="none"/>
        </w:rPr>
        <w:t>废标</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凡出现以下情况之一的，本项目废标：</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（1）合格投标人不足三家的；</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（2）法律法规规定的其他情形。</w:t>
      </w:r>
    </w:p>
    <w:p>
      <w:pPr>
        <w:tabs>
          <w:tab w:val="left" w:pos="0"/>
        </w:tabs>
        <w:spacing w:line="500" w:lineRule="exact"/>
        <w:rPr>
          <w:rFonts w:hint="eastAsia" w:ascii="宋体" w:hAnsi="宋体"/>
          <w:color w:val="auto"/>
          <w:sz w:val="24"/>
          <w:szCs w:val="24"/>
          <w:highlight w:val="none"/>
        </w:rPr>
      </w:pPr>
      <w:r>
        <w:rPr>
          <w:rFonts w:hint="eastAsia" w:ascii="宋体" w:hAnsi="宋体"/>
          <w:color w:val="auto"/>
          <w:sz w:val="24"/>
          <w:szCs w:val="24"/>
          <w:highlight w:val="none"/>
        </w:rPr>
        <w:t>四、投标不足三家后续处理</w:t>
      </w:r>
    </w:p>
    <w:p>
      <w:pPr>
        <w:tabs>
          <w:tab w:val="left" w:pos="0"/>
        </w:tabs>
        <w:spacing w:line="500" w:lineRule="exact"/>
        <w:rPr>
          <w:rFonts w:hint="eastAsia" w:ascii="宋体" w:hAnsi="宋体"/>
          <w:color w:val="auto"/>
          <w:sz w:val="24"/>
          <w:szCs w:val="24"/>
          <w:highlight w:val="none"/>
        </w:rPr>
      </w:pPr>
      <w:r>
        <w:rPr>
          <w:rFonts w:hint="eastAsia" w:ascii="宋体" w:hAnsi="宋体"/>
          <w:color w:val="auto"/>
          <w:sz w:val="24"/>
          <w:szCs w:val="24"/>
          <w:highlight w:val="none"/>
        </w:rPr>
        <w:tab/>
      </w:r>
      <w:r>
        <w:rPr>
          <w:rFonts w:hint="eastAsia" w:ascii="宋体" w:hAnsi="宋体"/>
          <w:color w:val="auto"/>
          <w:sz w:val="24"/>
          <w:szCs w:val="24"/>
          <w:highlight w:val="none"/>
        </w:rPr>
        <w:t>1、投标供应商不足三家的，评审专家须重点审查招标公告时间和程序是否符合规定，供应商资格条件、采购需求和评审标准是否存在</w:t>
      </w:r>
      <w:r>
        <w:rPr>
          <w:rFonts w:ascii="宋体" w:hAnsi="宋体"/>
          <w:color w:val="auto"/>
          <w:sz w:val="24"/>
          <w:szCs w:val="24"/>
          <w:highlight w:val="none"/>
        </w:rPr>
        <w:t>不合理条款</w:t>
      </w:r>
      <w:r>
        <w:rPr>
          <w:rFonts w:hint="eastAsia" w:ascii="宋体" w:hAnsi="宋体"/>
          <w:color w:val="auto"/>
          <w:sz w:val="24"/>
          <w:szCs w:val="24"/>
          <w:highlight w:val="none"/>
        </w:rPr>
        <w:t>，并出具审查意见和修改建议。存在不合理条款的，应按审查意见和建议修改招标文件后重新组织招标。没有不合理条款的，按以下原则处理：</w:t>
      </w:r>
    </w:p>
    <w:p>
      <w:pPr>
        <w:tabs>
          <w:tab w:val="left" w:pos="0"/>
        </w:tabs>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（1）单个标包预算金额不到公开招标数额标准：</w:t>
      </w:r>
      <w:r>
        <w:rPr>
          <w:rFonts w:hint="eastAsia" w:ascii="宋体" w:hAnsi="宋体"/>
          <w:color w:val="auto"/>
          <w:sz w:val="24"/>
          <w:highlight w:val="none"/>
        </w:rPr>
        <w:t>2家供应商具有竞争性的，可以</w:t>
      </w:r>
      <w:r>
        <w:rPr>
          <w:rFonts w:hint="eastAsia"/>
          <w:color w:val="auto"/>
          <w:sz w:val="24"/>
          <w:highlight w:val="none"/>
        </w:rPr>
        <w:t>根据</w:t>
      </w:r>
      <w:r>
        <w:rPr>
          <w:rFonts w:hint="eastAsia" w:ascii="宋体" w:hAnsi="宋体"/>
          <w:color w:val="auto"/>
          <w:sz w:val="24"/>
          <w:highlight w:val="none"/>
        </w:rPr>
        <w:t>“浙财采监字[2007]2号”文件规定继续按原程序进行2家供应商评审，或者比照竞争性磋商（综合评分法适用），或者比照竞争性谈判（最低评标价法适用）；1家供应商可以进行单一来源采购</w:t>
      </w:r>
      <w:r>
        <w:rPr>
          <w:rFonts w:hint="eastAsia" w:ascii="宋体" w:hAnsi="宋体"/>
          <w:color w:val="auto"/>
          <w:sz w:val="24"/>
          <w:szCs w:val="24"/>
          <w:highlight w:val="none"/>
        </w:rPr>
        <w:t>。</w:t>
      </w:r>
    </w:p>
    <w:p>
      <w:pPr>
        <w:spacing w:line="500" w:lineRule="exact"/>
        <w:ind w:firstLine="425"/>
        <w:rPr>
          <w:rFonts w:hint="eastAsia" w:ascii="宋体" w:hAnsi="宋体"/>
          <w:color w:val="auto"/>
          <w:sz w:val="24"/>
          <w:szCs w:val="24"/>
          <w:highlight w:val="none"/>
        </w:rPr>
      </w:pPr>
      <w:r>
        <w:rPr>
          <w:rFonts w:hint="eastAsia" w:ascii="宋体" w:hAnsi="宋体"/>
          <w:color w:val="auto"/>
          <w:sz w:val="24"/>
          <w:szCs w:val="24"/>
          <w:highlight w:val="none"/>
        </w:rPr>
        <w:t>（2）其他情形的，后续程序终止，除采购任务取消外，招标人将重新组织招标或依法经同级财政部门批准采取其他方式组织采购。</w:t>
      </w:r>
    </w:p>
    <w:p>
      <w:pPr>
        <w:spacing w:line="500" w:lineRule="exact"/>
        <w:ind w:firstLine="425"/>
        <w:rPr>
          <w:rFonts w:hint="eastAsia" w:ascii="宋体" w:hAnsi="宋体"/>
          <w:color w:val="auto"/>
          <w:sz w:val="24"/>
          <w:szCs w:val="24"/>
          <w:highlight w:val="none"/>
        </w:rPr>
      </w:pPr>
      <w:r>
        <w:rPr>
          <w:rFonts w:hint="eastAsia" w:ascii="宋体" w:hAnsi="宋体"/>
          <w:color w:val="auto"/>
          <w:sz w:val="24"/>
          <w:szCs w:val="24"/>
          <w:highlight w:val="none"/>
        </w:rPr>
        <w:t>2、竞争性谈判（磋商）程序：</w:t>
      </w:r>
    </w:p>
    <w:p>
      <w:pPr>
        <w:spacing w:line="500" w:lineRule="exact"/>
        <w:ind w:firstLine="425"/>
        <w:rPr>
          <w:rFonts w:hint="eastAsia" w:ascii="宋体" w:hAnsi="宋体"/>
          <w:color w:val="auto"/>
          <w:sz w:val="24"/>
          <w:szCs w:val="24"/>
          <w:highlight w:val="none"/>
        </w:rPr>
      </w:pPr>
      <w:r>
        <w:rPr>
          <w:rFonts w:hint="eastAsia" w:ascii="宋体" w:hAnsi="宋体"/>
          <w:color w:val="auto"/>
          <w:sz w:val="24"/>
          <w:szCs w:val="24"/>
          <w:highlight w:val="none"/>
        </w:rPr>
        <w:t>（1）招标项目的评审委员会转为竞争性谈判（磋商）的评审小组；</w:t>
      </w:r>
    </w:p>
    <w:p>
      <w:pPr>
        <w:spacing w:line="500" w:lineRule="exact"/>
        <w:ind w:firstLine="425"/>
        <w:rPr>
          <w:rFonts w:hint="eastAsia" w:ascii="宋体" w:hAnsi="宋体"/>
          <w:color w:val="auto"/>
          <w:sz w:val="24"/>
          <w:szCs w:val="24"/>
          <w:highlight w:val="none"/>
        </w:rPr>
      </w:pPr>
      <w:r>
        <w:rPr>
          <w:rFonts w:hint="eastAsia" w:ascii="宋体" w:hAnsi="宋体"/>
          <w:color w:val="auto"/>
          <w:sz w:val="24"/>
          <w:szCs w:val="24"/>
          <w:highlight w:val="none"/>
        </w:rPr>
        <w:t>（2）评审小组确认原招标文件为竞争性谈判（磋商）文件；</w:t>
      </w:r>
    </w:p>
    <w:p>
      <w:pPr>
        <w:spacing w:line="500" w:lineRule="exact"/>
        <w:ind w:firstLine="425"/>
        <w:rPr>
          <w:rFonts w:hint="eastAsia" w:ascii="宋体" w:hAnsi="宋体"/>
          <w:color w:val="auto"/>
          <w:sz w:val="24"/>
          <w:szCs w:val="24"/>
          <w:highlight w:val="none"/>
        </w:rPr>
      </w:pPr>
      <w:r>
        <w:rPr>
          <w:rFonts w:hint="eastAsia" w:ascii="宋体" w:hAnsi="宋体"/>
          <w:color w:val="auto"/>
          <w:sz w:val="24"/>
          <w:szCs w:val="24"/>
          <w:highlight w:val="none"/>
        </w:rPr>
        <w:t>（3）供应商的投标文件转为竞争性谈判（磋商）的首次响应文件；</w:t>
      </w:r>
    </w:p>
    <w:p>
      <w:pPr>
        <w:spacing w:line="500" w:lineRule="exact"/>
        <w:ind w:firstLine="425"/>
        <w:rPr>
          <w:rFonts w:hint="eastAsia" w:ascii="宋体" w:hAnsi="宋体"/>
          <w:color w:val="auto"/>
          <w:sz w:val="24"/>
          <w:highlight w:val="none"/>
        </w:rPr>
      </w:pPr>
      <w:r>
        <w:rPr>
          <w:rFonts w:hint="eastAsia" w:ascii="宋体" w:hAnsi="宋体"/>
          <w:color w:val="auto"/>
          <w:sz w:val="24"/>
          <w:szCs w:val="24"/>
          <w:highlight w:val="none"/>
        </w:rPr>
        <w:t>（4）评审小组</w:t>
      </w:r>
      <w:r>
        <w:rPr>
          <w:rFonts w:ascii="宋体" w:hAnsi="宋体"/>
          <w:color w:val="auto"/>
          <w:sz w:val="24"/>
          <w:highlight w:val="none"/>
        </w:rPr>
        <w:t>所有成员应当集中与单一供应商分别进行谈判</w:t>
      </w:r>
      <w:r>
        <w:rPr>
          <w:rFonts w:hint="eastAsia" w:ascii="宋体" w:hAnsi="宋体"/>
          <w:color w:val="auto"/>
          <w:sz w:val="24"/>
          <w:highlight w:val="none"/>
        </w:rPr>
        <w:t>（磋商）</w:t>
      </w:r>
      <w:r>
        <w:rPr>
          <w:rFonts w:ascii="宋体" w:hAnsi="宋体"/>
          <w:color w:val="auto"/>
          <w:sz w:val="24"/>
          <w:highlight w:val="none"/>
        </w:rPr>
        <w:t>，并给予所有参加谈判</w:t>
      </w:r>
      <w:r>
        <w:rPr>
          <w:rFonts w:hint="eastAsia" w:ascii="宋体" w:hAnsi="宋体"/>
          <w:color w:val="auto"/>
          <w:sz w:val="24"/>
          <w:highlight w:val="none"/>
        </w:rPr>
        <w:t>（磋商）</w:t>
      </w:r>
      <w:r>
        <w:rPr>
          <w:rFonts w:ascii="宋体" w:hAnsi="宋体"/>
          <w:color w:val="auto"/>
          <w:sz w:val="24"/>
          <w:highlight w:val="none"/>
        </w:rPr>
        <w:t>的供应商平等的谈判</w:t>
      </w:r>
      <w:r>
        <w:rPr>
          <w:rFonts w:hint="eastAsia" w:ascii="宋体" w:hAnsi="宋体"/>
          <w:color w:val="auto"/>
          <w:sz w:val="24"/>
          <w:highlight w:val="none"/>
        </w:rPr>
        <w:t>（磋商）</w:t>
      </w:r>
      <w:r>
        <w:rPr>
          <w:rFonts w:ascii="宋体" w:hAnsi="宋体"/>
          <w:color w:val="auto"/>
          <w:sz w:val="24"/>
          <w:highlight w:val="none"/>
        </w:rPr>
        <w:t>机会</w:t>
      </w:r>
      <w:r>
        <w:rPr>
          <w:rFonts w:hint="eastAsia" w:ascii="宋体" w:hAnsi="宋体"/>
          <w:color w:val="auto"/>
          <w:sz w:val="24"/>
          <w:highlight w:val="none"/>
        </w:rPr>
        <w:t>；</w:t>
      </w:r>
    </w:p>
    <w:p>
      <w:pPr>
        <w:spacing w:line="500" w:lineRule="exact"/>
        <w:ind w:firstLine="425"/>
        <w:rPr>
          <w:rFonts w:hint="eastAsia" w:ascii="宋体" w:hAnsi="宋体"/>
          <w:color w:val="auto"/>
          <w:sz w:val="24"/>
          <w:highlight w:val="none"/>
        </w:rPr>
      </w:pPr>
      <w:r>
        <w:rPr>
          <w:rFonts w:hint="eastAsia" w:ascii="宋体" w:hAnsi="宋体"/>
          <w:color w:val="auto"/>
          <w:sz w:val="24"/>
          <w:szCs w:val="24"/>
          <w:highlight w:val="none"/>
        </w:rPr>
        <w:t>（5）</w:t>
      </w:r>
      <w:r>
        <w:rPr>
          <w:rFonts w:ascii="宋体" w:hAnsi="宋体"/>
          <w:color w:val="auto"/>
          <w:sz w:val="24"/>
          <w:highlight w:val="none"/>
        </w:rPr>
        <w:t>谈判</w:t>
      </w:r>
      <w:r>
        <w:rPr>
          <w:rFonts w:hint="eastAsia" w:ascii="宋体" w:hAnsi="宋体"/>
          <w:color w:val="auto"/>
          <w:sz w:val="24"/>
          <w:highlight w:val="none"/>
        </w:rPr>
        <w:t>（磋商）</w:t>
      </w:r>
      <w:r>
        <w:rPr>
          <w:rFonts w:ascii="宋体" w:hAnsi="宋体"/>
          <w:color w:val="auto"/>
          <w:sz w:val="24"/>
          <w:highlight w:val="none"/>
        </w:rPr>
        <w:t>结束后，</w:t>
      </w:r>
      <w:r>
        <w:rPr>
          <w:rFonts w:hint="eastAsia" w:ascii="宋体" w:hAnsi="宋体"/>
          <w:color w:val="auto"/>
          <w:sz w:val="24"/>
          <w:highlight w:val="none"/>
        </w:rPr>
        <w:t>评审小组</w:t>
      </w:r>
      <w:r>
        <w:rPr>
          <w:rFonts w:ascii="宋体" w:hAnsi="宋体"/>
          <w:color w:val="auto"/>
          <w:sz w:val="24"/>
          <w:highlight w:val="none"/>
        </w:rPr>
        <w:t>应当要求所有继续参加谈判的供应商在规定时间内提交最后报价</w:t>
      </w:r>
      <w:r>
        <w:rPr>
          <w:rFonts w:hint="eastAsia" w:ascii="宋体" w:hAnsi="宋体"/>
          <w:color w:val="auto"/>
          <w:sz w:val="24"/>
          <w:highlight w:val="none"/>
        </w:rPr>
        <w:t>。</w:t>
      </w:r>
    </w:p>
    <w:p>
      <w:pPr>
        <w:spacing w:line="500" w:lineRule="exact"/>
        <w:ind w:firstLine="425"/>
        <w:rPr>
          <w:rFonts w:hint="eastAsia" w:ascii="宋体" w:hAnsi="宋体"/>
          <w:color w:val="auto"/>
          <w:sz w:val="24"/>
          <w:szCs w:val="24"/>
          <w:highlight w:val="none"/>
        </w:rPr>
      </w:pPr>
      <w:r>
        <w:rPr>
          <w:rFonts w:hint="eastAsia" w:ascii="宋体" w:hAnsi="宋体"/>
          <w:color w:val="auto"/>
          <w:sz w:val="24"/>
          <w:highlight w:val="none"/>
        </w:rPr>
        <w:t>（6）竞争性谈判按照最低评标价法确定成交供应商，竞争性磋商按照综合评分法确定成交供应商。</w:t>
      </w:r>
    </w:p>
    <w:p>
      <w:pPr>
        <w:spacing w:line="500" w:lineRule="exact"/>
        <w:ind w:firstLine="425"/>
        <w:rPr>
          <w:rFonts w:hint="eastAsia" w:ascii="宋体" w:hAnsi="宋体"/>
          <w:color w:val="auto"/>
          <w:sz w:val="24"/>
          <w:szCs w:val="24"/>
          <w:highlight w:val="none"/>
        </w:rPr>
      </w:pPr>
      <w:r>
        <w:rPr>
          <w:rFonts w:hint="eastAsia" w:ascii="宋体" w:hAnsi="宋体"/>
          <w:color w:val="auto"/>
          <w:sz w:val="24"/>
          <w:szCs w:val="24"/>
          <w:highlight w:val="none"/>
        </w:rPr>
        <w:t>3、单一来源采购程序：</w:t>
      </w:r>
    </w:p>
    <w:p>
      <w:pPr>
        <w:spacing w:line="500" w:lineRule="exact"/>
        <w:ind w:firstLine="425"/>
        <w:rPr>
          <w:rFonts w:hint="eastAsia" w:ascii="宋体" w:hAnsi="宋体"/>
          <w:color w:val="auto"/>
          <w:sz w:val="24"/>
          <w:szCs w:val="24"/>
          <w:highlight w:val="none"/>
        </w:rPr>
      </w:pPr>
      <w:r>
        <w:rPr>
          <w:rFonts w:hint="eastAsia" w:ascii="宋体" w:hAnsi="宋体"/>
          <w:color w:val="auto"/>
          <w:sz w:val="24"/>
          <w:szCs w:val="24"/>
          <w:highlight w:val="none"/>
        </w:rPr>
        <w:t>（1）招标项目的评审委员会转为单一来源采购的评审小组；</w:t>
      </w:r>
    </w:p>
    <w:p>
      <w:pPr>
        <w:spacing w:line="500" w:lineRule="exact"/>
        <w:ind w:firstLine="425"/>
        <w:rPr>
          <w:rFonts w:hint="eastAsia" w:ascii="宋体" w:hAnsi="宋体"/>
          <w:color w:val="auto"/>
          <w:sz w:val="24"/>
          <w:szCs w:val="24"/>
          <w:highlight w:val="none"/>
        </w:rPr>
      </w:pPr>
      <w:r>
        <w:rPr>
          <w:rFonts w:hint="eastAsia" w:ascii="宋体" w:hAnsi="宋体"/>
          <w:color w:val="auto"/>
          <w:sz w:val="24"/>
          <w:szCs w:val="24"/>
          <w:highlight w:val="none"/>
        </w:rPr>
        <w:t>（2）评审小组确认原招标文件为单一来源采购文件；</w:t>
      </w:r>
    </w:p>
    <w:p>
      <w:pPr>
        <w:spacing w:line="500" w:lineRule="exact"/>
        <w:ind w:firstLine="425"/>
        <w:rPr>
          <w:rFonts w:hint="eastAsia" w:ascii="宋体" w:hAnsi="宋体"/>
          <w:color w:val="auto"/>
          <w:sz w:val="24"/>
          <w:szCs w:val="24"/>
          <w:highlight w:val="none"/>
        </w:rPr>
      </w:pPr>
      <w:r>
        <w:rPr>
          <w:rFonts w:hint="eastAsia" w:ascii="宋体" w:hAnsi="宋体"/>
          <w:color w:val="auto"/>
          <w:sz w:val="24"/>
          <w:szCs w:val="24"/>
          <w:highlight w:val="none"/>
        </w:rPr>
        <w:t>（3）供应商的投标文件转为单一来源采购的首次响应文件；</w:t>
      </w:r>
    </w:p>
    <w:p>
      <w:pPr>
        <w:spacing w:line="440" w:lineRule="exact"/>
        <w:rPr>
          <w:rFonts w:hint="eastAsia" w:ascii="宋体" w:hAnsi="宋体"/>
          <w:color w:val="auto"/>
          <w:sz w:val="24"/>
          <w:highlight w:val="none"/>
        </w:rPr>
      </w:pPr>
      <w:r>
        <w:rPr>
          <w:rFonts w:hint="eastAsia" w:ascii="宋体" w:hAnsi="宋体"/>
          <w:color w:val="auto"/>
          <w:sz w:val="24"/>
          <w:szCs w:val="24"/>
          <w:highlight w:val="none"/>
        </w:rPr>
        <w:t>（4）评审小组</w:t>
      </w:r>
      <w:r>
        <w:rPr>
          <w:rFonts w:ascii="宋体" w:hAnsi="宋体"/>
          <w:color w:val="auto"/>
          <w:sz w:val="24"/>
          <w:highlight w:val="none"/>
        </w:rPr>
        <w:t>与供应商</w:t>
      </w:r>
      <w:r>
        <w:rPr>
          <w:rFonts w:hint="eastAsia" w:ascii="宋体" w:hAnsi="宋体"/>
          <w:color w:val="auto"/>
          <w:sz w:val="24"/>
          <w:highlight w:val="none"/>
        </w:rPr>
        <w:t>协商确定合理的成交价格。</w:t>
      </w:r>
    </w:p>
    <w:p>
      <w:pPr>
        <w:spacing w:line="440" w:lineRule="exact"/>
        <w:rPr>
          <w:rFonts w:hint="eastAsia" w:ascii="宋体" w:hAnsi="宋体"/>
          <w:color w:val="auto"/>
          <w:sz w:val="24"/>
          <w:highlight w:val="none"/>
        </w:rPr>
      </w:pPr>
      <w:r>
        <w:rPr>
          <w:rFonts w:hint="eastAsia" w:ascii="宋体" w:hAnsi="宋体"/>
          <w:color w:val="auto"/>
          <w:sz w:val="24"/>
          <w:highlight w:val="none"/>
        </w:rPr>
        <w:t>五、评审程序</w:t>
      </w:r>
    </w:p>
    <w:p>
      <w:pPr>
        <w:spacing w:line="440" w:lineRule="exact"/>
        <w:rPr>
          <w:rFonts w:hint="eastAsia" w:ascii="宋体" w:hAnsi="宋体"/>
          <w:color w:val="auto"/>
          <w:sz w:val="24"/>
          <w:highlight w:val="none"/>
        </w:rPr>
      </w:pPr>
      <w:r>
        <w:rPr>
          <w:rFonts w:hint="eastAsia" w:ascii="宋体" w:hAnsi="宋体"/>
          <w:color w:val="auto"/>
          <w:sz w:val="24"/>
          <w:highlight w:val="none"/>
        </w:rPr>
        <w:t>1、招标人工作人员按评审委员会名单核对评委身份，组织评委及监管等人员签到。</w:t>
      </w:r>
    </w:p>
    <w:p>
      <w:pPr>
        <w:spacing w:line="440" w:lineRule="exact"/>
        <w:rPr>
          <w:rFonts w:hint="eastAsia" w:ascii="宋体" w:hAnsi="宋体"/>
          <w:color w:val="auto"/>
          <w:sz w:val="24"/>
          <w:highlight w:val="none"/>
        </w:rPr>
      </w:pPr>
      <w:r>
        <w:rPr>
          <w:rFonts w:hint="eastAsia" w:ascii="宋体" w:hAnsi="宋体"/>
          <w:color w:val="auto"/>
          <w:sz w:val="24"/>
          <w:highlight w:val="none"/>
        </w:rPr>
        <w:t>2、招标人工作人员宣布评审纪律，征询评委有无回避情形；</w:t>
      </w:r>
    </w:p>
    <w:p>
      <w:pPr>
        <w:spacing w:line="440" w:lineRule="exact"/>
        <w:rPr>
          <w:rFonts w:hint="eastAsia" w:ascii="宋体" w:hAnsi="宋体"/>
          <w:color w:val="auto"/>
          <w:sz w:val="24"/>
          <w:highlight w:val="none"/>
        </w:rPr>
      </w:pPr>
      <w:r>
        <w:rPr>
          <w:rFonts w:hint="eastAsia" w:ascii="宋体" w:hAnsi="宋体"/>
          <w:color w:val="auto"/>
          <w:sz w:val="24"/>
          <w:highlight w:val="none"/>
        </w:rPr>
        <w:t>3、评审委员会确定评审组长，负责组织主持评审活动；</w:t>
      </w:r>
    </w:p>
    <w:p>
      <w:pPr>
        <w:spacing w:line="440" w:lineRule="exact"/>
        <w:rPr>
          <w:rFonts w:hint="eastAsia" w:ascii="宋体" w:hAnsi="宋体"/>
          <w:color w:val="auto"/>
          <w:sz w:val="24"/>
          <w:highlight w:val="none"/>
        </w:rPr>
      </w:pPr>
      <w:r>
        <w:rPr>
          <w:rFonts w:hint="eastAsia" w:ascii="宋体" w:hAnsi="宋体"/>
          <w:color w:val="auto"/>
          <w:sz w:val="24"/>
          <w:highlight w:val="none"/>
        </w:rPr>
        <w:t>4、招标人工作人员对每个评委评审情况进行复核，有差错的、或</w:t>
      </w:r>
      <w:r>
        <w:rPr>
          <w:rFonts w:hint="eastAsia" w:ascii="宋体" w:hAnsi="宋体"/>
          <w:b/>
          <w:bCs/>
          <w:color w:val="auto"/>
          <w:sz w:val="24"/>
          <w:highlight w:val="none"/>
        </w:rPr>
        <w:t>畸高畸低</w:t>
      </w:r>
      <w:r>
        <w:rPr>
          <w:rFonts w:hint="eastAsia" w:ascii="宋体" w:hAnsi="宋体"/>
          <w:color w:val="auto"/>
          <w:sz w:val="24"/>
          <w:highlight w:val="none"/>
        </w:rPr>
        <w:t>的，提醒评委进行修正，评委拒绝修正的，提交评委会按少数服从多数原则集体决定，并记入评审记录内。情节严重的，报监管部门处理。</w:t>
      </w:r>
    </w:p>
    <w:p>
      <w:pPr>
        <w:spacing w:line="440" w:lineRule="exact"/>
        <w:rPr>
          <w:rFonts w:hint="eastAsia" w:ascii="宋体" w:hAnsi="宋体"/>
          <w:color w:val="auto"/>
          <w:sz w:val="24"/>
          <w:highlight w:val="none"/>
        </w:rPr>
      </w:pPr>
      <w:r>
        <w:rPr>
          <w:rFonts w:hint="eastAsia" w:ascii="宋体" w:hAnsi="宋体"/>
          <w:color w:val="auto"/>
          <w:sz w:val="24"/>
          <w:highlight w:val="none"/>
        </w:rPr>
        <w:t>5、招标人工作人员协助做好价格分和评审情况的计算、汇总工作。</w:t>
      </w:r>
    </w:p>
    <w:p>
      <w:pPr>
        <w:spacing w:line="440" w:lineRule="exact"/>
        <w:rPr>
          <w:rFonts w:hint="eastAsia" w:ascii="宋体" w:hAnsi="宋体"/>
          <w:color w:val="auto"/>
          <w:sz w:val="24"/>
          <w:highlight w:val="none"/>
        </w:rPr>
      </w:pPr>
      <w:r>
        <w:rPr>
          <w:rFonts w:hint="eastAsia" w:ascii="宋体" w:hAnsi="宋体"/>
          <w:color w:val="auto"/>
          <w:sz w:val="24"/>
          <w:highlight w:val="none"/>
        </w:rPr>
        <w:t>6、评审委员会形成评标报告，应由全体成员签字确认。有保留意见的可以在评标报告中申明，未申明且拒绝签字的视同默认评标报告并载明此情形。</w:t>
      </w:r>
    </w:p>
    <w:p>
      <w:pPr>
        <w:spacing w:line="440" w:lineRule="exact"/>
        <w:rPr>
          <w:rFonts w:hint="eastAsia" w:ascii="宋体" w:hAnsi="宋体"/>
          <w:color w:val="auto"/>
          <w:sz w:val="24"/>
          <w:highlight w:val="none"/>
        </w:rPr>
      </w:pPr>
      <w:r>
        <w:rPr>
          <w:rFonts w:hint="eastAsia" w:ascii="宋体" w:hAnsi="宋体"/>
          <w:color w:val="auto"/>
          <w:sz w:val="24"/>
          <w:highlight w:val="none"/>
        </w:rPr>
        <w:t>7、招标人工作人员宣布会议结束。</w:t>
      </w:r>
    </w:p>
    <w:p>
      <w:pPr>
        <w:spacing w:line="440" w:lineRule="exact"/>
        <w:rPr>
          <w:rFonts w:ascii="宋体" w:hAnsi="宋体"/>
          <w:color w:val="auto"/>
          <w:sz w:val="24"/>
          <w:highlight w:val="none"/>
        </w:rPr>
      </w:pPr>
      <w:r>
        <w:rPr>
          <w:rFonts w:hint="eastAsia" w:ascii="宋体" w:hAnsi="宋体"/>
          <w:color w:val="auto"/>
          <w:sz w:val="24"/>
          <w:highlight w:val="none"/>
        </w:rPr>
        <w:t>六、评标方法</w:t>
      </w:r>
    </w:p>
    <w:p>
      <w:pPr>
        <w:spacing w:line="440" w:lineRule="exact"/>
        <w:ind w:firstLine="560"/>
        <w:rPr>
          <w:rFonts w:ascii="宋体" w:hAnsi="宋体"/>
          <w:color w:val="auto"/>
          <w:sz w:val="24"/>
          <w:highlight w:val="none"/>
        </w:rPr>
      </w:pPr>
      <w:r>
        <w:rPr>
          <w:rFonts w:hint="eastAsia" w:ascii="宋体" w:hAnsi="宋体"/>
          <w:color w:val="auto"/>
          <w:sz w:val="24"/>
          <w:highlight w:val="none"/>
        </w:rPr>
        <w:t>以招标文件要求为基础，考虑各项相关因素的影响，将相关因素以定量计算的方法转换成分数表示形式，以</w:t>
      </w:r>
      <w:r>
        <w:rPr>
          <w:rFonts w:ascii="宋体" w:hAnsi="宋体"/>
          <w:color w:val="auto"/>
          <w:sz w:val="24"/>
          <w:highlight w:val="none"/>
        </w:rPr>
        <w:t>评标</w:t>
      </w:r>
      <w:r>
        <w:rPr>
          <w:rFonts w:hint="eastAsia" w:ascii="宋体" w:hAnsi="宋体"/>
          <w:color w:val="auto"/>
          <w:sz w:val="24"/>
          <w:highlight w:val="none"/>
        </w:rPr>
        <w:t>得</w:t>
      </w:r>
      <w:r>
        <w:rPr>
          <w:rFonts w:ascii="宋体" w:hAnsi="宋体"/>
          <w:color w:val="auto"/>
          <w:sz w:val="24"/>
          <w:highlight w:val="none"/>
        </w:rPr>
        <w:t>分</w:t>
      </w:r>
      <w:r>
        <w:rPr>
          <w:rFonts w:hint="eastAsia" w:ascii="宋体" w:hAnsi="宋体"/>
          <w:color w:val="auto"/>
          <w:sz w:val="24"/>
          <w:highlight w:val="none"/>
        </w:rPr>
        <w:t>高低</w:t>
      </w:r>
      <w:r>
        <w:rPr>
          <w:rFonts w:ascii="宋体" w:hAnsi="宋体"/>
          <w:color w:val="auto"/>
          <w:sz w:val="24"/>
          <w:highlight w:val="none"/>
        </w:rPr>
        <w:t>确定评标结果顺序。</w:t>
      </w:r>
    </w:p>
    <w:p>
      <w:pPr>
        <w:spacing w:line="44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本次招标的评标采用综合评分法。</w:t>
      </w:r>
    </w:p>
    <w:p>
      <w:pPr>
        <w:spacing w:line="44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综合评分法：根据本项目招标文件的要求，按照本办法规定的内容和分值设置，对投标人的投标文件中进行评分，最终得出该投标的总分；按评估分自高向低次序排出评标结果排序。</w:t>
      </w:r>
    </w:p>
    <w:p>
      <w:pPr>
        <w:spacing w:line="440" w:lineRule="exact"/>
        <w:rPr>
          <w:rFonts w:ascii="宋体" w:hAnsi="宋体"/>
          <w:color w:val="auto"/>
          <w:sz w:val="24"/>
          <w:highlight w:val="none"/>
        </w:rPr>
      </w:pPr>
      <w:r>
        <w:rPr>
          <w:rFonts w:hint="eastAsia" w:ascii="宋体" w:hAnsi="宋体"/>
          <w:color w:val="auto"/>
          <w:sz w:val="24"/>
          <w:highlight w:val="none"/>
        </w:rPr>
        <w:t>七、评标细则</w:t>
      </w:r>
    </w:p>
    <w:p>
      <w:pPr>
        <w:spacing w:line="44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首先根据招标文件的完整性、有效性及资格等方面进行审查，通过审查的投标文件才能进入综合比较与评议。</w:t>
      </w:r>
    </w:p>
    <w:p>
      <w:pPr>
        <w:spacing w:line="440" w:lineRule="exact"/>
        <w:rPr>
          <w:rFonts w:ascii="宋体" w:hAnsi="宋体"/>
          <w:color w:val="auto"/>
          <w:sz w:val="24"/>
          <w:highlight w:val="none"/>
        </w:rPr>
      </w:pPr>
      <w:r>
        <w:rPr>
          <w:rFonts w:ascii="宋体" w:hAnsi="宋体"/>
          <w:color w:val="auto"/>
          <w:sz w:val="24"/>
          <w:highlight w:val="none"/>
        </w:rPr>
        <w:t xml:space="preserve">    (一)  </w:t>
      </w:r>
      <w:r>
        <w:rPr>
          <w:rFonts w:hint="eastAsia" w:ascii="宋体" w:hAnsi="宋体"/>
          <w:color w:val="auto"/>
          <w:sz w:val="24"/>
          <w:highlight w:val="none"/>
        </w:rPr>
        <w:t>评分标准</w:t>
      </w:r>
    </w:p>
    <w:p>
      <w:pPr>
        <w:rPr>
          <w:rFonts w:hint="eastAsia" w:ascii="宋体"/>
          <w:color w:val="auto"/>
          <w:sz w:val="24"/>
          <w:highlight w:val="none"/>
        </w:rPr>
      </w:pPr>
      <w:r>
        <w:rPr>
          <w:rFonts w:hint="eastAsia" w:ascii="宋体"/>
          <w:color w:val="auto"/>
          <w:sz w:val="24"/>
          <w:highlight w:val="none"/>
        </w:rPr>
        <w:t>评分表</w:t>
      </w:r>
    </w:p>
    <w:p>
      <w:pPr>
        <w:ind w:left="420"/>
        <w:rPr>
          <w:rFonts w:hint="eastAsia"/>
          <w:b/>
          <w:bCs/>
          <w:color w:val="auto"/>
          <w:highlight w:val="none"/>
        </w:rPr>
      </w:pPr>
    </w:p>
    <w:tbl>
      <w:tblPr>
        <w:tblStyle w:val="20"/>
        <w:tblW w:w="9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560"/>
        <w:gridCol w:w="709"/>
        <w:gridCol w:w="6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评审因素</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分值</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评审标准及说明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 w:val="24"/>
                <w:szCs w:val="24"/>
                <w:highlight w:val="none"/>
              </w:rPr>
            </w:pPr>
            <w:r>
              <w:rPr>
                <w:rFonts w:ascii="宋体" w:hAnsi="宋体" w:eastAsia="宋体"/>
                <w:color w:val="auto"/>
                <w:sz w:val="24"/>
                <w:szCs w:val="24"/>
                <w:highlight w:val="none"/>
              </w:rPr>
              <w:t>1</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价格</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15</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 w:val="24"/>
                <w:szCs w:val="24"/>
                <w:highlight w:val="none"/>
              </w:rPr>
            </w:pPr>
            <w:r>
              <w:rPr>
                <w:rFonts w:hint="eastAsia" w:ascii="宋体" w:hAnsi="宋体" w:eastAsia="宋体"/>
                <w:color w:val="auto"/>
                <w:sz w:val="24"/>
                <w:szCs w:val="24"/>
                <w:highlight w:val="none"/>
              </w:rPr>
              <w:t>1、基准价=所有有效投标中的最低评审价格，基准价得15分。</w:t>
            </w:r>
          </w:p>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投标报价得分=基准价/评审价格×15（保留二位小数）</w:t>
            </w:r>
          </w:p>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2、投标人为小、微企业的（监狱企业和残疾人福利性单位视同小微企业）， 给予6%的价格扣除后参与评审。</w:t>
            </w:r>
          </w:p>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即：评审价格＝投标报价×（1－0.06）。其它投标人，评审价格＝投标价格。</w:t>
            </w:r>
          </w:p>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3、投标报价得分，最高为15分，最低为0分。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管理体系认证</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4</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投标人具有有效质量管理体系认证证书、环境管理体系认证证书、职业健康安全管理体系认证证书、能源管理体系认证证书，</w:t>
            </w:r>
            <w:r>
              <w:rPr>
                <w:rFonts w:hint="eastAsia" w:ascii="宋体" w:hAnsi="宋体" w:eastAsia="宋体"/>
                <w:b/>
                <w:color w:val="auto"/>
                <w:sz w:val="24"/>
                <w:szCs w:val="24"/>
                <w:highlight w:val="none"/>
              </w:rPr>
              <w:t>提供证书扫描件</w:t>
            </w:r>
            <w:r>
              <w:rPr>
                <w:rFonts w:hint="eastAsia" w:ascii="宋体" w:hAnsi="宋体" w:eastAsia="宋体"/>
                <w:color w:val="auto"/>
                <w:sz w:val="24"/>
                <w:szCs w:val="24"/>
                <w:highlight w:val="none"/>
              </w:rPr>
              <w:t>，每有一项得1分。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 w:val="24"/>
                <w:szCs w:val="24"/>
                <w:highlight w:val="none"/>
              </w:rPr>
            </w:pPr>
            <w:r>
              <w:rPr>
                <w:rFonts w:ascii="宋体" w:hAnsi="宋体" w:eastAsia="宋体"/>
                <w:color w:val="auto"/>
                <w:sz w:val="24"/>
                <w:szCs w:val="24"/>
                <w:highlight w:val="none"/>
              </w:rPr>
              <w:t>现场踏勘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2</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 w:val="24"/>
                <w:szCs w:val="24"/>
                <w:highlight w:val="none"/>
              </w:rPr>
            </w:pPr>
            <w:r>
              <w:rPr>
                <w:rFonts w:ascii="宋体" w:hAnsi="宋体" w:eastAsia="宋体"/>
                <w:color w:val="auto"/>
                <w:sz w:val="24"/>
                <w:szCs w:val="24"/>
                <w:highlight w:val="none"/>
              </w:rPr>
              <w:t>参加现场踏勘的得</w:t>
            </w:r>
            <w:r>
              <w:rPr>
                <w:rFonts w:hint="eastAsia" w:ascii="宋体" w:hAnsi="宋体" w:eastAsia="宋体"/>
                <w:color w:val="auto"/>
                <w:sz w:val="24"/>
                <w:szCs w:val="24"/>
                <w:highlight w:val="none"/>
              </w:rPr>
              <w:t>2分，未参加的得0分。</w:t>
            </w:r>
            <w:r>
              <w:rPr>
                <w:rFonts w:hint="eastAsia" w:ascii="宋体" w:hAnsi="宋体" w:eastAsia="宋体"/>
                <w:b/>
                <w:color w:val="auto"/>
                <w:sz w:val="24"/>
                <w:szCs w:val="24"/>
                <w:highlight w:val="none"/>
                <w:lang w:eastAsia="zh-CN"/>
              </w:rPr>
              <w:t>提供登记表扫描件</w:t>
            </w:r>
            <w:r>
              <w:rPr>
                <w:rFonts w:hint="eastAsia" w:ascii="宋体" w:hAnsi="宋体" w:eastAsia="宋体"/>
                <w:color w:val="auto"/>
                <w:sz w:val="24"/>
                <w:szCs w:val="24"/>
                <w:highlight w:val="none"/>
              </w:rPr>
              <w:t>（依据采购人提供的现场踏勘登记表）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4</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类似项目管理业绩</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5</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2018年1月1日以来，投标人管理过或正在管理的党政机关办公楼物业管理综合服务项目（1.单个管理项目的地上建筑面积不小于3万平方米；2.服务内容至少包含：保安、保洁、工程&lt;或设备设施维护管理</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。每个得1分，最多得5分。</w:t>
            </w:r>
          </w:p>
          <w:p>
            <w:pPr>
              <w:rPr>
                <w:rFonts w:hint="eastAsia" w:eastAsia="宋体"/>
                <w:color w:val="auto"/>
                <w:highlight w:val="none"/>
              </w:rPr>
            </w:pPr>
            <w:r>
              <w:rPr>
                <w:rFonts w:hint="eastAsia" w:ascii="宋体" w:hAnsi="宋体" w:eastAsia="宋体"/>
                <w:b/>
                <w:color w:val="auto"/>
                <w:sz w:val="24"/>
                <w:szCs w:val="24"/>
                <w:highlight w:val="none"/>
              </w:rPr>
              <w:t>提供合同扫描件</w:t>
            </w:r>
            <w:r>
              <w:rPr>
                <w:rFonts w:hint="eastAsia" w:ascii="宋体" w:hAnsi="宋体" w:eastAsia="宋体"/>
                <w:color w:val="auto"/>
                <w:sz w:val="24"/>
                <w:szCs w:val="24"/>
                <w:highlight w:val="none"/>
              </w:rPr>
              <w:t>，合同中未标明地上建筑面积的，由业主方出具证明。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5</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项目经理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5</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拟派项目经理：</w:t>
            </w:r>
          </w:p>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1、具有大专（含）以上学历的得1分，不满足得0分（</w:t>
            </w:r>
            <w:r>
              <w:rPr>
                <w:rFonts w:hint="eastAsia" w:ascii="宋体" w:hAnsi="宋体" w:eastAsia="宋体"/>
                <w:b/>
                <w:color w:val="auto"/>
                <w:sz w:val="24"/>
                <w:szCs w:val="24"/>
                <w:highlight w:val="none"/>
              </w:rPr>
              <w:t>提供学历证书扫描件</w:t>
            </w:r>
            <w:r>
              <w:rPr>
                <w:rFonts w:hint="eastAsia" w:ascii="宋体" w:hAnsi="宋体" w:eastAsia="宋体"/>
                <w:color w:val="auto"/>
                <w:sz w:val="24"/>
                <w:szCs w:val="24"/>
                <w:highlight w:val="none"/>
              </w:rPr>
              <w:t>）；</w:t>
            </w:r>
          </w:p>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2、年龄</w:t>
            </w:r>
            <w:r>
              <w:rPr>
                <w:rFonts w:hint="eastAsia" w:ascii="宋体" w:hAnsi="宋体" w:eastAsia="宋体"/>
                <w:color w:val="auto"/>
                <w:sz w:val="24"/>
                <w:szCs w:val="24"/>
                <w:highlight w:val="none"/>
                <w:lang w:val="en-US" w:eastAsia="zh-CN"/>
              </w:rPr>
              <w:t>50</w:t>
            </w:r>
            <w:r>
              <w:rPr>
                <w:rFonts w:hint="eastAsia" w:ascii="宋体" w:hAnsi="宋体" w:eastAsia="宋体"/>
                <w:color w:val="auto"/>
                <w:sz w:val="24"/>
                <w:szCs w:val="24"/>
                <w:highlight w:val="none"/>
              </w:rPr>
              <w:t>周岁（含）以下的得1分，不满足得0分（</w:t>
            </w:r>
            <w:r>
              <w:rPr>
                <w:rFonts w:hint="eastAsia" w:ascii="宋体" w:hAnsi="宋体" w:eastAsia="宋体"/>
                <w:b/>
                <w:color w:val="auto"/>
                <w:sz w:val="24"/>
                <w:szCs w:val="24"/>
                <w:highlight w:val="none"/>
              </w:rPr>
              <w:t>提供身份证扫描件</w:t>
            </w:r>
            <w:r>
              <w:rPr>
                <w:rFonts w:hint="eastAsia" w:ascii="宋体" w:hAnsi="宋体" w:eastAsia="宋体"/>
                <w:color w:val="auto"/>
                <w:sz w:val="24"/>
                <w:szCs w:val="24"/>
                <w:highlight w:val="none"/>
              </w:rPr>
              <w:t>）；</w:t>
            </w:r>
          </w:p>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、具有3年（含）以上物业项目经理经验的得2分，1年（含）以上的得1分，不足1年不得分（由投标人提供</w:t>
            </w:r>
            <w:r>
              <w:rPr>
                <w:rFonts w:hint="eastAsia" w:ascii="宋体" w:hAnsi="宋体" w:eastAsia="宋体"/>
                <w:color w:val="auto"/>
                <w:sz w:val="24"/>
                <w:szCs w:val="24"/>
                <w:highlight w:val="none"/>
                <w:lang w:eastAsia="zh-CN"/>
              </w:rPr>
              <w:t>相关</w:t>
            </w:r>
            <w:r>
              <w:rPr>
                <w:rFonts w:hint="eastAsia" w:ascii="宋体" w:hAnsi="宋体" w:eastAsia="宋体"/>
                <w:color w:val="auto"/>
                <w:sz w:val="24"/>
                <w:szCs w:val="24"/>
                <w:highlight w:val="none"/>
              </w:rPr>
              <w:t>工作履历证明，具体格式要求见投标文件格式）</w:t>
            </w:r>
          </w:p>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、宁波本地人的得1分，非本地人不得分。</w:t>
            </w:r>
          </w:p>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eastAsia="宋体"/>
                <w:b/>
                <w:color w:val="auto"/>
                <w:sz w:val="24"/>
                <w:szCs w:val="24"/>
                <w:highlight w:val="none"/>
              </w:rPr>
              <w:t>提供社保证明材料扫描件</w:t>
            </w:r>
            <w:r>
              <w:rPr>
                <w:rFonts w:hint="eastAsia" w:ascii="宋体" w:hAnsi="宋体" w:eastAsia="宋体"/>
                <w:color w:val="auto"/>
                <w:sz w:val="24"/>
                <w:szCs w:val="24"/>
                <w:highlight w:val="none"/>
              </w:rPr>
              <w:t>，否则1~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3" w:hRule="atLeast"/>
          <w:jc w:val="center"/>
        </w:trPr>
        <w:tc>
          <w:tcPr>
            <w:tcW w:w="78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6</w:t>
            </w:r>
          </w:p>
        </w:tc>
        <w:tc>
          <w:tcPr>
            <w:tcW w:w="1560" w:type="dxa"/>
            <w:tcBorders>
              <w:top w:val="single" w:color="auto" w:sz="4" w:space="0"/>
              <w:left w:val="single" w:color="auto" w:sz="4" w:space="0"/>
              <w:right w:val="single" w:color="auto" w:sz="4" w:space="0"/>
            </w:tcBorders>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主要管理人员</w:t>
            </w:r>
          </w:p>
        </w:tc>
        <w:tc>
          <w:tcPr>
            <w:tcW w:w="709" w:type="dxa"/>
            <w:tcBorders>
              <w:top w:val="single" w:color="auto" w:sz="4" w:space="0"/>
              <w:left w:val="single" w:color="auto" w:sz="4" w:space="0"/>
              <w:right w:val="single" w:color="auto" w:sz="4" w:space="0"/>
            </w:tcBorders>
            <w:noWrap w:val="0"/>
            <w:vAlign w:val="center"/>
          </w:tcPr>
          <w:p>
            <w:pPr>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10</w:t>
            </w:r>
          </w:p>
        </w:tc>
        <w:tc>
          <w:tcPr>
            <w:tcW w:w="68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项目助理及部门主管：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保洁</w:t>
            </w:r>
            <w:r>
              <w:rPr>
                <w:rFonts w:hint="eastAsia" w:ascii="宋体" w:hAnsi="宋体" w:eastAsia="宋体"/>
                <w:color w:val="auto"/>
                <w:sz w:val="24"/>
                <w:szCs w:val="24"/>
                <w:highlight w:val="none"/>
                <w:lang w:eastAsia="zh-CN"/>
              </w:rPr>
              <w:t>领班</w:t>
            </w:r>
            <w:r>
              <w:rPr>
                <w:rFonts w:hint="eastAsia" w:ascii="宋体" w:hAnsi="宋体" w:eastAsia="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1、具有</w:t>
            </w:r>
            <w:r>
              <w:rPr>
                <w:rFonts w:hint="eastAsia" w:ascii="宋体" w:hAnsi="宋体" w:eastAsia="宋体"/>
                <w:color w:val="auto"/>
                <w:sz w:val="24"/>
                <w:szCs w:val="24"/>
                <w:highlight w:val="none"/>
                <w:lang w:eastAsia="zh-CN"/>
              </w:rPr>
              <w:t>高中</w:t>
            </w:r>
            <w:r>
              <w:rPr>
                <w:rFonts w:hint="eastAsia" w:ascii="宋体" w:hAnsi="宋体" w:eastAsia="宋体"/>
                <w:color w:val="auto"/>
                <w:sz w:val="24"/>
                <w:szCs w:val="24"/>
                <w:highlight w:val="none"/>
              </w:rPr>
              <w:t>（含）以上学历的得1分，不满足得0分（</w:t>
            </w:r>
            <w:r>
              <w:rPr>
                <w:rFonts w:hint="eastAsia" w:ascii="宋体" w:hAnsi="宋体" w:eastAsia="宋体"/>
                <w:b/>
                <w:color w:val="auto"/>
                <w:sz w:val="24"/>
                <w:szCs w:val="24"/>
                <w:highlight w:val="none"/>
              </w:rPr>
              <w:t>提供学历证书扫描件</w:t>
            </w:r>
            <w:r>
              <w:rPr>
                <w:rFonts w:hint="eastAsia" w:ascii="宋体" w:hAnsi="宋体" w:eastAsia="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2、年龄</w:t>
            </w:r>
            <w:r>
              <w:rPr>
                <w:rFonts w:hint="eastAsia" w:ascii="宋体" w:hAnsi="宋体" w:eastAsia="宋体"/>
                <w:color w:val="auto"/>
                <w:sz w:val="24"/>
                <w:szCs w:val="24"/>
                <w:highlight w:val="none"/>
                <w:lang w:val="en-US" w:eastAsia="zh-CN"/>
              </w:rPr>
              <w:t>50</w:t>
            </w:r>
            <w:r>
              <w:rPr>
                <w:rFonts w:hint="eastAsia" w:ascii="宋体" w:hAnsi="宋体" w:eastAsia="宋体"/>
                <w:color w:val="auto"/>
                <w:sz w:val="24"/>
                <w:szCs w:val="24"/>
                <w:highlight w:val="none"/>
              </w:rPr>
              <w:t>周岁（含）以下的得1分，不满足得0分（</w:t>
            </w:r>
            <w:r>
              <w:rPr>
                <w:rFonts w:hint="eastAsia" w:ascii="宋体" w:hAnsi="宋体" w:eastAsia="宋体"/>
                <w:b/>
                <w:color w:val="auto"/>
                <w:sz w:val="24"/>
                <w:szCs w:val="24"/>
                <w:highlight w:val="none"/>
              </w:rPr>
              <w:t>提供身份证扫描件</w:t>
            </w:r>
            <w:r>
              <w:rPr>
                <w:rFonts w:hint="eastAsia" w:ascii="宋体" w:hAnsi="宋体" w:eastAsia="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3、具有3年（含）以上物业保洁主管</w:t>
            </w:r>
            <w:r>
              <w:rPr>
                <w:rFonts w:hint="eastAsia" w:ascii="宋体" w:hAnsi="宋体" w:eastAsia="宋体"/>
                <w:color w:val="auto"/>
                <w:sz w:val="24"/>
                <w:szCs w:val="24"/>
                <w:highlight w:val="none"/>
                <w:lang w:eastAsia="zh-CN"/>
              </w:rPr>
              <w:t>或</w:t>
            </w:r>
            <w:r>
              <w:rPr>
                <w:rFonts w:hint="eastAsia" w:ascii="宋体" w:hAnsi="宋体" w:eastAsia="宋体"/>
                <w:color w:val="auto"/>
                <w:sz w:val="24"/>
                <w:szCs w:val="24"/>
                <w:highlight w:val="none"/>
              </w:rPr>
              <w:t>客房管理经验的得</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分，不满足得0分（由投标人提供工作履历证明，具体格式要求见投标文件格式）；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安保</w:t>
            </w:r>
            <w:r>
              <w:rPr>
                <w:rFonts w:hint="eastAsia" w:ascii="宋体" w:hAnsi="宋体" w:eastAsia="宋体"/>
                <w:color w:val="auto"/>
                <w:sz w:val="24"/>
                <w:szCs w:val="24"/>
                <w:highlight w:val="none"/>
                <w:lang w:eastAsia="zh-CN"/>
              </w:rPr>
              <w:t>领班</w:t>
            </w:r>
            <w:r>
              <w:rPr>
                <w:rFonts w:hint="eastAsia" w:ascii="宋体" w:hAnsi="宋体" w:eastAsia="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1、具有高中（含）以上学历的得1分，不满足得0分（</w:t>
            </w:r>
            <w:r>
              <w:rPr>
                <w:rFonts w:hint="eastAsia" w:ascii="宋体" w:hAnsi="宋体" w:eastAsia="宋体"/>
                <w:b/>
                <w:color w:val="auto"/>
                <w:sz w:val="24"/>
                <w:szCs w:val="24"/>
                <w:highlight w:val="none"/>
              </w:rPr>
              <w:t>提供学历证书扫描件</w:t>
            </w:r>
            <w:r>
              <w:rPr>
                <w:rFonts w:hint="eastAsia" w:ascii="宋体" w:hAnsi="宋体" w:eastAsia="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2、年龄45周岁（含）以下的得1分，不满足得0分（</w:t>
            </w:r>
            <w:r>
              <w:rPr>
                <w:rFonts w:hint="eastAsia" w:ascii="宋体" w:hAnsi="宋体" w:eastAsia="宋体"/>
                <w:b/>
                <w:color w:val="auto"/>
                <w:sz w:val="24"/>
                <w:szCs w:val="24"/>
                <w:highlight w:val="none"/>
              </w:rPr>
              <w:t>提供身份证扫描件</w:t>
            </w:r>
            <w:r>
              <w:rPr>
                <w:rFonts w:hint="eastAsia" w:ascii="宋体" w:hAnsi="宋体" w:eastAsia="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3、具有3年（含）以上物业安保主管经验的得</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分，不满足得0分（由投标人提供工作履历证明，具体格式要求见投标文件格式）；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4、具有消防员证的得1分，不满足得0分（</w:t>
            </w:r>
            <w:r>
              <w:rPr>
                <w:rFonts w:hint="eastAsia" w:ascii="宋体" w:hAnsi="宋体" w:eastAsia="宋体"/>
                <w:b/>
                <w:color w:val="auto"/>
                <w:sz w:val="24"/>
                <w:szCs w:val="24"/>
                <w:highlight w:val="none"/>
              </w:rPr>
              <w:t>提供证书扫描件</w:t>
            </w:r>
            <w:r>
              <w:rPr>
                <w:rFonts w:hint="eastAsia" w:ascii="宋体" w:hAnsi="宋体" w:eastAsia="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5、是退伍军人的得1分，不满足得0分（</w:t>
            </w:r>
            <w:r>
              <w:rPr>
                <w:rFonts w:hint="eastAsia" w:ascii="宋体" w:hAnsi="宋体" w:eastAsia="宋体"/>
                <w:b/>
                <w:color w:val="auto"/>
                <w:sz w:val="24"/>
                <w:szCs w:val="24"/>
                <w:highlight w:val="none"/>
              </w:rPr>
              <w:t>提供证明材料扫描件</w:t>
            </w:r>
            <w:r>
              <w:rPr>
                <w:rFonts w:hint="eastAsia" w:ascii="宋体" w:hAnsi="宋体" w:eastAsia="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eastAsia="宋体"/>
                <w:b/>
                <w:color w:val="auto"/>
                <w:sz w:val="24"/>
                <w:szCs w:val="24"/>
                <w:highlight w:val="none"/>
              </w:rPr>
              <w:t>提供相关人员社保证明材料扫描件</w:t>
            </w:r>
            <w:r>
              <w:rPr>
                <w:rFonts w:hint="eastAsia" w:ascii="宋体" w:hAnsi="宋体" w:eastAsia="宋体"/>
                <w:color w:val="auto"/>
                <w:sz w:val="24"/>
                <w:szCs w:val="24"/>
                <w:highlight w:val="none"/>
              </w:rPr>
              <w:t>，否则对应人员项不得分。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7</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物业服务团队其他成员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5</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1、承诺数量、年龄、性别</w:t>
            </w:r>
            <w:r>
              <w:rPr>
                <w:rFonts w:hint="eastAsia" w:ascii="宋体" w:hAnsi="宋体" w:eastAsia="宋体"/>
                <w:color w:val="auto"/>
                <w:sz w:val="24"/>
                <w:szCs w:val="24"/>
                <w:highlight w:val="none"/>
                <w:lang w:eastAsia="zh-CN"/>
              </w:rPr>
              <w:t>等</w:t>
            </w:r>
            <w:r>
              <w:rPr>
                <w:rFonts w:hint="eastAsia" w:ascii="宋体" w:hAnsi="宋体" w:eastAsia="宋体"/>
                <w:color w:val="auto"/>
                <w:sz w:val="24"/>
                <w:szCs w:val="24"/>
                <w:highlight w:val="none"/>
              </w:rPr>
              <w:t>全部符合要求的得</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分；</w:t>
            </w:r>
          </w:p>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2、承诺安保人员全部具有</w:t>
            </w:r>
            <w:r>
              <w:rPr>
                <w:rFonts w:ascii="宋体" w:hAnsi="宋体" w:eastAsia="宋体" w:cs="宋体"/>
                <w:sz w:val="24"/>
                <w:szCs w:val="24"/>
              </w:rPr>
              <w:t>保安员上岗证或保安员职业资格证书</w:t>
            </w:r>
            <w:r>
              <w:rPr>
                <w:rFonts w:hint="eastAsia" w:ascii="宋体" w:hAnsi="宋体" w:eastAsia="宋体"/>
                <w:color w:val="auto"/>
                <w:sz w:val="24"/>
                <w:szCs w:val="24"/>
                <w:highlight w:val="none"/>
              </w:rPr>
              <w:t>的得</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分；</w:t>
            </w:r>
          </w:p>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、人员配置</w:t>
            </w:r>
            <w:r>
              <w:rPr>
                <w:rFonts w:hint="eastAsia" w:ascii="宋体" w:hAnsi="宋体" w:eastAsia="宋体"/>
                <w:color w:val="auto"/>
                <w:sz w:val="24"/>
                <w:szCs w:val="24"/>
                <w:highlight w:val="none"/>
                <w:lang w:eastAsia="zh-CN"/>
              </w:rPr>
              <w:t>其它要求</w:t>
            </w:r>
            <w:r>
              <w:rPr>
                <w:rFonts w:hint="eastAsia" w:ascii="宋体" w:hAnsi="宋体" w:eastAsia="宋体"/>
                <w:color w:val="auto"/>
                <w:sz w:val="24"/>
                <w:szCs w:val="24"/>
                <w:highlight w:val="none"/>
              </w:rPr>
              <w:t>完全响应招标文件的得2分；</w:t>
            </w:r>
          </w:p>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注：具体格式要求见投标文件格式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8</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物业管理整体设想及策划</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10</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szCs w:val="24"/>
                <w:highlight w:val="none"/>
              </w:rPr>
            </w:pPr>
            <w:r>
              <w:rPr>
                <w:rFonts w:hint="eastAsia" w:ascii="宋体" w:hAnsi="宋体"/>
                <w:color w:val="auto"/>
                <w:sz w:val="24"/>
                <w:szCs w:val="24"/>
                <w:highlight w:val="none"/>
              </w:rPr>
              <w:t>对本项目的理解和熟悉程度；对本项目整体构想的创新性、充分性和相符程度；物业管理目标明确性，起点高低程度及设置合理性。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9</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项目实施具体措施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20</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管理方案是否适应本项目的需求，是否合理、可行，是否有创新；应答是否详尽、明晰；工作范围是否齐全；岗位配置是否充分，服务标准设计是否合理等方面进行评议。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lang w:eastAsia="zh-CN"/>
              </w:rPr>
              <w:t>人员</w:t>
            </w:r>
            <w:r>
              <w:rPr>
                <w:rFonts w:hint="eastAsia" w:ascii="宋体" w:hAnsi="宋体"/>
                <w:color w:val="auto"/>
                <w:sz w:val="24"/>
                <w:szCs w:val="24"/>
                <w:highlight w:val="none"/>
              </w:rPr>
              <w:t>工资及其它费用测算的合理性</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6</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测算的物业服务费与整体定位是否相符；测算的物业服务费是否符合物业服务费构成要求；测算的数值是否合理、规范。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highlight w:val="none"/>
              </w:rPr>
            </w:pPr>
            <w:r>
              <w:rPr>
                <w:rFonts w:hint="eastAsia" w:ascii="宋体" w:hAnsi="宋体"/>
                <w:color w:val="auto"/>
                <w:sz w:val="24"/>
                <w:szCs w:val="24"/>
                <w:highlight w:val="none"/>
              </w:rPr>
              <w:t>人员结构稳定性及</w:t>
            </w:r>
            <w:r>
              <w:rPr>
                <w:rFonts w:hint="eastAsia" w:ascii="宋体" w:hAnsi="宋体" w:eastAsia="宋体"/>
                <w:color w:val="auto"/>
                <w:sz w:val="24"/>
                <w:szCs w:val="24"/>
                <w:highlight w:val="none"/>
              </w:rPr>
              <w:t>持续性</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4</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保障人员稳定性的措施</w:t>
            </w:r>
            <w:r>
              <w:rPr>
                <w:rFonts w:hint="eastAsia" w:ascii="宋体" w:hAnsi="宋体" w:eastAsia="宋体"/>
                <w:color w:val="auto"/>
                <w:sz w:val="24"/>
                <w:szCs w:val="24"/>
                <w:highlight w:val="none"/>
                <w:lang w:eastAsia="zh-CN"/>
              </w:rPr>
              <w:t>及</w:t>
            </w:r>
            <w:r>
              <w:rPr>
                <w:rFonts w:hint="eastAsia" w:ascii="宋体" w:hAnsi="宋体" w:eastAsia="宋体"/>
                <w:color w:val="auto"/>
                <w:sz w:val="24"/>
                <w:szCs w:val="24"/>
                <w:highlight w:val="none"/>
                <w:shd w:val="clear" w:color="auto" w:fill="auto"/>
                <w:lang w:eastAsia="zh-CN"/>
              </w:rPr>
              <w:t>拟配备人员常住地情况、</w:t>
            </w:r>
            <w:r>
              <w:rPr>
                <w:rFonts w:hint="eastAsia" w:ascii="宋体" w:hAnsi="宋体" w:eastAsia="宋体"/>
                <w:color w:val="auto"/>
                <w:sz w:val="24"/>
                <w:szCs w:val="24"/>
                <w:highlight w:val="none"/>
              </w:rPr>
              <w:t>人员招聘的渠道情况及能力</w:t>
            </w:r>
            <w:r>
              <w:rPr>
                <w:rFonts w:hint="eastAsia" w:ascii="宋体" w:hAnsi="宋体" w:eastAsia="宋体"/>
                <w:color w:val="auto"/>
                <w:sz w:val="24"/>
                <w:szCs w:val="24"/>
                <w:highlight w:val="none"/>
                <w:shd w:val="clear" w:color="auto" w:fill="auto"/>
                <w:lang w:eastAsia="zh-CN"/>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管理指标及措施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管理指标与整体定位是否准确；指标标准是否合理；达成指标的措施是否有效和可行。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制度和档案的建立与管理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szCs w:val="24"/>
                <w:highlight w:val="none"/>
              </w:rPr>
            </w:pPr>
            <w:r>
              <w:rPr>
                <w:rFonts w:hint="eastAsia" w:ascii="宋体" w:hAnsi="宋体"/>
                <w:color w:val="auto"/>
                <w:sz w:val="24"/>
                <w:szCs w:val="24"/>
                <w:highlight w:val="none"/>
              </w:rPr>
              <w:t>管理制度是否齐全、规范，档案管理方案是否科学，是否实行信息化管理等情况。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拟投入本项目的物资装备</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3</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szCs w:val="24"/>
                <w:highlight w:val="none"/>
              </w:rPr>
            </w:pPr>
            <w:r>
              <w:rPr>
                <w:rFonts w:hint="eastAsia" w:ascii="宋体" w:hAnsi="宋体"/>
                <w:color w:val="auto"/>
                <w:sz w:val="24"/>
                <w:szCs w:val="24"/>
                <w:highlight w:val="none"/>
              </w:rPr>
              <w:t>投入和物资装备是否符合项目的管理需要，是否合理及专业化程度。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15</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智能化服务方案</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szCs w:val="24"/>
                <w:highlight w:val="none"/>
              </w:rPr>
            </w:pPr>
            <w:r>
              <w:rPr>
                <w:rFonts w:hint="eastAsia" w:ascii="宋体" w:hAnsi="宋体"/>
                <w:color w:val="auto"/>
                <w:sz w:val="24"/>
                <w:szCs w:val="24"/>
                <w:highlight w:val="none"/>
              </w:rPr>
              <w:t>投标人采用的智能化设备及应用程序,通过软硬件系统实现业主方需要的优质服务，多维度提升物业管理服务品质细节及节能降耗等功能。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6</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应急保障措施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2</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szCs w:val="24"/>
                <w:highlight w:val="none"/>
              </w:rPr>
            </w:pPr>
            <w:r>
              <w:rPr>
                <w:rFonts w:hint="eastAsia" w:ascii="宋体" w:hAnsi="宋体"/>
                <w:color w:val="auto"/>
                <w:sz w:val="24"/>
                <w:szCs w:val="24"/>
                <w:highlight w:val="none"/>
              </w:rPr>
              <w:t>措施是否科学合理有可行性，方案预案是否详尽、明晰等方面进行评议。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7</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 w:val="24"/>
                <w:szCs w:val="24"/>
                <w:highlight w:val="none"/>
              </w:rPr>
            </w:pPr>
            <w:r>
              <w:rPr>
                <w:rFonts w:ascii="宋体" w:hAnsi="宋体" w:eastAsia="宋体"/>
                <w:color w:val="auto"/>
                <w:sz w:val="24"/>
                <w:szCs w:val="24"/>
                <w:highlight w:val="none"/>
              </w:rPr>
              <w:t>投标文件质量</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sz w:val="24"/>
                <w:szCs w:val="24"/>
                <w:highlight w:val="none"/>
              </w:rPr>
            </w:pPr>
            <w:r>
              <w:rPr>
                <w:rFonts w:ascii="宋体" w:hAnsi="宋体" w:eastAsia="宋体"/>
                <w:color w:val="auto"/>
                <w:sz w:val="24"/>
                <w:szCs w:val="24"/>
                <w:highlight w:val="none"/>
              </w:rPr>
              <w:t>对投标文件排版规范</w:t>
            </w:r>
            <w:r>
              <w:rPr>
                <w:rFonts w:hint="eastAsia" w:ascii="宋体" w:hAnsi="宋体" w:eastAsia="宋体"/>
                <w:color w:val="auto"/>
                <w:sz w:val="24"/>
                <w:szCs w:val="24"/>
                <w:highlight w:val="none"/>
              </w:rPr>
              <w:t>、</w:t>
            </w:r>
            <w:r>
              <w:rPr>
                <w:rFonts w:ascii="宋体" w:hAnsi="宋体" w:eastAsia="宋体"/>
                <w:color w:val="auto"/>
                <w:sz w:val="24"/>
                <w:szCs w:val="24"/>
                <w:highlight w:val="none"/>
              </w:rPr>
              <w:t>可读性情况评定</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8</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szCs w:val="24"/>
                <w:highlight w:val="none"/>
              </w:rPr>
            </w:pPr>
            <w:r>
              <w:rPr>
                <w:rFonts w:ascii="宋体" w:hAnsi="宋体" w:eastAsia="宋体"/>
                <w:color w:val="auto"/>
                <w:sz w:val="24"/>
                <w:szCs w:val="24"/>
                <w:highlight w:val="none"/>
              </w:rPr>
              <w:t>政策加分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投标人是国家认定的不发达地区或少数民族地区企业的加1分。</w:t>
            </w:r>
          </w:p>
        </w:tc>
      </w:tr>
    </w:tbl>
    <w:p>
      <w:pPr>
        <w:ind w:left="420"/>
        <w:rPr>
          <w:rFonts w:hint="eastAsia"/>
          <w:color w:val="auto"/>
          <w:sz w:val="24"/>
          <w:highlight w:val="none"/>
        </w:rPr>
      </w:pPr>
    </w:p>
    <w:p>
      <w:pPr>
        <w:ind w:left="420"/>
        <w:rPr>
          <w:rFonts w:hint="eastAsia"/>
          <w:color w:val="auto"/>
          <w:sz w:val="24"/>
          <w:highlight w:val="none"/>
        </w:rPr>
      </w:pPr>
      <w:r>
        <w:rPr>
          <w:rFonts w:hint="eastAsia"/>
          <w:color w:val="auto"/>
          <w:sz w:val="24"/>
          <w:highlight w:val="none"/>
        </w:rPr>
        <w:t>（二）评分办法</w:t>
      </w:r>
    </w:p>
    <w:p>
      <w:pPr>
        <w:spacing w:line="440" w:lineRule="exact"/>
        <w:ind w:firstLine="480"/>
        <w:rPr>
          <w:rFonts w:hint="eastAsia" w:ascii="宋体" w:hAnsi="宋体"/>
          <w:color w:val="auto"/>
          <w:sz w:val="24"/>
          <w:highlight w:val="none"/>
        </w:rPr>
      </w:pPr>
      <w:r>
        <w:rPr>
          <w:rFonts w:hint="eastAsia" w:ascii="宋体" w:hAnsi="宋体"/>
          <w:color w:val="auto"/>
          <w:sz w:val="24"/>
          <w:highlight w:val="none"/>
        </w:rPr>
        <w:t>由评委对各投标人的投标文件进行审阅，然后根据需要对投标人进行询标和评议，并按以上指标（除价格部分外）进行记名打分。</w:t>
      </w:r>
    </w:p>
    <w:p>
      <w:pPr>
        <w:spacing w:line="440" w:lineRule="exact"/>
        <w:ind w:firstLine="480"/>
        <w:rPr>
          <w:rFonts w:hint="eastAsia" w:ascii="宋体" w:hAnsi="宋体"/>
          <w:color w:val="auto"/>
          <w:sz w:val="24"/>
          <w:highlight w:val="none"/>
        </w:rPr>
      </w:pPr>
      <w:r>
        <w:rPr>
          <w:rFonts w:hint="eastAsia"/>
          <w:color w:val="auto"/>
          <w:sz w:val="24"/>
          <w:highlight w:val="none"/>
        </w:rPr>
        <w:t>统计、汇总所有评委对每一份投标文件的评分，然后用算术平均法求出每一份投标文件非价格部分的平均得分。</w:t>
      </w:r>
    </w:p>
    <w:p>
      <w:pPr>
        <w:numPr>
          <w:ilvl w:val="0"/>
          <w:numId w:val="8"/>
        </w:numPr>
        <w:spacing w:line="440" w:lineRule="exact"/>
        <w:rPr>
          <w:rFonts w:ascii="宋体" w:hAnsi="宋体"/>
          <w:b/>
          <w:color w:val="auto"/>
          <w:sz w:val="24"/>
          <w:highlight w:val="none"/>
        </w:rPr>
      </w:pPr>
      <w:r>
        <w:rPr>
          <w:rFonts w:hint="eastAsia" w:ascii="宋体" w:hAnsi="宋体"/>
          <w:b/>
          <w:color w:val="auto"/>
          <w:sz w:val="24"/>
          <w:highlight w:val="none"/>
        </w:rPr>
        <w:t>价格</w:t>
      </w:r>
      <w:r>
        <w:rPr>
          <w:rFonts w:ascii="宋体" w:hAnsi="宋体"/>
          <w:b/>
          <w:color w:val="auto"/>
          <w:sz w:val="24"/>
          <w:highlight w:val="none"/>
        </w:rPr>
        <w:t>部分</w:t>
      </w:r>
    </w:p>
    <w:p>
      <w:pPr>
        <w:spacing w:line="440" w:lineRule="exact"/>
        <w:ind w:left="718"/>
        <w:rPr>
          <w:rFonts w:hint="eastAsia" w:ascii="宋体" w:hAnsi="宋体"/>
          <w:color w:val="auto"/>
          <w:sz w:val="24"/>
          <w:highlight w:val="none"/>
        </w:rPr>
      </w:pPr>
      <w:r>
        <w:rPr>
          <w:rFonts w:hint="eastAsia" w:ascii="宋体" w:hAnsi="宋体"/>
          <w:color w:val="auto"/>
          <w:sz w:val="24"/>
          <w:highlight w:val="none"/>
        </w:rPr>
        <w:t>先由评委会对各投标人的分项报价进行分析。审查投标报价是否符合招标文件的基本要求，有无明显开口、漏项、漏量等情况，在取得基本一致的意见后进行判别计算。对出现漏项、漏量情况的标书由评委会进行调整，得出评估价。</w:t>
      </w:r>
    </w:p>
    <w:p>
      <w:pPr>
        <w:numPr>
          <w:ilvl w:val="0"/>
          <w:numId w:val="8"/>
        </w:numPr>
        <w:spacing w:line="440" w:lineRule="exact"/>
        <w:rPr>
          <w:rFonts w:ascii="宋体" w:hAnsi="宋体"/>
          <w:b/>
          <w:color w:val="auto"/>
          <w:sz w:val="24"/>
          <w:highlight w:val="none"/>
        </w:rPr>
      </w:pPr>
      <w:r>
        <w:rPr>
          <w:rFonts w:hint="eastAsia" w:ascii="宋体" w:hAnsi="宋体"/>
          <w:b/>
          <w:color w:val="auto"/>
          <w:sz w:val="24"/>
          <w:highlight w:val="none"/>
        </w:rPr>
        <w:t>其他</w:t>
      </w:r>
      <w:r>
        <w:rPr>
          <w:rFonts w:ascii="宋体" w:hAnsi="宋体"/>
          <w:b/>
          <w:color w:val="auto"/>
          <w:sz w:val="24"/>
          <w:highlight w:val="none"/>
        </w:rPr>
        <w:t>部分</w:t>
      </w:r>
    </w:p>
    <w:p>
      <w:pPr>
        <w:spacing w:line="440" w:lineRule="exact"/>
        <w:ind w:left="735"/>
        <w:rPr>
          <w:rFonts w:hint="eastAsia" w:ascii="宋体" w:hAnsi="宋体"/>
          <w:color w:val="auto"/>
          <w:sz w:val="24"/>
          <w:highlight w:val="none"/>
        </w:rPr>
      </w:pPr>
      <w:r>
        <w:rPr>
          <w:rFonts w:hint="eastAsia" w:ascii="宋体" w:hAnsi="宋体"/>
          <w:color w:val="auto"/>
          <w:sz w:val="24"/>
          <w:highlight w:val="none"/>
        </w:rPr>
        <w:t>除明确给出评判标准的项目外，由评委根据投标人情况综合</w:t>
      </w:r>
      <w:r>
        <w:rPr>
          <w:rFonts w:hint="eastAsia"/>
          <w:color w:val="auto"/>
          <w:sz w:val="24"/>
          <w:highlight w:val="none"/>
        </w:rPr>
        <w:t>评定，</w:t>
      </w:r>
      <w:r>
        <w:rPr>
          <w:rFonts w:ascii="宋体" w:hAnsi="宋体"/>
          <w:color w:val="auto"/>
          <w:sz w:val="24"/>
          <w:highlight w:val="none"/>
        </w:rPr>
        <w:t>各项指标的最小打分单位为0.1分。</w:t>
      </w:r>
    </w:p>
    <w:p>
      <w:pPr>
        <w:numPr>
          <w:ilvl w:val="0"/>
          <w:numId w:val="8"/>
        </w:numPr>
        <w:spacing w:line="440" w:lineRule="exact"/>
        <w:rPr>
          <w:rFonts w:ascii="宋体" w:hAnsi="宋体"/>
          <w:b/>
          <w:color w:val="auto"/>
          <w:sz w:val="24"/>
          <w:highlight w:val="none"/>
        </w:rPr>
      </w:pPr>
      <w:r>
        <w:rPr>
          <w:rFonts w:ascii="宋体" w:hAnsi="宋体"/>
          <w:b/>
          <w:color w:val="auto"/>
          <w:sz w:val="24"/>
          <w:highlight w:val="none"/>
        </w:rPr>
        <w:t>最终得分与中标人的确定</w:t>
      </w:r>
    </w:p>
    <w:p>
      <w:pPr>
        <w:numPr>
          <w:ilvl w:val="0"/>
          <w:numId w:val="9"/>
        </w:numPr>
        <w:spacing w:line="440" w:lineRule="exact"/>
        <w:rPr>
          <w:rFonts w:hint="eastAsia" w:ascii="宋体" w:hAnsi="宋体"/>
          <w:color w:val="auto"/>
          <w:sz w:val="24"/>
          <w:highlight w:val="none"/>
        </w:rPr>
      </w:pPr>
      <w:r>
        <w:rPr>
          <w:rFonts w:hint="eastAsia" w:ascii="宋体" w:hAnsi="宋体"/>
          <w:color w:val="auto"/>
          <w:sz w:val="24"/>
          <w:highlight w:val="none"/>
        </w:rPr>
        <w:t>各投标人最终分按以下方法进行计算：最终得分＝价格得分+其他得分；</w:t>
      </w:r>
    </w:p>
    <w:p>
      <w:pPr>
        <w:numPr>
          <w:ilvl w:val="0"/>
          <w:numId w:val="9"/>
        </w:numPr>
        <w:spacing w:line="440" w:lineRule="exact"/>
        <w:rPr>
          <w:rFonts w:hint="eastAsia" w:ascii="宋体" w:hAnsi="宋体"/>
          <w:color w:val="auto"/>
          <w:sz w:val="24"/>
          <w:highlight w:val="none"/>
        </w:rPr>
      </w:pPr>
      <w:r>
        <w:rPr>
          <w:rFonts w:hint="eastAsia" w:ascii="宋体" w:hAnsi="宋体"/>
          <w:color w:val="auto"/>
          <w:sz w:val="24"/>
          <w:highlight w:val="none"/>
        </w:rPr>
        <w:t>各投标人的最终得分若出现并列分，则由报价低的排列在前，报价也相同的则由技术得分高的排列在前，价格和技术得分均相同的则由</w:t>
      </w:r>
      <w:r>
        <w:rPr>
          <w:rFonts w:hint="eastAsia" w:ascii="宋体" w:hAnsi="宋体" w:cs="宋体"/>
          <w:color w:val="auto"/>
          <w:sz w:val="24"/>
          <w:szCs w:val="24"/>
          <w:highlight w:val="none"/>
        </w:rPr>
        <w:t>随机抽取的方式确定</w:t>
      </w:r>
      <w:r>
        <w:rPr>
          <w:rFonts w:hint="eastAsia" w:ascii="宋体" w:hAnsi="宋体"/>
          <w:color w:val="auto"/>
          <w:sz w:val="24"/>
          <w:highlight w:val="none"/>
        </w:rPr>
        <w:t>。</w:t>
      </w:r>
    </w:p>
    <w:p>
      <w:pPr>
        <w:pStyle w:val="54"/>
        <w:spacing w:line="440" w:lineRule="exact"/>
        <w:ind w:firstLine="480"/>
        <w:rPr>
          <w:rFonts w:hint="eastAsia" w:eastAsia="黑体"/>
          <w:color w:val="auto"/>
          <w:sz w:val="32"/>
          <w:highlight w:val="none"/>
        </w:rPr>
      </w:pPr>
      <w:r>
        <w:rPr>
          <w:rFonts w:hint="eastAsia"/>
          <w:color w:val="auto"/>
          <w:highlight w:val="none"/>
        </w:rPr>
        <w:t>评审委员会在审标、询标的基础上根据事先制定的评标办法对各投标人的投标文件进行评定，评出最高得分的投标人为推荐中标人。推荐中标人公示无异议的将被确定为中标人；</w:t>
      </w:r>
      <w:r>
        <w:rPr>
          <w:rFonts w:hint="eastAsia"/>
          <w:b/>
          <w:bCs/>
          <w:color w:val="auto"/>
          <w:highlight w:val="none"/>
        </w:rPr>
        <w:t>推荐中标人的投标文件若存在以不真实材料来谋取评审优势的，将失去中标资格，由得分次高的投标人为推荐中标人进行公示，以次类推（需重新招标的除外）</w:t>
      </w:r>
      <w:r>
        <w:rPr>
          <w:rFonts w:hint="eastAsia"/>
          <w:color w:val="auto"/>
          <w:highlight w:val="none"/>
        </w:rPr>
        <w:t>。确定中标人后由招标人向中标人发出中标通知书。</w:t>
      </w:r>
    </w:p>
    <w:p>
      <w:pPr>
        <w:tabs>
          <w:tab w:val="left" w:pos="105"/>
          <w:tab w:val="left" w:pos="735"/>
          <w:tab w:val="left" w:pos="945"/>
          <w:tab w:val="left" w:pos="3360"/>
        </w:tabs>
        <w:spacing w:line="500" w:lineRule="exact"/>
        <w:jc w:val="center"/>
        <w:rPr>
          <w:rFonts w:hint="eastAsia"/>
          <w:b/>
          <w:color w:val="auto"/>
          <w:sz w:val="28"/>
          <w:szCs w:val="28"/>
          <w:highlight w:val="none"/>
        </w:rPr>
      </w:pPr>
      <w:r>
        <w:rPr>
          <w:rFonts w:hint="eastAsia"/>
          <w:b/>
          <w:color w:val="auto"/>
          <w:sz w:val="28"/>
          <w:szCs w:val="28"/>
          <w:highlight w:val="none"/>
        </w:rPr>
        <w:br w:type="page"/>
      </w:r>
      <w:r>
        <w:rPr>
          <w:rFonts w:hint="eastAsia"/>
          <w:b/>
          <w:color w:val="auto"/>
          <w:sz w:val="28"/>
          <w:szCs w:val="28"/>
          <w:highlight w:val="none"/>
        </w:rPr>
        <w:t>第三部分  投标人须知资料表</w:t>
      </w:r>
    </w:p>
    <w:p>
      <w:pPr>
        <w:tabs>
          <w:tab w:val="left" w:pos="105"/>
          <w:tab w:val="left" w:pos="735"/>
          <w:tab w:val="left" w:pos="945"/>
          <w:tab w:val="left" w:pos="3360"/>
        </w:tabs>
        <w:spacing w:line="500" w:lineRule="exact"/>
        <w:jc w:val="center"/>
        <w:rPr>
          <w:rFonts w:hint="eastAsia"/>
          <w:b/>
          <w:color w:val="auto"/>
          <w:sz w:val="28"/>
          <w:szCs w:val="28"/>
          <w:highlight w:val="none"/>
        </w:rPr>
      </w:pP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1701"/>
        <w:gridCol w:w="691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488" w:hRule="atLeast"/>
        </w:trPr>
        <w:tc>
          <w:tcPr>
            <w:tcW w:w="363" w:type="pct"/>
            <w:noWrap w:val="0"/>
            <w:vAlign w:val="center"/>
          </w:tcPr>
          <w:p>
            <w:pPr>
              <w:tabs>
                <w:tab w:val="left" w:pos="105"/>
                <w:tab w:val="left" w:pos="735"/>
                <w:tab w:val="left" w:pos="945"/>
                <w:tab w:val="left" w:pos="3360"/>
              </w:tabs>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916" w:type="pct"/>
            <w:noWrap w:val="0"/>
            <w:vAlign w:val="center"/>
          </w:tcPr>
          <w:p>
            <w:pPr>
              <w:tabs>
                <w:tab w:val="left" w:pos="105"/>
                <w:tab w:val="left" w:pos="735"/>
                <w:tab w:val="left" w:pos="945"/>
                <w:tab w:val="left" w:pos="3360"/>
              </w:tabs>
              <w:jc w:val="center"/>
              <w:rPr>
                <w:rFonts w:hint="eastAsia" w:ascii="宋体" w:hAnsi="宋体"/>
                <w:b/>
                <w:color w:val="auto"/>
                <w:szCs w:val="21"/>
                <w:highlight w:val="none"/>
              </w:rPr>
            </w:pPr>
            <w:r>
              <w:rPr>
                <w:rFonts w:hint="eastAsia" w:ascii="宋体" w:hAnsi="宋体"/>
                <w:b/>
                <w:color w:val="auto"/>
                <w:szCs w:val="21"/>
                <w:highlight w:val="none"/>
              </w:rPr>
              <w:t>内  容</w:t>
            </w:r>
          </w:p>
        </w:tc>
        <w:tc>
          <w:tcPr>
            <w:tcW w:w="3721" w:type="pct"/>
            <w:noWrap w:val="0"/>
            <w:vAlign w:val="center"/>
          </w:tcPr>
          <w:p>
            <w:pPr>
              <w:tabs>
                <w:tab w:val="left" w:pos="105"/>
                <w:tab w:val="left" w:pos="735"/>
                <w:tab w:val="left" w:pos="945"/>
                <w:tab w:val="left" w:pos="3360"/>
              </w:tabs>
              <w:jc w:val="center"/>
              <w:rPr>
                <w:rFonts w:hint="eastAsia" w:ascii="宋体" w:hAnsi="宋体"/>
                <w:b/>
                <w:color w:val="auto"/>
                <w:szCs w:val="21"/>
                <w:highlight w:val="none"/>
              </w:rPr>
            </w:pPr>
            <w:r>
              <w:rPr>
                <w:rFonts w:hint="eastAsia" w:ascii="宋体" w:hAnsi="宋体"/>
                <w:b/>
                <w:color w:val="auto"/>
                <w:szCs w:val="21"/>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1409" w:hRule="atLeast"/>
        </w:trPr>
        <w:tc>
          <w:tcPr>
            <w:tcW w:w="363" w:type="pct"/>
            <w:noWrap w:val="0"/>
            <w:vAlign w:val="center"/>
          </w:tcPr>
          <w:p>
            <w:pPr>
              <w:tabs>
                <w:tab w:val="left" w:pos="105"/>
                <w:tab w:val="left" w:pos="735"/>
                <w:tab w:val="left" w:pos="945"/>
                <w:tab w:val="left" w:pos="3360"/>
              </w:tabs>
              <w:jc w:val="center"/>
              <w:rPr>
                <w:rFonts w:hint="eastAsia" w:ascii="宋体" w:hAnsi="宋体"/>
                <w:color w:val="auto"/>
                <w:szCs w:val="21"/>
                <w:highlight w:val="none"/>
              </w:rPr>
            </w:pPr>
            <w:r>
              <w:rPr>
                <w:rFonts w:hint="eastAsia" w:ascii="宋体" w:hAnsi="宋体"/>
                <w:color w:val="auto"/>
                <w:szCs w:val="21"/>
                <w:highlight w:val="none"/>
              </w:rPr>
              <w:t>1</w:t>
            </w:r>
          </w:p>
        </w:tc>
        <w:tc>
          <w:tcPr>
            <w:tcW w:w="916" w:type="pct"/>
            <w:noWrap w:val="0"/>
            <w:vAlign w:val="center"/>
          </w:tcPr>
          <w:p>
            <w:pPr>
              <w:tabs>
                <w:tab w:val="left" w:pos="105"/>
                <w:tab w:val="left" w:pos="735"/>
                <w:tab w:val="left" w:pos="945"/>
                <w:tab w:val="left" w:pos="3360"/>
              </w:tabs>
              <w:jc w:val="center"/>
              <w:rPr>
                <w:rFonts w:hint="eastAsia" w:ascii="宋体" w:hAnsi="宋体"/>
                <w:color w:val="auto"/>
                <w:szCs w:val="21"/>
                <w:highlight w:val="none"/>
              </w:rPr>
            </w:pPr>
            <w:r>
              <w:rPr>
                <w:rFonts w:hint="eastAsia" w:ascii="宋体" w:hAnsi="宋体"/>
                <w:color w:val="auto"/>
                <w:szCs w:val="21"/>
                <w:highlight w:val="none"/>
              </w:rPr>
              <w:t>招标人情况</w:t>
            </w:r>
          </w:p>
        </w:tc>
        <w:tc>
          <w:tcPr>
            <w:tcW w:w="3721" w:type="pct"/>
            <w:noWrap w:val="0"/>
            <w:vAlign w:val="center"/>
          </w:tcPr>
          <w:p>
            <w:pPr>
              <w:tabs>
                <w:tab w:val="left" w:pos="105"/>
                <w:tab w:val="left" w:pos="735"/>
                <w:tab w:val="left" w:pos="945"/>
                <w:tab w:val="left" w:pos="3360"/>
              </w:tabs>
              <w:rPr>
                <w:rFonts w:hint="eastAsia" w:ascii="宋体" w:hAnsi="宋体"/>
                <w:color w:val="auto"/>
                <w:szCs w:val="21"/>
                <w:highlight w:val="none"/>
              </w:rPr>
            </w:pPr>
            <w:r>
              <w:rPr>
                <w:rFonts w:hint="eastAsia" w:ascii="宋体" w:hAnsi="宋体"/>
                <w:color w:val="auto"/>
                <w:szCs w:val="21"/>
                <w:highlight w:val="none"/>
              </w:rPr>
              <w:t>招标人名称：宁波市政府采购中心</w:t>
            </w:r>
          </w:p>
          <w:p>
            <w:pPr>
              <w:tabs>
                <w:tab w:val="left" w:pos="105"/>
                <w:tab w:val="left" w:pos="735"/>
                <w:tab w:val="left" w:pos="945"/>
                <w:tab w:val="left" w:pos="3360"/>
              </w:tabs>
              <w:rPr>
                <w:rFonts w:ascii="宋体" w:hAnsi="宋体"/>
                <w:color w:val="auto"/>
                <w:szCs w:val="21"/>
                <w:highlight w:val="none"/>
              </w:rPr>
            </w:pPr>
            <w:r>
              <w:rPr>
                <w:rFonts w:hint="eastAsia" w:ascii="宋体" w:hAnsi="宋体"/>
                <w:color w:val="auto"/>
                <w:szCs w:val="21"/>
                <w:highlight w:val="none"/>
              </w:rPr>
              <w:t>开户行：中国建设银行宁波东城支行</w:t>
            </w:r>
          </w:p>
          <w:p>
            <w:pPr>
              <w:tabs>
                <w:tab w:val="left" w:pos="105"/>
                <w:tab w:val="left" w:pos="735"/>
                <w:tab w:val="left" w:pos="945"/>
                <w:tab w:val="left" w:pos="3360"/>
              </w:tabs>
              <w:rPr>
                <w:rFonts w:ascii="宋体" w:hAnsi="宋体"/>
                <w:color w:val="auto"/>
                <w:szCs w:val="21"/>
                <w:highlight w:val="none"/>
              </w:rPr>
            </w:pPr>
            <w:r>
              <w:rPr>
                <w:rFonts w:hint="eastAsia" w:ascii="宋体" w:hAnsi="宋体"/>
                <w:color w:val="auto"/>
                <w:szCs w:val="21"/>
                <w:highlight w:val="none"/>
              </w:rPr>
              <w:t>银行帐号：33150198367100000022</w:t>
            </w:r>
          </w:p>
          <w:p>
            <w:pPr>
              <w:tabs>
                <w:tab w:val="left" w:pos="105"/>
                <w:tab w:val="left" w:pos="735"/>
                <w:tab w:val="left" w:pos="945"/>
                <w:tab w:val="left" w:pos="3360"/>
              </w:tabs>
              <w:rPr>
                <w:rFonts w:ascii="宋体" w:hAnsi="宋体" w:eastAsia="宋体"/>
                <w:color w:val="auto"/>
                <w:szCs w:val="21"/>
                <w:highlight w:val="none"/>
              </w:rPr>
            </w:pPr>
            <w:r>
              <w:rPr>
                <w:rFonts w:hint="eastAsia" w:ascii="宋体" w:hAnsi="宋体"/>
                <w:color w:val="auto"/>
                <w:szCs w:val="21"/>
                <w:highlight w:val="none"/>
              </w:rPr>
              <w:t>质疑接收：陈先生 TEL：0574-87187959 FAX：87187961</w:t>
            </w:r>
          </w:p>
          <w:p>
            <w:pPr>
              <w:tabs>
                <w:tab w:val="left" w:pos="105"/>
                <w:tab w:val="left" w:pos="735"/>
                <w:tab w:val="left" w:pos="945"/>
                <w:tab w:val="left" w:pos="3360"/>
              </w:tabs>
              <w:rPr>
                <w:rFonts w:hint="eastAsia" w:ascii="宋体" w:hAnsi="宋体"/>
                <w:color w:val="auto"/>
                <w:szCs w:val="21"/>
                <w:highlight w:val="none"/>
              </w:rPr>
            </w:pPr>
            <w:r>
              <w:rPr>
                <w:rFonts w:hint="eastAsia" w:ascii="宋体" w:hAnsi="宋体"/>
                <w:color w:val="auto"/>
                <w:szCs w:val="21"/>
                <w:highlight w:val="none"/>
              </w:rPr>
              <w:t>地址：宁波市鄞州区宁穿路1901号市行政服务中心</w:t>
            </w:r>
            <w:r>
              <w:rPr>
                <w:rFonts w:hint="eastAsia" w:ascii="宋体" w:hAnsi="宋体" w:eastAsia="宋体"/>
                <w:color w:val="auto"/>
                <w:szCs w:val="21"/>
                <w:highlight w:val="none"/>
              </w:rPr>
              <w:t>五</w:t>
            </w:r>
            <w:r>
              <w:rPr>
                <w:rFonts w:hint="eastAsia" w:ascii="宋体" w:hAnsi="宋体"/>
                <w:color w:val="auto"/>
                <w:szCs w:val="21"/>
                <w:highlight w:val="none"/>
              </w:rPr>
              <w:t>楼</w:t>
            </w:r>
          </w:p>
          <w:p>
            <w:pPr>
              <w:tabs>
                <w:tab w:val="left" w:pos="105"/>
                <w:tab w:val="left" w:pos="735"/>
                <w:tab w:val="left" w:pos="945"/>
                <w:tab w:val="left" w:pos="3360"/>
              </w:tabs>
              <w:rPr>
                <w:rFonts w:hint="eastAsia" w:ascii="宋体" w:hAnsi="宋体"/>
                <w:color w:val="auto"/>
                <w:szCs w:val="21"/>
                <w:highlight w:val="none"/>
              </w:rPr>
            </w:pPr>
            <w:r>
              <w:rPr>
                <w:rFonts w:hint="eastAsia" w:ascii="宋体" w:hAnsi="宋体"/>
                <w:color w:val="auto"/>
                <w:szCs w:val="21"/>
                <w:highlight w:val="none"/>
              </w:rPr>
              <w:t>邮编：315066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495" w:hRule="atLeast"/>
        </w:trPr>
        <w:tc>
          <w:tcPr>
            <w:tcW w:w="363" w:type="pct"/>
            <w:noWrap w:val="0"/>
            <w:vAlign w:val="center"/>
          </w:tcPr>
          <w:p>
            <w:pPr>
              <w:tabs>
                <w:tab w:val="left" w:pos="105"/>
                <w:tab w:val="left" w:pos="735"/>
                <w:tab w:val="left" w:pos="945"/>
                <w:tab w:val="left" w:pos="3360"/>
              </w:tabs>
              <w:jc w:val="center"/>
              <w:rPr>
                <w:rFonts w:hint="eastAsia" w:ascii="宋体" w:hAnsi="宋体"/>
                <w:color w:val="auto"/>
                <w:szCs w:val="21"/>
                <w:highlight w:val="none"/>
              </w:rPr>
            </w:pPr>
            <w:r>
              <w:rPr>
                <w:rFonts w:hint="eastAsia" w:ascii="宋体" w:hAnsi="宋体"/>
                <w:color w:val="auto"/>
                <w:szCs w:val="21"/>
                <w:highlight w:val="none"/>
              </w:rPr>
              <w:t>2</w:t>
            </w:r>
          </w:p>
        </w:tc>
        <w:tc>
          <w:tcPr>
            <w:tcW w:w="916" w:type="pct"/>
            <w:noWrap w:val="0"/>
            <w:vAlign w:val="center"/>
          </w:tcPr>
          <w:p>
            <w:pPr>
              <w:tabs>
                <w:tab w:val="left" w:pos="105"/>
                <w:tab w:val="left" w:pos="735"/>
                <w:tab w:val="left" w:pos="945"/>
                <w:tab w:val="left" w:pos="3360"/>
              </w:tabs>
              <w:jc w:val="center"/>
              <w:rPr>
                <w:rFonts w:hint="eastAsia" w:ascii="宋体" w:hAnsi="宋体"/>
                <w:color w:val="auto"/>
                <w:szCs w:val="21"/>
                <w:highlight w:val="none"/>
              </w:rPr>
            </w:pPr>
            <w:r>
              <w:rPr>
                <w:rFonts w:hint="eastAsia" w:ascii="宋体" w:hAnsi="宋体"/>
                <w:color w:val="auto"/>
                <w:szCs w:val="21"/>
                <w:highlight w:val="none"/>
              </w:rPr>
              <w:t>采购方式</w:t>
            </w:r>
          </w:p>
        </w:tc>
        <w:tc>
          <w:tcPr>
            <w:tcW w:w="3721" w:type="pct"/>
            <w:noWrap w:val="0"/>
            <w:vAlign w:val="center"/>
          </w:tcPr>
          <w:p>
            <w:pPr>
              <w:tabs>
                <w:tab w:val="left" w:pos="105"/>
                <w:tab w:val="left" w:pos="735"/>
                <w:tab w:val="left" w:pos="945"/>
                <w:tab w:val="left" w:pos="3360"/>
              </w:tabs>
              <w:rPr>
                <w:rFonts w:hint="eastAsia" w:ascii="宋体" w:hAnsi="宋体"/>
                <w:color w:val="auto"/>
                <w:szCs w:val="21"/>
                <w:highlight w:val="none"/>
              </w:rPr>
            </w:pPr>
            <w:r>
              <w:rPr>
                <w:rFonts w:hint="eastAsia" w:ascii="宋体" w:hAnsi="宋体"/>
                <w:color w:val="auto"/>
                <w:szCs w:val="21"/>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493" w:hRule="atLeast"/>
        </w:trPr>
        <w:tc>
          <w:tcPr>
            <w:tcW w:w="363" w:type="pct"/>
            <w:noWrap w:val="0"/>
            <w:vAlign w:val="center"/>
          </w:tcPr>
          <w:p>
            <w:pPr>
              <w:tabs>
                <w:tab w:val="left" w:pos="105"/>
                <w:tab w:val="left" w:pos="735"/>
                <w:tab w:val="left" w:pos="945"/>
                <w:tab w:val="left" w:pos="3360"/>
              </w:tabs>
              <w:jc w:val="center"/>
              <w:rPr>
                <w:rFonts w:hint="eastAsia" w:ascii="宋体" w:hAnsi="宋体"/>
                <w:color w:val="auto"/>
                <w:szCs w:val="21"/>
                <w:highlight w:val="none"/>
              </w:rPr>
            </w:pPr>
            <w:r>
              <w:rPr>
                <w:rFonts w:hint="eastAsia" w:ascii="宋体" w:hAnsi="宋体"/>
                <w:color w:val="auto"/>
                <w:szCs w:val="21"/>
                <w:highlight w:val="none"/>
              </w:rPr>
              <w:t>3</w:t>
            </w:r>
          </w:p>
        </w:tc>
        <w:tc>
          <w:tcPr>
            <w:tcW w:w="916" w:type="pct"/>
            <w:noWrap w:val="0"/>
            <w:vAlign w:val="center"/>
          </w:tcPr>
          <w:p>
            <w:pPr>
              <w:tabs>
                <w:tab w:val="left" w:pos="105"/>
                <w:tab w:val="left" w:pos="735"/>
                <w:tab w:val="left" w:pos="945"/>
                <w:tab w:val="left" w:pos="3360"/>
              </w:tabs>
              <w:jc w:val="center"/>
              <w:rPr>
                <w:rFonts w:hint="eastAsia" w:ascii="宋体" w:hAnsi="宋体"/>
                <w:color w:val="auto"/>
                <w:szCs w:val="21"/>
                <w:highlight w:val="none"/>
              </w:rPr>
            </w:pPr>
            <w:r>
              <w:rPr>
                <w:rFonts w:hint="eastAsia" w:ascii="宋体" w:hAnsi="宋体"/>
                <w:color w:val="auto"/>
                <w:szCs w:val="21"/>
                <w:highlight w:val="none"/>
              </w:rPr>
              <w:t>联合体投标</w:t>
            </w:r>
          </w:p>
        </w:tc>
        <w:tc>
          <w:tcPr>
            <w:tcW w:w="3721" w:type="pct"/>
            <w:noWrap w:val="0"/>
            <w:vAlign w:val="center"/>
          </w:tcPr>
          <w:p>
            <w:pPr>
              <w:tabs>
                <w:tab w:val="left" w:pos="105"/>
                <w:tab w:val="left" w:pos="735"/>
                <w:tab w:val="left" w:pos="945"/>
                <w:tab w:val="left" w:pos="3360"/>
              </w:tabs>
              <w:rPr>
                <w:rFonts w:hint="eastAsia" w:ascii="宋体" w:hAnsi="宋体" w:eastAsia="宋体"/>
                <w:color w:val="auto"/>
                <w:szCs w:val="21"/>
                <w:highlight w:val="none"/>
                <w:u w:val="single"/>
              </w:rPr>
            </w:pPr>
            <w:r>
              <w:rPr>
                <w:rFonts w:hint="eastAsia" w:ascii="宋体" w:hAnsi="宋体" w:eastAsia="宋体"/>
                <w:color w:val="auto"/>
                <w:szCs w:val="21"/>
                <w:highlight w:val="none"/>
                <w:bdr w:val="single" w:color="auto" w:sz="4" w:space="0"/>
                <w:lang w:bidi="ar"/>
              </w:rPr>
              <w:t>√</w:t>
            </w:r>
            <w:r>
              <w:rPr>
                <w:rFonts w:hint="eastAsia" w:ascii="宋体" w:hAnsi="宋体" w:eastAsia="宋体"/>
                <w:color w:val="auto"/>
                <w:szCs w:val="21"/>
                <w:highlight w:val="none"/>
                <w:lang w:bidi="ar"/>
              </w:rPr>
              <w:t>不接受；</w:t>
            </w:r>
            <w:r>
              <w:rPr>
                <w:rFonts w:hint="eastAsia" w:ascii="宋体" w:hAnsi="宋体"/>
                <w:color w:val="auto"/>
                <w:szCs w:val="21"/>
                <w:highlight w:val="none"/>
                <w:bdr w:val="single" w:color="auto" w:sz="4" w:space="0"/>
              </w:rPr>
              <w:t xml:space="preserve">  </w:t>
            </w:r>
            <w:r>
              <w:rPr>
                <w:rFonts w:hint="eastAsia" w:ascii="宋体" w:hAnsi="宋体" w:eastAsia="宋体"/>
                <w:color w:val="auto"/>
                <w:szCs w:val="21"/>
                <w:highlight w:val="none"/>
                <w:lang w:bidi="ar"/>
              </w:rPr>
              <w:t>接受，最多</w:t>
            </w:r>
            <w:r>
              <w:rPr>
                <w:rFonts w:hint="eastAsia" w:ascii="宋体" w:hAnsi="宋体" w:eastAsia="宋体"/>
                <w:color w:val="auto"/>
                <w:szCs w:val="21"/>
                <w:highlight w:val="none"/>
                <w:u w:val="single"/>
                <w:lang w:bidi="ar"/>
              </w:rPr>
              <w:t xml:space="preserve">  </w:t>
            </w:r>
            <w:r>
              <w:rPr>
                <w:rFonts w:hint="eastAsia" w:ascii="宋体" w:hAnsi="宋体" w:eastAsia="宋体"/>
                <w:color w:val="auto"/>
                <w:szCs w:val="21"/>
                <w:highlight w:val="none"/>
                <w:lang w:bidi="ar"/>
              </w:rPr>
              <w:t>家，联合体要求：XXX。</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445" w:hRule="atLeast"/>
        </w:trPr>
        <w:tc>
          <w:tcPr>
            <w:tcW w:w="363" w:type="pct"/>
            <w:noWrap w:val="0"/>
            <w:vAlign w:val="center"/>
          </w:tcPr>
          <w:p>
            <w:pPr>
              <w:tabs>
                <w:tab w:val="left" w:pos="105"/>
                <w:tab w:val="left" w:pos="735"/>
                <w:tab w:val="left" w:pos="945"/>
                <w:tab w:val="left" w:pos="3360"/>
              </w:tabs>
              <w:jc w:val="center"/>
              <w:rPr>
                <w:rFonts w:hint="eastAsia" w:ascii="宋体" w:hAnsi="宋体"/>
                <w:color w:val="auto"/>
                <w:szCs w:val="21"/>
                <w:highlight w:val="none"/>
              </w:rPr>
            </w:pPr>
            <w:r>
              <w:rPr>
                <w:rFonts w:hint="eastAsia" w:ascii="宋体" w:hAnsi="宋体"/>
                <w:color w:val="auto"/>
                <w:szCs w:val="21"/>
                <w:highlight w:val="none"/>
              </w:rPr>
              <w:t>4</w:t>
            </w:r>
          </w:p>
        </w:tc>
        <w:tc>
          <w:tcPr>
            <w:tcW w:w="916" w:type="pct"/>
            <w:noWrap w:val="0"/>
            <w:vAlign w:val="center"/>
          </w:tcPr>
          <w:p>
            <w:pPr>
              <w:tabs>
                <w:tab w:val="left" w:pos="105"/>
                <w:tab w:val="left" w:pos="735"/>
                <w:tab w:val="left" w:pos="945"/>
                <w:tab w:val="left" w:pos="3360"/>
              </w:tabs>
              <w:jc w:val="center"/>
              <w:rPr>
                <w:rFonts w:hint="eastAsia" w:ascii="宋体" w:hAnsi="宋体"/>
                <w:color w:val="auto"/>
                <w:szCs w:val="21"/>
                <w:highlight w:val="none"/>
              </w:rPr>
            </w:pPr>
            <w:r>
              <w:rPr>
                <w:rFonts w:hint="eastAsia" w:ascii="宋体" w:hAnsi="宋体"/>
                <w:color w:val="auto"/>
                <w:szCs w:val="21"/>
                <w:highlight w:val="none"/>
              </w:rPr>
              <w:t>专门面向中小微企业招标</w:t>
            </w:r>
          </w:p>
        </w:tc>
        <w:tc>
          <w:tcPr>
            <w:tcW w:w="3721" w:type="pct"/>
            <w:noWrap w:val="0"/>
            <w:vAlign w:val="center"/>
          </w:tcPr>
          <w:p>
            <w:pPr>
              <w:tabs>
                <w:tab w:val="left" w:pos="105"/>
                <w:tab w:val="left" w:pos="735"/>
                <w:tab w:val="left" w:pos="945"/>
                <w:tab w:val="left" w:pos="3360"/>
              </w:tabs>
              <w:rPr>
                <w:rFonts w:hint="eastAsia" w:ascii="宋体" w:hAnsi="宋体"/>
                <w:color w:val="auto"/>
                <w:szCs w:val="21"/>
                <w:highlight w:val="none"/>
              </w:rPr>
            </w:pPr>
            <w:r>
              <w:rPr>
                <w:rFonts w:hint="eastAsia" w:ascii="宋体" w:hAnsi="宋体"/>
                <w:color w:val="auto"/>
                <w:szCs w:val="21"/>
                <w:highlight w:val="none"/>
                <w:bdr w:val="single" w:color="auto" w:sz="4" w:space="0"/>
              </w:rPr>
              <w:t xml:space="preserve">  </w:t>
            </w:r>
            <w:r>
              <w:rPr>
                <w:rFonts w:hint="eastAsia" w:ascii="宋体" w:hAnsi="宋体"/>
                <w:color w:val="auto"/>
                <w:szCs w:val="21"/>
                <w:highlight w:val="none"/>
              </w:rPr>
              <w:t>是；</w:t>
            </w:r>
            <w:r>
              <w:rPr>
                <w:rFonts w:hint="eastAsia" w:ascii="宋体" w:hAnsi="宋体"/>
                <w:color w:val="auto"/>
                <w:szCs w:val="21"/>
                <w:highlight w:val="none"/>
                <w:bdr w:val="single" w:color="auto" w:sz="4" w:space="0"/>
              </w:rPr>
              <w:t>√</w:t>
            </w:r>
            <w:r>
              <w:rPr>
                <w:rFonts w:hint="eastAsia" w:ascii="宋体" w:hAnsi="宋体"/>
                <w:color w:val="auto"/>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Pr>
        <w:tc>
          <w:tcPr>
            <w:tcW w:w="363" w:type="pct"/>
            <w:noWrap w:val="0"/>
            <w:vAlign w:val="center"/>
          </w:tcPr>
          <w:p>
            <w:pPr>
              <w:tabs>
                <w:tab w:val="left" w:pos="105"/>
                <w:tab w:val="left" w:pos="735"/>
                <w:tab w:val="left" w:pos="945"/>
                <w:tab w:val="left" w:pos="3360"/>
              </w:tabs>
              <w:jc w:val="center"/>
              <w:rPr>
                <w:rFonts w:hint="eastAsia" w:ascii="宋体" w:hAnsi="宋体"/>
                <w:color w:val="auto"/>
                <w:szCs w:val="21"/>
                <w:highlight w:val="none"/>
              </w:rPr>
            </w:pPr>
            <w:r>
              <w:rPr>
                <w:rFonts w:hint="eastAsia" w:ascii="宋体" w:hAnsi="宋体"/>
                <w:color w:val="auto"/>
                <w:szCs w:val="21"/>
                <w:highlight w:val="none"/>
              </w:rPr>
              <w:t>5</w:t>
            </w:r>
          </w:p>
        </w:tc>
        <w:tc>
          <w:tcPr>
            <w:tcW w:w="916" w:type="pct"/>
            <w:noWrap w:val="0"/>
            <w:vAlign w:val="center"/>
          </w:tcPr>
          <w:p>
            <w:pPr>
              <w:tabs>
                <w:tab w:val="left" w:pos="105"/>
                <w:tab w:val="left" w:pos="735"/>
                <w:tab w:val="left" w:pos="945"/>
                <w:tab w:val="left" w:pos="3360"/>
              </w:tabs>
              <w:jc w:val="center"/>
              <w:rPr>
                <w:rFonts w:hint="eastAsia" w:ascii="宋体" w:hAnsi="宋体"/>
                <w:b/>
                <w:color w:val="auto"/>
                <w:szCs w:val="21"/>
                <w:highlight w:val="none"/>
              </w:rPr>
            </w:pPr>
            <w:r>
              <w:rPr>
                <w:rFonts w:hint="eastAsia" w:ascii="宋体" w:hAnsi="宋体"/>
                <w:b/>
                <w:color w:val="auto"/>
                <w:szCs w:val="21"/>
                <w:highlight w:val="none"/>
              </w:rPr>
              <w:t>集中现场踏勘(答疑)</w:t>
            </w:r>
          </w:p>
        </w:tc>
        <w:tc>
          <w:tcPr>
            <w:tcW w:w="3721" w:type="pct"/>
            <w:noWrap w:val="0"/>
            <w:vAlign w:val="center"/>
          </w:tcPr>
          <w:p>
            <w:pPr>
              <w:tabs>
                <w:tab w:val="left" w:pos="105"/>
                <w:tab w:val="left" w:pos="735"/>
                <w:tab w:val="left" w:pos="945"/>
                <w:tab w:val="left" w:pos="3360"/>
              </w:tabs>
              <w:rPr>
                <w:rFonts w:hint="eastAsia" w:ascii="宋体" w:hAnsi="宋体"/>
                <w:color w:val="auto"/>
                <w:szCs w:val="21"/>
                <w:highlight w:val="none"/>
              </w:rPr>
            </w:pPr>
            <w:r>
              <w:rPr>
                <w:rFonts w:hint="eastAsia" w:ascii="宋体" w:hAnsi="宋体"/>
                <w:color w:val="auto"/>
                <w:szCs w:val="21"/>
                <w:highlight w:val="none"/>
                <w:bdr w:val="single" w:color="auto" w:sz="4" w:space="0"/>
              </w:rPr>
              <w:t xml:space="preserve">  </w:t>
            </w:r>
            <w:r>
              <w:rPr>
                <w:rFonts w:hint="eastAsia" w:ascii="宋体" w:hAnsi="宋体"/>
                <w:color w:val="auto"/>
                <w:szCs w:val="21"/>
                <w:highlight w:val="none"/>
              </w:rPr>
              <w:t>无</w:t>
            </w:r>
            <w:r>
              <w:rPr>
                <w:rFonts w:hint="eastAsia" w:ascii="宋体" w:hAnsi="宋体" w:eastAsia="宋体"/>
                <w:color w:val="auto"/>
                <w:szCs w:val="21"/>
                <w:highlight w:val="none"/>
              </w:rPr>
              <w:t>；</w:t>
            </w:r>
            <w:r>
              <w:rPr>
                <w:rFonts w:hint="eastAsia" w:ascii="宋体" w:hAnsi="宋体"/>
                <w:color w:val="auto"/>
                <w:szCs w:val="21"/>
                <w:highlight w:val="none"/>
                <w:bdr w:val="single" w:color="auto" w:sz="4" w:space="0"/>
              </w:rPr>
              <w:t>√</w:t>
            </w:r>
            <w:r>
              <w:rPr>
                <w:rFonts w:hint="eastAsia" w:ascii="宋体" w:hAnsi="宋体"/>
                <w:color w:val="auto"/>
                <w:szCs w:val="21"/>
                <w:highlight w:val="none"/>
              </w:rPr>
              <w:t>有。</w:t>
            </w:r>
          </w:p>
          <w:p>
            <w:pPr>
              <w:tabs>
                <w:tab w:val="left" w:pos="105"/>
                <w:tab w:val="left" w:pos="735"/>
                <w:tab w:val="left" w:pos="945"/>
                <w:tab w:val="left" w:pos="3360"/>
              </w:tabs>
              <w:rPr>
                <w:rFonts w:ascii="宋体" w:hAnsi="宋体"/>
                <w:color w:val="auto"/>
                <w:szCs w:val="21"/>
                <w:highlight w:val="none"/>
              </w:rPr>
            </w:pPr>
            <w:r>
              <w:rPr>
                <w:rFonts w:hint="eastAsia" w:ascii="宋体" w:hAnsi="宋体"/>
                <w:color w:val="auto"/>
                <w:szCs w:val="21"/>
                <w:highlight w:val="none"/>
              </w:rPr>
              <w:t>集合时间：2021</w:t>
            </w:r>
            <w:r>
              <w:rPr>
                <w:rFonts w:ascii="宋体" w:hAnsi="宋体"/>
                <w:color w:val="auto"/>
                <w:szCs w:val="21"/>
                <w:highlight w:val="none"/>
              </w:rPr>
              <w:t xml:space="preserve"> </w:t>
            </w:r>
            <w:r>
              <w:rPr>
                <w:rFonts w:hint="eastAsia" w:ascii="宋体" w:hAnsi="宋体"/>
                <w:color w:val="auto"/>
                <w:szCs w:val="21"/>
                <w:highlight w:val="none"/>
              </w:rPr>
              <w:t>年</w:t>
            </w:r>
            <w:r>
              <w:rPr>
                <w:rFonts w:hint="eastAsia" w:ascii="宋体" w:hAnsi="宋体"/>
                <w:color w:val="auto"/>
                <w:szCs w:val="21"/>
                <w:highlight w:val="none"/>
                <w:lang w:val="en-US" w:eastAsia="zh-CN"/>
              </w:rPr>
              <w:t>2</w:t>
            </w:r>
            <w:r>
              <w:rPr>
                <w:rFonts w:hint="eastAsia" w:ascii="宋体" w:hAnsi="宋体"/>
                <w:color w:val="auto"/>
                <w:szCs w:val="21"/>
                <w:highlight w:val="none"/>
              </w:rPr>
              <w:t>月</w:t>
            </w:r>
            <w:r>
              <w:rPr>
                <w:rFonts w:hint="eastAsia" w:ascii="宋体" w:hAnsi="宋体"/>
                <w:color w:val="auto"/>
                <w:szCs w:val="21"/>
                <w:highlight w:val="none"/>
                <w:lang w:val="en-US" w:eastAsia="zh-CN"/>
              </w:rPr>
              <w:t>9</w:t>
            </w:r>
            <w:r>
              <w:rPr>
                <w:rFonts w:hint="eastAsia" w:ascii="宋体" w:hAnsi="宋体"/>
                <w:color w:val="auto"/>
                <w:szCs w:val="21"/>
                <w:highlight w:val="none"/>
              </w:rPr>
              <w:t>日上午9:30；</w:t>
            </w:r>
          </w:p>
          <w:p>
            <w:pPr>
              <w:tabs>
                <w:tab w:val="left" w:pos="105"/>
                <w:tab w:val="left" w:pos="735"/>
                <w:tab w:val="left" w:pos="945"/>
                <w:tab w:val="left" w:pos="3360"/>
              </w:tabs>
              <w:rPr>
                <w:rFonts w:ascii="宋体" w:hAnsi="宋体"/>
                <w:color w:val="auto"/>
                <w:szCs w:val="21"/>
                <w:highlight w:val="none"/>
              </w:rPr>
            </w:pPr>
            <w:r>
              <w:rPr>
                <w:rFonts w:hint="eastAsia" w:ascii="宋体" w:hAnsi="宋体"/>
                <w:color w:val="auto"/>
                <w:szCs w:val="21"/>
                <w:highlight w:val="none"/>
              </w:rPr>
              <w:t>集合地点：宁波市东部新城b-8#办公楼门</w:t>
            </w:r>
            <w:r>
              <w:rPr>
                <w:rFonts w:hint="eastAsia" w:ascii="宋体" w:hAnsi="宋体" w:eastAsia="宋体"/>
                <w:color w:val="auto"/>
                <w:szCs w:val="21"/>
                <w:highlight w:val="none"/>
              </w:rPr>
              <w:t>卫（</w:t>
            </w:r>
            <w:r>
              <w:rPr>
                <w:rFonts w:hint="eastAsia" w:ascii="宋体"/>
                <w:color w:val="auto"/>
                <w:szCs w:val="28"/>
                <w:highlight w:val="none"/>
              </w:rPr>
              <w:t>宁波市鄞州区和济街117号</w:t>
            </w:r>
            <w:r>
              <w:rPr>
                <w:rFonts w:hint="eastAsia" w:ascii="宋体" w:hAnsi="宋体" w:eastAsia="宋体"/>
                <w:color w:val="auto"/>
                <w:szCs w:val="21"/>
                <w:highlight w:val="none"/>
              </w:rPr>
              <w:t>）</w:t>
            </w:r>
          </w:p>
          <w:p>
            <w:pPr>
              <w:tabs>
                <w:tab w:val="left" w:pos="105"/>
                <w:tab w:val="left" w:pos="735"/>
                <w:tab w:val="left" w:pos="945"/>
                <w:tab w:val="left" w:pos="3360"/>
              </w:tabs>
              <w:rPr>
                <w:rFonts w:ascii="宋体" w:hAnsi="宋体"/>
                <w:color w:val="auto"/>
                <w:szCs w:val="21"/>
                <w:highlight w:val="none"/>
              </w:rPr>
            </w:pPr>
            <w:r>
              <w:rPr>
                <w:rFonts w:hint="eastAsia" w:ascii="宋体" w:hAnsi="宋体"/>
                <w:color w:val="auto"/>
                <w:szCs w:val="21"/>
                <w:highlight w:val="none"/>
              </w:rPr>
              <w:t>联系人：陈老师、周老师、电话：0574-89185311、0574-8</w:t>
            </w:r>
            <w:r>
              <w:rPr>
                <w:rFonts w:hint="eastAsia" w:ascii="宋体" w:hAnsi="宋体"/>
                <w:color w:val="auto"/>
                <w:szCs w:val="21"/>
                <w:highlight w:val="none"/>
                <w:lang w:val="en-US" w:eastAsia="zh-CN"/>
              </w:rPr>
              <w:t>9189090</w:t>
            </w:r>
            <w:r>
              <w:rPr>
                <w:rFonts w:hint="eastAsia" w:ascii="宋体" w:hAnsi="宋体"/>
                <w:color w:val="auto"/>
                <w:szCs w:val="21"/>
                <w:highlight w:val="none"/>
              </w:rPr>
              <w:t>。</w:t>
            </w:r>
          </w:p>
          <w:p>
            <w:pPr>
              <w:tabs>
                <w:tab w:val="left" w:pos="105"/>
                <w:tab w:val="left" w:pos="735"/>
                <w:tab w:val="left" w:pos="945"/>
                <w:tab w:val="left" w:pos="3360"/>
              </w:tabs>
              <w:rPr>
                <w:rFonts w:hint="eastAsia" w:ascii="宋体" w:hAnsi="宋体" w:eastAsia="宋体"/>
                <w:color w:val="auto"/>
                <w:szCs w:val="21"/>
                <w:highlight w:val="none"/>
              </w:rPr>
            </w:pPr>
            <w:r>
              <w:rPr>
                <w:rFonts w:hint="eastAsia" w:ascii="宋体" w:hAnsi="宋体"/>
                <w:color w:val="auto"/>
                <w:szCs w:val="21"/>
                <w:highlight w:val="none"/>
              </w:rPr>
              <w:t>届时请每家潜在投标人安排不超过2人出席，须携带本人身份证原件及加盖投标单位公章的介绍信（证明函）。现场踏勘仅组织一次，潜在投标人错过现场踏勘后果自负。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493" w:hRule="atLeast"/>
        </w:trPr>
        <w:tc>
          <w:tcPr>
            <w:tcW w:w="363" w:type="pct"/>
            <w:noWrap w:val="0"/>
            <w:vAlign w:val="center"/>
          </w:tcPr>
          <w:p>
            <w:pPr>
              <w:tabs>
                <w:tab w:val="left" w:pos="105"/>
                <w:tab w:val="left" w:pos="735"/>
                <w:tab w:val="left" w:pos="945"/>
                <w:tab w:val="left" w:pos="3360"/>
              </w:tabs>
              <w:jc w:val="center"/>
              <w:rPr>
                <w:rFonts w:hint="eastAsia" w:ascii="宋体" w:hAnsi="宋体"/>
                <w:color w:val="auto"/>
                <w:szCs w:val="21"/>
                <w:highlight w:val="none"/>
              </w:rPr>
            </w:pPr>
            <w:r>
              <w:rPr>
                <w:rFonts w:hint="eastAsia" w:ascii="宋体" w:hAnsi="宋体"/>
                <w:color w:val="auto"/>
                <w:szCs w:val="21"/>
                <w:highlight w:val="none"/>
              </w:rPr>
              <w:t>6</w:t>
            </w:r>
          </w:p>
        </w:tc>
        <w:tc>
          <w:tcPr>
            <w:tcW w:w="916" w:type="pct"/>
            <w:noWrap w:val="0"/>
            <w:vAlign w:val="center"/>
          </w:tcPr>
          <w:p>
            <w:pPr>
              <w:tabs>
                <w:tab w:val="left" w:pos="105"/>
                <w:tab w:val="left" w:pos="735"/>
                <w:tab w:val="left" w:pos="945"/>
                <w:tab w:val="left" w:pos="3360"/>
              </w:tabs>
              <w:jc w:val="center"/>
              <w:rPr>
                <w:rFonts w:hint="eastAsia" w:ascii="宋体" w:hAnsi="宋体"/>
                <w:color w:val="auto"/>
                <w:szCs w:val="21"/>
                <w:highlight w:val="none"/>
              </w:rPr>
            </w:pPr>
            <w:r>
              <w:rPr>
                <w:rFonts w:hint="eastAsia" w:ascii="宋体" w:hAnsi="宋体"/>
                <w:color w:val="auto"/>
                <w:szCs w:val="21"/>
                <w:highlight w:val="none"/>
              </w:rPr>
              <w:t>讲标与演示</w:t>
            </w:r>
          </w:p>
        </w:tc>
        <w:tc>
          <w:tcPr>
            <w:tcW w:w="3721" w:type="pct"/>
            <w:noWrap w:val="0"/>
            <w:vAlign w:val="center"/>
          </w:tcPr>
          <w:p>
            <w:pPr>
              <w:tabs>
                <w:tab w:val="left" w:pos="105"/>
                <w:tab w:val="left" w:pos="735"/>
                <w:tab w:val="left" w:pos="945"/>
                <w:tab w:val="left" w:pos="3360"/>
              </w:tabs>
              <w:rPr>
                <w:rFonts w:hint="eastAsia" w:ascii="宋体" w:hAnsi="宋体"/>
                <w:color w:val="auto"/>
                <w:szCs w:val="21"/>
                <w:highlight w:val="none"/>
              </w:rPr>
            </w:pPr>
            <w:r>
              <w:rPr>
                <w:rFonts w:hint="eastAsia" w:ascii="宋体" w:hAnsi="宋体"/>
                <w:color w:val="auto"/>
                <w:szCs w:val="21"/>
                <w:highlight w:val="none"/>
                <w:bdr w:val="single" w:color="auto" w:sz="4" w:space="0"/>
              </w:rPr>
              <w:t>√</w:t>
            </w:r>
            <w:r>
              <w:rPr>
                <w:rFonts w:hint="eastAsia" w:ascii="宋体" w:hAnsi="宋体"/>
                <w:color w:val="auto"/>
                <w:szCs w:val="21"/>
                <w:highlight w:val="none"/>
              </w:rPr>
              <w:t>无；</w:t>
            </w:r>
            <w:r>
              <w:rPr>
                <w:rFonts w:hint="eastAsia" w:ascii="宋体" w:hAnsi="宋体"/>
                <w:color w:val="auto"/>
                <w:szCs w:val="21"/>
                <w:highlight w:val="none"/>
                <w:bdr w:val="single" w:color="auto" w:sz="4" w:space="0"/>
              </w:rPr>
              <w:t xml:space="preserve">  </w:t>
            </w:r>
            <w:r>
              <w:rPr>
                <w:rFonts w:hint="eastAsia" w:ascii="宋体" w:hAnsi="宋体"/>
                <w:color w:val="auto"/>
                <w:szCs w:val="21"/>
                <w:highlight w:val="none"/>
              </w:rPr>
              <w:t>有，具体要求见需求说明。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639" w:hRule="atLeast"/>
        </w:trPr>
        <w:tc>
          <w:tcPr>
            <w:tcW w:w="363" w:type="pct"/>
            <w:noWrap w:val="0"/>
            <w:vAlign w:val="center"/>
          </w:tcPr>
          <w:p>
            <w:pPr>
              <w:tabs>
                <w:tab w:val="left" w:pos="105"/>
                <w:tab w:val="left" w:pos="735"/>
                <w:tab w:val="left" w:pos="945"/>
                <w:tab w:val="left" w:pos="3360"/>
              </w:tabs>
              <w:jc w:val="center"/>
              <w:rPr>
                <w:rFonts w:hint="eastAsia" w:ascii="宋体" w:hAnsi="宋体"/>
                <w:color w:val="auto"/>
                <w:szCs w:val="21"/>
                <w:highlight w:val="none"/>
              </w:rPr>
            </w:pPr>
            <w:r>
              <w:rPr>
                <w:rFonts w:hint="eastAsia" w:ascii="宋体" w:hAnsi="宋体"/>
                <w:color w:val="auto"/>
                <w:szCs w:val="21"/>
                <w:highlight w:val="none"/>
              </w:rPr>
              <w:t>7</w:t>
            </w:r>
          </w:p>
        </w:tc>
        <w:tc>
          <w:tcPr>
            <w:tcW w:w="916" w:type="pct"/>
            <w:noWrap w:val="0"/>
            <w:vAlign w:val="center"/>
          </w:tcPr>
          <w:p>
            <w:pPr>
              <w:tabs>
                <w:tab w:val="left" w:pos="105"/>
                <w:tab w:val="left" w:pos="735"/>
                <w:tab w:val="left" w:pos="945"/>
                <w:tab w:val="left" w:pos="3360"/>
              </w:tabs>
              <w:jc w:val="center"/>
              <w:rPr>
                <w:rFonts w:hint="eastAsia" w:ascii="宋体" w:hAnsi="宋体"/>
                <w:color w:val="auto"/>
                <w:szCs w:val="21"/>
                <w:highlight w:val="none"/>
              </w:rPr>
            </w:pPr>
            <w:r>
              <w:rPr>
                <w:rFonts w:hint="eastAsia" w:ascii="宋体" w:hAnsi="宋体"/>
                <w:color w:val="auto"/>
                <w:szCs w:val="21"/>
                <w:highlight w:val="none"/>
              </w:rPr>
              <w:t>备选报价方案</w:t>
            </w:r>
          </w:p>
        </w:tc>
        <w:tc>
          <w:tcPr>
            <w:tcW w:w="3721" w:type="pct"/>
            <w:noWrap w:val="0"/>
            <w:vAlign w:val="center"/>
          </w:tcPr>
          <w:p>
            <w:pPr>
              <w:tabs>
                <w:tab w:val="left" w:pos="105"/>
                <w:tab w:val="left" w:pos="735"/>
                <w:tab w:val="left" w:pos="945"/>
                <w:tab w:val="left" w:pos="3360"/>
              </w:tabs>
              <w:rPr>
                <w:rFonts w:hint="eastAsia" w:ascii="宋体" w:hAnsi="宋体" w:eastAsia="宋体"/>
                <w:color w:val="auto"/>
                <w:szCs w:val="21"/>
                <w:highlight w:val="none"/>
                <w:lang w:bidi="ar"/>
              </w:rPr>
            </w:pPr>
            <w:r>
              <w:rPr>
                <w:rFonts w:hint="eastAsia" w:ascii="宋体" w:hAnsi="宋体" w:eastAsia="宋体"/>
                <w:color w:val="auto"/>
                <w:szCs w:val="21"/>
                <w:highlight w:val="none"/>
                <w:bdr w:val="single" w:color="auto" w:sz="4" w:space="0"/>
                <w:lang w:bidi="ar"/>
              </w:rPr>
              <w:t>√</w:t>
            </w:r>
            <w:r>
              <w:rPr>
                <w:rFonts w:hint="eastAsia" w:ascii="宋体" w:hAnsi="宋体" w:eastAsia="宋体"/>
                <w:color w:val="auto"/>
                <w:szCs w:val="21"/>
                <w:highlight w:val="none"/>
                <w:lang w:bidi="ar"/>
              </w:rPr>
              <w:t>不接受；</w:t>
            </w:r>
          </w:p>
          <w:p>
            <w:pPr>
              <w:tabs>
                <w:tab w:val="left" w:pos="105"/>
                <w:tab w:val="left" w:pos="735"/>
                <w:tab w:val="left" w:pos="945"/>
                <w:tab w:val="left" w:pos="3360"/>
              </w:tabs>
              <w:rPr>
                <w:rFonts w:hint="eastAsia" w:ascii="宋体" w:hAnsi="宋体"/>
                <w:color w:val="auto"/>
                <w:szCs w:val="21"/>
                <w:highlight w:val="none"/>
                <w:bdr w:val="single" w:color="auto" w:sz="4" w:space="0"/>
              </w:rPr>
            </w:pPr>
            <w:r>
              <w:rPr>
                <w:rFonts w:hint="eastAsia" w:ascii="宋体" w:hAnsi="宋体"/>
                <w:color w:val="auto"/>
                <w:szCs w:val="21"/>
                <w:highlight w:val="none"/>
                <w:bdr w:val="single" w:color="auto" w:sz="4" w:space="0"/>
              </w:rPr>
              <w:t xml:space="preserve">  </w:t>
            </w:r>
            <w:r>
              <w:rPr>
                <w:rFonts w:hint="eastAsia" w:ascii="宋体" w:hAnsi="宋体" w:eastAsia="宋体"/>
                <w:color w:val="auto"/>
                <w:szCs w:val="21"/>
                <w:highlight w:val="none"/>
                <w:lang w:bidi="ar"/>
              </w:rPr>
              <w:t>接受，</w:t>
            </w:r>
            <w:r>
              <w:rPr>
                <w:rFonts w:hint="eastAsia" w:ascii="宋体" w:hAnsi="宋体"/>
                <w:color w:val="auto"/>
                <w:szCs w:val="21"/>
                <w:highlight w:val="none"/>
              </w:rPr>
              <w:t>投标文件未明确主备方案的视为无效标。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493" w:hRule="atLeast"/>
        </w:trPr>
        <w:tc>
          <w:tcPr>
            <w:tcW w:w="363" w:type="pct"/>
            <w:noWrap w:val="0"/>
            <w:vAlign w:val="center"/>
          </w:tcPr>
          <w:p>
            <w:pPr>
              <w:tabs>
                <w:tab w:val="left" w:pos="105"/>
                <w:tab w:val="left" w:pos="735"/>
                <w:tab w:val="left" w:pos="945"/>
                <w:tab w:val="left" w:pos="3360"/>
              </w:tabs>
              <w:jc w:val="center"/>
              <w:rPr>
                <w:rFonts w:hint="eastAsia" w:ascii="宋体" w:hAnsi="宋体"/>
                <w:color w:val="auto"/>
                <w:szCs w:val="21"/>
                <w:highlight w:val="none"/>
              </w:rPr>
            </w:pPr>
            <w:r>
              <w:rPr>
                <w:rFonts w:hint="eastAsia" w:ascii="宋体" w:hAnsi="宋体"/>
                <w:color w:val="auto"/>
                <w:szCs w:val="21"/>
                <w:highlight w:val="none"/>
              </w:rPr>
              <w:t>8</w:t>
            </w:r>
          </w:p>
        </w:tc>
        <w:tc>
          <w:tcPr>
            <w:tcW w:w="916" w:type="pct"/>
            <w:noWrap w:val="0"/>
            <w:vAlign w:val="center"/>
          </w:tcPr>
          <w:p>
            <w:pPr>
              <w:tabs>
                <w:tab w:val="left" w:pos="105"/>
                <w:tab w:val="left" w:pos="735"/>
                <w:tab w:val="left" w:pos="945"/>
                <w:tab w:val="left" w:pos="3360"/>
              </w:tabs>
              <w:jc w:val="center"/>
              <w:rPr>
                <w:rFonts w:hint="eastAsia" w:ascii="宋体" w:hAnsi="宋体"/>
                <w:color w:val="auto"/>
                <w:szCs w:val="21"/>
                <w:highlight w:val="none"/>
              </w:rPr>
            </w:pPr>
            <w:r>
              <w:rPr>
                <w:rFonts w:hint="eastAsia" w:ascii="宋体" w:hAnsi="宋体"/>
                <w:color w:val="auto"/>
                <w:szCs w:val="21"/>
                <w:highlight w:val="none"/>
              </w:rPr>
              <w:t>服务对象及地点</w:t>
            </w:r>
          </w:p>
        </w:tc>
        <w:tc>
          <w:tcPr>
            <w:tcW w:w="3721" w:type="pct"/>
            <w:noWrap w:val="0"/>
            <w:vAlign w:val="center"/>
          </w:tcPr>
          <w:p>
            <w:pPr>
              <w:tabs>
                <w:tab w:val="left" w:pos="105"/>
                <w:tab w:val="left" w:pos="735"/>
                <w:tab w:val="left" w:pos="945"/>
                <w:tab w:val="left" w:pos="3360"/>
              </w:tabs>
              <w:rPr>
                <w:rFonts w:hint="eastAsia" w:ascii="宋体" w:hAnsi="宋体"/>
                <w:color w:val="auto"/>
                <w:szCs w:val="21"/>
                <w:highlight w:val="none"/>
              </w:rPr>
            </w:pPr>
            <w:r>
              <w:rPr>
                <w:rFonts w:hint="eastAsia" w:ascii="宋体" w:hAnsi="宋体" w:eastAsia="宋体"/>
                <w:color w:val="auto"/>
                <w:szCs w:val="21"/>
                <w:highlight w:val="none"/>
              </w:rPr>
              <w:t>采购人指定，详见</w:t>
            </w:r>
            <w:r>
              <w:rPr>
                <w:rFonts w:hint="eastAsia" w:ascii="宋体" w:hAnsi="宋体"/>
                <w:color w:val="auto"/>
                <w:szCs w:val="21"/>
                <w:highlight w:val="none"/>
              </w:rPr>
              <w:t>项目需求说明</w:t>
            </w:r>
            <w:r>
              <w:rPr>
                <w:rFonts w:hint="eastAsia" w:ascii="宋体" w:hAnsi="宋体" w:eastAsia="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493" w:hRule="atLeast"/>
        </w:trPr>
        <w:tc>
          <w:tcPr>
            <w:tcW w:w="363" w:type="pct"/>
            <w:noWrap w:val="0"/>
            <w:vAlign w:val="center"/>
          </w:tcPr>
          <w:p>
            <w:pPr>
              <w:tabs>
                <w:tab w:val="left" w:pos="105"/>
                <w:tab w:val="left" w:pos="735"/>
                <w:tab w:val="left" w:pos="945"/>
                <w:tab w:val="left" w:pos="3360"/>
              </w:tabs>
              <w:jc w:val="center"/>
              <w:rPr>
                <w:rFonts w:hint="eastAsia" w:ascii="宋体" w:hAnsi="宋体"/>
                <w:color w:val="auto"/>
                <w:szCs w:val="21"/>
                <w:highlight w:val="none"/>
              </w:rPr>
            </w:pPr>
            <w:r>
              <w:rPr>
                <w:rFonts w:hint="eastAsia" w:ascii="宋体" w:hAnsi="宋体"/>
                <w:color w:val="auto"/>
                <w:szCs w:val="21"/>
                <w:highlight w:val="none"/>
              </w:rPr>
              <w:t>9</w:t>
            </w:r>
          </w:p>
        </w:tc>
        <w:tc>
          <w:tcPr>
            <w:tcW w:w="916" w:type="pct"/>
            <w:noWrap w:val="0"/>
            <w:vAlign w:val="center"/>
          </w:tcPr>
          <w:p>
            <w:pPr>
              <w:tabs>
                <w:tab w:val="left" w:pos="105"/>
                <w:tab w:val="left" w:pos="735"/>
                <w:tab w:val="left" w:pos="945"/>
                <w:tab w:val="left" w:pos="3360"/>
              </w:tabs>
              <w:jc w:val="center"/>
              <w:rPr>
                <w:rFonts w:hint="eastAsia" w:ascii="宋体" w:hAnsi="宋体"/>
                <w:color w:val="auto"/>
                <w:szCs w:val="21"/>
                <w:highlight w:val="none"/>
              </w:rPr>
            </w:pPr>
            <w:r>
              <w:rPr>
                <w:rFonts w:hint="eastAsia" w:ascii="宋体" w:hAnsi="宋体"/>
                <w:color w:val="auto"/>
                <w:szCs w:val="21"/>
                <w:highlight w:val="none"/>
              </w:rPr>
              <w:t>投标有效期</w:t>
            </w:r>
          </w:p>
        </w:tc>
        <w:tc>
          <w:tcPr>
            <w:tcW w:w="3721" w:type="pct"/>
            <w:noWrap w:val="0"/>
            <w:vAlign w:val="center"/>
          </w:tcPr>
          <w:p>
            <w:pPr>
              <w:tabs>
                <w:tab w:val="left" w:pos="105"/>
                <w:tab w:val="left" w:pos="735"/>
                <w:tab w:val="left" w:pos="945"/>
                <w:tab w:val="left" w:pos="3360"/>
              </w:tabs>
              <w:rPr>
                <w:rFonts w:hint="eastAsia" w:ascii="宋体" w:hAnsi="宋体"/>
                <w:b/>
                <w:color w:val="auto"/>
                <w:szCs w:val="21"/>
                <w:highlight w:val="none"/>
              </w:rPr>
            </w:pPr>
            <w:r>
              <w:rPr>
                <w:rFonts w:hint="eastAsia" w:ascii="宋体" w:hAnsi="宋体"/>
                <w:b/>
                <w:color w:val="auto"/>
                <w:szCs w:val="21"/>
                <w:highlight w:val="none"/>
              </w:rPr>
              <w:t>开标后90天</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425" w:hRule="atLeast"/>
        </w:trPr>
        <w:tc>
          <w:tcPr>
            <w:tcW w:w="363" w:type="pct"/>
            <w:noWrap w:val="0"/>
            <w:vAlign w:val="center"/>
          </w:tcPr>
          <w:p>
            <w:pPr>
              <w:tabs>
                <w:tab w:val="left" w:pos="105"/>
                <w:tab w:val="left" w:pos="735"/>
                <w:tab w:val="left" w:pos="945"/>
                <w:tab w:val="left" w:pos="3360"/>
              </w:tabs>
              <w:jc w:val="center"/>
              <w:rPr>
                <w:rFonts w:hint="eastAsia" w:ascii="宋体" w:hAnsi="宋体"/>
                <w:color w:val="auto"/>
                <w:szCs w:val="21"/>
                <w:highlight w:val="none"/>
              </w:rPr>
            </w:pPr>
            <w:r>
              <w:rPr>
                <w:rFonts w:hint="eastAsia" w:ascii="宋体" w:hAnsi="宋体"/>
                <w:color w:val="auto"/>
                <w:szCs w:val="21"/>
                <w:highlight w:val="none"/>
              </w:rPr>
              <w:t>10</w:t>
            </w:r>
          </w:p>
        </w:tc>
        <w:tc>
          <w:tcPr>
            <w:tcW w:w="916" w:type="pct"/>
            <w:noWrap w:val="0"/>
            <w:vAlign w:val="center"/>
          </w:tcPr>
          <w:p>
            <w:pPr>
              <w:tabs>
                <w:tab w:val="left" w:pos="105"/>
                <w:tab w:val="left" w:pos="735"/>
                <w:tab w:val="left" w:pos="945"/>
                <w:tab w:val="left" w:pos="3360"/>
              </w:tabs>
              <w:jc w:val="center"/>
              <w:rPr>
                <w:rFonts w:hint="eastAsia" w:ascii="宋体" w:hAnsi="宋体"/>
                <w:b/>
                <w:color w:val="auto"/>
                <w:szCs w:val="21"/>
                <w:highlight w:val="none"/>
              </w:rPr>
            </w:pPr>
            <w:r>
              <w:rPr>
                <w:rFonts w:hint="eastAsia" w:ascii="宋体" w:hAnsi="宋体"/>
                <w:b/>
                <w:color w:val="auto"/>
                <w:szCs w:val="21"/>
                <w:highlight w:val="none"/>
              </w:rPr>
              <w:t>招标文件工本费及中标服务费</w:t>
            </w:r>
          </w:p>
        </w:tc>
        <w:tc>
          <w:tcPr>
            <w:tcW w:w="3721" w:type="pct"/>
            <w:noWrap w:val="0"/>
            <w:vAlign w:val="center"/>
          </w:tcPr>
          <w:p>
            <w:pPr>
              <w:tabs>
                <w:tab w:val="left" w:pos="105"/>
                <w:tab w:val="left" w:pos="735"/>
                <w:tab w:val="left" w:pos="945"/>
                <w:tab w:val="left" w:pos="3360"/>
              </w:tabs>
              <w:rPr>
                <w:rFonts w:hint="eastAsia" w:ascii="宋体" w:hAnsi="宋体"/>
                <w:b/>
                <w:color w:val="auto"/>
                <w:szCs w:val="21"/>
                <w:highlight w:val="none"/>
              </w:rPr>
            </w:pPr>
            <w:r>
              <w:rPr>
                <w:rFonts w:hint="eastAsia" w:ascii="宋体" w:hAnsi="宋体"/>
                <w:bCs/>
                <w:color w:val="auto"/>
                <w:szCs w:val="21"/>
                <w:highlight w:val="none"/>
              </w:rPr>
              <w:t>不收取</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493" w:hRule="atLeast"/>
        </w:trPr>
        <w:tc>
          <w:tcPr>
            <w:tcW w:w="363" w:type="pct"/>
            <w:noWrap w:val="0"/>
            <w:vAlign w:val="center"/>
          </w:tcPr>
          <w:p>
            <w:pPr>
              <w:tabs>
                <w:tab w:val="left" w:pos="105"/>
                <w:tab w:val="left" w:pos="735"/>
                <w:tab w:val="left" w:pos="945"/>
                <w:tab w:val="left" w:pos="3360"/>
              </w:tabs>
              <w:jc w:val="center"/>
              <w:rPr>
                <w:rFonts w:hint="eastAsia" w:ascii="宋体" w:hAnsi="宋体"/>
                <w:color w:val="auto"/>
                <w:szCs w:val="21"/>
                <w:highlight w:val="none"/>
              </w:rPr>
            </w:pPr>
            <w:r>
              <w:rPr>
                <w:rFonts w:hint="eastAsia" w:ascii="宋体" w:hAnsi="宋体"/>
                <w:color w:val="auto"/>
                <w:szCs w:val="21"/>
                <w:highlight w:val="none"/>
              </w:rPr>
              <w:t>11</w:t>
            </w:r>
          </w:p>
        </w:tc>
        <w:tc>
          <w:tcPr>
            <w:tcW w:w="916" w:type="pct"/>
            <w:noWrap w:val="0"/>
            <w:vAlign w:val="center"/>
          </w:tcPr>
          <w:p>
            <w:pPr>
              <w:tabs>
                <w:tab w:val="left" w:pos="105"/>
                <w:tab w:val="left" w:pos="735"/>
                <w:tab w:val="left" w:pos="945"/>
                <w:tab w:val="left" w:pos="3360"/>
              </w:tabs>
              <w:jc w:val="center"/>
              <w:rPr>
                <w:rFonts w:hint="eastAsia" w:ascii="宋体" w:hAnsi="宋体"/>
                <w:color w:val="auto"/>
                <w:szCs w:val="21"/>
                <w:highlight w:val="none"/>
              </w:rPr>
            </w:pPr>
            <w:r>
              <w:rPr>
                <w:rFonts w:hint="eastAsia" w:ascii="宋体" w:hAnsi="宋体"/>
                <w:color w:val="auto"/>
                <w:szCs w:val="21"/>
                <w:highlight w:val="none"/>
              </w:rPr>
              <w:t>投标保证金</w:t>
            </w:r>
          </w:p>
        </w:tc>
        <w:tc>
          <w:tcPr>
            <w:tcW w:w="3721" w:type="pct"/>
            <w:noWrap w:val="0"/>
            <w:vAlign w:val="center"/>
          </w:tcPr>
          <w:p>
            <w:pPr>
              <w:tabs>
                <w:tab w:val="left" w:pos="105"/>
                <w:tab w:val="left" w:pos="735"/>
                <w:tab w:val="left" w:pos="945"/>
                <w:tab w:val="left" w:pos="3360"/>
              </w:tabs>
              <w:rPr>
                <w:rFonts w:hint="eastAsia" w:ascii="宋体" w:hAnsi="宋体" w:eastAsia="宋体"/>
                <w:color w:val="auto"/>
                <w:szCs w:val="21"/>
                <w:highlight w:val="none"/>
              </w:rPr>
            </w:pPr>
            <w:r>
              <w:rPr>
                <w:rFonts w:hint="eastAsia" w:ascii="宋体" w:hAnsi="宋体"/>
                <w:color w:val="auto"/>
                <w:szCs w:val="21"/>
                <w:highlight w:val="none"/>
              </w:rPr>
              <w:t>不收取</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233" w:hRule="atLeast"/>
        </w:trPr>
        <w:tc>
          <w:tcPr>
            <w:tcW w:w="363" w:type="pct"/>
            <w:noWrap w:val="0"/>
            <w:vAlign w:val="center"/>
          </w:tcPr>
          <w:p>
            <w:pPr>
              <w:tabs>
                <w:tab w:val="left" w:pos="105"/>
                <w:tab w:val="left" w:pos="735"/>
                <w:tab w:val="left" w:pos="945"/>
                <w:tab w:val="left" w:pos="3360"/>
              </w:tabs>
              <w:jc w:val="center"/>
              <w:rPr>
                <w:rFonts w:hint="eastAsia" w:ascii="宋体" w:hAnsi="宋体"/>
                <w:color w:val="auto"/>
                <w:szCs w:val="21"/>
                <w:highlight w:val="none"/>
              </w:rPr>
            </w:pPr>
            <w:r>
              <w:rPr>
                <w:rFonts w:hint="eastAsia" w:ascii="宋体" w:hAnsi="宋体"/>
                <w:color w:val="auto"/>
                <w:szCs w:val="21"/>
                <w:highlight w:val="none"/>
              </w:rPr>
              <w:t>12</w:t>
            </w:r>
          </w:p>
        </w:tc>
        <w:tc>
          <w:tcPr>
            <w:tcW w:w="916" w:type="pct"/>
            <w:noWrap w:val="0"/>
            <w:vAlign w:val="center"/>
          </w:tcPr>
          <w:p>
            <w:pPr>
              <w:tabs>
                <w:tab w:val="left" w:pos="105"/>
                <w:tab w:val="left" w:pos="735"/>
                <w:tab w:val="left" w:pos="945"/>
                <w:tab w:val="left" w:pos="3360"/>
              </w:tabs>
              <w:jc w:val="center"/>
              <w:rPr>
                <w:rFonts w:hint="eastAsia" w:ascii="宋体" w:hAnsi="宋体"/>
                <w:color w:val="auto"/>
                <w:szCs w:val="21"/>
                <w:highlight w:val="none"/>
              </w:rPr>
            </w:pPr>
            <w:r>
              <w:rPr>
                <w:rFonts w:hint="eastAsia" w:ascii="宋体" w:hAnsi="宋体"/>
                <w:color w:val="auto"/>
                <w:szCs w:val="21"/>
                <w:highlight w:val="none"/>
              </w:rPr>
              <w:t>履约保证金</w:t>
            </w:r>
          </w:p>
        </w:tc>
        <w:tc>
          <w:tcPr>
            <w:tcW w:w="3721" w:type="pct"/>
            <w:noWrap w:val="0"/>
            <w:vAlign w:val="center"/>
          </w:tcPr>
          <w:p>
            <w:pPr>
              <w:tabs>
                <w:tab w:val="left" w:pos="105"/>
                <w:tab w:val="left" w:pos="735"/>
                <w:tab w:val="left" w:pos="945"/>
                <w:tab w:val="left" w:pos="3360"/>
              </w:tabs>
              <w:rPr>
                <w:rFonts w:hint="eastAsia" w:ascii="宋体" w:hAnsi="宋体" w:eastAsia="宋体"/>
                <w:color w:val="auto"/>
                <w:szCs w:val="21"/>
                <w:highlight w:val="none"/>
              </w:rPr>
            </w:pPr>
            <w:r>
              <w:rPr>
                <w:rFonts w:hint="eastAsia" w:ascii="宋体" w:hAnsi="宋体"/>
                <w:color w:val="auto"/>
                <w:szCs w:val="21"/>
                <w:highlight w:val="none"/>
              </w:rPr>
              <w:t>不收取；</w:t>
            </w:r>
            <w:r>
              <w:rPr>
                <w:rFonts w:hint="eastAsia" w:ascii="宋体" w:hAnsi="宋体"/>
                <w:color w:val="auto"/>
                <w:szCs w:val="21"/>
                <w:highlight w:val="none"/>
                <w:bdr w:val="single" w:color="auto" w:sz="4" w:space="0"/>
              </w:rPr>
              <w:t>√</w:t>
            </w:r>
            <w:r>
              <w:rPr>
                <w:rFonts w:hint="eastAsia" w:ascii="宋体" w:hAnsi="宋体"/>
                <w:color w:val="auto"/>
                <w:szCs w:val="21"/>
                <w:highlight w:val="none"/>
              </w:rPr>
              <w:t>收取，合同金额的5%，合同签订时向采购人提供到账或履约担保。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353" w:hRule="atLeast"/>
        </w:trPr>
        <w:tc>
          <w:tcPr>
            <w:tcW w:w="363" w:type="pct"/>
            <w:noWrap w:val="0"/>
            <w:vAlign w:val="center"/>
          </w:tcPr>
          <w:p>
            <w:pPr>
              <w:tabs>
                <w:tab w:val="left" w:pos="105"/>
                <w:tab w:val="left" w:pos="735"/>
                <w:tab w:val="left" w:pos="945"/>
                <w:tab w:val="left" w:pos="3360"/>
              </w:tabs>
              <w:jc w:val="center"/>
              <w:rPr>
                <w:rFonts w:hint="eastAsia" w:ascii="宋体" w:hAnsi="宋体"/>
                <w:color w:val="auto"/>
                <w:szCs w:val="21"/>
                <w:highlight w:val="none"/>
              </w:rPr>
            </w:pPr>
            <w:r>
              <w:rPr>
                <w:rFonts w:hint="eastAsia" w:ascii="宋体" w:hAnsi="宋体"/>
                <w:color w:val="auto"/>
                <w:szCs w:val="21"/>
                <w:highlight w:val="none"/>
              </w:rPr>
              <w:t>13</w:t>
            </w:r>
          </w:p>
        </w:tc>
        <w:tc>
          <w:tcPr>
            <w:tcW w:w="916" w:type="pct"/>
            <w:noWrap w:val="0"/>
            <w:vAlign w:val="center"/>
          </w:tcPr>
          <w:p>
            <w:pPr>
              <w:tabs>
                <w:tab w:val="left" w:pos="105"/>
                <w:tab w:val="left" w:pos="735"/>
                <w:tab w:val="left" w:pos="945"/>
                <w:tab w:val="left" w:pos="3360"/>
              </w:tabs>
              <w:jc w:val="center"/>
              <w:rPr>
                <w:rFonts w:hint="eastAsia" w:ascii="宋体" w:hAnsi="宋体"/>
                <w:color w:val="auto"/>
                <w:szCs w:val="21"/>
                <w:highlight w:val="none"/>
              </w:rPr>
            </w:pPr>
            <w:r>
              <w:rPr>
                <w:rFonts w:hint="eastAsia" w:ascii="宋体" w:hAnsi="宋体"/>
                <w:color w:val="auto"/>
                <w:szCs w:val="21"/>
                <w:highlight w:val="none"/>
              </w:rPr>
              <w:t>采购资金支付方式、时间和条件</w:t>
            </w:r>
          </w:p>
        </w:tc>
        <w:tc>
          <w:tcPr>
            <w:tcW w:w="3721" w:type="pct"/>
            <w:noWrap w:val="0"/>
            <w:vAlign w:val="center"/>
          </w:tcPr>
          <w:p>
            <w:pPr>
              <w:tabs>
                <w:tab w:val="left" w:pos="105"/>
                <w:tab w:val="left" w:pos="735"/>
                <w:tab w:val="left" w:pos="945"/>
                <w:tab w:val="left" w:pos="3360"/>
              </w:tabs>
              <w:rPr>
                <w:rFonts w:hint="eastAsia" w:ascii="宋体" w:hAnsi="宋体"/>
                <w:color w:val="auto"/>
                <w:szCs w:val="21"/>
                <w:highlight w:val="none"/>
              </w:rPr>
            </w:pPr>
            <w:r>
              <w:rPr>
                <w:rFonts w:hint="eastAsia" w:ascii="宋体" w:hAnsi="宋体"/>
                <w:color w:val="auto"/>
                <w:szCs w:val="21"/>
                <w:highlight w:val="none"/>
                <w:bdr w:val="single" w:color="auto" w:sz="4" w:space="0"/>
              </w:rPr>
              <w:t xml:space="preserve">  </w:t>
            </w:r>
            <w:r>
              <w:rPr>
                <w:rFonts w:hint="eastAsia" w:ascii="宋体" w:hAnsi="宋体"/>
                <w:color w:val="auto"/>
                <w:szCs w:val="21"/>
                <w:highlight w:val="none"/>
              </w:rPr>
              <w:t>一次性支付：验收合格后15日内一次性支付合同金额的100%；</w:t>
            </w:r>
          </w:p>
          <w:p>
            <w:pPr>
              <w:tabs>
                <w:tab w:val="left" w:pos="105"/>
                <w:tab w:val="left" w:pos="735"/>
                <w:tab w:val="left" w:pos="945"/>
                <w:tab w:val="left" w:pos="3360"/>
              </w:tabs>
              <w:rPr>
                <w:rFonts w:hint="eastAsia" w:ascii="宋体" w:hAnsi="宋体"/>
                <w:color w:val="auto"/>
                <w:szCs w:val="21"/>
                <w:highlight w:val="none"/>
              </w:rPr>
            </w:pPr>
            <w:r>
              <w:rPr>
                <w:rFonts w:hint="eastAsia" w:ascii="宋体" w:hAnsi="宋体"/>
                <w:color w:val="auto"/>
                <w:szCs w:val="21"/>
                <w:highlight w:val="none"/>
                <w:bdr w:val="single" w:color="auto" w:sz="4" w:space="0"/>
              </w:rPr>
              <w:t>√</w:t>
            </w:r>
            <w:r>
              <w:rPr>
                <w:rFonts w:hint="eastAsia" w:ascii="宋体" w:hAnsi="宋体"/>
                <w:color w:val="auto"/>
                <w:szCs w:val="21"/>
                <w:highlight w:val="none"/>
              </w:rPr>
              <w:t>分批支付：</w:t>
            </w:r>
            <w:r>
              <w:rPr>
                <w:rFonts w:hint="eastAsia" w:ascii="宋体" w:hAnsi="宋体" w:eastAsia="宋体"/>
                <w:color w:val="auto"/>
                <w:szCs w:val="21"/>
                <w:highlight w:val="none"/>
              </w:rPr>
              <w:t>详见</w:t>
            </w:r>
            <w:r>
              <w:rPr>
                <w:rFonts w:hint="eastAsia" w:ascii="宋体" w:hAnsi="宋体"/>
                <w:color w:val="auto"/>
                <w:szCs w:val="21"/>
                <w:highlight w:val="none"/>
              </w:rPr>
              <w:t>项目需求说明</w:t>
            </w:r>
            <w:r>
              <w:rPr>
                <w:rFonts w:hint="eastAsia" w:ascii="宋体" w:hAnsi="宋体" w:eastAsia="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693" w:hRule="atLeast"/>
        </w:trPr>
        <w:tc>
          <w:tcPr>
            <w:tcW w:w="363" w:type="pct"/>
            <w:noWrap w:val="0"/>
            <w:vAlign w:val="center"/>
          </w:tcPr>
          <w:p>
            <w:pPr>
              <w:tabs>
                <w:tab w:val="left" w:pos="105"/>
                <w:tab w:val="left" w:pos="735"/>
                <w:tab w:val="left" w:pos="945"/>
                <w:tab w:val="left" w:pos="3360"/>
              </w:tabs>
              <w:jc w:val="center"/>
              <w:rPr>
                <w:rFonts w:ascii="宋体" w:hAnsi="宋体"/>
                <w:color w:val="auto"/>
                <w:szCs w:val="21"/>
                <w:highlight w:val="none"/>
              </w:rPr>
            </w:pPr>
            <w:r>
              <w:rPr>
                <w:rFonts w:hint="eastAsia" w:ascii="宋体" w:hAnsi="宋体"/>
                <w:color w:val="auto"/>
                <w:szCs w:val="21"/>
                <w:highlight w:val="none"/>
              </w:rPr>
              <w:t>14</w:t>
            </w:r>
          </w:p>
        </w:tc>
        <w:tc>
          <w:tcPr>
            <w:tcW w:w="916" w:type="pct"/>
            <w:noWrap w:val="0"/>
            <w:vAlign w:val="center"/>
          </w:tcPr>
          <w:p>
            <w:pPr>
              <w:tabs>
                <w:tab w:val="left" w:pos="105"/>
                <w:tab w:val="left" w:pos="735"/>
                <w:tab w:val="left" w:pos="945"/>
                <w:tab w:val="left" w:pos="3360"/>
              </w:tabs>
              <w:jc w:val="center"/>
              <w:rPr>
                <w:rFonts w:hint="eastAsia" w:ascii="宋体" w:hAnsi="宋体"/>
                <w:color w:val="auto"/>
                <w:szCs w:val="21"/>
                <w:highlight w:val="none"/>
              </w:rPr>
            </w:pPr>
            <w:r>
              <w:rPr>
                <w:rFonts w:hint="eastAsia" w:ascii="宋体" w:hAnsi="宋体"/>
                <w:color w:val="auto"/>
                <w:szCs w:val="21"/>
                <w:highlight w:val="none"/>
              </w:rPr>
              <w:t>投标文件提交方式</w:t>
            </w:r>
          </w:p>
        </w:tc>
        <w:tc>
          <w:tcPr>
            <w:tcW w:w="3721" w:type="pct"/>
            <w:noWrap w:val="0"/>
            <w:vAlign w:val="center"/>
          </w:tcPr>
          <w:p>
            <w:pPr>
              <w:tabs>
                <w:tab w:val="left" w:pos="105"/>
                <w:tab w:val="left" w:pos="735"/>
                <w:tab w:val="left" w:pos="945"/>
                <w:tab w:val="left" w:pos="3360"/>
              </w:tabs>
              <w:rPr>
                <w:rFonts w:hint="eastAsia" w:ascii="宋体" w:hAnsi="宋体"/>
                <w:b/>
                <w:bCs/>
                <w:color w:val="auto"/>
                <w:szCs w:val="21"/>
                <w:highlight w:val="none"/>
              </w:rPr>
            </w:pPr>
            <w:r>
              <w:rPr>
                <w:rFonts w:hint="eastAsia" w:ascii="宋体" w:hAnsi="宋体" w:eastAsia="宋体"/>
                <w:b/>
                <w:bCs/>
                <w:color w:val="auto"/>
                <w:szCs w:val="21"/>
                <w:highlight w:val="none"/>
              </w:rPr>
              <w:t>本项目通过政采云平台进行电子投标，投标人须通过浙江政府采购网（zfcg.czt.zj.gov.cn）发布的政采云电子交易客户端（浙江政府采购网首页“下载专区”下载）制作并上传加密电子投标文件，招标人不接受以纸质文件或其他形式提交的投标文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493" w:hRule="atLeast"/>
        </w:trPr>
        <w:tc>
          <w:tcPr>
            <w:tcW w:w="363" w:type="pct"/>
            <w:noWrap w:val="0"/>
            <w:vAlign w:val="center"/>
          </w:tcPr>
          <w:p>
            <w:pPr>
              <w:tabs>
                <w:tab w:val="left" w:pos="105"/>
                <w:tab w:val="left" w:pos="735"/>
                <w:tab w:val="left" w:pos="945"/>
                <w:tab w:val="left" w:pos="3360"/>
              </w:tabs>
              <w:jc w:val="center"/>
              <w:rPr>
                <w:rFonts w:ascii="宋体" w:hAnsi="宋体"/>
                <w:color w:val="auto"/>
                <w:szCs w:val="21"/>
                <w:highlight w:val="none"/>
              </w:rPr>
            </w:pPr>
            <w:r>
              <w:rPr>
                <w:rFonts w:hint="eastAsia" w:ascii="宋体" w:hAnsi="宋体"/>
                <w:color w:val="auto"/>
                <w:szCs w:val="21"/>
                <w:highlight w:val="none"/>
              </w:rPr>
              <w:t>15</w:t>
            </w:r>
          </w:p>
        </w:tc>
        <w:tc>
          <w:tcPr>
            <w:tcW w:w="916" w:type="pct"/>
            <w:noWrap w:val="0"/>
            <w:vAlign w:val="center"/>
          </w:tcPr>
          <w:p>
            <w:pPr>
              <w:tabs>
                <w:tab w:val="left" w:pos="105"/>
                <w:tab w:val="left" w:pos="735"/>
                <w:tab w:val="left" w:pos="945"/>
                <w:tab w:val="left" w:pos="3360"/>
              </w:tabs>
              <w:jc w:val="center"/>
              <w:rPr>
                <w:rFonts w:hint="eastAsia" w:ascii="宋体" w:hAnsi="宋体"/>
                <w:color w:val="auto"/>
                <w:szCs w:val="21"/>
                <w:highlight w:val="none"/>
              </w:rPr>
            </w:pPr>
            <w:r>
              <w:rPr>
                <w:rFonts w:hint="eastAsia" w:ascii="宋体" w:hAnsi="宋体"/>
                <w:color w:val="auto"/>
                <w:szCs w:val="21"/>
                <w:highlight w:val="none"/>
              </w:rPr>
              <w:t>其他</w:t>
            </w:r>
          </w:p>
        </w:tc>
        <w:tc>
          <w:tcPr>
            <w:tcW w:w="3721" w:type="pct"/>
            <w:noWrap w:val="0"/>
            <w:vAlign w:val="center"/>
          </w:tcPr>
          <w:p>
            <w:pPr>
              <w:tabs>
                <w:tab w:val="left" w:pos="105"/>
                <w:tab w:val="left" w:pos="735"/>
                <w:tab w:val="left" w:pos="945"/>
                <w:tab w:val="left" w:pos="3360"/>
              </w:tabs>
              <w:rPr>
                <w:rFonts w:hint="eastAsia" w:ascii="宋体" w:hAnsi="宋体" w:eastAsia="宋体"/>
                <w:b/>
                <w:bCs/>
                <w:color w:val="auto"/>
                <w:sz w:val="24"/>
                <w:szCs w:val="24"/>
                <w:highlight w:val="none"/>
              </w:rPr>
            </w:pPr>
            <w:r>
              <w:rPr>
                <w:rFonts w:hint="eastAsia" w:ascii="宋体" w:hAnsi="宋体"/>
                <w:b/>
                <w:bCs/>
                <w:color w:val="auto"/>
                <w:sz w:val="24"/>
                <w:szCs w:val="24"/>
                <w:highlight w:val="none"/>
              </w:rPr>
              <w:t>无</w:t>
            </w:r>
          </w:p>
        </w:tc>
      </w:tr>
    </w:tbl>
    <w:p>
      <w:pPr>
        <w:spacing w:line="500" w:lineRule="exact"/>
        <w:jc w:val="center"/>
        <w:rPr>
          <w:rFonts w:hint="eastAsia" w:eastAsia="黑体"/>
          <w:b/>
          <w:color w:val="auto"/>
          <w:sz w:val="32"/>
          <w:highlight w:val="none"/>
        </w:rPr>
      </w:pPr>
      <w:r>
        <w:rPr>
          <w:rFonts w:eastAsia="黑体"/>
          <w:color w:val="auto"/>
          <w:sz w:val="32"/>
          <w:highlight w:val="none"/>
        </w:rPr>
        <w:br w:type="page"/>
      </w:r>
      <w:r>
        <w:rPr>
          <w:rFonts w:hint="eastAsia" w:eastAsia="黑体"/>
          <w:b/>
          <w:color w:val="auto"/>
          <w:sz w:val="32"/>
          <w:highlight w:val="none"/>
        </w:rPr>
        <w:t>第四部分    投标人须知</w:t>
      </w:r>
    </w:p>
    <w:p>
      <w:pPr>
        <w:spacing w:line="500" w:lineRule="exact"/>
        <w:jc w:val="center"/>
        <w:rPr>
          <w:rFonts w:ascii="宋体" w:hAnsi="宋体"/>
          <w:b/>
          <w:color w:val="auto"/>
          <w:sz w:val="24"/>
          <w:szCs w:val="24"/>
          <w:highlight w:val="none"/>
        </w:rPr>
      </w:pPr>
      <w:r>
        <w:rPr>
          <w:rFonts w:hint="eastAsia" w:ascii="宋体" w:hAnsi="宋体"/>
          <w:b/>
          <w:color w:val="auto"/>
          <w:sz w:val="24"/>
          <w:szCs w:val="24"/>
          <w:highlight w:val="none"/>
        </w:rPr>
        <w:t>A 总则</w:t>
      </w:r>
    </w:p>
    <w:p>
      <w:pPr>
        <w:spacing w:line="5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1、适用范围</w:t>
      </w:r>
    </w:p>
    <w:p>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 本招标文件适用于投标邀请中所述项目的采购。</w:t>
      </w:r>
    </w:p>
    <w:p>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2、定义</w:t>
      </w:r>
    </w:p>
    <w:p>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2．1 “采购人”系指依法进行政府采购的国家机关、事业单位、团体组织。</w:t>
      </w:r>
    </w:p>
    <w:p>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2．2 “集中采购机构”即宁波市政府采购中心，系指统一组织实施纳入政府采购目录项目采购活动的非营利事业法人。</w:t>
      </w:r>
    </w:p>
    <w:p>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2．3 “招标人”系指组织本次招标活动的集中采购机构。</w:t>
      </w:r>
    </w:p>
    <w:p>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2．4 “投标人”系指参加本次招标活动符合资格条件的供应商。</w:t>
      </w:r>
    </w:p>
    <w:p>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2．5 “投标人代理人”系指参加本次投标活动的投标人授权代表。</w:t>
      </w:r>
    </w:p>
    <w:p>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3、合格的投标人和投标产品</w:t>
      </w:r>
    </w:p>
    <w:p>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3．1合格的投标人应具备以下条件：</w:t>
      </w:r>
    </w:p>
    <w:p>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3．1．1 符合《政府采购法》第二十二条第一款规定的关于供应商基本资格条件。</w:t>
      </w:r>
    </w:p>
    <w:p>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3．1．2 投标人应遵守中国的有关法律、法规和规章。</w:t>
      </w:r>
    </w:p>
    <w:p>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3．1．3 有能力提供本次招标产品并符合投标邀请中规定资质要求的合法营销资格的国内企事业单位，均可参加投标。</w:t>
      </w:r>
    </w:p>
    <w:p>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3．1．4 </w:t>
      </w:r>
      <w:r>
        <w:rPr>
          <w:rFonts w:ascii="宋体" w:hAnsi="宋体"/>
          <w:color w:val="auto"/>
          <w:sz w:val="24"/>
          <w:szCs w:val="24"/>
          <w:highlight w:val="none"/>
        </w:rPr>
        <w:t>投标人与采购人</w:t>
      </w:r>
      <w:r>
        <w:rPr>
          <w:rFonts w:hint="eastAsia" w:ascii="宋体" w:hAnsi="宋体"/>
          <w:color w:val="auto"/>
          <w:sz w:val="24"/>
          <w:szCs w:val="24"/>
          <w:highlight w:val="none"/>
        </w:rPr>
        <w:t>一般</w:t>
      </w:r>
      <w:r>
        <w:rPr>
          <w:rFonts w:ascii="宋体" w:hAnsi="宋体"/>
          <w:color w:val="auto"/>
          <w:sz w:val="24"/>
          <w:szCs w:val="24"/>
          <w:highlight w:val="none"/>
        </w:rPr>
        <w:t>应无任何直接或间接的关联</w:t>
      </w:r>
      <w:r>
        <w:rPr>
          <w:rFonts w:hint="eastAsia" w:ascii="宋体" w:hAnsi="宋体"/>
          <w:color w:val="auto"/>
          <w:sz w:val="24"/>
          <w:szCs w:val="24"/>
          <w:highlight w:val="none"/>
        </w:rPr>
        <w:t>。</w:t>
      </w:r>
      <w:r>
        <w:rPr>
          <w:rFonts w:hint="eastAsia" w:ascii="宋体" w:hAnsi="宋体"/>
          <w:b/>
          <w:bCs/>
          <w:color w:val="auto"/>
          <w:sz w:val="24"/>
          <w:szCs w:val="24"/>
          <w:highlight w:val="none"/>
        </w:rPr>
        <w:t>有关联的，投标人应当在投标截止时间3日前告知招标人，在“诚信投标承诺书”中如实说明，并提供关联关系材料。</w:t>
      </w:r>
    </w:p>
    <w:p>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3．1．5 投标人存在下列关联关系情形之一的，不得参加同一标包投标：</w:t>
      </w:r>
    </w:p>
    <w:p>
      <w:pPr>
        <w:spacing w:line="50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（1）单位负责人（含法定代表人、实际控制人）是同一人的供应商；</w:t>
      </w:r>
    </w:p>
    <w:p>
      <w:pPr>
        <w:spacing w:line="50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（2）母公司、直接或间接控股的被投资公司；</w:t>
      </w:r>
    </w:p>
    <w:p>
      <w:pPr>
        <w:spacing w:line="500" w:lineRule="exact"/>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（3）为项目提供整体设计、规范编制或者项目管理、监理、检测等服务的供应商，不得再参加该项目的其他采购（具体实施）活动。</w:t>
      </w:r>
      <w:r>
        <w:rPr>
          <w:rFonts w:hint="eastAsia" w:ascii="宋体" w:hAnsi="宋体"/>
          <w:color w:val="auto"/>
          <w:sz w:val="24"/>
          <w:szCs w:val="24"/>
          <w:highlight w:val="none"/>
        </w:rPr>
        <w:t xml:space="preserve"> </w:t>
      </w:r>
    </w:p>
    <w:p>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3．1．6 一个投标人对一个标包只能提交一个投标文件。</w:t>
      </w:r>
    </w:p>
    <w:p>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3．1．7 投标人代理人只能接受一个投标人委托参加投标。</w:t>
      </w:r>
    </w:p>
    <w:p>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3．1．8 如投标人代理人不是法定代表人，须持有《法定代表人授权书》。</w:t>
      </w:r>
    </w:p>
    <w:p>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3．1．9 除招标文件有规定外，两个或两个以上供应商可以组成一个投标联合体，以一个投标人的身份参加投标。</w:t>
      </w:r>
    </w:p>
    <w:p>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以联合体形式参加投标的，联合体各方均应符合《政府采购法》第二十二条第一款规定的关于供应商基本资格条件，联合体中至少应当有一方符合招标文件规定的特定条件。</w:t>
      </w:r>
    </w:p>
    <w:p>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联合体各方之间应当签订共同投标协议，明确约定联合体各方承担的工作和相应责任，并将共同投标协议连同投标文件一并提交。</w:t>
      </w:r>
    </w:p>
    <w:p>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联合体各方不得再以自己名义单独在同一项目中投标，也不得组成新的联合体参加同一项目投标。</w:t>
      </w:r>
    </w:p>
    <w:p>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3．2合格的投标产品或服务</w:t>
      </w:r>
    </w:p>
    <w:p>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3.2.1应该是中国境内生产的产品或提供的服务。</w:t>
      </w:r>
    </w:p>
    <w:p>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若投标产品或服务属于国家实行许可证制度或生产注册证制度的产品或服务，则应具备相应有效的证书。</w:t>
      </w:r>
    </w:p>
    <w:p>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若投标产品属于进口产品，则应按照《政府采购进口产品管理办法》（财库[2007]119号）文件和《关于政府采购进口产品管理有关问题的通知》（财办库[2008]248号）文件办理。</w:t>
      </w:r>
    </w:p>
    <w:p>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3.2.2投标人应保证所提供的产品或服务免受第三方提出侵犯其知识产权（专利权、商标权、工业设计权及使用权等）的索赔或起诉，否则由此可能产生的一切法律责任和经济责任均由投标人承担。</w:t>
      </w:r>
    </w:p>
    <w:p>
      <w:pPr>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 4、投标费用</w:t>
      </w:r>
    </w:p>
    <w:p>
      <w:pPr>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4．1 无论投标结果如何，投标人自行承担所有与参加投标有关的全部费用。</w:t>
      </w:r>
    </w:p>
    <w:p>
      <w:pPr>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5、信息公告媒体</w:t>
      </w:r>
    </w:p>
    <w:p>
      <w:pPr>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5．1 </w:t>
      </w:r>
      <w:r>
        <w:rPr>
          <w:rFonts w:hint="eastAsia" w:ascii="宋体" w:hAnsi="宋体"/>
          <w:color w:val="auto"/>
          <w:sz w:val="24"/>
          <w:highlight w:val="none"/>
        </w:rPr>
        <w:t>浙江政府采购网(zfcg.czt.zj.gov.cn)和宁波政府采购网(www.nbzfcg.cn)</w:t>
      </w:r>
      <w:r>
        <w:rPr>
          <w:rFonts w:hint="eastAsia" w:ascii="宋体" w:hAnsi="宋体"/>
          <w:color w:val="auto"/>
          <w:sz w:val="24"/>
          <w:szCs w:val="24"/>
          <w:highlight w:val="none"/>
        </w:rPr>
        <w:t>为政府采购监督管理部门指定的政府采购信息发布媒体。本次政府采购活动有关信息均在该网站上予以公布，公布信息视同送达所有潜在投标人。</w:t>
      </w:r>
    </w:p>
    <w:p>
      <w:pPr>
        <w:spacing w:line="500" w:lineRule="exact"/>
        <w:ind w:firstLine="420"/>
        <w:jc w:val="center"/>
        <w:rPr>
          <w:rFonts w:hint="eastAsia" w:ascii="宋体" w:hAnsi="宋体"/>
          <w:b/>
          <w:color w:val="auto"/>
          <w:sz w:val="24"/>
          <w:szCs w:val="24"/>
          <w:highlight w:val="none"/>
        </w:rPr>
      </w:pPr>
    </w:p>
    <w:p>
      <w:pPr>
        <w:spacing w:line="500" w:lineRule="exact"/>
        <w:ind w:firstLine="420"/>
        <w:jc w:val="center"/>
        <w:rPr>
          <w:rFonts w:hint="eastAsia" w:ascii="宋体" w:hAnsi="宋体"/>
          <w:b/>
          <w:color w:val="auto"/>
          <w:sz w:val="24"/>
          <w:szCs w:val="24"/>
          <w:highlight w:val="none"/>
        </w:rPr>
      </w:pPr>
      <w:r>
        <w:rPr>
          <w:rFonts w:hint="eastAsia" w:ascii="宋体" w:hAnsi="宋体"/>
          <w:b/>
          <w:color w:val="auto"/>
          <w:sz w:val="24"/>
          <w:szCs w:val="24"/>
          <w:highlight w:val="none"/>
        </w:rPr>
        <w:t>B   招标文件</w:t>
      </w:r>
    </w:p>
    <w:p>
      <w:pPr>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 6、招标文件</w:t>
      </w:r>
    </w:p>
    <w:p>
      <w:pPr>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 6．1招标文件由招标文件总目录所列内容组成。</w:t>
      </w:r>
    </w:p>
    <w:p>
      <w:pPr>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 6．2投标人应详细阅读招标文件的全部内容。不按招标文件的要求提供的投标文件和资料，则可能被视为无效标而导致投标被拒绝。</w:t>
      </w:r>
    </w:p>
    <w:p>
      <w:pPr>
        <w:spacing w:line="500" w:lineRule="exact"/>
        <w:ind w:firstLine="420"/>
        <w:rPr>
          <w:rFonts w:hint="eastAsia" w:ascii="宋体" w:hAnsi="宋体"/>
          <w:b/>
          <w:color w:val="auto"/>
          <w:sz w:val="24"/>
          <w:szCs w:val="24"/>
          <w:highlight w:val="none"/>
        </w:rPr>
      </w:pPr>
      <w:r>
        <w:rPr>
          <w:rFonts w:hint="eastAsia" w:ascii="宋体" w:hAnsi="宋体"/>
          <w:color w:val="auto"/>
          <w:sz w:val="24"/>
          <w:szCs w:val="24"/>
          <w:highlight w:val="none"/>
        </w:rPr>
        <w:t xml:space="preserve"> 6．3为保证招标的公平性，若招标文件的技术指标要求存在排他性或歧视性条款，请投标人核实后，应在公告期限届满之日起7个工作日内，以书面形式（加盖单位公章）向招标人提出质疑请求、理由及事实证据材料。</w:t>
      </w:r>
    </w:p>
    <w:p>
      <w:pPr>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6．4投标人可在投标截止时间5日前，对招标文件如有疑问要求澄清的，可用书面形式通知招标人，招标人应用书面作答（包括网上公告形式）。如有必要，可将答复内容包括原提出的问题（但不标明问题查询的来源），以网上公告形式通告潜在投标人。</w:t>
      </w:r>
    </w:p>
    <w:p>
      <w:pPr>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6．5招标人在投标截止时间前，可对招标文件做必要的澄清或修改，并在指定的政府采购信息发布媒体上发布补充公告。该澄清或者修改的内容为招标文件的组成部分。</w:t>
      </w:r>
    </w:p>
    <w:p>
      <w:pPr>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6．6因6.4条款或6.5条款做出实质性澄清或修改影响投标人编制投标文件的，至投标截止时间不足15日的，应顺延推迟投标截止时间和开标时间，并在指定的政府采购信息发布媒体上发布补充公告。</w:t>
      </w:r>
    </w:p>
    <w:p>
      <w:pPr>
        <w:spacing w:line="500" w:lineRule="exact"/>
        <w:jc w:val="center"/>
        <w:rPr>
          <w:rFonts w:hint="eastAsia" w:ascii="宋体" w:hAnsi="宋体"/>
          <w:b/>
          <w:color w:val="auto"/>
          <w:sz w:val="24"/>
          <w:szCs w:val="24"/>
          <w:highlight w:val="none"/>
        </w:rPr>
      </w:pPr>
      <w:r>
        <w:rPr>
          <w:rFonts w:hint="eastAsia" w:ascii="宋体" w:hAnsi="宋体"/>
          <w:b/>
          <w:color w:val="auto"/>
          <w:sz w:val="24"/>
          <w:szCs w:val="24"/>
          <w:highlight w:val="none"/>
        </w:rPr>
        <w:t>C  投标文件</w:t>
      </w:r>
    </w:p>
    <w:p>
      <w:pPr>
        <w:spacing w:line="500" w:lineRule="exact"/>
        <w:rPr>
          <w:rFonts w:hint="eastAsia" w:ascii="宋体" w:hAnsi="宋体"/>
          <w:color w:val="auto"/>
          <w:sz w:val="24"/>
          <w:szCs w:val="24"/>
          <w:highlight w:val="none"/>
        </w:rPr>
      </w:pPr>
      <w:r>
        <w:rPr>
          <w:rFonts w:hint="eastAsia" w:ascii="宋体" w:hAnsi="宋体"/>
          <w:b/>
          <w:color w:val="auto"/>
          <w:sz w:val="24"/>
          <w:szCs w:val="24"/>
          <w:highlight w:val="none"/>
        </w:rPr>
        <w:t xml:space="preserve">    </w:t>
      </w:r>
      <w:r>
        <w:rPr>
          <w:rFonts w:hint="eastAsia" w:ascii="宋体" w:hAnsi="宋体"/>
          <w:color w:val="auto"/>
          <w:sz w:val="24"/>
          <w:szCs w:val="24"/>
          <w:highlight w:val="none"/>
        </w:rPr>
        <w:t>7、投标文件语言和计量单位</w:t>
      </w:r>
    </w:p>
    <w:p>
      <w:pPr>
        <w:pStyle w:val="3"/>
        <w:rPr>
          <w:rFonts w:hint="eastAsia" w:ascii="宋体" w:hAnsi="宋体"/>
          <w:color w:val="auto"/>
          <w:sz w:val="24"/>
          <w:szCs w:val="24"/>
          <w:highlight w:val="none"/>
        </w:rPr>
      </w:pPr>
      <w:r>
        <w:rPr>
          <w:rFonts w:hint="eastAsia" w:ascii="宋体" w:hAnsi="宋体"/>
          <w:color w:val="auto"/>
          <w:sz w:val="24"/>
          <w:szCs w:val="24"/>
          <w:highlight w:val="none"/>
        </w:rPr>
        <w:t xml:space="preserve"> 7．1投标文件应用中文书写。投标文件中所附或所引用的原件不是中文时，应附中文译本。</w:t>
      </w:r>
    </w:p>
    <w:p>
      <w:pPr>
        <w:pStyle w:val="3"/>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7．2投标文件中所使用的计量单位，除招标文件中有特殊要求外，应采用国家法定计量单位。</w:t>
      </w:r>
    </w:p>
    <w:p>
      <w:pPr>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 8、投标文件的制作</w:t>
      </w:r>
    </w:p>
    <w:p>
      <w:pPr>
        <w:pStyle w:val="49"/>
        <w:numPr>
          <w:ilvl w:val="0"/>
          <w:numId w:val="0"/>
        </w:numPr>
        <w:snapToGrid w:val="0"/>
        <w:spacing w:line="400" w:lineRule="exact"/>
        <w:ind w:firstLine="480" w:firstLineChars="200"/>
        <w:rPr>
          <w:rFonts w:hint="eastAsia"/>
          <w:color w:val="auto"/>
          <w:sz w:val="24"/>
          <w:szCs w:val="24"/>
          <w:highlight w:val="none"/>
        </w:rPr>
      </w:pPr>
      <w:r>
        <w:rPr>
          <w:rFonts w:hint="eastAsia"/>
          <w:color w:val="auto"/>
          <w:sz w:val="24"/>
          <w:szCs w:val="24"/>
          <w:highlight w:val="none"/>
        </w:rPr>
        <w:t>8.1 投标文件规格幅面（A4）应与正文一致，使用宋体五号字，按照招标文件第六部分对投标文件格式部分规定的顺序，统一编目编码并编制目录。由于编排混乱导致投标文件被误读或查找不到，责任应当由投标人承担。</w:t>
      </w:r>
    </w:p>
    <w:p>
      <w:pPr>
        <w:spacing w:line="500" w:lineRule="exact"/>
        <w:ind w:firstLine="425"/>
        <w:rPr>
          <w:rFonts w:hint="eastAsia" w:ascii="宋体" w:hAnsi="宋体"/>
          <w:b/>
          <w:bCs/>
          <w:color w:val="auto"/>
          <w:sz w:val="24"/>
          <w:szCs w:val="24"/>
          <w:highlight w:val="none"/>
        </w:rPr>
      </w:pPr>
      <w:r>
        <w:rPr>
          <w:rFonts w:hint="eastAsia" w:ascii="宋体" w:hAnsi="宋体"/>
          <w:b/>
          <w:bCs/>
          <w:color w:val="auto"/>
          <w:sz w:val="24"/>
          <w:szCs w:val="24"/>
          <w:highlight w:val="none"/>
        </w:rPr>
        <w:t>8.2 制作电子投标文件的系统配置要求：64位的windows7及以上操作系统。</w:t>
      </w:r>
    </w:p>
    <w:p>
      <w:pPr>
        <w:spacing w:line="500" w:lineRule="exact"/>
        <w:ind w:firstLine="425"/>
        <w:rPr>
          <w:rFonts w:hint="eastAsia" w:ascii="宋体" w:hAnsi="宋体"/>
          <w:color w:val="auto"/>
          <w:sz w:val="24"/>
          <w:szCs w:val="24"/>
          <w:highlight w:val="none"/>
        </w:rPr>
      </w:pPr>
      <w:r>
        <w:rPr>
          <w:rFonts w:hint="eastAsia" w:ascii="宋体" w:hAnsi="宋体"/>
          <w:b/>
          <w:bCs/>
          <w:color w:val="auto"/>
          <w:sz w:val="24"/>
          <w:szCs w:val="24"/>
          <w:highlight w:val="none"/>
        </w:rPr>
        <w:t>8.3潜在供应商应提前完成供应商注册，成为浙江省政府采购网</w:t>
      </w:r>
      <w:r>
        <w:rPr>
          <w:rFonts w:ascii="宋体" w:hAnsi="宋体"/>
          <w:b/>
          <w:bCs/>
          <w:color w:val="auto"/>
          <w:sz w:val="24"/>
          <w:szCs w:val="24"/>
          <w:highlight w:val="none"/>
        </w:rPr>
        <w:t>(zfcg.czt.zj.gov.cn)</w:t>
      </w:r>
      <w:r>
        <w:rPr>
          <w:rFonts w:hint="eastAsia" w:ascii="宋体" w:hAnsi="宋体"/>
          <w:b/>
          <w:bCs/>
          <w:color w:val="auto"/>
          <w:sz w:val="24"/>
          <w:szCs w:val="24"/>
          <w:highlight w:val="none"/>
        </w:rPr>
        <w:t>正式供应商，并完成CA数字证书办理（CA驱动和申领流程：浙江政府采购网 &gt; 下载专区 &gt; 电子投标客户端 &gt; CA驱动和申领流程）。因未注册入库、未办理CA数字证书等原因造成无法投标或投标失败等后果由供应商自行承担。</w:t>
      </w:r>
    </w:p>
    <w:p>
      <w:pPr>
        <w:spacing w:line="500" w:lineRule="exact"/>
        <w:ind w:firstLine="425"/>
        <w:rPr>
          <w:rFonts w:hint="eastAsia" w:ascii="宋体" w:hAnsi="宋体"/>
          <w:color w:val="auto"/>
          <w:sz w:val="24"/>
          <w:szCs w:val="24"/>
          <w:highlight w:val="none"/>
        </w:rPr>
      </w:pPr>
      <w:r>
        <w:rPr>
          <w:rFonts w:hint="eastAsia" w:ascii="宋体" w:hAnsi="宋体"/>
          <w:color w:val="auto"/>
          <w:sz w:val="24"/>
          <w:szCs w:val="24"/>
          <w:highlight w:val="none"/>
        </w:rPr>
        <w:t>8.4供应商通过政采云电子交易客户端（下载位置：浙江政府采购网 &gt; 下载专区 &gt; 电子投标客户端 &gt; 政采云电子交易客户端）制作电子加密投标文件（后缀jmbs），按“供应商-电子交易操作手册.pdf”及本招标文件规定的格式和顺序编制并进行关联定位、加密并在投标截止时间前上传。</w:t>
      </w:r>
    </w:p>
    <w:p>
      <w:pPr>
        <w:spacing w:line="500" w:lineRule="exact"/>
        <w:ind w:firstLine="425"/>
        <w:rPr>
          <w:rFonts w:hint="eastAsia" w:ascii="宋体" w:hAnsi="宋体"/>
          <w:color w:val="auto"/>
          <w:sz w:val="24"/>
          <w:szCs w:val="24"/>
          <w:highlight w:val="none"/>
        </w:rPr>
      </w:pPr>
      <w:r>
        <w:rPr>
          <w:rFonts w:hint="eastAsia" w:ascii="宋体" w:hAnsi="宋体"/>
          <w:color w:val="auto"/>
          <w:sz w:val="24"/>
          <w:szCs w:val="24"/>
          <w:highlight w:val="none"/>
        </w:rPr>
        <w:t>8.5 供应商在使用电子交易平台进行投标的过程中遇到涉及平台使用的任何问题，可致电政采云平台技术支持热线咨询，联系方式：400-881-7190（服务时间：工作日8：00-20：00）。</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9、投标报价</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9．1投标人要按投标产品数量、价格表的内容要求完整填写。</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9．2对于非标准产品的投标，还应填报报价明细表（报价明细表格式由投标人自行设计）。</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9．3所有投标均以人民币报价，投标人如需用外汇购入某些投标产品，须折合人民币计入总报价中，同时提供美金报价、折扣率、与人民币比值。</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9．4除招标文件中有特殊规定外，招标人不接受任何选择报价，投标人对每一种产品只允许有一个报价。</w:t>
      </w:r>
    </w:p>
    <w:p>
      <w:pPr>
        <w:tabs>
          <w:tab w:val="left" w:pos="0"/>
        </w:tabs>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9．5最低报价不能作为中标的保证。</w:t>
      </w:r>
    </w:p>
    <w:p>
      <w:pPr>
        <w:tabs>
          <w:tab w:val="left" w:pos="0"/>
        </w:tabs>
        <w:spacing w:line="500" w:lineRule="exact"/>
        <w:ind w:left="420"/>
        <w:rPr>
          <w:rFonts w:hint="eastAsia" w:ascii="宋体" w:hAnsi="宋体"/>
          <w:color w:val="auto"/>
          <w:sz w:val="24"/>
          <w:szCs w:val="24"/>
          <w:highlight w:val="none"/>
        </w:rPr>
      </w:pPr>
      <w:r>
        <w:rPr>
          <w:rFonts w:hint="eastAsia" w:ascii="宋体" w:hAnsi="宋体"/>
          <w:color w:val="auto"/>
          <w:sz w:val="24"/>
          <w:szCs w:val="24"/>
          <w:highlight w:val="none"/>
        </w:rPr>
        <w:t>10、投标文件的有效期</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10．1在投标有效期内，投标文件应保持有效。</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10．2在特殊情况下，招标人可与投标人协商延长投标标书的有效期，这种要求和答复都应以书面的形式进行，同意延长有效期的投标人不能修改投标文件。</w:t>
      </w:r>
    </w:p>
    <w:p>
      <w:pPr>
        <w:tabs>
          <w:tab w:val="left" w:pos="0"/>
        </w:tabs>
        <w:spacing w:line="500" w:lineRule="exact"/>
        <w:rPr>
          <w:rFonts w:hint="eastAsia" w:ascii="宋体" w:hAnsi="宋体"/>
          <w:color w:val="auto"/>
          <w:sz w:val="24"/>
          <w:szCs w:val="24"/>
          <w:highlight w:val="none"/>
        </w:rPr>
      </w:pPr>
      <w:r>
        <w:rPr>
          <w:rFonts w:hint="eastAsia" w:ascii="宋体" w:hAnsi="宋体"/>
          <w:color w:val="auto"/>
          <w:sz w:val="24"/>
          <w:szCs w:val="24"/>
          <w:highlight w:val="none"/>
        </w:rPr>
        <w:tab/>
      </w:r>
      <w:r>
        <w:rPr>
          <w:rFonts w:hint="eastAsia" w:ascii="宋体" w:hAnsi="宋体"/>
          <w:color w:val="auto"/>
          <w:sz w:val="24"/>
          <w:szCs w:val="24"/>
          <w:highlight w:val="none"/>
        </w:rPr>
        <w:t>11、投标文件的签署</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 投标文件应按招标文件第</w:t>
      </w:r>
      <w:r>
        <w:rPr>
          <w:rFonts w:hint="eastAsia"/>
          <w:color w:val="auto"/>
          <w:sz w:val="24"/>
          <w:szCs w:val="24"/>
          <w:highlight w:val="none"/>
        </w:rPr>
        <w:t>六</w:t>
      </w:r>
      <w:r>
        <w:rPr>
          <w:rFonts w:hint="eastAsia" w:ascii="宋体" w:hAnsi="宋体"/>
          <w:color w:val="auto"/>
          <w:sz w:val="24"/>
          <w:szCs w:val="24"/>
          <w:highlight w:val="none"/>
        </w:rPr>
        <w:t>部分对投标文件格式部分规定的要求进行签署。</w:t>
      </w:r>
    </w:p>
    <w:p>
      <w:pPr>
        <w:tabs>
          <w:tab w:val="left" w:pos="0"/>
        </w:tabs>
        <w:spacing w:line="500" w:lineRule="exact"/>
        <w:rPr>
          <w:rFonts w:hint="eastAsia" w:ascii="宋体" w:hAnsi="宋体"/>
          <w:color w:val="auto"/>
          <w:sz w:val="24"/>
          <w:szCs w:val="24"/>
          <w:highlight w:val="none"/>
        </w:rPr>
      </w:pPr>
    </w:p>
    <w:p>
      <w:pPr>
        <w:tabs>
          <w:tab w:val="left" w:pos="0"/>
        </w:tabs>
        <w:spacing w:line="500" w:lineRule="exact"/>
        <w:ind w:firstLine="420"/>
        <w:jc w:val="center"/>
        <w:rPr>
          <w:rFonts w:hint="eastAsia" w:ascii="宋体" w:hAnsi="宋体"/>
          <w:b/>
          <w:color w:val="auto"/>
          <w:sz w:val="24"/>
          <w:szCs w:val="24"/>
          <w:highlight w:val="none"/>
        </w:rPr>
      </w:pPr>
      <w:r>
        <w:rPr>
          <w:rFonts w:hint="eastAsia" w:ascii="宋体" w:hAnsi="宋体"/>
          <w:b/>
          <w:color w:val="auto"/>
          <w:sz w:val="24"/>
          <w:szCs w:val="24"/>
          <w:highlight w:val="none"/>
        </w:rPr>
        <w:t>D投标文件的递交</w:t>
      </w:r>
    </w:p>
    <w:p>
      <w:pPr>
        <w:numPr>
          <w:ilvl w:val="0"/>
          <w:numId w:val="10"/>
        </w:num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投标截止时间</w:t>
      </w:r>
    </w:p>
    <w:p>
      <w:pPr>
        <w:snapToGrid w:val="0"/>
        <w:ind w:firstLine="420"/>
        <w:rPr>
          <w:rFonts w:ascii="微软雅黑" w:hAnsi="微软雅黑" w:eastAsia="微软雅黑" w:cs="微软雅黑"/>
          <w:color w:val="auto"/>
          <w:szCs w:val="21"/>
          <w:highlight w:val="none"/>
        </w:rPr>
      </w:pPr>
      <w:r>
        <w:rPr>
          <w:rFonts w:hint="eastAsia" w:ascii="宋体" w:hAnsi="宋体"/>
          <w:color w:val="auto"/>
          <w:sz w:val="24"/>
          <w:szCs w:val="24"/>
          <w:highlight w:val="none"/>
        </w:rPr>
        <w:t>投标文件须按照招标文件规定的投标时间上传。截至投标截止时间，电子投标通道将关闭，投标人未完成电子投标文件上传的，投标将被拒绝。</w:t>
      </w:r>
    </w:p>
    <w:p>
      <w:pPr>
        <w:pStyle w:val="49"/>
        <w:numPr>
          <w:ilvl w:val="0"/>
          <w:numId w:val="0"/>
        </w:numPr>
        <w:spacing w:line="400" w:lineRule="exact"/>
        <w:ind w:firstLine="420"/>
        <w:rPr>
          <w:rFonts w:hint="eastAsia"/>
          <w:color w:val="auto"/>
          <w:sz w:val="24"/>
          <w:szCs w:val="24"/>
          <w:highlight w:val="none"/>
        </w:rPr>
      </w:pPr>
      <w:r>
        <w:rPr>
          <w:rFonts w:hint="eastAsia"/>
          <w:color w:val="auto"/>
          <w:sz w:val="24"/>
          <w:szCs w:val="24"/>
          <w:highlight w:val="none"/>
        </w:rPr>
        <w:t>13、投标文件的补充、修改和撤回</w:t>
      </w:r>
    </w:p>
    <w:p>
      <w:pPr>
        <w:snapToGrid w:val="0"/>
        <w:ind w:firstLine="420"/>
        <w:rPr>
          <w:rFonts w:hint="eastAsia" w:ascii="宋体" w:hAnsi="宋体"/>
          <w:color w:val="auto"/>
          <w:sz w:val="24"/>
          <w:szCs w:val="24"/>
          <w:highlight w:val="none"/>
        </w:rPr>
      </w:pPr>
      <w:r>
        <w:rPr>
          <w:rFonts w:hint="eastAsia" w:ascii="宋体" w:hAnsi="宋体"/>
          <w:color w:val="auto"/>
          <w:sz w:val="24"/>
          <w:szCs w:val="24"/>
          <w:highlight w:val="none"/>
        </w:rPr>
        <w:t>13.1 投标人在投标截止时间前，可对其所递交的投标文件进行补充、修改或者撤回。</w:t>
      </w:r>
    </w:p>
    <w:p>
      <w:pPr>
        <w:snapToGrid w:val="0"/>
        <w:ind w:firstLine="420"/>
        <w:rPr>
          <w:rFonts w:hint="eastAsia" w:ascii="宋体" w:hAnsi="宋体"/>
          <w:color w:val="auto"/>
          <w:sz w:val="24"/>
          <w:szCs w:val="24"/>
          <w:highlight w:val="none"/>
        </w:rPr>
      </w:pPr>
      <w:r>
        <w:rPr>
          <w:rFonts w:hint="eastAsia" w:ascii="宋体" w:hAnsi="宋体"/>
          <w:color w:val="auto"/>
          <w:sz w:val="24"/>
          <w:szCs w:val="24"/>
          <w:highlight w:val="none"/>
        </w:rPr>
        <w:t>13.2 投标人在投标截止时间前需要对投标文件进行补充、修改的，应当使用投标文件制作工具重新制作并上传。</w:t>
      </w:r>
    </w:p>
    <w:p>
      <w:pPr>
        <w:snapToGrid w:val="0"/>
        <w:ind w:firstLine="420"/>
        <w:rPr>
          <w:rFonts w:hint="eastAsia" w:ascii="宋体" w:hAnsi="宋体"/>
          <w:color w:val="auto"/>
          <w:sz w:val="24"/>
          <w:szCs w:val="24"/>
          <w:highlight w:val="none"/>
        </w:rPr>
      </w:pPr>
      <w:r>
        <w:rPr>
          <w:rFonts w:hint="eastAsia" w:ascii="宋体" w:hAnsi="宋体"/>
          <w:color w:val="auto"/>
          <w:sz w:val="24"/>
          <w:szCs w:val="24"/>
          <w:highlight w:val="none"/>
        </w:rPr>
        <w:t>13.3 在投标截止时间之后，投标人不得撤回投标。</w:t>
      </w:r>
    </w:p>
    <w:p>
      <w:pPr>
        <w:tabs>
          <w:tab w:val="left" w:pos="0"/>
        </w:tabs>
        <w:spacing w:line="500" w:lineRule="exact"/>
        <w:ind w:firstLine="420"/>
        <w:jc w:val="center"/>
        <w:rPr>
          <w:rFonts w:hint="eastAsia" w:ascii="宋体" w:hAnsi="宋体"/>
          <w:b/>
          <w:color w:val="auto"/>
          <w:sz w:val="24"/>
          <w:szCs w:val="24"/>
          <w:highlight w:val="none"/>
        </w:rPr>
      </w:pPr>
    </w:p>
    <w:p>
      <w:pPr>
        <w:tabs>
          <w:tab w:val="left" w:pos="0"/>
        </w:tabs>
        <w:spacing w:line="500" w:lineRule="exact"/>
        <w:ind w:firstLine="420"/>
        <w:jc w:val="center"/>
        <w:rPr>
          <w:rFonts w:hint="eastAsia" w:ascii="宋体" w:hAnsi="宋体"/>
          <w:b/>
          <w:color w:val="auto"/>
          <w:sz w:val="24"/>
          <w:szCs w:val="24"/>
          <w:highlight w:val="none"/>
        </w:rPr>
      </w:pPr>
      <w:r>
        <w:rPr>
          <w:rFonts w:hint="eastAsia" w:ascii="宋体" w:hAnsi="宋体"/>
          <w:b/>
          <w:color w:val="auto"/>
          <w:sz w:val="24"/>
          <w:szCs w:val="24"/>
          <w:highlight w:val="none"/>
        </w:rPr>
        <w:t>E  开标及评标</w:t>
      </w:r>
    </w:p>
    <w:p>
      <w:pPr>
        <w:spacing w:line="500" w:lineRule="exact"/>
        <w:ind w:firstLine="664" w:firstLineChars="277"/>
        <w:rPr>
          <w:rFonts w:hint="eastAsia" w:ascii="宋体" w:hAnsi="宋体"/>
          <w:color w:val="auto"/>
          <w:sz w:val="24"/>
          <w:szCs w:val="24"/>
          <w:highlight w:val="none"/>
        </w:rPr>
      </w:pPr>
      <w:r>
        <w:rPr>
          <w:rFonts w:hint="eastAsia" w:ascii="宋体" w:hAnsi="宋体"/>
          <w:color w:val="auto"/>
          <w:sz w:val="24"/>
          <w:szCs w:val="24"/>
          <w:highlight w:val="none"/>
        </w:rPr>
        <w:t>14. 开标评标过程中出现以下情形，导致电子交易平台无法正常运行，且无法保证电子交易的公平、公正和安全时，招标人可暂停电子交易活动：</w:t>
      </w:r>
    </w:p>
    <w:p>
      <w:pPr>
        <w:spacing w:line="500" w:lineRule="exact"/>
        <w:ind w:firstLine="664" w:firstLineChars="277"/>
        <w:rPr>
          <w:rFonts w:hint="eastAsia" w:ascii="宋体" w:hAnsi="宋体"/>
          <w:color w:val="auto"/>
          <w:sz w:val="24"/>
          <w:szCs w:val="24"/>
          <w:highlight w:val="none"/>
        </w:rPr>
      </w:pPr>
      <w:r>
        <w:rPr>
          <w:rFonts w:hint="eastAsia" w:ascii="宋体" w:hAnsi="宋体"/>
          <w:color w:val="auto"/>
          <w:sz w:val="24"/>
          <w:szCs w:val="24"/>
          <w:highlight w:val="none"/>
        </w:rPr>
        <w:t xml:space="preserve">14.1电子交易平台发生故障而无法登录访问的； </w:t>
      </w:r>
    </w:p>
    <w:p>
      <w:pPr>
        <w:spacing w:line="500" w:lineRule="exact"/>
        <w:ind w:firstLine="664" w:firstLineChars="277"/>
        <w:rPr>
          <w:rFonts w:hint="eastAsia" w:ascii="宋体" w:hAnsi="宋体"/>
          <w:color w:val="auto"/>
          <w:sz w:val="24"/>
          <w:szCs w:val="24"/>
          <w:highlight w:val="none"/>
        </w:rPr>
      </w:pPr>
      <w:r>
        <w:rPr>
          <w:rFonts w:hint="eastAsia" w:ascii="宋体" w:hAnsi="宋体"/>
          <w:color w:val="auto"/>
          <w:sz w:val="24"/>
          <w:szCs w:val="24"/>
          <w:highlight w:val="none"/>
        </w:rPr>
        <w:t>14.2电子交易平台应用或数据库出现错误，不能进行正常操作的；</w:t>
      </w:r>
    </w:p>
    <w:p>
      <w:pPr>
        <w:spacing w:line="500" w:lineRule="exact"/>
        <w:ind w:firstLine="664" w:firstLineChars="277"/>
        <w:rPr>
          <w:rFonts w:hint="eastAsia" w:ascii="宋体" w:hAnsi="宋体"/>
          <w:color w:val="auto"/>
          <w:sz w:val="24"/>
          <w:szCs w:val="24"/>
          <w:highlight w:val="none"/>
        </w:rPr>
      </w:pPr>
      <w:r>
        <w:rPr>
          <w:rFonts w:hint="eastAsia" w:ascii="宋体" w:hAnsi="宋体"/>
          <w:color w:val="auto"/>
          <w:sz w:val="24"/>
          <w:szCs w:val="24"/>
          <w:highlight w:val="none"/>
        </w:rPr>
        <w:t>14.3电子交易平台发现严重安全漏洞，有潜在泄密危险的；</w:t>
      </w:r>
    </w:p>
    <w:p>
      <w:pPr>
        <w:spacing w:line="500" w:lineRule="exact"/>
        <w:ind w:firstLine="664" w:firstLineChars="277"/>
        <w:rPr>
          <w:rFonts w:hint="eastAsia" w:ascii="宋体" w:hAnsi="宋体"/>
          <w:color w:val="auto"/>
          <w:sz w:val="24"/>
          <w:szCs w:val="24"/>
          <w:highlight w:val="none"/>
        </w:rPr>
      </w:pPr>
      <w:r>
        <w:rPr>
          <w:rFonts w:hint="eastAsia" w:ascii="宋体" w:hAnsi="宋体"/>
          <w:color w:val="auto"/>
          <w:sz w:val="24"/>
          <w:szCs w:val="24"/>
          <w:highlight w:val="none"/>
        </w:rPr>
        <w:t xml:space="preserve">14.4病毒发作导致不能进行正常操作的； </w:t>
      </w:r>
    </w:p>
    <w:p>
      <w:pPr>
        <w:spacing w:line="500" w:lineRule="exact"/>
        <w:ind w:firstLine="664" w:firstLineChars="277"/>
        <w:rPr>
          <w:rFonts w:hint="eastAsia" w:ascii="宋体" w:hAnsi="宋体"/>
          <w:color w:val="auto"/>
          <w:sz w:val="24"/>
          <w:szCs w:val="24"/>
          <w:highlight w:val="none"/>
        </w:rPr>
      </w:pPr>
      <w:r>
        <w:rPr>
          <w:rFonts w:hint="eastAsia" w:ascii="宋体" w:hAnsi="宋体"/>
          <w:color w:val="auto"/>
          <w:sz w:val="24"/>
          <w:szCs w:val="24"/>
          <w:highlight w:val="none"/>
        </w:rPr>
        <w:t>14.5其他无法保证电子交易的公平、公正和安全的情况。</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出现前款规定情形，不影响采购公平、公正性的，招标人可以待上述情形消除后继续组织电子交易活动；影响或可能影响采购公平、公正性的，应当重新组织采购。 </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15．电子开标</w:t>
      </w:r>
    </w:p>
    <w:p>
      <w:pPr>
        <w:tabs>
          <w:tab w:val="left" w:pos="0"/>
        </w:tabs>
        <w:spacing w:line="500" w:lineRule="exact"/>
        <w:ind w:firstLine="480"/>
        <w:rPr>
          <w:rFonts w:hint="eastAsia" w:ascii="宋体" w:hAnsi="宋体"/>
          <w:color w:val="auto"/>
          <w:sz w:val="24"/>
          <w:szCs w:val="24"/>
          <w:highlight w:val="none"/>
        </w:rPr>
      </w:pPr>
      <w:r>
        <w:rPr>
          <w:rFonts w:hint="eastAsia" w:ascii="宋体" w:hAnsi="宋体"/>
          <w:color w:val="auto"/>
          <w:sz w:val="24"/>
          <w:szCs w:val="24"/>
          <w:highlight w:val="none"/>
        </w:rPr>
        <w:t>15．1  招标人在政采云平台主持电子开标。</w:t>
      </w:r>
    </w:p>
    <w:p>
      <w:pPr>
        <w:tabs>
          <w:tab w:val="left" w:pos="0"/>
        </w:tabs>
        <w:spacing w:line="500" w:lineRule="exact"/>
        <w:ind w:firstLine="480"/>
        <w:rPr>
          <w:rFonts w:hint="eastAsia" w:ascii="宋体" w:hAnsi="宋体"/>
          <w:color w:val="auto"/>
          <w:sz w:val="24"/>
          <w:highlight w:val="none"/>
        </w:rPr>
      </w:pPr>
      <w:r>
        <w:rPr>
          <w:rFonts w:hint="eastAsia" w:ascii="宋体" w:hAnsi="宋体"/>
          <w:color w:val="auto"/>
          <w:sz w:val="24"/>
          <w:szCs w:val="24"/>
          <w:highlight w:val="none"/>
        </w:rPr>
        <w:t>15.1.1 投标截止时间</w:t>
      </w:r>
      <w:r>
        <w:rPr>
          <w:rFonts w:hint="eastAsia" w:ascii="宋体" w:hAnsi="宋体"/>
          <w:color w:val="auto"/>
          <w:sz w:val="24"/>
          <w:highlight w:val="none"/>
        </w:rPr>
        <w:t>到，投标人不足3家，不进入标书解密开标程序。</w:t>
      </w:r>
    </w:p>
    <w:p>
      <w:pPr>
        <w:tabs>
          <w:tab w:val="left" w:pos="0"/>
        </w:tabs>
        <w:spacing w:line="500" w:lineRule="exact"/>
        <w:ind w:firstLine="480"/>
        <w:rPr>
          <w:rFonts w:hint="eastAsia" w:ascii="宋体" w:hAnsi="宋体"/>
          <w:color w:val="auto"/>
          <w:sz w:val="24"/>
          <w:szCs w:val="24"/>
          <w:highlight w:val="none"/>
        </w:rPr>
      </w:pPr>
      <w:r>
        <w:rPr>
          <w:rFonts w:hint="eastAsia" w:ascii="宋体" w:hAnsi="宋体"/>
          <w:color w:val="auto"/>
          <w:sz w:val="24"/>
          <w:highlight w:val="none"/>
        </w:rPr>
        <w:t>15.1.2 投标人</w:t>
      </w:r>
      <w:r>
        <w:rPr>
          <w:rFonts w:hint="eastAsia" w:ascii="宋体" w:hAnsi="宋体"/>
          <w:color w:val="auto"/>
          <w:sz w:val="24"/>
          <w:szCs w:val="24"/>
          <w:highlight w:val="none"/>
        </w:rPr>
        <w:t>须登录政采云平台在</w:t>
      </w:r>
      <w:r>
        <w:rPr>
          <w:rFonts w:hint="eastAsia" w:ascii="宋体" w:hAnsi="宋体"/>
          <w:b/>
          <w:bCs/>
          <w:color w:val="auto"/>
          <w:sz w:val="24"/>
          <w:szCs w:val="24"/>
          <w:highlight w:val="none"/>
        </w:rPr>
        <w:t>投标截止时间后30分钟内</w:t>
      </w:r>
      <w:r>
        <w:rPr>
          <w:rFonts w:hint="eastAsia" w:ascii="宋体" w:hAnsi="宋体"/>
          <w:color w:val="auto"/>
          <w:sz w:val="24"/>
          <w:szCs w:val="24"/>
          <w:highlight w:val="none"/>
        </w:rPr>
        <w:t>用制作加密投标文件的数字认证证书（</w:t>
      </w:r>
      <w:r>
        <w:rPr>
          <w:rFonts w:hint="eastAsia" w:ascii="宋体" w:hAnsi="宋体"/>
          <w:b/>
          <w:bCs/>
          <w:color w:val="auto"/>
          <w:sz w:val="24"/>
          <w:szCs w:val="24"/>
          <w:highlight w:val="none"/>
        </w:rPr>
        <w:t>同一个CA证书</w:t>
      </w:r>
      <w:r>
        <w:rPr>
          <w:rFonts w:hint="eastAsia" w:ascii="宋体" w:hAnsi="宋体"/>
          <w:color w:val="auto"/>
          <w:sz w:val="24"/>
          <w:szCs w:val="24"/>
          <w:highlight w:val="none"/>
        </w:rPr>
        <w:t>）完成投标文件解密工作，公布开标一览表内容。</w:t>
      </w:r>
      <w:r>
        <w:rPr>
          <w:rFonts w:hint="eastAsia" w:ascii="宋体" w:hAnsi="宋体"/>
          <w:b/>
          <w:bCs/>
          <w:color w:val="auto"/>
          <w:sz w:val="24"/>
          <w:szCs w:val="24"/>
          <w:highlight w:val="none"/>
        </w:rPr>
        <w:t>解密结束时间后，系统自动关闭解密通道，未解密的投标文件将作为无效投标被拒绝。</w:t>
      </w:r>
      <w:r>
        <w:rPr>
          <w:rFonts w:hint="eastAsia" w:ascii="宋体" w:hAnsi="宋体"/>
          <w:color w:val="auto"/>
          <w:sz w:val="24"/>
          <w:szCs w:val="24"/>
          <w:highlight w:val="none"/>
        </w:rPr>
        <w:t>为避免投标工具驱动安装、系统兼容性和网络环境等问题，建议投标人用制作投标文件的电脑进行解密。</w:t>
      </w:r>
    </w:p>
    <w:p>
      <w:pPr>
        <w:tabs>
          <w:tab w:val="left" w:pos="0"/>
        </w:tabs>
        <w:spacing w:line="500" w:lineRule="exact"/>
        <w:ind w:firstLine="480"/>
        <w:rPr>
          <w:rFonts w:hint="eastAsia" w:ascii="宋体" w:hAnsi="宋体"/>
          <w:color w:val="auto"/>
          <w:sz w:val="24"/>
          <w:highlight w:val="none"/>
        </w:rPr>
      </w:pPr>
      <w:r>
        <w:rPr>
          <w:rFonts w:hint="eastAsia" w:ascii="宋体" w:hAnsi="宋体"/>
          <w:color w:val="auto"/>
          <w:sz w:val="24"/>
          <w:szCs w:val="24"/>
          <w:highlight w:val="none"/>
        </w:rPr>
        <w:t>15．2 需要参加项目现场讲标（答辩）的，授权代表应当参加，并在投标现场提供参加人员名单及身份证明材料。</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16．对投标文件的初审</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 16．1初审内容为投标文件是否符合招标文件的要求、内容是否完整、有无计算错误，文件签署是否齐全。</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 16．2对价格错误，评审委员会按下述原则修正：</w:t>
      </w:r>
    </w:p>
    <w:p>
      <w:pPr>
        <w:numPr>
          <w:ilvl w:val="0"/>
          <w:numId w:val="11"/>
        </w:numPr>
        <w:tabs>
          <w:tab w:val="left" w:pos="0"/>
          <w:tab w:val="clear" w:pos="945"/>
        </w:tabs>
        <w:spacing w:line="500" w:lineRule="exact"/>
        <w:ind w:left="0" w:firstLine="420"/>
        <w:rPr>
          <w:rFonts w:hint="eastAsia" w:ascii="宋体" w:hAnsi="宋体"/>
          <w:color w:val="auto"/>
          <w:sz w:val="24"/>
          <w:szCs w:val="24"/>
          <w:highlight w:val="none"/>
        </w:rPr>
      </w:pPr>
      <w:r>
        <w:rPr>
          <w:rFonts w:hint="eastAsia" w:ascii="宋体" w:hAnsi="宋体"/>
          <w:color w:val="auto"/>
          <w:sz w:val="24"/>
          <w:szCs w:val="24"/>
          <w:highlight w:val="none"/>
        </w:rPr>
        <w:t>开标一览表与分项报价表等投标文件相应内容不一致的，以开标一览表为准；</w:t>
      </w:r>
    </w:p>
    <w:p>
      <w:pPr>
        <w:numPr>
          <w:ilvl w:val="0"/>
          <w:numId w:val="11"/>
        </w:numPr>
        <w:tabs>
          <w:tab w:val="left" w:pos="0"/>
          <w:tab w:val="clear" w:pos="945"/>
        </w:tabs>
        <w:spacing w:line="500" w:lineRule="exact"/>
        <w:ind w:left="0" w:firstLine="420"/>
        <w:rPr>
          <w:rFonts w:hint="eastAsia" w:ascii="宋体" w:hAnsi="宋体"/>
          <w:color w:val="auto"/>
          <w:sz w:val="24"/>
          <w:szCs w:val="24"/>
          <w:highlight w:val="none"/>
        </w:rPr>
      </w:pPr>
      <w:r>
        <w:rPr>
          <w:rFonts w:hint="eastAsia" w:ascii="宋体" w:hAnsi="宋体"/>
          <w:color w:val="auto"/>
          <w:sz w:val="24"/>
          <w:szCs w:val="24"/>
          <w:highlight w:val="none"/>
        </w:rPr>
        <w:t>大写金额与小写金额不一致的，以大写金额为准；</w:t>
      </w:r>
    </w:p>
    <w:p>
      <w:pPr>
        <w:numPr>
          <w:ilvl w:val="0"/>
          <w:numId w:val="11"/>
        </w:numPr>
        <w:tabs>
          <w:tab w:val="left" w:pos="0"/>
          <w:tab w:val="clear" w:pos="945"/>
        </w:tabs>
        <w:spacing w:line="500" w:lineRule="exact"/>
        <w:ind w:left="0" w:firstLine="420"/>
        <w:rPr>
          <w:rFonts w:hint="eastAsia" w:ascii="宋体" w:hAnsi="宋体"/>
          <w:color w:val="auto"/>
          <w:sz w:val="24"/>
          <w:szCs w:val="24"/>
          <w:highlight w:val="none"/>
        </w:rPr>
      </w:pPr>
      <w:r>
        <w:rPr>
          <w:rFonts w:hint="eastAsia" w:ascii="宋体" w:hAnsi="宋体"/>
          <w:color w:val="auto"/>
          <w:sz w:val="24"/>
          <w:szCs w:val="24"/>
          <w:highlight w:val="none"/>
        </w:rPr>
        <w:t>单价金额小数点或者百分比有明显错位的，以开标一览表的总价为准，并修改单价；</w:t>
      </w:r>
    </w:p>
    <w:p>
      <w:pPr>
        <w:numPr>
          <w:ilvl w:val="0"/>
          <w:numId w:val="11"/>
        </w:numPr>
        <w:tabs>
          <w:tab w:val="left" w:pos="0"/>
          <w:tab w:val="clear" w:pos="945"/>
        </w:tabs>
        <w:spacing w:line="500" w:lineRule="exact"/>
        <w:ind w:left="0" w:firstLine="420"/>
        <w:rPr>
          <w:rFonts w:hint="eastAsia" w:ascii="宋体" w:hAnsi="宋体"/>
          <w:color w:val="auto"/>
          <w:sz w:val="24"/>
          <w:szCs w:val="24"/>
          <w:highlight w:val="none"/>
        </w:rPr>
      </w:pPr>
      <w:r>
        <w:rPr>
          <w:rFonts w:hint="eastAsia" w:ascii="宋体" w:hAnsi="宋体"/>
          <w:color w:val="auto"/>
          <w:sz w:val="24"/>
          <w:szCs w:val="24"/>
          <w:highlight w:val="none"/>
        </w:rPr>
        <w:t>总价金额与按单价汇总金额不一致的，以单价金额计算结果为准；</w:t>
      </w:r>
    </w:p>
    <w:p>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同时出现两种以上不一致的，按照前款规定的顺序修正。修正后的报价经投标人确认后产生约束力，投标人不确认的，其投标无效。</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 16．3投标文件内容有歧义或不一致的，按不利于投标人作出认定。</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 16．4招标人对投标文件的判定，只依据投标内容本身，不依靠开标后的任何外来证明。</w:t>
      </w:r>
    </w:p>
    <w:p>
      <w:pPr>
        <w:tabs>
          <w:tab w:val="left" w:pos="0"/>
        </w:tabs>
        <w:spacing w:line="500" w:lineRule="exact"/>
        <w:ind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17．讲标（答辩）及投标的澄清</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 17.1需要讲标（答辩）的，招标人工作人员应核对投标人讲标（答辩）人员，依次逐个带领投标人代表进出讲标（答辩）场所。</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17．2招标人有权就投标文件中含混之处向投标人提出询问或澄清要求，投标人应当按照招标人通知的时间、地点进行答疑和澄清。</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 17．3必要时招标人可要求投标人就澄清的问题作书面回答，该书面回答应有投标全权代表的签章，并将作为投标内容的一部分。</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 17．4投标人对投标文件的澄清不得改变投标价格及实质内容。</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 18．比较及评价</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 18．1招标人根据招标产品特点组建评审委员会，对具备实质性响应的投标文件进行评估和比较。评审委员会由招标人、产品需求方、技术、经济、法律专家和其他有关方面的代表组成。</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 18．2评标标准及评标方法详细见招标文件第二部分。</w:t>
      </w:r>
    </w:p>
    <w:p>
      <w:pPr>
        <w:spacing w:line="5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19．评标过程保密</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 19．1开标之后，直到评标结束，凡是属于审查、澄清、评价和比较投标的有关资料以及授标意向等，均不得向投标人或其他无关的人员透露。</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 19．</w:t>
      </w:r>
      <w:r>
        <w:rPr>
          <w:rFonts w:ascii="宋体" w:hAnsi="宋体"/>
          <w:color w:val="auto"/>
          <w:sz w:val="24"/>
          <w:szCs w:val="24"/>
          <w:highlight w:val="none"/>
        </w:rPr>
        <w:t xml:space="preserve">2 </w:t>
      </w:r>
      <w:r>
        <w:rPr>
          <w:rFonts w:hint="eastAsia" w:ascii="宋体" w:hAnsi="宋体"/>
          <w:color w:val="auto"/>
          <w:sz w:val="24"/>
          <w:szCs w:val="24"/>
          <w:highlight w:val="none"/>
        </w:rPr>
        <w:t>在评标期间，投标人企图影响招标人的任何活动，将导致投标被拒绝，并承担相应法律责任。</w:t>
      </w:r>
    </w:p>
    <w:p>
      <w:pPr>
        <w:tabs>
          <w:tab w:val="left" w:pos="0"/>
          <w:tab w:val="left" w:pos="3321"/>
        </w:tabs>
        <w:spacing w:line="500" w:lineRule="exact"/>
        <w:ind w:firstLine="420"/>
        <w:rPr>
          <w:rFonts w:hint="eastAsia" w:ascii="宋体" w:hAnsi="宋体"/>
          <w:b/>
          <w:color w:val="auto"/>
          <w:sz w:val="24"/>
          <w:szCs w:val="24"/>
          <w:highlight w:val="none"/>
        </w:rPr>
      </w:pPr>
      <w:r>
        <w:rPr>
          <w:rFonts w:hint="eastAsia" w:ascii="宋体" w:hAnsi="宋体"/>
          <w:color w:val="auto"/>
          <w:sz w:val="24"/>
          <w:szCs w:val="24"/>
          <w:highlight w:val="none"/>
        </w:rPr>
        <w:tab/>
      </w:r>
      <w:r>
        <w:rPr>
          <w:rFonts w:hint="eastAsia" w:ascii="宋体" w:hAnsi="宋体"/>
          <w:b/>
          <w:color w:val="auto"/>
          <w:sz w:val="24"/>
          <w:szCs w:val="24"/>
          <w:highlight w:val="none"/>
        </w:rPr>
        <w:t>F  授予合同</w:t>
      </w:r>
    </w:p>
    <w:p>
      <w:pPr>
        <w:tabs>
          <w:tab w:val="left" w:pos="0"/>
        </w:tabs>
        <w:spacing w:line="5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20、公示及定标</w:t>
      </w:r>
    </w:p>
    <w:p>
      <w:pPr>
        <w:tabs>
          <w:tab w:val="left" w:pos="0"/>
        </w:tabs>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20．1评标结果公示。招标人在评标结束后，评标结果在政府采购监督管理部门指定媒体上公示，投标人可询问自身评审综合得分与排序。</w:t>
      </w:r>
    </w:p>
    <w:p>
      <w:pPr>
        <w:tabs>
          <w:tab w:val="left" w:pos="0"/>
        </w:tabs>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20．2定标的形式有二种，一种是经采购人授权，由评审委员会直接确定中标方，另一种是由采购人对预中标进行审查确认中标方。</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 20．3接受最终审查的预中标方，应当予以配合并提供所需的有关资料。</w:t>
      </w:r>
    </w:p>
    <w:p>
      <w:pPr>
        <w:tabs>
          <w:tab w:val="left" w:pos="0"/>
        </w:tabs>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 21．招标人在授标时有变更数量的权力</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 在向投标人授予中标通知书时，招标人有权按有关规定变更数量和服务的内容。</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 22．中标通知</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 22．1在投标有效期内，招标人以书面形式（包括网站公布）通知所选定的中标方。</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 22．2中标通知书将是合同的一个组成部分。</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 23．签订合同</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 23．1中标方应按规定的时间、地点与买方签订中标经济合同，否则按开标后撤回投标处理。</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 23．2招标文件，中标方的投标文件及评标过程中有关澄清文件均应作为合同附件。</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 24．履约保证金</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 24．1中标方在收到中标通知书后，应在规定的时间内，向买方提供履约保证金，履约保证金金额不超过合同金额的5%（招标文件第三部分有约定的，从其约定）。</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 24．2中标方如未按第23</w:t>
      </w:r>
      <w:r>
        <w:rPr>
          <w:rFonts w:ascii="宋体" w:hAnsi="宋体"/>
          <w:color w:val="auto"/>
          <w:sz w:val="24"/>
          <w:szCs w:val="24"/>
          <w:highlight w:val="none"/>
        </w:rPr>
        <w:t>.</w:t>
      </w:r>
      <w:r>
        <w:rPr>
          <w:rFonts w:hint="eastAsia" w:ascii="宋体" w:hAnsi="宋体"/>
          <w:color w:val="auto"/>
          <w:sz w:val="24"/>
          <w:szCs w:val="24"/>
          <w:highlight w:val="none"/>
        </w:rPr>
        <w:t>1及24</w:t>
      </w:r>
      <w:r>
        <w:rPr>
          <w:rFonts w:ascii="宋体" w:hAnsi="宋体"/>
          <w:color w:val="auto"/>
          <w:sz w:val="24"/>
          <w:szCs w:val="24"/>
          <w:highlight w:val="none"/>
        </w:rPr>
        <w:t>.</w:t>
      </w:r>
      <w:r>
        <w:rPr>
          <w:rFonts w:hint="eastAsia" w:ascii="宋体" w:hAnsi="宋体"/>
          <w:color w:val="auto"/>
          <w:sz w:val="24"/>
          <w:szCs w:val="24"/>
          <w:highlight w:val="none"/>
        </w:rPr>
        <w:t>1条的规定办理，招标人有权撤销其中标资格。在这种情况下，招标人可另选中标方或另行招标。</w:t>
      </w:r>
    </w:p>
    <w:p>
      <w:pPr>
        <w:tabs>
          <w:tab w:val="left" w:pos="0"/>
        </w:tabs>
        <w:spacing w:line="50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 24．3履约保证金在合同履行完毕后无息退还。</w:t>
      </w:r>
    </w:p>
    <w:p>
      <w:pPr>
        <w:tabs>
          <w:tab w:val="left" w:pos="0"/>
        </w:tabs>
        <w:spacing w:line="500" w:lineRule="exact"/>
        <w:ind w:firstLine="480"/>
        <w:rPr>
          <w:rFonts w:hint="eastAsia" w:ascii="宋体" w:hAnsi="宋体"/>
          <w:color w:val="auto"/>
          <w:sz w:val="24"/>
          <w:szCs w:val="24"/>
          <w:highlight w:val="none"/>
        </w:rPr>
      </w:pPr>
      <w:r>
        <w:rPr>
          <w:rFonts w:hint="eastAsia" w:ascii="宋体" w:hAnsi="宋体"/>
          <w:color w:val="auto"/>
          <w:sz w:val="24"/>
          <w:szCs w:val="24"/>
          <w:highlight w:val="none"/>
        </w:rPr>
        <w:tab/>
      </w:r>
    </w:p>
    <w:p>
      <w:pPr>
        <w:pStyle w:val="7"/>
        <w:spacing w:before="0" w:after="0" w:line="360" w:lineRule="auto"/>
        <w:jc w:val="center"/>
        <w:rPr>
          <w:rFonts w:hint="eastAsia" w:ascii="宋体" w:hAnsi="宋体"/>
          <w:b w:val="0"/>
          <w:bCs w:val="0"/>
          <w:color w:val="auto"/>
          <w:sz w:val="24"/>
          <w:szCs w:val="24"/>
          <w:highlight w:val="none"/>
        </w:rPr>
      </w:pPr>
      <w:bookmarkStart w:id="44" w:name="_Toc2583661"/>
      <w:bookmarkStart w:id="45" w:name="_Toc518923100"/>
      <w:r>
        <w:rPr>
          <w:rFonts w:hint="eastAsia" w:ascii="宋体" w:hAnsi="宋体"/>
          <w:color w:val="auto"/>
          <w:sz w:val="24"/>
          <w:szCs w:val="24"/>
          <w:highlight w:val="none"/>
        </w:rPr>
        <w:t>G  风险监督</w:t>
      </w:r>
    </w:p>
    <w:p>
      <w:pPr>
        <w:pStyle w:val="7"/>
        <w:spacing w:before="0" w:after="0" w:line="360" w:lineRule="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25.廉洁自律规定</w:t>
      </w:r>
      <w:bookmarkEnd w:id="44"/>
      <w:bookmarkEnd w:id="45"/>
    </w:p>
    <w:p>
      <w:pPr>
        <w:spacing w:line="360" w:lineRule="auto"/>
        <w:ind w:left="900" w:hanging="900" w:hangingChars="375"/>
        <w:rPr>
          <w:rFonts w:hint="eastAsia" w:ascii="宋体" w:hAnsi="宋体"/>
          <w:color w:val="auto"/>
          <w:sz w:val="24"/>
          <w:szCs w:val="24"/>
          <w:highlight w:val="none"/>
        </w:rPr>
      </w:pPr>
      <w:r>
        <w:rPr>
          <w:rFonts w:hint="eastAsia" w:ascii="宋体" w:hAnsi="宋体"/>
          <w:color w:val="auto"/>
          <w:sz w:val="24"/>
          <w:szCs w:val="24"/>
          <w:highlight w:val="none"/>
        </w:rPr>
        <w:t>25.1   集中采购机构工作人员不得与采购人、供应商恶意串通。</w:t>
      </w:r>
    </w:p>
    <w:p>
      <w:pPr>
        <w:spacing w:line="360" w:lineRule="auto"/>
        <w:ind w:left="900" w:hanging="900" w:hangingChars="375"/>
        <w:rPr>
          <w:rFonts w:hint="eastAsia" w:ascii="宋体" w:hAnsi="宋体"/>
          <w:color w:val="auto"/>
          <w:sz w:val="24"/>
          <w:szCs w:val="24"/>
          <w:highlight w:val="none"/>
        </w:rPr>
      </w:pPr>
      <w:r>
        <w:rPr>
          <w:rFonts w:hint="eastAsia" w:ascii="宋体" w:hAnsi="宋体"/>
          <w:color w:val="auto"/>
          <w:sz w:val="24"/>
          <w:szCs w:val="24"/>
          <w:highlight w:val="none"/>
        </w:rPr>
        <w:t>25.2   集中采购机构工作人员不得接受采购人或者供应商组织的宴请、旅游、娱乐，不得收受礼品、现金、有价证券等，不得向采购人或者供应商报销应当由个人承担的费用。</w:t>
      </w:r>
    </w:p>
    <w:p>
      <w:pPr>
        <w:pStyle w:val="7"/>
        <w:spacing w:before="0" w:after="0" w:line="360" w:lineRule="auto"/>
        <w:rPr>
          <w:rFonts w:hint="eastAsia" w:ascii="宋体" w:hAnsi="宋体"/>
          <w:b w:val="0"/>
          <w:bCs w:val="0"/>
          <w:color w:val="auto"/>
          <w:sz w:val="24"/>
          <w:szCs w:val="24"/>
          <w:highlight w:val="none"/>
        </w:rPr>
      </w:pPr>
      <w:bookmarkStart w:id="46" w:name="_Toc2583662"/>
      <w:bookmarkStart w:id="47" w:name="_Toc518923101"/>
      <w:r>
        <w:rPr>
          <w:rFonts w:hint="eastAsia" w:ascii="宋体" w:hAnsi="宋体"/>
          <w:b w:val="0"/>
          <w:bCs w:val="0"/>
          <w:color w:val="auto"/>
          <w:sz w:val="24"/>
          <w:szCs w:val="24"/>
          <w:highlight w:val="none"/>
        </w:rPr>
        <w:t>26.人员回避</w:t>
      </w:r>
      <w:bookmarkEnd w:id="46"/>
      <w:bookmarkEnd w:id="47"/>
    </w:p>
    <w:p>
      <w:pPr>
        <w:spacing w:line="360" w:lineRule="auto"/>
        <w:ind w:left="900" w:hanging="900" w:hangingChars="375"/>
        <w:rPr>
          <w:rFonts w:hint="eastAsia" w:ascii="宋体" w:hAnsi="宋体"/>
          <w:color w:val="auto"/>
          <w:sz w:val="24"/>
          <w:szCs w:val="24"/>
          <w:highlight w:val="none"/>
        </w:rPr>
      </w:pPr>
      <w:r>
        <w:rPr>
          <w:rFonts w:hint="eastAsia" w:ascii="宋体" w:hAnsi="宋体"/>
          <w:color w:val="auto"/>
          <w:sz w:val="24"/>
          <w:szCs w:val="24"/>
          <w:highlight w:val="none"/>
        </w:rPr>
        <w:t xml:space="preserve">       潜在投标人认为招标文件使自己的权益受到损害的，投标人认为采购人员及其相关人员有法律法规所列与其他供应商有利害关系的，可以向集中采购机构书面提出回避申请，并说明理由。</w:t>
      </w:r>
    </w:p>
    <w:p>
      <w:pPr>
        <w:pStyle w:val="7"/>
        <w:spacing w:before="0" w:after="0" w:line="360" w:lineRule="auto"/>
        <w:rPr>
          <w:rFonts w:hint="eastAsia" w:ascii="宋体" w:hAnsi="宋体"/>
          <w:b w:val="0"/>
          <w:bCs w:val="0"/>
          <w:color w:val="auto"/>
          <w:sz w:val="24"/>
          <w:szCs w:val="24"/>
          <w:highlight w:val="none"/>
        </w:rPr>
      </w:pPr>
      <w:bookmarkStart w:id="48" w:name="_Toc2583663"/>
      <w:bookmarkStart w:id="49" w:name="_Toc518923102"/>
      <w:r>
        <w:rPr>
          <w:rFonts w:hint="eastAsia" w:ascii="宋体" w:hAnsi="宋体"/>
          <w:b w:val="0"/>
          <w:bCs w:val="0"/>
          <w:color w:val="auto"/>
          <w:sz w:val="24"/>
          <w:szCs w:val="24"/>
          <w:highlight w:val="none"/>
        </w:rPr>
        <w:t>27.质疑的提出与接收</w:t>
      </w:r>
      <w:bookmarkEnd w:id="48"/>
      <w:bookmarkEnd w:id="49"/>
    </w:p>
    <w:p>
      <w:pPr>
        <w:spacing w:line="360" w:lineRule="auto"/>
        <w:ind w:left="850" w:hanging="849" w:hangingChars="354"/>
        <w:rPr>
          <w:rFonts w:hint="eastAsia" w:ascii="宋体" w:hAnsi="宋体"/>
          <w:color w:val="auto"/>
          <w:sz w:val="24"/>
          <w:szCs w:val="24"/>
          <w:highlight w:val="none"/>
        </w:rPr>
      </w:pPr>
      <w:r>
        <w:rPr>
          <w:rFonts w:hint="eastAsia" w:ascii="宋体" w:hAnsi="宋体"/>
          <w:color w:val="auto"/>
          <w:sz w:val="24"/>
          <w:szCs w:val="24"/>
          <w:highlight w:val="none"/>
        </w:rPr>
        <w:t>27.1  投标人认为招标文件、招标过程和中标结果使自己的权益受到损害的，可以根据《中华人民共和国政府采购法》、《中华人民共和国政府采购法实施条例》和《政府采购质疑和投诉办法》的有关规定，依法向集中采购机构提出质疑。</w:t>
      </w:r>
    </w:p>
    <w:p>
      <w:pPr>
        <w:spacing w:line="360" w:lineRule="auto"/>
        <w:ind w:left="850" w:hanging="849" w:hangingChars="354"/>
        <w:rPr>
          <w:rFonts w:hint="eastAsia" w:ascii="宋体" w:hAnsi="宋体"/>
          <w:color w:val="auto"/>
          <w:sz w:val="24"/>
          <w:szCs w:val="24"/>
          <w:highlight w:val="none"/>
        </w:rPr>
      </w:pPr>
      <w:r>
        <w:rPr>
          <w:rFonts w:hint="eastAsia" w:ascii="宋体" w:hAnsi="宋体"/>
          <w:color w:val="auto"/>
          <w:sz w:val="24"/>
          <w:szCs w:val="24"/>
          <w:highlight w:val="none"/>
        </w:rPr>
        <w:t>27.2  质疑供应商应按照财政部制定的《政府采购质疑函范本》格式（可从www.ccgp.gov.cn网站下载）和《政府采购质疑和投诉办法》的要求，在法定质疑期内以书面形式提出质疑，针对同一采购程序环节的质疑应一次性提出。</w:t>
      </w:r>
    </w:p>
    <w:p>
      <w:pPr>
        <w:spacing w:line="360" w:lineRule="auto"/>
        <w:ind w:left="851" w:leftChars="68" w:hanging="708" w:hangingChars="295"/>
        <w:rPr>
          <w:rFonts w:hint="eastAsia" w:ascii="宋体" w:hAnsi="宋体"/>
          <w:color w:val="auto"/>
          <w:sz w:val="24"/>
          <w:szCs w:val="24"/>
          <w:highlight w:val="none"/>
        </w:rPr>
      </w:pPr>
      <w:r>
        <w:rPr>
          <w:rFonts w:hint="eastAsia" w:ascii="宋体" w:hAnsi="宋体"/>
          <w:color w:val="auto"/>
          <w:sz w:val="24"/>
          <w:szCs w:val="24"/>
          <w:highlight w:val="none"/>
        </w:rPr>
        <w:t xml:space="preserve">      超出法定质疑期提交的质疑将被拒绝。</w:t>
      </w:r>
    </w:p>
    <w:p>
      <w:pPr>
        <w:spacing w:line="360" w:lineRule="auto"/>
        <w:ind w:left="851" w:leftChars="405" w:hanging="1"/>
        <w:rPr>
          <w:rFonts w:hint="eastAsia" w:ascii="宋体" w:hAnsi="宋体"/>
          <w:color w:val="auto"/>
          <w:sz w:val="24"/>
          <w:szCs w:val="24"/>
          <w:highlight w:val="none"/>
        </w:rPr>
      </w:pPr>
      <w:r>
        <w:rPr>
          <w:rFonts w:hint="eastAsia" w:ascii="宋体" w:hAnsi="宋体"/>
          <w:color w:val="auto"/>
          <w:sz w:val="24"/>
          <w:szCs w:val="24"/>
          <w:highlight w:val="none"/>
        </w:rPr>
        <w:t>重复或分次提出的、内容或形式不符合《政府采购质疑和投诉办法》的，质疑供应商将依法承担不利后果。</w:t>
      </w:r>
    </w:p>
    <w:p>
      <w:pPr>
        <w:spacing w:line="360" w:lineRule="auto"/>
        <w:ind w:left="851" w:leftChars="68" w:hanging="708" w:hangingChars="295"/>
        <w:rPr>
          <w:rFonts w:hint="eastAsia" w:ascii="宋体" w:hAnsi="宋体"/>
          <w:color w:val="auto"/>
          <w:sz w:val="24"/>
          <w:szCs w:val="24"/>
          <w:highlight w:val="none"/>
        </w:rPr>
      </w:pPr>
      <w:r>
        <w:rPr>
          <w:rFonts w:hint="eastAsia" w:ascii="宋体" w:hAnsi="宋体"/>
          <w:color w:val="auto"/>
          <w:sz w:val="24"/>
          <w:szCs w:val="24"/>
          <w:highlight w:val="none"/>
        </w:rPr>
        <w:t>27.3  质疑函接收联系人、联系电话和通讯地址见投标资料表。</w:t>
      </w:r>
    </w:p>
    <w:p>
      <w:pPr>
        <w:spacing w:line="500" w:lineRule="exact"/>
        <w:ind w:firstLine="425"/>
        <w:jc w:val="center"/>
        <w:rPr>
          <w:rFonts w:hint="eastAsia" w:ascii="黑体" w:eastAsia="黑体"/>
          <w:color w:val="auto"/>
          <w:sz w:val="32"/>
          <w:szCs w:val="32"/>
          <w:highlight w:val="none"/>
        </w:rPr>
      </w:pPr>
      <w:r>
        <w:rPr>
          <w:rFonts w:hint="eastAsia" w:ascii="宋体" w:hAnsi="宋体"/>
          <w:color w:val="auto"/>
          <w:sz w:val="24"/>
          <w:szCs w:val="24"/>
          <w:highlight w:val="none"/>
        </w:rPr>
        <w:br w:type="page"/>
      </w:r>
      <w:r>
        <w:rPr>
          <w:rFonts w:hint="eastAsia" w:ascii="黑体" w:eastAsia="黑体"/>
          <w:color w:val="auto"/>
          <w:sz w:val="32"/>
          <w:szCs w:val="32"/>
          <w:highlight w:val="none"/>
        </w:rPr>
        <w:t>第五部分 合同格式</w:t>
      </w:r>
    </w:p>
    <w:p>
      <w:pPr>
        <w:spacing w:line="500" w:lineRule="exact"/>
        <w:rPr>
          <w:rFonts w:hint="eastAsia" w:eastAsia="黑体"/>
          <w:color w:val="auto"/>
          <w:sz w:val="32"/>
          <w:highlight w:val="none"/>
          <w:u w:val="single"/>
        </w:rPr>
      </w:pPr>
    </w:p>
    <w:p>
      <w:pPr>
        <w:jc w:val="center"/>
        <w:rPr>
          <w:rFonts w:ascii="宋体" w:hAnsi="宋体" w:cs="宋体"/>
          <w:b/>
          <w:color w:val="auto"/>
          <w:sz w:val="44"/>
          <w:szCs w:val="44"/>
          <w:highlight w:val="none"/>
        </w:rPr>
      </w:pPr>
      <w:r>
        <w:rPr>
          <w:rFonts w:hint="eastAsia" w:ascii="宋体" w:hAnsi="宋体" w:cs="宋体"/>
          <w:b/>
          <w:color w:val="auto"/>
          <w:sz w:val="30"/>
          <w:szCs w:val="30"/>
          <w:highlight w:val="none"/>
        </w:rPr>
        <w:t>宁波市东部新城B-8#办公楼楼物业管理服务合同（主要条款)</w:t>
      </w:r>
    </w:p>
    <w:p>
      <w:pPr>
        <w:rPr>
          <w:rFonts w:ascii="仿宋" w:eastAsia="仿宋" w:cs="宋体"/>
          <w:color w:val="auto"/>
          <w:sz w:val="24"/>
          <w:highlight w:val="none"/>
        </w:rPr>
      </w:pPr>
      <w:r>
        <w:rPr>
          <w:rFonts w:hint="eastAsia" w:ascii="仿宋" w:eastAsia="仿宋" w:cs="宋体"/>
          <w:color w:val="auto"/>
          <w:sz w:val="24"/>
          <w:highlight w:val="none"/>
        </w:rPr>
        <w:t xml:space="preserve">甲方： </w:t>
      </w:r>
    </w:p>
    <w:p>
      <w:pPr>
        <w:rPr>
          <w:rFonts w:ascii="仿宋" w:eastAsia="仿宋" w:cs="宋体"/>
          <w:color w:val="auto"/>
          <w:sz w:val="24"/>
          <w:highlight w:val="none"/>
        </w:rPr>
      </w:pPr>
      <w:r>
        <w:rPr>
          <w:rFonts w:hint="eastAsia" w:ascii="仿宋" w:eastAsia="仿宋" w:cs="宋体"/>
          <w:color w:val="auto"/>
          <w:sz w:val="24"/>
          <w:highlight w:val="none"/>
        </w:rPr>
        <w:t xml:space="preserve">乙方： </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根据《中华人民共和国合同法》、《物业管理条例》等法律、法规，甲方宁波市机关事务管理局和宁波市交通运输</w:t>
      </w:r>
      <w:r>
        <w:rPr>
          <w:rFonts w:ascii="仿宋" w:eastAsia="仿宋" w:cs="宋体"/>
          <w:color w:val="auto"/>
          <w:sz w:val="24"/>
          <w:highlight w:val="none"/>
        </w:rPr>
        <w:t>局</w:t>
      </w:r>
      <w:r>
        <w:rPr>
          <w:rFonts w:hint="eastAsia" w:ascii="仿宋" w:eastAsia="仿宋" w:cs="宋体"/>
          <w:color w:val="auto"/>
          <w:sz w:val="24"/>
          <w:highlight w:val="none"/>
        </w:rPr>
        <w:t>就宁波市东部新城B-8#办公楼楼物业服务项目联合共同招标，甲乙双方在自愿、平等、协商一致的基础上，就物业服务事项达成协议，订立本合同。</w:t>
      </w:r>
    </w:p>
    <w:p>
      <w:pPr>
        <w:rPr>
          <w:rFonts w:ascii="仿宋" w:eastAsia="仿宋" w:cs="宋体"/>
          <w:bCs/>
          <w:color w:val="auto"/>
          <w:sz w:val="24"/>
          <w:highlight w:val="none"/>
        </w:rPr>
      </w:pPr>
      <w:r>
        <w:rPr>
          <w:rFonts w:hint="eastAsia" w:ascii="仿宋" w:eastAsia="仿宋" w:cs="宋体"/>
          <w:bCs/>
          <w:color w:val="auto"/>
          <w:sz w:val="24"/>
          <w:highlight w:val="none"/>
        </w:rPr>
        <w:t>第一条 物业基本状况</w:t>
      </w:r>
    </w:p>
    <w:p>
      <w:pPr>
        <w:rPr>
          <w:rFonts w:ascii="仿宋" w:eastAsia="仿宋" w:cs="宋体"/>
          <w:color w:val="auto"/>
          <w:sz w:val="24"/>
          <w:highlight w:val="none"/>
        </w:rPr>
      </w:pPr>
      <w:r>
        <w:rPr>
          <w:rFonts w:hint="eastAsia" w:ascii="仿宋" w:eastAsia="仿宋" w:cs="宋体"/>
          <w:color w:val="auto"/>
          <w:sz w:val="24"/>
          <w:highlight w:val="none"/>
        </w:rPr>
        <w:t xml:space="preserve">    物业名称：宁波市东部新城B-8#办公楼</w:t>
      </w:r>
    </w:p>
    <w:p>
      <w:pPr>
        <w:rPr>
          <w:rFonts w:ascii="仿宋" w:eastAsia="仿宋" w:cs="宋体"/>
          <w:color w:val="auto"/>
          <w:sz w:val="24"/>
          <w:highlight w:val="none"/>
        </w:rPr>
      </w:pPr>
      <w:r>
        <w:rPr>
          <w:rFonts w:hint="eastAsia" w:ascii="仿宋" w:eastAsia="仿宋" w:cs="宋体"/>
          <w:color w:val="auto"/>
          <w:sz w:val="24"/>
          <w:highlight w:val="none"/>
        </w:rPr>
        <w:t xml:space="preserve">    物业类型：综合办公楼，其中：</w:t>
      </w:r>
    </w:p>
    <w:p>
      <w:pPr>
        <w:rPr>
          <w:rFonts w:ascii="仿宋" w:eastAsia="仿宋" w:cs="宋体"/>
          <w:color w:val="auto"/>
          <w:sz w:val="24"/>
          <w:highlight w:val="none"/>
        </w:rPr>
      </w:pPr>
      <w:r>
        <w:rPr>
          <w:rFonts w:hint="eastAsia" w:ascii="仿宋" w:eastAsia="仿宋" w:cs="宋体"/>
          <w:color w:val="auto"/>
          <w:sz w:val="24"/>
          <w:highlight w:val="none"/>
        </w:rPr>
        <w:t xml:space="preserve">    1、1号楼</w:t>
      </w:r>
    </w:p>
    <w:p>
      <w:pPr>
        <w:rPr>
          <w:rFonts w:ascii="仿宋" w:eastAsia="仿宋" w:cs="宋体"/>
          <w:color w:val="auto"/>
          <w:sz w:val="24"/>
          <w:highlight w:val="none"/>
        </w:rPr>
      </w:pPr>
      <w:r>
        <w:rPr>
          <w:rFonts w:hint="eastAsia" w:ascii="仿宋" w:eastAsia="仿宋" w:cs="宋体"/>
          <w:color w:val="auto"/>
          <w:sz w:val="24"/>
          <w:highlight w:val="none"/>
        </w:rPr>
        <w:t xml:space="preserve">    坐落位置：宁波市</w:t>
      </w:r>
      <w:r>
        <w:rPr>
          <w:rFonts w:ascii="仿宋" w:eastAsia="仿宋" w:cs="宋体"/>
          <w:color w:val="auto"/>
          <w:sz w:val="24"/>
          <w:highlight w:val="none"/>
        </w:rPr>
        <w:t>鄞州</w:t>
      </w:r>
      <w:r>
        <w:rPr>
          <w:rFonts w:hint="eastAsia" w:ascii="仿宋" w:eastAsia="仿宋" w:cs="宋体"/>
          <w:color w:val="auto"/>
          <w:sz w:val="24"/>
          <w:highlight w:val="none"/>
        </w:rPr>
        <w:t>区昌乐路143号</w:t>
      </w:r>
    </w:p>
    <w:p>
      <w:pPr>
        <w:rPr>
          <w:rFonts w:ascii="仿宋" w:eastAsia="仿宋" w:cs="宋体"/>
          <w:color w:val="auto"/>
          <w:sz w:val="24"/>
          <w:highlight w:val="none"/>
        </w:rPr>
      </w:pPr>
      <w:r>
        <w:rPr>
          <w:rFonts w:hint="eastAsia" w:ascii="仿宋" w:eastAsia="仿宋" w:cs="宋体"/>
          <w:color w:val="auto"/>
          <w:sz w:val="24"/>
          <w:highlight w:val="none"/>
        </w:rPr>
        <w:t xml:space="preserve">    建筑面积： 地上建筑面积</w:t>
      </w:r>
      <w:r>
        <w:rPr>
          <w:rFonts w:hint="eastAsia" w:ascii="仿宋" w:eastAsia="仿宋" w:cs="宋体"/>
          <w:color w:val="auto"/>
          <w:sz w:val="24"/>
          <w:highlight w:val="none"/>
          <w:u w:val="single"/>
        </w:rPr>
        <w:t>23786.63</w:t>
      </w:r>
      <w:r>
        <w:rPr>
          <w:rFonts w:hint="eastAsia" w:ascii="仿宋" w:eastAsia="仿宋" w:cs="宋体"/>
          <w:color w:val="auto"/>
          <w:sz w:val="24"/>
          <w:highlight w:val="none"/>
        </w:rPr>
        <w:t>平方米，主楼22层，附楼3层，地下停车位</w:t>
      </w:r>
      <w:r>
        <w:rPr>
          <w:rFonts w:hint="eastAsia" w:ascii="仿宋" w:eastAsia="仿宋" w:cs="宋体"/>
          <w:color w:val="auto"/>
          <w:sz w:val="24"/>
          <w:highlight w:val="none"/>
          <w:u w:val="single"/>
        </w:rPr>
        <w:t>163</w:t>
      </w:r>
      <w:r>
        <w:rPr>
          <w:rFonts w:hint="eastAsia" w:ascii="仿宋" w:eastAsia="仿宋" w:cs="宋体"/>
          <w:color w:val="auto"/>
          <w:sz w:val="24"/>
          <w:highlight w:val="none"/>
        </w:rPr>
        <w:t>个。</w:t>
      </w:r>
    </w:p>
    <w:p>
      <w:pPr>
        <w:rPr>
          <w:rFonts w:ascii="仿宋" w:eastAsia="仿宋" w:cs="宋体"/>
          <w:color w:val="auto"/>
          <w:sz w:val="24"/>
          <w:highlight w:val="none"/>
        </w:rPr>
      </w:pPr>
      <w:r>
        <w:rPr>
          <w:rFonts w:hint="eastAsia" w:ascii="仿宋" w:eastAsia="仿宋" w:cs="宋体"/>
          <w:color w:val="auto"/>
          <w:sz w:val="24"/>
          <w:highlight w:val="none"/>
        </w:rPr>
        <w:t xml:space="preserve">    2、2号楼</w:t>
      </w:r>
    </w:p>
    <w:p>
      <w:pPr>
        <w:rPr>
          <w:rFonts w:ascii="仿宋" w:eastAsia="仿宋" w:cs="宋体"/>
          <w:color w:val="auto"/>
          <w:sz w:val="24"/>
          <w:highlight w:val="none"/>
        </w:rPr>
      </w:pPr>
      <w:r>
        <w:rPr>
          <w:rFonts w:hint="eastAsia" w:ascii="仿宋" w:eastAsia="仿宋" w:cs="宋体"/>
          <w:color w:val="auto"/>
          <w:sz w:val="24"/>
          <w:highlight w:val="none"/>
        </w:rPr>
        <w:t xml:space="preserve">    坐落位置：宁波市</w:t>
      </w:r>
      <w:r>
        <w:rPr>
          <w:rFonts w:ascii="仿宋" w:eastAsia="仿宋" w:cs="宋体"/>
          <w:color w:val="auto"/>
          <w:sz w:val="24"/>
          <w:highlight w:val="none"/>
        </w:rPr>
        <w:t>鄞州</w:t>
      </w:r>
      <w:r>
        <w:rPr>
          <w:rFonts w:hint="eastAsia" w:ascii="仿宋" w:eastAsia="仿宋" w:cs="宋体"/>
          <w:color w:val="auto"/>
          <w:sz w:val="24"/>
          <w:highlight w:val="none"/>
        </w:rPr>
        <w:t>区和济街117号</w:t>
      </w:r>
    </w:p>
    <w:p>
      <w:pPr>
        <w:ind w:firstLine="480"/>
        <w:rPr>
          <w:rFonts w:ascii="仿宋" w:eastAsia="仿宋" w:cs="宋体"/>
          <w:color w:val="auto"/>
          <w:sz w:val="24"/>
          <w:highlight w:val="none"/>
        </w:rPr>
      </w:pPr>
      <w:r>
        <w:rPr>
          <w:rFonts w:hint="eastAsia" w:ascii="仿宋" w:eastAsia="仿宋" w:cs="宋体"/>
          <w:color w:val="auto"/>
          <w:sz w:val="24"/>
          <w:highlight w:val="none"/>
        </w:rPr>
        <w:t>建筑面积：地上建筑面积</w:t>
      </w:r>
      <w:r>
        <w:rPr>
          <w:rFonts w:hint="eastAsia" w:ascii="仿宋" w:eastAsia="仿宋" w:cs="宋体"/>
          <w:color w:val="auto"/>
          <w:sz w:val="24"/>
          <w:highlight w:val="none"/>
          <w:u w:val="single"/>
        </w:rPr>
        <w:t>38165.41</w:t>
      </w:r>
      <w:r>
        <w:rPr>
          <w:rFonts w:hint="eastAsia" w:ascii="仿宋" w:eastAsia="仿宋" w:cs="宋体"/>
          <w:color w:val="auto"/>
          <w:sz w:val="24"/>
          <w:highlight w:val="none"/>
        </w:rPr>
        <w:t>平方米，主楼</w:t>
      </w:r>
      <w:r>
        <w:rPr>
          <w:rFonts w:hint="eastAsia" w:ascii="仿宋" w:eastAsia="仿宋" w:cs="宋体"/>
          <w:color w:val="auto"/>
          <w:sz w:val="24"/>
          <w:highlight w:val="none"/>
          <w:u w:val="single"/>
        </w:rPr>
        <w:t>29</w:t>
      </w:r>
      <w:r>
        <w:rPr>
          <w:rFonts w:hint="eastAsia" w:ascii="仿宋" w:eastAsia="仿宋" w:cs="宋体"/>
          <w:color w:val="auto"/>
          <w:sz w:val="24"/>
          <w:highlight w:val="none"/>
        </w:rPr>
        <w:t>层，附楼</w:t>
      </w:r>
      <w:r>
        <w:rPr>
          <w:rFonts w:hint="eastAsia" w:ascii="仿宋" w:eastAsia="仿宋" w:cs="宋体"/>
          <w:color w:val="auto"/>
          <w:sz w:val="24"/>
          <w:highlight w:val="none"/>
          <w:u w:val="single"/>
        </w:rPr>
        <w:t>3</w:t>
      </w:r>
      <w:r>
        <w:rPr>
          <w:rFonts w:hint="eastAsia" w:ascii="仿宋" w:eastAsia="仿宋" w:cs="宋体"/>
          <w:color w:val="auto"/>
          <w:sz w:val="24"/>
          <w:highlight w:val="none"/>
        </w:rPr>
        <w:t>层，地下停车位</w:t>
      </w:r>
      <w:r>
        <w:rPr>
          <w:rFonts w:hint="eastAsia" w:ascii="仿宋" w:eastAsia="仿宋" w:cs="宋体"/>
          <w:color w:val="auto"/>
          <w:sz w:val="24"/>
          <w:highlight w:val="none"/>
          <w:u w:val="single"/>
        </w:rPr>
        <w:t>257</w:t>
      </w:r>
      <w:r>
        <w:rPr>
          <w:rFonts w:hint="eastAsia" w:ascii="仿宋" w:eastAsia="仿宋" w:cs="宋体"/>
          <w:color w:val="auto"/>
          <w:sz w:val="24"/>
          <w:highlight w:val="none"/>
        </w:rPr>
        <w:t>个，地面停车位</w:t>
      </w:r>
      <w:r>
        <w:rPr>
          <w:rFonts w:hint="eastAsia" w:ascii="仿宋" w:eastAsia="仿宋" w:cs="宋体"/>
          <w:color w:val="auto"/>
          <w:sz w:val="24"/>
          <w:highlight w:val="none"/>
          <w:u w:val="single"/>
        </w:rPr>
        <w:t>12</w:t>
      </w:r>
      <w:r>
        <w:rPr>
          <w:rFonts w:hint="eastAsia" w:ascii="仿宋" w:eastAsia="仿宋" w:cs="宋体"/>
          <w:color w:val="auto"/>
          <w:sz w:val="24"/>
          <w:highlight w:val="none"/>
        </w:rPr>
        <w:t xml:space="preserve">个。 </w:t>
      </w:r>
    </w:p>
    <w:p>
      <w:pPr>
        <w:rPr>
          <w:rFonts w:ascii="仿宋" w:eastAsia="仿宋" w:cs="宋体"/>
          <w:color w:val="auto"/>
          <w:sz w:val="24"/>
          <w:highlight w:val="none"/>
        </w:rPr>
      </w:pPr>
      <w:r>
        <w:rPr>
          <w:rFonts w:hint="eastAsia" w:ascii="仿宋" w:eastAsia="仿宋" w:cs="宋体"/>
          <w:color w:val="auto"/>
          <w:sz w:val="24"/>
          <w:highlight w:val="none"/>
        </w:rPr>
        <w:t>第二条  总体管理目标</w:t>
      </w:r>
    </w:p>
    <w:p>
      <w:pPr>
        <w:ind w:firstLine="240" w:firstLineChars="100"/>
        <w:rPr>
          <w:rFonts w:ascii="仿宋" w:eastAsia="仿宋" w:cs="宋体"/>
          <w:color w:val="auto"/>
          <w:sz w:val="24"/>
          <w:highlight w:val="none"/>
        </w:rPr>
      </w:pPr>
      <w:r>
        <w:rPr>
          <w:rFonts w:hint="eastAsia" w:ascii="仿宋" w:eastAsia="仿宋" w:cs="宋体"/>
          <w:color w:val="auto"/>
          <w:sz w:val="24"/>
          <w:highlight w:val="none"/>
        </w:rPr>
        <w:t xml:space="preserve">    1、后勤管理服务项目要符合和体现ISO9001国际质量管理体系标准、ISO14001国际环境管理体系标准及OHSAS18001职业健康安全管理体系标准、ISO22000食品安全管理体系、ISO50001能源管理体系认证的核心内容和要求，提高综合服务外包标准化水平。</w:t>
      </w:r>
    </w:p>
    <w:p>
      <w:pPr>
        <w:ind w:firstLine="480" w:firstLineChars="200"/>
        <w:rPr>
          <w:rFonts w:ascii="仿宋" w:eastAsia="仿宋" w:cs="宋体"/>
          <w:strike/>
          <w:color w:val="auto"/>
          <w:sz w:val="24"/>
          <w:highlight w:val="none"/>
        </w:rPr>
      </w:pPr>
      <w:r>
        <w:rPr>
          <w:rFonts w:hint="eastAsia" w:ascii="仿宋" w:eastAsia="仿宋" w:cs="宋体"/>
          <w:color w:val="auto"/>
          <w:sz w:val="24"/>
          <w:highlight w:val="none"/>
        </w:rPr>
        <w:t>2、综合服务外包满意度测评达90%以上，监管考核达到85分以上，以上均采用百分制。</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3、为做好机关办公综合服务外包市场化运作、专业化管理及节能工作提供优质的综合服务外包。</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4、无重大责任事故和重大安全事故；无泄密事件发生。</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第三条  服务外包范围</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乙方所接受的服务外包范围是物业建筑产权标注及周边区域、设施设备等资产在内的服务，不涉及资产的所有权。</w:t>
      </w:r>
    </w:p>
    <w:p>
      <w:pPr>
        <w:rPr>
          <w:rFonts w:ascii="仿宋" w:eastAsia="仿宋" w:cs="宋体"/>
          <w:color w:val="auto"/>
          <w:sz w:val="24"/>
          <w:highlight w:val="none"/>
        </w:rPr>
      </w:pPr>
      <w:r>
        <w:rPr>
          <w:rFonts w:hint="eastAsia" w:ascii="仿宋" w:eastAsia="仿宋" w:cs="宋体"/>
          <w:color w:val="auto"/>
          <w:sz w:val="24"/>
          <w:highlight w:val="none"/>
        </w:rPr>
        <w:t>第四条 人员配备</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1、各服务板块人员配备情况详见投标文件。</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2、项目负责人和重要岗位核心团队岗位配置情况详见投标文件。</w:t>
      </w:r>
    </w:p>
    <w:p>
      <w:pPr>
        <w:ind w:firstLine="480" w:firstLineChars="200"/>
        <w:rPr>
          <w:rFonts w:ascii="仿宋" w:eastAsia="仿宋" w:cs="宋体"/>
          <w:color w:val="auto"/>
          <w:sz w:val="24"/>
          <w:highlight w:val="none"/>
        </w:rPr>
      </w:pPr>
    </w:p>
    <w:p>
      <w:pPr>
        <w:rPr>
          <w:rFonts w:ascii="仿宋" w:eastAsia="仿宋" w:cs="宋体"/>
          <w:color w:val="auto"/>
          <w:sz w:val="24"/>
          <w:highlight w:val="none"/>
        </w:rPr>
      </w:pPr>
      <w:r>
        <w:rPr>
          <w:rFonts w:hint="eastAsia" w:ascii="仿宋" w:eastAsia="仿宋" w:cs="宋体"/>
          <w:color w:val="auto"/>
          <w:sz w:val="24"/>
          <w:highlight w:val="none"/>
        </w:rPr>
        <w:t>第五条  服务期限</w:t>
      </w:r>
    </w:p>
    <w:p>
      <w:pPr>
        <w:ind w:firstLine="480" w:firstLineChars="200"/>
        <w:rPr>
          <w:rFonts w:ascii="仿宋" w:eastAsia="仿宋" w:cs="宋体"/>
          <w:color w:val="auto"/>
          <w:sz w:val="24"/>
          <w:highlight w:val="none"/>
          <w:u w:val="single"/>
        </w:rPr>
      </w:pPr>
      <w:r>
        <w:rPr>
          <w:rFonts w:hint="eastAsia" w:ascii="仿宋" w:eastAsia="仿宋" w:cs="宋体"/>
          <w:color w:val="auto"/>
          <w:sz w:val="24"/>
          <w:highlight w:val="none"/>
        </w:rPr>
        <w:t>本次服务外包的期限为3年，合同为</w:t>
      </w:r>
      <w:r>
        <w:rPr>
          <w:rFonts w:hint="eastAsia" w:ascii="仿宋" w:eastAsia="仿宋" w:cs="宋体"/>
          <w:color w:val="auto"/>
          <w:sz w:val="24"/>
          <w:highlight w:val="none"/>
          <w:lang w:eastAsia="zh-CN"/>
        </w:rPr>
        <w:t>一</w:t>
      </w:r>
      <w:r>
        <w:rPr>
          <w:rFonts w:hint="eastAsia" w:ascii="仿宋" w:eastAsia="仿宋" w:cs="宋体"/>
          <w:color w:val="auto"/>
          <w:sz w:val="24"/>
          <w:highlight w:val="none"/>
        </w:rPr>
        <w:t>年一签，自</w:t>
      </w:r>
      <w:r>
        <w:rPr>
          <w:rFonts w:hint="eastAsia" w:ascii="仿宋" w:eastAsia="仿宋" w:cs="宋体"/>
          <w:color w:val="auto"/>
          <w:sz w:val="24"/>
          <w:highlight w:val="none"/>
          <w:u w:val="single"/>
        </w:rPr>
        <w:t xml:space="preserve">   </w:t>
      </w:r>
      <w:r>
        <w:rPr>
          <w:rFonts w:hint="eastAsia" w:ascii="仿宋" w:eastAsia="仿宋" w:cs="宋体"/>
          <w:color w:val="auto"/>
          <w:sz w:val="24"/>
          <w:highlight w:val="none"/>
        </w:rPr>
        <w:t>年</w:t>
      </w:r>
      <w:r>
        <w:rPr>
          <w:rFonts w:hint="eastAsia" w:ascii="仿宋" w:eastAsia="仿宋" w:cs="宋体"/>
          <w:color w:val="auto"/>
          <w:sz w:val="24"/>
          <w:highlight w:val="none"/>
          <w:u w:val="single"/>
        </w:rPr>
        <w:t xml:space="preserve">   </w:t>
      </w:r>
      <w:r>
        <w:rPr>
          <w:rFonts w:hint="eastAsia" w:ascii="仿宋" w:eastAsia="仿宋" w:cs="宋体"/>
          <w:color w:val="auto"/>
          <w:sz w:val="24"/>
          <w:highlight w:val="none"/>
        </w:rPr>
        <w:t>月</w:t>
      </w:r>
      <w:r>
        <w:rPr>
          <w:rFonts w:hint="eastAsia" w:ascii="仿宋" w:eastAsia="仿宋" w:cs="宋体"/>
          <w:color w:val="auto"/>
          <w:sz w:val="24"/>
          <w:highlight w:val="none"/>
          <w:u w:val="single"/>
        </w:rPr>
        <w:t xml:space="preserve">   </w:t>
      </w:r>
      <w:r>
        <w:rPr>
          <w:rFonts w:hint="eastAsia" w:ascii="仿宋" w:eastAsia="仿宋" w:cs="宋体"/>
          <w:color w:val="auto"/>
          <w:sz w:val="24"/>
          <w:highlight w:val="none"/>
        </w:rPr>
        <w:t>日起至</w:t>
      </w:r>
      <w:r>
        <w:rPr>
          <w:rFonts w:hint="eastAsia" w:ascii="仿宋" w:eastAsia="仿宋" w:cs="宋体"/>
          <w:color w:val="auto"/>
          <w:sz w:val="24"/>
          <w:highlight w:val="none"/>
          <w:u w:val="single"/>
        </w:rPr>
        <w:t xml:space="preserve">   </w:t>
      </w:r>
      <w:r>
        <w:rPr>
          <w:rFonts w:hint="eastAsia" w:ascii="仿宋" w:eastAsia="仿宋" w:cs="宋体"/>
          <w:color w:val="auto"/>
          <w:sz w:val="24"/>
          <w:highlight w:val="none"/>
        </w:rPr>
        <w:t>年</w:t>
      </w:r>
      <w:r>
        <w:rPr>
          <w:rFonts w:hint="eastAsia" w:ascii="仿宋" w:eastAsia="仿宋" w:cs="宋体"/>
          <w:color w:val="auto"/>
          <w:sz w:val="24"/>
          <w:highlight w:val="none"/>
          <w:u w:val="single"/>
        </w:rPr>
        <w:t xml:space="preserve">   </w:t>
      </w:r>
      <w:r>
        <w:rPr>
          <w:rFonts w:hint="eastAsia" w:ascii="仿宋" w:eastAsia="仿宋" w:cs="宋体"/>
          <w:color w:val="auto"/>
          <w:sz w:val="24"/>
          <w:highlight w:val="none"/>
        </w:rPr>
        <w:t>月</w:t>
      </w:r>
      <w:r>
        <w:rPr>
          <w:rFonts w:hint="eastAsia" w:ascii="仿宋" w:eastAsia="仿宋" w:cs="宋体"/>
          <w:color w:val="auto"/>
          <w:sz w:val="24"/>
          <w:highlight w:val="none"/>
          <w:u w:val="single"/>
        </w:rPr>
        <w:t xml:space="preserve">   </w:t>
      </w:r>
      <w:r>
        <w:rPr>
          <w:rFonts w:hint="eastAsia" w:ascii="仿宋" w:eastAsia="仿宋" w:cs="宋体"/>
          <w:color w:val="auto"/>
          <w:sz w:val="24"/>
          <w:highlight w:val="none"/>
        </w:rPr>
        <w:t>日止。</w:t>
      </w:r>
    </w:p>
    <w:p>
      <w:pPr>
        <w:rPr>
          <w:rFonts w:ascii="仿宋" w:eastAsia="仿宋" w:cs="宋体"/>
          <w:bCs/>
          <w:color w:val="auto"/>
          <w:sz w:val="24"/>
          <w:highlight w:val="none"/>
        </w:rPr>
      </w:pPr>
      <w:r>
        <w:rPr>
          <w:rFonts w:hint="eastAsia" w:ascii="仿宋" w:eastAsia="仿宋" w:cs="宋体"/>
          <w:bCs/>
          <w:color w:val="auto"/>
          <w:sz w:val="24"/>
          <w:highlight w:val="none"/>
        </w:rPr>
        <w:t>第六条   委托管理费用及付款方式</w:t>
      </w:r>
    </w:p>
    <w:p>
      <w:pPr>
        <w:rPr>
          <w:rFonts w:ascii="仿宋" w:eastAsia="仿宋" w:cs="宋体"/>
          <w:color w:val="auto"/>
          <w:sz w:val="24"/>
          <w:highlight w:val="none"/>
        </w:rPr>
      </w:pPr>
      <w:r>
        <w:rPr>
          <w:rFonts w:hint="eastAsia" w:ascii="仿宋" w:eastAsia="仿宋" w:cs="宋体"/>
          <w:color w:val="auto"/>
          <w:sz w:val="24"/>
          <w:highlight w:val="none"/>
        </w:rPr>
        <w:t xml:space="preserve">    1、物业管理综合服务费用</w:t>
      </w:r>
    </w:p>
    <w:p>
      <w:pPr>
        <w:rPr>
          <w:rFonts w:ascii="仿宋" w:eastAsia="仿宋" w:cs="宋体"/>
          <w:color w:val="auto"/>
          <w:sz w:val="24"/>
          <w:highlight w:val="none"/>
        </w:rPr>
      </w:pPr>
      <w:r>
        <w:rPr>
          <w:rFonts w:hint="eastAsia" w:ascii="仿宋" w:eastAsia="仿宋" w:cs="宋体"/>
          <w:color w:val="auto"/>
          <w:sz w:val="24"/>
          <w:highlight w:val="none"/>
        </w:rPr>
        <w:t xml:space="preserve">    （1）宁波市东部新城B-8#地块1#办公楼</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物业管理综合服务费为人民币（）元/年。</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公共设施日常维修费为人民币（）元/年。（专款专用，结余顺延）</w:t>
      </w:r>
    </w:p>
    <w:p>
      <w:pPr>
        <w:rPr>
          <w:rFonts w:ascii="仿宋" w:eastAsia="仿宋" w:cs="宋体"/>
          <w:color w:val="auto"/>
          <w:sz w:val="24"/>
          <w:highlight w:val="none"/>
        </w:rPr>
      </w:pPr>
      <w:r>
        <w:rPr>
          <w:rFonts w:hint="eastAsia" w:ascii="仿宋" w:eastAsia="仿宋" w:cs="宋体"/>
          <w:color w:val="auto"/>
          <w:sz w:val="24"/>
          <w:highlight w:val="none"/>
        </w:rPr>
        <w:t xml:space="preserve">    （2）宁波市东部新城B-8#地块2#办公楼</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物业管理综合服务费为人民币 （ ）元/年。</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公共设施日常维修费为人民币</w:t>
      </w:r>
      <w:r>
        <w:rPr>
          <w:rFonts w:hint="eastAsia" w:ascii="仿宋" w:eastAsia="仿宋" w:cs="宋体"/>
          <w:color w:val="auto"/>
          <w:sz w:val="24"/>
          <w:highlight w:val="none"/>
          <w:u w:val="single"/>
        </w:rPr>
        <w:t xml:space="preserve"> （ ）</w:t>
      </w:r>
      <w:r>
        <w:rPr>
          <w:rFonts w:hint="eastAsia" w:ascii="仿宋" w:eastAsia="仿宋" w:cs="宋体"/>
          <w:color w:val="auto"/>
          <w:sz w:val="24"/>
          <w:highlight w:val="none"/>
        </w:rPr>
        <w:t>元/年。（专款专用，结余顺延）</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2#商务楼物业综合服务费折算为单位建筑面积人民币 元/月。其中，市交通运输</w:t>
      </w:r>
      <w:r>
        <w:rPr>
          <w:rFonts w:ascii="仿宋" w:eastAsia="仿宋" w:cs="宋体"/>
          <w:color w:val="auto"/>
          <w:sz w:val="24"/>
          <w:highlight w:val="none"/>
        </w:rPr>
        <w:t>局</w:t>
      </w:r>
      <w:r>
        <w:rPr>
          <w:rFonts w:hint="eastAsia" w:ascii="仿宋" w:eastAsia="仿宋" w:cs="宋体"/>
          <w:color w:val="auto"/>
          <w:sz w:val="24"/>
          <w:highlight w:val="none"/>
        </w:rPr>
        <w:t>机关自用建筑面积19433.73平方米，物业管理综合服务费为人民币 元（ ）。公共设施日常维修费为人民币 元（ ）。2#商务楼其他有偿使用单位按上述单价及标准缴纳物业费和公共设施日常维修费。</w:t>
      </w:r>
    </w:p>
    <w:p>
      <w:pPr>
        <w:ind w:firstLine="614"/>
        <w:rPr>
          <w:rFonts w:ascii="仿宋" w:eastAsia="仿宋" w:cs="宋体"/>
          <w:color w:val="auto"/>
          <w:sz w:val="24"/>
          <w:highlight w:val="none"/>
        </w:rPr>
      </w:pPr>
      <w:r>
        <w:rPr>
          <w:rFonts w:hint="eastAsia" w:ascii="仿宋" w:eastAsia="仿宋" w:cs="宋体"/>
          <w:color w:val="auto"/>
          <w:sz w:val="24"/>
          <w:highlight w:val="none"/>
        </w:rPr>
        <w:t>2、物业管理费采用包干制，乙方自主经营，自负盈亏。包干的费用包括但不仅限于：</w:t>
      </w:r>
    </w:p>
    <w:p>
      <w:pPr>
        <w:ind w:firstLine="480" w:firstLineChars="200"/>
        <w:rPr>
          <w:rFonts w:ascii="仿宋" w:eastAsia="仿宋" w:cs="宋体"/>
          <w:color w:val="auto"/>
          <w:sz w:val="24"/>
          <w:highlight w:val="none"/>
        </w:rPr>
      </w:pPr>
      <w:r>
        <w:rPr>
          <w:rFonts w:ascii="仿宋" w:eastAsia="仿宋" w:cs="宋体"/>
          <w:color w:val="auto"/>
          <w:sz w:val="24"/>
          <w:highlight w:val="none"/>
        </w:rPr>
        <w:t>（1）</w:t>
      </w:r>
      <w:r>
        <w:rPr>
          <w:rFonts w:hint="eastAsia" w:ascii="仿宋" w:eastAsia="仿宋" w:cs="宋体"/>
          <w:color w:val="auto"/>
          <w:sz w:val="24"/>
          <w:highlight w:val="none"/>
        </w:rPr>
        <w:t>人员费用(工资、各种社会保险、福利和津贴)；</w:t>
      </w:r>
    </w:p>
    <w:p>
      <w:pPr>
        <w:spacing w:line="360" w:lineRule="auto"/>
        <w:ind w:firstLine="480" w:firstLineChars="200"/>
        <w:rPr>
          <w:rFonts w:ascii="仿宋" w:eastAsia="仿宋" w:cs="宋体"/>
          <w:color w:val="auto"/>
          <w:sz w:val="24"/>
          <w:highlight w:val="none"/>
        </w:rPr>
      </w:pPr>
      <w:r>
        <w:rPr>
          <w:rFonts w:ascii="仿宋" w:eastAsia="仿宋" w:cs="宋体"/>
          <w:color w:val="auto"/>
          <w:sz w:val="24"/>
          <w:highlight w:val="none"/>
        </w:rPr>
        <w:t>（2）</w:t>
      </w:r>
      <w:r>
        <w:rPr>
          <w:rFonts w:hint="eastAsia" w:ascii="仿宋" w:eastAsia="仿宋" w:cs="宋体"/>
          <w:color w:val="auto"/>
          <w:sz w:val="24"/>
          <w:highlight w:val="none"/>
        </w:rPr>
        <w:t>人员综合费用（办公费用、服装费、通讯费、培训费、食宿与交通费等）；</w:t>
      </w:r>
    </w:p>
    <w:p>
      <w:pPr>
        <w:spacing w:line="360" w:lineRule="auto"/>
        <w:ind w:firstLine="480" w:firstLineChars="200"/>
        <w:rPr>
          <w:rFonts w:ascii="仿宋" w:eastAsia="仿宋" w:cs="宋体"/>
          <w:color w:val="auto"/>
          <w:sz w:val="24"/>
          <w:highlight w:val="none"/>
        </w:rPr>
      </w:pPr>
      <w:r>
        <w:rPr>
          <w:rFonts w:ascii="仿宋" w:eastAsia="仿宋" w:cs="宋体"/>
          <w:color w:val="auto"/>
          <w:sz w:val="24"/>
          <w:highlight w:val="none"/>
        </w:rPr>
        <w:t>（3）</w:t>
      </w:r>
      <w:r>
        <w:rPr>
          <w:rFonts w:hint="eastAsia" w:ascii="仿宋" w:eastAsia="仿宋" w:cs="宋体"/>
          <w:color w:val="auto"/>
          <w:sz w:val="24"/>
          <w:highlight w:val="none"/>
        </w:rPr>
        <w:t>公共部位和公共设施日常小型维修费（含室内小修），费用标准按地上建筑面积2元/平方米/年计提，专款专用，结余顺延，用于大楼房屋公共部位和公共设施的小型维修（含室内小修），维修工具由供应商负责。采购人监督日常小型维修费使用，每月向采购人报告小修费开支情况</w:t>
      </w:r>
      <w:r>
        <w:rPr>
          <w:rFonts w:ascii="仿宋" w:eastAsia="仿宋" w:cs="宋体"/>
          <w:color w:val="auto"/>
          <w:sz w:val="24"/>
          <w:highlight w:val="none"/>
        </w:rPr>
        <w:t>；</w:t>
      </w:r>
    </w:p>
    <w:p>
      <w:pPr>
        <w:spacing w:line="360" w:lineRule="auto"/>
        <w:ind w:firstLine="480" w:firstLineChars="200"/>
        <w:rPr>
          <w:rFonts w:ascii="仿宋" w:eastAsia="仿宋" w:cs="宋体"/>
          <w:color w:val="auto"/>
          <w:sz w:val="24"/>
          <w:highlight w:val="none"/>
        </w:rPr>
      </w:pPr>
      <w:r>
        <w:rPr>
          <w:rFonts w:ascii="仿宋" w:eastAsia="仿宋" w:cs="宋体"/>
          <w:color w:val="auto"/>
          <w:sz w:val="24"/>
          <w:highlight w:val="none"/>
        </w:rPr>
        <w:t>（4）</w:t>
      </w:r>
      <w:r>
        <w:rPr>
          <w:rFonts w:hint="eastAsia" w:ascii="仿宋" w:eastAsia="仿宋" w:cs="宋体"/>
          <w:color w:val="auto"/>
          <w:sz w:val="24"/>
          <w:highlight w:val="none"/>
        </w:rPr>
        <w:t>垃圾清运及消杀费用（不含餐厨垃圾）；</w:t>
      </w:r>
    </w:p>
    <w:p>
      <w:pPr>
        <w:spacing w:line="360" w:lineRule="auto"/>
        <w:ind w:firstLine="480" w:firstLineChars="200"/>
        <w:rPr>
          <w:rFonts w:ascii="仿宋" w:eastAsia="仿宋" w:cs="宋体"/>
          <w:color w:val="auto"/>
          <w:sz w:val="24"/>
          <w:highlight w:val="none"/>
        </w:rPr>
      </w:pPr>
      <w:r>
        <w:rPr>
          <w:rFonts w:hint="eastAsia" w:ascii="仿宋" w:eastAsia="仿宋" w:cs="宋体"/>
          <w:color w:val="auto"/>
          <w:sz w:val="24"/>
          <w:highlight w:val="none"/>
        </w:rPr>
        <w:t>（5）共用场所</w:t>
      </w:r>
      <w:r>
        <w:rPr>
          <w:rFonts w:ascii="仿宋" w:eastAsia="仿宋" w:cs="宋体"/>
          <w:color w:val="auto"/>
          <w:sz w:val="24"/>
          <w:highlight w:val="none"/>
        </w:rPr>
        <w:t>保洁</w:t>
      </w:r>
      <w:r>
        <w:rPr>
          <w:rFonts w:hint="eastAsia" w:ascii="仿宋" w:eastAsia="仿宋" w:cs="宋体"/>
          <w:color w:val="auto"/>
          <w:sz w:val="24"/>
          <w:highlight w:val="none"/>
        </w:rPr>
        <w:t>易耗品费用（含保洁</w:t>
      </w:r>
      <w:r>
        <w:rPr>
          <w:rFonts w:ascii="仿宋" w:eastAsia="仿宋" w:cs="宋体"/>
          <w:color w:val="auto"/>
          <w:sz w:val="24"/>
          <w:highlight w:val="none"/>
        </w:rPr>
        <w:t>用品：工具、垃圾袋、清洁保养用品等</w:t>
      </w:r>
      <w:r>
        <w:rPr>
          <w:rFonts w:hint="eastAsia" w:ascii="仿宋" w:eastAsia="仿宋" w:cs="宋体"/>
          <w:color w:val="auto"/>
          <w:sz w:val="24"/>
          <w:highlight w:val="none"/>
        </w:rPr>
        <w:t>，</w:t>
      </w:r>
      <w:r>
        <w:rPr>
          <w:rFonts w:ascii="仿宋" w:eastAsia="仿宋" w:cs="宋体"/>
          <w:color w:val="auto"/>
          <w:sz w:val="24"/>
          <w:highlight w:val="none"/>
        </w:rPr>
        <w:t>卫生用品：</w:t>
      </w:r>
      <w:r>
        <w:rPr>
          <w:rFonts w:hint="eastAsia" w:ascii="仿宋" w:eastAsia="仿宋" w:cs="宋体"/>
          <w:color w:val="auto"/>
          <w:sz w:val="24"/>
          <w:highlight w:val="none"/>
        </w:rPr>
        <w:t>洗手间卫生纸、擦手纸及洗手液</w:t>
      </w:r>
      <w:r>
        <w:rPr>
          <w:rFonts w:ascii="仿宋" w:eastAsia="仿宋" w:cs="宋体"/>
          <w:color w:val="auto"/>
          <w:sz w:val="24"/>
          <w:highlight w:val="none"/>
        </w:rPr>
        <w:t>等</w:t>
      </w:r>
      <w:r>
        <w:rPr>
          <w:rFonts w:hint="eastAsia" w:ascii="仿宋" w:eastAsia="仿宋" w:cs="宋体"/>
          <w:color w:val="auto"/>
          <w:sz w:val="24"/>
          <w:highlight w:val="none"/>
        </w:rPr>
        <w:t>）；</w:t>
      </w:r>
    </w:p>
    <w:p>
      <w:pPr>
        <w:spacing w:line="360" w:lineRule="auto"/>
        <w:ind w:firstLine="480" w:firstLineChars="200"/>
        <w:rPr>
          <w:rFonts w:ascii="仿宋" w:eastAsia="仿宋" w:cs="宋体"/>
          <w:color w:val="auto"/>
          <w:sz w:val="24"/>
          <w:highlight w:val="none"/>
        </w:rPr>
      </w:pPr>
      <w:r>
        <w:rPr>
          <w:rFonts w:ascii="仿宋" w:eastAsia="仿宋" w:cs="宋体"/>
          <w:color w:val="auto"/>
          <w:sz w:val="24"/>
          <w:highlight w:val="none"/>
        </w:rPr>
        <w:t>（6）</w:t>
      </w:r>
      <w:r>
        <w:rPr>
          <w:rFonts w:hint="eastAsia" w:ascii="仿宋" w:eastAsia="仿宋" w:cs="宋体"/>
          <w:color w:val="auto"/>
          <w:sz w:val="24"/>
          <w:highlight w:val="none"/>
        </w:rPr>
        <w:t>室外绿地养护费；</w:t>
      </w:r>
    </w:p>
    <w:p>
      <w:pPr>
        <w:spacing w:line="360" w:lineRule="auto"/>
        <w:ind w:firstLine="480" w:firstLineChars="200"/>
        <w:rPr>
          <w:rFonts w:ascii="仿宋" w:eastAsia="仿宋" w:cs="宋体"/>
          <w:color w:val="auto"/>
          <w:sz w:val="24"/>
          <w:highlight w:val="none"/>
        </w:rPr>
      </w:pPr>
      <w:r>
        <w:rPr>
          <w:rFonts w:ascii="仿宋" w:eastAsia="仿宋" w:cs="宋体"/>
          <w:color w:val="auto"/>
          <w:sz w:val="24"/>
          <w:highlight w:val="none"/>
        </w:rPr>
        <w:t>（7）</w:t>
      </w:r>
      <w:r>
        <w:rPr>
          <w:rFonts w:hint="eastAsia" w:ascii="仿宋" w:eastAsia="仿宋" w:cs="宋体"/>
          <w:color w:val="auto"/>
          <w:sz w:val="24"/>
          <w:highlight w:val="none"/>
        </w:rPr>
        <w:t>公共区域能耗（主要指公共区域照明用电和用水，包括不仅限于公共区域楼道、走廊、公共洗手间、一层大厅、地下停车场、给排水系统、消防系统、安防监控系统、水景系统，但不包括电梯用电、空调能耗及食堂所有能耗</w:t>
      </w:r>
      <w:r>
        <w:rPr>
          <w:rFonts w:ascii="仿宋" w:eastAsia="仿宋" w:cs="宋体"/>
          <w:color w:val="auto"/>
          <w:sz w:val="24"/>
          <w:highlight w:val="none"/>
        </w:rPr>
        <w:t>）</w:t>
      </w:r>
      <w:r>
        <w:rPr>
          <w:rFonts w:hint="eastAsia" w:ascii="仿宋" w:eastAsia="仿宋" w:cs="宋体"/>
          <w:color w:val="auto"/>
          <w:sz w:val="24"/>
          <w:highlight w:val="none"/>
        </w:rPr>
        <w:t>。</w:t>
      </w:r>
    </w:p>
    <w:p>
      <w:pPr>
        <w:spacing w:line="360" w:lineRule="auto"/>
        <w:ind w:firstLine="480" w:firstLineChars="200"/>
        <w:rPr>
          <w:rFonts w:ascii="仿宋" w:eastAsia="仿宋" w:cs="宋体"/>
          <w:color w:val="auto"/>
          <w:sz w:val="24"/>
          <w:highlight w:val="none"/>
        </w:rPr>
      </w:pPr>
      <w:r>
        <w:rPr>
          <w:rFonts w:ascii="仿宋" w:eastAsia="仿宋" w:cs="宋体"/>
          <w:color w:val="auto"/>
          <w:sz w:val="24"/>
          <w:highlight w:val="none"/>
        </w:rPr>
        <w:t>（8）</w:t>
      </w:r>
      <w:r>
        <w:rPr>
          <w:rFonts w:hint="eastAsia" w:ascii="仿宋" w:eastAsia="仿宋" w:cs="宋体"/>
          <w:color w:val="auto"/>
          <w:sz w:val="24"/>
          <w:highlight w:val="none"/>
        </w:rPr>
        <w:t>幕墙玻璃清洗费用</w:t>
      </w:r>
      <w:r>
        <w:rPr>
          <w:rFonts w:ascii="仿宋" w:eastAsia="仿宋" w:cs="宋体"/>
          <w:color w:val="auto"/>
          <w:sz w:val="24"/>
          <w:highlight w:val="none"/>
        </w:rPr>
        <w:t>（</w:t>
      </w:r>
      <w:r>
        <w:rPr>
          <w:rFonts w:hint="eastAsia" w:ascii="仿宋" w:eastAsia="仿宋" w:cs="宋体"/>
          <w:color w:val="auto"/>
          <w:sz w:val="24"/>
          <w:highlight w:val="none"/>
        </w:rPr>
        <w:t>其中，1号楼</w:t>
      </w:r>
      <w:r>
        <w:rPr>
          <w:rFonts w:ascii="仿宋" w:eastAsia="仿宋" w:cs="宋体"/>
          <w:color w:val="auto"/>
          <w:sz w:val="24"/>
          <w:highlight w:val="none"/>
        </w:rPr>
        <w:t>一年</w:t>
      </w:r>
      <w:r>
        <w:rPr>
          <w:rFonts w:hint="eastAsia" w:ascii="仿宋" w:eastAsia="仿宋" w:cs="宋体"/>
          <w:color w:val="auto"/>
          <w:sz w:val="24"/>
          <w:highlight w:val="none"/>
        </w:rPr>
        <w:t>不少于1次，2号楼一年不少于2次）；</w:t>
      </w:r>
    </w:p>
    <w:p>
      <w:pPr>
        <w:spacing w:line="360" w:lineRule="auto"/>
        <w:ind w:firstLine="480" w:firstLineChars="200"/>
        <w:rPr>
          <w:rFonts w:ascii="仿宋" w:eastAsia="仿宋" w:cs="宋体"/>
          <w:color w:val="auto"/>
          <w:sz w:val="24"/>
          <w:highlight w:val="none"/>
        </w:rPr>
      </w:pPr>
      <w:r>
        <w:rPr>
          <w:rFonts w:ascii="仿宋" w:eastAsia="仿宋" w:cs="宋体"/>
          <w:color w:val="auto"/>
          <w:sz w:val="24"/>
          <w:highlight w:val="none"/>
        </w:rPr>
        <w:t>（9）</w:t>
      </w:r>
      <w:r>
        <w:rPr>
          <w:rFonts w:hint="eastAsia" w:ascii="仿宋" w:eastAsia="仿宋" w:cs="宋体"/>
          <w:color w:val="auto"/>
          <w:sz w:val="24"/>
          <w:highlight w:val="none"/>
        </w:rPr>
        <w:t>楼宇文化活动费；</w:t>
      </w:r>
    </w:p>
    <w:p>
      <w:pPr>
        <w:spacing w:line="360" w:lineRule="auto"/>
        <w:ind w:firstLine="480" w:firstLineChars="200"/>
        <w:rPr>
          <w:rFonts w:ascii="仿宋" w:eastAsia="仿宋" w:cs="宋体"/>
          <w:color w:val="auto"/>
          <w:sz w:val="24"/>
          <w:highlight w:val="none"/>
        </w:rPr>
      </w:pPr>
      <w:r>
        <w:rPr>
          <w:rFonts w:ascii="仿宋" w:eastAsia="仿宋" w:cs="宋体"/>
          <w:color w:val="auto"/>
          <w:sz w:val="24"/>
          <w:highlight w:val="none"/>
        </w:rPr>
        <w:t>（10）</w:t>
      </w:r>
      <w:r>
        <w:rPr>
          <w:rFonts w:hint="eastAsia" w:ascii="仿宋" w:eastAsia="仿宋" w:cs="宋体"/>
          <w:color w:val="auto"/>
          <w:sz w:val="24"/>
          <w:highlight w:val="none"/>
        </w:rPr>
        <w:t>电梯运行</w:t>
      </w:r>
      <w:r>
        <w:rPr>
          <w:rFonts w:ascii="仿宋" w:eastAsia="仿宋" w:cs="宋体"/>
          <w:color w:val="auto"/>
          <w:sz w:val="24"/>
          <w:highlight w:val="none"/>
        </w:rPr>
        <w:t>、消防系统、空调系统、强弱电系统等维护</w:t>
      </w:r>
      <w:r>
        <w:rPr>
          <w:rFonts w:hint="eastAsia" w:ascii="仿宋" w:eastAsia="仿宋" w:cs="宋体"/>
          <w:color w:val="auto"/>
          <w:sz w:val="24"/>
          <w:highlight w:val="none"/>
        </w:rPr>
        <w:t>和检测费用；</w:t>
      </w:r>
    </w:p>
    <w:p>
      <w:pPr>
        <w:spacing w:line="360" w:lineRule="auto"/>
        <w:ind w:firstLine="480" w:firstLineChars="200"/>
        <w:rPr>
          <w:rFonts w:ascii="仿宋" w:eastAsia="仿宋" w:cs="宋体"/>
          <w:color w:val="auto"/>
          <w:sz w:val="24"/>
          <w:highlight w:val="none"/>
        </w:rPr>
      </w:pPr>
      <w:r>
        <w:rPr>
          <w:rFonts w:ascii="仿宋" w:eastAsia="仿宋" w:cs="宋体"/>
          <w:color w:val="auto"/>
          <w:sz w:val="24"/>
          <w:highlight w:val="none"/>
        </w:rPr>
        <w:t>（11）</w:t>
      </w:r>
      <w:r>
        <w:rPr>
          <w:rFonts w:hint="eastAsia" w:ascii="仿宋" w:eastAsia="仿宋" w:cs="宋体"/>
          <w:color w:val="auto"/>
          <w:sz w:val="24"/>
          <w:highlight w:val="none"/>
        </w:rPr>
        <w:t>公共设备设施的维护及保养费用（设备设施维修所产生的材料费用在公共设施日常小型维修费中列支）；</w:t>
      </w:r>
    </w:p>
    <w:p>
      <w:pPr>
        <w:spacing w:line="360" w:lineRule="auto"/>
        <w:ind w:firstLine="480" w:firstLineChars="200"/>
        <w:rPr>
          <w:rFonts w:ascii="仿宋" w:eastAsia="仿宋" w:cs="宋体"/>
          <w:color w:val="auto"/>
          <w:sz w:val="24"/>
          <w:highlight w:val="none"/>
        </w:rPr>
      </w:pPr>
      <w:r>
        <w:rPr>
          <w:rFonts w:ascii="仿宋" w:eastAsia="仿宋" w:cs="宋体"/>
          <w:color w:val="auto"/>
          <w:sz w:val="24"/>
          <w:highlight w:val="none"/>
        </w:rPr>
        <w:t>（12）</w:t>
      </w:r>
      <w:r>
        <w:rPr>
          <w:rFonts w:hint="eastAsia" w:ascii="仿宋" w:eastAsia="仿宋" w:cs="宋体"/>
          <w:color w:val="auto"/>
          <w:sz w:val="24"/>
          <w:highlight w:val="none"/>
        </w:rPr>
        <w:t>管理费；</w:t>
      </w:r>
    </w:p>
    <w:p>
      <w:pPr>
        <w:spacing w:line="360" w:lineRule="auto"/>
        <w:ind w:firstLine="480" w:firstLineChars="200"/>
        <w:rPr>
          <w:rFonts w:ascii="仿宋" w:eastAsia="仿宋" w:cs="宋体"/>
          <w:color w:val="auto"/>
          <w:sz w:val="24"/>
          <w:highlight w:val="none"/>
        </w:rPr>
      </w:pPr>
      <w:r>
        <w:rPr>
          <w:rFonts w:ascii="仿宋" w:eastAsia="仿宋" w:cs="宋体"/>
          <w:color w:val="auto"/>
          <w:sz w:val="24"/>
          <w:highlight w:val="none"/>
        </w:rPr>
        <w:t>（13）</w:t>
      </w:r>
      <w:r>
        <w:rPr>
          <w:rFonts w:hint="eastAsia" w:ascii="仿宋" w:eastAsia="仿宋" w:cs="宋体"/>
          <w:color w:val="auto"/>
          <w:sz w:val="24"/>
          <w:highlight w:val="none"/>
        </w:rPr>
        <w:t>保险费；</w:t>
      </w:r>
    </w:p>
    <w:p>
      <w:pPr>
        <w:spacing w:line="360" w:lineRule="auto"/>
        <w:ind w:firstLine="480" w:firstLineChars="200"/>
        <w:rPr>
          <w:rFonts w:ascii="仿宋" w:eastAsia="仿宋" w:cs="宋体"/>
          <w:color w:val="auto"/>
          <w:sz w:val="24"/>
          <w:highlight w:val="none"/>
        </w:rPr>
      </w:pPr>
      <w:r>
        <w:rPr>
          <w:rFonts w:ascii="仿宋" w:eastAsia="仿宋" w:cs="宋体"/>
          <w:color w:val="auto"/>
          <w:sz w:val="24"/>
          <w:highlight w:val="none"/>
        </w:rPr>
        <w:t>（14）</w:t>
      </w:r>
      <w:r>
        <w:rPr>
          <w:rFonts w:hint="eastAsia" w:ascii="仿宋" w:eastAsia="仿宋" w:cs="宋体"/>
          <w:color w:val="auto"/>
          <w:sz w:val="24"/>
          <w:highlight w:val="none"/>
        </w:rPr>
        <w:t>税金；</w:t>
      </w:r>
    </w:p>
    <w:p>
      <w:pPr>
        <w:spacing w:line="360" w:lineRule="auto"/>
        <w:ind w:firstLine="480" w:firstLineChars="200"/>
        <w:rPr>
          <w:rFonts w:ascii="仿宋" w:eastAsia="仿宋" w:cs="宋体"/>
          <w:color w:val="auto"/>
          <w:sz w:val="24"/>
          <w:highlight w:val="none"/>
        </w:rPr>
      </w:pPr>
      <w:r>
        <w:rPr>
          <w:rFonts w:ascii="仿宋" w:eastAsia="仿宋" w:cs="宋体"/>
          <w:color w:val="auto"/>
          <w:sz w:val="24"/>
          <w:highlight w:val="none"/>
        </w:rPr>
        <w:t>（15）</w:t>
      </w:r>
      <w:r>
        <w:rPr>
          <w:rFonts w:hint="eastAsia" w:ascii="仿宋" w:eastAsia="仿宋" w:cs="宋体"/>
          <w:color w:val="auto"/>
          <w:sz w:val="24"/>
          <w:highlight w:val="none"/>
        </w:rPr>
        <w:t>其它费用。</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3、本项目设房屋公共部位和公共设施日常小修费（含室内换灯管、换锁等小修理），费用标准按地上建筑面积2元/平方/年计提，专款专用，结余顺延，用于大楼房屋公共部位和公共设施的小型维修，维修工具由物业负责，费用不计入小修费。乙方每月向甲方报告小修费开支情况。</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4、付费方式：</w:t>
      </w:r>
      <w:r>
        <w:rPr>
          <w:rFonts w:hint="eastAsia" w:ascii="宋体" w:cs="宋体"/>
          <w:color w:val="auto"/>
          <w:szCs w:val="21"/>
          <w:highlight w:val="none"/>
        </w:rPr>
        <w:t>每</w:t>
      </w:r>
      <w:r>
        <w:rPr>
          <w:rFonts w:hint="eastAsia" w:ascii="仿宋" w:eastAsia="仿宋" w:cs="宋体"/>
          <w:color w:val="auto"/>
          <w:sz w:val="24"/>
          <w:highlight w:val="none"/>
        </w:rPr>
        <w:t>月预支该月服务费（年度服务费/12）的80%，根据实际服务方案履行情况，结合考核结果于下季度结清该季度剩余服务费。</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服务以甲方的满意度、核定服务人员到岗率等，结合服务标准进行考核（详见综合服务管理考核办法）。如达不到考核要求，服务费将作相应扣减（详见“违约责任”）。</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公共设施日常维修费按年支付，每年6月1日前一次性支付。</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所有支付费用由甲方收到增值税发票后，向乙方支付。</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5、协议履行期内超出招标服务范围及本合同约定外的委托性服务，增加费用另行商议，一事一结。</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6、乙方与甲方签订本合同时，需向甲方两家单位提</w:t>
      </w:r>
      <w:r>
        <w:rPr>
          <w:rFonts w:ascii="仿宋" w:eastAsia="仿宋" w:cs="宋体"/>
          <w:color w:val="auto"/>
          <w:sz w:val="24"/>
          <w:highlight w:val="none"/>
        </w:rPr>
        <w:t>供</w:t>
      </w:r>
      <w:r>
        <w:rPr>
          <w:rFonts w:hint="eastAsia" w:ascii="仿宋" w:eastAsia="仿宋" w:cs="宋体"/>
          <w:color w:val="auto"/>
          <w:sz w:val="24"/>
          <w:highlight w:val="none"/>
        </w:rPr>
        <w:t>中标金额的5%</w:t>
      </w:r>
      <w:r>
        <w:rPr>
          <w:rFonts w:ascii="仿宋" w:eastAsia="仿宋" w:cs="宋体"/>
          <w:color w:val="auto"/>
          <w:sz w:val="24"/>
          <w:highlight w:val="none"/>
        </w:rPr>
        <w:t>银行</w:t>
      </w:r>
      <w:r>
        <w:rPr>
          <w:rFonts w:hint="eastAsia" w:ascii="仿宋" w:eastAsia="仿宋" w:cs="宋体"/>
          <w:color w:val="auto"/>
          <w:sz w:val="24"/>
          <w:highlight w:val="none"/>
        </w:rPr>
        <w:t>履约保证</w:t>
      </w:r>
      <w:r>
        <w:rPr>
          <w:rFonts w:ascii="仿宋" w:eastAsia="仿宋" w:cs="宋体"/>
          <w:color w:val="auto"/>
          <w:sz w:val="24"/>
          <w:highlight w:val="none"/>
        </w:rPr>
        <w:t>函。</w:t>
      </w:r>
    </w:p>
    <w:p>
      <w:pPr>
        <w:ind w:firstLine="480" w:firstLineChars="200"/>
        <w:rPr>
          <w:rFonts w:ascii="仿宋" w:eastAsia="仿宋" w:cs="宋体"/>
          <w:color w:val="auto"/>
          <w:sz w:val="24"/>
          <w:highlight w:val="none"/>
        </w:rPr>
      </w:pPr>
      <w:r>
        <w:rPr>
          <w:rFonts w:ascii="仿宋" w:eastAsia="仿宋" w:cs="宋体"/>
          <w:color w:val="auto"/>
          <w:sz w:val="24"/>
          <w:highlight w:val="none"/>
        </w:rPr>
        <w:t xml:space="preserve">第五条  </w:t>
      </w:r>
      <w:r>
        <w:rPr>
          <w:rFonts w:hint="eastAsia" w:ascii="仿宋" w:eastAsia="仿宋" w:cs="宋体"/>
          <w:color w:val="auto"/>
          <w:sz w:val="24"/>
          <w:highlight w:val="none"/>
        </w:rPr>
        <w:t>公共维修责任界定</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1、设备设施主要是指大楼综合验收范围内的设备设施，其它服务场所（如餐厅、网络、邮政、电信等）的自购自装设备的操作、维修和保养由使用部门负责。</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2、大楼公共设备设施的日常小型维修与养护由乙方负责；大楼室内更换灯管、更换锁，门窗小维修，小面积粉刷等由乙方负责实施，甲方同意费用从公共设施维修费中支出；室内中央空调末端清洗维护及小维修或更换配件由乙方负责；大楼室内及相关装饰较大工程，公共区域设备设施中、大型维修，如：幕墙玻璃更换、中央空调大型维修、屋面专业防水、摄像监控设备更换等单价超过2000元的项目由甲方负责；如因操作不当引起的设备大、中修应由乙方承担维修责任。</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3、公共设施设备设日常小修与大中修责任界定。以单项单笔单价维修费2000元为界，日常小修费2000元(含)以下由乙方负责，维修报甲方同意后，费用从公共设施修费中列支。维修费单笔单项2000元以上，乙方报甲方确认后，费用由房屋维修基金管理中心拨付或甲方承担，其中涉及1#和2#共用部分的设备设施2000元以上单笔单项费，甲方两单位按地上面积比例分摊，公共设施维修费结余部分自动转入下年度使用。</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4、公共设施设备日常小修与大中修责任界定标准及审核。乙方负责的日常小修与大中修需列明维修清单，包含维修项目和市场公允报价，维修清单需按照实际维修情况列明，不得谎报、多报维修项目，维修清单需交甲方审核，甲方有权对维修清单的项目和价格进行质询，有权通过第三方评估报价。</w:t>
      </w:r>
    </w:p>
    <w:p>
      <w:pPr>
        <w:ind w:firstLine="480" w:firstLineChars="200"/>
        <w:rPr>
          <w:rFonts w:ascii="仿宋" w:eastAsia="仿宋" w:cs="宋体"/>
          <w:bCs/>
          <w:color w:val="auto"/>
          <w:sz w:val="24"/>
          <w:highlight w:val="none"/>
        </w:rPr>
      </w:pPr>
      <w:r>
        <w:rPr>
          <w:rFonts w:hint="eastAsia" w:ascii="仿宋" w:eastAsia="仿宋" w:cs="宋体"/>
          <w:color w:val="auto"/>
          <w:sz w:val="24"/>
          <w:highlight w:val="none"/>
        </w:rPr>
        <w:t>第六条</w:t>
      </w:r>
      <w:r>
        <w:rPr>
          <w:rFonts w:hint="eastAsia" w:ascii="仿宋" w:eastAsia="仿宋" w:cs="宋体"/>
          <w:bCs/>
          <w:color w:val="auto"/>
          <w:sz w:val="24"/>
          <w:highlight w:val="none"/>
        </w:rPr>
        <w:t xml:space="preserve">  转委托约定</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1、未经甲方书面同意，乙方不能将委托事务转委托。</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2、经甲方书面同意的转委托，以及专业性强的委托事务，经过甲方统一审定，由乙方与受转委托的第三方签订合同，并对第三方的行为承担责任。</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3、中央空调、电梯、消防系统专业维护，若接受第三方委托，必须为具有专业资质或从业许可证的专业单位维保。</w:t>
      </w:r>
    </w:p>
    <w:p>
      <w:pPr>
        <w:ind w:firstLine="480" w:firstLineChars="200"/>
        <w:rPr>
          <w:rFonts w:ascii="仿宋" w:eastAsia="仿宋" w:cs="宋体"/>
          <w:bCs/>
          <w:color w:val="auto"/>
          <w:sz w:val="24"/>
          <w:highlight w:val="none"/>
        </w:rPr>
      </w:pPr>
      <w:r>
        <w:rPr>
          <w:rFonts w:hint="eastAsia" w:ascii="仿宋" w:eastAsia="仿宋" w:cs="宋体"/>
          <w:bCs/>
          <w:color w:val="auto"/>
          <w:sz w:val="24"/>
          <w:highlight w:val="none"/>
        </w:rPr>
        <w:t>第七条  甲方权利与义务</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1、有权审定乙方编制的服务方案、人员编制、费用预算，并根据实际需求要求乙方调整服务方案、人员编制等。</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2、有权对乙方的工作计划、作息排班、服务质量进行监督，对不符合质量标准的服务、工作流程有权督促整改。</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3、为乙方的服务提供必要的工作条件及所必需的相关资料，包括办公用房、库房、员工更衣及休息场所等设施和涉及本综合服务外包所需的验收图纸、资料等。为乙方的综合服务外包提供相应的协助和配合。</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4、按合同约定的费用额度支付服务费。</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5、根据需要，有权要求乙方向甲方递交物业管理费财务决算和工资发放清单进行审查。</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6、甲方通过同乙方的有效沟通后，有权要求乙方对服务人员指定、更换或调整。</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7、甲方根据紧急情况和特殊目的需要，有权调配、指挥乙方工作人员完成特定工作和任务。</w:t>
      </w:r>
    </w:p>
    <w:p>
      <w:pPr>
        <w:ind w:firstLine="480" w:firstLineChars="200"/>
        <w:rPr>
          <w:rFonts w:ascii="仿宋" w:eastAsia="仿宋" w:cs="宋体"/>
          <w:color w:val="auto"/>
          <w:sz w:val="24"/>
          <w:highlight w:val="none"/>
        </w:rPr>
      </w:pPr>
      <w:r>
        <w:rPr>
          <w:rFonts w:ascii="仿宋" w:eastAsia="仿宋" w:cs="宋体"/>
          <w:color w:val="auto"/>
          <w:sz w:val="24"/>
          <w:highlight w:val="none"/>
        </w:rPr>
        <w:t>8</w:t>
      </w:r>
      <w:r>
        <w:rPr>
          <w:rFonts w:hint="eastAsia" w:ascii="仿宋" w:eastAsia="仿宋" w:cs="宋体"/>
          <w:color w:val="auto"/>
          <w:sz w:val="24"/>
          <w:highlight w:val="none"/>
        </w:rPr>
        <w:t>、按法律规定或经双方商定由甲方承担的其他责任和义务。</w:t>
      </w:r>
    </w:p>
    <w:p>
      <w:pPr>
        <w:ind w:firstLine="480" w:firstLineChars="200"/>
        <w:rPr>
          <w:rFonts w:ascii="仿宋" w:eastAsia="仿宋" w:cs="宋体"/>
          <w:bCs/>
          <w:color w:val="auto"/>
          <w:sz w:val="24"/>
          <w:highlight w:val="none"/>
        </w:rPr>
      </w:pPr>
      <w:r>
        <w:rPr>
          <w:rFonts w:hint="eastAsia" w:ascii="仿宋" w:eastAsia="仿宋" w:cs="宋体"/>
          <w:bCs/>
          <w:color w:val="auto"/>
          <w:sz w:val="24"/>
          <w:highlight w:val="none"/>
        </w:rPr>
        <w:t>第八条    乙方权利与义务</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1、应根据法律、法规的规定及本合同约定，编制综合服务外包方案、人员编制报甲方审定，费用预算报甲方备案。</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2、保证从事本项目的人员具备相应的职业资格和应有的素质要求。如需调整项目总负责人或核心团队岗位应事先通报甲方，并经甲方同意。对甲方提出认为不适合的在岗人员，乙方应作出相应调整。合同期内，未经甲方同意，乙方对承诺的服务情况自行变动，甲方将按照违约对乙方进行处理，并有权终止合同。</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3、乙方保证响应招标文件中的各项服务需求。</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4、乙方不得擅自占用、改变本物业的任何使用功能。</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5、合同终止时，乙方应向甲方提交综合服务外包总结报告。在约定时间内向甲方移交房屋、物料、设备、工具、档案和图纸资料；所有移交的内容都应有清单并由双方签收；全部手续完成后签署移交确认书。配合甲方做好与新一轮服务方交接工作，确保服务平稳过渡。</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6、根据需要，须向甲方递交物业管理费财务决算。</w:t>
      </w:r>
    </w:p>
    <w:p>
      <w:pPr>
        <w:ind w:firstLine="480" w:firstLineChars="200"/>
        <w:rPr>
          <w:rFonts w:ascii="仿宋" w:eastAsia="仿宋" w:cs="宋体"/>
          <w:color w:val="auto"/>
          <w:sz w:val="24"/>
          <w:highlight w:val="none"/>
        </w:rPr>
      </w:pPr>
      <w:r>
        <w:rPr>
          <w:rFonts w:ascii="仿宋" w:eastAsia="仿宋" w:cs="宋体"/>
          <w:color w:val="auto"/>
          <w:sz w:val="24"/>
          <w:highlight w:val="none"/>
        </w:rPr>
        <w:t>7</w:t>
      </w:r>
      <w:r>
        <w:rPr>
          <w:rFonts w:hint="eastAsia" w:ascii="仿宋" w:eastAsia="仿宋" w:cs="宋体"/>
          <w:color w:val="auto"/>
          <w:sz w:val="24"/>
          <w:highlight w:val="none"/>
        </w:rPr>
        <w:t>、乙方负责中央空调能耗费用的分摊，甲方两单位按地上在用中央空调面积占比分摊能耗费用。</w:t>
      </w:r>
    </w:p>
    <w:p>
      <w:pPr>
        <w:ind w:firstLine="480" w:firstLineChars="200"/>
        <w:rPr>
          <w:rFonts w:ascii="仿宋" w:eastAsia="仿宋" w:cs="宋体"/>
          <w:color w:val="auto"/>
          <w:sz w:val="24"/>
          <w:highlight w:val="none"/>
        </w:rPr>
      </w:pPr>
      <w:r>
        <w:rPr>
          <w:rFonts w:ascii="仿宋" w:eastAsia="仿宋" w:cs="宋体"/>
          <w:color w:val="auto"/>
          <w:sz w:val="24"/>
          <w:highlight w:val="none"/>
        </w:rPr>
        <w:t>8</w:t>
      </w:r>
      <w:r>
        <w:rPr>
          <w:rFonts w:hint="eastAsia" w:ascii="仿宋" w:eastAsia="仿宋" w:cs="宋体"/>
          <w:color w:val="auto"/>
          <w:sz w:val="24"/>
          <w:highlight w:val="none"/>
        </w:rPr>
        <w:t>、配合甲方做好大楼租赁工作。</w:t>
      </w:r>
    </w:p>
    <w:p>
      <w:pPr>
        <w:ind w:firstLine="480" w:firstLineChars="200"/>
        <w:rPr>
          <w:rFonts w:ascii="仿宋" w:eastAsia="仿宋" w:cs="宋体"/>
          <w:color w:val="auto"/>
          <w:sz w:val="24"/>
          <w:highlight w:val="none"/>
        </w:rPr>
      </w:pPr>
      <w:r>
        <w:rPr>
          <w:rFonts w:ascii="仿宋" w:eastAsia="仿宋" w:cs="宋体"/>
          <w:color w:val="auto"/>
          <w:sz w:val="24"/>
          <w:highlight w:val="none"/>
        </w:rPr>
        <w:t>9</w:t>
      </w:r>
      <w:r>
        <w:rPr>
          <w:rFonts w:hint="eastAsia" w:ascii="仿宋" w:eastAsia="仿宋" w:cs="宋体"/>
          <w:color w:val="auto"/>
          <w:sz w:val="24"/>
          <w:highlight w:val="none"/>
        </w:rPr>
        <w:t>、按法律规定或经双方商定应由乙方承担的其他责任和义务。</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第九条   不可抗力</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1、合同签订后，如因包括但不限于：自然灾害、战争、动乱、罢工、政府行为、法律法规变更等非合同任何一方可以预见、控制或避免的情形，导致合同不能履行或不能全面履行，属于不可抗力范畴，任何一方无须承担违约责任。但是一方须立即采取应急措施并立即通知另一方。</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2、遇有不可抗力情形时，双方应视不可抗力的影响，协商合同的中止或终止等相关事宜。终止合同的，物业费计算至合同终止日，双方按实进行结算。</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第十条   保密</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1、乙方有义务对本合同内容以及在履行本合同过程中获知的甲方的信息予以保密。除非法律规定或双方另有约定，乙方不得向第三方披露，也不得用于本合同之外的其他任何目的。</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2、在本协议终止或解除后或甲方要求时，乙方应及时将甲方提供的文件资料和信息返还甲方，或按甲方要求做适当处理。</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3、乙方违反保密义务的，应承担一切法律责任并赔偿甲方因此遭受的全部损失，包括但不限于诉讼费、律师费、公证费、调查取证费、保全担保费等等。</w:t>
      </w:r>
    </w:p>
    <w:p>
      <w:pPr>
        <w:ind w:firstLine="480" w:firstLineChars="200"/>
        <w:rPr>
          <w:rFonts w:ascii="仿宋" w:eastAsia="仿宋" w:cs="宋体"/>
          <w:bCs/>
          <w:color w:val="auto"/>
          <w:sz w:val="24"/>
          <w:highlight w:val="none"/>
        </w:rPr>
      </w:pPr>
      <w:r>
        <w:rPr>
          <w:rFonts w:hint="eastAsia" w:ascii="仿宋" w:eastAsia="仿宋" w:cs="宋体"/>
          <w:bCs/>
          <w:color w:val="auto"/>
          <w:sz w:val="24"/>
          <w:highlight w:val="none"/>
        </w:rPr>
        <w:t>第十一条    违约责任</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1、未征得甲方同意，乙方擅自调整或调换项目负责人，每更换一次，将扣除服务费5万元；各部门核心团队岗位人员更换或擅自离职，项目助理、部门主管扣除服务费1万元/人次，其他核心团队岗位人员扣除服务费0.5万元/人次。核心团队岗位人员年流动率超过15%的，超过部分每1%扣除服务费0.2万元。</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未能提前一个月提出书面离职申请的，视作擅自离职。</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2、由于乙方原因，造成不能完成本合同约定的管理目标或直接造成甲方损失的，乙方应给予甲方相应赔偿；甲方有权要求乙方限期整改，整改不合格的，甲方有权终止合同，乙方应赔偿甲方因此所遭受的全部损失，包括但不限于诉讼费、律师费、公证费、调查取证费、保全担保费。</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3、在无充分理由或无特殊情况下，甲方不得延期支付物业服务费。</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4、甲乙双方任何一方无充分理由提前终止合同，对方有权请求违约赔偿，违约金为物业管理费用年度预算的20%；</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5、物业从业人员在物业区域内造成的意外事件、人身或者财产损害与甲方无涉，责任由乙方承担；由于物业服务管理不当造成其他人员在物业区域内发生的意外事件、人身或财产损害由乙方负责。对甲方造成损害的，应赔偿经济损失，包括但不限于诉讼费、律师费、公证费、调查取证费、保全担保费等等。产生事故原因以政府专业部门鉴定为准。</w:t>
      </w:r>
    </w:p>
    <w:p>
      <w:pPr>
        <w:ind w:firstLine="480" w:firstLineChars="200"/>
        <w:rPr>
          <w:rFonts w:ascii="仿宋" w:eastAsia="仿宋" w:cs="宋体"/>
          <w:color w:val="auto"/>
          <w:sz w:val="24"/>
          <w:highlight w:val="none"/>
        </w:rPr>
      </w:pP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6、以下情况乙方不承担责任：</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（1）因不可抗力导致物业管理服务中断的；</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（2）乙方已履行本合同约定义务，但因硬件瑕疵造成损失的；</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（3）因非乙方责任出现供水、供电、供气、供热、通讯、有线电视及其他公用设施设备运行障碍造成损失的。</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（4）非乙方职责范围内或超出乙方解决能力，且乙方已事先书面告知甲方需要甲方改进的，但由于甲方改进不及时造成损失的。</w:t>
      </w:r>
    </w:p>
    <w:p>
      <w:pPr>
        <w:ind w:firstLine="480" w:firstLineChars="200"/>
        <w:rPr>
          <w:rFonts w:ascii="仿宋" w:eastAsia="仿宋" w:cs="宋体"/>
          <w:bCs/>
          <w:color w:val="auto"/>
          <w:sz w:val="24"/>
          <w:highlight w:val="none"/>
        </w:rPr>
      </w:pPr>
      <w:r>
        <w:rPr>
          <w:rFonts w:hint="eastAsia" w:ascii="仿宋" w:eastAsia="仿宋" w:cs="宋体"/>
          <w:bCs/>
          <w:color w:val="auto"/>
          <w:sz w:val="24"/>
          <w:highlight w:val="none"/>
        </w:rPr>
        <w:t>第十二条    争议解决方式</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双方发生争议的，可协商解决，或向有关部门申请调解，也可提请宁波仲裁委员会仲裁。</w:t>
      </w:r>
    </w:p>
    <w:p>
      <w:pPr>
        <w:ind w:firstLine="480" w:firstLineChars="200"/>
        <w:rPr>
          <w:rFonts w:ascii="仿宋" w:eastAsia="仿宋" w:cs="宋体"/>
          <w:bCs/>
          <w:color w:val="auto"/>
          <w:sz w:val="24"/>
          <w:highlight w:val="none"/>
        </w:rPr>
      </w:pPr>
      <w:r>
        <w:rPr>
          <w:rFonts w:hint="eastAsia" w:ascii="仿宋" w:eastAsia="仿宋" w:cs="宋体"/>
          <w:bCs/>
          <w:color w:val="auto"/>
          <w:sz w:val="24"/>
          <w:highlight w:val="none"/>
        </w:rPr>
        <w:t>第十三条    合同终止或续签</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1、乙方的服务水平未达到本项目标准和要求，未完成服务承诺的，甲方有权终止合同。</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2、若甲乙双方需提前中止合同，应至少提前3个月提交书面申请。若双方协商一致同意，经相关单位认可，可终止合同，费用据实结算。乙方应提前30天填报甲方的资产、设备、资料等交接清单，送甲方核实。</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3、新老物业管理公司交接时间为2个月，过渡期满后，乙方必须撤离。交接过渡期各自发生的费用，由各自承担。</w:t>
      </w:r>
    </w:p>
    <w:p>
      <w:pPr>
        <w:ind w:firstLine="480" w:firstLineChars="200"/>
        <w:rPr>
          <w:rFonts w:ascii="仿宋" w:eastAsia="仿宋" w:cs="宋体"/>
          <w:color w:val="auto"/>
          <w:sz w:val="24"/>
          <w:highlight w:val="none"/>
        </w:rPr>
      </w:pPr>
      <w:r>
        <w:rPr>
          <w:rFonts w:ascii="仿宋" w:eastAsia="仿宋" w:cs="宋体"/>
          <w:color w:val="auto"/>
          <w:sz w:val="24"/>
          <w:highlight w:val="none"/>
        </w:rPr>
        <w:t>4</w:t>
      </w:r>
      <w:r>
        <w:rPr>
          <w:rFonts w:hint="eastAsia" w:ascii="仿宋" w:eastAsia="仿宋" w:cs="宋体"/>
          <w:color w:val="auto"/>
          <w:sz w:val="24"/>
          <w:highlight w:val="none"/>
        </w:rPr>
        <w:t>、在合同履行期间，因不可抗力原因，双方无法履行合同的，自动解除合同。</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第十四条、其他约定</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1、下列文件应视为构成并作为阅读和理解本合同的组成部分，即：</w:t>
      </w:r>
    </w:p>
    <w:p>
      <w:pPr>
        <w:ind w:firstLine="360" w:firstLineChars="150"/>
        <w:rPr>
          <w:rFonts w:ascii="仿宋" w:eastAsia="仿宋" w:cs="宋体"/>
          <w:color w:val="auto"/>
          <w:sz w:val="24"/>
          <w:highlight w:val="none"/>
        </w:rPr>
      </w:pPr>
      <w:r>
        <w:rPr>
          <w:rFonts w:hint="eastAsia" w:ascii="仿宋" w:eastAsia="仿宋" w:cs="宋体"/>
          <w:color w:val="auto"/>
          <w:sz w:val="24"/>
          <w:highlight w:val="none"/>
        </w:rPr>
        <w:t>（1）本合同；</w:t>
      </w:r>
    </w:p>
    <w:p>
      <w:pPr>
        <w:ind w:firstLine="360" w:firstLineChars="150"/>
        <w:rPr>
          <w:rFonts w:ascii="仿宋" w:eastAsia="仿宋" w:cs="宋体"/>
          <w:color w:val="auto"/>
          <w:sz w:val="24"/>
          <w:highlight w:val="none"/>
        </w:rPr>
      </w:pPr>
      <w:r>
        <w:rPr>
          <w:rFonts w:hint="eastAsia" w:ascii="仿宋" w:eastAsia="仿宋" w:cs="宋体"/>
          <w:color w:val="auto"/>
          <w:sz w:val="24"/>
          <w:highlight w:val="none"/>
        </w:rPr>
        <w:t>（2）中标通知书；</w:t>
      </w:r>
    </w:p>
    <w:p>
      <w:pPr>
        <w:ind w:firstLine="360" w:firstLineChars="150"/>
        <w:rPr>
          <w:rFonts w:ascii="仿宋" w:eastAsia="仿宋" w:cs="宋体"/>
          <w:color w:val="auto"/>
          <w:sz w:val="24"/>
          <w:highlight w:val="none"/>
        </w:rPr>
      </w:pPr>
      <w:r>
        <w:rPr>
          <w:rFonts w:hint="eastAsia" w:ascii="仿宋" w:eastAsia="仿宋" w:cs="宋体"/>
          <w:color w:val="auto"/>
          <w:sz w:val="24"/>
          <w:highlight w:val="none"/>
        </w:rPr>
        <w:t>（3）宁波市东部新城B—8#办公楼物业服务项目招标文件；</w:t>
      </w:r>
    </w:p>
    <w:p>
      <w:pPr>
        <w:ind w:firstLine="360" w:firstLineChars="150"/>
        <w:rPr>
          <w:rFonts w:ascii="仿宋" w:eastAsia="仿宋" w:cs="宋体"/>
          <w:color w:val="auto"/>
          <w:sz w:val="24"/>
          <w:highlight w:val="none"/>
        </w:rPr>
      </w:pPr>
      <w:r>
        <w:rPr>
          <w:rFonts w:hint="eastAsia" w:ascii="仿宋" w:eastAsia="仿宋" w:cs="宋体"/>
          <w:color w:val="auto"/>
          <w:sz w:val="24"/>
          <w:highlight w:val="none"/>
        </w:rPr>
        <w:t>（4）宁波市东部新城B—8#办公楼物业服务项目投标书及投标书附录；</w:t>
      </w:r>
    </w:p>
    <w:p>
      <w:pPr>
        <w:ind w:firstLine="360" w:firstLineChars="150"/>
        <w:rPr>
          <w:rFonts w:ascii="仿宋" w:eastAsia="仿宋" w:cs="宋体"/>
          <w:color w:val="auto"/>
          <w:sz w:val="24"/>
          <w:highlight w:val="none"/>
        </w:rPr>
      </w:pPr>
      <w:r>
        <w:rPr>
          <w:rFonts w:hint="eastAsia" w:ascii="仿宋" w:eastAsia="仿宋" w:cs="宋体"/>
          <w:color w:val="auto"/>
          <w:sz w:val="24"/>
          <w:highlight w:val="none"/>
        </w:rPr>
        <w:t>（5）构成本合同组成部分的其他文件。</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2、本合同未尽事宜，双方可另行以书面形式签订补充协议，补充协议与本合同具有同等法律效力。</w:t>
      </w: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3、本合同一式肆份，甲乙双方各执两份，自双方签字盖章之日起生效。</w:t>
      </w:r>
    </w:p>
    <w:p>
      <w:pPr>
        <w:rPr>
          <w:rFonts w:ascii="仿宋" w:eastAsia="仿宋" w:cs="宋体"/>
          <w:color w:val="auto"/>
          <w:sz w:val="24"/>
          <w:highlight w:val="none"/>
        </w:rPr>
      </w:pPr>
    </w:p>
    <w:p>
      <w:pPr>
        <w:rPr>
          <w:rFonts w:ascii="仿宋" w:eastAsia="仿宋" w:cs="宋体"/>
          <w:color w:val="auto"/>
          <w:sz w:val="24"/>
          <w:highlight w:val="none"/>
        </w:rPr>
      </w:pPr>
    </w:p>
    <w:p>
      <w:pPr>
        <w:rPr>
          <w:rFonts w:ascii="仿宋" w:eastAsia="仿宋" w:cs="宋体"/>
          <w:color w:val="auto"/>
          <w:sz w:val="24"/>
          <w:highlight w:val="none"/>
        </w:rPr>
      </w:pP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甲方签章：                         乙方签章：</w:t>
      </w:r>
    </w:p>
    <w:p>
      <w:pPr>
        <w:rPr>
          <w:rFonts w:ascii="仿宋" w:eastAsia="仿宋" w:cs="宋体"/>
          <w:color w:val="auto"/>
          <w:sz w:val="24"/>
          <w:highlight w:val="none"/>
        </w:rPr>
      </w:pPr>
    </w:p>
    <w:p>
      <w:pPr>
        <w:rPr>
          <w:rFonts w:ascii="仿宋" w:eastAsia="仿宋" w:cs="宋体"/>
          <w:color w:val="auto"/>
          <w:sz w:val="24"/>
          <w:highlight w:val="none"/>
        </w:rPr>
      </w:pPr>
    </w:p>
    <w:p>
      <w:pPr>
        <w:rPr>
          <w:rFonts w:ascii="仿宋" w:eastAsia="仿宋" w:cs="宋体"/>
          <w:color w:val="auto"/>
          <w:sz w:val="24"/>
          <w:highlight w:val="none"/>
        </w:rPr>
      </w:pPr>
    </w:p>
    <w:p>
      <w:pPr>
        <w:rPr>
          <w:rFonts w:ascii="仿宋" w:eastAsia="仿宋" w:cs="宋体"/>
          <w:color w:val="auto"/>
          <w:sz w:val="24"/>
          <w:highlight w:val="none"/>
        </w:rPr>
      </w:pPr>
    </w:p>
    <w:p>
      <w:pPr>
        <w:rPr>
          <w:rFonts w:ascii="仿宋" w:eastAsia="仿宋" w:cs="宋体"/>
          <w:color w:val="auto"/>
          <w:sz w:val="24"/>
          <w:highlight w:val="none"/>
        </w:rPr>
      </w:pPr>
    </w:p>
    <w:p>
      <w:pPr>
        <w:ind w:firstLine="480" w:firstLineChars="200"/>
        <w:rPr>
          <w:rFonts w:ascii="仿宋" w:eastAsia="仿宋" w:cs="宋体"/>
          <w:color w:val="auto"/>
          <w:sz w:val="24"/>
          <w:highlight w:val="none"/>
        </w:rPr>
      </w:pPr>
      <w:r>
        <w:rPr>
          <w:rFonts w:hint="eastAsia" w:ascii="仿宋" w:eastAsia="仿宋" w:cs="宋体"/>
          <w:color w:val="auto"/>
          <w:sz w:val="24"/>
          <w:highlight w:val="none"/>
        </w:rPr>
        <w:t>法定代表人或委托代理人：           法定代表人或委托代理人：</w:t>
      </w:r>
    </w:p>
    <w:p>
      <w:pPr>
        <w:rPr>
          <w:rFonts w:ascii="仿宋" w:eastAsia="仿宋" w:cs="宋体"/>
          <w:color w:val="auto"/>
          <w:sz w:val="24"/>
          <w:highlight w:val="none"/>
        </w:rPr>
      </w:pPr>
    </w:p>
    <w:p>
      <w:pPr>
        <w:rPr>
          <w:rFonts w:ascii="仿宋" w:eastAsia="仿宋" w:cs="宋体"/>
          <w:color w:val="auto"/>
          <w:sz w:val="24"/>
          <w:highlight w:val="none"/>
        </w:rPr>
      </w:pPr>
    </w:p>
    <w:p>
      <w:pPr>
        <w:rPr>
          <w:rFonts w:ascii="仿宋" w:eastAsia="仿宋" w:cs="宋体"/>
          <w:color w:val="auto"/>
          <w:sz w:val="24"/>
          <w:highlight w:val="none"/>
        </w:rPr>
      </w:pPr>
    </w:p>
    <w:p>
      <w:pPr>
        <w:ind w:firstLine="720" w:firstLineChars="300"/>
        <w:rPr>
          <w:rFonts w:ascii="仿宋" w:eastAsia="仿宋" w:cs="宋体"/>
          <w:color w:val="auto"/>
          <w:sz w:val="24"/>
          <w:highlight w:val="none"/>
        </w:rPr>
      </w:pPr>
      <w:r>
        <w:rPr>
          <w:rFonts w:hint="eastAsia" w:ascii="仿宋" w:eastAsia="仿宋" w:cs="宋体"/>
          <w:color w:val="auto"/>
          <w:sz w:val="24"/>
          <w:highlight w:val="none"/>
        </w:rPr>
        <w:t>年    月   日</w:t>
      </w:r>
    </w:p>
    <w:p>
      <w:pPr>
        <w:pStyle w:val="12"/>
        <w:snapToGrid w:val="0"/>
        <w:spacing w:line="240" w:lineRule="auto"/>
        <w:rPr>
          <w:rFonts w:hint="eastAsia" w:hAnsi="宋体"/>
          <w:color w:val="auto"/>
          <w:highlight w:val="none"/>
        </w:rPr>
      </w:pPr>
    </w:p>
    <w:p>
      <w:pPr>
        <w:ind w:firstLine="425"/>
        <w:jc w:val="center"/>
        <w:rPr>
          <w:rFonts w:hint="eastAsia" w:eastAsia="黑体"/>
          <w:color w:val="auto"/>
          <w:sz w:val="32"/>
          <w:highlight w:val="none"/>
        </w:rPr>
      </w:pPr>
      <w:r>
        <w:rPr>
          <w:rFonts w:eastAsia="黑体"/>
          <w:color w:val="auto"/>
          <w:sz w:val="32"/>
          <w:highlight w:val="none"/>
        </w:rPr>
        <w:br w:type="page"/>
      </w:r>
      <w:r>
        <w:rPr>
          <w:rFonts w:hint="eastAsia" w:eastAsia="黑体"/>
          <w:color w:val="auto"/>
          <w:sz w:val="32"/>
          <w:highlight w:val="none"/>
        </w:rPr>
        <w:t>第六部分 投标文件格式</w:t>
      </w:r>
    </w:p>
    <w:p>
      <w:pPr>
        <w:jc w:val="left"/>
        <w:rPr>
          <w:rFonts w:hint="eastAsia" w:eastAsia="黑体"/>
          <w:color w:val="auto"/>
          <w:sz w:val="32"/>
          <w:highlight w:val="none"/>
        </w:rPr>
      </w:pPr>
      <w:r>
        <w:rPr>
          <w:rFonts w:hint="eastAsia" w:eastAsia="黑体"/>
          <w:color w:val="auto"/>
          <w:sz w:val="32"/>
          <w:highlight w:val="none"/>
        </w:rPr>
        <w:t xml:space="preserve">封面 </w:t>
      </w:r>
    </w:p>
    <w:p>
      <w:pPr>
        <w:jc w:val="left"/>
        <w:rPr>
          <w:rFonts w:hint="eastAsia" w:eastAsia="黑体"/>
          <w:color w:val="auto"/>
          <w:sz w:val="32"/>
          <w:highlight w:val="none"/>
        </w:rPr>
      </w:pPr>
    </w:p>
    <w:p>
      <w:pPr>
        <w:jc w:val="left"/>
        <w:rPr>
          <w:rFonts w:hint="eastAsia" w:eastAsia="黑体"/>
          <w:color w:val="auto"/>
          <w:sz w:val="32"/>
          <w:highlight w:val="none"/>
        </w:rPr>
      </w:pPr>
    </w:p>
    <w:p>
      <w:pPr>
        <w:rPr>
          <w:rFonts w:hint="eastAsia"/>
          <w:color w:val="auto"/>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w:t>
      </w: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标</w:t>
      </w: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文</w:t>
      </w:r>
    </w:p>
    <w:p>
      <w:pPr>
        <w:spacing w:line="360" w:lineRule="auto"/>
        <w:jc w:val="center"/>
        <w:rPr>
          <w:rFonts w:hint="eastAsia" w:ascii="宋体" w:hAnsi="宋体"/>
          <w:b/>
          <w:color w:val="auto"/>
          <w:sz w:val="72"/>
          <w:szCs w:val="72"/>
          <w:highlight w:val="none"/>
        </w:rPr>
      </w:pPr>
      <w:r>
        <w:rPr>
          <w:rFonts w:hint="eastAsia" w:ascii="宋体" w:hAnsi="宋体"/>
          <w:b/>
          <w:color w:val="auto"/>
          <w:sz w:val="72"/>
          <w:szCs w:val="72"/>
          <w:highlight w:val="none"/>
        </w:rPr>
        <w:t>件</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jc w:val="center"/>
        <w:rPr>
          <w:rFonts w:hint="eastAsia" w:ascii="黑体" w:eastAsia="黑体"/>
          <w:color w:val="auto"/>
          <w:sz w:val="36"/>
          <w:highlight w:val="none"/>
        </w:rPr>
      </w:pPr>
      <w:r>
        <w:rPr>
          <w:rFonts w:hint="eastAsia" w:ascii="黑体" w:eastAsia="黑体"/>
          <w:color w:val="auto"/>
          <w:sz w:val="36"/>
          <w:highlight w:val="none"/>
        </w:rPr>
        <w:t>采购编号:________________________</w:t>
      </w:r>
    </w:p>
    <w:p>
      <w:pPr>
        <w:jc w:val="center"/>
        <w:rPr>
          <w:rFonts w:hint="eastAsia" w:ascii="黑体" w:eastAsia="黑体"/>
          <w:color w:val="auto"/>
          <w:sz w:val="36"/>
          <w:highlight w:val="none"/>
        </w:rPr>
      </w:pPr>
      <w:r>
        <w:rPr>
          <w:rFonts w:hint="eastAsia" w:ascii="黑体" w:eastAsia="黑体"/>
          <w:color w:val="auto"/>
          <w:sz w:val="36"/>
          <w:highlight w:val="none"/>
        </w:rPr>
        <w:t>项目名称:________________________</w:t>
      </w:r>
    </w:p>
    <w:p>
      <w:pPr>
        <w:jc w:val="center"/>
        <w:rPr>
          <w:rFonts w:hint="eastAsia" w:ascii="黑体" w:eastAsia="黑体"/>
          <w:color w:val="auto"/>
          <w:sz w:val="36"/>
          <w:highlight w:val="none"/>
        </w:rPr>
      </w:pPr>
    </w:p>
    <w:p>
      <w:pPr>
        <w:jc w:val="center"/>
        <w:rPr>
          <w:rFonts w:hint="eastAsia" w:ascii="黑体" w:eastAsia="黑体"/>
          <w:color w:val="auto"/>
          <w:sz w:val="36"/>
          <w:highlight w:val="none"/>
        </w:rPr>
      </w:pPr>
      <w:r>
        <w:rPr>
          <w:rFonts w:hint="eastAsia" w:ascii="黑体" w:eastAsia="黑体"/>
          <w:color w:val="auto"/>
          <w:sz w:val="36"/>
          <w:highlight w:val="none"/>
        </w:rPr>
        <w:t>投 标 人:________________________</w:t>
      </w:r>
    </w:p>
    <w:p>
      <w:pPr>
        <w:jc w:val="center"/>
        <w:rPr>
          <w:rFonts w:hint="eastAsia" w:ascii="黑体" w:eastAsia="黑体"/>
          <w:color w:val="auto"/>
          <w:sz w:val="36"/>
          <w:highlight w:val="none"/>
        </w:rPr>
      </w:pPr>
    </w:p>
    <w:p>
      <w:pPr>
        <w:jc w:val="center"/>
        <w:rPr>
          <w:rFonts w:hint="eastAsia" w:ascii="黑体" w:eastAsia="黑体"/>
          <w:color w:val="auto"/>
          <w:sz w:val="32"/>
          <w:highlight w:val="none"/>
        </w:rPr>
      </w:pPr>
      <w:r>
        <w:rPr>
          <w:rFonts w:hint="eastAsia" w:ascii="黑体" w:eastAsia="黑体"/>
          <w:color w:val="auto"/>
          <w:sz w:val="32"/>
          <w:highlight w:val="none"/>
          <w:u w:val="single"/>
        </w:rPr>
        <w:t xml:space="preserve">   </w:t>
      </w:r>
      <w:r>
        <w:rPr>
          <w:rFonts w:hint="eastAsia" w:ascii="黑体" w:eastAsia="黑体"/>
          <w:color w:val="auto"/>
          <w:sz w:val="32"/>
          <w:highlight w:val="none"/>
        </w:rPr>
        <w:t>年</w:t>
      </w:r>
      <w:r>
        <w:rPr>
          <w:rFonts w:hint="eastAsia" w:ascii="黑体" w:eastAsia="黑体"/>
          <w:color w:val="auto"/>
          <w:sz w:val="32"/>
          <w:highlight w:val="none"/>
          <w:u w:val="single"/>
        </w:rPr>
        <w:t xml:space="preserve">   </w:t>
      </w:r>
      <w:r>
        <w:rPr>
          <w:rFonts w:hint="eastAsia" w:ascii="黑体" w:eastAsia="黑体"/>
          <w:color w:val="auto"/>
          <w:sz w:val="32"/>
          <w:highlight w:val="none"/>
        </w:rPr>
        <w:t>月</w:t>
      </w:r>
      <w:r>
        <w:rPr>
          <w:rFonts w:hint="eastAsia" w:ascii="黑体" w:eastAsia="黑体"/>
          <w:color w:val="auto"/>
          <w:sz w:val="32"/>
          <w:highlight w:val="none"/>
          <w:u w:val="single"/>
        </w:rPr>
        <w:t xml:space="preserve">   </w:t>
      </w:r>
      <w:r>
        <w:rPr>
          <w:rFonts w:hint="eastAsia" w:ascii="黑体" w:eastAsia="黑体"/>
          <w:color w:val="auto"/>
          <w:sz w:val="32"/>
          <w:highlight w:val="none"/>
        </w:rPr>
        <w:t>日</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jc w:val="center"/>
        <w:rPr>
          <w:rFonts w:hint="eastAsia" w:ascii="宋体" w:hAnsi="宋体" w:cs="宋体"/>
          <w:b/>
          <w:bCs/>
          <w:color w:val="auto"/>
          <w:sz w:val="44"/>
          <w:szCs w:val="44"/>
          <w:highlight w:val="none"/>
        </w:rPr>
      </w:pPr>
      <w:r>
        <w:rPr>
          <w:color w:val="auto"/>
          <w:highlight w:val="none"/>
        </w:rPr>
        <w:br w:type="page"/>
      </w:r>
      <w:r>
        <w:rPr>
          <w:rFonts w:hint="eastAsia"/>
          <w:b/>
          <w:bCs/>
          <w:color w:val="auto"/>
          <w:sz w:val="24"/>
          <w:szCs w:val="24"/>
          <w:highlight w:val="none"/>
        </w:rPr>
        <w:t>投标应答索引表</w:t>
      </w:r>
    </w:p>
    <w:tbl>
      <w:tblPr>
        <w:tblStyle w:val="20"/>
        <w:tblW w:w="924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6"/>
        <w:gridCol w:w="3238"/>
        <w:gridCol w:w="1984"/>
        <w:gridCol w:w="1243"/>
        <w:gridCol w:w="22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Pr>
        <w:tc>
          <w:tcPr>
            <w:tcW w:w="556" w:type="dxa"/>
            <w:noWrap w:val="0"/>
            <w:vAlign w:val="center"/>
          </w:tcPr>
          <w:p>
            <w:pPr>
              <w:snapToGrid w:val="0"/>
              <w:spacing w:line="4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序号</w:t>
            </w:r>
          </w:p>
        </w:tc>
        <w:tc>
          <w:tcPr>
            <w:tcW w:w="3238" w:type="dxa"/>
            <w:noWrap w:val="0"/>
            <w:vAlign w:val="center"/>
          </w:tcPr>
          <w:p>
            <w:pPr>
              <w:snapToGrid w:val="0"/>
              <w:spacing w:line="4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项目</w:t>
            </w:r>
          </w:p>
        </w:tc>
        <w:tc>
          <w:tcPr>
            <w:tcW w:w="1984" w:type="dxa"/>
            <w:noWrap w:val="0"/>
            <w:vAlign w:val="center"/>
          </w:tcPr>
          <w:p>
            <w:pPr>
              <w:snapToGrid w:val="0"/>
              <w:spacing w:line="4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投标人应答内容</w:t>
            </w:r>
          </w:p>
        </w:tc>
        <w:tc>
          <w:tcPr>
            <w:tcW w:w="1243" w:type="dxa"/>
            <w:noWrap w:val="0"/>
            <w:vAlign w:val="center"/>
          </w:tcPr>
          <w:p>
            <w:pPr>
              <w:snapToGrid w:val="0"/>
              <w:spacing w:line="4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在投标文件中页码</w:t>
            </w:r>
          </w:p>
        </w:tc>
        <w:tc>
          <w:tcPr>
            <w:tcW w:w="2220" w:type="dxa"/>
            <w:noWrap w:val="0"/>
            <w:vAlign w:val="center"/>
          </w:tcPr>
          <w:p>
            <w:pPr>
              <w:snapToGrid w:val="0"/>
              <w:spacing w:line="4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Pr>
        <w:tc>
          <w:tcPr>
            <w:tcW w:w="556"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w:t>
            </w:r>
          </w:p>
        </w:tc>
        <w:tc>
          <w:tcPr>
            <w:tcW w:w="3238" w:type="dxa"/>
            <w:noWrap w:val="0"/>
            <w:vAlign w:val="center"/>
          </w:tcPr>
          <w:p>
            <w:pPr>
              <w:snapToGrid w:val="0"/>
              <w:spacing w:line="40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b/>
                <w:bCs/>
                <w:color w:val="auto"/>
                <w:szCs w:val="21"/>
                <w:highlight w:val="none"/>
              </w:rPr>
              <w:t>报价部分</w:t>
            </w:r>
          </w:p>
        </w:tc>
        <w:tc>
          <w:tcPr>
            <w:tcW w:w="1984" w:type="dxa"/>
            <w:noWrap w:val="0"/>
            <w:vAlign w:val="center"/>
          </w:tcPr>
          <w:p>
            <w:pPr>
              <w:snapToGrid w:val="0"/>
              <w:spacing w:line="4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p>
        </w:tc>
        <w:tc>
          <w:tcPr>
            <w:tcW w:w="1243"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p>
        </w:tc>
        <w:tc>
          <w:tcPr>
            <w:tcW w:w="2220"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Pr>
        <w:tc>
          <w:tcPr>
            <w:tcW w:w="556" w:type="dxa"/>
            <w:noWrap w:val="0"/>
            <w:vAlign w:val="center"/>
          </w:tcPr>
          <w:p>
            <w:pPr>
              <w:snapToGrid w:val="0"/>
              <w:spacing w:line="4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p>
        </w:tc>
        <w:tc>
          <w:tcPr>
            <w:tcW w:w="3238" w:type="dxa"/>
            <w:noWrap w:val="0"/>
            <w:vAlign w:val="center"/>
          </w:tcPr>
          <w:p>
            <w:pPr>
              <w:snapToGrid w:val="0"/>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投标函</w:t>
            </w:r>
          </w:p>
        </w:tc>
        <w:tc>
          <w:tcPr>
            <w:tcW w:w="1984"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有，彩色扫描件</w:t>
            </w:r>
          </w:p>
        </w:tc>
        <w:tc>
          <w:tcPr>
            <w:tcW w:w="1243" w:type="dxa"/>
            <w:noWrap w:val="0"/>
            <w:vAlign w:val="center"/>
          </w:tcPr>
          <w:p>
            <w:pPr>
              <w:snapToGrid w:val="0"/>
              <w:spacing w:line="400" w:lineRule="exact"/>
              <w:rPr>
                <w:rFonts w:ascii="微软雅黑" w:hAnsi="微软雅黑" w:eastAsia="微软雅黑" w:cs="微软雅黑"/>
                <w:color w:val="auto"/>
                <w:szCs w:val="21"/>
                <w:highlight w:val="none"/>
              </w:rPr>
            </w:pPr>
          </w:p>
        </w:tc>
        <w:tc>
          <w:tcPr>
            <w:tcW w:w="2220" w:type="dxa"/>
            <w:noWrap w:val="0"/>
            <w:vAlign w:val="center"/>
          </w:tcPr>
          <w:p>
            <w:pPr>
              <w:snapToGrid w:val="0"/>
              <w:spacing w:line="400" w:lineRule="exact"/>
              <w:rPr>
                <w:rFonts w:ascii="微软雅黑" w:hAnsi="微软雅黑" w:eastAsia="微软雅黑"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Pr>
        <w:tc>
          <w:tcPr>
            <w:tcW w:w="556"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p>
        </w:tc>
        <w:tc>
          <w:tcPr>
            <w:tcW w:w="3238" w:type="dxa"/>
            <w:noWrap w:val="0"/>
            <w:vAlign w:val="center"/>
          </w:tcPr>
          <w:p>
            <w:pPr>
              <w:snapToGrid w:val="0"/>
              <w:spacing w:line="40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4"/>
                <w:highlight w:val="none"/>
              </w:rPr>
              <w:t>开标一览表</w:t>
            </w:r>
          </w:p>
        </w:tc>
        <w:tc>
          <w:tcPr>
            <w:tcW w:w="1984"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w:t>
            </w:r>
          </w:p>
        </w:tc>
        <w:tc>
          <w:tcPr>
            <w:tcW w:w="1243" w:type="dxa"/>
            <w:noWrap w:val="0"/>
            <w:vAlign w:val="center"/>
          </w:tcPr>
          <w:p>
            <w:pPr>
              <w:snapToGrid w:val="0"/>
              <w:spacing w:line="400" w:lineRule="exact"/>
              <w:rPr>
                <w:rFonts w:ascii="微软雅黑" w:hAnsi="微软雅黑" w:eastAsia="微软雅黑" w:cs="微软雅黑"/>
                <w:color w:val="auto"/>
                <w:szCs w:val="21"/>
                <w:highlight w:val="none"/>
              </w:rPr>
            </w:pPr>
          </w:p>
        </w:tc>
        <w:tc>
          <w:tcPr>
            <w:tcW w:w="2220" w:type="dxa"/>
            <w:noWrap w:val="0"/>
            <w:vAlign w:val="center"/>
          </w:tcPr>
          <w:p>
            <w:pPr>
              <w:snapToGrid w:val="0"/>
              <w:spacing w:line="400" w:lineRule="exact"/>
              <w:rPr>
                <w:rFonts w:ascii="微软雅黑" w:hAnsi="微软雅黑" w:eastAsia="微软雅黑"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Pr>
        <w:tc>
          <w:tcPr>
            <w:tcW w:w="556"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w:t>
            </w:r>
          </w:p>
        </w:tc>
        <w:tc>
          <w:tcPr>
            <w:tcW w:w="3238" w:type="dxa"/>
            <w:noWrap w:val="0"/>
            <w:vAlign w:val="center"/>
          </w:tcPr>
          <w:p>
            <w:pPr>
              <w:snapToGrid w:val="0"/>
              <w:spacing w:line="40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4"/>
                <w:highlight w:val="none"/>
              </w:rPr>
              <w:t>物业管理费构成明细报价表</w:t>
            </w:r>
          </w:p>
        </w:tc>
        <w:tc>
          <w:tcPr>
            <w:tcW w:w="1984"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w:t>
            </w:r>
          </w:p>
        </w:tc>
        <w:tc>
          <w:tcPr>
            <w:tcW w:w="1243" w:type="dxa"/>
            <w:noWrap w:val="0"/>
            <w:vAlign w:val="center"/>
          </w:tcPr>
          <w:p>
            <w:pPr>
              <w:snapToGrid w:val="0"/>
              <w:spacing w:line="400" w:lineRule="exact"/>
              <w:rPr>
                <w:rFonts w:ascii="微软雅黑" w:hAnsi="微软雅黑" w:eastAsia="微软雅黑" w:cs="微软雅黑"/>
                <w:color w:val="auto"/>
                <w:szCs w:val="21"/>
                <w:highlight w:val="none"/>
              </w:rPr>
            </w:pPr>
          </w:p>
        </w:tc>
        <w:tc>
          <w:tcPr>
            <w:tcW w:w="2220" w:type="dxa"/>
            <w:noWrap w:val="0"/>
            <w:vAlign w:val="center"/>
          </w:tcPr>
          <w:p>
            <w:pPr>
              <w:snapToGrid w:val="0"/>
              <w:spacing w:line="400" w:lineRule="exact"/>
              <w:rPr>
                <w:rFonts w:ascii="微软雅黑" w:hAnsi="微软雅黑" w:eastAsia="微软雅黑"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Pr>
        <w:tc>
          <w:tcPr>
            <w:tcW w:w="556"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w:t>
            </w:r>
          </w:p>
        </w:tc>
        <w:tc>
          <w:tcPr>
            <w:tcW w:w="3238" w:type="dxa"/>
            <w:noWrap w:val="0"/>
            <w:vAlign w:val="center"/>
          </w:tcPr>
          <w:p>
            <w:pPr>
              <w:snapToGrid w:val="0"/>
              <w:spacing w:line="400" w:lineRule="exact"/>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为完成本项目配备的办公及安保、清卫等设备明细表</w:t>
            </w:r>
          </w:p>
        </w:tc>
        <w:tc>
          <w:tcPr>
            <w:tcW w:w="1984"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w:t>
            </w:r>
          </w:p>
        </w:tc>
        <w:tc>
          <w:tcPr>
            <w:tcW w:w="1243" w:type="dxa"/>
            <w:noWrap w:val="0"/>
            <w:vAlign w:val="center"/>
          </w:tcPr>
          <w:p>
            <w:pPr>
              <w:snapToGrid w:val="0"/>
              <w:spacing w:line="400" w:lineRule="exact"/>
              <w:rPr>
                <w:rFonts w:ascii="微软雅黑" w:hAnsi="微软雅黑" w:eastAsia="微软雅黑" w:cs="微软雅黑"/>
                <w:color w:val="auto"/>
                <w:szCs w:val="21"/>
                <w:highlight w:val="none"/>
              </w:rPr>
            </w:pPr>
          </w:p>
        </w:tc>
        <w:tc>
          <w:tcPr>
            <w:tcW w:w="2220" w:type="dxa"/>
            <w:noWrap w:val="0"/>
            <w:vAlign w:val="center"/>
          </w:tcPr>
          <w:p>
            <w:pPr>
              <w:snapToGrid w:val="0"/>
              <w:spacing w:line="400" w:lineRule="exact"/>
              <w:rPr>
                <w:rFonts w:ascii="微软雅黑" w:hAnsi="微软雅黑" w:eastAsia="微软雅黑"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Pr>
        <w:tc>
          <w:tcPr>
            <w:tcW w:w="556"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w:t>
            </w:r>
          </w:p>
        </w:tc>
        <w:tc>
          <w:tcPr>
            <w:tcW w:w="3238" w:type="dxa"/>
            <w:noWrap w:val="0"/>
            <w:vAlign w:val="center"/>
          </w:tcPr>
          <w:p>
            <w:pPr>
              <w:snapToGrid w:val="0"/>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其他报价资料</w:t>
            </w:r>
          </w:p>
        </w:tc>
        <w:tc>
          <w:tcPr>
            <w:tcW w:w="1984"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p>
        </w:tc>
        <w:tc>
          <w:tcPr>
            <w:tcW w:w="1243" w:type="dxa"/>
            <w:noWrap w:val="0"/>
            <w:vAlign w:val="center"/>
          </w:tcPr>
          <w:p>
            <w:pPr>
              <w:snapToGrid w:val="0"/>
              <w:spacing w:line="400" w:lineRule="exact"/>
              <w:rPr>
                <w:rFonts w:ascii="微软雅黑" w:hAnsi="微软雅黑" w:eastAsia="微软雅黑" w:cs="微软雅黑"/>
                <w:color w:val="auto"/>
                <w:szCs w:val="21"/>
                <w:highlight w:val="none"/>
              </w:rPr>
            </w:pPr>
          </w:p>
        </w:tc>
        <w:tc>
          <w:tcPr>
            <w:tcW w:w="2220" w:type="dxa"/>
            <w:noWrap w:val="0"/>
            <w:vAlign w:val="center"/>
          </w:tcPr>
          <w:p>
            <w:pPr>
              <w:snapToGrid w:val="0"/>
              <w:spacing w:line="400" w:lineRule="exact"/>
              <w:rPr>
                <w:rFonts w:ascii="微软雅黑" w:hAnsi="微软雅黑" w:eastAsia="微软雅黑"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Pr>
        <w:tc>
          <w:tcPr>
            <w:tcW w:w="556"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w:t>
            </w:r>
          </w:p>
        </w:tc>
        <w:tc>
          <w:tcPr>
            <w:tcW w:w="3238" w:type="dxa"/>
            <w:noWrap w:val="0"/>
            <w:vAlign w:val="center"/>
          </w:tcPr>
          <w:p>
            <w:pPr>
              <w:snapToGrid w:val="0"/>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b/>
                <w:bCs/>
                <w:color w:val="auto"/>
                <w:szCs w:val="21"/>
                <w:highlight w:val="none"/>
              </w:rPr>
              <w:t>商务技术部分</w:t>
            </w:r>
          </w:p>
        </w:tc>
        <w:tc>
          <w:tcPr>
            <w:tcW w:w="1984"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p>
        </w:tc>
        <w:tc>
          <w:tcPr>
            <w:tcW w:w="1243"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p>
        </w:tc>
        <w:tc>
          <w:tcPr>
            <w:tcW w:w="2220"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Pr>
        <w:tc>
          <w:tcPr>
            <w:tcW w:w="556"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p>
        </w:tc>
        <w:tc>
          <w:tcPr>
            <w:tcW w:w="3238" w:type="dxa"/>
            <w:noWrap w:val="0"/>
            <w:vAlign w:val="center"/>
          </w:tcPr>
          <w:p>
            <w:pPr>
              <w:snapToGrid w:val="0"/>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投标人情况介绍</w:t>
            </w:r>
          </w:p>
        </w:tc>
        <w:tc>
          <w:tcPr>
            <w:tcW w:w="1984"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w:t>
            </w:r>
          </w:p>
        </w:tc>
        <w:tc>
          <w:tcPr>
            <w:tcW w:w="1243" w:type="dxa"/>
            <w:noWrap w:val="0"/>
            <w:vAlign w:val="center"/>
          </w:tcPr>
          <w:p>
            <w:pPr>
              <w:snapToGrid w:val="0"/>
              <w:spacing w:line="400" w:lineRule="exact"/>
              <w:rPr>
                <w:rFonts w:ascii="微软雅黑" w:hAnsi="微软雅黑" w:eastAsia="微软雅黑" w:cs="微软雅黑"/>
                <w:color w:val="auto"/>
                <w:szCs w:val="21"/>
                <w:highlight w:val="none"/>
              </w:rPr>
            </w:pPr>
          </w:p>
        </w:tc>
        <w:tc>
          <w:tcPr>
            <w:tcW w:w="2220" w:type="dxa"/>
            <w:noWrap w:val="0"/>
            <w:vAlign w:val="center"/>
          </w:tcPr>
          <w:p>
            <w:pPr>
              <w:snapToGrid w:val="0"/>
              <w:spacing w:line="400" w:lineRule="exact"/>
              <w:rPr>
                <w:rFonts w:ascii="微软雅黑" w:hAnsi="微软雅黑" w:eastAsia="微软雅黑"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Pr>
        <w:tc>
          <w:tcPr>
            <w:tcW w:w="556" w:type="dxa"/>
            <w:noWrap w:val="0"/>
            <w:vAlign w:val="center"/>
          </w:tcPr>
          <w:p>
            <w:pPr>
              <w:snapToGrid w:val="0"/>
              <w:spacing w:line="4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p>
        </w:tc>
        <w:tc>
          <w:tcPr>
            <w:tcW w:w="3238" w:type="dxa"/>
            <w:noWrap w:val="0"/>
            <w:vAlign w:val="center"/>
          </w:tcPr>
          <w:p>
            <w:pPr>
              <w:snapToGrid w:val="0"/>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类似物业项目案例</w:t>
            </w:r>
          </w:p>
        </w:tc>
        <w:tc>
          <w:tcPr>
            <w:tcW w:w="1984"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有或没有</w:t>
            </w:r>
          </w:p>
        </w:tc>
        <w:tc>
          <w:tcPr>
            <w:tcW w:w="1243" w:type="dxa"/>
            <w:noWrap w:val="0"/>
            <w:vAlign w:val="center"/>
          </w:tcPr>
          <w:p>
            <w:pPr>
              <w:snapToGrid w:val="0"/>
              <w:spacing w:line="400" w:lineRule="exact"/>
              <w:rPr>
                <w:rFonts w:ascii="微软雅黑" w:hAnsi="微软雅黑" w:eastAsia="微软雅黑" w:cs="微软雅黑"/>
                <w:color w:val="auto"/>
                <w:szCs w:val="21"/>
                <w:highlight w:val="none"/>
              </w:rPr>
            </w:pPr>
          </w:p>
        </w:tc>
        <w:tc>
          <w:tcPr>
            <w:tcW w:w="2220" w:type="dxa"/>
            <w:noWrap w:val="0"/>
            <w:vAlign w:val="center"/>
          </w:tcPr>
          <w:p>
            <w:pPr>
              <w:snapToGrid w:val="0"/>
              <w:spacing w:line="400" w:lineRule="exact"/>
              <w:rPr>
                <w:rFonts w:ascii="微软雅黑" w:hAnsi="微软雅黑" w:eastAsia="微软雅黑"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Pr>
        <w:tc>
          <w:tcPr>
            <w:tcW w:w="556" w:type="dxa"/>
            <w:noWrap w:val="0"/>
            <w:vAlign w:val="center"/>
          </w:tcPr>
          <w:p>
            <w:pPr>
              <w:snapToGrid w:val="0"/>
              <w:spacing w:line="4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w:t>
            </w:r>
          </w:p>
        </w:tc>
        <w:tc>
          <w:tcPr>
            <w:tcW w:w="3238" w:type="dxa"/>
            <w:noWrap w:val="0"/>
            <w:vAlign w:val="center"/>
          </w:tcPr>
          <w:p>
            <w:pPr>
              <w:snapToGrid w:val="0"/>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zh-CN"/>
              </w:rPr>
              <w:t>项目人员组成</w:t>
            </w:r>
          </w:p>
        </w:tc>
        <w:tc>
          <w:tcPr>
            <w:tcW w:w="1984"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w:t>
            </w:r>
          </w:p>
        </w:tc>
        <w:tc>
          <w:tcPr>
            <w:tcW w:w="1243" w:type="dxa"/>
            <w:noWrap w:val="0"/>
            <w:vAlign w:val="center"/>
          </w:tcPr>
          <w:p>
            <w:pPr>
              <w:snapToGrid w:val="0"/>
              <w:spacing w:line="400" w:lineRule="exact"/>
              <w:rPr>
                <w:rFonts w:ascii="微软雅黑" w:hAnsi="微软雅黑" w:eastAsia="微软雅黑" w:cs="微软雅黑"/>
                <w:color w:val="auto"/>
                <w:szCs w:val="21"/>
                <w:highlight w:val="none"/>
              </w:rPr>
            </w:pPr>
          </w:p>
        </w:tc>
        <w:tc>
          <w:tcPr>
            <w:tcW w:w="2220" w:type="dxa"/>
            <w:noWrap w:val="0"/>
            <w:vAlign w:val="center"/>
          </w:tcPr>
          <w:p>
            <w:pPr>
              <w:snapToGrid w:val="0"/>
              <w:spacing w:line="400" w:lineRule="exact"/>
              <w:rPr>
                <w:rFonts w:ascii="微软雅黑" w:hAnsi="微软雅黑" w:eastAsia="微软雅黑"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Pr>
        <w:tc>
          <w:tcPr>
            <w:tcW w:w="556" w:type="dxa"/>
            <w:noWrap w:val="0"/>
            <w:vAlign w:val="center"/>
          </w:tcPr>
          <w:p>
            <w:pPr>
              <w:snapToGrid w:val="0"/>
              <w:spacing w:line="4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w:t>
            </w:r>
          </w:p>
        </w:tc>
        <w:tc>
          <w:tcPr>
            <w:tcW w:w="3238" w:type="dxa"/>
            <w:noWrap w:val="0"/>
            <w:vAlign w:val="center"/>
          </w:tcPr>
          <w:p>
            <w:pPr>
              <w:snapToGrid w:val="0"/>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4"/>
                <w:highlight w:val="none"/>
              </w:rPr>
              <w:t>其他商务技术资料</w:t>
            </w:r>
          </w:p>
        </w:tc>
        <w:tc>
          <w:tcPr>
            <w:tcW w:w="1984"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p>
        </w:tc>
        <w:tc>
          <w:tcPr>
            <w:tcW w:w="1243" w:type="dxa"/>
            <w:noWrap w:val="0"/>
            <w:vAlign w:val="center"/>
          </w:tcPr>
          <w:p>
            <w:pPr>
              <w:snapToGrid w:val="0"/>
              <w:spacing w:line="400" w:lineRule="exact"/>
              <w:rPr>
                <w:rFonts w:ascii="微软雅黑" w:hAnsi="微软雅黑" w:eastAsia="微软雅黑" w:cs="微软雅黑"/>
                <w:color w:val="auto"/>
                <w:szCs w:val="21"/>
                <w:highlight w:val="none"/>
              </w:rPr>
            </w:pPr>
          </w:p>
        </w:tc>
        <w:tc>
          <w:tcPr>
            <w:tcW w:w="2220" w:type="dxa"/>
            <w:noWrap w:val="0"/>
            <w:vAlign w:val="center"/>
          </w:tcPr>
          <w:p>
            <w:pPr>
              <w:snapToGrid w:val="0"/>
              <w:spacing w:line="400" w:lineRule="exact"/>
              <w:rPr>
                <w:rFonts w:ascii="微软雅黑" w:hAnsi="微软雅黑" w:eastAsia="微软雅黑"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Pr>
        <w:tc>
          <w:tcPr>
            <w:tcW w:w="556"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w:t>
            </w:r>
          </w:p>
        </w:tc>
        <w:tc>
          <w:tcPr>
            <w:tcW w:w="3238" w:type="dxa"/>
            <w:noWrap w:val="0"/>
            <w:vAlign w:val="center"/>
          </w:tcPr>
          <w:p>
            <w:pPr>
              <w:snapToGrid w:val="0"/>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b/>
                <w:bCs/>
                <w:color w:val="auto"/>
                <w:szCs w:val="21"/>
                <w:highlight w:val="none"/>
              </w:rPr>
              <w:t>资格响应部分</w:t>
            </w:r>
          </w:p>
        </w:tc>
        <w:tc>
          <w:tcPr>
            <w:tcW w:w="1984"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p>
        </w:tc>
        <w:tc>
          <w:tcPr>
            <w:tcW w:w="1243"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p>
        </w:tc>
        <w:tc>
          <w:tcPr>
            <w:tcW w:w="2220"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Pr>
        <w:tc>
          <w:tcPr>
            <w:tcW w:w="556"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p>
        </w:tc>
        <w:tc>
          <w:tcPr>
            <w:tcW w:w="3238" w:type="dxa"/>
            <w:noWrap w:val="0"/>
            <w:vAlign w:val="top"/>
          </w:tcPr>
          <w:p>
            <w:pPr>
              <w:snapToGrid w:val="0"/>
              <w:spacing w:line="400" w:lineRule="exact"/>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特定资格条件证明材料</w:t>
            </w:r>
          </w:p>
        </w:tc>
        <w:tc>
          <w:tcPr>
            <w:tcW w:w="1984"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有或没有</w:t>
            </w:r>
          </w:p>
        </w:tc>
        <w:tc>
          <w:tcPr>
            <w:tcW w:w="1243" w:type="dxa"/>
            <w:noWrap w:val="0"/>
            <w:vAlign w:val="center"/>
          </w:tcPr>
          <w:p>
            <w:pPr>
              <w:snapToGrid w:val="0"/>
              <w:spacing w:line="400" w:lineRule="exact"/>
              <w:rPr>
                <w:rFonts w:ascii="微软雅黑" w:hAnsi="微软雅黑" w:eastAsia="微软雅黑" w:cs="微软雅黑"/>
                <w:color w:val="auto"/>
                <w:szCs w:val="21"/>
                <w:highlight w:val="none"/>
              </w:rPr>
            </w:pPr>
          </w:p>
        </w:tc>
        <w:tc>
          <w:tcPr>
            <w:tcW w:w="2220" w:type="dxa"/>
            <w:noWrap w:val="0"/>
            <w:vAlign w:val="center"/>
          </w:tcPr>
          <w:p>
            <w:pPr>
              <w:snapToGrid w:val="0"/>
              <w:spacing w:line="400" w:lineRule="exact"/>
              <w:rPr>
                <w:rFonts w:ascii="微软雅黑" w:hAnsi="微软雅黑" w:eastAsia="微软雅黑"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Pr>
        <w:tc>
          <w:tcPr>
            <w:tcW w:w="556"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p>
        </w:tc>
        <w:tc>
          <w:tcPr>
            <w:tcW w:w="3238" w:type="dxa"/>
            <w:noWrap w:val="0"/>
            <w:vAlign w:val="top"/>
          </w:tcPr>
          <w:p>
            <w:pPr>
              <w:snapToGrid w:val="0"/>
              <w:spacing w:line="400" w:lineRule="exact"/>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营业执照、事业单位、社团组织、民办非企业等登记证副本</w:t>
            </w:r>
          </w:p>
        </w:tc>
        <w:tc>
          <w:tcPr>
            <w:tcW w:w="1984"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有，彩色扫描件</w:t>
            </w:r>
          </w:p>
        </w:tc>
        <w:tc>
          <w:tcPr>
            <w:tcW w:w="1243" w:type="dxa"/>
            <w:noWrap w:val="0"/>
            <w:vAlign w:val="center"/>
          </w:tcPr>
          <w:p>
            <w:pPr>
              <w:snapToGrid w:val="0"/>
              <w:spacing w:line="400" w:lineRule="exact"/>
              <w:rPr>
                <w:rFonts w:ascii="微软雅黑" w:hAnsi="微软雅黑" w:eastAsia="微软雅黑" w:cs="微软雅黑"/>
                <w:color w:val="auto"/>
                <w:szCs w:val="21"/>
                <w:highlight w:val="none"/>
              </w:rPr>
            </w:pPr>
          </w:p>
        </w:tc>
        <w:tc>
          <w:tcPr>
            <w:tcW w:w="2220" w:type="dxa"/>
            <w:noWrap w:val="0"/>
            <w:vAlign w:val="center"/>
          </w:tcPr>
          <w:p>
            <w:pPr>
              <w:snapToGrid w:val="0"/>
              <w:spacing w:line="400" w:lineRule="exact"/>
              <w:rPr>
                <w:rFonts w:ascii="微软雅黑" w:hAnsi="微软雅黑" w:eastAsia="微软雅黑"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Pr>
        <w:tc>
          <w:tcPr>
            <w:tcW w:w="556"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w:t>
            </w:r>
          </w:p>
        </w:tc>
        <w:tc>
          <w:tcPr>
            <w:tcW w:w="3238" w:type="dxa"/>
            <w:noWrap w:val="0"/>
            <w:vAlign w:val="center"/>
          </w:tcPr>
          <w:p>
            <w:pPr>
              <w:snapToGrid w:val="0"/>
              <w:spacing w:line="400" w:lineRule="exact"/>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财务状况表</w:t>
            </w:r>
          </w:p>
        </w:tc>
        <w:tc>
          <w:tcPr>
            <w:tcW w:w="1984" w:type="dxa"/>
            <w:noWrap w:val="0"/>
            <w:vAlign w:val="center"/>
          </w:tcPr>
          <w:p>
            <w:pPr>
              <w:snapToGrid w:val="0"/>
              <w:spacing w:line="4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w:t>
            </w:r>
          </w:p>
        </w:tc>
        <w:tc>
          <w:tcPr>
            <w:tcW w:w="1243" w:type="dxa"/>
            <w:noWrap w:val="0"/>
            <w:vAlign w:val="top"/>
          </w:tcPr>
          <w:p>
            <w:pPr>
              <w:snapToGrid w:val="0"/>
              <w:spacing w:line="400" w:lineRule="exact"/>
              <w:rPr>
                <w:rFonts w:hint="eastAsia" w:ascii="微软雅黑" w:hAnsi="微软雅黑" w:eastAsia="微软雅黑" w:cs="微软雅黑"/>
                <w:color w:val="auto"/>
                <w:szCs w:val="24"/>
                <w:highlight w:val="none"/>
              </w:rPr>
            </w:pPr>
          </w:p>
        </w:tc>
        <w:tc>
          <w:tcPr>
            <w:tcW w:w="2220"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Pr>
        <w:tc>
          <w:tcPr>
            <w:tcW w:w="556"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w:t>
            </w:r>
          </w:p>
        </w:tc>
        <w:tc>
          <w:tcPr>
            <w:tcW w:w="3238" w:type="dxa"/>
            <w:noWrap w:val="0"/>
            <w:vAlign w:val="center"/>
          </w:tcPr>
          <w:p>
            <w:pPr>
              <w:snapToGrid w:val="0"/>
              <w:spacing w:line="400" w:lineRule="exact"/>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法定代表人授权书</w:t>
            </w:r>
          </w:p>
        </w:tc>
        <w:tc>
          <w:tcPr>
            <w:tcW w:w="1984" w:type="dxa"/>
            <w:noWrap w:val="0"/>
            <w:vAlign w:val="center"/>
          </w:tcPr>
          <w:p>
            <w:pPr>
              <w:snapToGrid w:val="0"/>
              <w:spacing w:line="4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有，彩色扫描件或没有</w:t>
            </w:r>
          </w:p>
        </w:tc>
        <w:tc>
          <w:tcPr>
            <w:tcW w:w="1243" w:type="dxa"/>
            <w:noWrap w:val="0"/>
            <w:vAlign w:val="center"/>
          </w:tcPr>
          <w:p>
            <w:pPr>
              <w:snapToGrid w:val="0"/>
              <w:spacing w:line="400" w:lineRule="exact"/>
              <w:rPr>
                <w:rFonts w:ascii="微软雅黑" w:hAnsi="微软雅黑" w:eastAsia="微软雅黑" w:cs="微软雅黑"/>
                <w:color w:val="auto"/>
                <w:szCs w:val="21"/>
                <w:highlight w:val="none"/>
              </w:rPr>
            </w:pPr>
          </w:p>
        </w:tc>
        <w:tc>
          <w:tcPr>
            <w:tcW w:w="2220" w:type="dxa"/>
            <w:noWrap w:val="0"/>
            <w:vAlign w:val="center"/>
          </w:tcPr>
          <w:p>
            <w:pPr>
              <w:snapToGrid w:val="0"/>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4"/>
                <w:highlight w:val="none"/>
              </w:rPr>
              <w:t>法定代表人、被授权人身份证明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Pr>
        <w:tc>
          <w:tcPr>
            <w:tcW w:w="556"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w:t>
            </w:r>
          </w:p>
        </w:tc>
        <w:tc>
          <w:tcPr>
            <w:tcW w:w="3238" w:type="dxa"/>
            <w:noWrap w:val="0"/>
            <w:vAlign w:val="top"/>
          </w:tcPr>
          <w:p>
            <w:pPr>
              <w:snapToGrid w:val="0"/>
              <w:spacing w:line="400" w:lineRule="exact"/>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诚信投标承诺书</w:t>
            </w:r>
          </w:p>
        </w:tc>
        <w:tc>
          <w:tcPr>
            <w:tcW w:w="1984"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w:t>
            </w:r>
          </w:p>
        </w:tc>
        <w:tc>
          <w:tcPr>
            <w:tcW w:w="1243" w:type="dxa"/>
            <w:noWrap w:val="0"/>
            <w:vAlign w:val="center"/>
          </w:tcPr>
          <w:p>
            <w:pPr>
              <w:snapToGrid w:val="0"/>
              <w:spacing w:line="400" w:lineRule="exact"/>
              <w:rPr>
                <w:rFonts w:ascii="微软雅黑" w:hAnsi="微软雅黑" w:eastAsia="微软雅黑" w:cs="微软雅黑"/>
                <w:color w:val="auto"/>
                <w:szCs w:val="21"/>
                <w:highlight w:val="none"/>
              </w:rPr>
            </w:pPr>
          </w:p>
        </w:tc>
        <w:tc>
          <w:tcPr>
            <w:tcW w:w="2220" w:type="dxa"/>
            <w:noWrap w:val="0"/>
            <w:vAlign w:val="center"/>
          </w:tcPr>
          <w:p>
            <w:pPr>
              <w:snapToGrid w:val="0"/>
              <w:spacing w:line="400" w:lineRule="exact"/>
              <w:rPr>
                <w:rFonts w:ascii="微软雅黑" w:hAnsi="微软雅黑" w:eastAsia="微软雅黑"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Pr>
        <w:tc>
          <w:tcPr>
            <w:tcW w:w="556"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w:t>
            </w:r>
          </w:p>
        </w:tc>
        <w:tc>
          <w:tcPr>
            <w:tcW w:w="3238" w:type="dxa"/>
            <w:noWrap w:val="0"/>
            <w:vAlign w:val="top"/>
          </w:tcPr>
          <w:p>
            <w:pPr>
              <w:snapToGrid w:val="0"/>
              <w:spacing w:line="400" w:lineRule="exact"/>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中小微企业申明函</w:t>
            </w:r>
          </w:p>
        </w:tc>
        <w:tc>
          <w:tcPr>
            <w:tcW w:w="1984" w:type="dxa"/>
            <w:noWrap w:val="0"/>
            <w:vAlign w:val="center"/>
          </w:tcPr>
          <w:p>
            <w:pPr>
              <w:snapToGrid w:val="0"/>
              <w:spacing w:line="400" w:lineRule="exact"/>
              <w:jc w:val="center"/>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有或没有</w:t>
            </w:r>
          </w:p>
        </w:tc>
        <w:tc>
          <w:tcPr>
            <w:tcW w:w="1243" w:type="dxa"/>
            <w:tcBorders>
              <w:bottom w:val="single" w:color="auto" w:sz="4" w:space="0"/>
            </w:tcBorders>
            <w:noWrap w:val="0"/>
            <w:vAlign w:val="center"/>
          </w:tcPr>
          <w:p>
            <w:pPr>
              <w:snapToGrid w:val="0"/>
              <w:spacing w:line="400" w:lineRule="exact"/>
              <w:rPr>
                <w:rFonts w:ascii="微软雅黑" w:hAnsi="微软雅黑" w:eastAsia="微软雅黑" w:cs="微软雅黑"/>
                <w:color w:val="auto"/>
                <w:szCs w:val="21"/>
                <w:highlight w:val="none"/>
              </w:rPr>
            </w:pPr>
          </w:p>
        </w:tc>
        <w:tc>
          <w:tcPr>
            <w:tcW w:w="2220" w:type="dxa"/>
            <w:tcBorders>
              <w:bottom w:val="single" w:color="auto" w:sz="4" w:space="0"/>
            </w:tcBorders>
            <w:noWrap w:val="0"/>
            <w:vAlign w:val="center"/>
          </w:tcPr>
          <w:p>
            <w:pPr>
              <w:snapToGrid w:val="0"/>
              <w:spacing w:line="400" w:lineRule="exact"/>
              <w:rPr>
                <w:rFonts w:hint="eastAsia" w:ascii="微软雅黑" w:hAnsi="微软雅黑" w:eastAsia="微软雅黑"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Pr>
        <w:tc>
          <w:tcPr>
            <w:tcW w:w="556"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w:t>
            </w:r>
          </w:p>
        </w:tc>
        <w:tc>
          <w:tcPr>
            <w:tcW w:w="3238" w:type="dxa"/>
            <w:noWrap w:val="0"/>
            <w:vAlign w:val="top"/>
          </w:tcPr>
          <w:p>
            <w:pPr>
              <w:snapToGrid w:val="0"/>
              <w:spacing w:line="400" w:lineRule="exact"/>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残疾人福利性单位声明函</w:t>
            </w:r>
          </w:p>
        </w:tc>
        <w:tc>
          <w:tcPr>
            <w:tcW w:w="1984" w:type="dxa"/>
            <w:noWrap w:val="0"/>
            <w:vAlign w:val="center"/>
          </w:tcPr>
          <w:p>
            <w:pPr>
              <w:snapToGrid w:val="0"/>
              <w:spacing w:line="4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有或没有</w:t>
            </w:r>
          </w:p>
        </w:tc>
        <w:tc>
          <w:tcPr>
            <w:tcW w:w="1243" w:type="dxa"/>
            <w:tcBorders>
              <w:bottom w:val="single" w:color="auto" w:sz="4" w:space="0"/>
            </w:tcBorders>
            <w:noWrap w:val="0"/>
            <w:vAlign w:val="center"/>
          </w:tcPr>
          <w:p>
            <w:pPr>
              <w:snapToGrid w:val="0"/>
              <w:spacing w:line="400" w:lineRule="exact"/>
              <w:rPr>
                <w:rFonts w:ascii="微软雅黑" w:hAnsi="微软雅黑" w:eastAsia="微软雅黑" w:cs="微软雅黑"/>
                <w:color w:val="auto"/>
                <w:szCs w:val="21"/>
                <w:highlight w:val="none"/>
              </w:rPr>
            </w:pPr>
          </w:p>
        </w:tc>
        <w:tc>
          <w:tcPr>
            <w:tcW w:w="2220" w:type="dxa"/>
            <w:tcBorders>
              <w:bottom w:val="single" w:color="auto" w:sz="4" w:space="0"/>
            </w:tcBorders>
            <w:noWrap w:val="0"/>
            <w:vAlign w:val="center"/>
          </w:tcPr>
          <w:p>
            <w:pPr>
              <w:snapToGrid w:val="0"/>
              <w:spacing w:line="40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授权他人的需要提供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Pr>
        <w:tc>
          <w:tcPr>
            <w:tcW w:w="556"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8</w:t>
            </w:r>
          </w:p>
        </w:tc>
        <w:tc>
          <w:tcPr>
            <w:tcW w:w="3238" w:type="dxa"/>
            <w:noWrap w:val="0"/>
            <w:vAlign w:val="top"/>
          </w:tcPr>
          <w:p>
            <w:pPr>
              <w:snapToGrid w:val="0"/>
              <w:spacing w:line="400" w:lineRule="exact"/>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联合投标协议及成员方资格材料</w:t>
            </w:r>
          </w:p>
        </w:tc>
        <w:tc>
          <w:tcPr>
            <w:tcW w:w="1984" w:type="dxa"/>
            <w:noWrap w:val="0"/>
            <w:vAlign w:val="center"/>
          </w:tcPr>
          <w:p>
            <w:pPr>
              <w:snapToGrid w:val="0"/>
              <w:spacing w:line="4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有或没有</w:t>
            </w:r>
          </w:p>
        </w:tc>
        <w:tc>
          <w:tcPr>
            <w:tcW w:w="1243" w:type="dxa"/>
            <w:tcBorders>
              <w:bottom w:val="single" w:color="auto" w:sz="4" w:space="0"/>
            </w:tcBorders>
            <w:noWrap w:val="0"/>
            <w:vAlign w:val="center"/>
          </w:tcPr>
          <w:p>
            <w:pPr>
              <w:snapToGrid w:val="0"/>
              <w:spacing w:line="400" w:lineRule="exact"/>
              <w:rPr>
                <w:rFonts w:ascii="微软雅黑" w:hAnsi="微软雅黑" w:eastAsia="微软雅黑" w:cs="微软雅黑"/>
                <w:color w:val="auto"/>
                <w:szCs w:val="21"/>
                <w:highlight w:val="none"/>
              </w:rPr>
            </w:pPr>
          </w:p>
        </w:tc>
        <w:tc>
          <w:tcPr>
            <w:tcW w:w="2220" w:type="dxa"/>
            <w:tcBorders>
              <w:bottom w:val="single" w:color="auto" w:sz="4" w:space="0"/>
            </w:tcBorders>
            <w:noWrap w:val="0"/>
            <w:vAlign w:val="center"/>
          </w:tcPr>
          <w:p>
            <w:pPr>
              <w:snapToGrid w:val="0"/>
              <w:spacing w:line="400" w:lineRule="exact"/>
              <w:rPr>
                <w:rFonts w:ascii="微软雅黑" w:hAnsi="微软雅黑" w:eastAsia="微软雅黑"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Pr>
        <w:tc>
          <w:tcPr>
            <w:tcW w:w="556" w:type="dxa"/>
            <w:noWrap w:val="0"/>
            <w:vAlign w:val="center"/>
          </w:tcPr>
          <w:p>
            <w:pPr>
              <w:snapToGrid w:val="0"/>
              <w:spacing w:line="4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9</w:t>
            </w:r>
          </w:p>
        </w:tc>
        <w:tc>
          <w:tcPr>
            <w:tcW w:w="3238" w:type="dxa"/>
            <w:noWrap w:val="0"/>
            <w:vAlign w:val="center"/>
          </w:tcPr>
          <w:p>
            <w:pPr>
              <w:snapToGrid w:val="0"/>
              <w:spacing w:line="400" w:lineRule="exact"/>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其他资格证明资料</w:t>
            </w:r>
          </w:p>
        </w:tc>
        <w:tc>
          <w:tcPr>
            <w:tcW w:w="1984" w:type="dxa"/>
            <w:noWrap w:val="0"/>
            <w:vAlign w:val="center"/>
          </w:tcPr>
          <w:p>
            <w:pPr>
              <w:snapToGrid w:val="0"/>
              <w:spacing w:line="400" w:lineRule="exact"/>
              <w:jc w:val="center"/>
              <w:rPr>
                <w:rFonts w:ascii="微软雅黑" w:hAnsi="微软雅黑" w:eastAsia="微软雅黑" w:cs="微软雅黑"/>
                <w:color w:val="auto"/>
                <w:szCs w:val="21"/>
                <w:highlight w:val="none"/>
              </w:rPr>
            </w:pPr>
          </w:p>
        </w:tc>
        <w:tc>
          <w:tcPr>
            <w:tcW w:w="1243" w:type="dxa"/>
            <w:tcBorders>
              <w:top w:val="single" w:color="auto" w:sz="4" w:space="0"/>
              <w:bottom w:val="single" w:color="auto" w:sz="4" w:space="0"/>
            </w:tcBorders>
            <w:noWrap w:val="0"/>
            <w:vAlign w:val="center"/>
          </w:tcPr>
          <w:p>
            <w:pPr>
              <w:snapToGrid w:val="0"/>
              <w:spacing w:line="400" w:lineRule="exact"/>
              <w:rPr>
                <w:rFonts w:ascii="微软雅黑" w:hAnsi="微软雅黑" w:eastAsia="微软雅黑" w:cs="微软雅黑"/>
                <w:color w:val="auto"/>
                <w:szCs w:val="21"/>
                <w:highlight w:val="none"/>
              </w:rPr>
            </w:pPr>
          </w:p>
        </w:tc>
        <w:tc>
          <w:tcPr>
            <w:tcW w:w="2220" w:type="dxa"/>
            <w:tcBorders>
              <w:top w:val="single" w:color="auto" w:sz="4" w:space="0"/>
              <w:bottom w:val="single" w:color="auto" w:sz="4" w:space="0"/>
            </w:tcBorders>
            <w:noWrap w:val="0"/>
            <w:vAlign w:val="center"/>
          </w:tcPr>
          <w:p>
            <w:pPr>
              <w:snapToGrid w:val="0"/>
              <w:spacing w:line="400" w:lineRule="exact"/>
              <w:rPr>
                <w:rFonts w:ascii="微软雅黑" w:hAnsi="微软雅黑" w:eastAsia="微软雅黑" w:cs="微软雅黑"/>
                <w:color w:val="auto"/>
                <w:szCs w:val="21"/>
                <w:highlight w:val="none"/>
              </w:rPr>
            </w:pPr>
          </w:p>
        </w:tc>
      </w:tr>
    </w:tbl>
    <w:p>
      <w:pPr>
        <w:pStyle w:val="11"/>
        <w:ind w:left="316" w:hanging="316" w:hangingChars="175"/>
        <w:rPr>
          <w:rFonts w:hint="eastAsia" w:ascii="宋体" w:hAnsi="宋体"/>
          <w:b/>
          <w:color w:val="auto"/>
          <w:szCs w:val="21"/>
          <w:highlight w:val="none"/>
        </w:rPr>
      </w:pPr>
    </w:p>
    <w:p>
      <w:pPr>
        <w:pStyle w:val="11"/>
        <w:ind w:left="562" w:hanging="562" w:hangingChars="175"/>
        <w:jc w:val="center"/>
        <w:rPr>
          <w:rFonts w:hint="eastAsia" w:ascii="仿宋_GB2312" w:hAnsi="宋体" w:eastAsia="仿宋_GB2312"/>
          <w:b/>
          <w:i w:val="0"/>
          <w:iCs/>
          <w:color w:val="auto"/>
          <w:sz w:val="32"/>
          <w:szCs w:val="32"/>
          <w:highlight w:val="none"/>
        </w:rPr>
      </w:pPr>
      <w:r>
        <w:rPr>
          <w:rFonts w:hint="eastAsia" w:ascii="仿宋_GB2312" w:hAnsi="宋体" w:eastAsia="仿宋_GB2312"/>
          <w:b/>
          <w:i w:val="0"/>
          <w:iCs/>
          <w:color w:val="auto"/>
          <w:sz w:val="32"/>
          <w:szCs w:val="32"/>
          <w:highlight w:val="none"/>
        </w:rPr>
        <w:br w:type="page"/>
      </w:r>
      <w:r>
        <w:rPr>
          <w:rFonts w:hint="eastAsia" w:ascii="仿宋_GB2312" w:hAnsi="宋体" w:eastAsia="仿宋_GB2312"/>
          <w:b/>
          <w:i w:val="0"/>
          <w:iCs/>
          <w:color w:val="auto"/>
          <w:sz w:val="32"/>
          <w:szCs w:val="32"/>
          <w:highlight w:val="none"/>
        </w:rPr>
        <w:t>一、报价部分</w:t>
      </w:r>
    </w:p>
    <w:p>
      <w:pPr>
        <w:pStyle w:val="11"/>
        <w:ind w:left="562" w:hanging="562" w:hangingChars="175"/>
        <w:jc w:val="center"/>
        <w:rPr>
          <w:rFonts w:hint="eastAsia" w:ascii="仿宋_GB2312" w:hAnsi="宋体" w:eastAsia="仿宋_GB2312"/>
          <w:b/>
          <w:i w:val="0"/>
          <w:iCs/>
          <w:color w:val="auto"/>
          <w:sz w:val="32"/>
          <w:szCs w:val="32"/>
          <w:highlight w:val="none"/>
        </w:rPr>
      </w:pPr>
      <w:r>
        <w:rPr>
          <w:rFonts w:hint="eastAsia" w:ascii="仿宋_GB2312" w:hAnsi="宋体" w:eastAsia="仿宋_GB2312"/>
          <w:b/>
          <w:i w:val="0"/>
          <w:iCs/>
          <w:color w:val="auto"/>
          <w:sz w:val="32"/>
          <w:szCs w:val="32"/>
          <w:highlight w:val="none"/>
        </w:rPr>
        <w:t>1、投标函</w:t>
      </w:r>
    </w:p>
    <w:p>
      <w:pPr>
        <w:spacing w:line="400" w:lineRule="exact"/>
        <w:rPr>
          <w:rFonts w:hint="eastAsia" w:ascii="宋体" w:hAnsi="宋体"/>
          <w:color w:val="auto"/>
          <w:sz w:val="24"/>
          <w:szCs w:val="24"/>
          <w:highlight w:val="none"/>
        </w:rPr>
      </w:pPr>
    </w:p>
    <w:p>
      <w:pPr>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宁波市政府采购中心</w:t>
      </w:r>
      <w:r>
        <w:rPr>
          <w:rFonts w:hint="eastAsia" w:ascii="宋体" w:hAnsi="宋体"/>
          <w:color w:val="auto"/>
          <w:sz w:val="24"/>
          <w:szCs w:val="24"/>
          <w:highlight w:val="none"/>
        </w:rPr>
        <w:t xml:space="preserve">  </w:t>
      </w:r>
    </w:p>
    <w:p>
      <w:pPr>
        <w:spacing w:line="400" w:lineRule="exact"/>
        <w:jc w:val="left"/>
        <w:rPr>
          <w:rFonts w:hint="eastAsia" w:ascii="宋体" w:hAnsi="宋体"/>
          <w:color w:val="auto"/>
          <w:sz w:val="24"/>
          <w:szCs w:val="24"/>
          <w:highlight w:val="none"/>
        </w:rPr>
      </w:pPr>
      <w:r>
        <w:rPr>
          <w:rFonts w:hint="eastAsia" w:ascii="宋体" w:hAnsi="宋体"/>
          <w:color w:val="auto"/>
          <w:sz w:val="24"/>
          <w:szCs w:val="24"/>
          <w:highlight w:val="none"/>
        </w:rPr>
        <w:t xml:space="preserve">    我方参加贵方组织</w:t>
      </w:r>
      <w:r>
        <w:rPr>
          <w:rFonts w:hint="eastAsia" w:ascii="宋体" w:hAnsi="宋体"/>
          <w:i/>
          <w:iCs/>
          <w:color w:val="auto"/>
          <w:sz w:val="24"/>
          <w:szCs w:val="24"/>
          <w:highlight w:val="none"/>
          <w:u w:val="single"/>
        </w:rPr>
        <w:t>项目名称(</w:t>
      </w:r>
      <w:r>
        <w:rPr>
          <w:rFonts w:hint="eastAsia" w:ascii="宋体" w:hAnsi="宋体"/>
          <w:color w:val="auto"/>
          <w:sz w:val="24"/>
          <w:szCs w:val="24"/>
          <w:highlight w:val="none"/>
        </w:rPr>
        <w:t>采购编号</w:t>
      </w:r>
      <w:r>
        <w:rPr>
          <w:rFonts w:hint="eastAsia" w:ascii="宋体" w:hAnsi="宋体"/>
          <w:color w:val="auto"/>
          <w:sz w:val="24"/>
          <w:szCs w:val="24"/>
          <w:highlight w:val="none"/>
          <w:u w:val="single"/>
        </w:rPr>
        <w:t>XXXXX</w:t>
      </w:r>
      <w:r>
        <w:rPr>
          <w:rFonts w:hint="eastAsia" w:ascii="宋体" w:hAnsi="宋体"/>
          <w:i/>
          <w:iCs/>
          <w:color w:val="auto"/>
          <w:sz w:val="24"/>
          <w:szCs w:val="24"/>
          <w:highlight w:val="none"/>
          <w:u w:val="single"/>
        </w:rPr>
        <w:t>)</w:t>
      </w:r>
      <w:r>
        <w:rPr>
          <w:rFonts w:hint="eastAsia" w:ascii="宋体" w:hAnsi="宋体"/>
          <w:color w:val="auto"/>
          <w:sz w:val="24"/>
          <w:szCs w:val="24"/>
          <w:highlight w:val="none"/>
        </w:rPr>
        <w:t>招标的有关活动，并进行电子投标。据此函，我方宣布同意如下：</w:t>
      </w:r>
    </w:p>
    <w:p>
      <w:pPr>
        <w:numPr>
          <w:ilvl w:val="0"/>
          <w:numId w:val="12"/>
        </w:numPr>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提供投标须知规定的全部电子投标文件，上传到“政采云”平台。</w:t>
      </w:r>
    </w:p>
    <w:p>
      <w:pPr>
        <w:numPr>
          <w:ilvl w:val="0"/>
          <w:numId w:val="12"/>
        </w:numPr>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投标报价详见开标一览表。</w:t>
      </w:r>
    </w:p>
    <w:p>
      <w:pPr>
        <w:numPr>
          <w:ilvl w:val="0"/>
          <w:numId w:val="12"/>
        </w:numPr>
        <w:tabs>
          <w:tab w:val="clear" w:pos="840"/>
        </w:tabs>
        <w:spacing w:line="400" w:lineRule="exact"/>
        <w:ind w:left="0" w:firstLine="525"/>
        <w:rPr>
          <w:rFonts w:hint="eastAsia" w:ascii="宋体" w:hAnsi="宋体"/>
          <w:color w:val="auto"/>
          <w:sz w:val="24"/>
          <w:szCs w:val="24"/>
          <w:highlight w:val="none"/>
        </w:rPr>
      </w:pPr>
      <w:r>
        <w:rPr>
          <w:rFonts w:ascii="宋体" w:hAnsi="宋体"/>
          <w:color w:val="auto"/>
          <w:sz w:val="24"/>
          <w:szCs w:val="24"/>
          <w:highlight w:val="none"/>
        </w:rPr>
        <w:t>已详细审查全部招标文件，包括修改文件（如</w:t>
      </w:r>
      <w:r>
        <w:rPr>
          <w:rFonts w:hint="eastAsia" w:ascii="宋体" w:hAnsi="宋体"/>
          <w:color w:val="auto"/>
          <w:sz w:val="24"/>
          <w:szCs w:val="24"/>
          <w:highlight w:val="none"/>
        </w:rPr>
        <w:t>有的话</w:t>
      </w:r>
      <w:r>
        <w:rPr>
          <w:rFonts w:ascii="宋体" w:hAnsi="宋体"/>
          <w:color w:val="auto"/>
          <w:sz w:val="24"/>
          <w:szCs w:val="24"/>
          <w:highlight w:val="none"/>
        </w:rPr>
        <w:t>）以及全部参考资料和有关附件</w:t>
      </w:r>
      <w:r>
        <w:rPr>
          <w:rFonts w:hint="eastAsia" w:ascii="宋体" w:hAnsi="宋体"/>
          <w:color w:val="auto"/>
          <w:sz w:val="24"/>
          <w:szCs w:val="24"/>
          <w:highlight w:val="none"/>
        </w:rPr>
        <w:t>，</w:t>
      </w:r>
      <w:r>
        <w:rPr>
          <w:rFonts w:ascii="宋体" w:hAnsi="宋体"/>
          <w:color w:val="auto"/>
          <w:sz w:val="24"/>
          <w:szCs w:val="24"/>
          <w:highlight w:val="none"/>
        </w:rPr>
        <w:t>我</w:t>
      </w:r>
      <w:r>
        <w:rPr>
          <w:rFonts w:hint="eastAsia" w:ascii="宋体" w:hAnsi="宋体"/>
          <w:color w:val="auto"/>
          <w:sz w:val="24"/>
          <w:szCs w:val="24"/>
          <w:highlight w:val="none"/>
        </w:rPr>
        <w:t>方</w:t>
      </w:r>
      <w:r>
        <w:rPr>
          <w:rFonts w:ascii="宋体" w:hAnsi="宋体"/>
          <w:color w:val="auto"/>
          <w:sz w:val="24"/>
          <w:szCs w:val="24"/>
          <w:highlight w:val="none"/>
        </w:rPr>
        <w:t>完全理解并同意放弃对这方面有不明及误解的权利。</w:t>
      </w:r>
    </w:p>
    <w:p>
      <w:pPr>
        <w:numPr>
          <w:ilvl w:val="0"/>
          <w:numId w:val="12"/>
        </w:numPr>
        <w:tabs>
          <w:tab w:val="left" w:pos="0"/>
          <w:tab w:val="clear" w:pos="840"/>
        </w:tabs>
        <w:spacing w:line="400" w:lineRule="exact"/>
        <w:ind w:left="0" w:firstLine="525"/>
        <w:rPr>
          <w:rFonts w:hint="eastAsia" w:ascii="宋体" w:hAnsi="宋体"/>
          <w:color w:val="auto"/>
          <w:sz w:val="24"/>
          <w:szCs w:val="24"/>
          <w:highlight w:val="none"/>
        </w:rPr>
      </w:pPr>
      <w:r>
        <w:rPr>
          <w:rFonts w:hint="eastAsia" w:ascii="宋体" w:hAnsi="宋体"/>
          <w:color w:val="auto"/>
          <w:sz w:val="24"/>
          <w:szCs w:val="24"/>
          <w:highlight w:val="none"/>
        </w:rPr>
        <w:t>保证遵守招标文件中的有关规定，承担规定的责任义务</w:t>
      </w:r>
      <w:r>
        <w:rPr>
          <w:rFonts w:ascii="宋体" w:hAnsi="宋体"/>
          <w:color w:val="auto"/>
          <w:sz w:val="24"/>
          <w:szCs w:val="24"/>
          <w:highlight w:val="none"/>
        </w:rPr>
        <w:t>。</w:t>
      </w:r>
    </w:p>
    <w:p>
      <w:pPr>
        <w:numPr>
          <w:ilvl w:val="0"/>
          <w:numId w:val="12"/>
        </w:numPr>
        <w:tabs>
          <w:tab w:val="left" w:pos="-315"/>
          <w:tab w:val="clear" w:pos="840"/>
        </w:tabs>
        <w:spacing w:line="400" w:lineRule="exact"/>
        <w:ind w:left="0" w:firstLine="525"/>
        <w:rPr>
          <w:rFonts w:hint="eastAsia" w:ascii="宋体" w:hAnsi="宋体"/>
          <w:color w:val="auto"/>
          <w:sz w:val="24"/>
          <w:szCs w:val="24"/>
          <w:highlight w:val="none"/>
        </w:rPr>
      </w:pPr>
      <w:r>
        <w:rPr>
          <w:rFonts w:ascii="宋体" w:hAnsi="宋体"/>
          <w:color w:val="auto"/>
          <w:sz w:val="24"/>
          <w:szCs w:val="24"/>
          <w:highlight w:val="none"/>
        </w:rPr>
        <w:t>提供按照贵方可能要求的与其投标有关的一切数据或资料</w:t>
      </w:r>
      <w:r>
        <w:rPr>
          <w:rFonts w:hint="eastAsia" w:ascii="宋体" w:hAnsi="宋体"/>
          <w:color w:val="auto"/>
          <w:sz w:val="24"/>
          <w:szCs w:val="24"/>
          <w:highlight w:val="none"/>
        </w:rPr>
        <w:t>，完全理解贵方不一定接受最低价的投标或收到的任何投标</w:t>
      </w:r>
      <w:r>
        <w:rPr>
          <w:rFonts w:ascii="宋体" w:hAnsi="宋体"/>
          <w:color w:val="auto"/>
          <w:sz w:val="24"/>
          <w:szCs w:val="24"/>
          <w:highlight w:val="none"/>
        </w:rPr>
        <w:t>。</w:t>
      </w:r>
    </w:p>
    <w:p>
      <w:pPr>
        <w:numPr>
          <w:ilvl w:val="0"/>
          <w:numId w:val="12"/>
        </w:numPr>
        <w:tabs>
          <w:tab w:val="left" w:pos="-315"/>
          <w:tab w:val="clear" w:pos="840"/>
        </w:tabs>
        <w:spacing w:line="400" w:lineRule="exact"/>
        <w:ind w:left="0" w:firstLine="525"/>
        <w:rPr>
          <w:rFonts w:hint="eastAsia" w:ascii="宋体" w:hAnsi="宋体"/>
          <w:color w:val="auto"/>
          <w:sz w:val="24"/>
          <w:szCs w:val="24"/>
          <w:highlight w:val="none"/>
        </w:rPr>
      </w:pPr>
      <w:r>
        <w:rPr>
          <w:rFonts w:hint="eastAsia" w:ascii="宋体" w:hAnsi="宋体"/>
          <w:color w:val="auto"/>
          <w:sz w:val="24"/>
          <w:szCs w:val="24"/>
          <w:highlight w:val="none"/>
        </w:rPr>
        <w:t>投标文件内容有歧义或不一致的，同意按不利于我方作出解释。</w:t>
      </w:r>
    </w:p>
    <w:p>
      <w:pPr>
        <w:numPr>
          <w:ilvl w:val="0"/>
          <w:numId w:val="12"/>
        </w:numPr>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投标有效期：</w:t>
      </w:r>
      <w:r>
        <w:rPr>
          <w:rFonts w:hint="eastAsia" w:ascii="宋体" w:hAnsi="宋体"/>
          <w:color w:val="auto"/>
          <w:sz w:val="24"/>
          <w:szCs w:val="24"/>
          <w:highlight w:val="none"/>
          <w:u w:val="single"/>
        </w:rPr>
        <w:t>90</w:t>
      </w:r>
      <w:r>
        <w:rPr>
          <w:rFonts w:hint="eastAsia" w:ascii="宋体" w:hAnsi="宋体"/>
          <w:color w:val="auto"/>
          <w:sz w:val="24"/>
          <w:szCs w:val="24"/>
          <w:highlight w:val="none"/>
        </w:rPr>
        <w:t>天。</w:t>
      </w:r>
    </w:p>
    <w:p>
      <w:pPr>
        <w:spacing w:line="400" w:lineRule="exact"/>
        <w:ind w:left="525"/>
        <w:rPr>
          <w:rFonts w:hint="eastAsia" w:ascii="宋体" w:hAnsi="宋体"/>
          <w:color w:val="auto"/>
          <w:sz w:val="24"/>
          <w:szCs w:val="24"/>
          <w:highlight w:val="none"/>
        </w:rPr>
      </w:pPr>
      <w:r>
        <w:rPr>
          <w:rFonts w:hint="eastAsia" w:ascii="宋体" w:hAnsi="宋体"/>
          <w:color w:val="auto"/>
          <w:sz w:val="24"/>
          <w:szCs w:val="24"/>
          <w:highlight w:val="none"/>
        </w:rPr>
        <w:t>与本投标有关的一切往来通讯方式：</w:t>
      </w:r>
    </w:p>
    <w:p>
      <w:pPr>
        <w:spacing w:line="400" w:lineRule="exact"/>
        <w:ind w:left="525"/>
        <w:rPr>
          <w:rFonts w:hint="eastAsia" w:ascii="宋体" w:hAnsi="宋体"/>
          <w:color w:val="auto"/>
          <w:sz w:val="24"/>
          <w:szCs w:val="24"/>
          <w:highlight w:val="none"/>
        </w:rPr>
      </w:pPr>
      <w:r>
        <w:rPr>
          <w:rFonts w:hint="eastAsia" w:ascii="宋体" w:hAnsi="宋体"/>
          <w:color w:val="auto"/>
          <w:sz w:val="24"/>
          <w:szCs w:val="24"/>
          <w:highlight w:val="none"/>
        </w:rPr>
        <w:t>投标单位全称：</w:t>
      </w:r>
      <w:r>
        <w:rPr>
          <w:rFonts w:hint="eastAsia" w:ascii="宋体" w:hAnsi="宋体"/>
          <w:color w:val="auto"/>
          <w:sz w:val="24"/>
          <w:szCs w:val="24"/>
          <w:highlight w:val="none"/>
          <w:u w:val="single"/>
        </w:rPr>
        <w:t xml:space="preserve">                                            </w:t>
      </w:r>
    </w:p>
    <w:p>
      <w:pPr>
        <w:spacing w:line="400" w:lineRule="exact"/>
        <w:ind w:left="525"/>
        <w:rPr>
          <w:rFonts w:hint="eastAsia"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邮编：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pPr>
        <w:spacing w:line="400" w:lineRule="exact"/>
        <w:ind w:left="525"/>
        <w:rPr>
          <w:rFonts w:hint="eastAsia"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电话：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传真：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pPr>
        <w:spacing w:line="400" w:lineRule="exact"/>
        <w:ind w:left="525"/>
        <w:rPr>
          <w:rFonts w:hint="eastAsia" w:ascii="宋体" w:hAnsi="宋体"/>
          <w:color w:val="auto"/>
          <w:sz w:val="24"/>
          <w:szCs w:val="24"/>
          <w:highlight w:val="none"/>
        </w:rPr>
      </w:pPr>
      <w:r>
        <w:rPr>
          <w:rFonts w:hint="eastAsia" w:ascii="宋体" w:hAnsi="宋体"/>
          <w:color w:val="auto"/>
          <w:sz w:val="24"/>
          <w:szCs w:val="24"/>
          <w:highlight w:val="none"/>
        </w:rPr>
        <w:t>移动电话：</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电子邮件：</w:t>
      </w:r>
      <w:r>
        <w:rPr>
          <w:rFonts w:hint="eastAsia" w:ascii="宋体" w:hAnsi="宋体"/>
          <w:color w:val="auto"/>
          <w:sz w:val="24"/>
          <w:szCs w:val="24"/>
          <w:highlight w:val="none"/>
          <w:u w:val="single"/>
        </w:rPr>
        <w:t xml:space="preserve">             </w:t>
      </w:r>
    </w:p>
    <w:p>
      <w:pPr>
        <w:spacing w:line="400" w:lineRule="exact"/>
        <w:ind w:left="525"/>
        <w:rPr>
          <w:rFonts w:hint="eastAsia" w:ascii="宋体" w:hAnsi="宋体"/>
          <w:color w:val="auto"/>
          <w:sz w:val="24"/>
          <w:szCs w:val="24"/>
          <w:highlight w:val="none"/>
        </w:rPr>
      </w:pPr>
    </w:p>
    <w:p>
      <w:pPr>
        <w:spacing w:line="400" w:lineRule="exact"/>
        <w:ind w:left="525"/>
        <w:rPr>
          <w:rFonts w:hint="eastAsia" w:ascii="宋体" w:hAnsi="宋体"/>
          <w:color w:val="auto"/>
          <w:sz w:val="24"/>
          <w:szCs w:val="24"/>
          <w:highlight w:val="none"/>
        </w:rPr>
      </w:pPr>
      <w:r>
        <w:rPr>
          <w:rFonts w:hint="eastAsia" w:ascii="宋体" w:hAnsi="宋体"/>
          <w:color w:val="auto"/>
          <w:sz w:val="24"/>
          <w:szCs w:val="24"/>
          <w:highlight w:val="none"/>
        </w:rPr>
        <w:t>投标单位（盖标准公章）：</w:t>
      </w:r>
    </w:p>
    <w:p>
      <w:pPr>
        <w:spacing w:line="400" w:lineRule="exact"/>
        <w:ind w:left="525"/>
        <w:rPr>
          <w:rFonts w:hint="eastAsia" w:ascii="宋体" w:hAnsi="宋体"/>
          <w:color w:val="auto"/>
          <w:sz w:val="24"/>
          <w:szCs w:val="24"/>
          <w:highlight w:val="none"/>
        </w:rPr>
      </w:pPr>
    </w:p>
    <w:p>
      <w:pPr>
        <w:spacing w:line="400" w:lineRule="exact"/>
        <w:ind w:left="525"/>
        <w:rPr>
          <w:rFonts w:hint="eastAsia" w:ascii="宋体" w:hAnsi="宋体"/>
          <w:color w:val="auto"/>
          <w:sz w:val="24"/>
          <w:szCs w:val="24"/>
          <w:highlight w:val="none"/>
        </w:rPr>
      </w:pPr>
    </w:p>
    <w:p>
      <w:pPr>
        <w:spacing w:line="400" w:lineRule="exact"/>
        <w:ind w:left="525"/>
        <w:rPr>
          <w:rFonts w:hint="eastAsia" w:ascii="宋体" w:hAnsi="宋体"/>
          <w:color w:val="auto"/>
          <w:sz w:val="24"/>
          <w:szCs w:val="24"/>
          <w:highlight w:val="none"/>
        </w:rPr>
      </w:pPr>
      <w:r>
        <w:rPr>
          <w:rFonts w:hint="eastAsia" w:ascii="宋体" w:hAnsi="宋体"/>
          <w:color w:val="auto"/>
          <w:sz w:val="24"/>
          <w:szCs w:val="24"/>
          <w:highlight w:val="none"/>
        </w:rPr>
        <w:t>法定代表人或其委托代理人（签字或签章）：</w:t>
      </w:r>
    </w:p>
    <w:p>
      <w:pPr>
        <w:spacing w:line="400" w:lineRule="exact"/>
        <w:ind w:left="525"/>
        <w:rPr>
          <w:rFonts w:hint="eastAsia" w:ascii="宋体" w:hAnsi="宋体"/>
          <w:color w:val="auto"/>
          <w:sz w:val="24"/>
          <w:szCs w:val="24"/>
          <w:highlight w:val="none"/>
        </w:rPr>
      </w:pPr>
    </w:p>
    <w:p>
      <w:pPr>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w:t>
      </w:r>
    </w:p>
    <w:p>
      <w:pPr>
        <w:spacing w:line="400" w:lineRule="exact"/>
        <w:ind w:firstLine="480"/>
        <w:rPr>
          <w:rFonts w:hint="eastAsia" w:ascii="宋体" w:hAnsi="宋体"/>
          <w:color w:val="auto"/>
          <w:sz w:val="24"/>
          <w:szCs w:val="24"/>
          <w:highlight w:val="none"/>
        </w:rPr>
      </w:pPr>
      <w:r>
        <w:rPr>
          <w:rFonts w:hint="eastAsia" w:ascii="宋体" w:hAnsi="宋体"/>
          <w:color w:val="auto"/>
          <w:sz w:val="24"/>
          <w:szCs w:val="24"/>
          <w:highlight w:val="none"/>
        </w:rPr>
        <w:t>日期：</w:t>
      </w:r>
    </w:p>
    <w:p>
      <w:pPr>
        <w:spacing w:line="400" w:lineRule="exact"/>
        <w:ind w:firstLine="480"/>
        <w:rPr>
          <w:rFonts w:hint="eastAsia" w:ascii="宋体" w:hAnsi="宋体"/>
          <w:b/>
          <w:i/>
          <w:iCs/>
          <w:color w:val="auto"/>
          <w:sz w:val="24"/>
          <w:szCs w:val="24"/>
          <w:highlight w:val="none"/>
        </w:rPr>
      </w:pPr>
    </w:p>
    <w:p>
      <w:pPr>
        <w:spacing w:line="400" w:lineRule="exact"/>
        <w:ind w:firstLine="480"/>
        <w:rPr>
          <w:rFonts w:hint="eastAsia" w:ascii="宋体" w:hAnsi="宋体"/>
          <w:i/>
          <w:iCs/>
          <w:color w:val="auto"/>
          <w:sz w:val="24"/>
          <w:szCs w:val="24"/>
          <w:highlight w:val="none"/>
        </w:rPr>
      </w:pPr>
      <w:r>
        <w:rPr>
          <w:rFonts w:hint="eastAsia" w:ascii="宋体" w:hAnsi="宋体"/>
          <w:b/>
          <w:i/>
          <w:iCs/>
          <w:color w:val="auto"/>
          <w:szCs w:val="21"/>
          <w:highlight w:val="none"/>
        </w:rPr>
        <w:t>特别提醒：为确保电子投标文件的合法性、有效性和完整性，本投标函填写完成后须先进行纸质打印，加盖标准公章、代表签字或签章后，以彩色扫描件形式提交，否则视为无效投标。</w:t>
      </w:r>
    </w:p>
    <w:p>
      <w:pPr>
        <w:spacing w:line="400" w:lineRule="exact"/>
        <w:ind w:firstLine="480"/>
        <w:rPr>
          <w:rFonts w:hint="eastAsia" w:ascii="宋体" w:hAnsi="宋体"/>
          <w:color w:val="auto"/>
          <w:sz w:val="24"/>
          <w:szCs w:val="24"/>
          <w:highlight w:val="none"/>
        </w:rPr>
      </w:pPr>
    </w:p>
    <w:p>
      <w:pPr>
        <w:spacing w:line="400" w:lineRule="exact"/>
        <w:jc w:val="center"/>
        <w:rPr>
          <w:rFonts w:hint="eastAsia" w:ascii="仿宋_GB2312" w:eastAsia="仿宋_GB2312"/>
          <w:b/>
          <w:color w:val="auto"/>
          <w:sz w:val="32"/>
          <w:highlight w:val="none"/>
        </w:rPr>
      </w:pPr>
      <w:r>
        <w:rPr>
          <w:rFonts w:hint="eastAsia" w:ascii="仿宋_GB2312" w:eastAsia="仿宋_GB2312"/>
          <w:b/>
          <w:color w:val="auto"/>
          <w:sz w:val="32"/>
          <w:highlight w:val="none"/>
        </w:rPr>
        <w:br w:type="page"/>
      </w:r>
      <w:r>
        <w:rPr>
          <w:rFonts w:hint="eastAsia" w:ascii="仿宋_GB2312" w:eastAsia="仿宋_GB2312"/>
          <w:b/>
          <w:color w:val="auto"/>
          <w:sz w:val="32"/>
          <w:highlight w:val="none"/>
        </w:rPr>
        <w:t>2、开标一览表</w:t>
      </w:r>
    </w:p>
    <w:p>
      <w:pPr>
        <w:rPr>
          <w:rFonts w:hint="eastAsia"/>
          <w:color w:val="auto"/>
          <w:highlight w:val="none"/>
        </w:rPr>
      </w:pPr>
    </w:p>
    <w:p>
      <w:pPr>
        <w:rPr>
          <w:rFonts w:hint="eastAsia"/>
          <w:color w:val="auto"/>
          <w:highlight w:val="none"/>
        </w:rPr>
      </w:pPr>
    </w:p>
    <w:p>
      <w:pPr>
        <w:rPr>
          <w:rFonts w:hint="eastAsia"/>
          <w:color w:val="auto"/>
          <w:highlight w:val="none"/>
        </w:rPr>
      </w:pPr>
    </w:p>
    <w:p>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XXXX</w:t>
      </w:r>
      <w:r>
        <w:rPr>
          <w:rFonts w:hint="eastAsia" w:ascii="宋体" w:hAnsi="宋体" w:cs="宋体"/>
          <w:color w:val="auto"/>
          <w:sz w:val="24"/>
          <w:szCs w:val="24"/>
          <w:highlight w:val="none"/>
        </w:rPr>
        <w:t xml:space="preserve"> </w:t>
      </w:r>
    </w:p>
    <w:p>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采购编号：</w:t>
      </w:r>
      <w:r>
        <w:rPr>
          <w:rFonts w:hint="eastAsia" w:ascii="宋体" w:hAnsi="宋体" w:cs="宋体"/>
          <w:color w:val="auto"/>
          <w:sz w:val="24"/>
          <w:szCs w:val="24"/>
          <w:highlight w:val="none"/>
          <w:u w:val="single"/>
        </w:rPr>
        <w:t>XXXX</w:t>
      </w:r>
      <w:r>
        <w:rPr>
          <w:rFonts w:hint="eastAsia" w:ascii="宋体" w:hAnsi="宋体" w:cs="宋体"/>
          <w:color w:val="auto"/>
          <w:sz w:val="24"/>
          <w:szCs w:val="24"/>
          <w:highlight w:val="none"/>
        </w:rPr>
        <w:t xml:space="preserve"> </w:t>
      </w:r>
    </w:p>
    <w:p>
      <w:pPr>
        <w:spacing w:line="40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标包号</w:t>
      </w:r>
      <w:r>
        <w:rPr>
          <w:rFonts w:hint="eastAsia" w:ascii="宋体" w:hAnsi="宋体" w:cs="宋体"/>
          <w:color w:val="auto"/>
          <w:sz w:val="24"/>
          <w:szCs w:val="24"/>
          <w:highlight w:val="none"/>
          <w:u w:val="single"/>
        </w:rPr>
        <w:t xml:space="preserve">：XX </w:t>
      </w:r>
    </w:p>
    <w:p>
      <w:pPr>
        <w:spacing w:line="400" w:lineRule="exact"/>
        <w:rPr>
          <w:rFonts w:hint="eastAsia"/>
          <w:color w:val="auto"/>
          <w:highlight w:val="none"/>
          <w:u w:val="single"/>
        </w:rPr>
      </w:pP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6"/>
        <w:gridCol w:w="3055"/>
        <w:gridCol w:w="1174"/>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trPr>
        <w:tc>
          <w:tcPr>
            <w:tcW w:w="1210" w:type="pc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1645" w:type="pc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项目总收费报价</w:t>
            </w:r>
          </w:p>
        </w:tc>
        <w:tc>
          <w:tcPr>
            <w:tcW w:w="632" w:type="pc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512" w:type="pct"/>
            <w:noWrap w:val="0"/>
            <w:vAlign w:val="top"/>
          </w:tcPr>
          <w:p>
            <w:pPr>
              <w:ind w:firstLine="210"/>
              <w:jc w:val="center"/>
              <w:rPr>
                <w:rFonts w:hint="eastAsia" w:ascii="宋体" w:hAnsi="宋体" w:eastAsia="宋体" w:cs="宋体"/>
                <w:color w:val="auto"/>
                <w:sz w:val="24"/>
                <w:szCs w:val="24"/>
                <w:highlight w:val="none"/>
              </w:rPr>
            </w:pPr>
          </w:p>
          <w:p>
            <w:pPr>
              <w:ind w:firstLine="2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trPr>
        <w:tc>
          <w:tcPr>
            <w:tcW w:w="1210" w:type="pc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1#楼物业管理</w:t>
            </w:r>
          </w:p>
        </w:tc>
        <w:tc>
          <w:tcPr>
            <w:tcW w:w="1645" w:type="pct"/>
            <w:noWrap w:val="0"/>
            <w:vAlign w:val="center"/>
          </w:tcPr>
          <w:p>
            <w:pPr>
              <w:jc w:val="center"/>
              <w:rPr>
                <w:rFonts w:hint="eastAsia" w:ascii="宋体" w:hAnsi="宋体" w:eastAsia="宋体" w:cs="宋体"/>
                <w:color w:val="auto"/>
                <w:sz w:val="24"/>
                <w:szCs w:val="24"/>
                <w:highlight w:val="none"/>
              </w:rPr>
            </w:pPr>
          </w:p>
        </w:tc>
        <w:tc>
          <w:tcPr>
            <w:tcW w:w="632" w:type="pc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元/年</w:t>
            </w:r>
          </w:p>
        </w:tc>
        <w:tc>
          <w:tcPr>
            <w:tcW w:w="1512" w:type="pct"/>
            <w:noWrap w:val="0"/>
            <w:vAlign w:val="center"/>
          </w:tcPr>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______________元/月</w:t>
            </w:r>
          </w:p>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trPr>
        <w:tc>
          <w:tcPr>
            <w:tcW w:w="1210" w:type="pc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2#楼物业管理</w:t>
            </w:r>
          </w:p>
        </w:tc>
        <w:tc>
          <w:tcPr>
            <w:tcW w:w="1645" w:type="pct"/>
            <w:noWrap w:val="0"/>
            <w:vAlign w:val="center"/>
          </w:tcPr>
          <w:p>
            <w:pPr>
              <w:jc w:val="center"/>
              <w:rPr>
                <w:rFonts w:hint="eastAsia" w:ascii="宋体" w:hAnsi="宋体" w:eastAsia="宋体" w:cs="宋体"/>
                <w:color w:val="auto"/>
                <w:sz w:val="24"/>
                <w:szCs w:val="24"/>
                <w:highlight w:val="none"/>
              </w:rPr>
            </w:pPr>
          </w:p>
        </w:tc>
        <w:tc>
          <w:tcPr>
            <w:tcW w:w="632" w:type="pc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元/年</w:t>
            </w:r>
          </w:p>
        </w:tc>
        <w:tc>
          <w:tcPr>
            <w:tcW w:w="1512" w:type="pct"/>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______________元/月</w:t>
            </w:r>
          </w:p>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trPr>
        <w:tc>
          <w:tcPr>
            <w:tcW w:w="1210" w:type="pc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w:t>
            </w:r>
          </w:p>
        </w:tc>
        <w:tc>
          <w:tcPr>
            <w:tcW w:w="1645" w:type="pct"/>
            <w:noWrap w:val="0"/>
            <w:vAlign w:val="center"/>
          </w:tcPr>
          <w:p>
            <w:pPr>
              <w:jc w:val="center"/>
              <w:rPr>
                <w:rFonts w:hint="eastAsia" w:ascii="宋体" w:hAnsi="宋体" w:eastAsia="宋体" w:cs="宋体"/>
                <w:color w:val="auto"/>
                <w:sz w:val="24"/>
                <w:szCs w:val="24"/>
                <w:highlight w:val="none"/>
              </w:rPr>
            </w:pPr>
          </w:p>
        </w:tc>
        <w:tc>
          <w:tcPr>
            <w:tcW w:w="632" w:type="pc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元/年</w:t>
            </w:r>
          </w:p>
        </w:tc>
        <w:tc>
          <w:tcPr>
            <w:tcW w:w="1512" w:type="pct"/>
            <w:noWrap w:val="0"/>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trPr>
        <w:tc>
          <w:tcPr>
            <w:tcW w:w="1210" w:type="pc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投标总价（大写）</w:t>
            </w:r>
          </w:p>
        </w:tc>
        <w:tc>
          <w:tcPr>
            <w:tcW w:w="3789" w:type="pct"/>
            <w:gridSpan w:val="3"/>
            <w:noWrap w:val="0"/>
            <w:vAlign w:val="center"/>
          </w:tcPr>
          <w:p>
            <w:pPr>
              <w:rPr>
                <w:rFonts w:hint="eastAsia" w:ascii="宋体" w:hAnsi="宋体" w:eastAsia="宋体" w:cs="宋体"/>
                <w:color w:val="auto"/>
                <w:sz w:val="24"/>
                <w:szCs w:val="24"/>
                <w:highlight w:val="none"/>
              </w:rPr>
            </w:pPr>
          </w:p>
        </w:tc>
      </w:tr>
    </w:tbl>
    <w:p>
      <w:pPr>
        <w:rPr>
          <w:rFonts w:hint="eastAsia" w:ascii="宋体" w:hAnsi="宋体"/>
          <w:color w:val="auto"/>
          <w:sz w:val="24"/>
          <w:szCs w:val="24"/>
          <w:highlight w:val="none"/>
        </w:rPr>
      </w:pPr>
    </w:p>
    <w:p>
      <w:pPr>
        <w:rPr>
          <w:rFonts w:hint="eastAsia" w:ascii="宋体" w:hAnsi="宋体"/>
          <w:color w:val="auto"/>
          <w:sz w:val="24"/>
          <w:szCs w:val="24"/>
          <w:highlight w:val="none"/>
        </w:rPr>
      </w:pPr>
    </w:p>
    <w:p>
      <w:pPr>
        <w:rPr>
          <w:rFonts w:hint="eastAsia" w:ascii="宋体" w:hAnsi="宋体"/>
          <w:color w:val="auto"/>
          <w:sz w:val="24"/>
          <w:szCs w:val="24"/>
          <w:highlight w:val="none"/>
        </w:rPr>
      </w:pPr>
    </w:p>
    <w:p>
      <w:pPr>
        <w:rPr>
          <w:rFonts w:hint="eastAsia" w:ascii="宋体" w:hAnsi="宋体"/>
          <w:color w:val="auto"/>
          <w:sz w:val="24"/>
          <w:szCs w:val="24"/>
          <w:highlight w:val="none"/>
        </w:rPr>
      </w:pPr>
    </w:p>
    <w:p>
      <w:pPr>
        <w:rPr>
          <w:rFonts w:hint="eastAsia" w:ascii="宋体" w:hAnsi="宋体"/>
          <w:b/>
          <w:color w:val="auto"/>
          <w:sz w:val="24"/>
          <w:szCs w:val="24"/>
          <w:highlight w:val="none"/>
        </w:rPr>
      </w:pPr>
      <w:r>
        <w:rPr>
          <w:rFonts w:hint="eastAsia" w:ascii="宋体" w:hAnsi="宋体"/>
          <w:b/>
          <w:color w:val="auto"/>
          <w:sz w:val="24"/>
          <w:szCs w:val="24"/>
          <w:highlight w:val="none"/>
        </w:rPr>
        <w:t>投标单位名称：</w:t>
      </w:r>
      <w:r>
        <w:rPr>
          <w:rFonts w:hint="eastAsia" w:ascii="宋体" w:hAnsi="宋体"/>
          <w:b/>
          <w:color w:val="auto"/>
          <w:sz w:val="24"/>
          <w:szCs w:val="24"/>
          <w:highlight w:val="none"/>
          <w:u w:val="single"/>
        </w:rPr>
        <w:t xml:space="preserve">                            </w:t>
      </w:r>
      <w:r>
        <w:rPr>
          <w:rFonts w:hint="eastAsia" w:ascii="宋体" w:hAnsi="宋体"/>
          <w:b/>
          <w:color w:val="auto"/>
          <w:sz w:val="24"/>
          <w:szCs w:val="24"/>
          <w:highlight w:val="none"/>
        </w:rPr>
        <w:t>（盖CA章）</w:t>
      </w:r>
    </w:p>
    <w:p>
      <w:pPr>
        <w:rPr>
          <w:rFonts w:hint="eastAsia" w:ascii="宋体" w:hAnsi="宋体"/>
          <w:color w:val="auto"/>
          <w:sz w:val="24"/>
          <w:szCs w:val="24"/>
          <w:highlight w:val="none"/>
        </w:rPr>
      </w:pPr>
    </w:p>
    <w:p>
      <w:pPr>
        <w:rPr>
          <w:rFonts w:hint="eastAsia" w:ascii="宋体" w:hAnsi="宋体"/>
          <w:color w:val="auto"/>
          <w:sz w:val="24"/>
          <w:szCs w:val="24"/>
          <w:highlight w:val="none"/>
        </w:rPr>
      </w:pPr>
    </w:p>
    <w:p>
      <w:pPr>
        <w:rPr>
          <w:rFonts w:hint="eastAsia" w:ascii="宋体" w:hAnsi="宋体"/>
          <w:b/>
          <w:color w:val="auto"/>
          <w:sz w:val="24"/>
          <w:szCs w:val="24"/>
          <w:highlight w:val="none"/>
        </w:rPr>
      </w:pPr>
      <w:r>
        <w:rPr>
          <w:rFonts w:hint="eastAsia" w:ascii="宋体" w:hAnsi="宋体"/>
          <w:b/>
          <w:color w:val="auto"/>
          <w:sz w:val="24"/>
          <w:szCs w:val="24"/>
          <w:highlight w:val="none"/>
        </w:rPr>
        <w:t>日        期：</w:t>
      </w:r>
      <w:r>
        <w:rPr>
          <w:rFonts w:hint="eastAsia" w:ascii="宋体" w:hAnsi="宋体"/>
          <w:b/>
          <w:color w:val="auto"/>
          <w:sz w:val="24"/>
          <w:szCs w:val="24"/>
          <w:highlight w:val="none"/>
          <w:u w:val="single"/>
        </w:rPr>
        <w:t xml:space="preserve">      </w:t>
      </w:r>
      <w:r>
        <w:rPr>
          <w:rFonts w:hint="eastAsia" w:ascii="宋体" w:hAnsi="宋体"/>
          <w:b/>
          <w:color w:val="auto"/>
          <w:sz w:val="24"/>
          <w:szCs w:val="24"/>
          <w:highlight w:val="none"/>
        </w:rPr>
        <w:t xml:space="preserve"> 年</w:t>
      </w:r>
      <w:r>
        <w:rPr>
          <w:rFonts w:hint="eastAsia" w:ascii="宋体" w:hAnsi="宋体"/>
          <w:b/>
          <w:color w:val="auto"/>
          <w:sz w:val="24"/>
          <w:szCs w:val="24"/>
          <w:highlight w:val="none"/>
          <w:u w:val="single"/>
        </w:rPr>
        <w:t xml:space="preserve">      </w:t>
      </w:r>
      <w:r>
        <w:rPr>
          <w:rFonts w:hint="eastAsia" w:ascii="宋体" w:hAnsi="宋体"/>
          <w:b/>
          <w:color w:val="auto"/>
          <w:sz w:val="24"/>
          <w:szCs w:val="24"/>
          <w:highlight w:val="none"/>
        </w:rPr>
        <w:t xml:space="preserve"> 月</w:t>
      </w:r>
      <w:r>
        <w:rPr>
          <w:rFonts w:hint="eastAsia" w:ascii="宋体" w:hAnsi="宋体"/>
          <w:b/>
          <w:color w:val="auto"/>
          <w:sz w:val="24"/>
          <w:szCs w:val="24"/>
          <w:highlight w:val="none"/>
          <w:u w:val="single"/>
        </w:rPr>
        <w:t xml:space="preserve">      </w:t>
      </w:r>
      <w:r>
        <w:rPr>
          <w:rFonts w:hint="eastAsia" w:ascii="宋体" w:hAnsi="宋体"/>
          <w:b/>
          <w:color w:val="auto"/>
          <w:sz w:val="24"/>
          <w:szCs w:val="24"/>
          <w:highlight w:val="none"/>
        </w:rPr>
        <w:t xml:space="preserve"> 日</w:t>
      </w:r>
    </w:p>
    <w:p>
      <w:pPr>
        <w:rPr>
          <w:rFonts w:hint="eastAsia" w:ascii="楷体_GB2312" w:eastAsia="楷体_GB2312"/>
          <w:b/>
          <w:i/>
          <w:iCs/>
          <w:color w:val="auto"/>
          <w:szCs w:val="21"/>
          <w:highlight w:val="none"/>
        </w:rPr>
      </w:pPr>
    </w:p>
    <w:p>
      <w:pPr>
        <w:rPr>
          <w:rFonts w:hint="eastAsia" w:ascii="楷体_GB2312" w:eastAsia="楷体_GB2312"/>
          <w:b/>
          <w:i/>
          <w:iCs/>
          <w:color w:val="auto"/>
          <w:szCs w:val="21"/>
          <w:highlight w:val="none"/>
        </w:rPr>
      </w:pPr>
    </w:p>
    <w:p>
      <w:pPr>
        <w:rPr>
          <w:rFonts w:hint="eastAsia" w:ascii="楷体_GB2312" w:eastAsia="楷体_GB2312"/>
          <w:b/>
          <w:i/>
          <w:iCs/>
          <w:color w:val="auto"/>
          <w:szCs w:val="21"/>
          <w:highlight w:val="none"/>
        </w:rPr>
      </w:pPr>
    </w:p>
    <w:p>
      <w:pPr>
        <w:rPr>
          <w:rFonts w:ascii="宋体" w:hAnsi="宋体"/>
          <w:color w:val="auto"/>
          <w:kern w:val="0"/>
          <w:highlight w:val="none"/>
        </w:rPr>
      </w:pPr>
      <w:r>
        <w:rPr>
          <w:rFonts w:hint="eastAsia" w:ascii="宋体" w:hAnsi="宋体"/>
          <w:color w:val="auto"/>
          <w:kern w:val="0"/>
          <w:highlight w:val="none"/>
        </w:rPr>
        <w:t>注：</w:t>
      </w:r>
    </w:p>
    <w:p>
      <w:pPr>
        <w:rPr>
          <w:snapToGrid w:val="0"/>
          <w:color w:val="auto"/>
          <w:kern w:val="0"/>
          <w:highlight w:val="none"/>
        </w:rPr>
      </w:pPr>
      <w:r>
        <w:rPr>
          <w:rFonts w:hint="eastAsia"/>
          <w:snapToGrid w:val="0"/>
          <w:color w:val="auto"/>
          <w:kern w:val="0"/>
          <w:highlight w:val="none"/>
        </w:rPr>
        <w:t>1、</w:t>
      </w:r>
      <w:r>
        <w:rPr>
          <w:rFonts w:hint="eastAsia" w:ascii="黑体" w:eastAsia="黑体"/>
          <w:color w:val="auto"/>
          <w:highlight w:val="none"/>
        </w:rPr>
        <w:t>项目</w:t>
      </w:r>
      <w:r>
        <w:rPr>
          <w:rFonts w:hint="eastAsia"/>
          <w:snapToGrid w:val="0"/>
          <w:color w:val="auto"/>
          <w:kern w:val="0"/>
          <w:highlight w:val="none"/>
        </w:rPr>
        <w:t>总收费：指招标文件中所规定的所有服务项目合同期内全年的总报价。本项目的投标总价=1#物业管理项目总收费报价+2#物业管理项目总收费报价。</w:t>
      </w:r>
    </w:p>
    <w:p>
      <w:pPr>
        <w:rPr>
          <w:snapToGrid w:val="0"/>
          <w:color w:val="auto"/>
          <w:kern w:val="0"/>
          <w:highlight w:val="none"/>
        </w:rPr>
      </w:pPr>
      <w:r>
        <w:rPr>
          <w:rFonts w:hint="eastAsia"/>
          <w:snapToGrid w:val="0"/>
          <w:color w:val="auto"/>
          <w:kern w:val="0"/>
          <w:highlight w:val="none"/>
        </w:rPr>
        <w:t>2、各投标单位还必须按项目内容对各项服务单独报价，并列出报价表。</w:t>
      </w:r>
    </w:p>
    <w:p>
      <w:pPr>
        <w:spacing w:line="400" w:lineRule="exact"/>
        <w:rPr>
          <w:rFonts w:ascii="宋体"/>
          <w:color w:val="auto"/>
          <w:sz w:val="30"/>
          <w:highlight w:val="none"/>
        </w:rPr>
        <w:sectPr>
          <w:headerReference r:id="rId3" w:type="default"/>
          <w:footerReference r:id="rId4" w:type="default"/>
          <w:footerReference r:id="rId5" w:type="even"/>
          <w:type w:val="oddPage"/>
          <w:pgSz w:w="11907" w:h="16840"/>
          <w:pgMar w:top="1418" w:right="1418" w:bottom="1418" w:left="1418" w:header="851" w:footer="851" w:gutter="0"/>
          <w:cols w:space="720" w:num="1"/>
          <w:docGrid w:type="lines" w:linePitch="312" w:charSpace="0"/>
        </w:sectPr>
      </w:pPr>
    </w:p>
    <w:p>
      <w:pPr>
        <w:spacing w:line="400" w:lineRule="exact"/>
        <w:jc w:val="center"/>
        <w:rPr>
          <w:rFonts w:hint="eastAsia" w:ascii="仿宋_GB2312" w:eastAsia="仿宋_GB2312"/>
          <w:b/>
          <w:color w:val="auto"/>
          <w:sz w:val="32"/>
          <w:highlight w:val="none"/>
        </w:rPr>
      </w:pPr>
      <w:r>
        <w:rPr>
          <w:rFonts w:hint="eastAsia" w:ascii="仿宋_GB2312" w:eastAsia="仿宋_GB2312"/>
          <w:b/>
          <w:color w:val="auto"/>
          <w:sz w:val="32"/>
          <w:highlight w:val="none"/>
        </w:rPr>
        <w:t>3、物业管理费构成明细报价表</w:t>
      </w:r>
    </w:p>
    <w:p>
      <w:pPr>
        <w:spacing w:line="400" w:lineRule="exact"/>
        <w:jc w:val="center"/>
        <w:rPr>
          <w:rFonts w:hint="eastAsia" w:ascii="仿宋_GB2312" w:eastAsia="仿宋_GB2312"/>
          <w:b/>
          <w:color w:val="auto"/>
          <w:sz w:val="32"/>
          <w:highlight w:val="none"/>
        </w:rPr>
      </w:pPr>
    </w:p>
    <w:p>
      <w:pPr>
        <w:spacing w:line="400" w:lineRule="exact"/>
        <w:jc w:val="center"/>
        <w:rPr>
          <w:rFonts w:hint="eastAsia" w:ascii="仿宋_GB2312" w:eastAsia="仿宋_GB2312"/>
          <w:b/>
          <w:color w:val="auto"/>
          <w:sz w:val="32"/>
          <w:highlight w:val="none"/>
        </w:rPr>
      </w:pPr>
    </w:p>
    <w:p>
      <w:pPr>
        <w:rPr>
          <w:rFonts w:hint="eastAsia" w:ascii="宋体" w:hAnsi="宋体"/>
          <w:color w:val="auto"/>
          <w:sz w:val="24"/>
          <w:szCs w:val="24"/>
          <w:highlight w:val="none"/>
        </w:rPr>
      </w:pPr>
      <w:r>
        <w:rPr>
          <w:rFonts w:hint="eastAsia" w:ascii="宋体" w:hAnsi="宋体"/>
          <w:color w:val="auto"/>
          <w:sz w:val="24"/>
          <w:szCs w:val="24"/>
          <w:highlight w:val="none"/>
        </w:rPr>
        <w:t>1#楼                                                              （单位：元/月）</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4520"/>
        <w:gridCol w:w="3690"/>
      </w:tblGrid>
      <w:tr>
        <w:tblPrEx>
          <w:tblCellMar>
            <w:top w:w="0" w:type="dxa"/>
            <w:left w:w="108" w:type="dxa"/>
            <w:bottom w:w="0" w:type="dxa"/>
            <w:right w:w="108" w:type="dxa"/>
          </w:tblCellMar>
        </w:tblPrEx>
        <w:trPr>
          <w:wBefore w:w="0" w:type="dxa"/>
          <w:wAfter w:w="0" w:type="dxa"/>
          <w:cantSplit/>
          <w:jc w:val="center"/>
        </w:trPr>
        <w:tc>
          <w:tcPr>
            <w:tcW w:w="5000" w:type="pct"/>
            <w:gridSpan w:val="3"/>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管理费构成测算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spacing w:before="120" w:after="120"/>
              <w:jc w:val="center"/>
              <w:rPr>
                <w:rFonts w:hint="eastAsia" w:ascii="宋体" w:hAnsi="宋体" w:eastAsia="宋体"/>
                <w:b/>
                <w:bCs/>
                <w:caps/>
                <w:color w:val="auto"/>
                <w:sz w:val="24"/>
                <w:szCs w:val="24"/>
                <w:highlight w:val="none"/>
              </w:rPr>
            </w:pPr>
            <w:r>
              <w:rPr>
                <w:rFonts w:hint="eastAsia" w:ascii="宋体" w:hAnsi="宋体" w:eastAsia="宋体"/>
                <w:b/>
                <w:bCs/>
                <w:caps/>
                <w:color w:val="auto"/>
                <w:sz w:val="24"/>
                <w:szCs w:val="24"/>
                <w:highlight w:val="none"/>
              </w:rPr>
              <w:t>序号</w:t>
            </w:r>
          </w:p>
        </w:tc>
        <w:tc>
          <w:tcPr>
            <w:tcW w:w="2293"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项目</w:t>
            </w:r>
          </w:p>
        </w:tc>
        <w:tc>
          <w:tcPr>
            <w:tcW w:w="1872"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2293" w:type="pct"/>
            <w:noWrap w:val="0"/>
            <w:vAlign w:val="center"/>
          </w:tcPr>
          <w:p>
            <w:pPr>
              <w:jc w:val="center"/>
              <w:rPr>
                <w:rFonts w:hint="eastAsia" w:ascii="宋体" w:hAnsi="宋体" w:eastAsia="宋体"/>
                <w:color w:val="auto"/>
                <w:sz w:val="24"/>
                <w:szCs w:val="24"/>
                <w:highlight w:val="none"/>
              </w:rPr>
            </w:pPr>
          </w:p>
        </w:tc>
        <w:tc>
          <w:tcPr>
            <w:tcW w:w="1872" w:type="pct"/>
            <w:noWrap w:val="0"/>
            <w:vAlign w:val="center"/>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w:t>
            </w:r>
          </w:p>
        </w:tc>
        <w:tc>
          <w:tcPr>
            <w:tcW w:w="2293" w:type="pct"/>
            <w:noWrap w:val="0"/>
            <w:vAlign w:val="center"/>
          </w:tcPr>
          <w:p>
            <w:pPr>
              <w:jc w:val="center"/>
              <w:rPr>
                <w:rFonts w:hint="eastAsia" w:ascii="宋体" w:hAnsi="宋体" w:eastAsia="宋体"/>
                <w:color w:val="auto"/>
                <w:sz w:val="24"/>
                <w:szCs w:val="24"/>
                <w:highlight w:val="none"/>
              </w:rPr>
            </w:pPr>
          </w:p>
        </w:tc>
        <w:tc>
          <w:tcPr>
            <w:tcW w:w="1872" w:type="pct"/>
            <w:noWrap w:val="0"/>
            <w:vAlign w:val="center"/>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w:t>
            </w:r>
          </w:p>
        </w:tc>
        <w:tc>
          <w:tcPr>
            <w:tcW w:w="2293" w:type="pct"/>
            <w:noWrap w:val="0"/>
            <w:vAlign w:val="center"/>
          </w:tcPr>
          <w:p>
            <w:pPr>
              <w:jc w:val="center"/>
              <w:rPr>
                <w:rFonts w:hint="eastAsia" w:ascii="宋体" w:hAnsi="宋体" w:eastAsia="宋体"/>
                <w:color w:val="auto"/>
                <w:sz w:val="24"/>
                <w:szCs w:val="24"/>
                <w:highlight w:val="none"/>
              </w:rPr>
            </w:pPr>
          </w:p>
        </w:tc>
        <w:tc>
          <w:tcPr>
            <w:tcW w:w="1872" w:type="pct"/>
            <w:noWrap w:val="0"/>
            <w:vAlign w:val="center"/>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w:t>
            </w:r>
          </w:p>
        </w:tc>
        <w:tc>
          <w:tcPr>
            <w:tcW w:w="2293" w:type="pct"/>
            <w:noWrap w:val="0"/>
            <w:vAlign w:val="center"/>
          </w:tcPr>
          <w:p>
            <w:pPr>
              <w:jc w:val="center"/>
              <w:rPr>
                <w:rFonts w:hint="eastAsia" w:ascii="宋体" w:hAnsi="宋体" w:eastAsia="宋体"/>
                <w:color w:val="auto"/>
                <w:sz w:val="24"/>
                <w:szCs w:val="24"/>
                <w:highlight w:val="none"/>
              </w:rPr>
            </w:pPr>
          </w:p>
        </w:tc>
        <w:tc>
          <w:tcPr>
            <w:tcW w:w="1872" w:type="pct"/>
            <w:noWrap w:val="0"/>
            <w:vAlign w:val="center"/>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w:t>
            </w:r>
          </w:p>
        </w:tc>
        <w:tc>
          <w:tcPr>
            <w:tcW w:w="2293" w:type="pct"/>
            <w:noWrap w:val="0"/>
            <w:vAlign w:val="center"/>
          </w:tcPr>
          <w:p>
            <w:pPr>
              <w:jc w:val="center"/>
              <w:rPr>
                <w:rFonts w:hint="eastAsia" w:ascii="宋体" w:hAnsi="宋体" w:eastAsia="宋体"/>
                <w:color w:val="auto"/>
                <w:sz w:val="24"/>
                <w:szCs w:val="24"/>
                <w:highlight w:val="none"/>
              </w:rPr>
            </w:pPr>
          </w:p>
        </w:tc>
        <w:tc>
          <w:tcPr>
            <w:tcW w:w="1872" w:type="pct"/>
            <w:noWrap w:val="0"/>
            <w:vAlign w:val="center"/>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6</w:t>
            </w:r>
          </w:p>
        </w:tc>
        <w:tc>
          <w:tcPr>
            <w:tcW w:w="2293" w:type="pct"/>
            <w:noWrap w:val="0"/>
            <w:vAlign w:val="center"/>
          </w:tcPr>
          <w:p>
            <w:pPr>
              <w:jc w:val="center"/>
              <w:rPr>
                <w:rFonts w:hint="eastAsia" w:ascii="宋体" w:hAnsi="宋体" w:eastAsia="宋体"/>
                <w:color w:val="auto"/>
                <w:sz w:val="24"/>
                <w:szCs w:val="24"/>
                <w:highlight w:val="none"/>
              </w:rPr>
            </w:pPr>
          </w:p>
        </w:tc>
        <w:tc>
          <w:tcPr>
            <w:tcW w:w="1872" w:type="pct"/>
            <w:noWrap w:val="0"/>
            <w:vAlign w:val="center"/>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w:t>
            </w:r>
          </w:p>
        </w:tc>
        <w:tc>
          <w:tcPr>
            <w:tcW w:w="2293" w:type="pct"/>
            <w:noWrap w:val="0"/>
            <w:vAlign w:val="center"/>
          </w:tcPr>
          <w:p>
            <w:pPr>
              <w:jc w:val="center"/>
              <w:rPr>
                <w:rFonts w:hint="eastAsia" w:ascii="宋体" w:hAnsi="宋体" w:eastAsia="宋体"/>
                <w:color w:val="auto"/>
                <w:sz w:val="24"/>
                <w:szCs w:val="24"/>
                <w:highlight w:val="none"/>
              </w:rPr>
            </w:pPr>
          </w:p>
        </w:tc>
        <w:tc>
          <w:tcPr>
            <w:tcW w:w="1872" w:type="pct"/>
            <w:noWrap w:val="0"/>
            <w:vAlign w:val="center"/>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8</w:t>
            </w:r>
          </w:p>
        </w:tc>
        <w:tc>
          <w:tcPr>
            <w:tcW w:w="2293" w:type="pct"/>
            <w:noWrap w:val="0"/>
            <w:vAlign w:val="center"/>
          </w:tcPr>
          <w:p>
            <w:pPr>
              <w:jc w:val="center"/>
              <w:rPr>
                <w:rFonts w:hint="eastAsia" w:ascii="宋体" w:hAnsi="宋体" w:eastAsia="宋体"/>
                <w:color w:val="auto"/>
                <w:sz w:val="24"/>
                <w:szCs w:val="24"/>
                <w:highlight w:val="none"/>
              </w:rPr>
            </w:pPr>
          </w:p>
        </w:tc>
        <w:tc>
          <w:tcPr>
            <w:tcW w:w="1872" w:type="pct"/>
            <w:noWrap w:val="0"/>
            <w:vAlign w:val="center"/>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9</w:t>
            </w:r>
          </w:p>
        </w:tc>
        <w:tc>
          <w:tcPr>
            <w:tcW w:w="2293" w:type="pct"/>
            <w:noWrap w:val="0"/>
            <w:vAlign w:val="center"/>
          </w:tcPr>
          <w:p>
            <w:pPr>
              <w:jc w:val="center"/>
              <w:rPr>
                <w:rFonts w:hint="eastAsia" w:ascii="宋体" w:hAnsi="宋体" w:eastAsia="宋体"/>
                <w:color w:val="auto"/>
                <w:sz w:val="24"/>
                <w:szCs w:val="24"/>
                <w:highlight w:val="none"/>
              </w:rPr>
            </w:pPr>
          </w:p>
        </w:tc>
        <w:tc>
          <w:tcPr>
            <w:tcW w:w="1872" w:type="pct"/>
            <w:noWrap w:val="0"/>
            <w:vAlign w:val="center"/>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10</w:t>
            </w:r>
          </w:p>
        </w:tc>
        <w:tc>
          <w:tcPr>
            <w:tcW w:w="2293" w:type="pct"/>
            <w:noWrap w:val="0"/>
            <w:vAlign w:val="center"/>
          </w:tcPr>
          <w:p>
            <w:pPr>
              <w:jc w:val="center"/>
              <w:rPr>
                <w:rFonts w:hint="eastAsia" w:ascii="宋体" w:hAnsi="宋体" w:eastAsia="宋体"/>
                <w:color w:val="auto"/>
                <w:sz w:val="24"/>
                <w:szCs w:val="24"/>
                <w:highlight w:val="none"/>
              </w:rPr>
            </w:pPr>
          </w:p>
        </w:tc>
        <w:tc>
          <w:tcPr>
            <w:tcW w:w="1872" w:type="pct"/>
            <w:noWrap w:val="0"/>
            <w:vAlign w:val="center"/>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color w:val="auto"/>
                <w:sz w:val="24"/>
                <w:szCs w:val="24"/>
                <w:highlight w:val="none"/>
              </w:rPr>
            </w:pPr>
          </w:p>
        </w:tc>
        <w:tc>
          <w:tcPr>
            <w:tcW w:w="2293"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p>
        </w:tc>
        <w:tc>
          <w:tcPr>
            <w:tcW w:w="1872" w:type="pct"/>
            <w:noWrap w:val="0"/>
            <w:vAlign w:val="center"/>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835"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小计</w:t>
            </w:r>
          </w:p>
        </w:tc>
        <w:tc>
          <w:tcPr>
            <w:tcW w:w="4165" w:type="pct"/>
            <w:gridSpan w:val="2"/>
            <w:noWrap w:val="0"/>
            <w:vAlign w:val="center"/>
          </w:tcPr>
          <w:p>
            <w:pPr>
              <w:jc w:val="center"/>
              <w:rPr>
                <w:rFonts w:hint="eastAsia" w:ascii="宋体" w:hAnsi="宋体" w:eastAsia="宋体"/>
                <w:color w:val="auto"/>
                <w:sz w:val="24"/>
                <w:szCs w:val="24"/>
                <w:highlight w:val="none"/>
              </w:rPr>
            </w:pPr>
          </w:p>
        </w:tc>
      </w:tr>
    </w:tbl>
    <w:p>
      <w:pPr>
        <w:keepNext/>
        <w:keepLines/>
        <w:spacing w:before="120" w:after="120" w:line="413" w:lineRule="auto"/>
        <w:rPr>
          <w:rFonts w:hint="eastAsia" w:ascii="宋体" w:hAnsi="宋体"/>
          <w:color w:val="auto"/>
          <w:sz w:val="24"/>
          <w:szCs w:val="24"/>
          <w:highlight w:val="none"/>
        </w:rPr>
      </w:pPr>
      <w:r>
        <w:rPr>
          <w:rFonts w:hint="eastAsia" w:ascii="宋体" w:hAnsi="宋体"/>
          <w:color w:val="auto"/>
          <w:sz w:val="24"/>
          <w:szCs w:val="24"/>
          <w:highlight w:val="none"/>
        </w:rPr>
        <w:t>注：1、物业管理费构成中的人工费用部分必须提供费用构成明细，可另附表说明。</w:t>
      </w:r>
    </w:p>
    <w:p>
      <w:pPr>
        <w:rPr>
          <w:rFonts w:hint="eastAsia" w:ascii="宋体" w:hAnsi="宋体"/>
          <w:color w:val="auto"/>
          <w:sz w:val="24"/>
          <w:szCs w:val="24"/>
          <w:highlight w:val="none"/>
        </w:rPr>
      </w:pPr>
      <w:r>
        <w:rPr>
          <w:rFonts w:hint="eastAsia" w:ascii="宋体" w:hAnsi="宋体"/>
          <w:color w:val="auto"/>
          <w:sz w:val="24"/>
          <w:szCs w:val="24"/>
          <w:highlight w:val="none"/>
        </w:rPr>
        <w:t>2#楼                                                              （单位：元/月）</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4520"/>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3"/>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管理费构成测算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pct"/>
            <w:noWrap w:val="0"/>
            <w:vAlign w:val="center"/>
          </w:tcPr>
          <w:p>
            <w:pPr>
              <w:spacing w:before="120" w:after="120"/>
              <w:jc w:val="center"/>
              <w:rPr>
                <w:rFonts w:hint="eastAsia" w:ascii="宋体" w:hAnsi="宋体" w:eastAsia="宋体"/>
                <w:b/>
                <w:bCs/>
                <w:caps/>
                <w:color w:val="auto"/>
                <w:sz w:val="24"/>
                <w:szCs w:val="24"/>
                <w:highlight w:val="none"/>
              </w:rPr>
            </w:pPr>
            <w:r>
              <w:rPr>
                <w:rFonts w:hint="eastAsia" w:ascii="宋体" w:hAnsi="宋体" w:eastAsia="宋体"/>
                <w:b/>
                <w:bCs/>
                <w:caps/>
                <w:color w:val="auto"/>
                <w:sz w:val="24"/>
                <w:szCs w:val="24"/>
                <w:highlight w:val="none"/>
              </w:rPr>
              <w:t>序号</w:t>
            </w:r>
          </w:p>
        </w:tc>
        <w:tc>
          <w:tcPr>
            <w:tcW w:w="2293"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项目</w:t>
            </w:r>
          </w:p>
        </w:tc>
        <w:tc>
          <w:tcPr>
            <w:tcW w:w="1872"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2293" w:type="pct"/>
            <w:noWrap w:val="0"/>
            <w:vAlign w:val="center"/>
          </w:tcPr>
          <w:p>
            <w:pPr>
              <w:jc w:val="center"/>
              <w:rPr>
                <w:rFonts w:hint="eastAsia" w:ascii="宋体" w:hAnsi="宋体" w:eastAsia="宋体"/>
                <w:color w:val="auto"/>
                <w:sz w:val="24"/>
                <w:szCs w:val="24"/>
                <w:highlight w:val="none"/>
              </w:rPr>
            </w:pPr>
          </w:p>
        </w:tc>
        <w:tc>
          <w:tcPr>
            <w:tcW w:w="1872" w:type="pct"/>
            <w:noWrap w:val="0"/>
            <w:vAlign w:val="center"/>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w:t>
            </w:r>
          </w:p>
        </w:tc>
        <w:tc>
          <w:tcPr>
            <w:tcW w:w="2293" w:type="pct"/>
            <w:noWrap w:val="0"/>
            <w:vAlign w:val="center"/>
          </w:tcPr>
          <w:p>
            <w:pPr>
              <w:jc w:val="center"/>
              <w:rPr>
                <w:rFonts w:hint="eastAsia" w:ascii="宋体" w:hAnsi="宋体" w:eastAsia="宋体"/>
                <w:color w:val="auto"/>
                <w:sz w:val="24"/>
                <w:szCs w:val="24"/>
                <w:highlight w:val="none"/>
              </w:rPr>
            </w:pPr>
          </w:p>
        </w:tc>
        <w:tc>
          <w:tcPr>
            <w:tcW w:w="1872" w:type="pct"/>
            <w:noWrap w:val="0"/>
            <w:vAlign w:val="center"/>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w:t>
            </w:r>
          </w:p>
        </w:tc>
        <w:tc>
          <w:tcPr>
            <w:tcW w:w="2293" w:type="pct"/>
            <w:noWrap w:val="0"/>
            <w:vAlign w:val="center"/>
          </w:tcPr>
          <w:p>
            <w:pPr>
              <w:jc w:val="center"/>
              <w:rPr>
                <w:rFonts w:hint="eastAsia" w:ascii="宋体" w:hAnsi="宋体" w:eastAsia="宋体"/>
                <w:color w:val="auto"/>
                <w:sz w:val="24"/>
                <w:szCs w:val="24"/>
                <w:highlight w:val="none"/>
              </w:rPr>
            </w:pPr>
          </w:p>
        </w:tc>
        <w:tc>
          <w:tcPr>
            <w:tcW w:w="1872" w:type="pct"/>
            <w:noWrap w:val="0"/>
            <w:vAlign w:val="center"/>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w:t>
            </w:r>
          </w:p>
        </w:tc>
        <w:tc>
          <w:tcPr>
            <w:tcW w:w="2293" w:type="pct"/>
            <w:noWrap w:val="0"/>
            <w:vAlign w:val="center"/>
          </w:tcPr>
          <w:p>
            <w:pPr>
              <w:jc w:val="center"/>
              <w:rPr>
                <w:rFonts w:hint="eastAsia" w:ascii="宋体" w:hAnsi="宋体" w:eastAsia="宋体"/>
                <w:color w:val="auto"/>
                <w:sz w:val="24"/>
                <w:szCs w:val="24"/>
                <w:highlight w:val="none"/>
              </w:rPr>
            </w:pPr>
          </w:p>
        </w:tc>
        <w:tc>
          <w:tcPr>
            <w:tcW w:w="1872" w:type="pct"/>
            <w:noWrap w:val="0"/>
            <w:vAlign w:val="center"/>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w:t>
            </w:r>
          </w:p>
        </w:tc>
        <w:tc>
          <w:tcPr>
            <w:tcW w:w="2293" w:type="pct"/>
            <w:noWrap w:val="0"/>
            <w:vAlign w:val="center"/>
          </w:tcPr>
          <w:p>
            <w:pPr>
              <w:jc w:val="center"/>
              <w:rPr>
                <w:rFonts w:hint="eastAsia" w:ascii="宋体" w:hAnsi="宋体" w:eastAsia="宋体"/>
                <w:color w:val="auto"/>
                <w:sz w:val="24"/>
                <w:szCs w:val="24"/>
                <w:highlight w:val="none"/>
              </w:rPr>
            </w:pPr>
          </w:p>
        </w:tc>
        <w:tc>
          <w:tcPr>
            <w:tcW w:w="1872" w:type="pct"/>
            <w:noWrap w:val="0"/>
            <w:vAlign w:val="center"/>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6</w:t>
            </w:r>
          </w:p>
        </w:tc>
        <w:tc>
          <w:tcPr>
            <w:tcW w:w="2293" w:type="pct"/>
            <w:noWrap w:val="0"/>
            <w:vAlign w:val="center"/>
          </w:tcPr>
          <w:p>
            <w:pPr>
              <w:jc w:val="center"/>
              <w:rPr>
                <w:rFonts w:hint="eastAsia" w:ascii="宋体" w:hAnsi="宋体" w:eastAsia="宋体"/>
                <w:color w:val="auto"/>
                <w:sz w:val="24"/>
                <w:szCs w:val="24"/>
                <w:highlight w:val="none"/>
              </w:rPr>
            </w:pPr>
          </w:p>
        </w:tc>
        <w:tc>
          <w:tcPr>
            <w:tcW w:w="1872" w:type="pct"/>
            <w:noWrap w:val="0"/>
            <w:vAlign w:val="center"/>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w:t>
            </w:r>
          </w:p>
        </w:tc>
        <w:tc>
          <w:tcPr>
            <w:tcW w:w="2293" w:type="pct"/>
            <w:noWrap w:val="0"/>
            <w:vAlign w:val="center"/>
          </w:tcPr>
          <w:p>
            <w:pPr>
              <w:jc w:val="center"/>
              <w:rPr>
                <w:rFonts w:hint="eastAsia" w:ascii="宋体" w:hAnsi="宋体" w:eastAsia="宋体"/>
                <w:color w:val="auto"/>
                <w:sz w:val="24"/>
                <w:szCs w:val="24"/>
                <w:highlight w:val="none"/>
              </w:rPr>
            </w:pPr>
          </w:p>
        </w:tc>
        <w:tc>
          <w:tcPr>
            <w:tcW w:w="1872" w:type="pct"/>
            <w:noWrap w:val="0"/>
            <w:vAlign w:val="center"/>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8</w:t>
            </w:r>
          </w:p>
        </w:tc>
        <w:tc>
          <w:tcPr>
            <w:tcW w:w="2293" w:type="pct"/>
            <w:noWrap w:val="0"/>
            <w:vAlign w:val="center"/>
          </w:tcPr>
          <w:p>
            <w:pPr>
              <w:jc w:val="center"/>
              <w:rPr>
                <w:rFonts w:hint="eastAsia" w:ascii="宋体" w:hAnsi="宋体" w:eastAsia="宋体"/>
                <w:color w:val="auto"/>
                <w:sz w:val="24"/>
                <w:szCs w:val="24"/>
                <w:highlight w:val="none"/>
              </w:rPr>
            </w:pPr>
          </w:p>
        </w:tc>
        <w:tc>
          <w:tcPr>
            <w:tcW w:w="1872" w:type="pct"/>
            <w:noWrap w:val="0"/>
            <w:vAlign w:val="center"/>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9</w:t>
            </w:r>
          </w:p>
        </w:tc>
        <w:tc>
          <w:tcPr>
            <w:tcW w:w="2293" w:type="pct"/>
            <w:noWrap w:val="0"/>
            <w:vAlign w:val="center"/>
          </w:tcPr>
          <w:p>
            <w:pPr>
              <w:jc w:val="center"/>
              <w:rPr>
                <w:rFonts w:hint="eastAsia" w:ascii="宋体" w:hAnsi="宋体" w:eastAsia="宋体"/>
                <w:color w:val="auto"/>
                <w:sz w:val="24"/>
                <w:szCs w:val="24"/>
                <w:highlight w:val="none"/>
              </w:rPr>
            </w:pPr>
          </w:p>
        </w:tc>
        <w:tc>
          <w:tcPr>
            <w:tcW w:w="1872" w:type="pct"/>
            <w:noWrap w:val="0"/>
            <w:vAlign w:val="center"/>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10</w:t>
            </w:r>
          </w:p>
        </w:tc>
        <w:tc>
          <w:tcPr>
            <w:tcW w:w="2293" w:type="pct"/>
            <w:noWrap w:val="0"/>
            <w:vAlign w:val="center"/>
          </w:tcPr>
          <w:p>
            <w:pPr>
              <w:jc w:val="center"/>
              <w:rPr>
                <w:rFonts w:hint="eastAsia" w:ascii="宋体" w:hAnsi="宋体" w:eastAsia="宋体"/>
                <w:color w:val="auto"/>
                <w:sz w:val="24"/>
                <w:szCs w:val="24"/>
                <w:highlight w:val="none"/>
              </w:rPr>
            </w:pPr>
          </w:p>
        </w:tc>
        <w:tc>
          <w:tcPr>
            <w:tcW w:w="1872" w:type="pct"/>
            <w:noWrap w:val="0"/>
            <w:vAlign w:val="center"/>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pct"/>
            <w:noWrap w:val="0"/>
            <w:vAlign w:val="center"/>
          </w:tcPr>
          <w:p>
            <w:pPr>
              <w:jc w:val="center"/>
              <w:rPr>
                <w:rFonts w:hint="eastAsia" w:ascii="宋体" w:hAnsi="宋体" w:eastAsia="宋体"/>
                <w:color w:val="auto"/>
                <w:sz w:val="24"/>
                <w:szCs w:val="24"/>
                <w:highlight w:val="none"/>
              </w:rPr>
            </w:pPr>
          </w:p>
        </w:tc>
        <w:tc>
          <w:tcPr>
            <w:tcW w:w="2293"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p>
        </w:tc>
        <w:tc>
          <w:tcPr>
            <w:tcW w:w="1872" w:type="pct"/>
            <w:noWrap w:val="0"/>
            <w:vAlign w:val="center"/>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小计</w:t>
            </w:r>
          </w:p>
        </w:tc>
        <w:tc>
          <w:tcPr>
            <w:tcW w:w="4165" w:type="pct"/>
            <w:gridSpan w:val="2"/>
            <w:noWrap w:val="0"/>
            <w:vAlign w:val="center"/>
          </w:tcPr>
          <w:p>
            <w:pPr>
              <w:jc w:val="center"/>
              <w:rPr>
                <w:rFonts w:hint="eastAsia" w:ascii="宋体" w:hAnsi="宋体" w:eastAsia="宋体"/>
                <w:color w:val="auto"/>
                <w:sz w:val="24"/>
                <w:szCs w:val="24"/>
                <w:highlight w:val="none"/>
              </w:rPr>
            </w:pPr>
          </w:p>
        </w:tc>
      </w:tr>
    </w:tbl>
    <w:p>
      <w:pPr>
        <w:keepNext/>
        <w:keepLines/>
        <w:spacing w:before="120" w:after="120" w:line="413" w:lineRule="auto"/>
        <w:rPr>
          <w:rFonts w:hint="eastAsia" w:ascii="宋体" w:hAnsi="宋体"/>
          <w:color w:val="auto"/>
          <w:sz w:val="24"/>
          <w:szCs w:val="24"/>
          <w:highlight w:val="none"/>
        </w:rPr>
      </w:pPr>
      <w:r>
        <w:rPr>
          <w:rFonts w:hint="eastAsia" w:ascii="宋体" w:hAnsi="宋体"/>
          <w:color w:val="auto"/>
          <w:sz w:val="24"/>
          <w:szCs w:val="24"/>
          <w:highlight w:val="none"/>
        </w:rPr>
        <w:t>注：1、物业管理费构成中的人工费用部分必须提供费用构成明细，可另附表说明。</w:t>
      </w:r>
    </w:p>
    <w:p>
      <w:pPr>
        <w:pStyle w:val="2"/>
        <w:ind w:left="420"/>
        <w:rPr>
          <w:rFonts w:hint="eastAsia"/>
          <w:color w:val="auto"/>
          <w:highlight w:val="none"/>
        </w:rPr>
      </w:pPr>
    </w:p>
    <w:p>
      <w:pPr>
        <w:spacing w:line="400" w:lineRule="exact"/>
        <w:jc w:val="center"/>
        <w:rPr>
          <w:rFonts w:ascii="仿宋_GB2312" w:eastAsia="仿宋_GB2312"/>
          <w:b/>
          <w:color w:val="auto"/>
          <w:sz w:val="32"/>
          <w:highlight w:val="none"/>
        </w:rPr>
      </w:pPr>
    </w:p>
    <w:p>
      <w:pPr>
        <w:spacing w:line="460" w:lineRule="exact"/>
        <w:rPr>
          <w:color w:val="auto"/>
          <w:highlight w:val="none"/>
        </w:rPr>
        <w:sectPr>
          <w:pgSz w:w="11907" w:h="16840"/>
          <w:pgMar w:top="1418" w:right="1134" w:bottom="1418" w:left="1134" w:header="851" w:footer="851" w:gutter="0"/>
          <w:cols w:space="720" w:num="1"/>
          <w:docGrid w:type="lines" w:linePitch="312" w:charSpace="0"/>
        </w:sectPr>
      </w:pPr>
    </w:p>
    <w:p>
      <w:pPr>
        <w:spacing w:line="400" w:lineRule="exact"/>
        <w:jc w:val="center"/>
        <w:rPr>
          <w:rFonts w:hint="eastAsia" w:ascii="仿宋_GB2312" w:eastAsia="仿宋_GB2312"/>
          <w:b/>
          <w:color w:val="auto"/>
          <w:sz w:val="32"/>
          <w:highlight w:val="none"/>
        </w:rPr>
      </w:pPr>
      <w:r>
        <w:rPr>
          <w:rFonts w:hint="eastAsia" w:ascii="仿宋_GB2312" w:eastAsia="仿宋_GB2312"/>
          <w:b/>
          <w:color w:val="auto"/>
          <w:sz w:val="32"/>
          <w:highlight w:val="none"/>
        </w:rPr>
        <w:t>4、为完成本项目配备的办公及安保、清卫等设备明细表</w:t>
      </w:r>
    </w:p>
    <w:p>
      <w:pPr>
        <w:spacing w:before="156" w:after="156"/>
        <w:ind w:left="420"/>
        <w:jc w:val="center"/>
        <w:rPr>
          <w:rFonts w:hint="eastAsia" w:ascii="宋体" w:hAnsi="宋体"/>
          <w:b/>
          <w:bCs/>
          <w:color w:val="auto"/>
          <w:sz w:val="24"/>
          <w:szCs w:val="24"/>
          <w:highlight w:val="none"/>
        </w:rPr>
      </w:pPr>
      <w:r>
        <w:rPr>
          <w:rFonts w:hint="eastAsia" w:ascii="宋体" w:hAnsi="宋体"/>
          <w:b/>
          <w:bCs/>
          <w:color w:val="auto"/>
          <w:sz w:val="24"/>
          <w:szCs w:val="24"/>
          <w:highlight w:val="none"/>
        </w:rPr>
        <w:t>（备注：若业主方提供相关设备，则本项下相关表格可不填）</w:t>
      </w:r>
    </w:p>
    <w:p>
      <w:pPr>
        <w:spacing w:before="156" w:after="156"/>
        <w:rPr>
          <w:rFonts w:hint="eastAsia" w:ascii="宋体" w:hAnsi="宋体"/>
          <w:color w:val="auto"/>
          <w:sz w:val="24"/>
          <w:szCs w:val="24"/>
          <w:highlight w:val="none"/>
        </w:rPr>
      </w:pPr>
      <w:r>
        <w:rPr>
          <w:rFonts w:hint="eastAsia" w:ascii="宋体" w:hAnsi="宋体"/>
          <w:color w:val="auto"/>
          <w:sz w:val="24"/>
          <w:szCs w:val="24"/>
          <w:highlight w:val="none"/>
        </w:rPr>
        <w:t>（一）办公设备</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085"/>
        <w:gridCol w:w="923"/>
        <w:gridCol w:w="923"/>
        <w:gridCol w:w="923"/>
        <w:gridCol w:w="825"/>
        <w:gridCol w:w="1023"/>
        <w:gridCol w:w="923"/>
        <w:gridCol w:w="923"/>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40"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584" w:type="pct"/>
            <w:noWrap w:val="0"/>
            <w:vAlign w:val="center"/>
          </w:tcPr>
          <w:p>
            <w:pPr>
              <w:spacing w:before="120" w:after="120"/>
              <w:jc w:val="center"/>
              <w:rPr>
                <w:rFonts w:hint="eastAsia" w:ascii="宋体" w:hAnsi="宋体" w:eastAsia="宋体"/>
                <w:bCs/>
                <w:caps/>
                <w:color w:val="auto"/>
                <w:sz w:val="24"/>
                <w:szCs w:val="24"/>
                <w:highlight w:val="none"/>
              </w:rPr>
            </w:pPr>
            <w:r>
              <w:rPr>
                <w:rFonts w:hint="eastAsia" w:ascii="宋体" w:hAnsi="宋体" w:eastAsia="宋体"/>
                <w:bCs/>
                <w:caps/>
                <w:color w:val="auto"/>
                <w:sz w:val="24"/>
                <w:szCs w:val="24"/>
                <w:highlight w:val="none"/>
              </w:rPr>
              <w:t>名称</w:t>
            </w:r>
          </w:p>
        </w:tc>
        <w:tc>
          <w:tcPr>
            <w:tcW w:w="497"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数量</w:t>
            </w:r>
          </w:p>
        </w:tc>
        <w:tc>
          <w:tcPr>
            <w:tcW w:w="497"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单价</w:t>
            </w:r>
          </w:p>
        </w:tc>
        <w:tc>
          <w:tcPr>
            <w:tcW w:w="497"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金额</w:t>
            </w:r>
          </w:p>
        </w:tc>
        <w:tc>
          <w:tcPr>
            <w:tcW w:w="444"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551"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名称</w:t>
            </w:r>
          </w:p>
        </w:tc>
        <w:tc>
          <w:tcPr>
            <w:tcW w:w="497"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数量</w:t>
            </w:r>
          </w:p>
        </w:tc>
        <w:tc>
          <w:tcPr>
            <w:tcW w:w="497"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单价</w:t>
            </w:r>
          </w:p>
        </w:tc>
        <w:tc>
          <w:tcPr>
            <w:tcW w:w="497"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40"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584" w:type="pct"/>
            <w:noWrap w:val="0"/>
            <w:vAlign w:val="top"/>
          </w:tcPr>
          <w:p>
            <w:pPr>
              <w:rPr>
                <w:rFonts w:hint="eastAsia" w:ascii="宋体" w:hAnsi="宋体" w:eastAsia="宋体"/>
                <w:color w:val="auto"/>
                <w:sz w:val="24"/>
                <w:szCs w:val="24"/>
                <w:highlight w:val="none"/>
              </w:rPr>
            </w:pPr>
          </w:p>
        </w:tc>
        <w:tc>
          <w:tcPr>
            <w:tcW w:w="497" w:type="pct"/>
            <w:noWrap w:val="0"/>
            <w:vAlign w:val="top"/>
          </w:tcPr>
          <w:p>
            <w:pPr>
              <w:rPr>
                <w:rFonts w:hint="eastAsia" w:ascii="宋体" w:hAnsi="宋体" w:eastAsia="宋体"/>
                <w:color w:val="auto"/>
                <w:sz w:val="24"/>
                <w:szCs w:val="24"/>
                <w:highlight w:val="none"/>
              </w:rPr>
            </w:pPr>
          </w:p>
        </w:tc>
        <w:tc>
          <w:tcPr>
            <w:tcW w:w="497" w:type="pct"/>
            <w:noWrap w:val="0"/>
            <w:vAlign w:val="top"/>
          </w:tcPr>
          <w:p>
            <w:pPr>
              <w:rPr>
                <w:rFonts w:hint="eastAsia" w:ascii="宋体" w:hAnsi="宋体" w:eastAsia="宋体"/>
                <w:color w:val="auto"/>
                <w:sz w:val="24"/>
                <w:szCs w:val="24"/>
                <w:highlight w:val="none"/>
              </w:rPr>
            </w:pPr>
          </w:p>
        </w:tc>
        <w:tc>
          <w:tcPr>
            <w:tcW w:w="497" w:type="pct"/>
            <w:noWrap w:val="0"/>
            <w:vAlign w:val="top"/>
          </w:tcPr>
          <w:p>
            <w:pPr>
              <w:rPr>
                <w:rFonts w:hint="eastAsia" w:ascii="宋体" w:hAnsi="宋体" w:eastAsia="宋体"/>
                <w:color w:val="auto"/>
                <w:sz w:val="24"/>
                <w:szCs w:val="24"/>
                <w:highlight w:val="none"/>
              </w:rPr>
            </w:pPr>
          </w:p>
        </w:tc>
        <w:tc>
          <w:tcPr>
            <w:tcW w:w="444"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w:t>
            </w:r>
          </w:p>
        </w:tc>
        <w:tc>
          <w:tcPr>
            <w:tcW w:w="551" w:type="pct"/>
            <w:noWrap w:val="0"/>
            <w:vAlign w:val="top"/>
          </w:tcPr>
          <w:p>
            <w:pPr>
              <w:rPr>
                <w:rFonts w:hint="eastAsia" w:ascii="宋体" w:hAnsi="宋体" w:eastAsia="宋体"/>
                <w:color w:val="auto"/>
                <w:sz w:val="24"/>
                <w:szCs w:val="24"/>
                <w:highlight w:val="none"/>
              </w:rPr>
            </w:pPr>
          </w:p>
        </w:tc>
        <w:tc>
          <w:tcPr>
            <w:tcW w:w="497" w:type="pct"/>
            <w:noWrap w:val="0"/>
            <w:vAlign w:val="top"/>
          </w:tcPr>
          <w:p>
            <w:pPr>
              <w:rPr>
                <w:rFonts w:hint="eastAsia" w:ascii="宋体" w:hAnsi="宋体" w:eastAsia="宋体"/>
                <w:color w:val="auto"/>
                <w:sz w:val="24"/>
                <w:szCs w:val="24"/>
                <w:highlight w:val="none"/>
              </w:rPr>
            </w:pPr>
          </w:p>
        </w:tc>
        <w:tc>
          <w:tcPr>
            <w:tcW w:w="497" w:type="pct"/>
            <w:noWrap w:val="0"/>
            <w:vAlign w:val="top"/>
          </w:tcPr>
          <w:p>
            <w:pPr>
              <w:rPr>
                <w:rFonts w:hint="eastAsia" w:ascii="宋体" w:hAnsi="宋体" w:eastAsia="宋体"/>
                <w:color w:val="auto"/>
                <w:sz w:val="24"/>
                <w:szCs w:val="24"/>
                <w:highlight w:val="none"/>
              </w:rPr>
            </w:pPr>
          </w:p>
        </w:tc>
        <w:tc>
          <w:tcPr>
            <w:tcW w:w="497" w:type="pct"/>
            <w:noWrap w:val="0"/>
            <w:vAlign w:val="top"/>
          </w:tcPr>
          <w:p>
            <w:pP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40"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w:t>
            </w:r>
          </w:p>
        </w:tc>
        <w:tc>
          <w:tcPr>
            <w:tcW w:w="584" w:type="pct"/>
            <w:noWrap w:val="0"/>
            <w:vAlign w:val="top"/>
          </w:tcPr>
          <w:p>
            <w:pPr>
              <w:rPr>
                <w:rFonts w:hint="eastAsia" w:ascii="宋体" w:hAnsi="宋体" w:eastAsia="宋体"/>
                <w:color w:val="auto"/>
                <w:sz w:val="24"/>
                <w:szCs w:val="24"/>
                <w:highlight w:val="none"/>
              </w:rPr>
            </w:pPr>
          </w:p>
        </w:tc>
        <w:tc>
          <w:tcPr>
            <w:tcW w:w="497" w:type="pct"/>
            <w:noWrap w:val="0"/>
            <w:vAlign w:val="top"/>
          </w:tcPr>
          <w:p>
            <w:pPr>
              <w:rPr>
                <w:rFonts w:hint="eastAsia" w:ascii="宋体" w:hAnsi="宋体" w:eastAsia="宋体"/>
                <w:color w:val="auto"/>
                <w:sz w:val="24"/>
                <w:szCs w:val="24"/>
                <w:highlight w:val="none"/>
              </w:rPr>
            </w:pPr>
          </w:p>
        </w:tc>
        <w:tc>
          <w:tcPr>
            <w:tcW w:w="497" w:type="pct"/>
            <w:noWrap w:val="0"/>
            <w:vAlign w:val="top"/>
          </w:tcPr>
          <w:p>
            <w:pPr>
              <w:rPr>
                <w:rFonts w:hint="eastAsia" w:ascii="宋体" w:hAnsi="宋体" w:eastAsia="宋体"/>
                <w:color w:val="auto"/>
                <w:sz w:val="24"/>
                <w:szCs w:val="24"/>
                <w:highlight w:val="none"/>
              </w:rPr>
            </w:pPr>
          </w:p>
        </w:tc>
        <w:tc>
          <w:tcPr>
            <w:tcW w:w="497" w:type="pct"/>
            <w:noWrap w:val="0"/>
            <w:vAlign w:val="top"/>
          </w:tcPr>
          <w:p>
            <w:pPr>
              <w:rPr>
                <w:rFonts w:hint="eastAsia" w:ascii="宋体" w:hAnsi="宋体" w:eastAsia="宋体"/>
                <w:color w:val="auto"/>
                <w:sz w:val="24"/>
                <w:szCs w:val="24"/>
                <w:highlight w:val="none"/>
              </w:rPr>
            </w:pPr>
          </w:p>
        </w:tc>
        <w:tc>
          <w:tcPr>
            <w:tcW w:w="444"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6</w:t>
            </w:r>
          </w:p>
        </w:tc>
        <w:tc>
          <w:tcPr>
            <w:tcW w:w="551" w:type="pct"/>
            <w:noWrap w:val="0"/>
            <w:vAlign w:val="top"/>
          </w:tcPr>
          <w:p>
            <w:pPr>
              <w:rPr>
                <w:rFonts w:hint="eastAsia" w:ascii="宋体" w:hAnsi="宋体" w:eastAsia="宋体"/>
                <w:color w:val="auto"/>
                <w:sz w:val="24"/>
                <w:szCs w:val="24"/>
                <w:highlight w:val="none"/>
              </w:rPr>
            </w:pPr>
          </w:p>
        </w:tc>
        <w:tc>
          <w:tcPr>
            <w:tcW w:w="497" w:type="pct"/>
            <w:noWrap w:val="0"/>
            <w:vAlign w:val="top"/>
          </w:tcPr>
          <w:p>
            <w:pPr>
              <w:rPr>
                <w:rFonts w:hint="eastAsia" w:ascii="宋体" w:hAnsi="宋体" w:eastAsia="宋体"/>
                <w:color w:val="auto"/>
                <w:sz w:val="24"/>
                <w:szCs w:val="24"/>
                <w:highlight w:val="none"/>
              </w:rPr>
            </w:pPr>
          </w:p>
        </w:tc>
        <w:tc>
          <w:tcPr>
            <w:tcW w:w="497" w:type="pct"/>
            <w:noWrap w:val="0"/>
            <w:vAlign w:val="top"/>
          </w:tcPr>
          <w:p>
            <w:pPr>
              <w:rPr>
                <w:rFonts w:hint="eastAsia" w:ascii="宋体" w:hAnsi="宋体" w:eastAsia="宋体"/>
                <w:color w:val="auto"/>
                <w:sz w:val="24"/>
                <w:szCs w:val="24"/>
                <w:highlight w:val="none"/>
              </w:rPr>
            </w:pPr>
          </w:p>
        </w:tc>
        <w:tc>
          <w:tcPr>
            <w:tcW w:w="497" w:type="pct"/>
            <w:noWrap w:val="0"/>
            <w:vAlign w:val="top"/>
          </w:tcPr>
          <w:p>
            <w:pP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40"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w:t>
            </w:r>
          </w:p>
        </w:tc>
        <w:tc>
          <w:tcPr>
            <w:tcW w:w="584" w:type="pct"/>
            <w:noWrap w:val="0"/>
            <w:vAlign w:val="top"/>
          </w:tcPr>
          <w:p>
            <w:pPr>
              <w:rPr>
                <w:rFonts w:hint="eastAsia" w:ascii="宋体" w:hAnsi="宋体" w:eastAsia="宋体"/>
                <w:color w:val="auto"/>
                <w:sz w:val="24"/>
                <w:szCs w:val="24"/>
                <w:highlight w:val="none"/>
              </w:rPr>
            </w:pPr>
          </w:p>
        </w:tc>
        <w:tc>
          <w:tcPr>
            <w:tcW w:w="497" w:type="pct"/>
            <w:noWrap w:val="0"/>
            <w:vAlign w:val="top"/>
          </w:tcPr>
          <w:p>
            <w:pPr>
              <w:rPr>
                <w:rFonts w:hint="eastAsia" w:ascii="宋体" w:hAnsi="宋体" w:eastAsia="宋体"/>
                <w:color w:val="auto"/>
                <w:sz w:val="24"/>
                <w:szCs w:val="24"/>
                <w:highlight w:val="none"/>
              </w:rPr>
            </w:pPr>
          </w:p>
        </w:tc>
        <w:tc>
          <w:tcPr>
            <w:tcW w:w="497" w:type="pct"/>
            <w:noWrap w:val="0"/>
            <w:vAlign w:val="top"/>
          </w:tcPr>
          <w:p>
            <w:pPr>
              <w:rPr>
                <w:rFonts w:hint="eastAsia" w:ascii="宋体" w:hAnsi="宋体" w:eastAsia="宋体"/>
                <w:color w:val="auto"/>
                <w:sz w:val="24"/>
                <w:szCs w:val="24"/>
                <w:highlight w:val="none"/>
              </w:rPr>
            </w:pPr>
          </w:p>
        </w:tc>
        <w:tc>
          <w:tcPr>
            <w:tcW w:w="497" w:type="pct"/>
            <w:noWrap w:val="0"/>
            <w:vAlign w:val="top"/>
          </w:tcPr>
          <w:p>
            <w:pPr>
              <w:rPr>
                <w:rFonts w:hint="eastAsia" w:ascii="宋体" w:hAnsi="宋体" w:eastAsia="宋体"/>
                <w:color w:val="auto"/>
                <w:sz w:val="24"/>
                <w:szCs w:val="24"/>
                <w:highlight w:val="none"/>
              </w:rPr>
            </w:pPr>
          </w:p>
        </w:tc>
        <w:tc>
          <w:tcPr>
            <w:tcW w:w="444"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w:t>
            </w:r>
          </w:p>
        </w:tc>
        <w:tc>
          <w:tcPr>
            <w:tcW w:w="551" w:type="pct"/>
            <w:noWrap w:val="0"/>
            <w:vAlign w:val="top"/>
          </w:tcPr>
          <w:p>
            <w:pPr>
              <w:rPr>
                <w:rFonts w:hint="eastAsia" w:ascii="宋体" w:hAnsi="宋体" w:eastAsia="宋体"/>
                <w:color w:val="auto"/>
                <w:sz w:val="24"/>
                <w:szCs w:val="24"/>
                <w:highlight w:val="none"/>
              </w:rPr>
            </w:pPr>
          </w:p>
        </w:tc>
        <w:tc>
          <w:tcPr>
            <w:tcW w:w="497" w:type="pct"/>
            <w:noWrap w:val="0"/>
            <w:vAlign w:val="top"/>
          </w:tcPr>
          <w:p>
            <w:pPr>
              <w:rPr>
                <w:rFonts w:hint="eastAsia" w:ascii="宋体" w:hAnsi="宋体" w:eastAsia="宋体"/>
                <w:color w:val="auto"/>
                <w:sz w:val="24"/>
                <w:szCs w:val="24"/>
                <w:highlight w:val="none"/>
              </w:rPr>
            </w:pPr>
          </w:p>
        </w:tc>
        <w:tc>
          <w:tcPr>
            <w:tcW w:w="497" w:type="pct"/>
            <w:noWrap w:val="0"/>
            <w:vAlign w:val="top"/>
          </w:tcPr>
          <w:p>
            <w:pPr>
              <w:rPr>
                <w:rFonts w:hint="eastAsia" w:ascii="宋体" w:hAnsi="宋体" w:eastAsia="宋体"/>
                <w:color w:val="auto"/>
                <w:sz w:val="24"/>
                <w:szCs w:val="24"/>
                <w:highlight w:val="none"/>
              </w:rPr>
            </w:pPr>
          </w:p>
        </w:tc>
        <w:tc>
          <w:tcPr>
            <w:tcW w:w="497" w:type="pct"/>
            <w:noWrap w:val="0"/>
            <w:vAlign w:val="top"/>
          </w:tcPr>
          <w:p>
            <w:pP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40"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w:t>
            </w:r>
          </w:p>
        </w:tc>
        <w:tc>
          <w:tcPr>
            <w:tcW w:w="584" w:type="pct"/>
            <w:noWrap w:val="0"/>
            <w:vAlign w:val="top"/>
          </w:tcPr>
          <w:p>
            <w:pPr>
              <w:rPr>
                <w:rFonts w:hint="eastAsia" w:ascii="宋体" w:hAnsi="宋体" w:eastAsia="宋体"/>
                <w:color w:val="auto"/>
                <w:sz w:val="24"/>
                <w:szCs w:val="24"/>
                <w:highlight w:val="none"/>
              </w:rPr>
            </w:pPr>
          </w:p>
        </w:tc>
        <w:tc>
          <w:tcPr>
            <w:tcW w:w="497" w:type="pct"/>
            <w:noWrap w:val="0"/>
            <w:vAlign w:val="top"/>
          </w:tcPr>
          <w:p>
            <w:pPr>
              <w:rPr>
                <w:rFonts w:hint="eastAsia" w:ascii="宋体" w:hAnsi="宋体" w:eastAsia="宋体"/>
                <w:color w:val="auto"/>
                <w:sz w:val="24"/>
                <w:szCs w:val="24"/>
                <w:highlight w:val="none"/>
              </w:rPr>
            </w:pPr>
          </w:p>
        </w:tc>
        <w:tc>
          <w:tcPr>
            <w:tcW w:w="497" w:type="pct"/>
            <w:noWrap w:val="0"/>
            <w:vAlign w:val="top"/>
          </w:tcPr>
          <w:p>
            <w:pPr>
              <w:rPr>
                <w:rFonts w:hint="eastAsia" w:ascii="宋体" w:hAnsi="宋体" w:eastAsia="宋体"/>
                <w:color w:val="auto"/>
                <w:sz w:val="24"/>
                <w:szCs w:val="24"/>
                <w:highlight w:val="none"/>
              </w:rPr>
            </w:pPr>
          </w:p>
        </w:tc>
        <w:tc>
          <w:tcPr>
            <w:tcW w:w="497" w:type="pct"/>
            <w:noWrap w:val="0"/>
            <w:vAlign w:val="top"/>
          </w:tcPr>
          <w:p>
            <w:pPr>
              <w:rPr>
                <w:rFonts w:hint="eastAsia" w:ascii="宋体" w:hAnsi="宋体" w:eastAsia="宋体"/>
                <w:color w:val="auto"/>
                <w:sz w:val="24"/>
                <w:szCs w:val="24"/>
                <w:highlight w:val="none"/>
              </w:rPr>
            </w:pPr>
          </w:p>
        </w:tc>
        <w:tc>
          <w:tcPr>
            <w:tcW w:w="444"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8</w:t>
            </w:r>
          </w:p>
        </w:tc>
        <w:tc>
          <w:tcPr>
            <w:tcW w:w="551" w:type="pct"/>
            <w:noWrap w:val="0"/>
            <w:vAlign w:val="top"/>
          </w:tcPr>
          <w:p>
            <w:pPr>
              <w:rPr>
                <w:rFonts w:hint="eastAsia" w:ascii="宋体" w:hAnsi="宋体" w:eastAsia="宋体"/>
                <w:color w:val="auto"/>
                <w:sz w:val="24"/>
                <w:szCs w:val="24"/>
                <w:highlight w:val="none"/>
              </w:rPr>
            </w:pPr>
          </w:p>
        </w:tc>
        <w:tc>
          <w:tcPr>
            <w:tcW w:w="497" w:type="pct"/>
            <w:noWrap w:val="0"/>
            <w:vAlign w:val="top"/>
          </w:tcPr>
          <w:p>
            <w:pPr>
              <w:rPr>
                <w:rFonts w:hint="eastAsia" w:ascii="宋体" w:hAnsi="宋体" w:eastAsia="宋体"/>
                <w:color w:val="auto"/>
                <w:sz w:val="24"/>
                <w:szCs w:val="24"/>
                <w:highlight w:val="none"/>
              </w:rPr>
            </w:pPr>
          </w:p>
        </w:tc>
        <w:tc>
          <w:tcPr>
            <w:tcW w:w="497" w:type="pct"/>
            <w:noWrap w:val="0"/>
            <w:vAlign w:val="top"/>
          </w:tcPr>
          <w:p>
            <w:pPr>
              <w:rPr>
                <w:rFonts w:hint="eastAsia" w:ascii="宋体" w:hAnsi="宋体" w:eastAsia="宋体"/>
                <w:color w:val="auto"/>
                <w:sz w:val="24"/>
                <w:szCs w:val="24"/>
                <w:highlight w:val="none"/>
              </w:rPr>
            </w:pPr>
          </w:p>
        </w:tc>
        <w:tc>
          <w:tcPr>
            <w:tcW w:w="497" w:type="pct"/>
            <w:noWrap w:val="0"/>
            <w:vAlign w:val="top"/>
          </w:tcPr>
          <w:p>
            <w:pPr>
              <w:rPr>
                <w:rFonts w:hint="eastAsia" w:ascii="宋体" w:hAnsi="宋体" w:eastAsia="宋体"/>
                <w:color w:val="auto"/>
                <w:sz w:val="24"/>
                <w:szCs w:val="24"/>
                <w:highlight w:val="none"/>
              </w:rPr>
            </w:pPr>
          </w:p>
        </w:tc>
      </w:tr>
    </w:tbl>
    <w:p>
      <w:pPr>
        <w:spacing w:before="156" w:after="156"/>
        <w:rPr>
          <w:rFonts w:hint="eastAsia" w:ascii="宋体" w:hAnsi="宋体"/>
          <w:color w:val="auto"/>
          <w:sz w:val="24"/>
          <w:szCs w:val="24"/>
          <w:highlight w:val="none"/>
        </w:rPr>
      </w:pPr>
      <w:r>
        <w:rPr>
          <w:rFonts w:hint="eastAsia" w:ascii="宋体" w:hAnsi="宋体"/>
          <w:color w:val="auto"/>
          <w:sz w:val="24"/>
          <w:szCs w:val="24"/>
          <w:highlight w:val="none"/>
        </w:rPr>
        <w:t>（二）清卫、绿化养护设备</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087"/>
        <w:gridCol w:w="923"/>
        <w:gridCol w:w="923"/>
        <w:gridCol w:w="923"/>
        <w:gridCol w:w="825"/>
        <w:gridCol w:w="1023"/>
        <w:gridCol w:w="923"/>
        <w:gridCol w:w="923"/>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40"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585"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名称</w:t>
            </w:r>
          </w:p>
        </w:tc>
        <w:tc>
          <w:tcPr>
            <w:tcW w:w="497"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数量</w:t>
            </w:r>
          </w:p>
        </w:tc>
        <w:tc>
          <w:tcPr>
            <w:tcW w:w="497"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单价</w:t>
            </w:r>
          </w:p>
        </w:tc>
        <w:tc>
          <w:tcPr>
            <w:tcW w:w="497"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金额</w:t>
            </w:r>
          </w:p>
        </w:tc>
        <w:tc>
          <w:tcPr>
            <w:tcW w:w="444"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551"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名称</w:t>
            </w:r>
          </w:p>
        </w:tc>
        <w:tc>
          <w:tcPr>
            <w:tcW w:w="497"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数量</w:t>
            </w:r>
          </w:p>
        </w:tc>
        <w:tc>
          <w:tcPr>
            <w:tcW w:w="497"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单价</w:t>
            </w:r>
          </w:p>
        </w:tc>
        <w:tc>
          <w:tcPr>
            <w:tcW w:w="496"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40"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585"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44"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w:t>
            </w:r>
          </w:p>
        </w:tc>
        <w:tc>
          <w:tcPr>
            <w:tcW w:w="551"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96" w:type="pct"/>
            <w:noWrap w:val="0"/>
            <w:vAlign w:val="top"/>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40"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w:t>
            </w:r>
          </w:p>
        </w:tc>
        <w:tc>
          <w:tcPr>
            <w:tcW w:w="585"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44"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6</w:t>
            </w:r>
          </w:p>
        </w:tc>
        <w:tc>
          <w:tcPr>
            <w:tcW w:w="551"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96" w:type="pct"/>
            <w:noWrap w:val="0"/>
            <w:vAlign w:val="top"/>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40"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w:t>
            </w:r>
          </w:p>
        </w:tc>
        <w:tc>
          <w:tcPr>
            <w:tcW w:w="585"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44"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w:t>
            </w:r>
          </w:p>
        </w:tc>
        <w:tc>
          <w:tcPr>
            <w:tcW w:w="551"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96" w:type="pct"/>
            <w:noWrap w:val="0"/>
            <w:vAlign w:val="top"/>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40"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w:t>
            </w:r>
          </w:p>
        </w:tc>
        <w:tc>
          <w:tcPr>
            <w:tcW w:w="585"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44"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8</w:t>
            </w:r>
          </w:p>
        </w:tc>
        <w:tc>
          <w:tcPr>
            <w:tcW w:w="551"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96" w:type="pct"/>
            <w:noWrap w:val="0"/>
            <w:vAlign w:val="top"/>
          </w:tcPr>
          <w:p>
            <w:pPr>
              <w:jc w:val="center"/>
              <w:rPr>
                <w:rFonts w:hint="eastAsia" w:ascii="宋体" w:hAnsi="宋体" w:eastAsia="宋体"/>
                <w:color w:val="auto"/>
                <w:sz w:val="24"/>
                <w:szCs w:val="24"/>
                <w:highlight w:val="none"/>
              </w:rPr>
            </w:pPr>
          </w:p>
        </w:tc>
      </w:tr>
    </w:tbl>
    <w:p>
      <w:pPr>
        <w:spacing w:before="156" w:after="156"/>
        <w:rPr>
          <w:rFonts w:hint="eastAsia" w:ascii="宋体" w:hAnsi="宋体"/>
          <w:color w:val="auto"/>
          <w:sz w:val="24"/>
          <w:szCs w:val="24"/>
          <w:highlight w:val="none"/>
        </w:rPr>
      </w:pPr>
      <w:r>
        <w:rPr>
          <w:rFonts w:hint="eastAsia" w:ascii="宋体" w:hAnsi="宋体"/>
          <w:color w:val="auto"/>
          <w:sz w:val="24"/>
          <w:szCs w:val="24"/>
          <w:highlight w:val="none"/>
        </w:rPr>
        <w:t>（三）安保设备</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087"/>
        <w:gridCol w:w="923"/>
        <w:gridCol w:w="923"/>
        <w:gridCol w:w="923"/>
        <w:gridCol w:w="825"/>
        <w:gridCol w:w="1023"/>
        <w:gridCol w:w="923"/>
        <w:gridCol w:w="923"/>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40"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585"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名称</w:t>
            </w:r>
          </w:p>
        </w:tc>
        <w:tc>
          <w:tcPr>
            <w:tcW w:w="497"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数量</w:t>
            </w:r>
          </w:p>
        </w:tc>
        <w:tc>
          <w:tcPr>
            <w:tcW w:w="497"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单价</w:t>
            </w:r>
          </w:p>
        </w:tc>
        <w:tc>
          <w:tcPr>
            <w:tcW w:w="497"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金额</w:t>
            </w:r>
          </w:p>
        </w:tc>
        <w:tc>
          <w:tcPr>
            <w:tcW w:w="444"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551"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名称</w:t>
            </w:r>
          </w:p>
        </w:tc>
        <w:tc>
          <w:tcPr>
            <w:tcW w:w="497"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数量</w:t>
            </w:r>
          </w:p>
        </w:tc>
        <w:tc>
          <w:tcPr>
            <w:tcW w:w="497"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单价</w:t>
            </w:r>
          </w:p>
        </w:tc>
        <w:tc>
          <w:tcPr>
            <w:tcW w:w="496"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40"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585"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44"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w:t>
            </w:r>
          </w:p>
        </w:tc>
        <w:tc>
          <w:tcPr>
            <w:tcW w:w="551"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96" w:type="pct"/>
            <w:noWrap w:val="0"/>
            <w:vAlign w:val="top"/>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40"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w:t>
            </w:r>
          </w:p>
        </w:tc>
        <w:tc>
          <w:tcPr>
            <w:tcW w:w="585"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44"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6</w:t>
            </w:r>
          </w:p>
        </w:tc>
        <w:tc>
          <w:tcPr>
            <w:tcW w:w="551"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96" w:type="pct"/>
            <w:noWrap w:val="0"/>
            <w:vAlign w:val="top"/>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40"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w:t>
            </w:r>
          </w:p>
        </w:tc>
        <w:tc>
          <w:tcPr>
            <w:tcW w:w="585"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44"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w:t>
            </w:r>
          </w:p>
        </w:tc>
        <w:tc>
          <w:tcPr>
            <w:tcW w:w="551"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96" w:type="pct"/>
            <w:noWrap w:val="0"/>
            <w:vAlign w:val="top"/>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40"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w:t>
            </w:r>
          </w:p>
        </w:tc>
        <w:tc>
          <w:tcPr>
            <w:tcW w:w="585"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44" w:type="pct"/>
            <w:noWrap w:val="0"/>
            <w:vAlign w:val="top"/>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8</w:t>
            </w:r>
          </w:p>
        </w:tc>
        <w:tc>
          <w:tcPr>
            <w:tcW w:w="551"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97" w:type="pct"/>
            <w:noWrap w:val="0"/>
            <w:vAlign w:val="top"/>
          </w:tcPr>
          <w:p>
            <w:pPr>
              <w:jc w:val="center"/>
              <w:rPr>
                <w:rFonts w:hint="eastAsia" w:ascii="宋体" w:hAnsi="宋体" w:eastAsia="宋体"/>
                <w:color w:val="auto"/>
                <w:sz w:val="24"/>
                <w:szCs w:val="24"/>
                <w:highlight w:val="none"/>
              </w:rPr>
            </w:pPr>
          </w:p>
        </w:tc>
        <w:tc>
          <w:tcPr>
            <w:tcW w:w="496" w:type="pct"/>
            <w:noWrap w:val="0"/>
            <w:vAlign w:val="top"/>
          </w:tcPr>
          <w:p>
            <w:pPr>
              <w:jc w:val="center"/>
              <w:rPr>
                <w:rFonts w:hint="eastAsia" w:ascii="宋体" w:hAnsi="宋体" w:eastAsia="宋体"/>
                <w:color w:val="auto"/>
                <w:sz w:val="24"/>
                <w:szCs w:val="24"/>
                <w:highlight w:val="none"/>
              </w:rPr>
            </w:pPr>
          </w:p>
        </w:tc>
      </w:tr>
    </w:tbl>
    <w:p>
      <w:pPr>
        <w:spacing w:before="156" w:after="156"/>
        <w:jc w:val="center"/>
        <w:rPr>
          <w:rFonts w:hint="eastAsia" w:ascii="宋体" w:hAnsi="宋体"/>
          <w:bCs/>
          <w:color w:val="auto"/>
          <w:sz w:val="24"/>
          <w:szCs w:val="24"/>
          <w:highlight w:val="none"/>
        </w:rPr>
      </w:pPr>
      <w:r>
        <w:rPr>
          <w:rFonts w:hint="eastAsia" w:ascii="宋体" w:hAnsi="宋体"/>
          <w:bCs/>
          <w:color w:val="auto"/>
          <w:sz w:val="24"/>
          <w:szCs w:val="24"/>
          <w:highlight w:val="none"/>
        </w:rPr>
        <w:t>其它根据项目要求自行增删表格……</w:t>
      </w:r>
    </w:p>
    <w:p>
      <w:pPr>
        <w:jc w:val="center"/>
        <w:rPr>
          <w:rFonts w:hint="eastAsia" w:ascii="仿宋_GB2312" w:eastAsia="仿宋_GB2312"/>
          <w:b/>
          <w:color w:val="auto"/>
          <w:sz w:val="32"/>
          <w:szCs w:val="32"/>
          <w:highlight w:val="none"/>
        </w:rPr>
      </w:pPr>
    </w:p>
    <w:p>
      <w:pPr>
        <w:jc w:val="center"/>
        <w:rPr>
          <w:rFonts w:hint="eastAsia" w:ascii="仿宋_GB2312" w:eastAsia="仿宋_GB2312"/>
          <w:b/>
          <w:color w:val="auto"/>
          <w:sz w:val="32"/>
          <w:szCs w:val="32"/>
          <w:highlight w:val="none"/>
        </w:rPr>
      </w:pPr>
    </w:p>
    <w:p>
      <w:pPr>
        <w:jc w:val="center"/>
        <w:rPr>
          <w:rFonts w:hint="eastAsia" w:ascii="仿宋_GB2312" w:eastAsia="仿宋_GB2312"/>
          <w:b/>
          <w:color w:val="auto"/>
          <w:sz w:val="32"/>
          <w:szCs w:val="32"/>
          <w:highlight w:val="none"/>
        </w:rPr>
      </w:pPr>
    </w:p>
    <w:p>
      <w:pPr>
        <w:jc w:val="center"/>
        <w:rPr>
          <w:rFonts w:hint="eastAsia" w:ascii="仿宋_GB2312" w:eastAsia="仿宋_GB2312"/>
          <w:b/>
          <w:color w:val="auto"/>
          <w:sz w:val="32"/>
          <w:szCs w:val="32"/>
          <w:highlight w:val="none"/>
        </w:rPr>
      </w:pPr>
    </w:p>
    <w:p>
      <w:pPr>
        <w:jc w:val="center"/>
        <w:rPr>
          <w:rFonts w:hint="eastAsia" w:ascii="仿宋_GB2312" w:eastAsia="仿宋_GB2312"/>
          <w:b/>
          <w:color w:val="auto"/>
          <w:sz w:val="32"/>
          <w:szCs w:val="32"/>
          <w:highlight w:val="none"/>
        </w:rPr>
      </w:pPr>
    </w:p>
    <w:p>
      <w:pPr>
        <w:jc w:val="center"/>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rPr>
        <w:t>5、其他报价资料</w:t>
      </w:r>
    </w:p>
    <w:p>
      <w:pPr>
        <w:jc w:val="center"/>
        <w:rPr>
          <w:rFonts w:hint="eastAsia" w:ascii="仿宋_GB2312" w:eastAsia="仿宋_GB2312"/>
          <w:b/>
          <w:color w:val="auto"/>
          <w:sz w:val="32"/>
          <w:szCs w:val="32"/>
          <w:highlight w:val="none"/>
        </w:rPr>
      </w:pPr>
      <w:r>
        <w:rPr>
          <w:rFonts w:hint="eastAsia" w:ascii="仿宋_GB2312" w:eastAsia="仿宋_GB2312"/>
          <w:b/>
          <w:i/>
          <w:iCs/>
          <w:color w:val="auto"/>
          <w:sz w:val="32"/>
          <w:szCs w:val="32"/>
          <w:highlight w:val="none"/>
        </w:rPr>
        <w:t>投标人可结合招标文件及自身情况提供其他认为必要的资料。</w:t>
      </w:r>
      <w:r>
        <w:rPr>
          <w:rFonts w:hint="eastAsia" w:ascii="仿宋_GB2312" w:eastAsia="仿宋_GB2312"/>
          <w:b/>
          <w:color w:val="auto"/>
          <w:sz w:val="32"/>
          <w:szCs w:val="32"/>
          <w:highlight w:val="none"/>
        </w:rPr>
        <w:br w:type="page"/>
      </w:r>
      <w:r>
        <w:rPr>
          <w:rFonts w:hint="eastAsia" w:ascii="仿宋_GB2312" w:eastAsia="仿宋_GB2312"/>
          <w:b/>
          <w:color w:val="auto"/>
          <w:sz w:val="32"/>
          <w:szCs w:val="32"/>
          <w:highlight w:val="none"/>
        </w:rPr>
        <w:t>二、商务技术部分</w:t>
      </w:r>
    </w:p>
    <w:p>
      <w:pPr>
        <w:spacing w:before="156" w:after="156"/>
        <w:jc w:val="center"/>
        <w:rPr>
          <w:rFonts w:hint="eastAsia" w:ascii="宋体" w:hAnsi="宋体"/>
          <w:b/>
          <w:bCs/>
          <w:color w:val="auto"/>
          <w:sz w:val="28"/>
          <w:highlight w:val="none"/>
        </w:rPr>
      </w:pPr>
    </w:p>
    <w:p>
      <w:pPr>
        <w:jc w:val="center"/>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rPr>
        <w:t>1、投标人情况介绍</w:t>
      </w:r>
    </w:p>
    <w:tbl>
      <w:tblPr>
        <w:tblStyle w:val="20"/>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2405"/>
        <w:gridCol w:w="1980"/>
        <w:gridCol w:w="3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9" w:hRule="atLeast"/>
          <w:jc w:val="center"/>
        </w:trPr>
        <w:tc>
          <w:tcPr>
            <w:tcW w:w="746"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投标人名称</w:t>
            </w:r>
          </w:p>
        </w:tc>
        <w:tc>
          <w:tcPr>
            <w:tcW w:w="1297"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注册年度及注册编号</w:t>
            </w:r>
          </w:p>
        </w:tc>
        <w:tc>
          <w:tcPr>
            <w:tcW w:w="1068"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注册资金（万元）</w:t>
            </w:r>
          </w:p>
        </w:tc>
        <w:tc>
          <w:tcPr>
            <w:tcW w:w="1889"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资格（质）证书批准单位、等级</w:t>
            </w:r>
          </w:p>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批准时间及编号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9" w:hRule="atLeast"/>
          <w:jc w:val="center"/>
        </w:trPr>
        <w:tc>
          <w:tcPr>
            <w:tcW w:w="746" w:type="pct"/>
            <w:noWrap w:val="0"/>
            <w:vAlign w:val="center"/>
          </w:tcPr>
          <w:p>
            <w:pPr>
              <w:jc w:val="center"/>
              <w:rPr>
                <w:rFonts w:hint="eastAsia" w:ascii="宋体" w:hAnsi="宋体" w:eastAsia="宋体"/>
                <w:color w:val="auto"/>
                <w:sz w:val="24"/>
                <w:szCs w:val="24"/>
                <w:highlight w:val="none"/>
              </w:rPr>
            </w:pPr>
          </w:p>
        </w:tc>
        <w:tc>
          <w:tcPr>
            <w:tcW w:w="1297" w:type="pct"/>
            <w:noWrap w:val="0"/>
            <w:vAlign w:val="center"/>
          </w:tcPr>
          <w:p>
            <w:pPr>
              <w:jc w:val="center"/>
              <w:rPr>
                <w:rFonts w:ascii="宋体" w:hAnsi="宋体" w:eastAsia="宋体"/>
                <w:color w:val="auto"/>
                <w:sz w:val="24"/>
                <w:szCs w:val="24"/>
                <w:highlight w:val="none"/>
              </w:rPr>
            </w:pPr>
          </w:p>
        </w:tc>
        <w:tc>
          <w:tcPr>
            <w:tcW w:w="1068" w:type="pct"/>
            <w:noWrap w:val="0"/>
            <w:vAlign w:val="center"/>
          </w:tcPr>
          <w:p>
            <w:pPr>
              <w:jc w:val="center"/>
              <w:rPr>
                <w:rFonts w:ascii="宋体" w:hAnsi="宋体" w:eastAsia="宋体"/>
                <w:color w:val="auto"/>
                <w:sz w:val="24"/>
                <w:szCs w:val="24"/>
                <w:highlight w:val="none"/>
              </w:rPr>
            </w:pPr>
          </w:p>
        </w:tc>
        <w:tc>
          <w:tcPr>
            <w:tcW w:w="1889" w:type="pct"/>
            <w:noWrap w:val="0"/>
            <w:vAlign w:val="center"/>
          </w:tcPr>
          <w:p>
            <w:pPr>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9" w:hRule="atLeast"/>
          <w:jc w:val="center"/>
        </w:trPr>
        <w:tc>
          <w:tcPr>
            <w:tcW w:w="746"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税务登记证编号</w:t>
            </w:r>
          </w:p>
        </w:tc>
        <w:tc>
          <w:tcPr>
            <w:tcW w:w="1297" w:type="pct"/>
            <w:noWrap w:val="0"/>
            <w:vAlign w:val="center"/>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经营场所</w:t>
            </w:r>
          </w:p>
        </w:tc>
        <w:tc>
          <w:tcPr>
            <w:tcW w:w="1068" w:type="pct"/>
            <w:noWrap w:val="0"/>
            <w:vAlign w:val="center"/>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在职技术人数</w:t>
            </w:r>
          </w:p>
        </w:tc>
        <w:tc>
          <w:tcPr>
            <w:tcW w:w="1889" w:type="pct"/>
            <w:noWrap w:val="0"/>
            <w:vAlign w:val="center"/>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得奖或评优项目数量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9" w:hRule="atLeast"/>
          <w:jc w:val="center"/>
        </w:trPr>
        <w:tc>
          <w:tcPr>
            <w:tcW w:w="746" w:type="pct"/>
            <w:noWrap w:val="0"/>
            <w:vAlign w:val="center"/>
          </w:tcPr>
          <w:p>
            <w:pPr>
              <w:rPr>
                <w:rFonts w:hint="eastAsia" w:ascii="宋体" w:hAnsi="宋体" w:eastAsia="宋体"/>
                <w:color w:val="auto"/>
                <w:sz w:val="24"/>
                <w:szCs w:val="24"/>
                <w:highlight w:val="none"/>
              </w:rPr>
            </w:pPr>
          </w:p>
        </w:tc>
        <w:tc>
          <w:tcPr>
            <w:tcW w:w="1297" w:type="pct"/>
            <w:noWrap w:val="0"/>
            <w:vAlign w:val="center"/>
          </w:tcPr>
          <w:p>
            <w:pPr>
              <w:rPr>
                <w:rFonts w:ascii="宋体" w:hAnsi="宋体" w:eastAsia="宋体"/>
                <w:color w:val="auto"/>
                <w:sz w:val="24"/>
                <w:szCs w:val="24"/>
                <w:highlight w:val="none"/>
              </w:rPr>
            </w:pPr>
          </w:p>
        </w:tc>
        <w:tc>
          <w:tcPr>
            <w:tcW w:w="1068" w:type="pct"/>
            <w:noWrap w:val="0"/>
            <w:vAlign w:val="center"/>
          </w:tcPr>
          <w:p>
            <w:pPr>
              <w:rPr>
                <w:rFonts w:ascii="宋体" w:hAnsi="宋体" w:eastAsia="宋体"/>
                <w:color w:val="auto"/>
                <w:sz w:val="24"/>
                <w:szCs w:val="24"/>
                <w:highlight w:val="none"/>
              </w:rPr>
            </w:pPr>
          </w:p>
        </w:tc>
        <w:tc>
          <w:tcPr>
            <w:tcW w:w="1889" w:type="pct"/>
            <w:noWrap w:val="0"/>
            <w:vAlign w:val="center"/>
          </w:tcPr>
          <w:p>
            <w:pPr>
              <w:rPr>
                <w:rFonts w:ascii="宋体" w:hAnsi="宋体" w:eastAsia="宋体"/>
                <w:color w:val="auto"/>
                <w:sz w:val="24"/>
                <w:szCs w:val="24"/>
                <w:highlight w:val="none"/>
              </w:rPr>
            </w:pPr>
          </w:p>
        </w:tc>
      </w:tr>
    </w:tbl>
    <w:p>
      <w:pPr>
        <w:ind w:left="632" w:hanging="632"/>
        <w:rPr>
          <w:rFonts w:hint="eastAsia" w:ascii="宋体" w:hAnsi="宋体"/>
          <w:b/>
          <w:color w:val="auto"/>
          <w:sz w:val="24"/>
          <w:szCs w:val="24"/>
          <w:highlight w:val="none"/>
        </w:rPr>
      </w:pPr>
      <w:r>
        <w:rPr>
          <w:rFonts w:hint="eastAsia" w:ascii="宋体" w:hAnsi="宋体"/>
          <w:b/>
          <w:color w:val="auto"/>
          <w:sz w:val="24"/>
          <w:szCs w:val="24"/>
          <w:highlight w:val="none"/>
        </w:rPr>
        <w:t>注：1、在按要求填写好此表格后，各投标单位可以用其它的方式，就公司整体情况作出详细的介绍。</w:t>
      </w:r>
    </w:p>
    <w:p>
      <w:pPr>
        <w:ind w:firstLine="420"/>
        <w:rPr>
          <w:rFonts w:hint="eastAsia" w:ascii="宋体" w:hAnsi="宋体"/>
          <w:b/>
          <w:color w:val="auto"/>
          <w:sz w:val="24"/>
          <w:szCs w:val="24"/>
          <w:highlight w:val="none"/>
        </w:rPr>
      </w:pPr>
      <w:r>
        <w:rPr>
          <w:rFonts w:hint="eastAsia" w:ascii="宋体" w:hAnsi="宋体"/>
          <w:b/>
          <w:color w:val="auto"/>
          <w:sz w:val="24"/>
          <w:szCs w:val="24"/>
          <w:highlight w:val="none"/>
        </w:rPr>
        <w:t>2、有关资质和获奖情况需提供证书扫描件。</w:t>
      </w:r>
    </w:p>
    <w:p>
      <w:pPr>
        <w:ind w:firstLine="420"/>
        <w:rPr>
          <w:rFonts w:hint="eastAsia" w:ascii="宋体" w:hAnsi="宋体"/>
          <w:b/>
          <w:color w:val="auto"/>
          <w:sz w:val="24"/>
          <w:szCs w:val="24"/>
          <w:highlight w:val="none"/>
        </w:rPr>
      </w:pPr>
    </w:p>
    <w:p>
      <w:pPr>
        <w:ind w:firstLine="420"/>
        <w:rPr>
          <w:rFonts w:hint="eastAsia" w:ascii="宋体" w:hAnsi="宋体"/>
          <w:b/>
          <w:color w:val="auto"/>
          <w:sz w:val="24"/>
          <w:szCs w:val="24"/>
          <w:highlight w:val="none"/>
        </w:rPr>
      </w:pPr>
    </w:p>
    <w:p>
      <w:pPr>
        <w:ind w:firstLine="420"/>
        <w:rPr>
          <w:rFonts w:hint="eastAsia" w:ascii="宋体" w:hAnsi="宋体"/>
          <w:b/>
          <w:color w:val="auto"/>
          <w:sz w:val="24"/>
          <w:szCs w:val="24"/>
          <w:highlight w:val="none"/>
        </w:rPr>
      </w:pPr>
    </w:p>
    <w:p>
      <w:pPr>
        <w:ind w:firstLine="420"/>
        <w:rPr>
          <w:rFonts w:hint="eastAsia" w:ascii="宋体" w:hAnsi="宋体"/>
          <w:b/>
          <w:color w:val="auto"/>
          <w:sz w:val="24"/>
          <w:szCs w:val="24"/>
          <w:highlight w:val="none"/>
        </w:rPr>
      </w:pPr>
    </w:p>
    <w:p>
      <w:pPr>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2、类似物业项目案例</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4" w:type="dxa"/>
          <w:bottom w:w="0" w:type="dxa"/>
          <w:right w:w="54" w:type="dxa"/>
        </w:tblCellMar>
      </w:tblPr>
      <w:tblGrid>
        <w:gridCol w:w="699"/>
        <w:gridCol w:w="1481"/>
        <w:gridCol w:w="991"/>
        <w:gridCol w:w="1278"/>
        <w:gridCol w:w="1278"/>
        <w:gridCol w:w="852"/>
        <w:gridCol w:w="1417"/>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wBefore w:w="0" w:type="dxa"/>
          <w:wAfter w:w="0" w:type="dxa"/>
          <w:cantSplit/>
          <w:trHeight w:val="600" w:hRule="atLeast"/>
          <w:jc w:val="center"/>
        </w:trPr>
        <w:tc>
          <w:tcPr>
            <w:tcW w:w="381" w:type="pct"/>
            <w:noWrap w:val="0"/>
            <w:vAlign w:val="center"/>
          </w:tcPr>
          <w:p>
            <w:pP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807" w:type="pct"/>
            <w:noWrap w:val="0"/>
            <w:vAlign w:val="center"/>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物业名称</w:t>
            </w:r>
          </w:p>
        </w:tc>
        <w:tc>
          <w:tcPr>
            <w:tcW w:w="540"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业主</w:t>
            </w:r>
          </w:p>
        </w:tc>
        <w:tc>
          <w:tcPr>
            <w:tcW w:w="696" w:type="pct"/>
            <w:noWrap w:val="0"/>
            <w:vAlign w:val="center"/>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物业规模（平方米）</w:t>
            </w:r>
          </w:p>
        </w:tc>
        <w:tc>
          <w:tcPr>
            <w:tcW w:w="696"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合同金额</w:t>
            </w:r>
          </w:p>
        </w:tc>
        <w:tc>
          <w:tcPr>
            <w:tcW w:w="464"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合同起始时间</w:t>
            </w:r>
          </w:p>
        </w:tc>
        <w:tc>
          <w:tcPr>
            <w:tcW w:w="772"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业主联系人</w:t>
            </w:r>
          </w:p>
        </w:tc>
        <w:tc>
          <w:tcPr>
            <w:tcW w:w="644" w:type="pct"/>
            <w:noWrap w:val="0"/>
            <w:vAlign w:val="center"/>
          </w:tcPr>
          <w:p>
            <w:pPr>
              <w:rPr>
                <w:rFonts w:ascii="宋体" w:hAnsi="宋体" w:eastAsia="宋体"/>
                <w:color w:val="auto"/>
                <w:sz w:val="24"/>
                <w:szCs w:val="24"/>
                <w:highlight w:val="none"/>
              </w:rPr>
            </w:pPr>
            <w:r>
              <w:rPr>
                <w:rFonts w:hint="eastAsia" w:ascii="宋体" w:hAnsi="宋体" w:eastAsia="宋体"/>
                <w:color w:val="auto"/>
                <w:sz w:val="24"/>
                <w:szCs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wBefore w:w="0" w:type="dxa"/>
          <w:wAfter w:w="0" w:type="dxa"/>
          <w:cantSplit/>
          <w:trHeight w:val="600" w:hRule="atLeast"/>
          <w:jc w:val="center"/>
        </w:trPr>
        <w:tc>
          <w:tcPr>
            <w:tcW w:w="381" w:type="pct"/>
            <w:noWrap w:val="0"/>
            <w:vAlign w:val="center"/>
          </w:tcPr>
          <w:p>
            <w:pPr>
              <w:rPr>
                <w:rFonts w:hint="eastAsia" w:ascii="宋体" w:hAnsi="宋体" w:eastAsia="宋体"/>
                <w:color w:val="auto"/>
                <w:sz w:val="24"/>
                <w:szCs w:val="24"/>
                <w:highlight w:val="none"/>
              </w:rPr>
            </w:pPr>
          </w:p>
        </w:tc>
        <w:tc>
          <w:tcPr>
            <w:tcW w:w="807" w:type="pct"/>
            <w:noWrap w:val="0"/>
            <w:vAlign w:val="center"/>
          </w:tcPr>
          <w:p>
            <w:pPr>
              <w:rPr>
                <w:rFonts w:ascii="宋体" w:hAnsi="宋体" w:eastAsia="宋体"/>
                <w:color w:val="auto"/>
                <w:sz w:val="24"/>
                <w:szCs w:val="24"/>
                <w:highlight w:val="none"/>
              </w:rPr>
            </w:pPr>
          </w:p>
        </w:tc>
        <w:tc>
          <w:tcPr>
            <w:tcW w:w="540" w:type="pct"/>
            <w:noWrap w:val="0"/>
            <w:vAlign w:val="center"/>
          </w:tcPr>
          <w:p>
            <w:pPr>
              <w:rPr>
                <w:rFonts w:ascii="宋体" w:hAnsi="宋体" w:eastAsia="宋体"/>
                <w:color w:val="auto"/>
                <w:sz w:val="24"/>
                <w:szCs w:val="24"/>
                <w:highlight w:val="none"/>
              </w:rPr>
            </w:pPr>
          </w:p>
        </w:tc>
        <w:tc>
          <w:tcPr>
            <w:tcW w:w="696" w:type="pct"/>
            <w:noWrap w:val="0"/>
            <w:vAlign w:val="center"/>
          </w:tcPr>
          <w:p>
            <w:pPr>
              <w:rPr>
                <w:rFonts w:ascii="宋体" w:hAnsi="宋体" w:eastAsia="宋体"/>
                <w:color w:val="auto"/>
                <w:sz w:val="24"/>
                <w:szCs w:val="24"/>
                <w:highlight w:val="none"/>
              </w:rPr>
            </w:pPr>
          </w:p>
        </w:tc>
        <w:tc>
          <w:tcPr>
            <w:tcW w:w="696" w:type="pct"/>
            <w:noWrap w:val="0"/>
            <w:vAlign w:val="center"/>
          </w:tcPr>
          <w:p>
            <w:pPr>
              <w:rPr>
                <w:rFonts w:ascii="宋体" w:hAnsi="宋体" w:eastAsia="宋体"/>
                <w:color w:val="auto"/>
                <w:sz w:val="24"/>
                <w:szCs w:val="24"/>
                <w:highlight w:val="none"/>
              </w:rPr>
            </w:pPr>
          </w:p>
        </w:tc>
        <w:tc>
          <w:tcPr>
            <w:tcW w:w="464" w:type="pct"/>
            <w:noWrap w:val="0"/>
            <w:vAlign w:val="center"/>
          </w:tcPr>
          <w:p>
            <w:pPr>
              <w:rPr>
                <w:rFonts w:ascii="宋体" w:hAnsi="宋体" w:eastAsia="宋体"/>
                <w:color w:val="auto"/>
                <w:sz w:val="24"/>
                <w:szCs w:val="24"/>
                <w:highlight w:val="none"/>
              </w:rPr>
            </w:pPr>
          </w:p>
        </w:tc>
        <w:tc>
          <w:tcPr>
            <w:tcW w:w="772" w:type="pct"/>
            <w:noWrap w:val="0"/>
            <w:vAlign w:val="center"/>
          </w:tcPr>
          <w:p>
            <w:pPr>
              <w:rPr>
                <w:rFonts w:ascii="宋体" w:hAnsi="宋体" w:eastAsia="宋体"/>
                <w:color w:val="auto"/>
                <w:sz w:val="24"/>
                <w:szCs w:val="24"/>
                <w:highlight w:val="none"/>
              </w:rPr>
            </w:pPr>
          </w:p>
        </w:tc>
        <w:tc>
          <w:tcPr>
            <w:tcW w:w="644" w:type="pct"/>
            <w:noWrap w:val="0"/>
            <w:vAlign w:val="center"/>
          </w:tcPr>
          <w:p>
            <w:pP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wBefore w:w="0" w:type="dxa"/>
          <w:wAfter w:w="0" w:type="dxa"/>
          <w:cantSplit/>
          <w:trHeight w:val="600" w:hRule="atLeast"/>
          <w:jc w:val="center"/>
        </w:trPr>
        <w:tc>
          <w:tcPr>
            <w:tcW w:w="381" w:type="pct"/>
            <w:noWrap w:val="0"/>
            <w:vAlign w:val="center"/>
          </w:tcPr>
          <w:p>
            <w:pPr>
              <w:rPr>
                <w:rFonts w:ascii="宋体" w:hAnsi="宋体" w:eastAsia="宋体"/>
                <w:color w:val="auto"/>
                <w:sz w:val="24"/>
                <w:szCs w:val="24"/>
                <w:highlight w:val="none"/>
              </w:rPr>
            </w:pPr>
          </w:p>
        </w:tc>
        <w:tc>
          <w:tcPr>
            <w:tcW w:w="807" w:type="pct"/>
            <w:noWrap w:val="0"/>
            <w:vAlign w:val="center"/>
          </w:tcPr>
          <w:p>
            <w:pPr>
              <w:rPr>
                <w:rFonts w:ascii="宋体" w:hAnsi="宋体" w:eastAsia="宋体"/>
                <w:color w:val="auto"/>
                <w:sz w:val="24"/>
                <w:szCs w:val="24"/>
                <w:highlight w:val="none"/>
              </w:rPr>
            </w:pPr>
          </w:p>
        </w:tc>
        <w:tc>
          <w:tcPr>
            <w:tcW w:w="540" w:type="pct"/>
            <w:noWrap w:val="0"/>
            <w:vAlign w:val="center"/>
          </w:tcPr>
          <w:p>
            <w:pPr>
              <w:rPr>
                <w:rFonts w:ascii="宋体" w:hAnsi="宋体" w:eastAsia="宋体"/>
                <w:color w:val="auto"/>
                <w:sz w:val="24"/>
                <w:szCs w:val="24"/>
                <w:highlight w:val="none"/>
              </w:rPr>
            </w:pPr>
          </w:p>
        </w:tc>
        <w:tc>
          <w:tcPr>
            <w:tcW w:w="696" w:type="pct"/>
            <w:noWrap w:val="0"/>
            <w:vAlign w:val="center"/>
          </w:tcPr>
          <w:p>
            <w:pPr>
              <w:rPr>
                <w:rFonts w:ascii="宋体" w:hAnsi="宋体" w:eastAsia="宋体"/>
                <w:color w:val="auto"/>
                <w:sz w:val="24"/>
                <w:szCs w:val="24"/>
                <w:highlight w:val="none"/>
              </w:rPr>
            </w:pPr>
          </w:p>
        </w:tc>
        <w:tc>
          <w:tcPr>
            <w:tcW w:w="696" w:type="pct"/>
            <w:noWrap w:val="0"/>
            <w:vAlign w:val="center"/>
          </w:tcPr>
          <w:p>
            <w:pPr>
              <w:rPr>
                <w:rFonts w:ascii="宋体" w:hAnsi="宋体" w:eastAsia="宋体"/>
                <w:color w:val="auto"/>
                <w:sz w:val="24"/>
                <w:szCs w:val="24"/>
                <w:highlight w:val="none"/>
              </w:rPr>
            </w:pPr>
          </w:p>
        </w:tc>
        <w:tc>
          <w:tcPr>
            <w:tcW w:w="464" w:type="pct"/>
            <w:noWrap w:val="0"/>
            <w:vAlign w:val="center"/>
          </w:tcPr>
          <w:p>
            <w:pPr>
              <w:rPr>
                <w:rFonts w:ascii="宋体" w:hAnsi="宋体" w:eastAsia="宋体"/>
                <w:color w:val="auto"/>
                <w:sz w:val="24"/>
                <w:szCs w:val="24"/>
                <w:highlight w:val="none"/>
              </w:rPr>
            </w:pPr>
          </w:p>
        </w:tc>
        <w:tc>
          <w:tcPr>
            <w:tcW w:w="772" w:type="pct"/>
            <w:noWrap w:val="0"/>
            <w:vAlign w:val="center"/>
          </w:tcPr>
          <w:p>
            <w:pPr>
              <w:rPr>
                <w:rFonts w:ascii="宋体" w:hAnsi="宋体" w:eastAsia="宋体"/>
                <w:color w:val="auto"/>
                <w:sz w:val="24"/>
                <w:szCs w:val="24"/>
                <w:highlight w:val="none"/>
              </w:rPr>
            </w:pPr>
          </w:p>
        </w:tc>
        <w:tc>
          <w:tcPr>
            <w:tcW w:w="644" w:type="pct"/>
            <w:noWrap w:val="0"/>
            <w:vAlign w:val="center"/>
          </w:tcPr>
          <w:p>
            <w:pP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wBefore w:w="0" w:type="dxa"/>
          <w:wAfter w:w="0" w:type="dxa"/>
          <w:cantSplit/>
          <w:trHeight w:val="600" w:hRule="atLeast"/>
          <w:jc w:val="center"/>
        </w:trPr>
        <w:tc>
          <w:tcPr>
            <w:tcW w:w="381" w:type="pct"/>
            <w:noWrap w:val="0"/>
            <w:vAlign w:val="center"/>
          </w:tcPr>
          <w:p>
            <w:pPr>
              <w:rPr>
                <w:rFonts w:ascii="宋体" w:hAnsi="宋体" w:eastAsia="宋体"/>
                <w:color w:val="auto"/>
                <w:sz w:val="24"/>
                <w:szCs w:val="24"/>
                <w:highlight w:val="none"/>
              </w:rPr>
            </w:pPr>
          </w:p>
        </w:tc>
        <w:tc>
          <w:tcPr>
            <w:tcW w:w="807" w:type="pct"/>
            <w:noWrap w:val="0"/>
            <w:vAlign w:val="center"/>
          </w:tcPr>
          <w:p>
            <w:pPr>
              <w:rPr>
                <w:rFonts w:ascii="宋体" w:hAnsi="宋体" w:eastAsia="宋体"/>
                <w:color w:val="auto"/>
                <w:sz w:val="24"/>
                <w:szCs w:val="24"/>
                <w:highlight w:val="none"/>
              </w:rPr>
            </w:pPr>
          </w:p>
        </w:tc>
        <w:tc>
          <w:tcPr>
            <w:tcW w:w="540" w:type="pct"/>
            <w:noWrap w:val="0"/>
            <w:vAlign w:val="center"/>
          </w:tcPr>
          <w:p>
            <w:pPr>
              <w:rPr>
                <w:rFonts w:ascii="宋体" w:hAnsi="宋体" w:eastAsia="宋体"/>
                <w:color w:val="auto"/>
                <w:sz w:val="24"/>
                <w:szCs w:val="24"/>
                <w:highlight w:val="none"/>
              </w:rPr>
            </w:pPr>
          </w:p>
        </w:tc>
        <w:tc>
          <w:tcPr>
            <w:tcW w:w="696" w:type="pct"/>
            <w:noWrap w:val="0"/>
            <w:vAlign w:val="center"/>
          </w:tcPr>
          <w:p>
            <w:pPr>
              <w:rPr>
                <w:rFonts w:ascii="宋体" w:hAnsi="宋体" w:eastAsia="宋体"/>
                <w:color w:val="auto"/>
                <w:sz w:val="24"/>
                <w:szCs w:val="24"/>
                <w:highlight w:val="none"/>
              </w:rPr>
            </w:pPr>
          </w:p>
        </w:tc>
        <w:tc>
          <w:tcPr>
            <w:tcW w:w="696" w:type="pct"/>
            <w:noWrap w:val="0"/>
            <w:vAlign w:val="center"/>
          </w:tcPr>
          <w:p>
            <w:pPr>
              <w:rPr>
                <w:rFonts w:ascii="宋体" w:hAnsi="宋体" w:eastAsia="宋体"/>
                <w:color w:val="auto"/>
                <w:sz w:val="24"/>
                <w:szCs w:val="24"/>
                <w:highlight w:val="none"/>
              </w:rPr>
            </w:pPr>
          </w:p>
        </w:tc>
        <w:tc>
          <w:tcPr>
            <w:tcW w:w="464" w:type="pct"/>
            <w:noWrap w:val="0"/>
            <w:vAlign w:val="center"/>
          </w:tcPr>
          <w:p>
            <w:pPr>
              <w:rPr>
                <w:rFonts w:ascii="宋体" w:hAnsi="宋体" w:eastAsia="宋体"/>
                <w:color w:val="auto"/>
                <w:sz w:val="24"/>
                <w:szCs w:val="24"/>
                <w:highlight w:val="none"/>
              </w:rPr>
            </w:pPr>
          </w:p>
        </w:tc>
        <w:tc>
          <w:tcPr>
            <w:tcW w:w="772" w:type="pct"/>
            <w:noWrap w:val="0"/>
            <w:vAlign w:val="center"/>
          </w:tcPr>
          <w:p>
            <w:pPr>
              <w:rPr>
                <w:rFonts w:ascii="宋体" w:hAnsi="宋体" w:eastAsia="宋体"/>
                <w:color w:val="auto"/>
                <w:sz w:val="24"/>
                <w:szCs w:val="24"/>
                <w:highlight w:val="none"/>
              </w:rPr>
            </w:pPr>
          </w:p>
        </w:tc>
        <w:tc>
          <w:tcPr>
            <w:tcW w:w="644" w:type="pct"/>
            <w:noWrap w:val="0"/>
            <w:vAlign w:val="center"/>
          </w:tcPr>
          <w:p>
            <w:pPr>
              <w:rPr>
                <w:rFonts w:ascii="宋体" w:hAnsi="宋体" w:eastAsia="宋体"/>
                <w:color w:val="auto"/>
                <w:sz w:val="24"/>
                <w:szCs w:val="24"/>
                <w:highlight w:val="none"/>
              </w:rPr>
            </w:pPr>
          </w:p>
        </w:tc>
      </w:tr>
    </w:tbl>
    <w:p>
      <w:pPr>
        <w:jc w:val="center"/>
        <w:rPr>
          <w:rFonts w:hint="eastAsia" w:ascii="仿宋_GB2312" w:eastAsia="仿宋_GB2312"/>
          <w:b/>
          <w:color w:val="auto"/>
          <w:sz w:val="32"/>
          <w:szCs w:val="32"/>
          <w:highlight w:val="none"/>
        </w:rPr>
      </w:pPr>
      <w:bookmarkStart w:id="50" w:name="_Toc73517709"/>
      <w:bookmarkStart w:id="51" w:name="_Toc101074902"/>
      <w:bookmarkStart w:id="52" w:name="_Toc70748069"/>
      <w:bookmarkStart w:id="53" w:name="_Toc73518187"/>
      <w:bookmarkStart w:id="54" w:name="_Toc71860061"/>
      <w:bookmarkStart w:id="55" w:name="_Toc73521617"/>
      <w:bookmarkStart w:id="56" w:name="_Toc73521705"/>
      <w:bookmarkStart w:id="57" w:name="_Toc100052472"/>
    </w:p>
    <w:p>
      <w:pPr>
        <w:jc w:val="center"/>
        <w:rPr>
          <w:rFonts w:hint="eastAsia" w:ascii="仿宋_GB2312" w:eastAsia="仿宋_GB2312"/>
          <w:b/>
          <w:color w:val="auto"/>
          <w:sz w:val="32"/>
          <w:szCs w:val="32"/>
          <w:highlight w:val="none"/>
        </w:rPr>
      </w:pPr>
    </w:p>
    <w:p>
      <w:pPr>
        <w:jc w:val="center"/>
        <w:rPr>
          <w:rFonts w:hint="eastAsia" w:ascii="仿宋_GB2312" w:eastAsia="仿宋_GB2312"/>
          <w:b/>
          <w:color w:val="auto"/>
          <w:sz w:val="32"/>
          <w:szCs w:val="32"/>
          <w:highlight w:val="none"/>
        </w:rPr>
      </w:pPr>
    </w:p>
    <w:p>
      <w:pPr>
        <w:jc w:val="center"/>
        <w:rPr>
          <w:rFonts w:hint="eastAsia" w:ascii="仿宋_GB2312" w:eastAsia="仿宋_GB2312"/>
          <w:b/>
          <w:color w:val="auto"/>
          <w:sz w:val="32"/>
          <w:szCs w:val="32"/>
          <w:highlight w:val="none"/>
        </w:rPr>
      </w:pPr>
    </w:p>
    <w:p>
      <w:pPr>
        <w:jc w:val="center"/>
        <w:rPr>
          <w:rFonts w:hint="eastAsia" w:ascii="仿宋_GB2312" w:eastAsia="仿宋_GB2312"/>
          <w:b/>
          <w:color w:val="auto"/>
          <w:sz w:val="32"/>
          <w:szCs w:val="32"/>
          <w:highlight w:val="none"/>
        </w:rPr>
      </w:pPr>
    </w:p>
    <w:p>
      <w:pPr>
        <w:jc w:val="center"/>
        <w:rPr>
          <w:rFonts w:hint="eastAsia" w:ascii="仿宋_GB2312" w:eastAsia="仿宋_GB2312"/>
          <w:b/>
          <w:color w:val="auto"/>
          <w:sz w:val="32"/>
          <w:szCs w:val="32"/>
          <w:highlight w:val="none"/>
        </w:rPr>
      </w:pPr>
    </w:p>
    <w:p>
      <w:pPr>
        <w:jc w:val="center"/>
        <w:rPr>
          <w:rFonts w:hint="eastAsia" w:ascii="仿宋_GB2312" w:eastAsia="仿宋_GB2312"/>
          <w:b/>
          <w:color w:val="auto"/>
          <w:sz w:val="32"/>
          <w:szCs w:val="32"/>
          <w:highlight w:val="none"/>
        </w:rPr>
      </w:pPr>
    </w:p>
    <w:p>
      <w:pPr>
        <w:jc w:val="center"/>
        <w:rPr>
          <w:rFonts w:hint="eastAsia" w:ascii="仿宋_GB2312" w:eastAsia="仿宋_GB2312"/>
          <w:b/>
          <w:color w:val="auto"/>
          <w:sz w:val="32"/>
          <w:szCs w:val="32"/>
          <w:highlight w:val="none"/>
        </w:rPr>
      </w:pPr>
    </w:p>
    <w:p>
      <w:pPr>
        <w:jc w:val="center"/>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rPr>
        <w:t>3、</w:t>
      </w:r>
      <w:bookmarkEnd w:id="50"/>
      <w:bookmarkEnd w:id="51"/>
      <w:bookmarkEnd w:id="52"/>
      <w:bookmarkEnd w:id="53"/>
      <w:bookmarkEnd w:id="54"/>
      <w:bookmarkEnd w:id="55"/>
      <w:bookmarkEnd w:id="56"/>
      <w:bookmarkEnd w:id="57"/>
      <w:r>
        <w:rPr>
          <w:rFonts w:hint="eastAsia" w:ascii="仿宋_GB2312" w:eastAsia="仿宋_GB2312"/>
          <w:b/>
          <w:color w:val="auto"/>
          <w:sz w:val="32"/>
          <w:szCs w:val="32"/>
          <w:highlight w:val="none"/>
        </w:rPr>
        <w:t>项目人员组成</w:t>
      </w:r>
    </w:p>
    <w:p>
      <w:pPr>
        <w:widowControl/>
        <w:jc w:val="left"/>
        <w:rPr>
          <w:rFonts w:ascii="Calibri Light" w:hAnsi="Calibri Light"/>
          <w:b/>
          <w:bCs/>
          <w:color w:val="auto"/>
          <w:sz w:val="24"/>
          <w:highlight w:val="none"/>
        </w:rPr>
      </w:pPr>
      <w:bookmarkStart w:id="58" w:name="_Toc100052474"/>
      <w:bookmarkStart w:id="59" w:name="_Toc73521619"/>
      <w:bookmarkStart w:id="60" w:name="_Toc73521707"/>
      <w:bookmarkStart w:id="61" w:name="_Toc101074904"/>
      <w:r>
        <w:rPr>
          <w:rFonts w:hint="eastAsia" w:ascii="Calibri Light" w:hAnsi="Calibri Light"/>
          <w:b/>
          <w:bCs/>
          <w:color w:val="auto"/>
          <w:sz w:val="24"/>
          <w:highlight w:val="none"/>
        </w:rPr>
        <w:t>（一）</w:t>
      </w:r>
      <w:bookmarkEnd w:id="58"/>
      <w:bookmarkEnd w:id="59"/>
      <w:bookmarkEnd w:id="60"/>
      <w:bookmarkEnd w:id="61"/>
      <w:r>
        <w:rPr>
          <w:rFonts w:hint="eastAsia" w:ascii="Calibri Light" w:hAnsi="Calibri Light"/>
          <w:b/>
          <w:bCs/>
          <w:color w:val="auto"/>
          <w:sz w:val="24"/>
          <w:highlight w:val="none"/>
        </w:rPr>
        <w:t>项目经理简历表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14"/>
        <w:gridCol w:w="817"/>
        <w:gridCol w:w="1321"/>
        <w:gridCol w:w="162"/>
        <w:gridCol w:w="1059"/>
        <w:gridCol w:w="1729"/>
        <w:gridCol w:w="212"/>
        <w:gridCol w:w="884"/>
        <w:gridCol w:w="628"/>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63" w:type="pct"/>
            <w:gridSpan w:val="2"/>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姓 名</w:t>
            </w:r>
          </w:p>
        </w:tc>
        <w:tc>
          <w:tcPr>
            <w:tcW w:w="1238" w:type="pct"/>
            <w:gridSpan w:val="3"/>
            <w:noWrap w:val="0"/>
            <w:vAlign w:val="center"/>
          </w:tcPr>
          <w:p>
            <w:pPr>
              <w:jc w:val="center"/>
              <w:rPr>
                <w:rFonts w:hint="eastAsia" w:ascii="宋体" w:hAnsi="宋体" w:eastAsia="宋体"/>
                <w:color w:val="auto"/>
                <w:sz w:val="24"/>
                <w:szCs w:val="24"/>
                <w:highlight w:val="none"/>
              </w:rPr>
            </w:pPr>
          </w:p>
        </w:tc>
        <w:tc>
          <w:tcPr>
            <w:tcW w:w="570"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性 别</w:t>
            </w:r>
          </w:p>
        </w:tc>
        <w:tc>
          <w:tcPr>
            <w:tcW w:w="931" w:type="pct"/>
            <w:noWrap w:val="0"/>
            <w:vAlign w:val="center"/>
          </w:tcPr>
          <w:p>
            <w:pPr>
              <w:jc w:val="center"/>
              <w:rPr>
                <w:rFonts w:hint="eastAsia" w:ascii="宋体" w:hAnsi="宋体" w:eastAsia="宋体"/>
                <w:color w:val="auto"/>
                <w:sz w:val="24"/>
                <w:szCs w:val="24"/>
                <w:highlight w:val="none"/>
              </w:rPr>
            </w:pPr>
          </w:p>
        </w:tc>
        <w:tc>
          <w:tcPr>
            <w:tcW w:w="590" w:type="pct"/>
            <w:gridSpan w:val="2"/>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年 龄</w:t>
            </w:r>
          </w:p>
        </w:tc>
        <w:tc>
          <w:tcPr>
            <w:tcW w:w="1008" w:type="pct"/>
            <w:gridSpan w:val="2"/>
            <w:noWrap w:val="0"/>
            <w:vAlign w:val="center"/>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63" w:type="pct"/>
            <w:gridSpan w:val="2"/>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职 务</w:t>
            </w:r>
          </w:p>
        </w:tc>
        <w:tc>
          <w:tcPr>
            <w:tcW w:w="1238" w:type="pct"/>
            <w:gridSpan w:val="3"/>
            <w:noWrap w:val="0"/>
            <w:vAlign w:val="center"/>
          </w:tcPr>
          <w:p>
            <w:pPr>
              <w:jc w:val="center"/>
              <w:rPr>
                <w:rFonts w:hint="eastAsia" w:ascii="宋体" w:hAnsi="宋体" w:eastAsia="宋体"/>
                <w:color w:val="auto"/>
                <w:sz w:val="24"/>
                <w:szCs w:val="24"/>
                <w:highlight w:val="none"/>
              </w:rPr>
            </w:pPr>
          </w:p>
        </w:tc>
        <w:tc>
          <w:tcPr>
            <w:tcW w:w="570"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职 称</w:t>
            </w:r>
          </w:p>
        </w:tc>
        <w:tc>
          <w:tcPr>
            <w:tcW w:w="931" w:type="pct"/>
            <w:noWrap w:val="0"/>
            <w:vAlign w:val="center"/>
          </w:tcPr>
          <w:p>
            <w:pPr>
              <w:jc w:val="center"/>
              <w:rPr>
                <w:rFonts w:hint="eastAsia" w:ascii="宋体" w:hAnsi="宋体" w:eastAsia="宋体"/>
                <w:color w:val="auto"/>
                <w:sz w:val="24"/>
                <w:szCs w:val="24"/>
                <w:highlight w:val="none"/>
              </w:rPr>
            </w:pPr>
          </w:p>
        </w:tc>
        <w:tc>
          <w:tcPr>
            <w:tcW w:w="590" w:type="pct"/>
            <w:gridSpan w:val="2"/>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学 历</w:t>
            </w:r>
          </w:p>
        </w:tc>
        <w:tc>
          <w:tcPr>
            <w:tcW w:w="1008" w:type="pct"/>
            <w:gridSpan w:val="2"/>
            <w:noWrap w:val="0"/>
            <w:vAlign w:val="center"/>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1103" w:type="pct"/>
            <w:gridSpan w:val="3"/>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参加工作时间</w:t>
            </w:r>
          </w:p>
        </w:tc>
        <w:tc>
          <w:tcPr>
            <w:tcW w:w="3897" w:type="pct"/>
            <w:gridSpan w:val="8"/>
            <w:noWrap w:val="0"/>
            <w:vAlign w:val="center"/>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1901" w:type="pct"/>
            <w:gridSpan w:val="5"/>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专业</w:t>
            </w:r>
          </w:p>
        </w:tc>
        <w:tc>
          <w:tcPr>
            <w:tcW w:w="3099" w:type="pct"/>
            <w:gridSpan w:val="6"/>
            <w:noWrap w:val="0"/>
            <w:vAlign w:val="center"/>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1901" w:type="pct"/>
            <w:gridSpan w:val="5"/>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相关资格证书</w:t>
            </w:r>
          </w:p>
        </w:tc>
        <w:tc>
          <w:tcPr>
            <w:tcW w:w="3099" w:type="pct"/>
            <w:gridSpan w:val="6"/>
            <w:noWrap w:val="0"/>
            <w:vAlign w:val="center"/>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5000" w:type="pct"/>
            <w:gridSpan w:val="11"/>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工作履历证明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40"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业主</w:t>
            </w:r>
          </w:p>
        </w:tc>
        <w:tc>
          <w:tcPr>
            <w:tcW w:w="663" w:type="pct"/>
            <w:gridSpan w:val="2"/>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物业名称</w:t>
            </w:r>
          </w:p>
        </w:tc>
        <w:tc>
          <w:tcPr>
            <w:tcW w:w="711"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担任职务</w:t>
            </w:r>
          </w:p>
        </w:tc>
        <w:tc>
          <w:tcPr>
            <w:tcW w:w="1702" w:type="pct"/>
            <w:gridSpan w:val="4"/>
            <w:noWrap w:val="0"/>
            <w:vAlign w:val="center"/>
          </w:tcPr>
          <w:p>
            <w:pPr>
              <w:jc w:val="center"/>
              <w:rPr>
                <w:rFonts w:hint="eastAsia" w:ascii="宋体" w:hAnsi="宋体" w:eastAsia="宋体"/>
                <w:color w:val="auto"/>
                <w:sz w:val="24"/>
                <w:szCs w:val="24"/>
                <w:highlight w:val="none"/>
              </w:rPr>
            </w:pPr>
            <w:r>
              <w:rPr>
                <w:rFonts w:hint="eastAsia" w:ascii="宋体" w:hAnsi="宋体" w:eastAsia="宋体"/>
                <w:sz w:val="24"/>
                <w:szCs w:val="24"/>
                <w:lang w:eastAsia="zh-CN"/>
              </w:rPr>
              <w:t>相应岗位工作起止时间</w:t>
            </w:r>
          </w:p>
        </w:tc>
        <w:tc>
          <w:tcPr>
            <w:tcW w:w="814" w:type="pct"/>
            <w:gridSpan w:val="2"/>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业主联系人</w:t>
            </w:r>
          </w:p>
        </w:tc>
        <w:tc>
          <w:tcPr>
            <w:tcW w:w="670"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40" w:type="pct"/>
            <w:noWrap w:val="0"/>
            <w:vAlign w:val="center"/>
          </w:tcPr>
          <w:p>
            <w:pPr>
              <w:rPr>
                <w:rFonts w:hint="eastAsia" w:ascii="宋体" w:hAnsi="宋体" w:eastAsia="宋体"/>
                <w:color w:val="auto"/>
                <w:sz w:val="24"/>
                <w:szCs w:val="24"/>
                <w:highlight w:val="none"/>
              </w:rPr>
            </w:pPr>
          </w:p>
        </w:tc>
        <w:tc>
          <w:tcPr>
            <w:tcW w:w="663" w:type="pct"/>
            <w:gridSpan w:val="2"/>
            <w:noWrap w:val="0"/>
            <w:vAlign w:val="center"/>
          </w:tcPr>
          <w:p>
            <w:pPr>
              <w:rPr>
                <w:rFonts w:hint="eastAsia" w:ascii="宋体" w:hAnsi="宋体" w:eastAsia="宋体"/>
                <w:color w:val="auto"/>
                <w:sz w:val="24"/>
                <w:szCs w:val="24"/>
                <w:highlight w:val="none"/>
              </w:rPr>
            </w:pPr>
          </w:p>
        </w:tc>
        <w:tc>
          <w:tcPr>
            <w:tcW w:w="711" w:type="pct"/>
            <w:noWrap w:val="0"/>
            <w:vAlign w:val="center"/>
          </w:tcPr>
          <w:p>
            <w:pPr>
              <w:rPr>
                <w:rFonts w:hint="eastAsia" w:ascii="宋体" w:hAnsi="宋体" w:eastAsia="宋体"/>
                <w:color w:val="auto"/>
                <w:sz w:val="24"/>
                <w:szCs w:val="24"/>
                <w:highlight w:val="none"/>
              </w:rPr>
            </w:pPr>
          </w:p>
        </w:tc>
        <w:tc>
          <w:tcPr>
            <w:tcW w:w="1702" w:type="pct"/>
            <w:gridSpan w:val="4"/>
            <w:noWrap w:val="0"/>
            <w:vAlign w:val="center"/>
          </w:tcPr>
          <w:p>
            <w:pPr>
              <w:rPr>
                <w:rFonts w:hint="eastAsia" w:ascii="宋体" w:hAnsi="宋体" w:eastAsia="宋体"/>
                <w:color w:val="auto"/>
                <w:sz w:val="24"/>
                <w:szCs w:val="24"/>
                <w:highlight w:val="none"/>
              </w:rPr>
            </w:pPr>
          </w:p>
        </w:tc>
        <w:tc>
          <w:tcPr>
            <w:tcW w:w="814" w:type="pct"/>
            <w:gridSpan w:val="2"/>
            <w:noWrap w:val="0"/>
            <w:vAlign w:val="center"/>
          </w:tcPr>
          <w:p>
            <w:pPr>
              <w:rPr>
                <w:rFonts w:hint="eastAsia" w:ascii="宋体" w:hAnsi="宋体" w:eastAsia="宋体"/>
                <w:color w:val="auto"/>
                <w:sz w:val="24"/>
                <w:szCs w:val="24"/>
                <w:highlight w:val="none"/>
              </w:rPr>
            </w:pPr>
          </w:p>
        </w:tc>
        <w:tc>
          <w:tcPr>
            <w:tcW w:w="670" w:type="pct"/>
            <w:noWrap w:val="0"/>
            <w:vAlign w:val="center"/>
          </w:tcPr>
          <w:p>
            <w:pPr>
              <w:rPr>
                <w:rFonts w:hint="eastAsia" w:ascii="宋体" w:hAnsi="宋体" w:eastAsia="宋体"/>
                <w:color w:val="auto"/>
                <w:sz w:val="24"/>
                <w:szCs w:val="24"/>
                <w:highlight w:val="none"/>
              </w:rPr>
            </w:pPr>
          </w:p>
        </w:tc>
      </w:tr>
    </w:tbl>
    <w:p>
      <w:pPr>
        <w:widowControl/>
        <w:jc w:val="center"/>
        <w:rPr>
          <w:rFonts w:hint="eastAsia" w:ascii="Calibri Light" w:hAnsi="Calibri Light"/>
          <w:bCs/>
          <w:color w:val="auto"/>
          <w:sz w:val="24"/>
          <w:highlight w:val="none"/>
        </w:rPr>
      </w:pPr>
    </w:p>
    <w:p>
      <w:pPr>
        <w:widowControl/>
        <w:jc w:val="left"/>
        <w:rPr>
          <w:rFonts w:ascii="Calibri Light" w:hAnsi="Calibri Light"/>
          <w:b/>
          <w:bCs/>
          <w:color w:val="auto"/>
          <w:sz w:val="24"/>
          <w:highlight w:val="none"/>
        </w:rPr>
      </w:pPr>
      <w:r>
        <w:rPr>
          <w:rFonts w:hint="eastAsia" w:ascii="Calibri Light" w:hAnsi="Calibri Light"/>
          <w:b/>
          <w:bCs/>
          <w:color w:val="auto"/>
          <w:sz w:val="24"/>
          <w:highlight w:val="none"/>
        </w:rPr>
        <w:t>（二）主要管理人员简历表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14"/>
        <w:gridCol w:w="817"/>
        <w:gridCol w:w="1321"/>
        <w:gridCol w:w="162"/>
        <w:gridCol w:w="1059"/>
        <w:gridCol w:w="1729"/>
        <w:gridCol w:w="212"/>
        <w:gridCol w:w="884"/>
        <w:gridCol w:w="628"/>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63" w:type="pct"/>
            <w:gridSpan w:val="2"/>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姓 名</w:t>
            </w:r>
          </w:p>
        </w:tc>
        <w:tc>
          <w:tcPr>
            <w:tcW w:w="1238" w:type="pct"/>
            <w:gridSpan w:val="3"/>
            <w:noWrap w:val="0"/>
            <w:vAlign w:val="center"/>
          </w:tcPr>
          <w:p>
            <w:pPr>
              <w:jc w:val="center"/>
              <w:rPr>
                <w:rFonts w:hint="eastAsia" w:ascii="宋体" w:hAnsi="宋体" w:eastAsia="宋体"/>
                <w:color w:val="auto"/>
                <w:sz w:val="24"/>
                <w:szCs w:val="24"/>
                <w:highlight w:val="none"/>
              </w:rPr>
            </w:pPr>
          </w:p>
        </w:tc>
        <w:tc>
          <w:tcPr>
            <w:tcW w:w="570"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性 别</w:t>
            </w:r>
          </w:p>
        </w:tc>
        <w:tc>
          <w:tcPr>
            <w:tcW w:w="931" w:type="pct"/>
            <w:noWrap w:val="0"/>
            <w:vAlign w:val="center"/>
          </w:tcPr>
          <w:p>
            <w:pPr>
              <w:jc w:val="center"/>
              <w:rPr>
                <w:rFonts w:hint="eastAsia" w:ascii="宋体" w:hAnsi="宋体" w:eastAsia="宋体"/>
                <w:color w:val="auto"/>
                <w:sz w:val="24"/>
                <w:szCs w:val="24"/>
                <w:highlight w:val="none"/>
              </w:rPr>
            </w:pPr>
          </w:p>
        </w:tc>
        <w:tc>
          <w:tcPr>
            <w:tcW w:w="590" w:type="pct"/>
            <w:gridSpan w:val="2"/>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年 龄</w:t>
            </w:r>
          </w:p>
        </w:tc>
        <w:tc>
          <w:tcPr>
            <w:tcW w:w="1008" w:type="pct"/>
            <w:gridSpan w:val="2"/>
            <w:noWrap w:val="0"/>
            <w:vAlign w:val="center"/>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63" w:type="pct"/>
            <w:gridSpan w:val="2"/>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职 务</w:t>
            </w:r>
          </w:p>
        </w:tc>
        <w:tc>
          <w:tcPr>
            <w:tcW w:w="1238" w:type="pct"/>
            <w:gridSpan w:val="3"/>
            <w:noWrap w:val="0"/>
            <w:vAlign w:val="center"/>
          </w:tcPr>
          <w:p>
            <w:pPr>
              <w:jc w:val="center"/>
              <w:rPr>
                <w:rFonts w:hint="eastAsia" w:ascii="宋体" w:hAnsi="宋体" w:eastAsia="宋体"/>
                <w:color w:val="auto"/>
                <w:sz w:val="24"/>
                <w:szCs w:val="24"/>
                <w:highlight w:val="none"/>
              </w:rPr>
            </w:pPr>
          </w:p>
        </w:tc>
        <w:tc>
          <w:tcPr>
            <w:tcW w:w="570"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职 称</w:t>
            </w:r>
          </w:p>
        </w:tc>
        <w:tc>
          <w:tcPr>
            <w:tcW w:w="931" w:type="pct"/>
            <w:noWrap w:val="0"/>
            <w:vAlign w:val="center"/>
          </w:tcPr>
          <w:p>
            <w:pPr>
              <w:jc w:val="center"/>
              <w:rPr>
                <w:rFonts w:hint="eastAsia" w:ascii="宋体" w:hAnsi="宋体" w:eastAsia="宋体"/>
                <w:color w:val="auto"/>
                <w:sz w:val="24"/>
                <w:szCs w:val="24"/>
                <w:highlight w:val="none"/>
              </w:rPr>
            </w:pPr>
          </w:p>
        </w:tc>
        <w:tc>
          <w:tcPr>
            <w:tcW w:w="590" w:type="pct"/>
            <w:gridSpan w:val="2"/>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学 历</w:t>
            </w:r>
          </w:p>
        </w:tc>
        <w:tc>
          <w:tcPr>
            <w:tcW w:w="1008" w:type="pct"/>
            <w:gridSpan w:val="2"/>
            <w:noWrap w:val="0"/>
            <w:vAlign w:val="center"/>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1103" w:type="pct"/>
            <w:gridSpan w:val="3"/>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参加工作时间</w:t>
            </w:r>
          </w:p>
        </w:tc>
        <w:tc>
          <w:tcPr>
            <w:tcW w:w="3897" w:type="pct"/>
            <w:gridSpan w:val="8"/>
            <w:noWrap w:val="0"/>
            <w:vAlign w:val="center"/>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1901" w:type="pct"/>
            <w:gridSpan w:val="5"/>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专业</w:t>
            </w:r>
          </w:p>
        </w:tc>
        <w:tc>
          <w:tcPr>
            <w:tcW w:w="3099" w:type="pct"/>
            <w:gridSpan w:val="6"/>
            <w:noWrap w:val="0"/>
            <w:vAlign w:val="center"/>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1901" w:type="pct"/>
            <w:gridSpan w:val="5"/>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相关资格证书</w:t>
            </w:r>
          </w:p>
        </w:tc>
        <w:tc>
          <w:tcPr>
            <w:tcW w:w="3099" w:type="pct"/>
            <w:gridSpan w:val="6"/>
            <w:noWrap w:val="0"/>
            <w:vAlign w:val="center"/>
          </w:tcPr>
          <w:p>
            <w:pPr>
              <w:jc w:val="center"/>
              <w:rPr>
                <w:rFonts w:hint="eastAsia"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5000" w:type="pct"/>
            <w:gridSpan w:val="11"/>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工作履历证明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40"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业主</w:t>
            </w:r>
          </w:p>
        </w:tc>
        <w:tc>
          <w:tcPr>
            <w:tcW w:w="663" w:type="pct"/>
            <w:gridSpan w:val="2"/>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物业名称</w:t>
            </w:r>
          </w:p>
        </w:tc>
        <w:tc>
          <w:tcPr>
            <w:tcW w:w="711" w:type="pct"/>
            <w:noWrap w:val="0"/>
            <w:vAlign w:val="center"/>
          </w:tcPr>
          <w:p>
            <w:pPr>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担任职务</w:t>
            </w:r>
          </w:p>
        </w:tc>
        <w:tc>
          <w:tcPr>
            <w:tcW w:w="1702" w:type="pct"/>
            <w:gridSpan w:val="4"/>
            <w:noWrap w:val="0"/>
            <w:vAlign w:val="center"/>
          </w:tcPr>
          <w:p>
            <w:pPr>
              <w:jc w:val="center"/>
              <w:rPr>
                <w:rFonts w:hint="eastAsia" w:ascii="宋体" w:hAnsi="宋体" w:eastAsia="宋体"/>
                <w:color w:val="auto"/>
                <w:sz w:val="24"/>
                <w:szCs w:val="24"/>
                <w:highlight w:val="none"/>
              </w:rPr>
            </w:pPr>
            <w:r>
              <w:rPr>
                <w:rFonts w:hint="eastAsia" w:ascii="宋体" w:hAnsi="宋体" w:eastAsia="宋体"/>
                <w:sz w:val="24"/>
                <w:szCs w:val="24"/>
                <w:lang w:eastAsia="zh-CN"/>
              </w:rPr>
              <w:t>相应岗位工作起止时间</w:t>
            </w:r>
          </w:p>
        </w:tc>
        <w:tc>
          <w:tcPr>
            <w:tcW w:w="814" w:type="pct"/>
            <w:gridSpan w:val="2"/>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业主联系人</w:t>
            </w:r>
          </w:p>
        </w:tc>
        <w:tc>
          <w:tcPr>
            <w:tcW w:w="670" w:type="pct"/>
            <w:noWrap w:val="0"/>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40" w:type="pct"/>
            <w:noWrap w:val="0"/>
            <w:vAlign w:val="center"/>
          </w:tcPr>
          <w:p>
            <w:pPr>
              <w:rPr>
                <w:rFonts w:hint="eastAsia" w:ascii="宋体" w:hAnsi="宋体" w:eastAsia="宋体"/>
                <w:color w:val="auto"/>
                <w:sz w:val="24"/>
                <w:szCs w:val="24"/>
                <w:highlight w:val="none"/>
              </w:rPr>
            </w:pPr>
          </w:p>
        </w:tc>
        <w:tc>
          <w:tcPr>
            <w:tcW w:w="663" w:type="pct"/>
            <w:gridSpan w:val="2"/>
            <w:noWrap w:val="0"/>
            <w:vAlign w:val="center"/>
          </w:tcPr>
          <w:p>
            <w:pPr>
              <w:rPr>
                <w:rFonts w:hint="eastAsia" w:ascii="宋体" w:hAnsi="宋体" w:eastAsia="宋体"/>
                <w:color w:val="auto"/>
                <w:sz w:val="24"/>
                <w:szCs w:val="24"/>
                <w:highlight w:val="none"/>
              </w:rPr>
            </w:pPr>
          </w:p>
        </w:tc>
        <w:tc>
          <w:tcPr>
            <w:tcW w:w="711" w:type="pct"/>
            <w:noWrap w:val="0"/>
            <w:vAlign w:val="center"/>
          </w:tcPr>
          <w:p>
            <w:pPr>
              <w:rPr>
                <w:rFonts w:hint="eastAsia" w:ascii="宋体" w:hAnsi="宋体" w:eastAsia="宋体"/>
                <w:color w:val="auto"/>
                <w:sz w:val="24"/>
                <w:szCs w:val="24"/>
                <w:highlight w:val="none"/>
              </w:rPr>
            </w:pPr>
          </w:p>
        </w:tc>
        <w:tc>
          <w:tcPr>
            <w:tcW w:w="1702" w:type="pct"/>
            <w:gridSpan w:val="4"/>
            <w:noWrap w:val="0"/>
            <w:vAlign w:val="center"/>
          </w:tcPr>
          <w:p>
            <w:pPr>
              <w:rPr>
                <w:rFonts w:hint="eastAsia" w:ascii="宋体" w:hAnsi="宋体" w:eastAsia="宋体"/>
                <w:color w:val="auto"/>
                <w:sz w:val="24"/>
                <w:szCs w:val="24"/>
                <w:highlight w:val="none"/>
              </w:rPr>
            </w:pPr>
          </w:p>
        </w:tc>
        <w:tc>
          <w:tcPr>
            <w:tcW w:w="814" w:type="pct"/>
            <w:gridSpan w:val="2"/>
            <w:noWrap w:val="0"/>
            <w:vAlign w:val="center"/>
          </w:tcPr>
          <w:p>
            <w:pPr>
              <w:rPr>
                <w:rFonts w:hint="eastAsia" w:ascii="宋体" w:hAnsi="宋体" w:eastAsia="宋体"/>
                <w:color w:val="auto"/>
                <w:sz w:val="24"/>
                <w:szCs w:val="24"/>
                <w:highlight w:val="none"/>
              </w:rPr>
            </w:pPr>
          </w:p>
        </w:tc>
        <w:tc>
          <w:tcPr>
            <w:tcW w:w="670" w:type="pct"/>
            <w:noWrap w:val="0"/>
            <w:vAlign w:val="center"/>
          </w:tcPr>
          <w:p>
            <w:pPr>
              <w:rPr>
                <w:rFonts w:hint="eastAsia" w:ascii="宋体" w:hAnsi="宋体" w:eastAsia="宋体"/>
                <w:color w:val="auto"/>
                <w:sz w:val="24"/>
                <w:szCs w:val="24"/>
                <w:highlight w:val="none"/>
              </w:rPr>
            </w:pPr>
          </w:p>
        </w:tc>
      </w:tr>
    </w:tbl>
    <w:p>
      <w:pPr>
        <w:widowControl/>
        <w:jc w:val="center"/>
        <w:rPr>
          <w:rFonts w:hint="eastAsia" w:ascii="Calibri Light" w:hAnsi="Calibri Light"/>
          <w:bCs/>
          <w:color w:val="auto"/>
          <w:sz w:val="24"/>
          <w:highlight w:val="none"/>
        </w:rPr>
      </w:pPr>
    </w:p>
    <w:p>
      <w:pPr>
        <w:widowControl/>
        <w:jc w:val="center"/>
        <w:rPr>
          <w:rFonts w:hint="eastAsia" w:ascii="Calibri Light" w:hAnsi="Calibri Light"/>
          <w:bCs/>
          <w:color w:val="auto"/>
          <w:sz w:val="24"/>
          <w:highlight w:val="none"/>
        </w:rPr>
      </w:pPr>
    </w:p>
    <w:p>
      <w:pPr>
        <w:widowControl/>
        <w:jc w:val="left"/>
        <w:rPr>
          <w:b/>
          <w:color w:val="auto"/>
          <w:highlight w:val="none"/>
        </w:rPr>
      </w:pPr>
      <w:r>
        <w:rPr>
          <w:rFonts w:hint="eastAsia" w:ascii="Calibri Light" w:hAnsi="Calibri Light"/>
          <w:b/>
          <w:bCs/>
          <w:color w:val="auto"/>
          <w:sz w:val="24"/>
          <w:highlight w:val="none"/>
        </w:rPr>
        <w:t>（三）其他成员承诺表</w:t>
      </w:r>
    </w:p>
    <w:tbl>
      <w:tblPr>
        <w:tblStyle w:val="20"/>
        <w:tblW w:w="5000" w:type="pct"/>
        <w:jc w:val="center"/>
        <w:tblLayout w:type="autofit"/>
        <w:tblCellMar>
          <w:top w:w="0" w:type="dxa"/>
          <w:left w:w="54" w:type="dxa"/>
          <w:bottom w:w="0" w:type="dxa"/>
          <w:right w:w="54" w:type="dxa"/>
        </w:tblCellMar>
      </w:tblPr>
      <w:tblGrid>
        <w:gridCol w:w="741"/>
        <w:gridCol w:w="874"/>
        <w:gridCol w:w="707"/>
        <w:gridCol w:w="709"/>
        <w:gridCol w:w="710"/>
        <w:gridCol w:w="1841"/>
        <w:gridCol w:w="1928"/>
        <w:gridCol w:w="1669"/>
      </w:tblGrid>
      <w:tr>
        <w:tblPrEx>
          <w:tblCellMar>
            <w:top w:w="0" w:type="dxa"/>
            <w:left w:w="54" w:type="dxa"/>
            <w:bottom w:w="0" w:type="dxa"/>
            <w:right w:w="54" w:type="dxa"/>
          </w:tblCellMar>
        </w:tblPrEx>
        <w:trPr>
          <w:wBefore w:w="0" w:type="dxa"/>
          <w:wAfter w:w="0" w:type="dxa"/>
          <w:trHeight w:val="402" w:hRule="atLeast"/>
          <w:jc w:val="center"/>
        </w:trPr>
        <w:tc>
          <w:tcPr>
            <w:tcW w:w="404"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476"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姓名</w:t>
            </w:r>
          </w:p>
        </w:tc>
        <w:tc>
          <w:tcPr>
            <w:tcW w:w="385" w:type="pct"/>
            <w:tcBorders>
              <w:top w:val="single" w:color="auto" w:sz="6" w:space="0"/>
              <w:left w:val="single" w:color="auto" w:sz="6" w:space="0"/>
              <w:bottom w:val="single" w:color="auto" w:sz="6" w:space="0"/>
              <w:right w:val="single" w:color="auto" w:sz="4" w:space="0"/>
            </w:tcBorders>
            <w:noWrap w:val="0"/>
            <w:vAlign w:val="top"/>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年龄</w:t>
            </w:r>
          </w:p>
        </w:tc>
        <w:tc>
          <w:tcPr>
            <w:tcW w:w="386" w:type="pct"/>
            <w:tcBorders>
              <w:top w:val="single" w:color="auto" w:sz="6" w:space="0"/>
              <w:left w:val="single" w:color="auto" w:sz="4" w:space="0"/>
              <w:bottom w:val="single" w:color="auto" w:sz="6" w:space="0"/>
              <w:right w:val="single" w:color="auto" w:sz="4" w:space="0"/>
            </w:tcBorders>
            <w:noWrap w:val="0"/>
            <w:vAlign w:val="top"/>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姓别</w:t>
            </w:r>
          </w:p>
        </w:tc>
        <w:tc>
          <w:tcPr>
            <w:tcW w:w="387" w:type="pct"/>
            <w:tcBorders>
              <w:top w:val="single" w:color="auto" w:sz="6" w:space="0"/>
              <w:left w:val="single" w:color="auto" w:sz="4" w:space="0"/>
              <w:bottom w:val="single" w:color="auto" w:sz="6" w:space="0"/>
              <w:right w:val="single" w:color="auto" w:sz="4" w:space="0"/>
            </w:tcBorders>
            <w:noWrap w:val="0"/>
            <w:vAlign w:val="top"/>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学历</w:t>
            </w:r>
          </w:p>
        </w:tc>
        <w:tc>
          <w:tcPr>
            <w:tcW w:w="1003" w:type="pct"/>
            <w:tcBorders>
              <w:top w:val="single" w:color="auto" w:sz="6" w:space="0"/>
              <w:left w:val="single" w:color="auto" w:sz="4" w:space="0"/>
              <w:bottom w:val="single" w:color="auto" w:sz="6" w:space="0"/>
              <w:right w:val="single" w:color="auto" w:sz="6" w:space="0"/>
            </w:tcBorders>
            <w:noWrap w:val="0"/>
            <w:vAlign w:val="top"/>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拟任岗位及职务</w:t>
            </w:r>
          </w:p>
        </w:tc>
        <w:tc>
          <w:tcPr>
            <w:tcW w:w="1050"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持何种资格证件</w:t>
            </w:r>
          </w:p>
        </w:tc>
        <w:tc>
          <w:tcPr>
            <w:tcW w:w="909"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相关工作经验</w:t>
            </w:r>
          </w:p>
        </w:tc>
      </w:tr>
      <w:tr>
        <w:tblPrEx>
          <w:tblCellMar>
            <w:top w:w="0" w:type="dxa"/>
            <w:left w:w="54" w:type="dxa"/>
            <w:bottom w:w="0" w:type="dxa"/>
            <w:right w:w="54" w:type="dxa"/>
          </w:tblCellMar>
        </w:tblPrEx>
        <w:trPr>
          <w:wBefore w:w="0" w:type="dxa"/>
          <w:wAfter w:w="0" w:type="dxa"/>
          <w:cantSplit/>
          <w:trHeight w:val="320" w:hRule="exact"/>
          <w:jc w:val="center"/>
        </w:trPr>
        <w:tc>
          <w:tcPr>
            <w:tcW w:w="404"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476"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c>
          <w:tcPr>
            <w:tcW w:w="385" w:type="pct"/>
            <w:tcBorders>
              <w:top w:val="single" w:color="auto" w:sz="6" w:space="0"/>
              <w:left w:val="single" w:color="auto" w:sz="6" w:space="0"/>
              <w:bottom w:val="single" w:color="auto" w:sz="6" w:space="0"/>
              <w:right w:val="single" w:color="auto" w:sz="4" w:space="0"/>
            </w:tcBorders>
            <w:noWrap w:val="0"/>
            <w:vAlign w:val="top"/>
          </w:tcPr>
          <w:p>
            <w:pPr>
              <w:rPr>
                <w:rFonts w:ascii="宋体" w:hAnsi="宋体" w:eastAsia="宋体"/>
                <w:color w:val="auto"/>
                <w:sz w:val="24"/>
                <w:szCs w:val="24"/>
                <w:highlight w:val="none"/>
              </w:rPr>
            </w:pPr>
          </w:p>
        </w:tc>
        <w:tc>
          <w:tcPr>
            <w:tcW w:w="386"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color w:val="auto"/>
                <w:sz w:val="24"/>
                <w:szCs w:val="24"/>
                <w:highlight w:val="none"/>
              </w:rPr>
            </w:pPr>
          </w:p>
        </w:tc>
        <w:tc>
          <w:tcPr>
            <w:tcW w:w="387"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color w:val="auto"/>
                <w:sz w:val="24"/>
                <w:szCs w:val="24"/>
                <w:highlight w:val="none"/>
              </w:rPr>
            </w:pPr>
          </w:p>
        </w:tc>
        <w:tc>
          <w:tcPr>
            <w:tcW w:w="1003" w:type="pct"/>
            <w:tcBorders>
              <w:top w:val="single" w:color="auto" w:sz="6" w:space="0"/>
              <w:left w:val="single" w:color="auto" w:sz="4"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c>
          <w:tcPr>
            <w:tcW w:w="1050"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c>
          <w:tcPr>
            <w:tcW w:w="909"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r>
      <w:tr>
        <w:tblPrEx>
          <w:tblCellMar>
            <w:top w:w="0" w:type="dxa"/>
            <w:left w:w="54" w:type="dxa"/>
            <w:bottom w:w="0" w:type="dxa"/>
            <w:right w:w="54" w:type="dxa"/>
          </w:tblCellMar>
        </w:tblPrEx>
        <w:trPr>
          <w:wBefore w:w="0" w:type="dxa"/>
          <w:wAfter w:w="0" w:type="dxa"/>
          <w:cantSplit/>
          <w:trHeight w:val="320" w:hRule="exact"/>
          <w:jc w:val="center"/>
        </w:trPr>
        <w:tc>
          <w:tcPr>
            <w:tcW w:w="404"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2</w:t>
            </w:r>
          </w:p>
        </w:tc>
        <w:tc>
          <w:tcPr>
            <w:tcW w:w="476" w:type="pct"/>
            <w:tcBorders>
              <w:top w:val="single" w:color="auto" w:sz="6" w:space="0"/>
              <w:left w:val="single" w:color="auto" w:sz="6" w:space="0"/>
              <w:bottom w:val="single" w:color="auto" w:sz="6" w:space="0"/>
              <w:right w:val="single" w:color="auto" w:sz="6" w:space="0"/>
            </w:tcBorders>
            <w:noWrap w:val="0"/>
            <w:vAlign w:val="top"/>
          </w:tcPr>
          <w:p>
            <w:pPr>
              <w:spacing w:before="120" w:after="120"/>
              <w:jc w:val="left"/>
              <w:rPr>
                <w:rFonts w:ascii="宋体" w:hAnsi="宋体" w:eastAsia="宋体"/>
                <w:b/>
                <w:bCs/>
                <w:caps/>
                <w:color w:val="auto"/>
                <w:sz w:val="24"/>
                <w:szCs w:val="24"/>
                <w:highlight w:val="none"/>
              </w:rPr>
            </w:pPr>
          </w:p>
        </w:tc>
        <w:tc>
          <w:tcPr>
            <w:tcW w:w="385" w:type="pct"/>
            <w:tcBorders>
              <w:top w:val="single" w:color="auto" w:sz="6" w:space="0"/>
              <w:left w:val="single" w:color="auto" w:sz="6" w:space="0"/>
              <w:bottom w:val="single" w:color="auto" w:sz="6" w:space="0"/>
              <w:right w:val="single" w:color="auto" w:sz="4" w:space="0"/>
            </w:tcBorders>
            <w:noWrap w:val="0"/>
            <w:vAlign w:val="top"/>
          </w:tcPr>
          <w:p>
            <w:pPr>
              <w:rPr>
                <w:rFonts w:ascii="宋体" w:hAnsi="宋体" w:eastAsia="宋体"/>
                <w:color w:val="auto"/>
                <w:sz w:val="24"/>
                <w:szCs w:val="24"/>
                <w:highlight w:val="none"/>
              </w:rPr>
            </w:pPr>
          </w:p>
        </w:tc>
        <w:tc>
          <w:tcPr>
            <w:tcW w:w="386"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color w:val="auto"/>
                <w:sz w:val="24"/>
                <w:szCs w:val="24"/>
                <w:highlight w:val="none"/>
              </w:rPr>
            </w:pPr>
          </w:p>
        </w:tc>
        <w:tc>
          <w:tcPr>
            <w:tcW w:w="387"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color w:val="auto"/>
                <w:sz w:val="24"/>
                <w:szCs w:val="24"/>
                <w:highlight w:val="none"/>
              </w:rPr>
            </w:pPr>
          </w:p>
        </w:tc>
        <w:tc>
          <w:tcPr>
            <w:tcW w:w="1003" w:type="pct"/>
            <w:tcBorders>
              <w:top w:val="single" w:color="auto" w:sz="6" w:space="0"/>
              <w:left w:val="single" w:color="auto" w:sz="4"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c>
          <w:tcPr>
            <w:tcW w:w="1050"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c>
          <w:tcPr>
            <w:tcW w:w="909"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r>
      <w:tr>
        <w:tblPrEx>
          <w:tblCellMar>
            <w:top w:w="0" w:type="dxa"/>
            <w:left w:w="54" w:type="dxa"/>
            <w:bottom w:w="0" w:type="dxa"/>
            <w:right w:w="54" w:type="dxa"/>
          </w:tblCellMar>
        </w:tblPrEx>
        <w:trPr>
          <w:wBefore w:w="0" w:type="dxa"/>
          <w:wAfter w:w="0" w:type="dxa"/>
          <w:cantSplit/>
          <w:trHeight w:val="320" w:hRule="exact"/>
          <w:jc w:val="center"/>
        </w:trPr>
        <w:tc>
          <w:tcPr>
            <w:tcW w:w="404"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3</w:t>
            </w:r>
          </w:p>
        </w:tc>
        <w:tc>
          <w:tcPr>
            <w:tcW w:w="476"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c>
          <w:tcPr>
            <w:tcW w:w="385" w:type="pct"/>
            <w:tcBorders>
              <w:top w:val="single" w:color="auto" w:sz="6" w:space="0"/>
              <w:left w:val="single" w:color="auto" w:sz="6" w:space="0"/>
              <w:bottom w:val="single" w:color="auto" w:sz="6" w:space="0"/>
              <w:right w:val="single" w:color="auto" w:sz="4" w:space="0"/>
            </w:tcBorders>
            <w:noWrap w:val="0"/>
            <w:vAlign w:val="top"/>
          </w:tcPr>
          <w:p>
            <w:pPr>
              <w:rPr>
                <w:rFonts w:ascii="宋体" w:hAnsi="宋体" w:eastAsia="宋体"/>
                <w:color w:val="auto"/>
                <w:sz w:val="24"/>
                <w:szCs w:val="24"/>
                <w:highlight w:val="none"/>
              </w:rPr>
            </w:pPr>
          </w:p>
        </w:tc>
        <w:tc>
          <w:tcPr>
            <w:tcW w:w="386"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color w:val="auto"/>
                <w:sz w:val="24"/>
                <w:szCs w:val="24"/>
                <w:highlight w:val="none"/>
              </w:rPr>
            </w:pPr>
          </w:p>
        </w:tc>
        <w:tc>
          <w:tcPr>
            <w:tcW w:w="387"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color w:val="auto"/>
                <w:sz w:val="24"/>
                <w:szCs w:val="24"/>
                <w:highlight w:val="none"/>
              </w:rPr>
            </w:pPr>
          </w:p>
        </w:tc>
        <w:tc>
          <w:tcPr>
            <w:tcW w:w="1003" w:type="pct"/>
            <w:tcBorders>
              <w:top w:val="single" w:color="auto" w:sz="6" w:space="0"/>
              <w:left w:val="single" w:color="auto" w:sz="4"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c>
          <w:tcPr>
            <w:tcW w:w="1050"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c>
          <w:tcPr>
            <w:tcW w:w="909"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r>
      <w:tr>
        <w:tblPrEx>
          <w:tblCellMar>
            <w:top w:w="0" w:type="dxa"/>
            <w:left w:w="54" w:type="dxa"/>
            <w:bottom w:w="0" w:type="dxa"/>
            <w:right w:w="54" w:type="dxa"/>
          </w:tblCellMar>
        </w:tblPrEx>
        <w:trPr>
          <w:wBefore w:w="0" w:type="dxa"/>
          <w:wAfter w:w="0" w:type="dxa"/>
          <w:cantSplit/>
          <w:trHeight w:val="320" w:hRule="exact"/>
          <w:jc w:val="center"/>
        </w:trPr>
        <w:tc>
          <w:tcPr>
            <w:tcW w:w="404"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4</w:t>
            </w:r>
          </w:p>
        </w:tc>
        <w:tc>
          <w:tcPr>
            <w:tcW w:w="476"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c>
          <w:tcPr>
            <w:tcW w:w="385" w:type="pct"/>
            <w:tcBorders>
              <w:top w:val="single" w:color="auto" w:sz="6" w:space="0"/>
              <w:left w:val="single" w:color="auto" w:sz="6" w:space="0"/>
              <w:bottom w:val="single" w:color="auto" w:sz="6" w:space="0"/>
              <w:right w:val="single" w:color="auto" w:sz="4" w:space="0"/>
            </w:tcBorders>
            <w:noWrap w:val="0"/>
            <w:vAlign w:val="top"/>
          </w:tcPr>
          <w:p>
            <w:pPr>
              <w:rPr>
                <w:rFonts w:ascii="宋体" w:hAnsi="宋体" w:eastAsia="宋体"/>
                <w:color w:val="auto"/>
                <w:sz w:val="24"/>
                <w:szCs w:val="24"/>
                <w:highlight w:val="none"/>
              </w:rPr>
            </w:pPr>
          </w:p>
        </w:tc>
        <w:tc>
          <w:tcPr>
            <w:tcW w:w="386"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color w:val="auto"/>
                <w:sz w:val="24"/>
                <w:szCs w:val="24"/>
                <w:highlight w:val="none"/>
              </w:rPr>
            </w:pPr>
          </w:p>
        </w:tc>
        <w:tc>
          <w:tcPr>
            <w:tcW w:w="387"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color w:val="auto"/>
                <w:sz w:val="24"/>
                <w:szCs w:val="24"/>
                <w:highlight w:val="none"/>
              </w:rPr>
            </w:pPr>
          </w:p>
        </w:tc>
        <w:tc>
          <w:tcPr>
            <w:tcW w:w="1003" w:type="pct"/>
            <w:tcBorders>
              <w:top w:val="single" w:color="auto" w:sz="6" w:space="0"/>
              <w:left w:val="single" w:color="auto" w:sz="4"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c>
          <w:tcPr>
            <w:tcW w:w="1050"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c>
          <w:tcPr>
            <w:tcW w:w="909"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r>
      <w:tr>
        <w:tblPrEx>
          <w:tblCellMar>
            <w:top w:w="0" w:type="dxa"/>
            <w:left w:w="54" w:type="dxa"/>
            <w:bottom w:w="0" w:type="dxa"/>
            <w:right w:w="54" w:type="dxa"/>
          </w:tblCellMar>
        </w:tblPrEx>
        <w:trPr>
          <w:wBefore w:w="0" w:type="dxa"/>
          <w:wAfter w:w="0" w:type="dxa"/>
          <w:cantSplit/>
          <w:trHeight w:val="320" w:hRule="exact"/>
          <w:jc w:val="center"/>
        </w:trPr>
        <w:tc>
          <w:tcPr>
            <w:tcW w:w="404"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5</w:t>
            </w:r>
          </w:p>
        </w:tc>
        <w:tc>
          <w:tcPr>
            <w:tcW w:w="476"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c>
          <w:tcPr>
            <w:tcW w:w="385" w:type="pct"/>
            <w:tcBorders>
              <w:top w:val="single" w:color="auto" w:sz="6" w:space="0"/>
              <w:left w:val="single" w:color="auto" w:sz="6" w:space="0"/>
              <w:bottom w:val="single" w:color="auto" w:sz="6" w:space="0"/>
              <w:right w:val="single" w:color="auto" w:sz="4" w:space="0"/>
            </w:tcBorders>
            <w:noWrap w:val="0"/>
            <w:vAlign w:val="top"/>
          </w:tcPr>
          <w:p>
            <w:pPr>
              <w:rPr>
                <w:rFonts w:ascii="宋体" w:hAnsi="宋体" w:eastAsia="宋体"/>
                <w:color w:val="auto"/>
                <w:sz w:val="24"/>
                <w:szCs w:val="24"/>
                <w:highlight w:val="none"/>
              </w:rPr>
            </w:pPr>
          </w:p>
        </w:tc>
        <w:tc>
          <w:tcPr>
            <w:tcW w:w="386"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color w:val="auto"/>
                <w:sz w:val="24"/>
                <w:szCs w:val="24"/>
                <w:highlight w:val="none"/>
              </w:rPr>
            </w:pPr>
          </w:p>
        </w:tc>
        <w:tc>
          <w:tcPr>
            <w:tcW w:w="387"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color w:val="auto"/>
                <w:sz w:val="24"/>
                <w:szCs w:val="24"/>
                <w:highlight w:val="none"/>
              </w:rPr>
            </w:pPr>
          </w:p>
        </w:tc>
        <w:tc>
          <w:tcPr>
            <w:tcW w:w="1003" w:type="pct"/>
            <w:tcBorders>
              <w:top w:val="single" w:color="auto" w:sz="6" w:space="0"/>
              <w:left w:val="single" w:color="auto" w:sz="4"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c>
          <w:tcPr>
            <w:tcW w:w="1050"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c>
          <w:tcPr>
            <w:tcW w:w="909"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r>
      <w:tr>
        <w:tblPrEx>
          <w:tblCellMar>
            <w:top w:w="0" w:type="dxa"/>
            <w:left w:w="54" w:type="dxa"/>
            <w:bottom w:w="0" w:type="dxa"/>
            <w:right w:w="54" w:type="dxa"/>
          </w:tblCellMar>
        </w:tblPrEx>
        <w:trPr>
          <w:wBefore w:w="0" w:type="dxa"/>
          <w:wAfter w:w="0" w:type="dxa"/>
          <w:cantSplit/>
          <w:trHeight w:val="320" w:hRule="exact"/>
          <w:jc w:val="center"/>
        </w:trPr>
        <w:tc>
          <w:tcPr>
            <w:tcW w:w="404"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6</w:t>
            </w:r>
          </w:p>
        </w:tc>
        <w:tc>
          <w:tcPr>
            <w:tcW w:w="476"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c>
          <w:tcPr>
            <w:tcW w:w="385" w:type="pct"/>
            <w:tcBorders>
              <w:top w:val="single" w:color="auto" w:sz="6" w:space="0"/>
              <w:left w:val="single" w:color="auto" w:sz="6" w:space="0"/>
              <w:bottom w:val="single" w:color="auto" w:sz="6" w:space="0"/>
              <w:right w:val="single" w:color="auto" w:sz="4" w:space="0"/>
            </w:tcBorders>
            <w:noWrap w:val="0"/>
            <w:vAlign w:val="top"/>
          </w:tcPr>
          <w:p>
            <w:pPr>
              <w:rPr>
                <w:rFonts w:ascii="宋体" w:hAnsi="宋体" w:eastAsia="宋体"/>
                <w:color w:val="auto"/>
                <w:sz w:val="24"/>
                <w:szCs w:val="24"/>
                <w:highlight w:val="none"/>
              </w:rPr>
            </w:pPr>
          </w:p>
        </w:tc>
        <w:tc>
          <w:tcPr>
            <w:tcW w:w="386"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color w:val="auto"/>
                <w:sz w:val="24"/>
                <w:szCs w:val="24"/>
                <w:highlight w:val="none"/>
              </w:rPr>
            </w:pPr>
          </w:p>
        </w:tc>
        <w:tc>
          <w:tcPr>
            <w:tcW w:w="387"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color w:val="auto"/>
                <w:sz w:val="24"/>
                <w:szCs w:val="24"/>
                <w:highlight w:val="none"/>
              </w:rPr>
            </w:pPr>
          </w:p>
        </w:tc>
        <w:tc>
          <w:tcPr>
            <w:tcW w:w="1003" w:type="pct"/>
            <w:tcBorders>
              <w:top w:val="single" w:color="auto" w:sz="6" w:space="0"/>
              <w:left w:val="single" w:color="auto" w:sz="4"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c>
          <w:tcPr>
            <w:tcW w:w="1050"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c>
          <w:tcPr>
            <w:tcW w:w="909"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r>
      <w:tr>
        <w:tblPrEx>
          <w:tblCellMar>
            <w:top w:w="0" w:type="dxa"/>
            <w:left w:w="54" w:type="dxa"/>
            <w:bottom w:w="0" w:type="dxa"/>
            <w:right w:w="54" w:type="dxa"/>
          </w:tblCellMar>
        </w:tblPrEx>
        <w:trPr>
          <w:wBefore w:w="0" w:type="dxa"/>
          <w:wAfter w:w="0" w:type="dxa"/>
          <w:cantSplit/>
          <w:trHeight w:val="320" w:hRule="exact"/>
          <w:jc w:val="center"/>
        </w:trPr>
        <w:tc>
          <w:tcPr>
            <w:tcW w:w="404"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7</w:t>
            </w:r>
          </w:p>
        </w:tc>
        <w:tc>
          <w:tcPr>
            <w:tcW w:w="476"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c>
          <w:tcPr>
            <w:tcW w:w="385" w:type="pct"/>
            <w:tcBorders>
              <w:top w:val="single" w:color="auto" w:sz="6" w:space="0"/>
              <w:left w:val="single" w:color="auto" w:sz="6" w:space="0"/>
              <w:bottom w:val="single" w:color="auto" w:sz="6" w:space="0"/>
              <w:right w:val="single" w:color="auto" w:sz="4" w:space="0"/>
            </w:tcBorders>
            <w:noWrap w:val="0"/>
            <w:vAlign w:val="top"/>
          </w:tcPr>
          <w:p>
            <w:pPr>
              <w:rPr>
                <w:rFonts w:ascii="宋体" w:hAnsi="宋体" w:eastAsia="宋体"/>
                <w:color w:val="auto"/>
                <w:sz w:val="24"/>
                <w:szCs w:val="24"/>
                <w:highlight w:val="none"/>
              </w:rPr>
            </w:pPr>
          </w:p>
        </w:tc>
        <w:tc>
          <w:tcPr>
            <w:tcW w:w="386"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color w:val="auto"/>
                <w:sz w:val="24"/>
                <w:szCs w:val="24"/>
                <w:highlight w:val="none"/>
              </w:rPr>
            </w:pPr>
          </w:p>
        </w:tc>
        <w:tc>
          <w:tcPr>
            <w:tcW w:w="387"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color w:val="auto"/>
                <w:sz w:val="24"/>
                <w:szCs w:val="24"/>
                <w:highlight w:val="none"/>
              </w:rPr>
            </w:pPr>
          </w:p>
        </w:tc>
        <w:tc>
          <w:tcPr>
            <w:tcW w:w="1003" w:type="pct"/>
            <w:tcBorders>
              <w:top w:val="single" w:color="auto" w:sz="6" w:space="0"/>
              <w:left w:val="single" w:color="auto" w:sz="4"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c>
          <w:tcPr>
            <w:tcW w:w="1050"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c>
          <w:tcPr>
            <w:tcW w:w="909"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r>
      <w:tr>
        <w:tblPrEx>
          <w:tblCellMar>
            <w:top w:w="0" w:type="dxa"/>
            <w:left w:w="54" w:type="dxa"/>
            <w:bottom w:w="0" w:type="dxa"/>
            <w:right w:w="54" w:type="dxa"/>
          </w:tblCellMar>
        </w:tblPrEx>
        <w:trPr>
          <w:wBefore w:w="0" w:type="dxa"/>
          <w:wAfter w:w="0" w:type="dxa"/>
          <w:cantSplit/>
          <w:trHeight w:val="320" w:hRule="exact"/>
          <w:jc w:val="center"/>
        </w:trPr>
        <w:tc>
          <w:tcPr>
            <w:tcW w:w="404" w:type="pct"/>
            <w:tcBorders>
              <w:top w:val="single" w:color="auto" w:sz="6" w:space="0"/>
              <w:left w:val="single" w:color="auto" w:sz="6" w:space="0"/>
              <w:bottom w:val="nil"/>
              <w:right w:val="single" w:color="auto" w:sz="6" w:space="0"/>
            </w:tcBorders>
            <w:noWrap w:val="0"/>
            <w:vAlign w:val="top"/>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8</w:t>
            </w:r>
          </w:p>
        </w:tc>
        <w:tc>
          <w:tcPr>
            <w:tcW w:w="476"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c>
          <w:tcPr>
            <w:tcW w:w="385" w:type="pct"/>
            <w:tcBorders>
              <w:top w:val="single" w:color="auto" w:sz="6" w:space="0"/>
              <w:left w:val="single" w:color="auto" w:sz="6" w:space="0"/>
              <w:bottom w:val="single" w:color="auto" w:sz="6" w:space="0"/>
              <w:right w:val="single" w:color="auto" w:sz="4" w:space="0"/>
            </w:tcBorders>
            <w:noWrap w:val="0"/>
            <w:vAlign w:val="top"/>
          </w:tcPr>
          <w:p>
            <w:pPr>
              <w:rPr>
                <w:rFonts w:ascii="宋体" w:hAnsi="宋体" w:eastAsia="宋体"/>
                <w:color w:val="auto"/>
                <w:sz w:val="24"/>
                <w:szCs w:val="24"/>
                <w:highlight w:val="none"/>
              </w:rPr>
            </w:pPr>
          </w:p>
        </w:tc>
        <w:tc>
          <w:tcPr>
            <w:tcW w:w="386"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color w:val="auto"/>
                <w:sz w:val="24"/>
                <w:szCs w:val="24"/>
                <w:highlight w:val="none"/>
              </w:rPr>
            </w:pPr>
          </w:p>
        </w:tc>
        <w:tc>
          <w:tcPr>
            <w:tcW w:w="387"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color w:val="auto"/>
                <w:sz w:val="24"/>
                <w:szCs w:val="24"/>
                <w:highlight w:val="none"/>
              </w:rPr>
            </w:pPr>
          </w:p>
        </w:tc>
        <w:tc>
          <w:tcPr>
            <w:tcW w:w="1003" w:type="pct"/>
            <w:tcBorders>
              <w:top w:val="single" w:color="auto" w:sz="6" w:space="0"/>
              <w:left w:val="single" w:color="auto" w:sz="4"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c>
          <w:tcPr>
            <w:tcW w:w="1050"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c>
          <w:tcPr>
            <w:tcW w:w="909"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r>
      <w:tr>
        <w:tblPrEx>
          <w:tblCellMar>
            <w:top w:w="0" w:type="dxa"/>
            <w:left w:w="54" w:type="dxa"/>
            <w:bottom w:w="0" w:type="dxa"/>
            <w:right w:w="54" w:type="dxa"/>
          </w:tblCellMar>
        </w:tblPrEx>
        <w:trPr>
          <w:wBefore w:w="0" w:type="dxa"/>
          <w:wAfter w:w="0" w:type="dxa"/>
          <w:cantSplit/>
          <w:trHeight w:val="320" w:hRule="exact"/>
          <w:jc w:val="center"/>
        </w:trPr>
        <w:tc>
          <w:tcPr>
            <w:tcW w:w="404"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9</w:t>
            </w:r>
          </w:p>
        </w:tc>
        <w:tc>
          <w:tcPr>
            <w:tcW w:w="476"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c>
          <w:tcPr>
            <w:tcW w:w="385" w:type="pct"/>
            <w:tcBorders>
              <w:top w:val="single" w:color="auto" w:sz="6" w:space="0"/>
              <w:left w:val="single" w:color="auto" w:sz="6" w:space="0"/>
              <w:bottom w:val="single" w:color="auto" w:sz="6" w:space="0"/>
              <w:right w:val="single" w:color="auto" w:sz="4" w:space="0"/>
            </w:tcBorders>
            <w:noWrap w:val="0"/>
            <w:vAlign w:val="top"/>
          </w:tcPr>
          <w:p>
            <w:pPr>
              <w:rPr>
                <w:rFonts w:ascii="宋体" w:hAnsi="宋体" w:eastAsia="宋体"/>
                <w:color w:val="auto"/>
                <w:sz w:val="24"/>
                <w:szCs w:val="24"/>
                <w:highlight w:val="none"/>
              </w:rPr>
            </w:pPr>
          </w:p>
        </w:tc>
        <w:tc>
          <w:tcPr>
            <w:tcW w:w="386"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color w:val="auto"/>
                <w:sz w:val="24"/>
                <w:szCs w:val="24"/>
                <w:highlight w:val="none"/>
              </w:rPr>
            </w:pPr>
          </w:p>
        </w:tc>
        <w:tc>
          <w:tcPr>
            <w:tcW w:w="387"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color w:val="auto"/>
                <w:sz w:val="24"/>
                <w:szCs w:val="24"/>
                <w:highlight w:val="none"/>
              </w:rPr>
            </w:pPr>
          </w:p>
        </w:tc>
        <w:tc>
          <w:tcPr>
            <w:tcW w:w="1003" w:type="pct"/>
            <w:tcBorders>
              <w:top w:val="single" w:color="auto" w:sz="6" w:space="0"/>
              <w:left w:val="single" w:color="auto" w:sz="4"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c>
          <w:tcPr>
            <w:tcW w:w="1050"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c>
          <w:tcPr>
            <w:tcW w:w="909"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r>
      <w:tr>
        <w:tblPrEx>
          <w:tblCellMar>
            <w:top w:w="0" w:type="dxa"/>
            <w:left w:w="54" w:type="dxa"/>
            <w:bottom w:w="0" w:type="dxa"/>
            <w:right w:w="54" w:type="dxa"/>
          </w:tblCellMar>
        </w:tblPrEx>
        <w:trPr>
          <w:wBefore w:w="0" w:type="dxa"/>
          <w:wAfter w:w="0" w:type="dxa"/>
          <w:cantSplit/>
          <w:trHeight w:val="320" w:hRule="exact"/>
          <w:jc w:val="center"/>
        </w:trPr>
        <w:tc>
          <w:tcPr>
            <w:tcW w:w="404" w:type="pct"/>
            <w:tcBorders>
              <w:top w:val="nil"/>
              <w:left w:val="single" w:color="auto" w:sz="6" w:space="0"/>
              <w:bottom w:val="single" w:color="auto" w:sz="6" w:space="0"/>
              <w:right w:val="single" w:color="auto" w:sz="6" w:space="0"/>
            </w:tcBorders>
            <w:noWrap w:val="0"/>
            <w:vAlign w:val="top"/>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10</w:t>
            </w:r>
          </w:p>
        </w:tc>
        <w:tc>
          <w:tcPr>
            <w:tcW w:w="476"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c>
          <w:tcPr>
            <w:tcW w:w="385" w:type="pct"/>
            <w:tcBorders>
              <w:top w:val="single" w:color="auto" w:sz="6" w:space="0"/>
              <w:left w:val="single" w:color="auto" w:sz="6" w:space="0"/>
              <w:bottom w:val="single" w:color="auto" w:sz="6" w:space="0"/>
              <w:right w:val="single" w:color="auto" w:sz="4" w:space="0"/>
            </w:tcBorders>
            <w:noWrap w:val="0"/>
            <w:vAlign w:val="top"/>
          </w:tcPr>
          <w:p>
            <w:pPr>
              <w:rPr>
                <w:rFonts w:ascii="宋体" w:hAnsi="宋体" w:eastAsia="宋体"/>
                <w:color w:val="auto"/>
                <w:sz w:val="24"/>
                <w:szCs w:val="24"/>
                <w:highlight w:val="none"/>
              </w:rPr>
            </w:pPr>
          </w:p>
        </w:tc>
        <w:tc>
          <w:tcPr>
            <w:tcW w:w="386"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color w:val="auto"/>
                <w:sz w:val="24"/>
                <w:szCs w:val="24"/>
                <w:highlight w:val="none"/>
              </w:rPr>
            </w:pPr>
          </w:p>
        </w:tc>
        <w:tc>
          <w:tcPr>
            <w:tcW w:w="387"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color w:val="auto"/>
                <w:sz w:val="24"/>
                <w:szCs w:val="24"/>
                <w:highlight w:val="none"/>
              </w:rPr>
            </w:pPr>
          </w:p>
        </w:tc>
        <w:tc>
          <w:tcPr>
            <w:tcW w:w="1003" w:type="pct"/>
            <w:tcBorders>
              <w:top w:val="single" w:color="auto" w:sz="6" w:space="0"/>
              <w:left w:val="single" w:color="auto" w:sz="4"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c>
          <w:tcPr>
            <w:tcW w:w="1050"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c>
          <w:tcPr>
            <w:tcW w:w="909"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color w:val="auto"/>
                <w:sz w:val="24"/>
                <w:szCs w:val="24"/>
                <w:highlight w:val="none"/>
              </w:rPr>
            </w:pPr>
          </w:p>
        </w:tc>
      </w:tr>
    </w:tbl>
    <w:p>
      <w:pPr>
        <w:rPr>
          <w:rFonts w:hint="eastAsia" w:ascii="宋体"/>
          <w:b/>
          <w:bCs/>
          <w:color w:val="auto"/>
          <w:sz w:val="18"/>
          <w:highlight w:val="none"/>
        </w:rPr>
      </w:pPr>
    </w:p>
    <w:p>
      <w:pPr>
        <w:rPr>
          <w:rFonts w:ascii="宋体"/>
          <w:b/>
          <w:bCs/>
          <w:color w:val="auto"/>
          <w:sz w:val="18"/>
          <w:highlight w:val="none"/>
        </w:rPr>
      </w:pPr>
      <w:r>
        <w:rPr>
          <w:rFonts w:hint="eastAsia" w:ascii="宋体"/>
          <w:b/>
          <w:bCs/>
          <w:color w:val="auto"/>
          <w:sz w:val="18"/>
          <w:highlight w:val="none"/>
        </w:rPr>
        <w:t>注： 1、填写时，如本表格不适合供应商的实际情况，可根据本表格格式自行划表填写。</w:t>
      </w:r>
    </w:p>
    <w:p>
      <w:pPr>
        <w:rPr>
          <w:rFonts w:ascii="宋体"/>
          <w:b/>
          <w:bCs/>
          <w:color w:val="auto"/>
          <w:sz w:val="18"/>
          <w:highlight w:val="none"/>
        </w:rPr>
      </w:pPr>
      <w:r>
        <w:rPr>
          <w:rFonts w:hint="eastAsia" w:ascii="宋体"/>
          <w:b/>
          <w:bCs/>
          <w:color w:val="auto"/>
          <w:sz w:val="18"/>
          <w:highlight w:val="none"/>
        </w:rPr>
        <w:t>　　 2、项目经理、主要管理人员需明确姓名及具体信息；其他成员表可以按招标需求以承诺的方式填写，无须明确姓名，中标后签订合同时，应提供具体人员名单及证件，若不履约，中标人须承担相应责任。</w:t>
      </w:r>
    </w:p>
    <w:p>
      <w:pPr>
        <w:ind w:firstLine="425"/>
        <w:rPr>
          <w:rFonts w:ascii="宋体"/>
          <w:b/>
          <w:bCs/>
          <w:color w:val="auto"/>
          <w:sz w:val="18"/>
          <w:highlight w:val="none"/>
        </w:rPr>
      </w:pPr>
      <w:r>
        <w:rPr>
          <w:rFonts w:hint="eastAsia" w:ascii="宋体"/>
          <w:b/>
          <w:bCs/>
          <w:color w:val="auto"/>
          <w:sz w:val="18"/>
          <w:highlight w:val="none"/>
        </w:rPr>
        <w:t>3、项目人员组成所要求填写的人员是指供应商将安排在此项目的具体人员。</w:t>
      </w:r>
    </w:p>
    <w:p>
      <w:pPr>
        <w:jc w:val="center"/>
        <w:rPr>
          <w:rFonts w:hint="eastAsia" w:ascii="仿宋_GB2312" w:eastAsia="仿宋_GB2312"/>
          <w:b/>
          <w:color w:val="auto"/>
          <w:sz w:val="32"/>
          <w:szCs w:val="32"/>
          <w:highlight w:val="none"/>
        </w:rPr>
      </w:pPr>
      <w:r>
        <w:rPr>
          <w:rFonts w:ascii="Arial" w:hAnsi="Arial" w:eastAsia="仿宋_GB2312"/>
          <w:color w:val="auto"/>
          <w:sz w:val="28"/>
          <w:highlight w:val="none"/>
        </w:rPr>
        <w:br w:type="page"/>
      </w:r>
      <w:r>
        <w:rPr>
          <w:rFonts w:hint="eastAsia" w:ascii="Arial" w:hAnsi="Arial" w:eastAsia="仿宋_GB2312"/>
          <w:color w:val="auto"/>
          <w:sz w:val="28"/>
          <w:highlight w:val="none"/>
        </w:rPr>
        <w:t>4、</w:t>
      </w:r>
      <w:r>
        <w:rPr>
          <w:rFonts w:hint="eastAsia" w:ascii="仿宋_GB2312" w:eastAsia="仿宋_GB2312"/>
          <w:b/>
          <w:color w:val="auto"/>
          <w:sz w:val="32"/>
          <w:szCs w:val="32"/>
          <w:highlight w:val="none"/>
        </w:rPr>
        <w:t>其他商务技术资料</w:t>
      </w:r>
    </w:p>
    <w:p>
      <w:pPr>
        <w:jc w:val="center"/>
        <w:rPr>
          <w:rFonts w:hint="eastAsia" w:ascii="宋体" w:hAnsi="宋体"/>
          <w:b/>
          <w:bCs/>
          <w:color w:val="auto"/>
          <w:sz w:val="32"/>
          <w:szCs w:val="32"/>
          <w:highlight w:val="none"/>
        </w:rPr>
      </w:pPr>
      <w:r>
        <w:rPr>
          <w:rFonts w:hint="eastAsia" w:ascii="仿宋_GB2312" w:eastAsia="仿宋_GB2312"/>
          <w:b/>
          <w:i/>
          <w:iCs/>
          <w:color w:val="auto"/>
          <w:sz w:val="32"/>
          <w:szCs w:val="32"/>
          <w:highlight w:val="none"/>
        </w:rPr>
        <w:t>投标人可结合招标文件及自身情况提供其他认为必要的资料.</w:t>
      </w:r>
      <w:r>
        <w:rPr>
          <w:rFonts w:ascii="Arial" w:hAnsi="Arial" w:eastAsia="仿宋_GB2312"/>
          <w:color w:val="auto"/>
          <w:sz w:val="28"/>
          <w:highlight w:val="none"/>
        </w:rPr>
        <w:br w:type="page"/>
      </w:r>
      <w:r>
        <w:rPr>
          <w:rFonts w:hint="eastAsia" w:ascii="宋体" w:hAnsi="宋体"/>
          <w:b/>
          <w:bCs/>
          <w:color w:val="auto"/>
          <w:sz w:val="32"/>
          <w:szCs w:val="32"/>
          <w:highlight w:val="none"/>
        </w:rPr>
        <w:t>三、资格响应部分</w:t>
      </w:r>
    </w:p>
    <w:p>
      <w:pPr>
        <w:jc w:val="center"/>
        <w:rPr>
          <w:rFonts w:hint="eastAsia" w:ascii="宋体" w:hAnsi="宋体"/>
          <w:b/>
          <w:bCs/>
          <w:color w:val="auto"/>
          <w:sz w:val="32"/>
          <w:szCs w:val="32"/>
          <w:highlight w:val="none"/>
        </w:rPr>
      </w:pPr>
    </w:p>
    <w:p>
      <w:pPr>
        <w:jc w:val="center"/>
        <w:rPr>
          <w:rFonts w:hint="eastAsia" w:ascii="宋体" w:hAnsi="宋体"/>
          <w:b/>
          <w:bCs/>
          <w:color w:val="auto"/>
          <w:sz w:val="32"/>
          <w:szCs w:val="32"/>
          <w:highlight w:val="none"/>
        </w:rPr>
      </w:pPr>
    </w:p>
    <w:p>
      <w:pPr>
        <w:numPr>
          <w:ilvl w:val="0"/>
          <w:numId w:val="13"/>
        </w:numPr>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特定资格条件证明材料</w:t>
      </w:r>
    </w:p>
    <w:p>
      <w:pPr>
        <w:jc w:val="cente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投标人可结合招标文件及自身情况提供必要的资料。</w:t>
      </w:r>
    </w:p>
    <w:p>
      <w:pPr>
        <w:jc w:val="center"/>
        <w:rPr>
          <w:rFonts w:hint="eastAsia" w:ascii="仿宋_GB2312" w:eastAsia="仿宋_GB2312"/>
          <w:color w:val="auto"/>
          <w:sz w:val="30"/>
          <w:szCs w:val="30"/>
          <w:highlight w:val="none"/>
        </w:rPr>
      </w:pPr>
    </w:p>
    <w:p>
      <w:pPr>
        <w:jc w:val="center"/>
        <w:rPr>
          <w:rFonts w:ascii="仿宋_GB2312" w:eastAsia="仿宋_GB2312"/>
          <w:color w:val="auto"/>
          <w:sz w:val="30"/>
          <w:szCs w:val="30"/>
          <w:highlight w:val="none"/>
        </w:rPr>
      </w:pPr>
      <w:r>
        <w:rPr>
          <w:rFonts w:hint="eastAsia" w:ascii="仿宋_GB2312" w:eastAsia="仿宋_GB2312"/>
          <w:color w:val="auto"/>
          <w:sz w:val="30"/>
          <w:szCs w:val="30"/>
          <w:highlight w:val="none"/>
        </w:rPr>
        <w:t>2、</w:t>
      </w:r>
      <w:r>
        <w:rPr>
          <w:rFonts w:hint="eastAsia" w:ascii="仿宋_GB2312" w:hAnsi="仿宋_GB2312" w:eastAsia="仿宋_GB2312" w:cs="仿宋_GB2312"/>
          <w:color w:val="auto"/>
          <w:sz w:val="30"/>
          <w:szCs w:val="30"/>
          <w:highlight w:val="none"/>
        </w:rPr>
        <w:t>营业执照、事业单位、社团组织、民办非企业等登记证副本彩色扫描件</w:t>
      </w:r>
    </w:p>
    <w:p>
      <w:pPr>
        <w:jc w:val="center"/>
        <w:rPr>
          <w:rFonts w:hint="eastAsia" w:ascii="仿宋_GB2312" w:hAnsi="仿宋_GB2312" w:eastAsia="仿宋_GB2312" w:cs="仿宋_GB2312"/>
          <w:color w:val="auto"/>
          <w:sz w:val="30"/>
          <w:szCs w:val="30"/>
          <w:highlight w:val="none"/>
        </w:rPr>
      </w:pPr>
    </w:p>
    <w:p>
      <w:pPr>
        <w:jc w:val="center"/>
        <w:rPr>
          <w:rFonts w:hint="eastAsia" w:ascii="仿宋_GB2312" w:hAnsi="仿宋_GB2312" w:eastAsia="仿宋_GB2312" w:cs="仿宋_GB2312"/>
          <w:i/>
          <w:iCs/>
          <w:color w:val="auto"/>
          <w:sz w:val="30"/>
          <w:szCs w:val="30"/>
          <w:highlight w:val="none"/>
        </w:rPr>
      </w:pPr>
    </w:p>
    <w:p>
      <w:pPr>
        <w:tabs>
          <w:tab w:val="left" w:pos="1575"/>
        </w:tabs>
        <w:spacing w:line="500" w:lineRule="exact"/>
        <w:jc w:val="center"/>
        <w:rPr>
          <w:rFonts w:ascii="仿宋_GB2312" w:eastAsia="仿宋_GB2312"/>
          <w:color w:val="auto"/>
          <w:sz w:val="32"/>
          <w:highlight w:val="none"/>
        </w:rPr>
      </w:pPr>
      <w:r>
        <w:rPr>
          <w:rFonts w:hint="eastAsia" w:ascii="仿宋_GB2312" w:hAnsi="仿宋_GB2312" w:eastAsia="仿宋_GB2312" w:cs="仿宋_GB2312"/>
          <w:color w:val="auto"/>
          <w:sz w:val="30"/>
          <w:szCs w:val="30"/>
          <w:highlight w:val="none"/>
        </w:rPr>
        <w:t>3、</w:t>
      </w:r>
      <w:r>
        <w:rPr>
          <w:rFonts w:hint="eastAsia" w:ascii="仿宋_GB2312" w:eastAsia="仿宋_GB2312"/>
          <w:color w:val="auto"/>
          <w:sz w:val="32"/>
          <w:highlight w:val="none"/>
        </w:rPr>
        <w:t>财务状况表</w:t>
      </w:r>
    </w:p>
    <w:p>
      <w:pPr>
        <w:jc w:val="center"/>
        <w:rPr>
          <w:rFonts w:hint="eastAsia" w:ascii="仿宋_GB2312" w:eastAsia="仿宋_GB2312"/>
          <w:color w:val="auto"/>
          <w:sz w:val="32"/>
          <w:szCs w:val="22"/>
          <w:highlight w:val="none"/>
        </w:rPr>
      </w:pPr>
      <w:r>
        <w:rPr>
          <w:rFonts w:hint="eastAsia" w:ascii="仿宋_GB2312" w:eastAsia="仿宋_GB2312"/>
          <w:color w:val="auto"/>
          <w:sz w:val="32"/>
          <w:highlight w:val="none"/>
        </w:rPr>
        <w:t>提供最近1个年度财务报表，不足1年的提供最近月度财务报表，</w:t>
      </w:r>
      <w:r>
        <w:rPr>
          <w:rFonts w:hint="eastAsia" w:ascii="仿宋_GB2312" w:eastAsia="仿宋_GB2312"/>
          <w:color w:val="auto"/>
          <w:sz w:val="32"/>
          <w:szCs w:val="22"/>
          <w:highlight w:val="none"/>
        </w:rPr>
        <w:t>包括资产负债表、现金流量表、利润表等</w:t>
      </w:r>
      <w:r>
        <w:rPr>
          <w:rFonts w:hint="eastAsia" w:ascii="仿宋_GB2312" w:hAnsi="仿宋_GB2312" w:eastAsia="仿宋_GB2312" w:cs="仿宋_GB2312"/>
          <w:color w:val="auto"/>
          <w:sz w:val="30"/>
          <w:szCs w:val="30"/>
          <w:highlight w:val="none"/>
        </w:rPr>
        <w:t>扫描件</w:t>
      </w:r>
      <w:r>
        <w:rPr>
          <w:rFonts w:hint="eastAsia" w:ascii="仿宋_GB2312" w:eastAsia="仿宋_GB2312"/>
          <w:color w:val="auto"/>
          <w:sz w:val="32"/>
          <w:szCs w:val="22"/>
          <w:highlight w:val="none"/>
        </w:rPr>
        <w:t>。</w:t>
      </w:r>
    </w:p>
    <w:p>
      <w:pPr>
        <w:jc w:val="center"/>
        <w:rPr>
          <w:rFonts w:hint="eastAsia" w:ascii="仿宋_GB2312" w:eastAsia="仿宋_GB2312"/>
          <w:color w:val="auto"/>
          <w:sz w:val="32"/>
          <w:szCs w:val="22"/>
          <w:highlight w:val="none"/>
        </w:rPr>
      </w:pPr>
    </w:p>
    <w:p>
      <w:pPr>
        <w:jc w:val="center"/>
        <w:rPr>
          <w:rFonts w:hint="eastAsia" w:ascii="仿宋_GB2312" w:eastAsia="仿宋_GB2312"/>
          <w:b/>
          <w:bCs/>
          <w:color w:val="auto"/>
          <w:sz w:val="32"/>
          <w:szCs w:val="22"/>
          <w:highlight w:val="none"/>
        </w:rPr>
      </w:pPr>
    </w:p>
    <w:p>
      <w:pPr>
        <w:tabs>
          <w:tab w:val="left" w:pos="1575"/>
        </w:tabs>
        <w:spacing w:line="500" w:lineRule="exact"/>
        <w:jc w:val="center"/>
        <w:rPr>
          <w:rFonts w:hint="eastAsia" w:ascii="仿宋_GB2312" w:eastAsia="仿宋_GB2312"/>
          <w:b/>
          <w:color w:val="auto"/>
          <w:sz w:val="32"/>
          <w:highlight w:val="none"/>
        </w:rPr>
      </w:pPr>
      <w:r>
        <w:rPr>
          <w:rFonts w:hint="eastAsia" w:ascii="宋体" w:hAnsi="宋体"/>
          <w:b/>
          <w:bCs/>
          <w:color w:val="auto"/>
          <w:sz w:val="30"/>
          <w:szCs w:val="30"/>
          <w:highlight w:val="none"/>
        </w:rPr>
        <w:br w:type="page"/>
      </w:r>
      <w:r>
        <w:rPr>
          <w:rFonts w:hint="eastAsia" w:ascii="仿宋_GB2312" w:eastAsia="仿宋_GB2312"/>
          <w:b/>
          <w:bCs/>
          <w:color w:val="auto"/>
          <w:sz w:val="32"/>
          <w:highlight w:val="none"/>
        </w:rPr>
        <w:t>4、</w:t>
      </w:r>
      <w:r>
        <w:rPr>
          <w:rFonts w:hint="eastAsia" w:ascii="仿宋_GB2312" w:eastAsia="仿宋_GB2312"/>
          <w:b/>
          <w:color w:val="auto"/>
          <w:sz w:val="32"/>
          <w:highlight w:val="none"/>
        </w:rPr>
        <w:t>法定代表人授权书</w:t>
      </w:r>
    </w:p>
    <w:p>
      <w:pPr>
        <w:tabs>
          <w:tab w:val="left" w:pos="1575"/>
        </w:tabs>
        <w:spacing w:line="500" w:lineRule="exact"/>
        <w:jc w:val="center"/>
        <w:rPr>
          <w:rFonts w:hint="eastAsia" w:ascii="仿宋_GB2312" w:eastAsia="仿宋_GB2312"/>
          <w:color w:val="auto"/>
          <w:sz w:val="32"/>
          <w:highlight w:val="none"/>
        </w:rPr>
      </w:pPr>
    </w:p>
    <w:p>
      <w:pPr>
        <w:spacing w:line="500" w:lineRule="exact"/>
        <w:jc w:val="left"/>
        <w:rPr>
          <w:rFonts w:hint="eastAsia" w:ascii="宋体" w:hAnsi="宋体"/>
          <w:color w:val="auto"/>
          <w:sz w:val="24"/>
          <w:szCs w:val="24"/>
          <w:highlight w:val="none"/>
          <w:u w:val="singl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宁波市政府采购中心</w:t>
      </w:r>
    </w:p>
    <w:p>
      <w:pPr>
        <w:spacing w:line="500" w:lineRule="exact"/>
        <w:jc w:val="left"/>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XXXXX</w:t>
      </w:r>
      <w:r>
        <w:rPr>
          <w:rFonts w:hint="eastAsia" w:ascii="宋体" w:hAnsi="宋体"/>
          <w:color w:val="auto"/>
          <w:sz w:val="24"/>
          <w:szCs w:val="24"/>
          <w:highlight w:val="none"/>
        </w:rPr>
        <w:t>（投标单位全称）法定代表人</w:t>
      </w:r>
      <w:r>
        <w:rPr>
          <w:rFonts w:hint="eastAsia" w:ascii="宋体" w:hAnsi="宋体"/>
          <w:color w:val="auto"/>
          <w:sz w:val="24"/>
          <w:szCs w:val="24"/>
          <w:highlight w:val="none"/>
          <w:u w:val="single"/>
        </w:rPr>
        <w:t xml:space="preserve">XXX </w:t>
      </w:r>
      <w:r>
        <w:rPr>
          <w:rFonts w:hint="eastAsia" w:ascii="宋体" w:hAnsi="宋体"/>
          <w:color w:val="auto"/>
          <w:sz w:val="24"/>
          <w:szCs w:val="24"/>
          <w:highlight w:val="none"/>
        </w:rPr>
        <w:t>（姓名）</w:t>
      </w:r>
      <w:r>
        <w:rPr>
          <w:rFonts w:hint="eastAsia" w:ascii="宋体" w:hAnsi="宋体"/>
          <w:color w:val="auto"/>
          <w:sz w:val="24"/>
          <w:szCs w:val="24"/>
          <w:highlight w:val="none"/>
          <w:u w:val="single"/>
        </w:rPr>
        <w:t>XXXXX</w:t>
      </w:r>
      <w:r>
        <w:rPr>
          <w:rFonts w:hint="eastAsia" w:ascii="宋体" w:hAnsi="宋体"/>
          <w:color w:val="auto"/>
          <w:sz w:val="24"/>
          <w:szCs w:val="24"/>
          <w:highlight w:val="none"/>
        </w:rPr>
        <w:t>（身份证件号码）授权</w:t>
      </w:r>
      <w:r>
        <w:rPr>
          <w:rFonts w:hint="eastAsia" w:ascii="宋体" w:hAnsi="宋体"/>
          <w:color w:val="auto"/>
          <w:sz w:val="24"/>
          <w:szCs w:val="24"/>
          <w:highlight w:val="none"/>
          <w:u w:val="single"/>
        </w:rPr>
        <w:t>XXX</w:t>
      </w:r>
      <w:r>
        <w:rPr>
          <w:rFonts w:hint="eastAsia" w:ascii="宋体" w:hAnsi="宋体"/>
          <w:color w:val="auto"/>
          <w:sz w:val="24"/>
          <w:szCs w:val="24"/>
          <w:highlight w:val="none"/>
        </w:rPr>
        <w:t>（姓名、职务）</w:t>
      </w:r>
      <w:r>
        <w:rPr>
          <w:rFonts w:hint="eastAsia" w:ascii="宋体" w:hAnsi="宋体"/>
          <w:color w:val="auto"/>
          <w:sz w:val="24"/>
          <w:szCs w:val="24"/>
          <w:highlight w:val="none"/>
          <w:u w:val="single"/>
        </w:rPr>
        <w:t>XXXXX</w:t>
      </w:r>
      <w:r>
        <w:rPr>
          <w:rFonts w:hint="eastAsia" w:ascii="宋体" w:hAnsi="宋体"/>
          <w:color w:val="auto"/>
          <w:sz w:val="24"/>
          <w:szCs w:val="24"/>
          <w:highlight w:val="none"/>
        </w:rPr>
        <w:t xml:space="preserve">（身份证件号码）为委托代理人，参加贵方组织的 </w:t>
      </w:r>
      <w:r>
        <w:rPr>
          <w:rFonts w:hint="eastAsia" w:ascii="宋体" w:hAnsi="宋体"/>
          <w:color w:val="auto"/>
          <w:sz w:val="24"/>
          <w:szCs w:val="24"/>
          <w:highlight w:val="none"/>
          <w:u w:val="single"/>
        </w:rPr>
        <w:t xml:space="preserve">XXXX </w:t>
      </w:r>
      <w:r>
        <w:rPr>
          <w:rFonts w:hint="eastAsia" w:ascii="宋体" w:hAnsi="宋体"/>
          <w:color w:val="auto"/>
          <w:sz w:val="24"/>
          <w:szCs w:val="24"/>
          <w:highlight w:val="none"/>
        </w:rPr>
        <w:t>项目（采购编号</w:t>
      </w:r>
      <w:r>
        <w:rPr>
          <w:rFonts w:hint="eastAsia" w:ascii="宋体" w:hAnsi="宋体"/>
          <w:color w:val="auto"/>
          <w:sz w:val="24"/>
          <w:szCs w:val="24"/>
          <w:highlight w:val="none"/>
          <w:u w:val="single"/>
        </w:rPr>
        <w:t>XXXXX</w:t>
      </w:r>
      <w:r>
        <w:rPr>
          <w:rFonts w:hint="eastAsia" w:ascii="宋体" w:hAnsi="宋体"/>
          <w:color w:val="auto"/>
          <w:sz w:val="24"/>
          <w:szCs w:val="24"/>
          <w:highlight w:val="none"/>
        </w:rPr>
        <w:t>）政府采购活动，全权处理政府采购活动中的一切事宜。</w:t>
      </w:r>
    </w:p>
    <w:p>
      <w:pPr>
        <w:spacing w:line="500" w:lineRule="exact"/>
        <w:jc w:val="left"/>
        <w:rPr>
          <w:rFonts w:hint="eastAsia" w:ascii="宋体" w:hAnsi="宋体"/>
          <w:color w:val="auto"/>
          <w:sz w:val="24"/>
          <w:szCs w:val="24"/>
          <w:highlight w:val="none"/>
        </w:rPr>
      </w:pPr>
      <w:r>
        <w:rPr>
          <w:rFonts w:hint="eastAsia" w:ascii="宋体" w:hAnsi="宋体"/>
          <w:color w:val="auto"/>
          <w:sz w:val="24"/>
          <w:szCs w:val="24"/>
          <w:highlight w:val="none"/>
        </w:rPr>
        <w:t xml:space="preserve">    本授权书于</w:t>
      </w:r>
      <w:r>
        <w:rPr>
          <w:rFonts w:hint="eastAsia" w:ascii="宋体" w:hAnsi="宋体"/>
          <w:color w:val="auto"/>
          <w:sz w:val="24"/>
          <w:szCs w:val="24"/>
          <w:highlight w:val="none"/>
          <w:u w:val="single"/>
        </w:rPr>
        <w:t>XXXX</w:t>
      </w:r>
      <w:r>
        <w:rPr>
          <w:rFonts w:hint="eastAsia" w:ascii="宋体" w:hAnsi="宋体"/>
          <w:color w:val="auto"/>
          <w:sz w:val="24"/>
          <w:szCs w:val="24"/>
          <w:highlight w:val="none"/>
        </w:rPr>
        <w:t>年</w:t>
      </w:r>
      <w:r>
        <w:rPr>
          <w:rFonts w:hint="eastAsia" w:ascii="宋体" w:hAnsi="宋体"/>
          <w:color w:val="auto"/>
          <w:sz w:val="24"/>
          <w:szCs w:val="24"/>
          <w:highlight w:val="none"/>
          <w:u w:val="single"/>
        </w:rPr>
        <w:t>XX</w:t>
      </w:r>
      <w:r>
        <w:rPr>
          <w:rFonts w:hint="eastAsia" w:ascii="宋体" w:hAnsi="宋体"/>
          <w:color w:val="auto"/>
          <w:sz w:val="24"/>
          <w:szCs w:val="24"/>
          <w:highlight w:val="none"/>
        </w:rPr>
        <w:t>月</w:t>
      </w:r>
      <w:r>
        <w:rPr>
          <w:rFonts w:hint="eastAsia" w:ascii="宋体" w:hAnsi="宋体"/>
          <w:color w:val="auto"/>
          <w:sz w:val="24"/>
          <w:szCs w:val="24"/>
          <w:highlight w:val="none"/>
          <w:u w:val="single"/>
        </w:rPr>
        <w:t>XX</w:t>
      </w:r>
      <w:r>
        <w:rPr>
          <w:rFonts w:hint="eastAsia" w:ascii="宋体" w:hAnsi="宋体"/>
          <w:color w:val="auto"/>
          <w:sz w:val="24"/>
          <w:szCs w:val="24"/>
          <w:highlight w:val="none"/>
        </w:rPr>
        <w:t>日签署生效，特此声明。</w:t>
      </w:r>
    </w:p>
    <w:p>
      <w:pPr>
        <w:spacing w:line="500" w:lineRule="exact"/>
        <w:jc w:val="left"/>
        <w:rPr>
          <w:rFonts w:hint="eastAsia" w:ascii="宋体" w:hAnsi="宋体"/>
          <w:color w:val="auto"/>
          <w:sz w:val="24"/>
          <w:szCs w:val="24"/>
          <w:highlight w:val="none"/>
        </w:rPr>
      </w:pPr>
    </w:p>
    <w:p>
      <w:pPr>
        <w:spacing w:line="500" w:lineRule="exact"/>
        <w:jc w:val="left"/>
        <w:rPr>
          <w:rFonts w:hint="eastAsia" w:ascii="宋体" w:hAnsi="宋体"/>
          <w:color w:val="auto"/>
          <w:sz w:val="24"/>
          <w:szCs w:val="24"/>
          <w:highlight w:val="none"/>
        </w:rPr>
      </w:pPr>
      <w:r>
        <w:rPr>
          <w:rFonts w:hint="eastAsia" w:ascii="宋体" w:hAnsi="宋体"/>
          <w:color w:val="auto"/>
          <w:sz w:val="24"/>
          <w:szCs w:val="24"/>
          <w:highlight w:val="none"/>
        </w:rPr>
        <w:t>投标单位全称（盖标准公章）：</w:t>
      </w:r>
    </w:p>
    <w:p>
      <w:pPr>
        <w:spacing w:line="500" w:lineRule="exact"/>
        <w:jc w:val="left"/>
        <w:rPr>
          <w:rFonts w:hint="eastAsia" w:ascii="宋体" w:hAnsi="宋体"/>
          <w:color w:val="auto"/>
          <w:sz w:val="24"/>
          <w:szCs w:val="24"/>
          <w:highlight w:val="none"/>
        </w:rPr>
      </w:pPr>
    </w:p>
    <w:p>
      <w:pPr>
        <w:spacing w:line="500" w:lineRule="exact"/>
        <w:jc w:val="left"/>
        <w:rPr>
          <w:rFonts w:hint="eastAsia" w:ascii="宋体" w:hAnsi="宋体"/>
          <w:color w:val="auto"/>
          <w:sz w:val="24"/>
          <w:szCs w:val="24"/>
          <w:highlight w:val="none"/>
        </w:rPr>
      </w:pPr>
      <w:r>
        <w:rPr>
          <w:rFonts w:hint="eastAsia" w:ascii="宋体" w:hAnsi="宋体"/>
          <w:color w:val="auto"/>
          <w:sz w:val="24"/>
          <w:szCs w:val="24"/>
          <w:highlight w:val="none"/>
        </w:rPr>
        <w:t>法定代表人（签字或签章）：</w:t>
      </w:r>
    </w:p>
    <w:p>
      <w:pPr>
        <w:spacing w:line="500" w:lineRule="exact"/>
        <w:jc w:val="left"/>
        <w:rPr>
          <w:rFonts w:hint="eastAsia" w:ascii="宋体" w:hAnsi="宋体"/>
          <w:color w:val="auto"/>
          <w:sz w:val="24"/>
          <w:szCs w:val="24"/>
          <w:highlight w:val="none"/>
        </w:rPr>
      </w:pPr>
    </w:p>
    <w:p>
      <w:pPr>
        <w:spacing w:line="500" w:lineRule="exact"/>
        <w:jc w:val="left"/>
        <w:rPr>
          <w:rFonts w:hint="eastAsia" w:ascii="宋体" w:hAnsi="宋体"/>
          <w:color w:val="auto"/>
          <w:sz w:val="24"/>
          <w:szCs w:val="24"/>
          <w:highlight w:val="none"/>
        </w:rPr>
      </w:pPr>
      <w:r>
        <w:rPr>
          <w:rFonts w:hint="eastAsia" w:ascii="宋体" w:hAnsi="宋体"/>
          <w:color w:val="auto"/>
          <w:sz w:val="24"/>
          <w:szCs w:val="24"/>
          <w:highlight w:val="none"/>
        </w:rPr>
        <w:t>日期：</w:t>
      </w:r>
    </w:p>
    <w:p>
      <w:pPr>
        <w:spacing w:line="5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w:t>
      </w:r>
    </w:p>
    <w:p>
      <w:pPr>
        <w:spacing w:line="5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w:t>
      </w:r>
    </w:p>
    <w:p>
      <w:pPr>
        <w:spacing w:line="500" w:lineRule="exact"/>
        <w:rPr>
          <w:rFonts w:hint="eastAsia" w:ascii="宋体" w:hAnsi="宋体"/>
          <w:color w:val="auto"/>
          <w:sz w:val="24"/>
          <w:szCs w:val="24"/>
          <w:highlight w:val="none"/>
        </w:rPr>
      </w:pPr>
    </w:p>
    <w:p>
      <w:pPr>
        <w:spacing w:line="500" w:lineRule="exact"/>
        <w:rPr>
          <w:rFonts w:hint="eastAsia" w:ascii="宋体" w:hAnsi="宋体"/>
          <w:color w:val="auto"/>
          <w:sz w:val="24"/>
          <w:szCs w:val="24"/>
          <w:highlight w:val="none"/>
        </w:rPr>
      </w:pPr>
    </w:p>
    <w:p>
      <w:pPr>
        <w:spacing w:line="500" w:lineRule="exact"/>
        <w:rPr>
          <w:rFonts w:hint="eastAsia" w:ascii="宋体" w:hAnsi="宋体"/>
          <w:color w:val="auto"/>
          <w:sz w:val="24"/>
          <w:szCs w:val="24"/>
          <w:highlight w:val="none"/>
        </w:rPr>
      </w:pPr>
    </w:p>
    <w:p>
      <w:pPr>
        <w:spacing w:line="500" w:lineRule="exact"/>
        <w:rPr>
          <w:rFonts w:hint="eastAsia" w:ascii="宋体" w:hAnsi="宋体"/>
          <w:color w:val="auto"/>
          <w:sz w:val="24"/>
          <w:szCs w:val="24"/>
          <w:highlight w:val="none"/>
        </w:rPr>
      </w:pPr>
    </w:p>
    <w:p>
      <w:pPr>
        <w:spacing w:line="500" w:lineRule="exact"/>
        <w:rPr>
          <w:rFonts w:hint="eastAsia" w:ascii="宋体" w:hAnsi="宋体"/>
          <w:color w:val="auto"/>
          <w:sz w:val="24"/>
          <w:szCs w:val="24"/>
          <w:highlight w:val="none"/>
        </w:rPr>
      </w:pPr>
    </w:p>
    <w:p>
      <w:pPr>
        <w:spacing w:line="500" w:lineRule="exact"/>
        <w:rPr>
          <w:rFonts w:hint="eastAsia" w:ascii="宋体" w:hAnsi="宋体"/>
          <w:color w:val="auto"/>
          <w:sz w:val="24"/>
          <w:szCs w:val="24"/>
          <w:highlight w:val="none"/>
        </w:rPr>
      </w:pPr>
    </w:p>
    <w:p>
      <w:pPr>
        <w:spacing w:line="500" w:lineRule="exact"/>
        <w:rPr>
          <w:rFonts w:hint="eastAsia" w:ascii="宋体" w:hAnsi="宋体"/>
          <w:color w:val="auto"/>
          <w:sz w:val="24"/>
          <w:szCs w:val="24"/>
          <w:highlight w:val="none"/>
        </w:rPr>
      </w:pPr>
    </w:p>
    <w:p>
      <w:pPr>
        <w:spacing w:line="360" w:lineRule="auto"/>
        <w:ind w:firstLine="480"/>
        <w:rPr>
          <w:rFonts w:ascii="仿宋_GB2312" w:hAnsi="宋体" w:eastAsia="仿宋_GB2312"/>
          <w:b/>
          <w:i/>
          <w:iCs/>
          <w:color w:val="auto"/>
          <w:sz w:val="24"/>
          <w:highlight w:val="none"/>
        </w:rPr>
      </w:pPr>
      <w:r>
        <w:rPr>
          <w:rFonts w:hint="eastAsia" w:ascii="仿宋_GB2312" w:hAnsi="宋体" w:eastAsia="仿宋_GB2312"/>
          <w:b/>
          <w:i/>
          <w:iCs/>
          <w:color w:val="auto"/>
          <w:sz w:val="24"/>
          <w:highlight w:val="none"/>
        </w:rPr>
        <w:t>注：1.法定代表人作为投标授权代表的，本表无需提供。2、</w:t>
      </w:r>
      <w:r>
        <w:rPr>
          <w:rFonts w:hint="eastAsia" w:ascii="宋体" w:hAnsi="宋体"/>
          <w:b/>
          <w:i/>
          <w:iCs/>
          <w:color w:val="auto"/>
          <w:sz w:val="24"/>
          <w:szCs w:val="24"/>
          <w:highlight w:val="none"/>
        </w:rPr>
        <w:t>为确保电子投标文件的合法性、有效性和完整性，本授权书填写完成后须先进行纸质打印，加盖标准公章、法定代表人签字或签章后，以彩色扫描件形式提交上传，否则视为无效投标。</w:t>
      </w:r>
    </w:p>
    <w:p>
      <w:pPr>
        <w:tabs>
          <w:tab w:val="left" w:pos="1575"/>
        </w:tabs>
        <w:spacing w:line="500" w:lineRule="exact"/>
        <w:jc w:val="center"/>
        <w:rPr>
          <w:rFonts w:hint="eastAsia" w:ascii="仿宋_GB2312" w:eastAsia="仿宋_GB2312"/>
          <w:b/>
          <w:bCs/>
          <w:color w:val="auto"/>
          <w:sz w:val="32"/>
          <w:highlight w:val="none"/>
        </w:rPr>
      </w:pPr>
      <w:r>
        <w:rPr>
          <w:rFonts w:hint="eastAsia" w:ascii="仿宋_GB2312" w:eastAsia="仿宋_GB2312"/>
          <w:b/>
          <w:bCs/>
          <w:color w:val="auto"/>
          <w:sz w:val="32"/>
          <w:highlight w:val="none"/>
        </w:rPr>
        <w:br w:type="page"/>
      </w:r>
      <w:r>
        <w:rPr>
          <w:rFonts w:hint="eastAsia" w:ascii="仿宋_GB2312" w:eastAsia="仿宋_GB2312"/>
          <w:b/>
          <w:bCs/>
          <w:color w:val="auto"/>
          <w:sz w:val="32"/>
          <w:highlight w:val="none"/>
        </w:rPr>
        <w:t>法定代表人、被授权人身份证明扫描件</w:t>
      </w:r>
    </w:p>
    <w:p>
      <w:pPr>
        <w:tabs>
          <w:tab w:val="left" w:pos="1575"/>
        </w:tabs>
        <w:spacing w:line="500" w:lineRule="exact"/>
        <w:jc w:val="center"/>
        <w:rPr>
          <w:rFonts w:hint="eastAsia" w:ascii="仿宋_GB2312" w:eastAsia="仿宋_GB2312"/>
          <w:b/>
          <w:bCs/>
          <w:color w:val="auto"/>
          <w:sz w:val="32"/>
          <w:highlight w:val="none"/>
        </w:rPr>
      </w:pPr>
    </w:p>
    <w:p>
      <w:pPr>
        <w:tabs>
          <w:tab w:val="left" w:pos="1575"/>
        </w:tabs>
        <w:spacing w:line="500" w:lineRule="exact"/>
        <w:rPr>
          <w:rFonts w:hint="eastAsia" w:ascii="仿宋_GB2312" w:eastAsia="仿宋_GB2312"/>
          <w:b/>
          <w:bCs/>
          <w:color w:val="auto"/>
          <w:sz w:val="32"/>
          <w:highlight w:val="none"/>
        </w:rPr>
      </w:pPr>
    </w:p>
    <w:p>
      <w:pPr>
        <w:tabs>
          <w:tab w:val="left" w:pos="1575"/>
        </w:tabs>
        <w:spacing w:line="500" w:lineRule="exact"/>
        <w:rPr>
          <w:rFonts w:hint="eastAsia" w:ascii="仿宋_GB2312" w:eastAsia="仿宋_GB2312"/>
          <w:b/>
          <w:bCs/>
          <w:color w:val="auto"/>
          <w:sz w:val="32"/>
          <w:highlight w:val="none"/>
        </w:rPr>
      </w:pPr>
    </w:p>
    <w:p>
      <w:pPr>
        <w:tabs>
          <w:tab w:val="left" w:pos="1575"/>
        </w:tabs>
        <w:spacing w:line="500" w:lineRule="exact"/>
        <w:rPr>
          <w:rFonts w:hint="eastAsia" w:ascii="仿宋_GB2312" w:eastAsia="仿宋_GB2312"/>
          <w:b/>
          <w:bCs/>
          <w:color w:val="auto"/>
          <w:sz w:val="32"/>
          <w:highlight w:val="none"/>
        </w:rPr>
      </w:pPr>
    </w:p>
    <w:p>
      <w:pPr>
        <w:tabs>
          <w:tab w:val="left" w:pos="1575"/>
        </w:tabs>
        <w:spacing w:line="500" w:lineRule="exact"/>
        <w:rPr>
          <w:rFonts w:hint="eastAsia" w:ascii="仿宋_GB2312" w:eastAsia="仿宋_GB2312"/>
          <w:b/>
          <w:bCs/>
          <w:color w:val="auto"/>
          <w:sz w:val="32"/>
          <w:highlight w:val="none"/>
        </w:rPr>
      </w:pPr>
    </w:p>
    <w:p>
      <w:pPr>
        <w:tabs>
          <w:tab w:val="left" w:pos="1575"/>
        </w:tabs>
        <w:spacing w:line="500" w:lineRule="exact"/>
        <w:rPr>
          <w:rFonts w:hint="eastAsia" w:ascii="仿宋_GB2312" w:eastAsia="仿宋_GB2312"/>
          <w:b/>
          <w:bCs/>
          <w:color w:val="auto"/>
          <w:sz w:val="32"/>
          <w:highlight w:val="none"/>
        </w:rPr>
      </w:pPr>
    </w:p>
    <w:p>
      <w:pPr>
        <w:tabs>
          <w:tab w:val="left" w:pos="1575"/>
        </w:tabs>
        <w:spacing w:line="500" w:lineRule="exact"/>
        <w:rPr>
          <w:rFonts w:hint="eastAsia" w:ascii="仿宋_GB2312" w:eastAsia="仿宋_GB2312"/>
          <w:b/>
          <w:bCs/>
          <w:color w:val="auto"/>
          <w:sz w:val="32"/>
          <w:highlight w:val="none"/>
        </w:rPr>
      </w:pPr>
    </w:p>
    <w:p>
      <w:pPr>
        <w:tabs>
          <w:tab w:val="left" w:pos="1575"/>
        </w:tabs>
        <w:spacing w:line="500" w:lineRule="exact"/>
        <w:rPr>
          <w:rFonts w:hint="eastAsia" w:ascii="仿宋_GB2312" w:eastAsia="仿宋_GB2312"/>
          <w:b/>
          <w:bCs/>
          <w:color w:val="auto"/>
          <w:sz w:val="32"/>
          <w:highlight w:val="none"/>
        </w:rPr>
      </w:pPr>
    </w:p>
    <w:p>
      <w:pPr>
        <w:tabs>
          <w:tab w:val="left" w:pos="1575"/>
        </w:tabs>
        <w:spacing w:line="500" w:lineRule="exact"/>
        <w:rPr>
          <w:rFonts w:hint="eastAsia" w:ascii="仿宋_GB2312" w:eastAsia="仿宋_GB2312"/>
          <w:b/>
          <w:bCs/>
          <w:color w:val="auto"/>
          <w:sz w:val="32"/>
          <w:highlight w:val="none"/>
        </w:rPr>
      </w:pPr>
    </w:p>
    <w:p>
      <w:pPr>
        <w:tabs>
          <w:tab w:val="left" w:pos="1575"/>
        </w:tabs>
        <w:spacing w:line="500" w:lineRule="exact"/>
        <w:rPr>
          <w:rFonts w:hint="eastAsia" w:ascii="仿宋_GB2312" w:eastAsia="仿宋_GB2312"/>
          <w:b/>
          <w:bCs/>
          <w:color w:val="auto"/>
          <w:sz w:val="32"/>
          <w:highlight w:val="none"/>
        </w:rPr>
      </w:pPr>
    </w:p>
    <w:p>
      <w:pPr>
        <w:tabs>
          <w:tab w:val="left" w:pos="1575"/>
        </w:tabs>
        <w:spacing w:line="500" w:lineRule="exact"/>
        <w:rPr>
          <w:rFonts w:hint="eastAsia" w:ascii="仿宋_GB2312" w:eastAsia="仿宋_GB2312"/>
          <w:b/>
          <w:bCs/>
          <w:color w:val="auto"/>
          <w:sz w:val="32"/>
          <w:highlight w:val="none"/>
        </w:rPr>
      </w:pPr>
    </w:p>
    <w:p>
      <w:pPr>
        <w:tabs>
          <w:tab w:val="left" w:pos="1575"/>
        </w:tabs>
        <w:spacing w:line="500" w:lineRule="exact"/>
        <w:rPr>
          <w:rFonts w:hint="eastAsia" w:ascii="仿宋_GB2312" w:eastAsia="仿宋_GB2312"/>
          <w:b/>
          <w:bCs/>
          <w:color w:val="auto"/>
          <w:sz w:val="32"/>
          <w:highlight w:val="none"/>
        </w:rPr>
      </w:pPr>
    </w:p>
    <w:p>
      <w:pPr>
        <w:tabs>
          <w:tab w:val="left" w:pos="1575"/>
        </w:tabs>
        <w:spacing w:line="500" w:lineRule="exact"/>
        <w:rPr>
          <w:rFonts w:hint="eastAsia" w:ascii="仿宋_GB2312" w:eastAsia="仿宋_GB2312"/>
          <w:b/>
          <w:bCs/>
          <w:color w:val="auto"/>
          <w:sz w:val="32"/>
          <w:highlight w:val="none"/>
        </w:rPr>
      </w:pPr>
    </w:p>
    <w:p>
      <w:pPr>
        <w:tabs>
          <w:tab w:val="left" w:pos="1575"/>
        </w:tabs>
        <w:spacing w:line="500" w:lineRule="exact"/>
        <w:rPr>
          <w:rFonts w:hint="eastAsia" w:ascii="仿宋_GB2312" w:eastAsia="仿宋_GB2312"/>
          <w:b/>
          <w:bCs/>
          <w:color w:val="auto"/>
          <w:sz w:val="32"/>
          <w:highlight w:val="none"/>
        </w:rPr>
      </w:pPr>
    </w:p>
    <w:p>
      <w:pPr>
        <w:tabs>
          <w:tab w:val="left" w:pos="1575"/>
        </w:tabs>
        <w:spacing w:line="500" w:lineRule="exact"/>
        <w:rPr>
          <w:rFonts w:hint="eastAsia" w:ascii="仿宋_GB2312" w:eastAsia="仿宋_GB2312"/>
          <w:b/>
          <w:bCs/>
          <w:color w:val="auto"/>
          <w:sz w:val="32"/>
          <w:highlight w:val="none"/>
        </w:rPr>
      </w:pPr>
    </w:p>
    <w:p>
      <w:pPr>
        <w:tabs>
          <w:tab w:val="left" w:pos="1575"/>
        </w:tabs>
        <w:spacing w:line="500" w:lineRule="exact"/>
        <w:rPr>
          <w:rFonts w:hint="eastAsia" w:ascii="仿宋_GB2312" w:eastAsia="仿宋_GB2312"/>
          <w:b/>
          <w:bCs/>
          <w:color w:val="auto"/>
          <w:sz w:val="32"/>
          <w:highlight w:val="none"/>
        </w:rPr>
      </w:pPr>
    </w:p>
    <w:p>
      <w:pPr>
        <w:tabs>
          <w:tab w:val="left" w:pos="1575"/>
        </w:tabs>
        <w:spacing w:line="500" w:lineRule="exact"/>
        <w:rPr>
          <w:rFonts w:hint="eastAsia" w:ascii="仿宋_GB2312" w:eastAsia="仿宋_GB2312"/>
          <w:b/>
          <w:bCs/>
          <w:color w:val="auto"/>
          <w:sz w:val="32"/>
          <w:highlight w:val="none"/>
        </w:rPr>
      </w:pPr>
    </w:p>
    <w:p>
      <w:pPr>
        <w:tabs>
          <w:tab w:val="left" w:pos="1575"/>
        </w:tabs>
        <w:spacing w:line="500" w:lineRule="exact"/>
        <w:rPr>
          <w:rFonts w:hint="eastAsia" w:ascii="仿宋_GB2312" w:eastAsia="仿宋_GB2312"/>
          <w:b/>
          <w:bCs/>
          <w:color w:val="auto"/>
          <w:sz w:val="32"/>
          <w:highlight w:val="none"/>
        </w:rPr>
      </w:pPr>
    </w:p>
    <w:p>
      <w:pPr>
        <w:tabs>
          <w:tab w:val="left" w:pos="1575"/>
        </w:tabs>
        <w:spacing w:line="500" w:lineRule="exact"/>
        <w:rPr>
          <w:rFonts w:hint="eastAsia" w:ascii="仿宋_GB2312" w:eastAsia="仿宋_GB2312"/>
          <w:b/>
          <w:bCs/>
          <w:color w:val="auto"/>
          <w:sz w:val="32"/>
          <w:highlight w:val="none"/>
        </w:rPr>
      </w:pPr>
    </w:p>
    <w:p>
      <w:pPr>
        <w:tabs>
          <w:tab w:val="left" w:pos="1575"/>
        </w:tabs>
        <w:spacing w:line="500" w:lineRule="exact"/>
        <w:rPr>
          <w:rFonts w:hint="eastAsia" w:ascii="仿宋_GB2312" w:eastAsia="仿宋_GB2312"/>
          <w:b/>
          <w:bCs/>
          <w:color w:val="auto"/>
          <w:sz w:val="32"/>
          <w:highlight w:val="none"/>
        </w:rPr>
      </w:pPr>
    </w:p>
    <w:p>
      <w:pPr>
        <w:tabs>
          <w:tab w:val="left" w:pos="1575"/>
        </w:tabs>
        <w:spacing w:line="500" w:lineRule="exact"/>
        <w:rPr>
          <w:rFonts w:hint="eastAsia" w:ascii="仿宋_GB2312" w:eastAsia="仿宋_GB2312"/>
          <w:b/>
          <w:bCs/>
          <w:color w:val="auto"/>
          <w:sz w:val="32"/>
          <w:highlight w:val="none"/>
        </w:rPr>
      </w:pPr>
    </w:p>
    <w:p>
      <w:pPr>
        <w:tabs>
          <w:tab w:val="left" w:pos="1575"/>
        </w:tabs>
        <w:spacing w:line="500" w:lineRule="exact"/>
        <w:rPr>
          <w:rFonts w:hint="eastAsia" w:ascii="仿宋_GB2312" w:eastAsia="仿宋_GB2312"/>
          <w:b/>
          <w:bCs/>
          <w:color w:val="auto"/>
          <w:sz w:val="32"/>
          <w:highlight w:val="none"/>
        </w:rPr>
      </w:pPr>
    </w:p>
    <w:p>
      <w:pPr>
        <w:tabs>
          <w:tab w:val="left" w:pos="1575"/>
        </w:tabs>
        <w:spacing w:line="500" w:lineRule="exact"/>
        <w:rPr>
          <w:rFonts w:hint="eastAsia" w:ascii="仿宋_GB2312" w:eastAsia="仿宋_GB2312"/>
          <w:b/>
          <w:bCs/>
          <w:color w:val="auto"/>
          <w:sz w:val="32"/>
          <w:highlight w:val="none"/>
        </w:rPr>
      </w:pPr>
    </w:p>
    <w:p>
      <w:pPr>
        <w:tabs>
          <w:tab w:val="left" w:pos="1575"/>
        </w:tabs>
        <w:spacing w:line="500" w:lineRule="exact"/>
        <w:rPr>
          <w:rFonts w:hint="eastAsia" w:ascii="仿宋_GB2312" w:hAnsi="宋体" w:eastAsia="仿宋_GB2312"/>
          <w:b/>
          <w:i/>
          <w:iCs/>
          <w:color w:val="auto"/>
          <w:sz w:val="24"/>
          <w:highlight w:val="none"/>
        </w:rPr>
      </w:pPr>
      <w:r>
        <w:rPr>
          <w:rFonts w:hint="eastAsia" w:ascii="仿宋_GB2312" w:hAnsi="宋体" w:eastAsia="仿宋_GB2312"/>
          <w:b/>
          <w:i/>
          <w:iCs/>
          <w:color w:val="auto"/>
          <w:sz w:val="24"/>
          <w:highlight w:val="none"/>
        </w:rPr>
        <w:t>注：（1）法定代表人为投标授权代表的只需提供法定代表人身份证明；</w:t>
      </w:r>
    </w:p>
    <w:p>
      <w:pPr>
        <w:spacing w:line="360" w:lineRule="auto"/>
        <w:ind w:firstLine="480"/>
        <w:rPr>
          <w:rFonts w:hint="eastAsia" w:ascii="仿宋_GB2312" w:hAnsi="宋体" w:eastAsia="仿宋_GB2312"/>
          <w:i/>
          <w:iCs/>
          <w:color w:val="auto"/>
          <w:sz w:val="24"/>
          <w:highlight w:val="none"/>
        </w:rPr>
      </w:pPr>
      <w:r>
        <w:rPr>
          <w:rFonts w:hint="eastAsia" w:ascii="仿宋_GB2312" w:hAnsi="宋体" w:eastAsia="仿宋_GB2312"/>
          <w:b/>
          <w:i/>
          <w:iCs/>
          <w:color w:val="auto"/>
          <w:sz w:val="24"/>
          <w:highlight w:val="none"/>
        </w:rPr>
        <w:t>（2）身份证明请提供身份证正反面复印件或其他证件复印件。</w:t>
      </w:r>
    </w:p>
    <w:p>
      <w:pPr>
        <w:pStyle w:val="3"/>
        <w:spacing w:line="520" w:lineRule="exact"/>
        <w:ind w:firstLine="0"/>
        <w:rPr>
          <w:rFonts w:hint="eastAsia"/>
          <w:i/>
          <w:iCs/>
          <w:color w:val="auto"/>
          <w:sz w:val="32"/>
          <w:highlight w:val="none"/>
        </w:rPr>
      </w:pPr>
    </w:p>
    <w:p>
      <w:pPr>
        <w:pStyle w:val="3"/>
        <w:spacing w:line="520" w:lineRule="exact"/>
        <w:ind w:firstLine="0"/>
        <w:jc w:val="center"/>
        <w:rPr>
          <w:rFonts w:ascii="仿宋" w:hAnsi="仿宋" w:eastAsia="仿宋"/>
          <w:color w:val="auto"/>
          <w:sz w:val="24"/>
          <w:highlight w:val="none"/>
        </w:rPr>
      </w:pPr>
    </w:p>
    <w:p>
      <w:pPr>
        <w:wordWrap w:val="0"/>
        <w:spacing w:line="400" w:lineRule="exact"/>
        <w:jc w:val="right"/>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pPr>
        <w:jc w:val="center"/>
        <w:rPr>
          <w:rFonts w:hint="eastAsia" w:ascii="宋体" w:hAnsi="宋体"/>
          <w:b/>
          <w:bCs/>
          <w:color w:val="auto"/>
          <w:sz w:val="30"/>
          <w:szCs w:val="30"/>
          <w:highlight w:val="none"/>
        </w:rPr>
      </w:pPr>
      <w:r>
        <w:rPr>
          <w:rFonts w:ascii="Arial" w:hAnsi="Arial" w:eastAsia="仿宋_GB2312"/>
          <w:color w:val="auto"/>
          <w:sz w:val="28"/>
          <w:highlight w:val="none"/>
        </w:rPr>
        <w:br w:type="page"/>
      </w:r>
      <w:r>
        <w:rPr>
          <w:rFonts w:hint="eastAsia" w:ascii="宋体" w:hAnsi="宋体"/>
          <w:b/>
          <w:bCs/>
          <w:color w:val="auto"/>
          <w:sz w:val="30"/>
          <w:szCs w:val="30"/>
          <w:highlight w:val="none"/>
        </w:rPr>
        <w:t>5、诚信投标承诺书</w:t>
      </w:r>
    </w:p>
    <w:p>
      <w:pPr>
        <w:rPr>
          <w:rFonts w:hint="eastAsia" w:ascii="宋体" w:hAnsi="宋体"/>
          <w:color w:val="auto"/>
          <w:sz w:val="24"/>
          <w:highlight w:val="none"/>
        </w:rPr>
      </w:pPr>
    </w:p>
    <w:p>
      <w:pPr>
        <w:rPr>
          <w:rFonts w:hint="eastAsia" w:ascii="宋体" w:hAnsi="宋体"/>
          <w:color w:val="auto"/>
          <w:sz w:val="24"/>
          <w:highlight w:val="none"/>
        </w:rPr>
      </w:pPr>
      <w:r>
        <w:rPr>
          <w:rFonts w:hint="eastAsia" w:ascii="宋体" w:hAnsi="宋体"/>
          <w:color w:val="auto"/>
          <w:sz w:val="24"/>
          <w:highlight w:val="none"/>
        </w:rPr>
        <w:t>宁波市政府采购中心：</w:t>
      </w:r>
    </w:p>
    <w:p>
      <w:pPr>
        <w:spacing w:line="560" w:lineRule="exact"/>
        <w:ind w:firstLine="601"/>
        <w:rPr>
          <w:rFonts w:hint="eastAsia" w:ascii="宋体" w:hAnsi="宋体"/>
          <w:color w:val="auto"/>
          <w:sz w:val="24"/>
          <w:highlight w:val="none"/>
        </w:rPr>
      </w:pPr>
      <w:r>
        <w:rPr>
          <w:rFonts w:hint="eastAsia" w:ascii="宋体" w:hAnsi="宋体"/>
          <w:color w:val="auto"/>
          <w:sz w:val="24"/>
          <w:highlight w:val="none"/>
        </w:rPr>
        <w:t>我方愿意参与“</w:t>
      </w:r>
      <w:r>
        <w:rPr>
          <w:rFonts w:hint="eastAsia" w:ascii="宋体" w:hAnsi="宋体"/>
          <w:color w:val="auto"/>
          <w:sz w:val="24"/>
          <w:highlight w:val="none"/>
          <w:u w:val="single"/>
        </w:rPr>
        <w:t>XXX</w:t>
      </w:r>
      <w:r>
        <w:rPr>
          <w:rFonts w:ascii="宋体" w:hAnsi="宋体"/>
          <w:color w:val="auto"/>
          <w:sz w:val="24"/>
          <w:highlight w:val="none"/>
        </w:rPr>
        <w:t>项目</w:t>
      </w:r>
      <w:r>
        <w:rPr>
          <w:rFonts w:hint="eastAsia" w:ascii="宋体" w:hAnsi="宋体"/>
          <w:color w:val="auto"/>
          <w:sz w:val="24"/>
          <w:highlight w:val="none"/>
        </w:rPr>
        <w:t>（采购编号：</w:t>
      </w:r>
      <w:r>
        <w:rPr>
          <w:rFonts w:hint="eastAsia" w:ascii="宋体" w:hAnsi="宋体"/>
          <w:color w:val="auto"/>
          <w:sz w:val="24"/>
          <w:highlight w:val="none"/>
          <w:u w:val="single"/>
        </w:rPr>
        <w:t>XXX</w:t>
      </w:r>
      <w:r>
        <w:rPr>
          <w:rFonts w:hint="eastAsia" w:ascii="宋体" w:hAnsi="宋体"/>
          <w:color w:val="auto"/>
          <w:sz w:val="24"/>
          <w:highlight w:val="none"/>
        </w:rPr>
        <w:t>）”的投标，并作出如下承诺：</w:t>
      </w:r>
    </w:p>
    <w:p>
      <w:pPr>
        <w:numPr>
          <w:ilvl w:val="0"/>
          <w:numId w:val="14"/>
        </w:numPr>
        <w:spacing w:line="560" w:lineRule="exact"/>
        <w:rPr>
          <w:rFonts w:hint="eastAsia" w:ascii="宋体" w:hAnsi="宋体"/>
          <w:color w:val="auto"/>
          <w:sz w:val="24"/>
          <w:highlight w:val="none"/>
        </w:rPr>
      </w:pPr>
      <w:r>
        <w:rPr>
          <w:rFonts w:hint="eastAsia" w:ascii="宋体" w:hAnsi="宋体"/>
          <w:color w:val="auto"/>
          <w:sz w:val="24"/>
          <w:highlight w:val="none"/>
        </w:rPr>
        <w:t>我方符合政府采购法第二十二条规定条件，且</w:t>
      </w:r>
      <w:r>
        <w:rPr>
          <w:rFonts w:hint="eastAsia" w:ascii="宋体" w:hAnsi="宋体" w:cs="宋体"/>
          <w:color w:val="auto"/>
          <w:kern w:val="0"/>
          <w:sz w:val="24"/>
          <w:szCs w:val="24"/>
          <w:highlight w:val="none"/>
        </w:rPr>
        <w:t>在本项目公告日前3年内没有因违法经营受到刑事处罚或者责令停产停业、吊销许可证或者执照、需经听证程序的较大数额罚款等行政处罚的重大违法记录。</w:t>
      </w:r>
    </w:p>
    <w:p>
      <w:pPr>
        <w:numPr>
          <w:ilvl w:val="0"/>
          <w:numId w:val="14"/>
        </w:numPr>
        <w:spacing w:line="560" w:lineRule="exact"/>
        <w:rPr>
          <w:rFonts w:hint="eastAsia" w:ascii="宋体" w:hAnsi="宋体"/>
          <w:color w:val="auto"/>
          <w:sz w:val="24"/>
          <w:highlight w:val="none"/>
        </w:rPr>
      </w:pPr>
      <w:r>
        <w:rPr>
          <w:rFonts w:hint="eastAsia" w:ascii="宋体" w:hAnsi="宋体"/>
          <w:color w:val="auto"/>
          <w:sz w:val="24"/>
          <w:highlight w:val="none"/>
        </w:rPr>
        <w:t>与采购人</w:t>
      </w:r>
      <w:r>
        <w:rPr>
          <w:rFonts w:hint="eastAsia" w:ascii="宋体" w:hAnsi="宋体"/>
          <w:color w:val="auto"/>
          <w:sz w:val="24"/>
          <w:highlight w:val="none"/>
          <w:u w:val="single"/>
        </w:rPr>
        <w:t>XXX</w:t>
      </w:r>
      <w:r>
        <w:rPr>
          <w:rFonts w:hint="eastAsia" w:ascii="宋体" w:hAnsi="宋体"/>
          <w:color w:val="auto"/>
          <w:sz w:val="24"/>
          <w:highlight w:val="none"/>
        </w:rPr>
        <w:t>（填“有/无”）关联，没有采取任何影响公平投标的行为。</w:t>
      </w:r>
    </w:p>
    <w:p>
      <w:pPr>
        <w:numPr>
          <w:ilvl w:val="0"/>
          <w:numId w:val="14"/>
        </w:numPr>
        <w:spacing w:line="560" w:lineRule="exact"/>
        <w:rPr>
          <w:rFonts w:hint="eastAsia" w:ascii="宋体" w:hAnsi="宋体"/>
          <w:color w:val="auto"/>
          <w:sz w:val="24"/>
          <w:highlight w:val="none"/>
        </w:rPr>
      </w:pPr>
      <w:r>
        <w:rPr>
          <w:rFonts w:hint="eastAsia" w:ascii="宋体" w:hAnsi="宋体"/>
          <w:color w:val="auto"/>
          <w:sz w:val="24"/>
          <w:highlight w:val="none"/>
        </w:rPr>
        <w:t>在招投标过程中，不做以下任何事项：</w:t>
      </w:r>
    </w:p>
    <w:p>
      <w:pPr>
        <w:spacing w:line="560" w:lineRule="exact"/>
        <w:ind w:left="601"/>
        <w:rPr>
          <w:rFonts w:hint="eastAsia" w:ascii="宋体" w:hAnsi="宋体"/>
          <w:color w:val="auto"/>
          <w:sz w:val="24"/>
          <w:highlight w:val="none"/>
        </w:rPr>
      </w:pPr>
      <w:r>
        <w:rPr>
          <w:rFonts w:hint="eastAsia" w:ascii="宋体" w:hAnsi="宋体"/>
          <w:color w:val="auto"/>
          <w:sz w:val="24"/>
          <w:highlight w:val="none"/>
        </w:rPr>
        <w:t>（1）投标截止时间后撤回投标（包括开标后拒绝应当进行的讲标演示）；</w:t>
      </w:r>
    </w:p>
    <w:p>
      <w:pPr>
        <w:spacing w:line="560" w:lineRule="exact"/>
        <w:ind w:left="601"/>
        <w:rPr>
          <w:rFonts w:hint="eastAsia" w:ascii="宋体" w:hAnsi="宋体"/>
          <w:color w:val="auto"/>
          <w:sz w:val="24"/>
          <w:highlight w:val="none"/>
        </w:rPr>
      </w:pPr>
      <w:r>
        <w:rPr>
          <w:rFonts w:hint="eastAsia" w:ascii="宋体" w:hAnsi="宋体"/>
          <w:color w:val="auto"/>
          <w:sz w:val="24"/>
          <w:highlight w:val="none"/>
        </w:rPr>
        <w:t>（2）投标文件中提供虚假材料或不实材料；</w:t>
      </w:r>
    </w:p>
    <w:p>
      <w:pPr>
        <w:spacing w:line="560" w:lineRule="exact"/>
        <w:ind w:left="601"/>
        <w:rPr>
          <w:rFonts w:hint="eastAsia" w:ascii="宋体" w:hAnsi="宋体"/>
          <w:color w:val="auto"/>
          <w:sz w:val="24"/>
          <w:highlight w:val="none"/>
        </w:rPr>
      </w:pPr>
      <w:r>
        <w:rPr>
          <w:rFonts w:hint="eastAsia" w:ascii="宋体" w:hAnsi="宋体"/>
          <w:color w:val="auto"/>
          <w:sz w:val="24"/>
          <w:highlight w:val="none"/>
        </w:rPr>
        <w:t>（3）与其他投标人达成可能限制竞争的协议；</w:t>
      </w:r>
    </w:p>
    <w:p>
      <w:pPr>
        <w:spacing w:line="560" w:lineRule="exact"/>
        <w:ind w:left="601"/>
        <w:rPr>
          <w:rFonts w:hint="eastAsia" w:ascii="宋体" w:hAnsi="宋体"/>
          <w:color w:val="auto"/>
          <w:sz w:val="24"/>
          <w:highlight w:val="none"/>
        </w:rPr>
      </w:pPr>
      <w:r>
        <w:rPr>
          <w:rFonts w:hint="eastAsia" w:ascii="宋体" w:hAnsi="宋体"/>
          <w:color w:val="auto"/>
          <w:sz w:val="24"/>
          <w:highlight w:val="none"/>
        </w:rPr>
        <w:t>（4）为影响投标而向有关招标当事人提供金钱、物质及服务；</w:t>
      </w:r>
    </w:p>
    <w:p>
      <w:pPr>
        <w:spacing w:line="560" w:lineRule="exact"/>
        <w:ind w:left="601"/>
        <w:rPr>
          <w:rFonts w:hint="eastAsia" w:ascii="宋体" w:hAnsi="宋体"/>
          <w:color w:val="auto"/>
          <w:sz w:val="24"/>
          <w:highlight w:val="none"/>
        </w:rPr>
      </w:pPr>
      <w:r>
        <w:rPr>
          <w:rFonts w:hint="eastAsia" w:ascii="宋体" w:hAnsi="宋体"/>
          <w:color w:val="auto"/>
          <w:sz w:val="24"/>
          <w:highlight w:val="none"/>
        </w:rPr>
        <w:t>（5）与其他投标人围标、陪标；</w:t>
      </w:r>
    </w:p>
    <w:p>
      <w:pPr>
        <w:spacing w:line="560" w:lineRule="exact"/>
        <w:ind w:left="601"/>
        <w:rPr>
          <w:rFonts w:hint="eastAsia" w:ascii="宋体" w:hAnsi="宋体"/>
          <w:color w:val="auto"/>
          <w:sz w:val="24"/>
          <w:highlight w:val="none"/>
        </w:rPr>
      </w:pPr>
      <w:r>
        <w:rPr>
          <w:rFonts w:hint="eastAsia" w:ascii="宋体" w:hAnsi="宋体"/>
          <w:color w:val="auto"/>
          <w:sz w:val="24"/>
          <w:highlight w:val="none"/>
        </w:rPr>
        <w:t>（6）其他任何串通投标行为。</w:t>
      </w:r>
    </w:p>
    <w:p>
      <w:pPr>
        <w:tabs>
          <w:tab w:val="left" w:pos="720"/>
        </w:tabs>
        <w:spacing w:line="560" w:lineRule="exact"/>
        <w:ind w:firstLine="600" w:firstLineChars="250"/>
        <w:rPr>
          <w:rFonts w:hint="eastAsia" w:ascii="宋体" w:hAnsi="宋体"/>
          <w:color w:val="auto"/>
          <w:sz w:val="24"/>
          <w:highlight w:val="none"/>
        </w:rPr>
      </w:pPr>
      <w:r>
        <w:rPr>
          <w:rFonts w:hint="eastAsia" w:ascii="宋体" w:hAnsi="宋体"/>
          <w:color w:val="auto"/>
          <w:sz w:val="24"/>
          <w:highlight w:val="none"/>
        </w:rPr>
        <w:t>3、保证所投产品来自合法的供货渠道。</w:t>
      </w:r>
    </w:p>
    <w:p>
      <w:pPr>
        <w:tabs>
          <w:tab w:val="left" w:pos="720"/>
        </w:tabs>
        <w:spacing w:line="560" w:lineRule="exact"/>
        <w:ind w:firstLine="600" w:firstLineChars="250"/>
        <w:rPr>
          <w:rFonts w:hint="eastAsia" w:ascii="宋体" w:hAnsi="宋体"/>
          <w:color w:val="auto"/>
          <w:sz w:val="24"/>
          <w:highlight w:val="none"/>
        </w:rPr>
      </w:pPr>
      <w:r>
        <w:rPr>
          <w:rFonts w:hint="eastAsia" w:ascii="宋体" w:hAnsi="宋体"/>
          <w:color w:val="auto"/>
          <w:sz w:val="24"/>
          <w:highlight w:val="none"/>
        </w:rPr>
        <w:t>4、若中标后，保证按照投标承诺及时签订合同并履约。</w:t>
      </w:r>
    </w:p>
    <w:p>
      <w:pPr>
        <w:tabs>
          <w:tab w:val="left" w:pos="720"/>
        </w:tabs>
        <w:spacing w:line="560" w:lineRule="exact"/>
        <w:ind w:firstLine="600" w:firstLineChars="250"/>
        <w:rPr>
          <w:rFonts w:hint="eastAsia" w:ascii="宋体" w:hAnsi="宋体"/>
          <w:color w:val="auto"/>
          <w:sz w:val="24"/>
          <w:highlight w:val="none"/>
        </w:rPr>
      </w:pPr>
      <w:r>
        <w:rPr>
          <w:rFonts w:hint="eastAsia" w:ascii="宋体" w:hAnsi="宋体"/>
          <w:color w:val="auto"/>
          <w:sz w:val="24"/>
          <w:highlight w:val="none"/>
        </w:rPr>
        <w:t>我方若违背以上承诺，接受在政府采购指定媒体上公告曝光处理，同时承担依据国家法律法规追究的其他责任。</w:t>
      </w:r>
    </w:p>
    <w:p>
      <w:pPr>
        <w:spacing w:line="240" w:lineRule="atLeast"/>
        <w:ind w:left="-720" w:leftChars="-343" w:right="-960" w:firstLine="480" w:firstLineChars="200"/>
        <w:rPr>
          <w:rFonts w:hint="eastAsia" w:ascii="宋体" w:hAnsi="宋体"/>
          <w:color w:val="auto"/>
          <w:sz w:val="24"/>
          <w:szCs w:val="24"/>
          <w:highlight w:val="none"/>
        </w:rPr>
      </w:pPr>
    </w:p>
    <w:p>
      <w:pPr>
        <w:spacing w:line="240" w:lineRule="atLeast"/>
        <w:ind w:left="-720" w:leftChars="-343" w:right="-960" w:firstLine="480" w:firstLineChars="200"/>
        <w:rPr>
          <w:rFonts w:hint="eastAsia" w:ascii="宋体" w:hAnsi="宋体"/>
          <w:color w:val="auto"/>
          <w:sz w:val="24"/>
          <w:szCs w:val="24"/>
          <w:highlight w:val="none"/>
        </w:rPr>
      </w:pPr>
    </w:p>
    <w:p>
      <w:pPr>
        <w:spacing w:line="240" w:lineRule="atLeast"/>
        <w:ind w:left="-720" w:leftChars="-343" w:right="-96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投标单位（盖CA章）：</w:t>
      </w:r>
    </w:p>
    <w:p>
      <w:pPr>
        <w:spacing w:line="240" w:lineRule="atLeast"/>
        <w:ind w:left="-720" w:right="-960"/>
        <w:rPr>
          <w:rFonts w:hint="eastAsia" w:ascii="宋体" w:hAnsi="宋体"/>
          <w:color w:val="auto"/>
          <w:sz w:val="24"/>
          <w:szCs w:val="24"/>
          <w:highlight w:val="none"/>
        </w:rPr>
      </w:pPr>
    </w:p>
    <w:p>
      <w:pPr>
        <w:spacing w:line="240" w:lineRule="atLeast"/>
        <w:ind w:left="-720" w:right="-960"/>
        <w:rPr>
          <w:rFonts w:hint="eastAsia" w:ascii="宋体" w:hAnsi="宋体"/>
          <w:color w:val="auto"/>
          <w:sz w:val="24"/>
          <w:szCs w:val="24"/>
          <w:highlight w:val="none"/>
        </w:rPr>
      </w:pPr>
    </w:p>
    <w:p>
      <w:pPr>
        <w:tabs>
          <w:tab w:val="left" w:pos="845"/>
        </w:tabs>
        <w:spacing w:line="360" w:lineRule="auto"/>
        <w:rPr>
          <w:rFonts w:hint="eastAsia" w:ascii="宋体" w:hAnsi="宋体"/>
          <w:color w:val="auto"/>
          <w:sz w:val="24"/>
          <w:szCs w:val="24"/>
          <w:highlight w:val="none"/>
        </w:rPr>
      </w:pPr>
    </w:p>
    <w:p>
      <w:pPr>
        <w:tabs>
          <w:tab w:val="left" w:pos="845"/>
        </w:tabs>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日  期：</w:t>
      </w:r>
    </w:p>
    <w:p>
      <w:pPr>
        <w:tabs>
          <w:tab w:val="left" w:pos="845"/>
        </w:tabs>
        <w:spacing w:line="360" w:lineRule="auto"/>
        <w:rPr>
          <w:rFonts w:hint="eastAsia" w:ascii="宋体" w:hAnsi="宋体"/>
          <w:b/>
          <w:bCs/>
          <w:color w:val="auto"/>
          <w:sz w:val="24"/>
          <w:szCs w:val="24"/>
          <w:highlight w:val="none"/>
        </w:rPr>
      </w:pPr>
    </w:p>
    <w:p>
      <w:pPr>
        <w:tabs>
          <w:tab w:val="left" w:pos="845"/>
        </w:tabs>
        <w:spacing w:line="360" w:lineRule="auto"/>
        <w:rPr>
          <w:rFonts w:hint="eastAsia" w:ascii="宋体" w:hAnsi="宋体"/>
          <w:b/>
          <w:bCs/>
          <w:color w:val="auto"/>
          <w:sz w:val="24"/>
          <w:szCs w:val="24"/>
          <w:highlight w:val="none"/>
        </w:rPr>
      </w:pPr>
      <w:r>
        <w:rPr>
          <w:rFonts w:hint="eastAsia" w:ascii="宋体" w:hAnsi="宋体"/>
          <w:b/>
          <w:bCs/>
          <w:color w:val="auto"/>
          <w:sz w:val="24"/>
          <w:szCs w:val="24"/>
          <w:highlight w:val="none"/>
        </w:rPr>
        <w:t>特别说明：本承诺书不得实质性改动，否则视为无效标。</w:t>
      </w:r>
    </w:p>
    <w:p>
      <w:pPr>
        <w:tabs>
          <w:tab w:val="left" w:pos="845"/>
        </w:tabs>
        <w:spacing w:line="360" w:lineRule="auto"/>
        <w:jc w:val="center"/>
        <w:rPr>
          <w:rFonts w:hint="eastAsia" w:ascii="黑体" w:hAnsi="宋体" w:eastAsia="黑体"/>
          <w:b/>
          <w:bCs/>
          <w:color w:val="auto"/>
          <w:sz w:val="28"/>
          <w:szCs w:val="28"/>
          <w:highlight w:val="none"/>
        </w:rPr>
      </w:pPr>
      <w:r>
        <w:rPr>
          <w:rFonts w:hint="eastAsia" w:ascii="黑体" w:hAnsi="宋体" w:eastAsia="黑体"/>
          <w:b/>
          <w:bCs/>
          <w:color w:val="auto"/>
          <w:sz w:val="28"/>
          <w:szCs w:val="28"/>
          <w:highlight w:val="none"/>
        </w:rPr>
        <w:br w:type="page"/>
      </w:r>
      <w:r>
        <w:rPr>
          <w:rFonts w:hint="eastAsia" w:ascii="黑体" w:hAnsi="宋体" w:eastAsia="黑体"/>
          <w:b/>
          <w:bCs/>
          <w:color w:val="auto"/>
          <w:sz w:val="28"/>
          <w:szCs w:val="28"/>
          <w:highlight w:val="none"/>
        </w:rPr>
        <w:t>6、中小微企业</w:t>
      </w:r>
      <w:r>
        <w:rPr>
          <w:rFonts w:ascii="黑体" w:hAnsi="宋体" w:eastAsia="黑体"/>
          <w:b/>
          <w:bCs/>
          <w:color w:val="auto"/>
          <w:sz w:val="28"/>
          <w:szCs w:val="28"/>
          <w:highlight w:val="none"/>
        </w:rPr>
        <w:t>声明函</w:t>
      </w:r>
    </w:p>
    <w:p>
      <w:pPr>
        <w:widowControl/>
        <w:spacing w:before="100" w:beforeAutospacing="1" w:after="100" w:afterAutospacing="1" w:line="432" w:lineRule="auto"/>
        <w:jc w:val="left"/>
        <w:rPr>
          <w:rFonts w:hint="eastAsia" w:ascii="宋体" w:hAnsi="宋体" w:cs="宋体"/>
          <w:color w:val="auto"/>
          <w:kern w:val="0"/>
          <w:sz w:val="24"/>
          <w:szCs w:val="24"/>
          <w:highlight w:val="none"/>
        </w:rPr>
      </w:pPr>
      <w:r>
        <w:rPr>
          <w:rFonts w:ascii="ˎ̥" w:hAnsi="ˎ̥" w:cs="宋体"/>
          <w:color w:val="auto"/>
          <w:kern w:val="0"/>
          <w:sz w:val="24"/>
          <w:szCs w:val="24"/>
          <w:highlight w:val="none"/>
        </w:rPr>
        <w:t> 　　</w:t>
      </w:r>
      <w:r>
        <w:rPr>
          <w:rFonts w:hint="eastAsia" w:ascii="宋体" w:hAnsi="宋体" w:cs="宋体"/>
          <w:color w:val="auto"/>
          <w:kern w:val="0"/>
          <w:sz w:val="24"/>
          <w:szCs w:val="24"/>
          <w:highlight w:val="none"/>
        </w:rPr>
        <w:t>根据《政府采购法实施条例》、财政部《政府采购促进中小企业发展暂行办法》（财库[2011]181号）、宁波市财政局《关于政府采购促进中小企业发展若干问题的通知》（甬采购办[2012]1427号）的规定，本单位郑重声明：</w:t>
      </w:r>
    </w:p>
    <w:p>
      <w:pPr>
        <w:widowControl/>
        <w:numPr>
          <w:ilvl w:val="0"/>
          <w:numId w:val="15"/>
        </w:numPr>
        <w:spacing w:before="100" w:beforeAutospacing="1" w:after="100" w:afterAutospacing="1" w:line="432" w:lineRule="auto"/>
        <w:ind w:firstLine="48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依据工业和信息化部、国家统计局、国家发展和改革委员会、财政部《关于印发中小企业划型标准规定的通知》（工信部联企业[2011]300号）规定的划分标准，本单位为</w:t>
      </w:r>
      <w:r>
        <w:rPr>
          <w:rFonts w:hint="eastAsia" w:ascii="宋体" w:hAnsi="宋体" w:cs="宋体"/>
          <w:color w:val="auto"/>
          <w:kern w:val="0"/>
          <w:sz w:val="24"/>
          <w:szCs w:val="24"/>
          <w:highlight w:val="none"/>
          <w:u w:val="single"/>
        </w:rPr>
        <w:t>XXX</w:t>
      </w:r>
      <w:r>
        <w:rPr>
          <w:rFonts w:hint="eastAsia" w:ascii="宋体" w:hAnsi="宋体" w:cs="宋体"/>
          <w:color w:val="auto"/>
          <w:kern w:val="0"/>
          <w:sz w:val="24"/>
          <w:szCs w:val="24"/>
          <w:highlight w:val="none"/>
        </w:rPr>
        <w:t>（中型、小型、微型）企业，所属行业为</w:t>
      </w:r>
      <w:r>
        <w:rPr>
          <w:rFonts w:hint="eastAsia" w:ascii="宋体" w:hAnsi="宋体" w:cs="宋体"/>
          <w:color w:val="auto"/>
          <w:kern w:val="0"/>
          <w:sz w:val="24"/>
          <w:szCs w:val="24"/>
          <w:highlight w:val="none"/>
          <w:u w:val="single"/>
        </w:rPr>
        <w:t>XXXXX</w:t>
      </w:r>
      <w:r>
        <w:rPr>
          <w:rFonts w:hint="eastAsia" w:ascii="宋体" w:hAnsi="宋体" w:cs="宋体"/>
          <w:color w:val="auto"/>
          <w:kern w:val="0"/>
          <w:sz w:val="24"/>
          <w:szCs w:val="24"/>
          <w:highlight w:val="none"/>
        </w:rPr>
        <w:t>、上年末从业人员</w:t>
      </w:r>
      <w:r>
        <w:rPr>
          <w:rFonts w:hint="eastAsia" w:ascii="宋体" w:hAnsi="宋体" w:cs="宋体"/>
          <w:color w:val="auto"/>
          <w:kern w:val="0"/>
          <w:sz w:val="24"/>
          <w:szCs w:val="24"/>
          <w:highlight w:val="none"/>
          <w:u w:val="single"/>
        </w:rPr>
        <w:t>XXX</w:t>
      </w:r>
      <w:r>
        <w:rPr>
          <w:rFonts w:hint="eastAsia" w:ascii="宋体" w:hAnsi="宋体" w:cs="宋体"/>
          <w:color w:val="auto"/>
          <w:kern w:val="0"/>
          <w:sz w:val="24"/>
          <w:szCs w:val="24"/>
          <w:highlight w:val="none"/>
        </w:rPr>
        <w:t>人、上年营业收入</w:t>
      </w:r>
      <w:r>
        <w:rPr>
          <w:rFonts w:hint="eastAsia" w:ascii="宋体" w:hAnsi="宋体" w:cs="宋体"/>
          <w:color w:val="auto"/>
          <w:kern w:val="0"/>
          <w:sz w:val="24"/>
          <w:szCs w:val="24"/>
          <w:highlight w:val="none"/>
          <w:u w:val="single"/>
        </w:rPr>
        <w:t>XXX</w:t>
      </w:r>
      <w:r>
        <w:rPr>
          <w:rFonts w:hint="eastAsia" w:ascii="宋体" w:hAnsi="宋体" w:cs="宋体"/>
          <w:color w:val="auto"/>
          <w:kern w:val="0"/>
          <w:sz w:val="24"/>
          <w:szCs w:val="24"/>
          <w:highlight w:val="none"/>
        </w:rPr>
        <w:t>万元、上年资产总额</w:t>
      </w:r>
      <w:r>
        <w:rPr>
          <w:rFonts w:hint="eastAsia" w:ascii="宋体" w:hAnsi="宋体" w:cs="宋体"/>
          <w:color w:val="auto"/>
          <w:kern w:val="0"/>
          <w:sz w:val="24"/>
          <w:szCs w:val="24"/>
          <w:highlight w:val="none"/>
          <w:u w:val="single"/>
        </w:rPr>
        <w:t>XXX</w:t>
      </w:r>
      <w:r>
        <w:rPr>
          <w:rFonts w:hint="eastAsia" w:ascii="宋体" w:hAnsi="宋体" w:cs="宋体"/>
          <w:color w:val="auto"/>
          <w:kern w:val="0"/>
          <w:sz w:val="24"/>
          <w:szCs w:val="24"/>
          <w:highlight w:val="none"/>
        </w:rPr>
        <w:t>万元。</w:t>
      </w:r>
    </w:p>
    <w:p>
      <w:pPr>
        <w:widowControl/>
        <w:numPr>
          <w:ilvl w:val="0"/>
          <w:numId w:val="15"/>
        </w:numPr>
        <w:spacing w:before="100" w:beforeAutospacing="1" w:after="100" w:afterAutospacing="1" w:line="432" w:lineRule="auto"/>
        <w:ind w:firstLine="480"/>
        <w:jc w:val="left"/>
        <w:rPr>
          <w:rFonts w:hint="eastAsia" w:ascii="宋体" w:hAnsi="宋体" w:cs="宋体"/>
          <w:b/>
          <w:bCs/>
          <w:color w:val="auto"/>
          <w:kern w:val="0"/>
          <w:sz w:val="24"/>
          <w:szCs w:val="24"/>
          <w:highlight w:val="none"/>
        </w:rPr>
      </w:pPr>
      <w:r>
        <w:rPr>
          <w:rFonts w:hint="eastAsia" w:ascii="宋体" w:hAnsi="宋体" w:cs="宋体"/>
          <w:color w:val="auto"/>
          <w:kern w:val="0"/>
          <w:sz w:val="24"/>
          <w:szCs w:val="24"/>
          <w:highlight w:val="none"/>
        </w:rPr>
        <w:t>本单位参加</w:t>
      </w:r>
      <w:r>
        <w:rPr>
          <w:rFonts w:hint="eastAsia" w:ascii="宋体" w:hAnsi="宋体" w:cs="宋体"/>
          <w:color w:val="auto"/>
          <w:kern w:val="0"/>
          <w:sz w:val="24"/>
          <w:szCs w:val="24"/>
          <w:highlight w:val="none"/>
          <w:u w:val="single"/>
        </w:rPr>
        <w:t>XXXXXX</w:t>
      </w:r>
      <w:r>
        <w:rPr>
          <w:rFonts w:hint="eastAsia" w:ascii="宋体" w:hAnsi="宋体" w:cs="宋体"/>
          <w:color w:val="auto"/>
          <w:kern w:val="0"/>
          <w:sz w:val="24"/>
          <w:szCs w:val="24"/>
          <w:highlight w:val="none"/>
        </w:rPr>
        <w:t>项目（采购编号</w:t>
      </w:r>
      <w:r>
        <w:rPr>
          <w:rFonts w:hint="eastAsia" w:ascii="宋体" w:hAnsi="宋体" w:cs="宋体"/>
          <w:color w:val="auto"/>
          <w:kern w:val="0"/>
          <w:sz w:val="24"/>
          <w:szCs w:val="24"/>
          <w:highlight w:val="none"/>
          <w:u w:val="single"/>
        </w:rPr>
        <w:t>XXXX</w:t>
      </w:r>
      <w:r>
        <w:rPr>
          <w:rFonts w:hint="eastAsia" w:ascii="宋体" w:hAnsi="宋体" w:cs="宋体"/>
          <w:color w:val="auto"/>
          <w:kern w:val="0"/>
          <w:sz w:val="24"/>
          <w:szCs w:val="24"/>
          <w:highlight w:val="none"/>
        </w:rPr>
        <w:t>标段/包</w:t>
      </w:r>
      <w:r>
        <w:rPr>
          <w:rFonts w:hint="eastAsia" w:ascii="宋体" w:hAnsi="宋体" w:cs="宋体"/>
          <w:color w:val="auto"/>
          <w:kern w:val="0"/>
          <w:sz w:val="24"/>
          <w:szCs w:val="24"/>
          <w:highlight w:val="none"/>
          <w:u w:val="single"/>
        </w:rPr>
        <w:t>X</w:t>
      </w:r>
      <w:r>
        <w:rPr>
          <w:rFonts w:hint="eastAsia" w:ascii="宋体" w:hAnsi="宋体" w:cs="宋体"/>
          <w:color w:val="auto"/>
          <w:kern w:val="0"/>
          <w:sz w:val="24"/>
          <w:szCs w:val="24"/>
          <w:highlight w:val="none"/>
        </w:rPr>
        <w:t>）采购活动，其中：由本单位承担工程金额为</w:t>
      </w:r>
      <w:r>
        <w:rPr>
          <w:rFonts w:hint="eastAsia" w:ascii="宋体" w:hAnsi="宋体" w:cs="宋体"/>
          <w:color w:val="auto"/>
          <w:kern w:val="0"/>
          <w:sz w:val="24"/>
          <w:szCs w:val="24"/>
          <w:highlight w:val="none"/>
          <w:u w:val="single"/>
        </w:rPr>
        <w:t>XXX</w:t>
      </w:r>
      <w:r>
        <w:rPr>
          <w:rFonts w:hint="eastAsia" w:ascii="宋体" w:hAnsi="宋体" w:cs="宋体"/>
          <w:color w:val="auto"/>
          <w:kern w:val="0"/>
          <w:sz w:val="24"/>
          <w:szCs w:val="24"/>
          <w:highlight w:val="none"/>
        </w:rPr>
        <w:t>万元、本单位提供服务金额为</w:t>
      </w:r>
      <w:r>
        <w:rPr>
          <w:rFonts w:hint="eastAsia" w:ascii="宋体" w:hAnsi="宋体" w:cs="宋体"/>
          <w:color w:val="auto"/>
          <w:kern w:val="0"/>
          <w:sz w:val="24"/>
          <w:szCs w:val="24"/>
          <w:highlight w:val="none"/>
          <w:u w:val="single"/>
        </w:rPr>
        <w:t>XXX</w:t>
      </w:r>
      <w:r>
        <w:rPr>
          <w:rFonts w:hint="eastAsia" w:ascii="宋体" w:hAnsi="宋体" w:cs="宋体"/>
          <w:color w:val="auto"/>
          <w:kern w:val="0"/>
          <w:sz w:val="24"/>
          <w:szCs w:val="24"/>
          <w:highlight w:val="none"/>
        </w:rPr>
        <w:t>万元、本单位制造的货物金额为</w:t>
      </w:r>
      <w:r>
        <w:rPr>
          <w:rFonts w:hint="eastAsia" w:ascii="宋体" w:hAnsi="宋体" w:cs="宋体"/>
          <w:color w:val="auto"/>
          <w:kern w:val="0"/>
          <w:sz w:val="24"/>
          <w:szCs w:val="24"/>
          <w:highlight w:val="none"/>
          <w:u w:val="single"/>
        </w:rPr>
        <w:t>XXX</w:t>
      </w:r>
      <w:r>
        <w:rPr>
          <w:rFonts w:hint="eastAsia" w:ascii="宋体" w:hAnsi="宋体" w:cs="宋体"/>
          <w:color w:val="auto"/>
          <w:kern w:val="0"/>
          <w:sz w:val="24"/>
          <w:szCs w:val="24"/>
          <w:highlight w:val="none"/>
        </w:rPr>
        <w:t>万元，或者提供其他中型企业制造的货物金额为</w:t>
      </w:r>
      <w:r>
        <w:rPr>
          <w:rFonts w:hint="eastAsia" w:ascii="宋体" w:hAnsi="宋体" w:cs="宋体"/>
          <w:color w:val="auto"/>
          <w:kern w:val="0"/>
          <w:sz w:val="24"/>
          <w:szCs w:val="24"/>
          <w:highlight w:val="none"/>
          <w:u w:val="single"/>
        </w:rPr>
        <w:t>XXX</w:t>
      </w:r>
      <w:r>
        <w:rPr>
          <w:rFonts w:hint="eastAsia" w:ascii="宋体" w:hAnsi="宋体" w:cs="宋体"/>
          <w:color w:val="auto"/>
          <w:kern w:val="0"/>
          <w:sz w:val="24"/>
          <w:szCs w:val="24"/>
          <w:highlight w:val="none"/>
        </w:rPr>
        <w:t>万元、其他小型企业制造的货物金额为</w:t>
      </w:r>
      <w:r>
        <w:rPr>
          <w:rFonts w:hint="eastAsia" w:ascii="宋体" w:hAnsi="宋体" w:cs="宋体"/>
          <w:color w:val="auto"/>
          <w:kern w:val="0"/>
          <w:sz w:val="24"/>
          <w:szCs w:val="24"/>
          <w:highlight w:val="none"/>
          <w:u w:val="single"/>
        </w:rPr>
        <w:t>XXX</w:t>
      </w:r>
      <w:r>
        <w:rPr>
          <w:rFonts w:hint="eastAsia" w:ascii="宋体" w:hAnsi="宋体" w:cs="宋体"/>
          <w:color w:val="auto"/>
          <w:kern w:val="0"/>
          <w:sz w:val="24"/>
          <w:szCs w:val="24"/>
          <w:highlight w:val="none"/>
        </w:rPr>
        <w:t>万元、其他微型企业制造的货物金额为</w:t>
      </w:r>
      <w:r>
        <w:rPr>
          <w:rFonts w:hint="eastAsia" w:ascii="宋体" w:hAnsi="宋体" w:cs="宋体"/>
          <w:color w:val="auto"/>
          <w:kern w:val="0"/>
          <w:sz w:val="24"/>
          <w:szCs w:val="24"/>
          <w:highlight w:val="none"/>
          <w:u w:val="single"/>
        </w:rPr>
        <w:t>XXX</w:t>
      </w:r>
      <w:r>
        <w:rPr>
          <w:rFonts w:hint="eastAsia" w:ascii="宋体" w:hAnsi="宋体" w:cs="宋体"/>
          <w:color w:val="auto"/>
          <w:kern w:val="0"/>
          <w:sz w:val="24"/>
          <w:szCs w:val="24"/>
          <w:highlight w:val="none"/>
        </w:rPr>
        <w:t>万元。</w:t>
      </w:r>
      <w:r>
        <w:rPr>
          <w:rFonts w:hint="eastAsia" w:ascii="宋体" w:hAnsi="宋体"/>
          <w:b/>
          <w:bCs/>
          <w:color w:val="auto"/>
          <w:sz w:val="24"/>
          <w:szCs w:val="24"/>
          <w:highlight w:val="none"/>
        </w:rPr>
        <w:t>本条所称货物不包括使用大型企业注册商标的货物。</w:t>
      </w:r>
    </w:p>
    <w:p>
      <w:pPr>
        <w:widowControl/>
        <w:spacing w:before="100" w:beforeAutospacing="1" w:after="100" w:afterAutospacing="1" w:line="432"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本单位对上述声明的真实性负责，如有虚假，依法承担相应责任。</w:t>
      </w:r>
    </w:p>
    <w:p>
      <w:pPr>
        <w:widowControl/>
        <w:spacing w:before="100" w:beforeAutospacing="1" w:after="100" w:afterAutospacing="1" w:line="432"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投标单位名称（盖CA章）：</w:t>
      </w:r>
    </w:p>
    <w:p>
      <w:pPr>
        <w:widowControl/>
        <w:spacing w:before="100" w:beforeAutospacing="1" w:after="100" w:afterAutospacing="1" w:line="432"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日  期：</w:t>
      </w:r>
    </w:p>
    <w:p>
      <w:pPr>
        <w:pStyle w:val="3"/>
        <w:spacing w:line="520" w:lineRule="exact"/>
        <w:ind w:firstLine="0"/>
        <w:rPr>
          <w:rFonts w:hint="eastAsia"/>
          <w:color w:val="auto"/>
          <w:highlight w:val="none"/>
        </w:rPr>
      </w:pPr>
    </w:p>
    <w:p>
      <w:pPr>
        <w:pStyle w:val="3"/>
        <w:spacing w:line="520" w:lineRule="exact"/>
        <w:ind w:firstLine="0"/>
        <w:rPr>
          <w:rFonts w:hint="eastAsia"/>
          <w:color w:val="auto"/>
          <w:highlight w:val="none"/>
        </w:rPr>
      </w:pPr>
      <w:r>
        <w:rPr>
          <w:rFonts w:hint="eastAsia"/>
          <w:color w:val="auto"/>
          <w:highlight w:val="none"/>
        </w:rPr>
        <w:br w:type="page"/>
      </w:r>
      <w:r>
        <w:rPr>
          <w:rFonts w:hint="eastAsia"/>
          <w:color w:val="auto"/>
          <w:highlight w:val="none"/>
        </w:rPr>
        <w:t>填写说明：</w:t>
      </w:r>
    </w:p>
    <w:p>
      <w:pPr>
        <w:pStyle w:val="3"/>
        <w:spacing w:line="520" w:lineRule="exact"/>
        <w:ind w:firstLine="0"/>
        <w:rPr>
          <w:rFonts w:hint="eastAsia" w:ascii="ˎ̥" w:hAnsi="ˎ̥" w:cs="宋体"/>
          <w:color w:val="auto"/>
          <w:kern w:val="0"/>
          <w:szCs w:val="21"/>
          <w:highlight w:val="none"/>
        </w:rPr>
      </w:pPr>
      <w:r>
        <w:rPr>
          <w:rFonts w:hint="eastAsia" w:ascii="ˎ̥" w:hAnsi="ˎ̥" w:cs="宋体"/>
          <w:color w:val="auto"/>
          <w:kern w:val="0"/>
          <w:szCs w:val="21"/>
          <w:highlight w:val="none"/>
        </w:rPr>
        <w:t>1、根据</w:t>
      </w:r>
      <w:r>
        <w:rPr>
          <w:rFonts w:ascii="ˎ̥" w:hAnsi="ˎ̥" w:cs="宋体"/>
          <w:color w:val="auto"/>
          <w:kern w:val="0"/>
          <w:szCs w:val="21"/>
          <w:highlight w:val="none"/>
        </w:rPr>
        <w:t>工信部联企业[2011]300号</w:t>
      </w:r>
      <w:r>
        <w:rPr>
          <w:rFonts w:hint="eastAsia" w:ascii="ˎ̥" w:hAnsi="ˎ̥" w:cs="宋体"/>
          <w:color w:val="auto"/>
          <w:kern w:val="0"/>
          <w:szCs w:val="21"/>
          <w:highlight w:val="none"/>
        </w:rPr>
        <w:t>文件规定，具体企业行业分为：</w:t>
      </w:r>
      <w:r>
        <w:rPr>
          <w:rFonts w:ascii="ˎ̥" w:hAnsi="ˎ̥" w:cs="宋体"/>
          <w:color w:val="auto"/>
          <w:kern w:val="0"/>
          <w:szCs w:val="21"/>
          <w:highlight w:val="none"/>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ˎ̥" w:hAnsi="ˎ̥" w:cs="宋体"/>
          <w:color w:val="auto"/>
          <w:kern w:val="0"/>
          <w:szCs w:val="21"/>
          <w:highlight w:val="none"/>
        </w:rPr>
        <w:t>一般研发、生产、加工型企业填写工业，销售、贸易型企业填写批发业，具体行业划分依据国家统计局网站公布的</w:t>
      </w:r>
      <w:r>
        <w:rPr>
          <w:rFonts w:ascii="ˎ̥" w:hAnsi="ˎ̥" w:cs="宋体"/>
          <w:color w:val="auto"/>
          <w:kern w:val="0"/>
          <w:szCs w:val="21"/>
          <w:highlight w:val="none"/>
        </w:rPr>
        <w:t>《国民经济行业分类》</w:t>
      </w:r>
      <w:r>
        <w:rPr>
          <w:rFonts w:hint="eastAsia" w:ascii="ˎ̥" w:hAnsi="ˎ̥" w:cs="宋体"/>
          <w:color w:val="auto"/>
          <w:kern w:val="0"/>
          <w:szCs w:val="21"/>
          <w:highlight w:val="none"/>
        </w:rPr>
        <w:t>标准规定。</w:t>
      </w:r>
    </w:p>
    <w:p>
      <w:pPr>
        <w:pStyle w:val="3"/>
        <w:spacing w:line="520" w:lineRule="exact"/>
        <w:ind w:firstLine="0"/>
        <w:rPr>
          <w:rFonts w:hint="eastAsia" w:ascii="ˎ̥" w:hAnsi="ˎ̥" w:cs="宋体"/>
          <w:color w:val="auto"/>
          <w:kern w:val="0"/>
          <w:szCs w:val="21"/>
          <w:highlight w:val="none"/>
        </w:rPr>
      </w:pPr>
      <w:r>
        <w:rPr>
          <w:rFonts w:hint="eastAsia" w:ascii="ˎ̥" w:hAnsi="ˎ̥" w:cs="宋体"/>
          <w:color w:val="auto"/>
          <w:kern w:val="0"/>
          <w:szCs w:val="21"/>
          <w:highlight w:val="none"/>
        </w:rPr>
        <w:t>各行业企业划型标准：</w:t>
      </w:r>
    </w:p>
    <w:p>
      <w:pPr>
        <w:widowControl/>
        <w:spacing w:line="300" w:lineRule="atLeast"/>
        <w:ind w:firstLine="425"/>
        <w:jc w:val="left"/>
        <w:rPr>
          <w:rFonts w:ascii="ˎ̥" w:hAnsi="ˎ̥" w:cs="宋体"/>
          <w:color w:val="auto"/>
          <w:kern w:val="0"/>
          <w:sz w:val="18"/>
          <w:szCs w:val="18"/>
          <w:highlight w:val="none"/>
        </w:rPr>
      </w:pPr>
      <w:r>
        <w:rPr>
          <w:rFonts w:ascii="ˎ̥" w:hAnsi="ˎ̥" w:cs="宋体"/>
          <w:color w:val="auto"/>
          <w:kern w:val="0"/>
          <w:sz w:val="18"/>
          <w:szCs w:val="18"/>
          <w:highlight w:val="none"/>
        </w:rPr>
        <w:t>（</w:t>
      </w:r>
      <w:r>
        <w:rPr>
          <w:rFonts w:hint="eastAsia" w:ascii="ˎ̥" w:hAnsi="ˎ̥" w:cs="宋体"/>
          <w:color w:val="auto"/>
          <w:kern w:val="0"/>
          <w:sz w:val="18"/>
          <w:szCs w:val="18"/>
          <w:highlight w:val="none"/>
        </w:rPr>
        <w:t>1</w:t>
      </w:r>
      <w:r>
        <w:rPr>
          <w:rFonts w:ascii="ˎ̥" w:hAnsi="ˎ̥" w:cs="宋体"/>
          <w:color w:val="auto"/>
          <w:kern w:val="0"/>
          <w:sz w:val="18"/>
          <w:szCs w:val="18"/>
          <w:highlight w:val="none"/>
        </w:rPr>
        <w:t>）农、林、牧、渔业。营业收入20000万元以下的为中小微型企业。其中，营业收入500万元及以上的为中型企业，营业收入50万元及以上的为小型企业，营业收入50万元以下的为微型企业。</w:t>
      </w:r>
    </w:p>
    <w:p>
      <w:pPr>
        <w:widowControl/>
        <w:spacing w:line="300" w:lineRule="atLeast"/>
        <w:jc w:val="left"/>
        <w:rPr>
          <w:rFonts w:ascii="ˎ̥" w:hAnsi="ˎ̥" w:cs="宋体"/>
          <w:color w:val="auto"/>
          <w:kern w:val="0"/>
          <w:sz w:val="18"/>
          <w:szCs w:val="18"/>
          <w:highlight w:val="none"/>
        </w:rPr>
      </w:pPr>
      <w:r>
        <w:rPr>
          <w:rFonts w:ascii="ˎ̥" w:hAnsi="ˎ̥" w:cs="宋体"/>
          <w:color w:val="auto"/>
          <w:kern w:val="0"/>
          <w:sz w:val="18"/>
          <w:szCs w:val="18"/>
          <w:highlight w:val="none"/>
        </w:rPr>
        <w:t>　　（</w:t>
      </w:r>
      <w:r>
        <w:rPr>
          <w:rFonts w:hint="eastAsia" w:ascii="ˎ̥" w:hAnsi="ˎ̥" w:cs="宋体"/>
          <w:color w:val="auto"/>
          <w:kern w:val="0"/>
          <w:sz w:val="18"/>
          <w:szCs w:val="18"/>
          <w:highlight w:val="none"/>
        </w:rPr>
        <w:t>2</w:t>
      </w:r>
      <w:r>
        <w:rPr>
          <w:rFonts w:ascii="ˎ̥" w:hAnsi="ˎ̥" w:cs="宋体"/>
          <w:color w:val="auto"/>
          <w:kern w:val="0"/>
          <w:sz w:val="18"/>
          <w:szCs w:val="18"/>
          <w:highlight w:val="none"/>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widowControl/>
        <w:spacing w:line="300" w:lineRule="atLeast"/>
        <w:jc w:val="left"/>
        <w:rPr>
          <w:rFonts w:ascii="ˎ̥" w:hAnsi="ˎ̥" w:cs="宋体"/>
          <w:color w:val="auto"/>
          <w:kern w:val="0"/>
          <w:sz w:val="18"/>
          <w:szCs w:val="18"/>
          <w:highlight w:val="none"/>
        </w:rPr>
      </w:pPr>
      <w:r>
        <w:rPr>
          <w:rFonts w:ascii="ˎ̥" w:hAnsi="ˎ̥" w:cs="宋体"/>
          <w:color w:val="auto"/>
          <w:kern w:val="0"/>
          <w:sz w:val="18"/>
          <w:szCs w:val="18"/>
          <w:highlight w:val="none"/>
        </w:rPr>
        <w:t>　　（</w:t>
      </w:r>
      <w:r>
        <w:rPr>
          <w:rFonts w:hint="eastAsia" w:ascii="ˎ̥" w:hAnsi="ˎ̥" w:cs="宋体"/>
          <w:color w:val="auto"/>
          <w:kern w:val="0"/>
          <w:sz w:val="18"/>
          <w:szCs w:val="18"/>
          <w:highlight w:val="none"/>
        </w:rPr>
        <w:t>3</w:t>
      </w:r>
      <w:r>
        <w:rPr>
          <w:rFonts w:ascii="ˎ̥" w:hAnsi="ˎ̥" w:cs="宋体"/>
          <w:color w:val="auto"/>
          <w:kern w:val="0"/>
          <w:sz w:val="18"/>
          <w:szCs w:val="18"/>
          <w:highlight w:val="none"/>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widowControl/>
        <w:spacing w:line="300" w:lineRule="atLeast"/>
        <w:jc w:val="left"/>
        <w:rPr>
          <w:rFonts w:ascii="ˎ̥" w:hAnsi="ˎ̥" w:cs="宋体"/>
          <w:color w:val="auto"/>
          <w:kern w:val="0"/>
          <w:sz w:val="18"/>
          <w:szCs w:val="18"/>
          <w:highlight w:val="none"/>
        </w:rPr>
      </w:pPr>
      <w:r>
        <w:rPr>
          <w:rFonts w:ascii="ˎ̥" w:hAnsi="ˎ̥" w:cs="宋体"/>
          <w:color w:val="auto"/>
          <w:kern w:val="0"/>
          <w:sz w:val="18"/>
          <w:szCs w:val="18"/>
          <w:highlight w:val="none"/>
        </w:rPr>
        <w:t>　　（</w:t>
      </w:r>
      <w:r>
        <w:rPr>
          <w:rFonts w:hint="eastAsia" w:ascii="ˎ̥" w:hAnsi="ˎ̥" w:cs="宋体"/>
          <w:color w:val="auto"/>
          <w:kern w:val="0"/>
          <w:sz w:val="18"/>
          <w:szCs w:val="18"/>
          <w:highlight w:val="none"/>
        </w:rPr>
        <w:t>4</w:t>
      </w:r>
      <w:r>
        <w:rPr>
          <w:rFonts w:ascii="ˎ̥" w:hAnsi="ˎ̥" w:cs="宋体"/>
          <w:color w:val="auto"/>
          <w:kern w:val="0"/>
          <w:sz w:val="18"/>
          <w:szCs w:val="18"/>
          <w:highlight w:val="none"/>
        </w:rPr>
        <w:t>）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widowControl/>
        <w:spacing w:line="300" w:lineRule="atLeast"/>
        <w:jc w:val="left"/>
        <w:rPr>
          <w:rFonts w:ascii="ˎ̥" w:hAnsi="ˎ̥" w:cs="宋体"/>
          <w:color w:val="auto"/>
          <w:kern w:val="0"/>
          <w:sz w:val="18"/>
          <w:szCs w:val="18"/>
          <w:highlight w:val="none"/>
        </w:rPr>
      </w:pPr>
      <w:r>
        <w:rPr>
          <w:rFonts w:ascii="ˎ̥" w:hAnsi="ˎ̥" w:cs="宋体"/>
          <w:color w:val="auto"/>
          <w:kern w:val="0"/>
          <w:sz w:val="18"/>
          <w:szCs w:val="18"/>
          <w:highlight w:val="none"/>
        </w:rPr>
        <w:t>　　（</w:t>
      </w:r>
      <w:r>
        <w:rPr>
          <w:rFonts w:hint="eastAsia" w:ascii="ˎ̥" w:hAnsi="ˎ̥" w:cs="宋体"/>
          <w:color w:val="auto"/>
          <w:kern w:val="0"/>
          <w:sz w:val="18"/>
          <w:szCs w:val="18"/>
          <w:highlight w:val="none"/>
        </w:rPr>
        <w:t>5</w:t>
      </w:r>
      <w:r>
        <w:rPr>
          <w:rFonts w:ascii="ˎ̥" w:hAnsi="ˎ̥" w:cs="宋体"/>
          <w:color w:val="auto"/>
          <w:kern w:val="0"/>
          <w:sz w:val="18"/>
          <w:szCs w:val="18"/>
          <w:highlight w:val="none"/>
        </w:rPr>
        <w:t>）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widowControl/>
        <w:spacing w:line="300" w:lineRule="atLeast"/>
        <w:jc w:val="left"/>
        <w:rPr>
          <w:rFonts w:ascii="ˎ̥" w:hAnsi="ˎ̥" w:cs="宋体"/>
          <w:color w:val="auto"/>
          <w:kern w:val="0"/>
          <w:sz w:val="18"/>
          <w:szCs w:val="18"/>
          <w:highlight w:val="none"/>
        </w:rPr>
      </w:pPr>
      <w:r>
        <w:rPr>
          <w:rFonts w:ascii="ˎ̥" w:hAnsi="ˎ̥" w:cs="宋体"/>
          <w:color w:val="auto"/>
          <w:kern w:val="0"/>
          <w:sz w:val="18"/>
          <w:szCs w:val="18"/>
          <w:highlight w:val="none"/>
        </w:rPr>
        <w:t>　　（</w:t>
      </w:r>
      <w:r>
        <w:rPr>
          <w:rFonts w:hint="eastAsia" w:ascii="ˎ̥" w:hAnsi="ˎ̥" w:cs="宋体"/>
          <w:color w:val="auto"/>
          <w:kern w:val="0"/>
          <w:sz w:val="18"/>
          <w:szCs w:val="18"/>
          <w:highlight w:val="none"/>
        </w:rPr>
        <w:t>6</w:t>
      </w:r>
      <w:r>
        <w:rPr>
          <w:rFonts w:ascii="ˎ̥" w:hAnsi="ˎ̥" w:cs="宋体"/>
          <w:color w:val="auto"/>
          <w:kern w:val="0"/>
          <w:sz w:val="18"/>
          <w:szCs w:val="18"/>
          <w:highlight w:val="none"/>
        </w:rPr>
        <w:t>）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widowControl/>
        <w:spacing w:line="300" w:lineRule="atLeast"/>
        <w:jc w:val="left"/>
        <w:rPr>
          <w:rFonts w:ascii="ˎ̥" w:hAnsi="ˎ̥" w:cs="宋体"/>
          <w:color w:val="auto"/>
          <w:kern w:val="0"/>
          <w:sz w:val="18"/>
          <w:szCs w:val="18"/>
          <w:highlight w:val="none"/>
        </w:rPr>
      </w:pPr>
      <w:r>
        <w:rPr>
          <w:rFonts w:ascii="ˎ̥" w:hAnsi="ˎ̥" w:cs="宋体"/>
          <w:color w:val="auto"/>
          <w:kern w:val="0"/>
          <w:sz w:val="18"/>
          <w:szCs w:val="18"/>
          <w:highlight w:val="none"/>
        </w:rPr>
        <w:t>　　（</w:t>
      </w:r>
      <w:r>
        <w:rPr>
          <w:rFonts w:hint="eastAsia" w:ascii="ˎ̥" w:hAnsi="ˎ̥" w:cs="宋体"/>
          <w:color w:val="auto"/>
          <w:kern w:val="0"/>
          <w:sz w:val="18"/>
          <w:szCs w:val="18"/>
          <w:highlight w:val="none"/>
        </w:rPr>
        <w:t>7</w:t>
      </w:r>
      <w:r>
        <w:rPr>
          <w:rFonts w:ascii="ˎ̥" w:hAnsi="ˎ̥" w:cs="宋体"/>
          <w:color w:val="auto"/>
          <w:kern w:val="0"/>
          <w:sz w:val="18"/>
          <w:szCs w:val="18"/>
          <w:highlight w:val="none"/>
        </w:rPr>
        <w:t>）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widowControl/>
        <w:spacing w:line="300" w:lineRule="atLeast"/>
        <w:jc w:val="left"/>
        <w:rPr>
          <w:rFonts w:ascii="ˎ̥" w:hAnsi="ˎ̥" w:cs="宋体"/>
          <w:color w:val="auto"/>
          <w:kern w:val="0"/>
          <w:sz w:val="18"/>
          <w:szCs w:val="18"/>
          <w:highlight w:val="none"/>
        </w:rPr>
      </w:pPr>
      <w:r>
        <w:rPr>
          <w:rFonts w:ascii="ˎ̥" w:hAnsi="ˎ̥" w:cs="宋体"/>
          <w:color w:val="auto"/>
          <w:kern w:val="0"/>
          <w:sz w:val="18"/>
          <w:szCs w:val="18"/>
          <w:highlight w:val="none"/>
        </w:rPr>
        <w:t>　　（</w:t>
      </w:r>
      <w:r>
        <w:rPr>
          <w:rFonts w:hint="eastAsia" w:ascii="ˎ̥" w:hAnsi="ˎ̥" w:cs="宋体"/>
          <w:color w:val="auto"/>
          <w:kern w:val="0"/>
          <w:sz w:val="18"/>
          <w:szCs w:val="18"/>
          <w:highlight w:val="none"/>
        </w:rPr>
        <w:t>8</w:t>
      </w:r>
      <w:r>
        <w:rPr>
          <w:rFonts w:ascii="ˎ̥" w:hAnsi="ˎ̥" w:cs="宋体"/>
          <w:color w:val="auto"/>
          <w:kern w:val="0"/>
          <w:sz w:val="18"/>
          <w:szCs w:val="18"/>
          <w:highlight w:val="none"/>
        </w:rPr>
        <w:t>）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widowControl/>
        <w:spacing w:line="300" w:lineRule="atLeast"/>
        <w:jc w:val="left"/>
        <w:rPr>
          <w:rFonts w:ascii="ˎ̥" w:hAnsi="ˎ̥" w:cs="宋体"/>
          <w:color w:val="auto"/>
          <w:kern w:val="0"/>
          <w:sz w:val="18"/>
          <w:szCs w:val="18"/>
          <w:highlight w:val="none"/>
        </w:rPr>
      </w:pPr>
      <w:r>
        <w:rPr>
          <w:rFonts w:ascii="ˎ̥" w:hAnsi="ˎ̥" w:cs="宋体"/>
          <w:color w:val="auto"/>
          <w:kern w:val="0"/>
          <w:sz w:val="18"/>
          <w:szCs w:val="18"/>
          <w:highlight w:val="none"/>
        </w:rPr>
        <w:t>　　（</w:t>
      </w:r>
      <w:r>
        <w:rPr>
          <w:rFonts w:hint="eastAsia" w:ascii="ˎ̥" w:hAnsi="ˎ̥" w:cs="宋体"/>
          <w:color w:val="auto"/>
          <w:kern w:val="0"/>
          <w:sz w:val="18"/>
          <w:szCs w:val="18"/>
          <w:highlight w:val="none"/>
        </w:rPr>
        <w:t>9</w:t>
      </w:r>
      <w:r>
        <w:rPr>
          <w:rFonts w:ascii="ˎ̥" w:hAnsi="ˎ̥" w:cs="宋体"/>
          <w:color w:val="auto"/>
          <w:kern w:val="0"/>
          <w:sz w:val="18"/>
          <w:szCs w:val="18"/>
          <w:highlight w:val="none"/>
        </w:rPr>
        <w:t>）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widowControl/>
        <w:spacing w:line="300" w:lineRule="atLeast"/>
        <w:jc w:val="left"/>
        <w:rPr>
          <w:rFonts w:ascii="ˎ̥" w:hAnsi="ˎ̥" w:cs="宋体"/>
          <w:color w:val="auto"/>
          <w:kern w:val="0"/>
          <w:sz w:val="18"/>
          <w:szCs w:val="18"/>
          <w:highlight w:val="none"/>
        </w:rPr>
      </w:pPr>
      <w:r>
        <w:rPr>
          <w:rFonts w:ascii="ˎ̥" w:hAnsi="ˎ̥" w:cs="宋体"/>
          <w:color w:val="auto"/>
          <w:kern w:val="0"/>
          <w:sz w:val="18"/>
          <w:szCs w:val="18"/>
          <w:highlight w:val="none"/>
        </w:rPr>
        <w:t>　　（</w:t>
      </w:r>
      <w:r>
        <w:rPr>
          <w:rFonts w:hint="eastAsia" w:ascii="ˎ̥" w:hAnsi="ˎ̥" w:cs="宋体"/>
          <w:color w:val="auto"/>
          <w:kern w:val="0"/>
          <w:sz w:val="18"/>
          <w:szCs w:val="18"/>
          <w:highlight w:val="none"/>
        </w:rPr>
        <w:t>10</w:t>
      </w:r>
      <w:r>
        <w:rPr>
          <w:rFonts w:ascii="ˎ̥" w:hAnsi="ˎ̥" w:cs="宋体"/>
          <w:color w:val="auto"/>
          <w:kern w:val="0"/>
          <w:sz w:val="18"/>
          <w:szCs w:val="18"/>
          <w:highlight w:val="none"/>
        </w:rPr>
        <w:t>）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widowControl/>
        <w:spacing w:line="300" w:lineRule="atLeast"/>
        <w:jc w:val="left"/>
        <w:rPr>
          <w:rFonts w:ascii="ˎ̥" w:hAnsi="ˎ̥" w:cs="宋体"/>
          <w:color w:val="auto"/>
          <w:kern w:val="0"/>
          <w:sz w:val="18"/>
          <w:szCs w:val="18"/>
          <w:highlight w:val="none"/>
        </w:rPr>
      </w:pPr>
      <w:r>
        <w:rPr>
          <w:rFonts w:ascii="ˎ̥" w:hAnsi="ˎ̥" w:cs="宋体"/>
          <w:color w:val="auto"/>
          <w:kern w:val="0"/>
          <w:sz w:val="18"/>
          <w:szCs w:val="18"/>
          <w:highlight w:val="none"/>
        </w:rPr>
        <w:t>　　（</w:t>
      </w:r>
      <w:r>
        <w:rPr>
          <w:rFonts w:hint="eastAsia" w:ascii="ˎ̥" w:hAnsi="ˎ̥" w:cs="宋体"/>
          <w:color w:val="auto"/>
          <w:kern w:val="0"/>
          <w:sz w:val="18"/>
          <w:szCs w:val="18"/>
          <w:highlight w:val="none"/>
        </w:rPr>
        <w:t>11</w:t>
      </w:r>
      <w:r>
        <w:rPr>
          <w:rFonts w:ascii="ˎ̥" w:hAnsi="ˎ̥" w:cs="宋体"/>
          <w:color w:val="auto"/>
          <w:kern w:val="0"/>
          <w:sz w:val="18"/>
          <w:szCs w:val="18"/>
          <w:highlight w:val="none"/>
        </w:rPr>
        <w:t>）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widowControl/>
        <w:spacing w:line="300" w:lineRule="atLeast"/>
        <w:jc w:val="left"/>
        <w:rPr>
          <w:rFonts w:ascii="ˎ̥" w:hAnsi="ˎ̥" w:cs="宋体"/>
          <w:color w:val="auto"/>
          <w:kern w:val="0"/>
          <w:sz w:val="18"/>
          <w:szCs w:val="18"/>
          <w:highlight w:val="none"/>
        </w:rPr>
      </w:pPr>
      <w:r>
        <w:rPr>
          <w:rFonts w:ascii="ˎ̥" w:hAnsi="ˎ̥" w:cs="宋体"/>
          <w:color w:val="auto"/>
          <w:kern w:val="0"/>
          <w:sz w:val="18"/>
          <w:szCs w:val="18"/>
          <w:highlight w:val="none"/>
        </w:rPr>
        <w:t>　　（</w:t>
      </w:r>
      <w:r>
        <w:rPr>
          <w:rFonts w:hint="eastAsia" w:ascii="ˎ̥" w:hAnsi="ˎ̥" w:cs="宋体"/>
          <w:color w:val="auto"/>
          <w:kern w:val="0"/>
          <w:sz w:val="18"/>
          <w:szCs w:val="18"/>
          <w:highlight w:val="none"/>
        </w:rPr>
        <w:t>12</w:t>
      </w:r>
      <w:r>
        <w:rPr>
          <w:rFonts w:ascii="ˎ̥" w:hAnsi="ˎ̥" w:cs="宋体"/>
          <w:color w:val="auto"/>
          <w:kern w:val="0"/>
          <w:sz w:val="18"/>
          <w:szCs w:val="18"/>
          <w:highlight w:val="none"/>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widowControl/>
        <w:spacing w:line="300" w:lineRule="atLeast"/>
        <w:jc w:val="left"/>
        <w:rPr>
          <w:rFonts w:ascii="ˎ̥" w:hAnsi="ˎ̥" w:cs="宋体"/>
          <w:color w:val="auto"/>
          <w:kern w:val="0"/>
          <w:sz w:val="18"/>
          <w:szCs w:val="18"/>
          <w:highlight w:val="none"/>
        </w:rPr>
      </w:pPr>
      <w:r>
        <w:rPr>
          <w:rFonts w:ascii="ˎ̥" w:hAnsi="ˎ̥" w:cs="宋体"/>
          <w:color w:val="auto"/>
          <w:kern w:val="0"/>
          <w:sz w:val="18"/>
          <w:szCs w:val="18"/>
          <w:highlight w:val="none"/>
        </w:rPr>
        <w:t>　　（</w:t>
      </w:r>
      <w:r>
        <w:rPr>
          <w:rFonts w:hint="eastAsia" w:ascii="ˎ̥" w:hAnsi="ˎ̥" w:cs="宋体"/>
          <w:color w:val="auto"/>
          <w:kern w:val="0"/>
          <w:sz w:val="18"/>
          <w:szCs w:val="18"/>
          <w:highlight w:val="none"/>
        </w:rPr>
        <w:t>13</w:t>
      </w:r>
      <w:r>
        <w:rPr>
          <w:rFonts w:ascii="ˎ̥" w:hAnsi="ˎ̥" w:cs="宋体"/>
          <w:color w:val="auto"/>
          <w:kern w:val="0"/>
          <w:sz w:val="18"/>
          <w:szCs w:val="18"/>
          <w:highlight w:val="none"/>
        </w:rPr>
        <w:t>）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widowControl/>
        <w:spacing w:line="300" w:lineRule="atLeast"/>
        <w:jc w:val="left"/>
        <w:rPr>
          <w:rFonts w:ascii="ˎ̥" w:hAnsi="ˎ̥" w:cs="宋体"/>
          <w:color w:val="auto"/>
          <w:kern w:val="0"/>
          <w:sz w:val="18"/>
          <w:szCs w:val="18"/>
          <w:highlight w:val="none"/>
        </w:rPr>
      </w:pPr>
      <w:r>
        <w:rPr>
          <w:rFonts w:ascii="ˎ̥" w:hAnsi="ˎ̥" w:cs="宋体"/>
          <w:color w:val="auto"/>
          <w:kern w:val="0"/>
          <w:sz w:val="18"/>
          <w:szCs w:val="18"/>
          <w:highlight w:val="none"/>
        </w:rPr>
        <w:t>　　（</w:t>
      </w:r>
      <w:r>
        <w:rPr>
          <w:rFonts w:hint="eastAsia" w:ascii="ˎ̥" w:hAnsi="ˎ̥" w:cs="宋体"/>
          <w:color w:val="auto"/>
          <w:kern w:val="0"/>
          <w:sz w:val="18"/>
          <w:szCs w:val="18"/>
          <w:highlight w:val="none"/>
        </w:rPr>
        <w:t>14</w:t>
      </w:r>
      <w:r>
        <w:rPr>
          <w:rFonts w:ascii="ˎ̥" w:hAnsi="ˎ̥" w:cs="宋体"/>
          <w:color w:val="auto"/>
          <w:kern w:val="0"/>
          <w:sz w:val="18"/>
          <w:szCs w:val="18"/>
          <w:highlight w:val="none"/>
        </w:rPr>
        <w:t>）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widowControl/>
        <w:spacing w:line="300" w:lineRule="atLeast"/>
        <w:jc w:val="left"/>
        <w:rPr>
          <w:rFonts w:ascii="ˎ̥" w:hAnsi="ˎ̥" w:cs="宋体"/>
          <w:color w:val="auto"/>
          <w:kern w:val="0"/>
          <w:sz w:val="18"/>
          <w:szCs w:val="18"/>
          <w:highlight w:val="none"/>
        </w:rPr>
      </w:pPr>
      <w:r>
        <w:rPr>
          <w:rFonts w:ascii="ˎ̥" w:hAnsi="ˎ̥" w:cs="宋体"/>
          <w:color w:val="auto"/>
          <w:kern w:val="0"/>
          <w:sz w:val="18"/>
          <w:szCs w:val="18"/>
          <w:highlight w:val="none"/>
        </w:rPr>
        <w:t>　　（</w:t>
      </w:r>
      <w:r>
        <w:rPr>
          <w:rFonts w:hint="eastAsia" w:ascii="ˎ̥" w:hAnsi="ˎ̥" w:cs="宋体"/>
          <w:color w:val="auto"/>
          <w:kern w:val="0"/>
          <w:sz w:val="18"/>
          <w:szCs w:val="18"/>
          <w:highlight w:val="none"/>
        </w:rPr>
        <w:t>15</w:t>
      </w:r>
      <w:r>
        <w:rPr>
          <w:rFonts w:ascii="ˎ̥" w:hAnsi="ˎ̥" w:cs="宋体"/>
          <w:color w:val="auto"/>
          <w:kern w:val="0"/>
          <w:sz w:val="18"/>
          <w:szCs w:val="18"/>
          <w:highlight w:val="none"/>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widowControl/>
        <w:spacing w:line="300" w:lineRule="atLeast"/>
        <w:jc w:val="left"/>
        <w:rPr>
          <w:rFonts w:ascii="ˎ̥" w:hAnsi="ˎ̥" w:cs="宋体"/>
          <w:color w:val="auto"/>
          <w:kern w:val="0"/>
          <w:sz w:val="18"/>
          <w:szCs w:val="18"/>
          <w:highlight w:val="none"/>
        </w:rPr>
      </w:pPr>
      <w:r>
        <w:rPr>
          <w:rFonts w:ascii="ˎ̥" w:hAnsi="ˎ̥" w:cs="宋体"/>
          <w:color w:val="auto"/>
          <w:kern w:val="0"/>
          <w:sz w:val="18"/>
          <w:szCs w:val="18"/>
          <w:highlight w:val="none"/>
        </w:rPr>
        <w:t>　　（</w:t>
      </w:r>
      <w:r>
        <w:rPr>
          <w:rFonts w:hint="eastAsia" w:ascii="ˎ̥" w:hAnsi="ˎ̥" w:cs="宋体"/>
          <w:color w:val="auto"/>
          <w:kern w:val="0"/>
          <w:sz w:val="18"/>
          <w:szCs w:val="18"/>
          <w:highlight w:val="none"/>
        </w:rPr>
        <w:t>16</w:t>
      </w:r>
      <w:r>
        <w:rPr>
          <w:rFonts w:ascii="ˎ̥" w:hAnsi="ˎ̥" w:cs="宋体"/>
          <w:color w:val="auto"/>
          <w:kern w:val="0"/>
          <w:sz w:val="18"/>
          <w:szCs w:val="18"/>
          <w:highlight w:val="none"/>
        </w:rPr>
        <w:t>）其他未列明行业。从业人员300人以下的为中小微型企业。其中，从业人员100人及以上的为中型企业；从业人员10人及以上的为小型企业；从业人员10人以下的为微型企业。</w:t>
      </w:r>
    </w:p>
    <w:p>
      <w:pPr>
        <w:pStyle w:val="3"/>
        <w:spacing w:line="520" w:lineRule="exact"/>
        <w:ind w:firstLine="425"/>
        <w:rPr>
          <w:rFonts w:hint="eastAsia" w:ascii="ˎ̥" w:hAnsi="ˎ̥" w:cs="宋体"/>
          <w:color w:val="auto"/>
          <w:kern w:val="0"/>
          <w:szCs w:val="21"/>
          <w:highlight w:val="none"/>
        </w:rPr>
      </w:pPr>
      <w:r>
        <w:rPr>
          <w:rFonts w:ascii="ˎ̥" w:hAnsi="ˎ̥" w:cs="宋体"/>
          <w:color w:val="auto"/>
          <w:kern w:val="0"/>
          <w:szCs w:val="21"/>
          <w:highlight w:val="none"/>
        </w:rPr>
        <w:t>中型企业标准上限即为大型企业标准的下限</w:t>
      </w:r>
      <w:r>
        <w:rPr>
          <w:rFonts w:hint="eastAsia" w:ascii="ˎ̥" w:hAnsi="ˎ̥" w:cs="宋体"/>
          <w:color w:val="auto"/>
          <w:kern w:val="0"/>
          <w:szCs w:val="21"/>
          <w:highlight w:val="none"/>
        </w:rPr>
        <w:t>。</w:t>
      </w:r>
    </w:p>
    <w:p>
      <w:pPr>
        <w:pStyle w:val="3"/>
        <w:spacing w:line="520" w:lineRule="exact"/>
        <w:ind w:firstLine="425"/>
        <w:rPr>
          <w:rFonts w:hint="eastAsia"/>
          <w:color w:val="auto"/>
          <w:highlight w:val="none"/>
        </w:rPr>
      </w:pPr>
      <w:r>
        <w:rPr>
          <w:rFonts w:hint="eastAsia"/>
          <w:color w:val="auto"/>
          <w:highlight w:val="none"/>
        </w:rPr>
        <w:t>新成立企业暂以当前实际数据填报，事业社团其他类型供应商参照执行。</w:t>
      </w:r>
    </w:p>
    <w:p>
      <w:pPr>
        <w:pStyle w:val="18"/>
        <w:spacing w:line="360" w:lineRule="atLeast"/>
        <w:rPr>
          <w:rStyle w:val="23"/>
          <w:rFonts w:hint="eastAsia" w:ascii="Arial" w:hAnsi="Arial" w:cs="Arial"/>
          <w:color w:val="auto"/>
          <w:sz w:val="21"/>
          <w:szCs w:val="21"/>
          <w:highlight w:val="none"/>
        </w:rPr>
      </w:pPr>
      <w:r>
        <w:rPr>
          <w:rStyle w:val="23"/>
          <w:rFonts w:ascii="Arial" w:hAnsi="Arial" w:eastAsia="Arial" w:cs="Arial"/>
          <w:color w:val="auto"/>
          <w:sz w:val="21"/>
          <w:szCs w:val="21"/>
          <w:highlight w:val="none"/>
        </w:rPr>
        <w:t>从业人数包括与企业建立劳动关系的职工人数和企业接受的劳务派遣用工人数</w:t>
      </w:r>
      <w:r>
        <w:rPr>
          <w:rStyle w:val="23"/>
          <w:rFonts w:hint="eastAsia" w:ascii="Arial" w:hAnsi="Arial" w:cs="Arial"/>
          <w:color w:val="auto"/>
          <w:sz w:val="21"/>
          <w:szCs w:val="21"/>
          <w:highlight w:val="none"/>
        </w:rPr>
        <w:t>。</w:t>
      </w:r>
    </w:p>
    <w:p>
      <w:pPr>
        <w:pStyle w:val="18"/>
        <w:spacing w:line="360" w:lineRule="atLeast"/>
        <w:rPr>
          <w:rFonts w:hint="eastAsia"/>
          <w:b/>
          <w:color w:val="auto"/>
          <w:sz w:val="21"/>
          <w:szCs w:val="21"/>
          <w:highlight w:val="none"/>
        </w:rPr>
      </w:pPr>
      <w:r>
        <w:rPr>
          <w:rFonts w:hint="eastAsia"/>
          <w:b/>
          <w:color w:val="auto"/>
          <w:sz w:val="21"/>
          <w:szCs w:val="21"/>
          <w:highlight w:val="none"/>
        </w:rPr>
        <w:t>以分公司投标的，须填写法人公司的企业划型。</w:t>
      </w:r>
    </w:p>
    <w:p>
      <w:pPr>
        <w:pStyle w:val="3"/>
        <w:spacing w:line="520" w:lineRule="exact"/>
        <w:ind w:left="480" w:firstLine="0"/>
        <w:rPr>
          <w:rFonts w:hint="eastAsia"/>
          <w:color w:val="auto"/>
          <w:highlight w:val="none"/>
        </w:rPr>
      </w:pPr>
      <w:r>
        <w:rPr>
          <w:rFonts w:hint="eastAsia"/>
          <w:color w:val="auto"/>
          <w:highlight w:val="none"/>
        </w:rPr>
        <w:t>2、联合体投标的，由联合体各方按照分工金额分别提供本表。</w:t>
      </w:r>
    </w:p>
    <w:p>
      <w:pPr>
        <w:pStyle w:val="3"/>
        <w:numPr>
          <w:ilvl w:val="0"/>
          <w:numId w:val="15"/>
        </w:numPr>
        <w:spacing w:line="520" w:lineRule="exact"/>
        <w:ind w:firstLine="480"/>
        <w:rPr>
          <w:rFonts w:hint="eastAsia"/>
          <w:color w:val="auto"/>
          <w:highlight w:val="none"/>
        </w:rPr>
      </w:pPr>
      <w:r>
        <w:rPr>
          <w:rFonts w:hint="eastAsia" w:ascii="宋体" w:hAnsi="宋体"/>
          <w:color w:val="auto"/>
          <w:szCs w:val="21"/>
          <w:highlight w:val="none"/>
        </w:rPr>
        <w:t>如供应商是代理商，提供其他企业制造的货物，请如实填写其他企业的划分类型并对其真实性负责。</w:t>
      </w:r>
    </w:p>
    <w:p>
      <w:pPr>
        <w:pStyle w:val="3"/>
        <w:numPr>
          <w:ilvl w:val="0"/>
          <w:numId w:val="15"/>
        </w:numPr>
        <w:spacing w:line="520" w:lineRule="exact"/>
        <w:ind w:firstLine="480"/>
        <w:rPr>
          <w:rFonts w:hint="eastAsia"/>
          <w:color w:val="auto"/>
          <w:highlight w:val="none"/>
        </w:rPr>
      </w:pPr>
      <w:r>
        <w:rPr>
          <w:rFonts w:hint="eastAsia" w:ascii="宋体" w:hAnsi="宋体"/>
          <w:color w:val="auto"/>
          <w:szCs w:val="21"/>
          <w:highlight w:val="none"/>
        </w:rPr>
        <w:t>小型、微型企业提供中型企业制造的货物时视同中型企业，因此，只有小微企业提供自己的货物或者小微企业提供其他小微企业的货物时，才能享受评标标准里的价格扣除优惠。</w:t>
      </w:r>
    </w:p>
    <w:p>
      <w:pPr>
        <w:pStyle w:val="3"/>
        <w:numPr>
          <w:ilvl w:val="0"/>
          <w:numId w:val="15"/>
        </w:numPr>
        <w:spacing w:line="520" w:lineRule="exact"/>
        <w:ind w:firstLine="480"/>
        <w:rPr>
          <w:rFonts w:hint="eastAsia" w:ascii="宋体" w:hAnsi="宋体"/>
          <w:color w:val="auto"/>
          <w:szCs w:val="21"/>
          <w:highlight w:val="none"/>
        </w:rPr>
      </w:pPr>
      <w:r>
        <w:rPr>
          <w:rFonts w:hint="eastAsia" w:ascii="宋体" w:hAnsi="宋体"/>
          <w:color w:val="auto"/>
          <w:szCs w:val="21"/>
          <w:highlight w:val="none"/>
        </w:rPr>
        <w:t>符合《关于促进残疾人就业政府采购政策的通知》（财库〔2017〕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微型企业。</w:t>
      </w:r>
    </w:p>
    <w:p>
      <w:pPr>
        <w:pStyle w:val="3"/>
        <w:spacing w:line="520" w:lineRule="exact"/>
        <w:ind w:firstLine="0"/>
        <w:rPr>
          <w:rFonts w:hint="eastAsia"/>
          <w:color w:val="auto"/>
          <w:highlight w:val="none"/>
        </w:rPr>
      </w:pPr>
    </w:p>
    <w:p>
      <w:pPr>
        <w:rPr>
          <w:rFonts w:hint="eastAsia" w:ascii="ˎ̥" w:hAnsi="ˎ̥"/>
          <w:i/>
          <w:color w:val="auto"/>
          <w:szCs w:val="21"/>
          <w:highlight w:val="none"/>
        </w:rPr>
      </w:pPr>
    </w:p>
    <w:p>
      <w:pPr>
        <w:spacing w:line="588" w:lineRule="exact"/>
        <w:jc w:val="center"/>
        <w:rPr>
          <w:rFonts w:ascii="仿宋_GB2312" w:eastAsia="仿宋_GB2312"/>
          <w:b/>
          <w:color w:val="auto"/>
          <w:spacing w:val="6"/>
          <w:sz w:val="32"/>
          <w:szCs w:val="32"/>
          <w:highlight w:val="none"/>
        </w:rPr>
      </w:pPr>
      <w:r>
        <w:rPr>
          <w:rFonts w:ascii="仿宋_GB2312" w:eastAsia="仿宋_GB2312"/>
          <w:color w:val="auto"/>
          <w:sz w:val="32"/>
          <w:highlight w:val="none"/>
        </w:rPr>
        <w:br w:type="page"/>
      </w:r>
      <w:bookmarkStart w:id="62" w:name="OLE_LINK14"/>
      <w:bookmarkStart w:id="63" w:name="OLE_LINK13"/>
      <w:r>
        <w:rPr>
          <w:rFonts w:hint="eastAsia" w:ascii="仿宋_GB2312" w:eastAsia="仿宋_GB2312"/>
          <w:color w:val="auto"/>
          <w:sz w:val="32"/>
          <w:highlight w:val="none"/>
        </w:rPr>
        <w:t>7、</w:t>
      </w:r>
      <w:r>
        <w:rPr>
          <w:rFonts w:hint="eastAsia" w:ascii="仿宋_GB2312" w:eastAsia="仿宋_GB2312"/>
          <w:b/>
          <w:color w:val="auto"/>
          <w:spacing w:val="6"/>
          <w:sz w:val="32"/>
          <w:szCs w:val="32"/>
          <w:highlight w:val="none"/>
        </w:rPr>
        <w:t>残疾人福利性单位声明函</w:t>
      </w:r>
    </w:p>
    <w:bookmarkEnd w:id="62"/>
    <w:bookmarkEnd w:id="63"/>
    <w:p>
      <w:pPr>
        <w:spacing w:line="588" w:lineRule="exact"/>
        <w:rPr>
          <w:rFonts w:ascii="仿宋_GB2312" w:eastAsia="仿宋_GB2312"/>
          <w:b/>
          <w:color w:val="auto"/>
          <w:spacing w:val="6"/>
          <w:sz w:val="30"/>
          <w:szCs w:val="30"/>
          <w:highlight w:val="none"/>
        </w:rPr>
      </w:pPr>
    </w:p>
    <w:p>
      <w:pPr>
        <w:spacing w:line="588" w:lineRule="exact"/>
        <w:ind w:firstLine="504" w:firstLineChars="20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cs="宋体"/>
          <w:color w:val="auto"/>
          <w:sz w:val="24"/>
          <w:szCs w:val="24"/>
          <w:highlight w:val="none"/>
        </w:rPr>
        <w:t>〔2017〕141</w:t>
      </w:r>
      <w:r>
        <w:rPr>
          <w:rFonts w:hint="eastAsia" w:ascii="宋体" w:hAnsi="宋体" w:cs="宋体"/>
          <w:color w:val="auto"/>
          <w:spacing w:val="6"/>
          <w:sz w:val="24"/>
          <w:szCs w:val="24"/>
          <w:highlight w:val="none"/>
        </w:rPr>
        <w:t>号）的规定，本单位为符合条件的残疾人福利性单位，且本单位参加</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XXXX</w:t>
      </w:r>
      <w:r>
        <w:rPr>
          <w:rFonts w:hint="eastAsia" w:ascii="宋体" w:hAnsi="宋体" w:cs="宋体"/>
          <w:color w:val="auto"/>
          <w:sz w:val="24"/>
          <w:szCs w:val="24"/>
          <w:highlight w:val="none"/>
        </w:rPr>
        <w:t>项目（采购编号：</w:t>
      </w:r>
      <w:r>
        <w:rPr>
          <w:rFonts w:hint="eastAsia" w:ascii="宋体" w:hAnsi="宋体" w:cs="宋体"/>
          <w:color w:val="auto"/>
          <w:sz w:val="24"/>
          <w:szCs w:val="24"/>
          <w:highlight w:val="none"/>
          <w:u w:val="single"/>
        </w:rPr>
        <w:t>XXXX</w:t>
      </w:r>
      <w:r>
        <w:rPr>
          <w:rFonts w:hint="eastAsia" w:ascii="宋体" w:hAnsi="宋体" w:cs="宋体"/>
          <w:color w:val="auto"/>
          <w:sz w:val="24"/>
          <w:szCs w:val="24"/>
          <w:highlight w:val="none"/>
        </w:rPr>
        <w:t>）”</w:t>
      </w:r>
      <w:r>
        <w:rPr>
          <w:rFonts w:hint="eastAsia" w:ascii="宋体" w:hAnsi="宋体" w:cs="宋体"/>
          <w:color w:val="auto"/>
          <w:spacing w:val="6"/>
          <w:sz w:val="24"/>
          <w:szCs w:val="24"/>
          <w:highlight w:val="none"/>
        </w:rPr>
        <w:t>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本单位对上述声明的真实性负责。如有虚假，将依法承担相应责任。</w:t>
      </w:r>
    </w:p>
    <w:p>
      <w:pPr>
        <w:spacing w:line="588" w:lineRule="exact"/>
        <w:ind w:firstLine="504" w:firstLineChars="200"/>
        <w:rPr>
          <w:rFonts w:hint="eastAsia" w:ascii="宋体" w:hAnsi="宋体" w:cs="宋体"/>
          <w:color w:val="auto"/>
          <w:spacing w:val="6"/>
          <w:sz w:val="24"/>
          <w:szCs w:val="24"/>
          <w:highlight w:val="none"/>
        </w:rPr>
      </w:pPr>
    </w:p>
    <w:p>
      <w:pPr>
        <w:spacing w:line="588" w:lineRule="exact"/>
        <w:ind w:firstLine="504" w:firstLineChars="200"/>
        <w:rPr>
          <w:rFonts w:hint="eastAsia" w:ascii="宋体" w:hAnsi="宋体" w:cs="宋体"/>
          <w:color w:val="auto"/>
          <w:spacing w:val="6"/>
          <w:sz w:val="24"/>
          <w:szCs w:val="24"/>
          <w:highlight w:val="none"/>
        </w:rPr>
      </w:pPr>
    </w:p>
    <w:p>
      <w:pPr>
        <w:tabs>
          <w:tab w:val="left" w:pos="4860"/>
        </w:tabs>
        <w:spacing w:line="588" w:lineRule="exact"/>
        <w:ind w:right="1560" w:firstLine="504" w:firstLineChars="200"/>
        <w:jc w:val="center"/>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投标单位名称（盖CA章）：</w:t>
      </w:r>
    </w:p>
    <w:p>
      <w:pPr>
        <w:tabs>
          <w:tab w:val="left" w:pos="4860"/>
        </w:tabs>
        <w:spacing w:line="588" w:lineRule="exact"/>
        <w:ind w:right="1560" w:firstLine="504" w:firstLineChars="200"/>
        <w:jc w:val="center"/>
        <w:rPr>
          <w:rFonts w:hint="eastAsia" w:ascii="宋体" w:hAnsi="宋体" w:cs="宋体"/>
          <w:color w:val="auto"/>
          <w:spacing w:val="6"/>
          <w:sz w:val="24"/>
          <w:szCs w:val="24"/>
          <w:highlight w:val="none"/>
        </w:rPr>
      </w:pPr>
    </w:p>
    <w:p>
      <w:pPr>
        <w:tabs>
          <w:tab w:val="left" w:pos="4860"/>
        </w:tabs>
        <w:spacing w:line="588" w:lineRule="exact"/>
        <w:ind w:right="1560" w:firstLine="504" w:firstLineChars="200"/>
        <w:jc w:val="center"/>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日  期：</w:t>
      </w:r>
    </w:p>
    <w:p>
      <w:pPr>
        <w:tabs>
          <w:tab w:val="left" w:pos="4860"/>
        </w:tabs>
        <w:spacing w:line="588" w:lineRule="exact"/>
        <w:ind w:right="1560" w:firstLine="504" w:firstLineChars="200"/>
        <w:jc w:val="left"/>
        <w:rPr>
          <w:rFonts w:hint="eastAsia" w:ascii="宋体" w:hAnsi="宋体" w:cs="宋体"/>
          <w:color w:val="auto"/>
          <w:spacing w:val="6"/>
          <w:szCs w:val="21"/>
          <w:highlight w:val="none"/>
        </w:rPr>
      </w:pPr>
      <w:r>
        <w:rPr>
          <w:rFonts w:hint="eastAsia" w:ascii="宋体" w:hAnsi="宋体" w:cs="宋体"/>
          <w:color w:val="auto"/>
          <w:spacing w:val="6"/>
          <w:sz w:val="24"/>
          <w:szCs w:val="24"/>
          <w:highlight w:val="none"/>
        </w:rPr>
        <w:br w:type="page"/>
      </w:r>
      <w:r>
        <w:rPr>
          <w:rFonts w:hint="eastAsia" w:ascii="宋体" w:hAnsi="宋体" w:cs="宋体"/>
          <w:color w:val="auto"/>
          <w:spacing w:val="6"/>
          <w:szCs w:val="21"/>
          <w:highlight w:val="none"/>
        </w:rPr>
        <w:t>填写说明：</w:t>
      </w:r>
    </w:p>
    <w:p>
      <w:pPr>
        <w:numPr>
          <w:ilvl w:val="0"/>
          <w:numId w:val="16"/>
        </w:numPr>
        <w:tabs>
          <w:tab w:val="left" w:pos="4860"/>
        </w:tabs>
        <w:spacing w:line="588" w:lineRule="exact"/>
        <w:ind w:right="1560" w:firstLine="444" w:firstLineChars="200"/>
        <w:jc w:val="left"/>
        <w:rPr>
          <w:rFonts w:hint="eastAsia" w:ascii="宋体" w:hAnsi="宋体" w:cs="宋体"/>
          <w:color w:val="auto"/>
          <w:szCs w:val="21"/>
          <w:highlight w:val="none"/>
        </w:rPr>
      </w:pPr>
      <w:r>
        <w:rPr>
          <w:rFonts w:hint="eastAsia" w:ascii="宋体" w:hAnsi="宋体" w:cs="宋体"/>
          <w:color w:val="auto"/>
          <w:spacing w:val="6"/>
          <w:szCs w:val="21"/>
          <w:highlight w:val="none"/>
        </w:rPr>
        <w:t>本声明是残疾人福利性单位的提供，其他单位无需提供。</w:t>
      </w:r>
    </w:p>
    <w:p>
      <w:pPr>
        <w:numPr>
          <w:ilvl w:val="0"/>
          <w:numId w:val="16"/>
        </w:numPr>
        <w:tabs>
          <w:tab w:val="left" w:pos="4860"/>
        </w:tabs>
        <w:spacing w:line="588" w:lineRule="exact"/>
        <w:ind w:right="251"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享受政府采购支持政策的残疾人福利性单位应当同时满足以下条件：</w:t>
      </w:r>
    </w:p>
    <w:p>
      <w:pPr>
        <w:pStyle w:val="18"/>
        <w:spacing w:line="450" w:lineRule="atLeast"/>
        <w:jc w:val="both"/>
        <w:rPr>
          <w:rFonts w:hint="eastAsia"/>
          <w:color w:val="auto"/>
          <w:sz w:val="21"/>
          <w:szCs w:val="21"/>
          <w:highlight w:val="none"/>
        </w:rPr>
      </w:pPr>
      <w:r>
        <w:rPr>
          <w:rFonts w:hint="eastAsia"/>
          <w:color w:val="auto"/>
          <w:sz w:val="21"/>
          <w:szCs w:val="21"/>
          <w:highlight w:val="none"/>
        </w:rPr>
        <w:t>　　（1）安置的残疾人占本单位在职职工人数的比例不低于25%（含25%），并且安置的残疾人人数不少于10人（含10人）；</w:t>
      </w:r>
    </w:p>
    <w:p>
      <w:pPr>
        <w:pStyle w:val="18"/>
        <w:spacing w:line="450" w:lineRule="atLeast"/>
        <w:jc w:val="both"/>
        <w:rPr>
          <w:rFonts w:hint="eastAsia"/>
          <w:color w:val="auto"/>
          <w:sz w:val="21"/>
          <w:szCs w:val="21"/>
          <w:highlight w:val="none"/>
        </w:rPr>
      </w:pPr>
      <w:r>
        <w:rPr>
          <w:rFonts w:hint="eastAsia"/>
          <w:color w:val="auto"/>
          <w:sz w:val="21"/>
          <w:szCs w:val="21"/>
          <w:highlight w:val="none"/>
        </w:rPr>
        <w:t>　　（2）依法与安置的每位残疾人签订了一年以上（含一年）的劳动合同或服务协议；</w:t>
      </w:r>
    </w:p>
    <w:p>
      <w:pPr>
        <w:pStyle w:val="18"/>
        <w:spacing w:line="450" w:lineRule="atLeast"/>
        <w:jc w:val="both"/>
        <w:rPr>
          <w:rFonts w:hint="eastAsia"/>
          <w:color w:val="auto"/>
          <w:sz w:val="21"/>
          <w:szCs w:val="21"/>
          <w:highlight w:val="none"/>
        </w:rPr>
      </w:pPr>
      <w:r>
        <w:rPr>
          <w:rFonts w:hint="eastAsia"/>
          <w:color w:val="auto"/>
          <w:sz w:val="21"/>
          <w:szCs w:val="21"/>
          <w:highlight w:val="none"/>
        </w:rPr>
        <w:t>　　（3）为安置的每位残疾人按月足额缴纳了基本养老保险、基本医疗保险、失业保险、工伤保险和生育保险等社会保险费；</w:t>
      </w:r>
    </w:p>
    <w:p>
      <w:pPr>
        <w:pStyle w:val="18"/>
        <w:spacing w:line="450" w:lineRule="atLeast"/>
        <w:jc w:val="both"/>
        <w:rPr>
          <w:rFonts w:hint="eastAsia"/>
          <w:color w:val="auto"/>
          <w:sz w:val="21"/>
          <w:szCs w:val="21"/>
          <w:highlight w:val="none"/>
        </w:rPr>
      </w:pPr>
      <w:r>
        <w:rPr>
          <w:rFonts w:hint="eastAsia"/>
          <w:color w:val="auto"/>
          <w:sz w:val="21"/>
          <w:szCs w:val="21"/>
          <w:highlight w:val="none"/>
        </w:rPr>
        <w:t>　　（4）通过银行等金融机构向安置的每位残疾人，按月支付了不低于单位所在区县适用的经省级人民政府批准的月最低工资标准的工资；</w:t>
      </w:r>
    </w:p>
    <w:p>
      <w:pPr>
        <w:pStyle w:val="18"/>
        <w:spacing w:line="450" w:lineRule="atLeast"/>
        <w:jc w:val="both"/>
        <w:rPr>
          <w:rFonts w:hint="eastAsia"/>
          <w:color w:val="auto"/>
          <w:sz w:val="21"/>
          <w:szCs w:val="21"/>
          <w:highlight w:val="none"/>
        </w:rPr>
      </w:pPr>
      <w:r>
        <w:rPr>
          <w:rFonts w:hint="eastAsia"/>
          <w:color w:val="auto"/>
          <w:sz w:val="21"/>
          <w:szCs w:val="21"/>
          <w:highlight w:val="none"/>
        </w:rPr>
        <w:t>　　（5）提供本单位制造的货物、承担的工程或者服务（以下简称产品），或者提供其他残疾人福利性单位制造的货物（不包括使用非残疾人福利性单位注册商标的货物）。</w:t>
      </w:r>
    </w:p>
    <w:p>
      <w:pPr>
        <w:pStyle w:val="18"/>
        <w:spacing w:line="450" w:lineRule="atLeast"/>
        <w:jc w:val="both"/>
        <w:rPr>
          <w:rFonts w:hint="eastAsia"/>
          <w:color w:val="auto"/>
          <w:sz w:val="21"/>
          <w:szCs w:val="21"/>
          <w:highlight w:val="none"/>
        </w:rPr>
      </w:pPr>
      <w:r>
        <w:rPr>
          <w:rFonts w:hint="eastAsia"/>
          <w:color w:val="auto"/>
          <w:sz w:val="21"/>
          <w:szCs w:val="21"/>
          <w:highlight w:val="none"/>
        </w:rPr>
        <w:t>　　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4860"/>
        </w:tabs>
        <w:spacing w:line="588" w:lineRule="exact"/>
        <w:ind w:right="1560"/>
        <w:jc w:val="left"/>
        <w:rPr>
          <w:rFonts w:hint="eastAsia" w:ascii="宋体" w:hAnsi="宋体" w:cs="宋体"/>
          <w:color w:val="auto"/>
          <w:spacing w:val="6"/>
          <w:sz w:val="24"/>
          <w:szCs w:val="24"/>
          <w:highlight w:val="none"/>
        </w:rPr>
      </w:pPr>
    </w:p>
    <w:p>
      <w:pPr>
        <w:tabs>
          <w:tab w:val="left" w:pos="4860"/>
        </w:tabs>
        <w:spacing w:line="588" w:lineRule="exact"/>
        <w:ind w:right="1560" w:firstLine="504" w:firstLineChars="200"/>
        <w:jc w:val="left"/>
        <w:rPr>
          <w:rFonts w:hint="eastAsia" w:ascii="宋体" w:hAnsi="宋体" w:cs="宋体"/>
          <w:color w:val="auto"/>
          <w:spacing w:val="6"/>
          <w:sz w:val="24"/>
          <w:szCs w:val="24"/>
          <w:highlight w:val="none"/>
        </w:rPr>
      </w:pPr>
    </w:p>
    <w:p>
      <w:pPr>
        <w:tabs>
          <w:tab w:val="left" w:pos="4860"/>
        </w:tabs>
        <w:spacing w:line="588" w:lineRule="exact"/>
        <w:ind w:right="1560" w:firstLine="504" w:firstLineChars="200"/>
        <w:jc w:val="center"/>
        <w:rPr>
          <w:rFonts w:hint="eastAsia" w:ascii="宋体" w:hAnsi="宋体" w:cs="宋体"/>
          <w:color w:val="auto"/>
          <w:spacing w:val="6"/>
          <w:sz w:val="24"/>
          <w:szCs w:val="24"/>
          <w:highlight w:val="none"/>
        </w:rPr>
      </w:pPr>
    </w:p>
    <w:p>
      <w:pPr>
        <w:tabs>
          <w:tab w:val="left" w:pos="4860"/>
        </w:tabs>
        <w:spacing w:line="588" w:lineRule="exact"/>
        <w:ind w:right="1560" w:firstLine="504" w:firstLineChars="200"/>
        <w:jc w:val="center"/>
        <w:rPr>
          <w:rFonts w:hint="eastAsia" w:ascii="宋体" w:hAnsi="宋体" w:cs="宋体"/>
          <w:color w:val="auto"/>
          <w:spacing w:val="6"/>
          <w:sz w:val="24"/>
          <w:szCs w:val="24"/>
          <w:highlight w:val="none"/>
        </w:rPr>
      </w:pPr>
    </w:p>
    <w:p>
      <w:pPr>
        <w:tabs>
          <w:tab w:val="left" w:pos="4860"/>
        </w:tabs>
        <w:spacing w:line="588" w:lineRule="exact"/>
        <w:ind w:right="1560" w:firstLine="504" w:firstLineChars="200"/>
        <w:jc w:val="center"/>
        <w:rPr>
          <w:rFonts w:hint="eastAsia" w:ascii="宋体" w:hAnsi="宋体" w:cs="宋体"/>
          <w:color w:val="auto"/>
          <w:spacing w:val="6"/>
          <w:sz w:val="24"/>
          <w:szCs w:val="24"/>
          <w:highlight w:val="none"/>
        </w:rPr>
      </w:pPr>
    </w:p>
    <w:p>
      <w:pPr>
        <w:tabs>
          <w:tab w:val="left" w:pos="4860"/>
        </w:tabs>
        <w:spacing w:line="588" w:lineRule="exact"/>
        <w:ind w:right="1560" w:firstLine="504" w:firstLineChars="200"/>
        <w:jc w:val="center"/>
        <w:rPr>
          <w:rFonts w:hint="eastAsia" w:ascii="宋体" w:hAnsi="宋体" w:cs="宋体"/>
          <w:color w:val="auto"/>
          <w:spacing w:val="6"/>
          <w:sz w:val="24"/>
          <w:szCs w:val="24"/>
          <w:highlight w:val="none"/>
        </w:rPr>
      </w:pPr>
    </w:p>
    <w:p>
      <w:pPr>
        <w:tabs>
          <w:tab w:val="left" w:pos="4860"/>
        </w:tabs>
        <w:spacing w:line="588" w:lineRule="exact"/>
        <w:ind w:right="1560" w:firstLine="504" w:firstLineChars="200"/>
        <w:jc w:val="center"/>
        <w:rPr>
          <w:rFonts w:hint="eastAsia" w:ascii="宋体" w:hAnsi="宋体" w:cs="宋体"/>
          <w:color w:val="auto"/>
          <w:spacing w:val="6"/>
          <w:sz w:val="24"/>
          <w:szCs w:val="24"/>
          <w:highlight w:val="none"/>
        </w:rPr>
      </w:pPr>
    </w:p>
    <w:p>
      <w:pPr>
        <w:tabs>
          <w:tab w:val="left" w:pos="4860"/>
        </w:tabs>
        <w:spacing w:line="588" w:lineRule="exact"/>
        <w:ind w:right="1560" w:firstLine="504" w:firstLineChars="200"/>
        <w:jc w:val="center"/>
        <w:rPr>
          <w:rFonts w:hint="eastAsia" w:ascii="宋体" w:hAnsi="宋体" w:cs="宋体"/>
          <w:color w:val="auto"/>
          <w:spacing w:val="6"/>
          <w:sz w:val="24"/>
          <w:szCs w:val="24"/>
          <w:highlight w:val="none"/>
        </w:rPr>
      </w:pPr>
    </w:p>
    <w:p>
      <w:pPr>
        <w:tabs>
          <w:tab w:val="left" w:pos="4860"/>
        </w:tabs>
        <w:spacing w:line="588" w:lineRule="exact"/>
        <w:ind w:right="1560" w:firstLine="504" w:firstLineChars="200"/>
        <w:jc w:val="center"/>
        <w:rPr>
          <w:rFonts w:hint="eastAsia" w:ascii="宋体" w:hAnsi="宋体" w:cs="宋体"/>
          <w:color w:val="auto"/>
          <w:spacing w:val="6"/>
          <w:sz w:val="24"/>
          <w:szCs w:val="24"/>
          <w:highlight w:val="none"/>
        </w:rPr>
      </w:pPr>
    </w:p>
    <w:p>
      <w:pPr>
        <w:pStyle w:val="3"/>
        <w:spacing w:line="520" w:lineRule="exact"/>
        <w:ind w:firstLine="0"/>
        <w:jc w:val="center"/>
        <w:rPr>
          <w:rFonts w:hint="eastAsia"/>
          <w:b/>
          <w:color w:val="auto"/>
          <w:sz w:val="28"/>
          <w:szCs w:val="28"/>
          <w:highlight w:val="none"/>
        </w:rPr>
      </w:pPr>
      <w:r>
        <w:rPr>
          <w:rFonts w:hint="eastAsia" w:ascii="仿宋_GB2312" w:eastAsia="仿宋_GB2312"/>
          <w:b/>
          <w:color w:val="auto"/>
          <w:sz w:val="32"/>
          <w:highlight w:val="none"/>
        </w:rPr>
        <w:t>8</w:t>
      </w:r>
      <w:r>
        <w:rPr>
          <w:rFonts w:hint="eastAsia"/>
          <w:b/>
          <w:color w:val="auto"/>
          <w:sz w:val="28"/>
          <w:szCs w:val="28"/>
          <w:highlight w:val="none"/>
        </w:rPr>
        <w:t>、联合投标协议书（若有，彩色扫描件）</w:t>
      </w:r>
    </w:p>
    <w:p>
      <w:pPr>
        <w:spacing w:line="400" w:lineRule="exact"/>
        <w:rPr>
          <w:rFonts w:hint="eastAsia" w:ascii="仿宋" w:hAnsi="仿宋" w:eastAsia="仿宋"/>
          <w:color w:val="auto"/>
          <w:sz w:val="24"/>
          <w:highlight w:val="none"/>
        </w:rPr>
      </w:pPr>
    </w:p>
    <w:p>
      <w:pPr>
        <w:spacing w:line="40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牵头人名称：</w:t>
      </w:r>
      <w:r>
        <w:rPr>
          <w:rFonts w:hint="eastAsia" w:ascii="仿宋" w:hAnsi="仿宋" w:eastAsia="仿宋"/>
          <w:color w:val="auto"/>
          <w:sz w:val="24"/>
          <w:szCs w:val="24"/>
          <w:highlight w:val="none"/>
          <w:u w:val="single"/>
        </w:rPr>
        <w:t xml:space="preserve">                                                        </w:t>
      </w:r>
    </w:p>
    <w:p>
      <w:pPr>
        <w:spacing w:line="40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法定代表人：</w:t>
      </w:r>
      <w:r>
        <w:rPr>
          <w:rFonts w:hint="eastAsia" w:ascii="仿宋" w:hAnsi="仿宋" w:eastAsia="仿宋"/>
          <w:color w:val="auto"/>
          <w:sz w:val="24"/>
          <w:szCs w:val="24"/>
          <w:highlight w:val="none"/>
          <w:u w:val="single"/>
        </w:rPr>
        <w:t xml:space="preserve">                                                        </w:t>
      </w:r>
    </w:p>
    <w:p>
      <w:pPr>
        <w:spacing w:line="400" w:lineRule="exact"/>
        <w:rPr>
          <w:rFonts w:hint="eastAsia" w:ascii="仿宋" w:hAnsi="仿宋" w:eastAsia="仿宋"/>
          <w:color w:val="auto"/>
          <w:sz w:val="24"/>
          <w:szCs w:val="24"/>
          <w:highlight w:val="none"/>
        </w:rPr>
      </w:pPr>
      <w:r>
        <w:rPr>
          <w:rFonts w:hint="eastAsia" w:ascii="仿宋" w:hAnsi="仿宋" w:eastAsia="仿宋"/>
          <w:color w:val="auto"/>
          <w:spacing w:val="15"/>
          <w:kern w:val="0"/>
          <w:sz w:val="24"/>
          <w:szCs w:val="24"/>
          <w:highlight w:val="none"/>
        </w:rPr>
        <w:t>法定住</w:t>
      </w:r>
      <w:r>
        <w:rPr>
          <w:rFonts w:hint="eastAsia" w:ascii="仿宋" w:hAnsi="仿宋" w:eastAsia="仿宋"/>
          <w:color w:val="auto"/>
          <w:kern w:val="0"/>
          <w:sz w:val="24"/>
          <w:szCs w:val="24"/>
          <w:highlight w:val="none"/>
        </w:rPr>
        <w:t>所</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u w:val="single"/>
        </w:rPr>
        <w:t xml:space="preserve">                                                        </w:t>
      </w:r>
    </w:p>
    <w:p>
      <w:pPr>
        <w:spacing w:line="400" w:lineRule="exact"/>
        <w:rPr>
          <w:rFonts w:hint="eastAsia" w:ascii="仿宋" w:hAnsi="仿宋" w:eastAsia="仿宋"/>
          <w:color w:val="auto"/>
          <w:sz w:val="24"/>
          <w:szCs w:val="24"/>
          <w:highlight w:val="none"/>
        </w:rPr>
      </w:pPr>
    </w:p>
    <w:p>
      <w:pPr>
        <w:spacing w:line="40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成员1名称：</w:t>
      </w:r>
      <w:r>
        <w:rPr>
          <w:rFonts w:hint="eastAsia" w:ascii="仿宋" w:hAnsi="仿宋" w:eastAsia="仿宋"/>
          <w:color w:val="auto"/>
          <w:sz w:val="24"/>
          <w:szCs w:val="24"/>
          <w:highlight w:val="none"/>
          <w:u w:val="single"/>
        </w:rPr>
        <w:t xml:space="preserve">                                                        </w:t>
      </w:r>
    </w:p>
    <w:p>
      <w:pPr>
        <w:spacing w:line="40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法定代表人：</w:t>
      </w:r>
      <w:r>
        <w:rPr>
          <w:rFonts w:hint="eastAsia" w:ascii="仿宋" w:hAnsi="仿宋" w:eastAsia="仿宋"/>
          <w:color w:val="auto"/>
          <w:sz w:val="24"/>
          <w:szCs w:val="24"/>
          <w:highlight w:val="none"/>
          <w:u w:val="single"/>
        </w:rPr>
        <w:t xml:space="preserve">                                                        </w:t>
      </w:r>
    </w:p>
    <w:p>
      <w:pPr>
        <w:spacing w:line="400" w:lineRule="exact"/>
        <w:rPr>
          <w:rFonts w:hint="eastAsia" w:ascii="仿宋" w:hAnsi="仿宋" w:eastAsia="仿宋"/>
          <w:color w:val="auto"/>
          <w:sz w:val="24"/>
          <w:szCs w:val="24"/>
          <w:highlight w:val="none"/>
        </w:rPr>
      </w:pPr>
      <w:r>
        <w:rPr>
          <w:rFonts w:hint="eastAsia" w:ascii="仿宋" w:hAnsi="仿宋" w:eastAsia="仿宋"/>
          <w:color w:val="auto"/>
          <w:spacing w:val="15"/>
          <w:kern w:val="0"/>
          <w:sz w:val="24"/>
          <w:szCs w:val="24"/>
          <w:highlight w:val="none"/>
        </w:rPr>
        <w:t>法定住</w:t>
      </w:r>
      <w:r>
        <w:rPr>
          <w:rFonts w:hint="eastAsia" w:ascii="仿宋" w:hAnsi="仿宋" w:eastAsia="仿宋"/>
          <w:color w:val="auto"/>
          <w:kern w:val="0"/>
          <w:sz w:val="24"/>
          <w:szCs w:val="24"/>
          <w:highlight w:val="none"/>
        </w:rPr>
        <w:t>所</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u w:val="single"/>
        </w:rPr>
        <w:t xml:space="preserve">                                                        </w:t>
      </w:r>
    </w:p>
    <w:p>
      <w:pPr>
        <w:spacing w:line="40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w:t>
      </w:r>
    </w:p>
    <w:p>
      <w:pPr>
        <w:spacing w:line="400" w:lineRule="exact"/>
        <w:ind w:firstLine="410" w:firstLineChars="171"/>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鉴于上述各成员单位经过友好协商，自愿组成</w:t>
      </w:r>
      <w:r>
        <w:rPr>
          <w:rFonts w:hint="eastAsia" w:ascii="仿宋" w:hAnsi="仿宋" w:eastAsia="仿宋"/>
          <w:color w:val="auto"/>
          <w:sz w:val="24"/>
          <w:szCs w:val="24"/>
          <w:highlight w:val="none"/>
          <w:u w:val="single"/>
        </w:rPr>
        <w:t xml:space="preserve"> XXX </w:t>
      </w:r>
      <w:r>
        <w:rPr>
          <w:rFonts w:hint="eastAsia" w:ascii="仿宋" w:hAnsi="仿宋" w:eastAsia="仿宋"/>
          <w:color w:val="auto"/>
          <w:sz w:val="24"/>
          <w:szCs w:val="24"/>
          <w:highlight w:val="none"/>
        </w:rPr>
        <w:t>（联合体名称）联合体，共同参加</w:t>
      </w:r>
      <w:r>
        <w:rPr>
          <w:rFonts w:hint="eastAsia" w:ascii="仿宋" w:hAnsi="仿宋" w:eastAsia="仿宋"/>
          <w:color w:val="auto"/>
          <w:sz w:val="24"/>
          <w:szCs w:val="24"/>
          <w:highlight w:val="none"/>
          <w:u w:val="single"/>
        </w:rPr>
        <w:t>宁波市政府采购中心</w:t>
      </w:r>
      <w:r>
        <w:rPr>
          <w:rFonts w:hint="eastAsia" w:ascii="仿宋" w:hAnsi="仿宋" w:eastAsia="仿宋"/>
          <w:color w:val="auto"/>
          <w:sz w:val="24"/>
          <w:szCs w:val="24"/>
          <w:highlight w:val="none"/>
        </w:rPr>
        <w:t>（以下简称招标人）</w:t>
      </w:r>
      <w:r>
        <w:rPr>
          <w:rFonts w:hint="eastAsia" w:ascii="仿宋" w:hAnsi="仿宋" w:eastAsia="仿宋"/>
          <w:color w:val="auto"/>
          <w:sz w:val="24"/>
          <w:szCs w:val="24"/>
          <w:highlight w:val="none"/>
          <w:u w:val="single"/>
        </w:rPr>
        <w:t>XXX</w:t>
      </w: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u w:val="single"/>
        </w:rPr>
        <w:t>XX</w:t>
      </w:r>
      <w:r>
        <w:rPr>
          <w:rFonts w:hint="eastAsia" w:ascii="仿宋" w:hAnsi="仿宋" w:eastAsia="仿宋"/>
          <w:color w:val="auto"/>
          <w:sz w:val="24"/>
          <w:szCs w:val="24"/>
          <w:highlight w:val="none"/>
        </w:rPr>
        <w:t>标包（以下简称合同）。现就联合体投标事宜订立如下协议：</w:t>
      </w:r>
    </w:p>
    <w:p>
      <w:pPr>
        <w:spacing w:line="400" w:lineRule="exact"/>
        <w:ind w:firstLine="410" w:firstLineChars="171"/>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u w:val="single"/>
        </w:rPr>
        <w:t>XXX</w:t>
      </w:r>
      <w:r>
        <w:rPr>
          <w:rFonts w:hint="eastAsia" w:ascii="仿宋" w:hAnsi="仿宋" w:eastAsia="仿宋"/>
          <w:color w:val="auto"/>
          <w:sz w:val="24"/>
          <w:szCs w:val="24"/>
          <w:highlight w:val="none"/>
        </w:rPr>
        <w:t>（某成员单位名称）为</w:t>
      </w:r>
      <w:r>
        <w:rPr>
          <w:rFonts w:hint="eastAsia" w:ascii="仿宋" w:hAnsi="仿宋" w:eastAsia="仿宋"/>
          <w:color w:val="auto"/>
          <w:sz w:val="24"/>
          <w:szCs w:val="24"/>
          <w:highlight w:val="none"/>
          <w:u w:val="single"/>
        </w:rPr>
        <w:t>XXX</w:t>
      </w:r>
      <w:r>
        <w:rPr>
          <w:rFonts w:hint="eastAsia" w:ascii="仿宋" w:hAnsi="仿宋" w:eastAsia="仿宋"/>
          <w:color w:val="auto"/>
          <w:sz w:val="24"/>
          <w:szCs w:val="24"/>
          <w:highlight w:val="none"/>
        </w:rPr>
        <w:t>（联合体名称）牵头人。</w:t>
      </w:r>
    </w:p>
    <w:p>
      <w:pPr>
        <w:spacing w:line="400" w:lineRule="exact"/>
        <w:ind w:firstLine="410" w:firstLineChars="171"/>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在本项目投标阶段，联合体牵头人合法代表联合体各成员负责本项目资格预审申请文件和投标文件编制活动，代表联合体提交和接收相关的资料、信息及指示，并处理与资格预审、投标和中标有关的一切事务；联合体中标后，联合体牵头人负责合同订立和合同实施阶段的主办、组织和协调工作。</w:t>
      </w:r>
    </w:p>
    <w:p>
      <w:pPr>
        <w:spacing w:line="400" w:lineRule="exact"/>
        <w:ind w:firstLine="410" w:firstLineChars="171"/>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联合体将严格按照资格预审文件和招标文件的各项要求，递交资格预审申请文件和投标文件，履行投标义务和中标后的合同，共同承担合同规定的一切义务和责任，联合体各成员单位按照内部职责的划分，承担各自所负的责任和风险，并向招标人承担连带责任。</w:t>
      </w:r>
    </w:p>
    <w:p>
      <w:pPr>
        <w:spacing w:line="40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4、联合体各成员单位内部的职责分工如下：</w:t>
      </w:r>
      <w:r>
        <w:rPr>
          <w:rFonts w:hint="eastAsia" w:ascii="仿宋" w:hAnsi="仿宋" w:eastAsia="仿宋"/>
          <w:color w:val="auto"/>
          <w:sz w:val="24"/>
          <w:szCs w:val="24"/>
          <w:highlight w:val="none"/>
          <w:u w:val="single"/>
        </w:rPr>
        <w:t>XXXX</w:t>
      </w:r>
      <w:r>
        <w:rPr>
          <w:rFonts w:hint="eastAsia" w:ascii="仿宋" w:hAnsi="仿宋" w:eastAsia="仿宋"/>
          <w:color w:val="auto"/>
          <w:sz w:val="24"/>
          <w:szCs w:val="24"/>
          <w:highlight w:val="none"/>
        </w:rPr>
        <w:t>。</w:t>
      </w:r>
    </w:p>
    <w:p>
      <w:pPr>
        <w:spacing w:line="40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按照本条上述分工，联合体成员单位各自所承担的合同工作量比例如下：</w:t>
      </w:r>
      <w:r>
        <w:rPr>
          <w:rFonts w:hint="eastAsia" w:ascii="仿宋" w:hAnsi="仿宋" w:eastAsia="仿宋"/>
          <w:color w:val="auto"/>
          <w:sz w:val="24"/>
          <w:szCs w:val="24"/>
          <w:highlight w:val="none"/>
          <w:u w:val="single"/>
        </w:rPr>
        <w:t>XXX</w:t>
      </w:r>
      <w:r>
        <w:rPr>
          <w:rFonts w:hint="eastAsia" w:ascii="仿宋" w:hAnsi="仿宋" w:eastAsia="仿宋"/>
          <w:color w:val="auto"/>
          <w:sz w:val="24"/>
          <w:szCs w:val="24"/>
          <w:highlight w:val="none"/>
        </w:rPr>
        <w:t>。</w:t>
      </w:r>
    </w:p>
    <w:p>
      <w:pPr>
        <w:spacing w:line="400" w:lineRule="exact"/>
        <w:ind w:firstLine="384" w:firstLineChars="16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5、资格预审和投标工作以及联合体在中标后项目实施过程中的有关费用按各自承担的工作量分摊。</w:t>
      </w:r>
    </w:p>
    <w:p>
      <w:pPr>
        <w:spacing w:line="400" w:lineRule="exact"/>
        <w:ind w:firstLine="384" w:firstLineChars="16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6、联合体中标后，本联合体协议是合同的附件，对联合体各成员单位有合同约束力。</w:t>
      </w:r>
    </w:p>
    <w:p>
      <w:pPr>
        <w:spacing w:line="400" w:lineRule="exact"/>
        <w:ind w:firstLine="384" w:firstLineChars="16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7、本协议书自签署之日起生效，联合体未通过资格预审、未中标或者中标时合同履行完毕后自动失效。</w:t>
      </w:r>
    </w:p>
    <w:p>
      <w:pPr>
        <w:spacing w:line="400" w:lineRule="exact"/>
        <w:ind w:firstLine="384" w:firstLineChars="16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8、本协议书一式</w:t>
      </w:r>
      <w:r>
        <w:rPr>
          <w:rFonts w:hint="eastAsia" w:ascii="仿宋" w:hAnsi="仿宋" w:eastAsia="仿宋"/>
          <w:color w:val="auto"/>
          <w:sz w:val="24"/>
          <w:szCs w:val="24"/>
          <w:highlight w:val="none"/>
          <w:u w:val="single"/>
        </w:rPr>
        <w:t>XXX</w:t>
      </w:r>
      <w:r>
        <w:rPr>
          <w:rFonts w:hint="eastAsia" w:ascii="仿宋" w:hAnsi="仿宋" w:eastAsia="仿宋"/>
          <w:color w:val="auto"/>
          <w:sz w:val="24"/>
          <w:szCs w:val="24"/>
          <w:highlight w:val="none"/>
        </w:rPr>
        <w:t>份，联合体成员和招标人各执一份。</w:t>
      </w:r>
    </w:p>
    <w:p>
      <w:pPr>
        <w:spacing w:line="400" w:lineRule="exact"/>
        <w:ind w:firstLine="3038" w:firstLineChars="1266"/>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牵头人名称：</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（盖单位章）</w:t>
      </w:r>
    </w:p>
    <w:p>
      <w:pPr>
        <w:spacing w:line="400" w:lineRule="exact"/>
        <w:ind w:firstLine="3038" w:firstLineChars="1266"/>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成员1名称：</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（盖单位章）</w:t>
      </w:r>
    </w:p>
    <w:p>
      <w:pPr>
        <w:spacing w:line="400" w:lineRule="exact"/>
        <w:ind w:firstLine="3038" w:firstLineChars="1266"/>
        <w:rPr>
          <w:rFonts w:hint="eastAsia" w:ascii="仿宋" w:hAnsi="仿宋" w:eastAsia="仿宋"/>
          <w:color w:val="auto"/>
          <w:sz w:val="24"/>
          <w:szCs w:val="24"/>
          <w:highlight w:val="none"/>
        </w:rPr>
      </w:pPr>
      <w:r>
        <w:rPr>
          <w:rFonts w:hint="eastAsia" w:ascii="仿宋" w:hAnsi="仿宋" w:eastAsia="仿宋"/>
          <w:color w:val="auto"/>
          <w:sz w:val="24"/>
          <w:szCs w:val="24"/>
          <w:highlight w:val="none"/>
        </w:rPr>
        <w:t>……</w:t>
      </w:r>
    </w:p>
    <w:p>
      <w:pPr>
        <w:spacing w:line="500" w:lineRule="exact"/>
        <w:jc w:val="center"/>
        <w:rPr>
          <w:rFonts w:hint="eastAsia" w:ascii="仿宋_GB2312" w:eastAsia="仿宋_GB2312"/>
          <w:b/>
          <w:color w:val="auto"/>
          <w:sz w:val="32"/>
          <w:szCs w:val="32"/>
          <w:highlight w:val="none"/>
        </w:rPr>
      </w:pP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日    </w:t>
      </w:r>
      <w:r>
        <w:rPr>
          <w:rFonts w:hint="eastAsia" w:ascii="仿宋" w:hAnsi="仿宋" w:eastAsia="仿宋"/>
          <w:color w:val="auto"/>
          <w:sz w:val="24"/>
          <w:highlight w:val="none"/>
        </w:rPr>
        <w:t xml:space="preserve">       </w:t>
      </w:r>
      <w:r>
        <w:rPr>
          <w:rFonts w:ascii="仿宋_GB2312" w:eastAsia="仿宋_GB2312"/>
          <w:color w:val="auto"/>
          <w:sz w:val="32"/>
          <w:highlight w:val="none"/>
        </w:rPr>
        <w:br w:type="page"/>
      </w:r>
      <w:r>
        <w:rPr>
          <w:rFonts w:hint="eastAsia" w:ascii="仿宋_GB2312" w:eastAsia="仿宋_GB2312"/>
          <w:b/>
          <w:color w:val="auto"/>
          <w:sz w:val="32"/>
          <w:szCs w:val="32"/>
          <w:highlight w:val="none"/>
        </w:rPr>
        <w:t>9、其他资格证明资料</w:t>
      </w:r>
    </w:p>
    <w:p>
      <w:pPr>
        <w:spacing w:line="400" w:lineRule="exact"/>
        <w:jc w:val="center"/>
        <w:rPr>
          <w:rFonts w:hint="eastAsia" w:eastAsia="仿宋_GB2312"/>
          <w:b/>
          <w:bCs/>
          <w:color w:val="auto"/>
          <w:sz w:val="32"/>
          <w:szCs w:val="32"/>
          <w:highlight w:val="none"/>
          <w:lang w:val="zh-CN"/>
        </w:rPr>
      </w:pPr>
      <w:r>
        <w:rPr>
          <w:rFonts w:hint="eastAsia" w:ascii="仿宋_GB2312" w:eastAsia="仿宋_GB2312"/>
          <w:b/>
          <w:i/>
          <w:iCs/>
          <w:color w:val="auto"/>
          <w:sz w:val="32"/>
          <w:szCs w:val="32"/>
          <w:highlight w:val="none"/>
        </w:rPr>
        <w:t>投标人可结合招标文件及自身情况提供其他认为必要的资料。</w:t>
      </w:r>
      <w:r>
        <w:rPr>
          <w:rFonts w:hint="eastAsia" w:ascii="仿宋_GB2312" w:eastAsia="仿宋_GB2312"/>
          <w:b/>
          <w:i/>
          <w:iCs/>
          <w:color w:val="auto"/>
          <w:sz w:val="32"/>
          <w:szCs w:val="32"/>
          <w:highlight w:val="none"/>
        </w:rPr>
        <w:br w:type="page"/>
      </w:r>
      <w:r>
        <w:rPr>
          <w:rFonts w:hint="eastAsia"/>
          <w:b/>
          <w:color w:val="auto"/>
          <w:sz w:val="32"/>
          <w:szCs w:val="32"/>
          <w:highlight w:val="none"/>
        </w:rPr>
        <w:t>第七部分 其他文件格式</w:t>
      </w:r>
    </w:p>
    <w:p>
      <w:pPr>
        <w:spacing w:line="500" w:lineRule="exact"/>
        <w:jc w:val="center"/>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rPr>
        <w:t>履约保证金保函</w:t>
      </w:r>
    </w:p>
    <w:p>
      <w:pPr>
        <w:spacing w:line="500" w:lineRule="exact"/>
        <w:jc w:val="center"/>
        <w:rPr>
          <w:rFonts w:hint="eastAsia" w:eastAsia="楷体_GB2312"/>
          <w:b/>
          <w:color w:val="auto"/>
          <w:highlight w:val="none"/>
        </w:rPr>
      </w:pPr>
      <w:r>
        <w:rPr>
          <w:rFonts w:hint="eastAsia" w:eastAsia="楷体_GB2312"/>
          <w:b/>
          <w:color w:val="auto"/>
          <w:highlight w:val="none"/>
        </w:rPr>
        <w:t>（若采用保函的，在中标后开具提交采购人）</w:t>
      </w:r>
    </w:p>
    <w:p>
      <w:pPr>
        <w:spacing w:line="500" w:lineRule="exact"/>
        <w:rPr>
          <w:rFonts w:hint="eastAsia"/>
          <w:color w:val="auto"/>
          <w:highlight w:val="none"/>
        </w:rPr>
      </w:pPr>
    </w:p>
    <w:p>
      <w:pPr>
        <w:spacing w:line="500" w:lineRule="exact"/>
        <w:rPr>
          <w:rFonts w:hint="eastAsia"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宁波市政府采购中心</w:t>
      </w:r>
    </w:p>
    <w:p>
      <w:pPr>
        <w:spacing w:line="500" w:lineRule="exact"/>
        <w:ind w:firstLine="630"/>
        <w:rPr>
          <w:rFonts w:hint="eastAsia" w:ascii="宋体" w:hAnsi="宋体"/>
          <w:color w:val="auto"/>
          <w:sz w:val="24"/>
          <w:szCs w:val="24"/>
          <w:highlight w:val="none"/>
        </w:rPr>
      </w:pPr>
      <w:r>
        <w:rPr>
          <w:rFonts w:hint="eastAsia" w:ascii="宋体" w:hAnsi="宋体"/>
          <w:color w:val="auto"/>
          <w:sz w:val="24"/>
          <w:szCs w:val="24"/>
          <w:highlight w:val="none"/>
        </w:rPr>
        <w:t>本保函是我行（</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[银行全称]）为</w:t>
      </w:r>
    </w:p>
    <w:p>
      <w:pPr>
        <w:spacing w:line="500" w:lineRule="exact"/>
        <w:rPr>
          <w:rFonts w:hint="eastAsia" w:ascii="宋体" w:hAnsi="宋体"/>
          <w:color w:val="auto"/>
          <w:sz w:val="24"/>
          <w:szCs w:val="24"/>
          <w:highlight w:val="none"/>
        </w:rPr>
      </w:pP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（以下简称卖方）根据贵处组织的</w:t>
      </w:r>
    </w:p>
    <w:p>
      <w:pPr>
        <w:spacing w:line="500" w:lineRule="exact"/>
        <w:rPr>
          <w:rFonts w:hint="eastAsia"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项目（采购编号）招标结果，将与</w:t>
      </w:r>
    </w:p>
    <w:p>
      <w:pPr>
        <w:spacing w:line="500" w:lineRule="exact"/>
        <w:rPr>
          <w:rFonts w:hint="eastAsia"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（以下简称买方）签订的经济合同及执行合同提供的担保。保证金金额为（大写人民币）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w:t>
      </w:r>
    </w:p>
    <w:p>
      <w:pPr>
        <w:spacing w:line="500" w:lineRule="exact"/>
        <w:ind w:firstLine="630"/>
        <w:rPr>
          <w:rFonts w:hint="eastAsia" w:ascii="宋体" w:hAnsi="宋体"/>
          <w:color w:val="auto"/>
          <w:sz w:val="24"/>
          <w:szCs w:val="24"/>
          <w:highlight w:val="none"/>
        </w:rPr>
      </w:pPr>
      <w:r>
        <w:rPr>
          <w:rFonts w:hint="eastAsia" w:ascii="宋体" w:hAnsi="宋体"/>
          <w:color w:val="auto"/>
          <w:sz w:val="24"/>
          <w:szCs w:val="24"/>
          <w:highlight w:val="none"/>
        </w:rPr>
        <w:t>当我行在收到贵处说明卖方违约的书面通知后，在20天内按通知要求金额无条件地支付给买方。</w:t>
      </w:r>
    </w:p>
    <w:p>
      <w:pPr>
        <w:spacing w:line="500" w:lineRule="exact"/>
        <w:ind w:firstLine="630"/>
        <w:rPr>
          <w:rFonts w:hint="eastAsia" w:ascii="宋体" w:hAnsi="宋体"/>
          <w:color w:val="auto"/>
          <w:sz w:val="24"/>
          <w:szCs w:val="24"/>
          <w:highlight w:val="none"/>
        </w:rPr>
      </w:pPr>
      <w:r>
        <w:rPr>
          <w:rFonts w:hint="eastAsia" w:ascii="宋体" w:hAnsi="宋体"/>
          <w:color w:val="auto"/>
          <w:sz w:val="24"/>
          <w:szCs w:val="24"/>
          <w:highlight w:val="none"/>
        </w:rPr>
        <w:t>本保函的有效期为自开出之日起，至合同履约结束之日止。</w:t>
      </w:r>
    </w:p>
    <w:p>
      <w:pPr>
        <w:spacing w:line="500" w:lineRule="exact"/>
        <w:rPr>
          <w:rFonts w:hint="eastAsia" w:ascii="宋体" w:hAnsi="宋体"/>
          <w:color w:val="auto"/>
          <w:sz w:val="24"/>
          <w:szCs w:val="24"/>
          <w:highlight w:val="none"/>
        </w:rPr>
      </w:pPr>
    </w:p>
    <w:p>
      <w:pPr>
        <w:spacing w:line="500" w:lineRule="exact"/>
        <w:rPr>
          <w:rFonts w:hint="eastAsia" w:ascii="宋体" w:hAnsi="宋体"/>
          <w:color w:val="auto"/>
          <w:sz w:val="24"/>
          <w:szCs w:val="24"/>
          <w:highlight w:val="none"/>
        </w:rPr>
      </w:pPr>
    </w:p>
    <w:p>
      <w:pPr>
        <w:spacing w:line="5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银行全称： </w:t>
      </w:r>
    </w:p>
    <w:p>
      <w:pPr>
        <w:spacing w:line="5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（盖章） </w:t>
      </w:r>
    </w:p>
    <w:p>
      <w:pPr>
        <w:spacing w:line="500" w:lineRule="exact"/>
        <w:rPr>
          <w:rFonts w:hint="eastAsia" w:ascii="宋体" w:hAnsi="宋体"/>
          <w:color w:val="auto"/>
          <w:sz w:val="24"/>
          <w:szCs w:val="24"/>
          <w:highlight w:val="none"/>
        </w:rPr>
      </w:pPr>
    </w:p>
    <w:p>
      <w:pPr>
        <w:spacing w:line="5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开具人（签字）： </w:t>
      </w:r>
    </w:p>
    <w:p>
      <w:pPr>
        <w:spacing w:line="5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职务： </w:t>
      </w:r>
    </w:p>
    <w:p>
      <w:pPr>
        <w:spacing w:line="500" w:lineRule="exact"/>
        <w:rPr>
          <w:rFonts w:hint="eastAsia" w:ascii="宋体" w:hAnsi="宋体"/>
          <w:color w:val="auto"/>
          <w:sz w:val="24"/>
          <w:szCs w:val="24"/>
          <w:highlight w:val="none"/>
        </w:rPr>
      </w:pPr>
      <w:r>
        <w:rPr>
          <w:rFonts w:hint="eastAsia" w:ascii="宋体" w:hAnsi="宋体"/>
          <w:color w:val="auto"/>
          <w:sz w:val="24"/>
          <w:szCs w:val="24"/>
          <w:highlight w:val="none"/>
        </w:rPr>
        <w:t>日期：</w:t>
      </w:r>
    </w:p>
    <w:p>
      <w:pPr>
        <w:autoSpaceDE w:val="0"/>
        <w:autoSpaceDN w:val="0"/>
        <w:adjustRightInd w:val="0"/>
        <w:spacing w:line="360" w:lineRule="auto"/>
        <w:jc w:val="center"/>
        <w:rPr>
          <w:rFonts w:hint="eastAsia" w:eastAsia="仿宋_GB2312"/>
          <w:b/>
          <w:bCs/>
          <w:color w:val="auto"/>
          <w:sz w:val="32"/>
          <w:highlight w:val="none"/>
          <w:lang w:val="zh-CN"/>
        </w:rPr>
      </w:pPr>
      <w:r>
        <w:rPr>
          <w:color w:val="auto"/>
          <w:highlight w:val="none"/>
        </w:rPr>
        <w:br w:type="page"/>
      </w:r>
      <w:r>
        <w:rPr>
          <w:rFonts w:hint="eastAsia" w:eastAsia="仿宋_GB2312"/>
          <w:b/>
          <w:bCs/>
          <w:color w:val="auto"/>
          <w:sz w:val="32"/>
          <w:highlight w:val="none"/>
          <w:lang w:val="zh-CN"/>
        </w:rPr>
        <w:t>供应商参加开标（答辩）人员名单</w:t>
      </w:r>
    </w:p>
    <w:p>
      <w:pPr>
        <w:autoSpaceDE w:val="0"/>
        <w:autoSpaceDN w:val="0"/>
        <w:adjustRightInd w:val="0"/>
        <w:spacing w:line="360" w:lineRule="auto"/>
        <w:jc w:val="left"/>
        <w:rPr>
          <w:rFonts w:hint="eastAsia"/>
          <w:color w:val="auto"/>
          <w:highlight w:val="none"/>
          <w:lang w:val="zh-CN"/>
        </w:rPr>
      </w:pPr>
    </w:p>
    <w:p>
      <w:pPr>
        <w:autoSpaceDE w:val="0"/>
        <w:autoSpaceDN w:val="0"/>
        <w:adjustRightInd w:val="0"/>
        <w:spacing w:line="360" w:lineRule="auto"/>
        <w:jc w:val="left"/>
        <w:rPr>
          <w:rFonts w:hint="eastAsia"/>
          <w:color w:val="auto"/>
          <w:sz w:val="28"/>
          <w:highlight w:val="none"/>
          <w:lang w:val="zh-CN"/>
        </w:rPr>
      </w:pPr>
    </w:p>
    <w:tbl>
      <w:tblPr>
        <w:tblStyle w:val="20"/>
        <w:tblW w:w="0" w:type="auto"/>
        <w:tblInd w:w="0" w:type="dxa"/>
        <w:tblLayout w:type="fixed"/>
        <w:tblCellMar>
          <w:top w:w="0" w:type="dxa"/>
          <w:left w:w="0" w:type="dxa"/>
          <w:bottom w:w="0" w:type="dxa"/>
          <w:right w:w="0" w:type="dxa"/>
        </w:tblCellMar>
      </w:tblPr>
      <w:tblGrid>
        <w:gridCol w:w="1710"/>
        <w:gridCol w:w="3280"/>
        <w:gridCol w:w="1580"/>
        <w:gridCol w:w="2860"/>
      </w:tblGrid>
      <w:tr>
        <w:tblPrEx>
          <w:tblCellMar>
            <w:top w:w="0" w:type="dxa"/>
            <w:left w:w="0" w:type="dxa"/>
            <w:bottom w:w="0" w:type="dxa"/>
            <w:right w:w="0" w:type="dxa"/>
          </w:tblCellMar>
        </w:tblPrEx>
        <w:trPr>
          <w:wBefore w:w="0" w:type="dxa"/>
          <w:wAfter w:w="0" w:type="dxa"/>
          <w:trHeight w:val="810" w:hRule="atLeast"/>
        </w:trPr>
        <w:tc>
          <w:tcPr>
            <w:tcW w:w="17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Arial Unicode MS"/>
                <w:color w:val="auto"/>
                <w:sz w:val="28"/>
                <w:szCs w:val="28"/>
                <w:highlight w:val="none"/>
              </w:rPr>
            </w:pPr>
            <w:r>
              <w:rPr>
                <w:rFonts w:hint="eastAsia" w:ascii="宋体" w:hAnsi="宋体"/>
                <w:color w:val="auto"/>
                <w:sz w:val="28"/>
                <w:szCs w:val="28"/>
                <w:highlight w:val="none"/>
              </w:rPr>
              <w:t>采购编号</w:t>
            </w:r>
          </w:p>
        </w:tc>
        <w:tc>
          <w:tcPr>
            <w:tcW w:w="32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color w:val="auto"/>
                <w:sz w:val="28"/>
                <w:szCs w:val="28"/>
                <w:highlight w:val="none"/>
              </w:rPr>
            </w:pPr>
            <w:r>
              <w:rPr>
                <w:color w:val="auto"/>
                <w:sz w:val="28"/>
                <w:szCs w:val="28"/>
                <w:highlight w:val="none"/>
              </w:rPr>
              <w:t>NBZFCG</w:t>
            </w:r>
            <w:r>
              <w:rPr>
                <w:rFonts w:hint="eastAsia"/>
                <w:color w:val="auto"/>
                <w:sz w:val="28"/>
                <w:szCs w:val="28"/>
                <w:highlight w:val="none"/>
              </w:rPr>
              <w:t>20XXXXXG</w:t>
            </w:r>
          </w:p>
        </w:tc>
        <w:tc>
          <w:tcPr>
            <w:tcW w:w="15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Arial Unicode MS"/>
                <w:color w:val="auto"/>
                <w:sz w:val="28"/>
                <w:szCs w:val="28"/>
                <w:highlight w:val="none"/>
              </w:rPr>
            </w:pPr>
            <w:r>
              <w:rPr>
                <w:rFonts w:hint="eastAsia" w:ascii="宋体" w:hAnsi="宋体"/>
                <w:color w:val="auto"/>
                <w:sz w:val="28"/>
                <w:szCs w:val="28"/>
                <w:highlight w:val="none"/>
              </w:rPr>
              <w:t>标包</w:t>
            </w:r>
          </w:p>
        </w:tc>
        <w:tc>
          <w:tcPr>
            <w:tcW w:w="286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Arial Unicode MS"/>
                <w:color w:val="auto"/>
                <w:sz w:val="28"/>
                <w:szCs w:val="28"/>
                <w:highlight w:val="none"/>
              </w:rPr>
            </w:pPr>
            <w:r>
              <w:rPr>
                <w:rFonts w:hint="eastAsia" w:ascii="宋体" w:hAnsi="宋体"/>
                <w:color w:val="auto"/>
                <w:sz w:val="28"/>
                <w:szCs w:val="28"/>
                <w:highlight w:val="none"/>
              </w:rPr>
              <w:t>　</w:t>
            </w:r>
          </w:p>
        </w:tc>
      </w:tr>
      <w:tr>
        <w:tblPrEx>
          <w:tblCellMar>
            <w:top w:w="0" w:type="dxa"/>
            <w:left w:w="0" w:type="dxa"/>
            <w:bottom w:w="0" w:type="dxa"/>
            <w:right w:w="0" w:type="dxa"/>
          </w:tblCellMar>
        </w:tblPrEx>
        <w:trPr>
          <w:wBefore w:w="0" w:type="dxa"/>
          <w:wAfter w:w="0" w:type="dxa"/>
          <w:trHeight w:val="810" w:hRule="atLeast"/>
        </w:trPr>
        <w:tc>
          <w:tcPr>
            <w:tcW w:w="171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olor w:val="auto"/>
                <w:sz w:val="28"/>
                <w:szCs w:val="28"/>
                <w:highlight w:val="none"/>
              </w:rPr>
            </w:pPr>
            <w:r>
              <w:rPr>
                <w:rFonts w:hint="eastAsia" w:ascii="宋体" w:hAnsi="宋体"/>
                <w:color w:val="auto"/>
                <w:sz w:val="28"/>
                <w:szCs w:val="28"/>
                <w:highlight w:val="none"/>
              </w:rPr>
              <w:t>项目名称</w:t>
            </w:r>
          </w:p>
        </w:tc>
        <w:tc>
          <w:tcPr>
            <w:tcW w:w="7720" w:type="dxa"/>
            <w:gridSpan w:val="3"/>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olor w:val="auto"/>
                <w:sz w:val="28"/>
                <w:szCs w:val="28"/>
                <w:highlight w:val="none"/>
              </w:rPr>
            </w:pPr>
          </w:p>
        </w:tc>
      </w:tr>
      <w:tr>
        <w:tblPrEx>
          <w:tblCellMar>
            <w:top w:w="0" w:type="dxa"/>
            <w:left w:w="0" w:type="dxa"/>
            <w:bottom w:w="0" w:type="dxa"/>
            <w:right w:w="0" w:type="dxa"/>
          </w:tblCellMar>
        </w:tblPrEx>
        <w:trPr>
          <w:wBefore w:w="0" w:type="dxa"/>
          <w:wAfter w:w="0" w:type="dxa"/>
          <w:trHeight w:val="810" w:hRule="atLeast"/>
        </w:trPr>
        <w:tc>
          <w:tcPr>
            <w:tcW w:w="171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Arial Unicode MS"/>
                <w:color w:val="auto"/>
                <w:sz w:val="28"/>
                <w:szCs w:val="28"/>
                <w:highlight w:val="none"/>
              </w:rPr>
            </w:pPr>
            <w:r>
              <w:rPr>
                <w:rFonts w:hint="eastAsia" w:ascii="宋体" w:hAnsi="宋体"/>
                <w:color w:val="auto"/>
                <w:sz w:val="28"/>
                <w:szCs w:val="28"/>
                <w:highlight w:val="none"/>
              </w:rPr>
              <w:t>投标商名称</w:t>
            </w:r>
          </w:p>
        </w:tc>
        <w:tc>
          <w:tcPr>
            <w:tcW w:w="7720" w:type="dxa"/>
            <w:gridSpan w:val="3"/>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ascii="宋体" w:hAnsi="宋体" w:cs="Arial Unicode MS"/>
                <w:color w:val="auto"/>
                <w:sz w:val="28"/>
                <w:szCs w:val="28"/>
                <w:highlight w:val="none"/>
              </w:rPr>
            </w:pPr>
            <w:r>
              <w:rPr>
                <w:rFonts w:hint="eastAsia" w:ascii="宋体" w:hAnsi="宋体"/>
                <w:color w:val="auto"/>
                <w:sz w:val="28"/>
                <w:szCs w:val="28"/>
                <w:highlight w:val="none"/>
              </w:rPr>
              <w:t>　</w:t>
            </w:r>
          </w:p>
        </w:tc>
      </w:tr>
      <w:tr>
        <w:tblPrEx>
          <w:tblCellMar>
            <w:top w:w="0" w:type="dxa"/>
            <w:left w:w="0" w:type="dxa"/>
            <w:bottom w:w="0" w:type="dxa"/>
            <w:right w:w="0" w:type="dxa"/>
          </w:tblCellMar>
        </w:tblPrEx>
        <w:trPr>
          <w:wBefore w:w="0" w:type="dxa"/>
          <w:wAfter w:w="0" w:type="dxa"/>
          <w:trHeight w:val="810" w:hRule="atLeast"/>
        </w:trPr>
        <w:tc>
          <w:tcPr>
            <w:tcW w:w="171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Arial Unicode MS"/>
                <w:color w:val="auto"/>
                <w:sz w:val="28"/>
                <w:szCs w:val="28"/>
                <w:highlight w:val="none"/>
              </w:rPr>
            </w:pPr>
            <w:r>
              <w:rPr>
                <w:rFonts w:hint="eastAsia" w:ascii="宋体" w:hAnsi="宋体"/>
                <w:color w:val="auto"/>
                <w:sz w:val="28"/>
                <w:szCs w:val="28"/>
                <w:highlight w:val="none"/>
              </w:rPr>
              <w:t>授权代表姓名</w:t>
            </w:r>
          </w:p>
        </w:tc>
        <w:tc>
          <w:tcPr>
            <w:tcW w:w="3280" w:type="dxa"/>
            <w:tcBorders>
              <w:top w:val="nil"/>
              <w:left w:val="nil"/>
              <w:bottom w:val="single" w:color="auto" w:sz="4" w:space="0"/>
              <w:right w:val="nil"/>
            </w:tcBorders>
            <w:noWrap w:val="0"/>
            <w:tcMar>
              <w:top w:w="15" w:type="dxa"/>
              <w:left w:w="15" w:type="dxa"/>
              <w:bottom w:w="0" w:type="dxa"/>
              <w:right w:w="15" w:type="dxa"/>
            </w:tcMar>
            <w:vAlign w:val="center"/>
          </w:tcPr>
          <w:p>
            <w:pPr>
              <w:rPr>
                <w:rFonts w:ascii="宋体" w:hAnsi="宋体" w:cs="Arial Unicode MS"/>
                <w:color w:val="auto"/>
                <w:sz w:val="28"/>
                <w:szCs w:val="28"/>
                <w:highlight w:val="none"/>
              </w:rPr>
            </w:pPr>
            <w:r>
              <w:rPr>
                <w:rFonts w:hint="eastAsia" w:ascii="宋体" w:hAnsi="宋体"/>
                <w:color w:val="auto"/>
                <w:sz w:val="28"/>
                <w:szCs w:val="28"/>
                <w:highlight w:val="none"/>
              </w:rPr>
              <w:t>　</w:t>
            </w:r>
          </w:p>
        </w:tc>
        <w:tc>
          <w:tcPr>
            <w:tcW w:w="158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color w:val="auto"/>
                <w:sz w:val="28"/>
                <w:szCs w:val="28"/>
                <w:highlight w:val="none"/>
              </w:rPr>
            </w:pPr>
            <w:r>
              <w:rPr>
                <w:rFonts w:hint="eastAsia" w:ascii="宋体" w:hAnsi="宋体" w:cs="Arial Unicode MS"/>
                <w:color w:val="auto"/>
                <w:sz w:val="28"/>
                <w:szCs w:val="28"/>
                <w:highlight w:val="none"/>
              </w:rPr>
              <w:t>职务</w:t>
            </w:r>
          </w:p>
        </w:tc>
        <w:tc>
          <w:tcPr>
            <w:tcW w:w="28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Arial Unicode MS"/>
                <w:color w:val="auto"/>
                <w:sz w:val="28"/>
                <w:szCs w:val="28"/>
                <w:highlight w:val="none"/>
              </w:rPr>
            </w:pPr>
            <w:r>
              <w:rPr>
                <w:rFonts w:hint="eastAsia" w:ascii="宋体" w:hAnsi="宋体"/>
                <w:color w:val="auto"/>
                <w:sz w:val="28"/>
                <w:szCs w:val="28"/>
                <w:highlight w:val="none"/>
              </w:rPr>
              <w:t>　</w:t>
            </w:r>
          </w:p>
        </w:tc>
      </w:tr>
      <w:tr>
        <w:tblPrEx>
          <w:tblCellMar>
            <w:top w:w="0" w:type="dxa"/>
            <w:left w:w="0" w:type="dxa"/>
            <w:bottom w:w="0" w:type="dxa"/>
            <w:right w:w="0" w:type="dxa"/>
          </w:tblCellMar>
        </w:tblPrEx>
        <w:trPr>
          <w:wBefore w:w="0" w:type="dxa"/>
          <w:wAfter w:w="0" w:type="dxa"/>
          <w:trHeight w:val="810" w:hRule="atLeast"/>
        </w:trPr>
        <w:tc>
          <w:tcPr>
            <w:tcW w:w="171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auto"/>
                <w:sz w:val="28"/>
                <w:szCs w:val="28"/>
                <w:highlight w:val="none"/>
              </w:rPr>
            </w:pPr>
            <w:r>
              <w:rPr>
                <w:rFonts w:hint="eastAsia" w:ascii="宋体" w:hAnsi="宋体"/>
                <w:color w:val="auto"/>
                <w:sz w:val="28"/>
                <w:szCs w:val="28"/>
                <w:highlight w:val="none"/>
              </w:rPr>
              <w:t>手机</w:t>
            </w:r>
          </w:p>
        </w:tc>
        <w:tc>
          <w:tcPr>
            <w:tcW w:w="32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Arial Unicode MS"/>
                <w:color w:val="auto"/>
                <w:sz w:val="28"/>
                <w:szCs w:val="28"/>
                <w:highlight w:val="none"/>
              </w:rPr>
            </w:pPr>
            <w:r>
              <w:rPr>
                <w:rFonts w:hint="eastAsia" w:ascii="宋体" w:hAnsi="宋体"/>
                <w:color w:val="auto"/>
                <w:sz w:val="28"/>
                <w:szCs w:val="28"/>
                <w:highlight w:val="none"/>
              </w:rPr>
              <w:t>　</w:t>
            </w:r>
          </w:p>
        </w:tc>
        <w:tc>
          <w:tcPr>
            <w:tcW w:w="1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Arial Unicode MS"/>
                <w:color w:val="auto"/>
                <w:sz w:val="28"/>
                <w:szCs w:val="28"/>
                <w:highlight w:val="none"/>
              </w:rPr>
            </w:pPr>
            <w:r>
              <w:rPr>
                <w:rFonts w:hint="eastAsia" w:ascii="宋体" w:hAnsi="宋体"/>
                <w:color w:val="auto"/>
                <w:sz w:val="28"/>
                <w:szCs w:val="28"/>
                <w:highlight w:val="none"/>
              </w:rPr>
              <w:t>身份证号</w:t>
            </w:r>
          </w:p>
        </w:tc>
        <w:tc>
          <w:tcPr>
            <w:tcW w:w="28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Arial Unicode MS"/>
                <w:color w:val="auto"/>
                <w:sz w:val="28"/>
                <w:szCs w:val="28"/>
                <w:highlight w:val="none"/>
              </w:rPr>
            </w:pPr>
            <w:r>
              <w:rPr>
                <w:rFonts w:hint="eastAsia" w:ascii="宋体" w:hAnsi="宋体"/>
                <w:color w:val="auto"/>
                <w:sz w:val="28"/>
                <w:szCs w:val="28"/>
                <w:highlight w:val="none"/>
              </w:rPr>
              <w:t>　</w:t>
            </w:r>
          </w:p>
        </w:tc>
      </w:tr>
      <w:tr>
        <w:tblPrEx>
          <w:tblCellMar>
            <w:top w:w="0" w:type="dxa"/>
            <w:left w:w="0" w:type="dxa"/>
            <w:bottom w:w="0" w:type="dxa"/>
            <w:right w:w="0" w:type="dxa"/>
          </w:tblCellMar>
        </w:tblPrEx>
        <w:trPr>
          <w:wBefore w:w="0" w:type="dxa"/>
          <w:wAfter w:w="0" w:type="dxa"/>
          <w:trHeight w:val="810" w:hRule="atLeast"/>
        </w:trPr>
        <w:tc>
          <w:tcPr>
            <w:tcW w:w="171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color w:val="auto"/>
                <w:sz w:val="28"/>
                <w:szCs w:val="28"/>
                <w:highlight w:val="none"/>
              </w:rPr>
            </w:pPr>
            <w:r>
              <w:rPr>
                <w:rFonts w:hint="eastAsia" w:ascii="宋体" w:hAnsi="宋体" w:cs="Arial Unicode MS"/>
                <w:color w:val="auto"/>
                <w:sz w:val="28"/>
                <w:szCs w:val="28"/>
                <w:highlight w:val="none"/>
              </w:rPr>
              <w:t>其他人员姓名</w:t>
            </w:r>
          </w:p>
        </w:tc>
        <w:tc>
          <w:tcPr>
            <w:tcW w:w="32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olor w:val="auto"/>
                <w:sz w:val="28"/>
                <w:szCs w:val="28"/>
                <w:highlight w:val="none"/>
              </w:rPr>
            </w:pPr>
          </w:p>
        </w:tc>
        <w:tc>
          <w:tcPr>
            <w:tcW w:w="1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color w:val="auto"/>
                <w:sz w:val="28"/>
                <w:szCs w:val="28"/>
                <w:highlight w:val="none"/>
              </w:rPr>
            </w:pPr>
            <w:r>
              <w:rPr>
                <w:rFonts w:hint="eastAsia" w:ascii="宋体" w:hAnsi="宋体" w:cs="Arial Unicode MS"/>
                <w:color w:val="auto"/>
                <w:sz w:val="28"/>
                <w:szCs w:val="28"/>
                <w:highlight w:val="none"/>
              </w:rPr>
              <w:t>职务</w:t>
            </w:r>
          </w:p>
        </w:tc>
        <w:tc>
          <w:tcPr>
            <w:tcW w:w="28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olor w:val="auto"/>
                <w:sz w:val="28"/>
                <w:szCs w:val="28"/>
                <w:highlight w:val="none"/>
              </w:rPr>
            </w:pPr>
          </w:p>
        </w:tc>
      </w:tr>
      <w:tr>
        <w:tblPrEx>
          <w:tblCellMar>
            <w:top w:w="0" w:type="dxa"/>
            <w:left w:w="0" w:type="dxa"/>
            <w:bottom w:w="0" w:type="dxa"/>
            <w:right w:w="0" w:type="dxa"/>
          </w:tblCellMar>
        </w:tblPrEx>
        <w:trPr>
          <w:wBefore w:w="0" w:type="dxa"/>
          <w:wAfter w:w="0" w:type="dxa"/>
          <w:trHeight w:val="810" w:hRule="atLeast"/>
        </w:trPr>
        <w:tc>
          <w:tcPr>
            <w:tcW w:w="171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Arial Unicode MS"/>
                <w:color w:val="auto"/>
                <w:sz w:val="28"/>
                <w:szCs w:val="28"/>
                <w:highlight w:val="none"/>
              </w:rPr>
            </w:pPr>
            <w:r>
              <w:rPr>
                <w:rFonts w:hint="eastAsia" w:ascii="宋体" w:hAnsi="宋体"/>
                <w:color w:val="auto"/>
                <w:sz w:val="28"/>
                <w:szCs w:val="28"/>
                <w:highlight w:val="none"/>
              </w:rPr>
              <w:t>手机</w:t>
            </w:r>
          </w:p>
        </w:tc>
        <w:tc>
          <w:tcPr>
            <w:tcW w:w="32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olor w:val="auto"/>
                <w:sz w:val="28"/>
                <w:szCs w:val="28"/>
                <w:highlight w:val="none"/>
              </w:rPr>
            </w:pPr>
          </w:p>
        </w:tc>
        <w:tc>
          <w:tcPr>
            <w:tcW w:w="1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Arial Unicode MS"/>
                <w:color w:val="auto"/>
                <w:sz w:val="28"/>
                <w:szCs w:val="28"/>
                <w:highlight w:val="none"/>
              </w:rPr>
            </w:pPr>
            <w:r>
              <w:rPr>
                <w:rFonts w:hint="eastAsia" w:ascii="宋体" w:hAnsi="宋体"/>
                <w:color w:val="auto"/>
                <w:sz w:val="28"/>
                <w:szCs w:val="28"/>
                <w:highlight w:val="none"/>
              </w:rPr>
              <w:t>身份证号</w:t>
            </w:r>
          </w:p>
        </w:tc>
        <w:tc>
          <w:tcPr>
            <w:tcW w:w="28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olor w:val="auto"/>
                <w:sz w:val="28"/>
                <w:szCs w:val="28"/>
                <w:highlight w:val="none"/>
              </w:rPr>
            </w:pPr>
          </w:p>
        </w:tc>
      </w:tr>
      <w:tr>
        <w:tblPrEx>
          <w:tblCellMar>
            <w:top w:w="0" w:type="dxa"/>
            <w:left w:w="0" w:type="dxa"/>
            <w:bottom w:w="0" w:type="dxa"/>
            <w:right w:w="0" w:type="dxa"/>
          </w:tblCellMar>
        </w:tblPrEx>
        <w:trPr>
          <w:wBefore w:w="0" w:type="dxa"/>
          <w:wAfter w:w="0" w:type="dxa"/>
          <w:trHeight w:val="810" w:hRule="atLeast"/>
        </w:trPr>
        <w:tc>
          <w:tcPr>
            <w:tcW w:w="171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Arial Unicode MS"/>
                <w:color w:val="auto"/>
                <w:sz w:val="28"/>
                <w:szCs w:val="28"/>
                <w:highlight w:val="none"/>
              </w:rPr>
            </w:pPr>
            <w:r>
              <w:rPr>
                <w:rFonts w:hint="eastAsia" w:ascii="宋体" w:hAnsi="宋体" w:cs="Arial Unicode MS"/>
                <w:color w:val="auto"/>
                <w:sz w:val="28"/>
                <w:szCs w:val="28"/>
                <w:highlight w:val="none"/>
              </w:rPr>
              <w:t>其他人员姓名</w:t>
            </w:r>
          </w:p>
        </w:tc>
        <w:tc>
          <w:tcPr>
            <w:tcW w:w="32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olor w:val="auto"/>
                <w:sz w:val="28"/>
                <w:szCs w:val="28"/>
                <w:highlight w:val="none"/>
              </w:rPr>
            </w:pPr>
          </w:p>
        </w:tc>
        <w:tc>
          <w:tcPr>
            <w:tcW w:w="1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color w:val="auto"/>
                <w:sz w:val="28"/>
                <w:szCs w:val="28"/>
                <w:highlight w:val="none"/>
              </w:rPr>
            </w:pPr>
            <w:r>
              <w:rPr>
                <w:rFonts w:hint="eastAsia" w:ascii="宋体" w:hAnsi="宋体" w:cs="Arial Unicode MS"/>
                <w:color w:val="auto"/>
                <w:sz w:val="28"/>
                <w:szCs w:val="28"/>
                <w:highlight w:val="none"/>
              </w:rPr>
              <w:t>职务</w:t>
            </w:r>
          </w:p>
        </w:tc>
        <w:tc>
          <w:tcPr>
            <w:tcW w:w="28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olor w:val="auto"/>
                <w:sz w:val="28"/>
                <w:szCs w:val="28"/>
                <w:highlight w:val="none"/>
              </w:rPr>
            </w:pPr>
          </w:p>
        </w:tc>
      </w:tr>
      <w:tr>
        <w:tblPrEx>
          <w:tblCellMar>
            <w:top w:w="0" w:type="dxa"/>
            <w:left w:w="0" w:type="dxa"/>
            <w:bottom w:w="0" w:type="dxa"/>
            <w:right w:w="0" w:type="dxa"/>
          </w:tblCellMar>
        </w:tblPrEx>
        <w:trPr>
          <w:wBefore w:w="0" w:type="dxa"/>
          <w:wAfter w:w="0" w:type="dxa"/>
          <w:trHeight w:val="810" w:hRule="atLeast"/>
        </w:trPr>
        <w:tc>
          <w:tcPr>
            <w:tcW w:w="171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Arial Unicode MS"/>
                <w:color w:val="auto"/>
                <w:sz w:val="28"/>
                <w:szCs w:val="28"/>
                <w:highlight w:val="none"/>
              </w:rPr>
            </w:pPr>
            <w:r>
              <w:rPr>
                <w:rFonts w:hint="eastAsia" w:ascii="宋体" w:hAnsi="宋体"/>
                <w:color w:val="auto"/>
                <w:sz w:val="28"/>
                <w:szCs w:val="28"/>
                <w:highlight w:val="none"/>
              </w:rPr>
              <w:t>手机</w:t>
            </w:r>
          </w:p>
        </w:tc>
        <w:tc>
          <w:tcPr>
            <w:tcW w:w="32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Arial Unicode MS"/>
                <w:color w:val="auto"/>
                <w:sz w:val="28"/>
                <w:szCs w:val="28"/>
                <w:highlight w:val="none"/>
              </w:rPr>
            </w:pPr>
            <w:r>
              <w:rPr>
                <w:rFonts w:hint="eastAsia" w:ascii="宋体" w:hAnsi="宋体"/>
                <w:color w:val="auto"/>
                <w:sz w:val="28"/>
                <w:szCs w:val="28"/>
                <w:highlight w:val="none"/>
              </w:rPr>
              <w:t>　</w:t>
            </w:r>
          </w:p>
        </w:tc>
        <w:tc>
          <w:tcPr>
            <w:tcW w:w="1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Arial Unicode MS"/>
                <w:color w:val="auto"/>
                <w:sz w:val="28"/>
                <w:szCs w:val="28"/>
                <w:highlight w:val="none"/>
              </w:rPr>
            </w:pPr>
            <w:r>
              <w:rPr>
                <w:rFonts w:hint="eastAsia" w:ascii="宋体" w:hAnsi="宋体"/>
                <w:color w:val="auto"/>
                <w:sz w:val="28"/>
                <w:szCs w:val="28"/>
                <w:highlight w:val="none"/>
              </w:rPr>
              <w:t>身份证号</w:t>
            </w:r>
          </w:p>
        </w:tc>
        <w:tc>
          <w:tcPr>
            <w:tcW w:w="28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Arial Unicode MS"/>
                <w:color w:val="auto"/>
                <w:sz w:val="28"/>
                <w:szCs w:val="28"/>
                <w:highlight w:val="none"/>
              </w:rPr>
            </w:pPr>
            <w:r>
              <w:rPr>
                <w:rFonts w:hint="eastAsia" w:ascii="宋体" w:hAnsi="宋体"/>
                <w:color w:val="auto"/>
                <w:sz w:val="28"/>
                <w:szCs w:val="28"/>
                <w:highlight w:val="none"/>
              </w:rPr>
              <w:t>　</w:t>
            </w:r>
          </w:p>
        </w:tc>
      </w:tr>
    </w:tbl>
    <w:p>
      <w:pPr>
        <w:autoSpaceDE w:val="0"/>
        <w:autoSpaceDN w:val="0"/>
        <w:adjustRightInd w:val="0"/>
        <w:spacing w:line="360" w:lineRule="auto"/>
        <w:jc w:val="left"/>
        <w:rPr>
          <w:rFonts w:hint="eastAsia"/>
          <w:color w:val="auto"/>
          <w:highlight w:val="none"/>
        </w:rPr>
      </w:pPr>
    </w:p>
    <w:p>
      <w:pPr>
        <w:autoSpaceDE w:val="0"/>
        <w:autoSpaceDN w:val="0"/>
        <w:adjustRightInd w:val="0"/>
        <w:spacing w:line="360" w:lineRule="auto"/>
        <w:jc w:val="left"/>
        <w:rPr>
          <w:rFonts w:hint="eastAsia"/>
          <w:color w:val="auto"/>
          <w:highlight w:val="none"/>
        </w:rPr>
      </w:pPr>
    </w:p>
    <w:p>
      <w:pPr>
        <w:pStyle w:val="3"/>
        <w:spacing w:after="120" w:line="520" w:lineRule="exact"/>
        <w:ind w:firstLine="0"/>
        <w:jc w:val="left"/>
        <w:rPr>
          <w:rFonts w:hint="eastAsia" w:ascii="宋体"/>
          <w:color w:val="auto"/>
          <w:sz w:val="28"/>
          <w:highlight w:val="none"/>
        </w:rPr>
      </w:pPr>
      <w:r>
        <w:rPr>
          <w:rFonts w:hint="eastAsia" w:ascii="宋体"/>
          <w:color w:val="auto"/>
          <w:sz w:val="28"/>
          <w:highlight w:val="none"/>
        </w:rPr>
        <w:t>投标单位全称（公章）：</w:t>
      </w:r>
    </w:p>
    <w:p>
      <w:pPr>
        <w:pStyle w:val="3"/>
        <w:spacing w:after="120" w:line="520" w:lineRule="exact"/>
        <w:ind w:firstLine="0"/>
        <w:jc w:val="left"/>
        <w:rPr>
          <w:rFonts w:hint="eastAsia" w:ascii="宋体"/>
          <w:color w:val="auto"/>
          <w:sz w:val="28"/>
          <w:highlight w:val="none"/>
        </w:rPr>
      </w:pPr>
    </w:p>
    <w:p>
      <w:pPr>
        <w:pStyle w:val="3"/>
        <w:spacing w:after="120" w:line="520" w:lineRule="exact"/>
        <w:ind w:firstLine="0"/>
        <w:jc w:val="left"/>
        <w:rPr>
          <w:rFonts w:hint="eastAsia" w:ascii="宋体"/>
          <w:color w:val="auto"/>
          <w:sz w:val="24"/>
          <w:highlight w:val="none"/>
        </w:rPr>
      </w:pPr>
      <w:r>
        <w:rPr>
          <w:rFonts w:hint="eastAsia" w:ascii="宋体"/>
          <w:color w:val="auto"/>
          <w:sz w:val="28"/>
          <w:highlight w:val="none"/>
        </w:rPr>
        <w:t>日期：</w:t>
      </w:r>
    </w:p>
    <w:p>
      <w:pPr>
        <w:rPr>
          <w:rFonts w:hint="eastAsia"/>
          <w:color w:val="auto"/>
          <w:highlight w:val="none"/>
        </w:rPr>
      </w:pPr>
    </w:p>
    <w:p>
      <w:pPr>
        <w:rPr>
          <w:rFonts w:hint="eastAsia"/>
          <w:color w:val="auto"/>
          <w:highlight w:val="none"/>
        </w:rPr>
      </w:pPr>
    </w:p>
    <w:p>
      <w:pPr>
        <w:rPr>
          <w:rFonts w:hint="eastAsia"/>
          <w:color w:val="auto"/>
          <w:highlight w:val="none"/>
        </w:rPr>
      </w:pPr>
      <w:r>
        <w:rPr>
          <w:rFonts w:hint="eastAsia"/>
          <w:color w:val="auto"/>
          <w:highlight w:val="none"/>
        </w:rPr>
        <w:t>说明：供应商参加现场开标（答辩）的，本表在投标时提交工作人员。</w:t>
      </w:r>
    </w:p>
    <w:p>
      <w:pPr>
        <w:pStyle w:val="6"/>
        <w:jc w:val="center"/>
        <w:rPr>
          <w:b/>
          <w:color w:val="auto"/>
          <w:kern w:val="2"/>
          <w:sz w:val="32"/>
          <w:szCs w:val="32"/>
          <w:highlight w:val="none"/>
        </w:rPr>
      </w:pPr>
      <w:r>
        <w:rPr>
          <w:i/>
          <w:iCs/>
          <w:color w:val="auto"/>
          <w:sz w:val="32"/>
          <w:highlight w:val="none"/>
        </w:rPr>
        <w:br w:type="page"/>
      </w:r>
      <w:r>
        <w:rPr>
          <w:rFonts w:hint="eastAsia"/>
          <w:b/>
          <w:color w:val="auto"/>
          <w:kern w:val="2"/>
          <w:sz w:val="32"/>
          <w:szCs w:val="32"/>
          <w:highlight w:val="none"/>
        </w:rPr>
        <w:t>政府采购履约情况反馈表</w:t>
      </w:r>
    </w:p>
    <w:p>
      <w:pPr>
        <w:spacing w:line="240" w:lineRule="atLeast"/>
        <w:rPr>
          <w:rFonts w:hint="eastAsia" w:ascii="宋体" w:hAnsi="宋体"/>
          <w:b/>
          <w:color w:val="auto"/>
          <w:szCs w:val="21"/>
          <w:highlight w:val="none"/>
        </w:rPr>
      </w:pPr>
      <w:r>
        <w:rPr>
          <w:rFonts w:hint="eastAsia" w:ascii="宋体" w:hAnsi="宋体"/>
          <w:b/>
          <w:color w:val="auto"/>
          <w:szCs w:val="21"/>
          <w:highlight w:val="none"/>
        </w:rPr>
        <w:t>采购人名称：                       联系人及电话：</w:t>
      </w:r>
    </w:p>
    <w:p>
      <w:pPr>
        <w:spacing w:line="60" w:lineRule="exact"/>
        <w:rPr>
          <w:rFonts w:hint="eastAsia" w:ascii="宋体" w:hAnsi="宋体"/>
          <w:b/>
          <w:color w:val="auto"/>
          <w:szCs w:val="21"/>
          <w:highlight w:val="none"/>
        </w:rPr>
      </w:pP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0" w:hRule="atLeast"/>
          <w:jc w:val="center"/>
        </w:trPr>
        <w:tc>
          <w:tcPr>
            <w:tcW w:w="2282" w:type="dxa"/>
            <w:gridSpan w:val="3"/>
            <w:noWrap w:val="0"/>
            <w:vAlign w:val="center"/>
          </w:tcPr>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采购项目名称</w:t>
            </w:r>
          </w:p>
        </w:tc>
        <w:tc>
          <w:tcPr>
            <w:tcW w:w="2520" w:type="dxa"/>
            <w:noWrap w:val="0"/>
            <w:vAlign w:val="center"/>
          </w:tcPr>
          <w:p>
            <w:pPr>
              <w:spacing w:line="240" w:lineRule="atLeast"/>
              <w:jc w:val="center"/>
              <w:rPr>
                <w:rFonts w:hint="eastAsia" w:ascii="宋体" w:hAnsi="宋体"/>
                <w:color w:val="auto"/>
                <w:szCs w:val="21"/>
                <w:highlight w:val="none"/>
              </w:rPr>
            </w:pPr>
          </w:p>
        </w:tc>
        <w:tc>
          <w:tcPr>
            <w:tcW w:w="1980" w:type="dxa"/>
            <w:noWrap w:val="0"/>
            <w:vAlign w:val="center"/>
          </w:tcPr>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项目编号</w:t>
            </w:r>
          </w:p>
        </w:tc>
        <w:tc>
          <w:tcPr>
            <w:tcW w:w="2135" w:type="dxa"/>
            <w:noWrap w:val="0"/>
            <w:vAlign w:val="center"/>
          </w:tcPr>
          <w:p>
            <w:pPr>
              <w:spacing w:line="240" w:lineRule="atLeast"/>
              <w:jc w:val="center"/>
              <w:rPr>
                <w:rFonts w:hint="eastAsia"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61" w:hRule="atLeast"/>
          <w:jc w:val="center"/>
        </w:trPr>
        <w:tc>
          <w:tcPr>
            <w:tcW w:w="2282" w:type="dxa"/>
            <w:gridSpan w:val="3"/>
            <w:noWrap w:val="0"/>
            <w:vAlign w:val="center"/>
          </w:tcPr>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中标供应商名称</w:t>
            </w:r>
          </w:p>
        </w:tc>
        <w:tc>
          <w:tcPr>
            <w:tcW w:w="2520" w:type="dxa"/>
            <w:noWrap w:val="0"/>
            <w:vAlign w:val="center"/>
          </w:tcPr>
          <w:p>
            <w:pPr>
              <w:spacing w:line="240" w:lineRule="atLeast"/>
              <w:jc w:val="center"/>
              <w:rPr>
                <w:rFonts w:hint="eastAsia" w:ascii="宋体" w:hAnsi="宋体"/>
                <w:color w:val="auto"/>
                <w:szCs w:val="21"/>
                <w:highlight w:val="none"/>
              </w:rPr>
            </w:pPr>
          </w:p>
        </w:tc>
        <w:tc>
          <w:tcPr>
            <w:tcW w:w="1980" w:type="dxa"/>
            <w:noWrap w:val="0"/>
            <w:vAlign w:val="center"/>
          </w:tcPr>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供应商</w:t>
            </w:r>
          </w:p>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联系人及电话</w:t>
            </w:r>
          </w:p>
        </w:tc>
        <w:tc>
          <w:tcPr>
            <w:tcW w:w="2135" w:type="dxa"/>
            <w:noWrap w:val="0"/>
            <w:vAlign w:val="center"/>
          </w:tcPr>
          <w:p>
            <w:pPr>
              <w:spacing w:line="240" w:lineRule="atLeast"/>
              <w:jc w:val="center"/>
              <w:rPr>
                <w:rFonts w:hint="eastAsia"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38" w:hRule="atLeast"/>
          <w:jc w:val="center"/>
        </w:trPr>
        <w:tc>
          <w:tcPr>
            <w:tcW w:w="2282" w:type="dxa"/>
            <w:gridSpan w:val="3"/>
            <w:noWrap w:val="0"/>
            <w:vAlign w:val="center"/>
          </w:tcPr>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中标金额</w:t>
            </w:r>
          </w:p>
        </w:tc>
        <w:tc>
          <w:tcPr>
            <w:tcW w:w="2520" w:type="dxa"/>
            <w:noWrap w:val="0"/>
            <w:vAlign w:val="center"/>
          </w:tcPr>
          <w:p>
            <w:pPr>
              <w:spacing w:line="240" w:lineRule="atLeast"/>
              <w:jc w:val="center"/>
              <w:rPr>
                <w:rFonts w:hint="eastAsia" w:ascii="宋体" w:hAnsi="宋体"/>
                <w:color w:val="auto"/>
                <w:szCs w:val="21"/>
                <w:highlight w:val="none"/>
              </w:rPr>
            </w:pPr>
          </w:p>
        </w:tc>
        <w:tc>
          <w:tcPr>
            <w:tcW w:w="1980" w:type="dxa"/>
            <w:noWrap w:val="0"/>
            <w:vAlign w:val="center"/>
          </w:tcPr>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合同履约时间</w:t>
            </w:r>
          </w:p>
        </w:tc>
        <w:tc>
          <w:tcPr>
            <w:tcW w:w="2135" w:type="dxa"/>
            <w:noWrap w:val="0"/>
            <w:vAlign w:val="center"/>
          </w:tcPr>
          <w:p>
            <w:pPr>
              <w:spacing w:line="240" w:lineRule="atLeast"/>
              <w:rPr>
                <w:rFonts w:hint="eastAsia" w:ascii="宋体" w:hAnsi="宋体"/>
                <w:color w:val="auto"/>
                <w:szCs w:val="21"/>
                <w:highlight w:val="none"/>
              </w:rPr>
            </w:pPr>
            <w:r>
              <w:rPr>
                <w:rFonts w:hint="eastAsia" w:ascii="宋体" w:hAnsi="宋体"/>
                <w:color w:val="auto"/>
                <w:szCs w:val="21"/>
                <w:highlight w:val="none"/>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44" w:hRule="atLeast"/>
          <w:jc w:val="center"/>
        </w:trPr>
        <w:tc>
          <w:tcPr>
            <w:tcW w:w="842" w:type="dxa"/>
            <w:vMerge w:val="restart"/>
            <w:noWrap w:val="0"/>
            <w:vAlign w:val="center"/>
          </w:tcPr>
          <w:p>
            <w:pPr>
              <w:spacing w:line="240" w:lineRule="atLeast"/>
              <w:jc w:val="center"/>
              <w:rPr>
                <w:rFonts w:hint="eastAsia" w:ascii="宋体" w:hAnsi="宋体"/>
                <w:b/>
                <w:color w:val="auto"/>
                <w:szCs w:val="21"/>
                <w:highlight w:val="none"/>
              </w:rPr>
            </w:pPr>
            <w:r>
              <w:rPr>
                <w:rFonts w:hint="eastAsia" w:ascii="宋体" w:hAnsi="宋体"/>
                <w:b/>
                <w:color w:val="auto"/>
                <w:szCs w:val="21"/>
                <w:highlight w:val="none"/>
              </w:rPr>
              <w:t>履约情况评价</w:t>
            </w:r>
          </w:p>
        </w:tc>
        <w:tc>
          <w:tcPr>
            <w:tcW w:w="1440" w:type="dxa"/>
            <w:gridSpan w:val="2"/>
            <w:tcBorders>
              <w:right w:val="single" w:color="auto" w:sz="4" w:space="0"/>
            </w:tcBorders>
            <w:noWrap w:val="0"/>
            <w:vAlign w:val="center"/>
          </w:tcPr>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总体评价</w:t>
            </w:r>
          </w:p>
        </w:tc>
        <w:tc>
          <w:tcPr>
            <w:tcW w:w="6635" w:type="dxa"/>
            <w:gridSpan w:val="3"/>
            <w:tcBorders>
              <w:left w:val="single" w:color="auto" w:sz="4" w:space="0"/>
            </w:tcBorders>
            <w:noWrap w:val="0"/>
            <w:vAlign w:val="center"/>
          </w:tcPr>
          <w:p>
            <w:pPr>
              <w:spacing w:line="240" w:lineRule="atLeast"/>
              <w:ind w:firstLine="105" w:firstLineChars="50"/>
              <w:jc w:val="center"/>
              <w:rPr>
                <w:rFonts w:hint="eastAsia" w:ascii="宋体" w:hAnsi="宋体"/>
                <w:color w:val="auto"/>
                <w:szCs w:val="21"/>
                <w:highlight w:val="none"/>
              </w:rPr>
            </w:pPr>
            <w:r>
              <w:rPr>
                <w:rFonts w:hint="eastAsia" w:ascii="宋体" w:hAnsi="宋体"/>
                <w:color w:val="auto"/>
                <w:szCs w:val="21"/>
                <w:highlight w:val="none"/>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8" w:hRule="atLeast"/>
          <w:jc w:val="center"/>
        </w:trPr>
        <w:tc>
          <w:tcPr>
            <w:tcW w:w="842" w:type="dxa"/>
            <w:vMerge w:val="continue"/>
            <w:noWrap w:val="0"/>
            <w:vAlign w:val="center"/>
          </w:tcPr>
          <w:p>
            <w:pPr>
              <w:spacing w:line="240" w:lineRule="atLeast"/>
              <w:jc w:val="center"/>
              <w:rPr>
                <w:rFonts w:hint="eastAsia" w:ascii="宋体" w:hAnsi="宋体"/>
                <w:color w:val="auto"/>
                <w:szCs w:val="21"/>
                <w:highlight w:val="none"/>
              </w:rPr>
            </w:pPr>
          </w:p>
        </w:tc>
        <w:tc>
          <w:tcPr>
            <w:tcW w:w="720" w:type="dxa"/>
            <w:vMerge w:val="restart"/>
            <w:tcBorders>
              <w:right w:val="single" w:color="auto" w:sz="4" w:space="0"/>
            </w:tcBorders>
            <w:noWrap w:val="0"/>
            <w:vAlign w:val="center"/>
          </w:tcPr>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分项评价</w:t>
            </w:r>
          </w:p>
        </w:tc>
        <w:tc>
          <w:tcPr>
            <w:tcW w:w="720" w:type="dxa"/>
            <w:tcBorders>
              <w:left w:val="single" w:color="auto" w:sz="4" w:space="0"/>
              <w:right w:val="single" w:color="auto" w:sz="4" w:space="0"/>
            </w:tcBorders>
            <w:noWrap w:val="0"/>
            <w:vAlign w:val="center"/>
          </w:tcPr>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质量方面</w:t>
            </w:r>
          </w:p>
        </w:tc>
        <w:tc>
          <w:tcPr>
            <w:tcW w:w="6635" w:type="dxa"/>
            <w:gridSpan w:val="3"/>
            <w:tcBorders>
              <w:left w:val="single" w:color="auto" w:sz="4" w:space="0"/>
            </w:tcBorders>
            <w:noWrap w:val="0"/>
            <w:vAlign w:val="center"/>
          </w:tcPr>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8" w:hRule="atLeast"/>
          <w:jc w:val="center"/>
        </w:trPr>
        <w:tc>
          <w:tcPr>
            <w:tcW w:w="842" w:type="dxa"/>
            <w:vMerge w:val="continue"/>
            <w:noWrap w:val="0"/>
            <w:vAlign w:val="center"/>
          </w:tcPr>
          <w:p>
            <w:pPr>
              <w:spacing w:line="240" w:lineRule="atLeast"/>
              <w:jc w:val="center"/>
              <w:rPr>
                <w:rFonts w:hint="eastAsia" w:ascii="宋体" w:hAnsi="宋体"/>
                <w:color w:val="auto"/>
                <w:szCs w:val="21"/>
                <w:highlight w:val="none"/>
              </w:rPr>
            </w:pPr>
          </w:p>
        </w:tc>
        <w:tc>
          <w:tcPr>
            <w:tcW w:w="720" w:type="dxa"/>
            <w:vMerge w:val="continue"/>
            <w:tcBorders>
              <w:right w:val="single" w:color="auto" w:sz="4" w:space="0"/>
            </w:tcBorders>
            <w:noWrap w:val="0"/>
            <w:vAlign w:val="center"/>
          </w:tcPr>
          <w:p>
            <w:pPr>
              <w:spacing w:line="240" w:lineRule="atLeast"/>
              <w:jc w:val="center"/>
              <w:rPr>
                <w:rFonts w:hint="eastAsia" w:ascii="宋体" w:hAnsi="宋体"/>
                <w:color w:val="auto"/>
                <w:szCs w:val="21"/>
                <w:highlight w:val="none"/>
              </w:rPr>
            </w:pPr>
          </w:p>
        </w:tc>
        <w:tc>
          <w:tcPr>
            <w:tcW w:w="720" w:type="dxa"/>
            <w:tcBorders>
              <w:left w:val="single" w:color="auto" w:sz="4" w:space="0"/>
              <w:right w:val="single" w:color="auto" w:sz="4" w:space="0"/>
            </w:tcBorders>
            <w:noWrap w:val="0"/>
            <w:vAlign w:val="center"/>
          </w:tcPr>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价格方面</w:t>
            </w:r>
          </w:p>
        </w:tc>
        <w:tc>
          <w:tcPr>
            <w:tcW w:w="6635" w:type="dxa"/>
            <w:gridSpan w:val="3"/>
            <w:tcBorders>
              <w:left w:val="single" w:color="auto" w:sz="4" w:space="0"/>
            </w:tcBorders>
            <w:noWrap w:val="0"/>
            <w:vAlign w:val="center"/>
          </w:tcPr>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8" w:hRule="atLeast"/>
          <w:jc w:val="center"/>
        </w:trPr>
        <w:tc>
          <w:tcPr>
            <w:tcW w:w="842" w:type="dxa"/>
            <w:vMerge w:val="continue"/>
            <w:noWrap w:val="0"/>
            <w:vAlign w:val="center"/>
          </w:tcPr>
          <w:p>
            <w:pPr>
              <w:spacing w:line="240" w:lineRule="atLeast"/>
              <w:jc w:val="center"/>
              <w:rPr>
                <w:rFonts w:hint="eastAsia" w:ascii="宋体" w:hAnsi="宋体"/>
                <w:color w:val="auto"/>
                <w:szCs w:val="21"/>
                <w:highlight w:val="none"/>
              </w:rPr>
            </w:pPr>
          </w:p>
        </w:tc>
        <w:tc>
          <w:tcPr>
            <w:tcW w:w="720" w:type="dxa"/>
            <w:vMerge w:val="continue"/>
            <w:tcBorders>
              <w:right w:val="single" w:color="auto" w:sz="4" w:space="0"/>
            </w:tcBorders>
            <w:noWrap w:val="0"/>
            <w:vAlign w:val="center"/>
          </w:tcPr>
          <w:p>
            <w:pPr>
              <w:spacing w:line="240" w:lineRule="atLeast"/>
              <w:jc w:val="center"/>
              <w:rPr>
                <w:rFonts w:hint="eastAsia" w:ascii="宋体" w:hAnsi="宋体"/>
                <w:color w:val="auto"/>
                <w:szCs w:val="21"/>
                <w:highlight w:val="none"/>
              </w:rPr>
            </w:pPr>
          </w:p>
        </w:tc>
        <w:tc>
          <w:tcPr>
            <w:tcW w:w="720" w:type="dxa"/>
            <w:tcBorders>
              <w:left w:val="single" w:color="auto" w:sz="4" w:space="0"/>
              <w:right w:val="single" w:color="auto" w:sz="4" w:space="0"/>
            </w:tcBorders>
            <w:noWrap w:val="0"/>
            <w:vAlign w:val="center"/>
          </w:tcPr>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服务方面</w:t>
            </w:r>
          </w:p>
        </w:tc>
        <w:tc>
          <w:tcPr>
            <w:tcW w:w="6635" w:type="dxa"/>
            <w:gridSpan w:val="3"/>
            <w:tcBorders>
              <w:left w:val="single" w:color="auto" w:sz="4" w:space="0"/>
            </w:tcBorders>
            <w:noWrap w:val="0"/>
            <w:vAlign w:val="center"/>
          </w:tcPr>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8" w:hRule="atLeast"/>
          <w:jc w:val="center"/>
        </w:trPr>
        <w:tc>
          <w:tcPr>
            <w:tcW w:w="842" w:type="dxa"/>
            <w:vMerge w:val="continue"/>
            <w:noWrap w:val="0"/>
            <w:vAlign w:val="center"/>
          </w:tcPr>
          <w:p>
            <w:pPr>
              <w:spacing w:line="240" w:lineRule="atLeast"/>
              <w:jc w:val="center"/>
              <w:rPr>
                <w:rFonts w:hint="eastAsia" w:ascii="宋体" w:hAnsi="宋体"/>
                <w:color w:val="auto"/>
                <w:szCs w:val="21"/>
                <w:highlight w:val="none"/>
              </w:rPr>
            </w:pPr>
          </w:p>
        </w:tc>
        <w:tc>
          <w:tcPr>
            <w:tcW w:w="720" w:type="dxa"/>
            <w:vMerge w:val="continue"/>
            <w:tcBorders>
              <w:right w:val="single" w:color="auto" w:sz="4" w:space="0"/>
            </w:tcBorders>
            <w:noWrap w:val="0"/>
            <w:vAlign w:val="center"/>
          </w:tcPr>
          <w:p>
            <w:pPr>
              <w:spacing w:line="240" w:lineRule="atLeast"/>
              <w:jc w:val="center"/>
              <w:rPr>
                <w:rFonts w:hint="eastAsia" w:ascii="宋体" w:hAnsi="宋体"/>
                <w:color w:val="auto"/>
                <w:szCs w:val="21"/>
                <w:highlight w:val="none"/>
              </w:rPr>
            </w:pPr>
          </w:p>
        </w:tc>
        <w:tc>
          <w:tcPr>
            <w:tcW w:w="720" w:type="dxa"/>
            <w:tcBorders>
              <w:left w:val="single" w:color="auto" w:sz="4" w:space="0"/>
              <w:right w:val="single" w:color="auto" w:sz="4" w:space="0"/>
            </w:tcBorders>
            <w:noWrap w:val="0"/>
            <w:vAlign w:val="center"/>
          </w:tcPr>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时间方面</w:t>
            </w:r>
          </w:p>
        </w:tc>
        <w:tc>
          <w:tcPr>
            <w:tcW w:w="6635" w:type="dxa"/>
            <w:gridSpan w:val="3"/>
            <w:tcBorders>
              <w:left w:val="single" w:color="auto" w:sz="4" w:space="0"/>
            </w:tcBorders>
            <w:noWrap w:val="0"/>
            <w:vAlign w:val="center"/>
          </w:tcPr>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8" w:hRule="atLeast"/>
          <w:jc w:val="center"/>
        </w:trPr>
        <w:tc>
          <w:tcPr>
            <w:tcW w:w="842" w:type="dxa"/>
            <w:vMerge w:val="continue"/>
            <w:noWrap w:val="0"/>
            <w:vAlign w:val="center"/>
          </w:tcPr>
          <w:p>
            <w:pPr>
              <w:spacing w:line="240" w:lineRule="atLeast"/>
              <w:jc w:val="center"/>
              <w:rPr>
                <w:rFonts w:hint="eastAsia" w:ascii="宋体" w:hAnsi="宋体"/>
                <w:color w:val="auto"/>
                <w:szCs w:val="21"/>
                <w:highlight w:val="none"/>
              </w:rPr>
            </w:pPr>
          </w:p>
        </w:tc>
        <w:tc>
          <w:tcPr>
            <w:tcW w:w="720" w:type="dxa"/>
            <w:vMerge w:val="continue"/>
            <w:tcBorders>
              <w:right w:val="single" w:color="auto" w:sz="4" w:space="0"/>
            </w:tcBorders>
            <w:noWrap w:val="0"/>
            <w:vAlign w:val="center"/>
          </w:tcPr>
          <w:p>
            <w:pPr>
              <w:spacing w:line="240" w:lineRule="atLeast"/>
              <w:jc w:val="center"/>
              <w:rPr>
                <w:rFonts w:hint="eastAsia" w:ascii="宋体" w:hAnsi="宋体"/>
                <w:color w:val="auto"/>
                <w:szCs w:val="21"/>
                <w:highlight w:val="none"/>
              </w:rPr>
            </w:pPr>
          </w:p>
        </w:tc>
        <w:tc>
          <w:tcPr>
            <w:tcW w:w="720" w:type="dxa"/>
            <w:tcBorders>
              <w:left w:val="single" w:color="auto" w:sz="4" w:space="0"/>
              <w:right w:val="single" w:color="auto" w:sz="4" w:space="0"/>
            </w:tcBorders>
            <w:noWrap w:val="0"/>
            <w:vAlign w:val="center"/>
          </w:tcPr>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环境保护</w:t>
            </w:r>
          </w:p>
        </w:tc>
        <w:tc>
          <w:tcPr>
            <w:tcW w:w="6635" w:type="dxa"/>
            <w:gridSpan w:val="3"/>
            <w:tcBorders>
              <w:left w:val="single" w:color="auto" w:sz="4" w:space="0"/>
            </w:tcBorders>
            <w:noWrap w:val="0"/>
            <w:vAlign w:val="center"/>
          </w:tcPr>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927" w:hRule="atLeast"/>
          <w:jc w:val="center"/>
        </w:trPr>
        <w:tc>
          <w:tcPr>
            <w:tcW w:w="842" w:type="dxa"/>
            <w:vMerge w:val="continue"/>
            <w:noWrap w:val="0"/>
            <w:vAlign w:val="center"/>
          </w:tcPr>
          <w:p>
            <w:pPr>
              <w:spacing w:line="240" w:lineRule="atLeast"/>
              <w:jc w:val="center"/>
              <w:rPr>
                <w:rFonts w:hint="eastAsia" w:ascii="宋体" w:hAnsi="宋体"/>
                <w:color w:val="auto"/>
                <w:szCs w:val="21"/>
                <w:highlight w:val="none"/>
              </w:rPr>
            </w:pPr>
          </w:p>
        </w:tc>
        <w:tc>
          <w:tcPr>
            <w:tcW w:w="720" w:type="dxa"/>
            <w:vMerge w:val="continue"/>
            <w:tcBorders>
              <w:right w:val="single" w:color="auto" w:sz="4" w:space="0"/>
            </w:tcBorders>
            <w:noWrap w:val="0"/>
            <w:vAlign w:val="center"/>
          </w:tcPr>
          <w:p>
            <w:pPr>
              <w:spacing w:line="240" w:lineRule="atLeast"/>
              <w:jc w:val="center"/>
              <w:rPr>
                <w:rFonts w:hint="eastAsia" w:ascii="宋体" w:hAnsi="宋体"/>
                <w:color w:val="auto"/>
                <w:szCs w:val="21"/>
                <w:highlight w:val="none"/>
              </w:rPr>
            </w:pPr>
          </w:p>
        </w:tc>
        <w:tc>
          <w:tcPr>
            <w:tcW w:w="720" w:type="dxa"/>
            <w:tcBorders>
              <w:left w:val="single" w:color="auto" w:sz="4" w:space="0"/>
              <w:right w:val="single" w:color="auto" w:sz="4" w:space="0"/>
            </w:tcBorders>
            <w:noWrap w:val="0"/>
            <w:vAlign w:val="center"/>
          </w:tcPr>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其他</w:t>
            </w:r>
          </w:p>
        </w:tc>
        <w:tc>
          <w:tcPr>
            <w:tcW w:w="6635" w:type="dxa"/>
            <w:gridSpan w:val="3"/>
            <w:tcBorders>
              <w:left w:val="single" w:color="auto" w:sz="4" w:space="0"/>
            </w:tcBorders>
            <w:noWrap w:val="0"/>
            <w:vAlign w:val="center"/>
          </w:tcPr>
          <w:p>
            <w:pPr>
              <w:spacing w:before="156" w:beforeLines="50" w:after="156" w:afterLines="50" w:line="240" w:lineRule="atLeast"/>
              <w:rPr>
                <w:rFonts w:hint="eastAsia" w:ascii="宋体" w:hAnsi="宋体"/>
                <w:color w:val="auto"/>
                <w:szCs w:val="21"/>
                <w:highlight w:val="none"/>
                <w:u w:val="single"/>
              </w:rPr>
            </w:pPr>
            <w:r>
              <w:rPr>
                <w:rFonts w:hint="eastAsia" w:ascii="宋体" w:hAnsi="宋体"/>
                <w:color w:val="auto"/>
                <w:szCs w:val="21"/>
                <w:highlight w:val="none"/>
              </w:rPr>
              <w:t>评价内容为：</w:t>
            </w:r>
            <w:r>
              <w:rPr>
                <w:rFonts w:hint="eastAsia" w:ascii="宋体" w:hAnsi="宋体"/>
                <w:color w:val="auto"/>
                <w:szCs w:val="21"/>
                <w:highlight w:val="none"/>
                <w:u w:val="single"/>
              </w:rPr>
              <w:t xml:space="preserve">                    </w:t>
            </w:r>
          </w:p>
          <w:p>
            <w:pPr>
              <w:spacing w:before="156" w:beforeLines="50" w:after="156" w:afterLines="50" w:line="240" w:lineRule="atLeast"/>
              <w:rPr>
                <w:rFonts w:hint="eastAsia" w:ascii="宋体" w:hAnsi="宋体"/>
                <w:color w:val="auto"/>
                <w:szCs w:val="21"/>
                <w:highlight w:val="none"/>
              </w:rPr>
            </w:pPr>
            <w:r>
              <w:rPr>
                <w:rFonts w:hint="eastAsia" w:ascii="宋体" w:hAnsi="宋体"/>
                <w:color w:val="auto"/>
                <w:szCs w:val="21"/>
                <w:highlight w:val="none"/>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616" w:hRule="atLeast"/>
          <w:jc w:val="center"/>
        </w:trPr>
        <w:tc>
          <w:tcPr>
            <w:tcW w:w="1562" w:type="dxa"/>
            <w:gridSpan w:val="2"/>
            <w:noWrap w:val="0"/>
            <w:vAlign w:val="center"/>
          </w:tcPr>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具体情况说明</w:t>
            </w:r>
          </w:p>
        </w:tc>
        <w:tc>
          <w:tcPr>
            <w:tcW w:w="7355" w:type="dxa"/>
            <w:gridSpan w:val="4"/>
            <w:noWrap w:val="0"/>
            <w:vAlign w:val="top"/>
          </w:tcPr>
          <w:p>
            <w:pPr>
              <w:spacing w:line="240" w:lineRule="atLeast"/>
              <w:rPr>
                <w:rFonts w:hint="eastAsia" w:ascii="宋体" w:hAnsi="宋体"/>
                <w:color w:val="auto"/>
                <w:szCs w:val="21"/>
                <w:highlight w:val="none"/>
              </w:rPr>
            </w:pPr>
          </w:p>
          <w:p>
            <w:pPr>
              <w:spacing w:line="240" w:lineRule="atLeast"/>
              <w:rPr>
                <w:rFonts w:hint="eastAsia" w:ascii="宋体" w:hAnsi="宋体"/>
                <w:color w:val="auto"/>
                <w:szCs w:val="21"/>
                <w:highlight w:val="none"/>
              </w:rPr>
            </w:pPr>
          </w:p>
          <w:p>
            <w:pPr>
              <w:spacing w:line="240" w:lineRule="atLeast"/>
              <w:rPr>
                <w:rFonts w:hint="eastAsia" w:ascii="宋体" w:hAnsi="宋体"/>
                <w:color w:val="auto"/>
                <w:szCs w:val="21"/>
                <w:highlight w:val="none"/>
              </w:rPr>
            </w:pPr>
          </w:p>
          <w:p>
            <w:pPr>
              <w:spacing w:line="240" w:lineRule="atLeast"/>
              <w:rPr>
                <w:rFonts w:hint="eastAsia" w:ascii="宋体" w:hAnsi="宋体"/>
                <w:color w:val="auto"/>
                <w:szCs w:val="21"/>
                <w:highlight w:val="none"/>
              </w:rPr>
            </w:pPr>
          </w:p>
          <w:p>
            <w:pPr>
              <w:spacing w:line="240" w:lineRule="atLeast"/>
              <w:rPr>
                <w:rFonts w:hint="eastAsia" w:ascii="宋体" w:hAnsi="宋体"/>
                <w:color w:val="auto"/>
                <w:szCs w:val="21"/>
                <w:highlight w:val="none"/>
              </w:rPr>
            </w:pPr>
          </w:p>
          <w:p>
            <w:pPr>
              <w:spacing w:line="240" w:lineRule="atLeast"/>
              <w:rPr>
                <w:rFonts w:hint="eastAsia"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210" w:hRule="atLeast"/>
          <w:jc w:val="center"/>
        </w:trPr>
        <w:tc>
          <w:tcPr>
            <w:tcW w:w="1562" w:type="dxa"/>
            <w:gridSpan w:val="2"/>
            <w:noWrap w:val="0"/>
            <w:vAlign w:val="center"/>
          </w:tcPr>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采购人意见</w:t>
            </w:r>
          </w:p>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（公章）</w:t>
            </w:r>
          </w:p>
        </w:tc>
        <w:tc>
          <w:tcPr>
            <w:tcW w:w="7355" w:type="dxa"/>
            <w:gridSpan w:val="4"/>
            <w:noWrap w:val="0"/>
            <w:vAlign w:val="center"/>
          </w:tcPr>
          <w:p>
            <w:pPr>
              <w:spacing w:line="240" w:lineRule="atLeast"/>
              <w:rPr>
                <w:rFonts w:hint="eastAsia" w:ascii="宋体" w:hAnsi="宋体"/>
                <w:color w:val="auto"/>
                <w:szCs w:val="21"/>
                <w:highlight w:val="none"/>
              </w:rPr>
            </w:pPr>
          </w:p>
          <w:p>
            <w:pPr>
              <w:spacing w:line="240" w:lineRule="atLeast"/>
              <w:rPr>
                <w:rFonts w:hint="eastAsia" w:ascii="宋体" w:hAnsi="宋体"/>
                <w:color w:val="auto"/>
                <w:szCs w:val="21"/>
                <w:highlight w:val="none"/>
              </w:rPr>
            </w:pPr>
          </w:p>
          <w:p>
            <w:pPr>
              <w:spacing w:line="240" w:lineRule="atLeast"/>
              <w:rPr>
                <w:rFonts w:hint="eastAsia" w:ascii="宋体" w:hAnsi="宋体"/>
                <w:color w:val="auto"/>
                <w:szCs w:val="21"/>
                <w:highlight w:val="none"/>
              </w:rPr>
            </w:pPr>
            <w:r>
              <w:rPr>
                <w:rFonts w:hint="eastAsia" w:ascii="宋体" w:hAnsi="宋体"/>
                <w:color w:val="auto"/>
                <w:szCs w:val="21"/>
                <w:highlight w:val="none"/>
              </w:rPr>
              <w:t xml:space="preserve">                                        </w:t>
            </w:r>
          </w:p>
          <w:p>
            <w:pPr>
              <w:spacing w:line="240" w:lineRule="atLeast"/>
              <w:ind w:firstLine="3780" w:firstLineChars="1800"/>
              <w:rPr>
                <w:rFonts w:hint="eastAsia" w:ascii="宋体" w:hAnsi="宋体"/>
                <w:color w:val="auto"/>
                <w:szCs w:val="21"/>
                <w:highlight w:val="none"/>
              </w:rPr>
            </w:pPr>
          </w:p>
          <w:p>
            <w:pPr>
              <w:spacing w:line="240" w:lineRule="atLeast"/>
              <w:ind w:firstLine="3780" w:firstLineChars="1800"/>
              <w:rPr>
                <w:rFonts w:hint="eastAsia" w:ascii="宋体" w:hAnsi="宋体"/>
                <w:color w:val="auto"/>
                <w:szCs w:val="21"/>
                <w:highlight w:val="none"/>
              </w:rPr>
            </w:pPr>
            <w:r>
              <w:rPr>
                <w:rFonts w:hint="eastAsia" w:ascii="宋体" w:hAnsi="宋体"/>
                <w:color w:val="auto"/>
                <w:szCs w:val="21"/>
                <w:highlight w:val="none"/>
              </w:rPr>
              <w:t>日期：   年   月   日</w:t>
            </w:r>
          </w:p>
        </w:tc>
      </w:tr>
    </w:tbl>
    <w:p>
      <w:pPr>
        <w:spacing w:line="240" w:lineRule="atLeast"/>
        <w:rPr>
          <w:rFonts w:hint="eastAsia" w:ascii="宋体" w:hAnsi="宋体"/>
          <w:color w:val="auto"/>
          <w:szCs w:val="21"/>
          <w:highlight w:val="none"/>
        </w:rPr>
      </w:pPr>
      <w:r>
        <w:rPr>
          <w:rFonts w:hint="eastAsia" w:ascii="宋体" w:hAnsi="宋体"/>
          <w:color w:val="auto"/>
          <w:szCs w:val="21"/>
          <w:highlight w:val="none"/>
        </w:rPr>
        <w:t>说明：</w:t>
      </w:r>
    </w:p>
    <w:p>
      <w:pPr>
        <w:spacing w:line="240" w:lineRule="atLeast"/>
        <w:rPr>
          <w:rFonts w:hint="eastAsia" w:ascii="宋体" w:hAnsi="宋体"/>
          <w:color w:val="auto"/>
          <w:szCs w:val="21"/>
          <w:highlight w:val="none"/>
        </w:rPr>
      </w:pPr>
      <w:r>
        <w:rPr>
          <w:rFonts w:hint="eastAsia" w:ascii="宋体" w:hAnsi="宋体"/>
          <w:color w:val="auto"/>
          <w:szCs w:val="21"/>
          <w:highlight w:val="none"/>
        </w:rPr>
        <w:t>1、本表为采购人向宁波市政府采购中心反映政府采购项目履约情况时所用；</w:t>
      </w:r>
    </w:p>
    <w:p>
      <w:pPr>
        <w:autoSpaceDE w:val="0"/>
        <w:autoSpaceDN w:val="0"/>
        <w:adjustRightInd w:val="0"/>
        <w:spacing w:line="360" w:lineRule="auto"/>
        <w:rPr>
          <w:rFonts w:hint="eastAsia"/>
          <w:i/>
          <w:iCs/>
          <w:color w:val="auto"/>
          <w:sz w:val="32"/>
          <w:highlight w:val="none"/>
        </w:rPr>
      </w:pPr>
      <w:r>
        <w:rPr>
          <w:rFonts w:hint="eastAsia" w:ascii="宋体" w:hAnsi="宋体"/>
          <w:color w:val="auto"/>
          <w:szCs w:val="21"/>
          <w:highlight w:val="none"/>
        </w:rPr>
        <w:t>2、履约情况评价分为优、良、中、差四个等级，请在对应的框前打“√”，然后在“具体情况说明”一栏详细说明有关情况。</w:t>
      </w:r>
    </w:p>
    <w:sectPr>
      <w:headerReference r:id="rId6" w:type="default"/>
      <w:footerReference r:id="rId7" w:type="default"/>
      <w:pgSz w:w="11907" w:h="16840"/>
      <w:pgMar w:top="1134" w:right="1418" w:bottom="1134" w:left="141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1" w:usb1="080E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fldChar w:fldCharType="begin"/>
    </w:r>
    <w:r>
      <w:rPr>
        <w:rStyle w:val="24"/>
      </w:rPr>
      <w:instrText xml:space="preserve">PAGE  </w:instrText>
    </w:r>
    <w:r>
      <w:fldChar w:fldCharType="separate"/>
    </w:r>
    <w:r>
      <w:rPr>
        <w:rStyle w:val="24"/>
        <w:lang/>
      </w:rPr>
      <w:t>30</w:t>
    </w:r>
    <w:r>
      <w:fldChar w:fldCharType="end"/>
    </w:r>
  </w:p>
  <w:p>
    <w:pPr>
      <w:pStyle w:val="16"/>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fldChar w:fldCharType="begin"/>
    </w:r>
    <w:r>
      <w:rPr>
        <w:rStyle w:val="24"/>
      </w:rPr>
      <w:instrText xml:space="preserve">PAGE  </w:instrTex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fldChar w:fldCharType="begin"/>
    </w:r>
    <w:r>
      <w:rPr>
        <w:rStyle w:val="24"/>
      </w:rPr>
      <w:instrText xml:space="preserve">PAGE  </w:instrText>
    </w:r>
    <w:r>
      <w:fldChar w:fldCharType="separate"/>
    </w:r>
    <w:r>
      <w:rPr>
        <w:rStyle w:val="24"/>
        <w:lang/>
      </w:rPr>
      <w:t>76</w:t>
    </w:r>
    <w:r>
      <w:fldChar w:fldCharType="end"/>
    </w:r>
  </w:p>
  <w:p>
    <w:pPr>
      <w:pStyle w:val="16"/>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sz w:val="21"/>
      </w:rPr>
    </w:pPr>
    <w:r>
      <w:rPr>
        <w:rFonts w:hint="eastAsia"/>
        <w:sz w:val="21"/>
      </w:rPr>
      <w:t xml:space="preserve">招标文件2020版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w:rPr>
        <w:rFonts w:hint="eastAsia"/>
      </w:rPr>
      <w:t>招标文件2020版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9F5D15"/>
    <w:multiLevelType w:val="singleLevel"/>
    <w:tmpl w:val="CC9F5D15"/>
    <w:lvl w:ilvl="0" w:tentative="0">
      <w:start w:val="12"/>
      <w:numFmt w:val="decimal"/>
      <w:suff w:val="nothing"/>
      <w:lvlText w:val="%1、"/>
      <w:lvlJc w:val="left"/>
    </w:lvl>
  </w:abstractNum>
  <w:abstractNum w:abstractNumId="1">
    <w:nsid w:val="0000001A"/>
    <w:multiLevelType w:val="multilevel"/>
    <w:tmpl w:val="0000001A"/>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9E21CCE"/>
    <w:multiLevelType w:val="singleLevel"/>
    <w:tmpl w:val="19E21CCE"/>
    <w:lvl w:ilvl="0" w:tentative="0">
      <w:start w:val="1"/>
      <w:numFmt w:val="decimal"/>
      <w:lvlText w:val="（%1）"/>
      <w:lvlJc w:val="left"/>
      <w:pPr>
        <w:tabs>
          <w:tab w:val="left" w:pos="945"/>
        </w:tabs>
        <w:ind w:left="945" w:hanging="525"/>
      </w:pPr>
      <w:rPr>
        <w:rFonts w:hint="eastAsia"/>
      </w:rPr>
    </w:lvl>
  </w:abstractNum>
  <w:abstractNum w:abstractNumId="3">
    <w:nsid w:val="37CC45BC"/>
    <w:multiLevelType w:val="singleLevel"/>
    <w:tmpl w:val="37CC45BC"/>
    <w:lvl w:ilvl="0" w:tentative="0">
      <w:start w:val="1"/>
      <w:numFmt w:val="decimal"/>
      <w:lvlText w:val="%1、"/>
      <w:lvlJc w:val="left"/>
      <w:pPr>
        <w:tabs>
          <w:tab w:val="left" w:pos="840"/>
        </w:tabs>
        <w:ind w:left="840" w:hanging="315"/>
      </w:pPr>
      <w:rPr>
        <w:rFonts w:hint="eastAsia"/>
      </w:rPr>
    </w:lvl>
  </w:abstractNum>
  <w:abstractNum w:abstractNumId="4">
    <w:nsid w:val="54992DE5"/>
    <w:multiLevelType w:val="singleLevel"/>
    <w:tmpl w:val="54992DE5"/>
    <w:lvl w:ilvl="0" w:tentative="0">
      <w:start w:val="3"/>
      <w:numFmt w:val="decimal"/>
      <w:suff w:val="nothing"/>
      <w:lvlText w:val="%1、"/>
      <w:lvlJc w:val="left"/>
      <w:pPr>
        <w:tabs>
          <w:tab w:val="left" w:pos="0"/>
        </w:tabs>
        <w:ind w:left="0" w:firstLine="0"/>
      </w:pPr>
    </w:lvl>
  </w:abstractNum>
  <w:abstractNum w:abstractNumId="5">
    <w:nsid w:val="57BFE25A"/>
    <w:multiLevelType w:val="singleLevel"/>
    <w:tmpl w:val="57BFE25A"/>
    <w:lvl w:ilvl="0" w:tentative="0">
      <w:start w:val="1"/>
      <w:numFmt w:val="decimal"/>
      <w:suff w:val="nothing"/>
      <w:lvlText w:val="%1、"/>
      <w:lvlJc w:val="left"/>
    </w:lvl>
  </w:abstractNum>
  <w:abstractNum w:abstractNumId="6">
    <w:nsid w:val="5805C4F9"/>
    <w:multiLevelType w:val="singleLevel"/>
    <w:tmpl w:val="5805C4F9"/>
    <w:lvl w:ilvl="0" w:tentative="0">
      <w:start w:val="1"/>
      <w:numFmt w:val="decimal"/>
      <w:suff w:val="nothing"/>
      <w:lvlText w:val="%1、"/>
      <w:lvlJc w:val="left"/>
    </w:lvl>
  </w:abstractNum>
  <w:abstractNum w:abstractNumId="7">
    <w:nsid w:val="5982E4E7"/>
    <w:multiLevelType w:val="singleLevel"/>
    <w:tmpl w:val="5982E4E7"/>
    <w:lvl w:ilvl="0" w:tentative="0">
      <w:start w:val="1"/>
      <w:numFmt w:val="decimal"/>
      <w:suff w:val="nothing"/>
      <w:lvlText w:val="（%1）"/>
      <w:lvlJc w:val="left"/>
    </w:lvl>
  </w:abstractNum>
  <w:abstractNum w:abstractNumId="8">
    <w:nsid w:val="5983D080"/>
    <w:multiLevelType w:val="singleLevel"/>
    <w:tmpl w:val="5983D080"/>
    <w:lvl w:ilvl="0" w:tentative="0">
      <w:start w:val="1"/>
      <w:numFmt w:val="decimal"/>
      <w:suff w:val="nothing"/>
      <w:lvlText w:val="（%1）"/>
      <w:lvlJc w:val="left"/>
    </w:lvl>
  </w:abstractNum>
  <w:abstractNum w:abstractNumId="9">
    <w:nsid w:val="59ACBEE7"/>
    <w:multiLevelType w:val="singleLevel"/>
    <w:tmpl w:val="59ACBEE7"/>
    <w:lvl w:ilvl="0" w:tentative="0">
      <w:start w:val="1"/>
      <w:numFmt w:val="decimal"/>
      <w:suff w:val="nothing"/>
      <w:lvlText w:val="%1、"/>
      <w:lvlJc w:val="left"/>
    </w:lvl>
  </w:abstractNum>
  <w:abstractNum w:abstractNumId="10">
    <w:nsid w:val="5DBC3D0C"/>
    <w:multiLevelType w:val="multilevel"/>
    <w:tmpl w:val="5DBC3D0C"/>
    <w:lvl w:ilvl="0" w:tentative="0">
      <w:start w:val="1"/>
      <w:numFmt w:val="decimal"/>
      <w:lvlText w:val="%1)"/>
      <w:lvlJc w:val="left"/>
      <w:pPr>
        <w:tabs>
          <w:tab w:val="left" w:pos="1155"/>
        </w:tabs>
        <w:ind w:left="1155" w:hanging="420"/>
      </w:p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11">
    <w:nsid w:val="5DDB721A"/>
    <w:multiLevelType w:val="multilevel"/>
    <w:tmpl w:val="5DDB721A"/>
    <w:lvl w:ilvl="0" w:tentative="0">
      <w:start w:val="1"/>
      <w:numFmt w:val="decimal"/>
      <w:lvlText w:val="%1."/>
      <w:lvlJc w:val="left"/>
      <w:pPr>
        <w:tabs>
          <w:tab w:val="left" w:pos="900"/>
        </w:tabs>
        <w:ind w:left="900" w:hanging="420"/>
      </w:pPr>
      <w:rPr>
        <w:rFonts w:hint="eastAsia"/>
      </w:rPr>
    </w:lvl>
    <w:lvl w:ilvl="1" w:tentative="0">
      <w:start w:val="1"/>
      <w:numFmt w:val="lowerLetter"/>
      <w:lvlText w:val="%2)"/>
      <w:lvlJc w:val="left"/>
      <w:pPr>
        <w:tabs>
          <w:tab w:val="left" w:pos="675"/>
        </w:tabs>
        <w:ind w:left="675" w:hanging="420"/>
      </w:pPr>
    </w:lvl>
    <w:lvl w:ilvl="2" w:tentative="0">
      <w:start w:val="1"/>
      <w:numFmt w:val="decimal"/>
      <w:lvlText w:val="(%3)"/>
      <w:lvlJc w:val="left"/>
      <w:pPr>
        <w:tabs>
          <w:tab w:val="left" w:pos="1155"/>
        </w:tabs>
        <w:ind w:left="1155" w:hanging="480"/>
      </w:pPr>
      <w:rPr>
        <w:rFonts w:hint="default"/>
      </w:rPr>
    </w:lvl>
    <w:lvl w:ilvl="3" w:tentative="0">
      <w:start w:val="1"/>
      <w:numFmt w:val="decimal"/>
      <w:lvlText w:val="%4."/>
      <w:lvlJc w:val="left"/>
      <w:pPr>
        <w:tabs>
          <w:tab w:val="left" w:pos="1515"/>
        </w:tabs>
        <w:ind w:left="1515" w:hanging="420"/>
      </w:pPr>
    </w:lvl>
    <w:lvl w:ilvl="4" w:tentative="0">
      <w:start w:val="1"/>
      <w:numFmt w:val="lowerLetter"/>
      <w:lvlText w:val="%5)"/>
      <w:lvlJc w:val="left"/>
      <w:pPr>
        <w:tabs>
          <w:tab w:val="left" w:pos="1935"/>
        </w:tabs>
        <w:ind w:left="1935" w:hanging="420"/>
      </w:pPr>
    </w:lvl>
    <w:lvl w:ilvl="5" w:tentative="0">
      <w:start w:val="1"/>
      <w:numFmt w:val="lowerRoman"/>
      <w:lvlText w:val="%6."/>
      <w:lvlJc w:val="right"/>
      <w:pPr>
        <w:tabs>
          <w:tab w:val="left" w:pos="2355"/>
        </w:tabs>
        <w:ind w:left="2355" w:hanging="420"/>
      </w:pPr>
    </w:lvl>
    <w:lvl w:ilvl="6" w:tentative="0">
      <w:start w:val="1"/>
      <w:numFmt w:val="decimal"/>
      <w:lvlText w:val="%7."/>
      <w:lvlJc w:val="left"/>
      <w:pPr>
        <w:tabs>
          <w:tab w:val="left" w:pos="2775"/>
        </w:tabs>
        <w:ind w:left="2775" w:hanging="420"/>
      </w:pPr>
    </w:lvl>
    <w:lvl w:ilvl="7" w:tentative="0">
      <w:start w:val="1"/>
      <w:numFmt w:val="lowerLetter"/>
      <w:lvlText w:val="%8)"/>
      <w:lvlJc w:val="left"/>
      <w:pPr>
        <w:tabs>
          <w:tab w:val="left" w:pos="3195"/>
        </w:tabs>
        <w:ind w:left="3195" w:hanging="420"/>
      </w:pPr>
    </w:lvl>
    <w:lvl w:ilvl="8" w:tentative="0">
      <w:start w:val="1"/>
      <w:numFmt w:val="lowerRoman"/>
      <w:lvlText w:val="%9."/>
      <w:lvlJc w:val="right"/>
      <w:pPr>
        <w:tabs>
          <w:tab w:val="left" w:pos="3615"/>
        </w:tabs>
        <w:ind w:left="3615" w:hanging="420"/>
      </w:pPr>
    </w:lvl>
  </w:abstractNum>
  <w:abstractNum w:abstractNumId="12">
    <w:nsid w:val="676C73AA"/>
    <w:multiLevelType w:val="singleLevel"/>
    <w:tmpl w:val="676C73AA"/>
    <w:lvl w:ilvl="0" w:tentative="0">
      <w:start w:val="1"/>
      <w:numFmt w:val="decimal"/>
      <w:suff w:val="nothing"/>
      <w:lvlText w:val="%1、"/>
      <w:lvlJc w:val="left"/>
    </w:lvl>
  </w:abstractNum>
  <w:abstractNum w:abstractNumId="13">
    <w:nsid w:val="712A19C9"/>
    <w:multiLevelType w:val="multilevel"/>
    <w:tmpl w:val="712A19C9"/>
    <w:lvl w:ilvl="0" w:tentative="0">
      <w:start w:val="1"/>
      <w:numFmt w:val="decimal"/>
      <w:lvlText w:val="%1、"/>
      <w:lvlJc w:val="left"/>
      <w:pPr>
        <w:tabs>
          <w:tab w:val="left" w:pos="0"/>
        </w:tabs>
        <w:ind w:left="570" w:hanging="36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4">
    <w:nsid w:val="720B5377"/>
    <w:multiLevelType w:val="multilevel"/>
    <w:tmpl w:val="720B5377"/>
    <w:lvl w:ilvl="0" w:tentative="0">
      <w:start w:val="1"/>
      <w:numFmt w:val="decimal"/>
      <w:lvlText w:val="%1、"/>
      <w:lvlJc w:val="left"/>
      <w:pPr>
        <w:tabs>
          <w:tab w:val="left" w:pos="961"/>
        </w:tabs>
        <w:ind w:left="961" w:hanging="360"/>
      </w:pPr>
      <w:rPr>
        <w:rFonts w:hint="default"/>
      </w:rPr>
    </w:lvl>
    <w:lvl w:ilvl="1" w:tentative="0">
      <w:start w:val="6"/>
      <w:numFmt w:val="decimal"/>
      <w:lvlText w:val="（%2）"/>
      <w:lvlJc w:val="left"/>
      <w:pPr>
        <w:tabs>
          <w:tab w:val="left" w:pos="1741"/>
        </w:tabs>
        <w:ind w:left="1741" w:hanging="720"/>
      </w:pPr>
      <w:rPr>
        <w:rFonts w:hint="default"/>
      </w:rPr>
    </w:lvl>
    <w:lvl w:ilvl="2" w:tentative="0">
      <w:start w:val="1"/>
      <w:numFmt w:val="lowerRoman"/>
      <w:lvlText w:val="%3."/>
      <w:lvlJc w:val="right"/>
      <w:pPr>
        <w:tabs>
          <w:tab w:val="left" w:pos="1861"/>
        </w:tabs>
        <w:ind w:left="1861" w:hanging="420"/>
      </w:pPr>
    </w:lvl>
    <w:lvl w:ilvl="3" w:tentative="0">
      <w:start w:val="1"/>
      <w:numFmt w:val="decimal"/>
      <w:lvlText w:val="%4."/>
      <w:lvlJc w:val="left"/>
      <w:pPr>
        <w:tabs>
          <w:tab w:val="left" w:pos="2281"/>
        </w:tabs>
        <w:ind w:left="2281" w:hanging="420"/>
      </w:pPr>
    </w:lvl>
    <w:lvl w:ilvl="4" w:tentative="0">
      <w:start w:val="1"/>
      <w:numFmt w:val="lowerLetter"/>
      <w:lvlText w:val="%5)"/>
      <w:lvlJc w:val="left"/>
      <w:pPr>
        <w:tabs>
          <w:tab w:val="left" w:pos="2701"/>
        </w:tabs>
        <w:ind w:left="2701" w:hanging="420"/>
      </w:pPr>
    </w:lvl>
    <w:lvl w:ilvl="5" w:tentative="0">
      <w:start w:val="1"/>
      <w:numFmt w:val="lowerRoman"/>
      <w:lvlText w:val="%6."/>
      <w:lvlJc w:val="right"/>
      <w:pPr>
        <w:tabs>
          <w:tab w:val="left" w:pos="3121"/>
        </w:tabs>
        <w:ind w:left="3121" w:hanging="420"/>
      </w:pPr>
    </w:lvl>
    <w:lvl w:ilvl="6" w:tentative="0">
      <w:start w:val="1"/>
      <w:numFmt w:val="decimal"/>
      <w:lvlText w:val="%7."/>
      <w:lvlJc w:val="left"/>
      <w:pPr>
        <w:tabs>
          <w:tab w:val="left" w:pos="3541"/>
        </w:tabs>
        <w:ind w:left="3541" w:hanging="420"/>
      </w:pPr>
    </w:lvl>
    <w:lvl w:ilvl="7" w:tentative="0">
      <w:start w:val="1"/>
      <w:numFmt w:val="lowerLetter"/>
      <w:lvlText w:val="%8)"/>
      <w:lvlJc w:val="left"/>
      <w:pPr>
        <w:tabs>
          <w:tab w:val="left" w:pos="3961"/>
        </w:tabs>
        <w:ind w:left="3961" w:hanging="420"/>
      </w:pPr>
    </w:lvl>
    <w:lvl w:ilvl="8" w:tentative="0">
      <w:start w:val="1"/>
      <w:numFmt w:val="lowerRoman"/>
      <w:lvlText w:val="%9."/>
      <w:lvlJc w:val="right"/>
      <w:pPr>
        <w:tabs>
          <w:tab w:val="left" w:pos="4381"/>
        </w:tabs>
        <w:ind w:left="4381" w:hanging="420"/>
      </w:pPr>
    </w:lvl>
  </w:abstractNum>
  <w:abstractNum w:abstractNumId="15">
    <w:nsid w:val="7DD94275"/>
    <w:multiLevelType w:val="multilevel"/>
    <w:tmpl w:val="7DD94275"/>
    <w:lvl w:ilvl="0" w:tentative="0">
      <w:start w:val="1"/>
      <w:numFmt w:val="decimal"/>
      <w:lvlText w:val="%1)"/>
      <w:lvlJc w:val="left"/>
      <w:pPr>
        <w:tabs>
          <w:tab w:val="left" w:pos="900"/>
        </w:tabs>
        <w:ind w:left="900" w:hanging="420"/>
      </w:p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6"/>
  </w:num>
  <w:num w:numId="3">
    <w:abstractNumId w:val="13"/>
  </w:num>
  <w:num w:numId="4">
    <w:abstractNumId w:val="4"/>
  </w:num>
  <w:num w:numId="5">
    <w:abstractNumId w:val="15"/>
  </w:num>
  <w:num w:numId="6">
    <w:abstractNumId w:val="8"/>
  </w:num>
  <w:num w:numId="7">
    <w:abstractNumId w:val="7"/>
  </w:num>
  <w:num w:numId="8">
    <w:abstractNumId w:val="11"/>
  </w:num>
  <w:num w:numId="9">
    <w:abstractNumId w:val="10"/>
  </w:num>
  <w:num w:numId="10">
    <w:abstractNumId w:val="0"/>
  </w:num>
  <w:num w:numId="11">
    <w:abstractNumId w:val="2"/>
  </w:num>
  <w:num w:numId="12">
    <w:abstractNumId w:val="3"/>
  </w:num>
  <w:num w:numId="13">
    <w:abstractNumId w:val="12"/>
  </w:num>
  <w:num w:numId="14">
    <w:abstractNumId w:val="14"/>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02D"/>
    <w:rsid w:val="000047D3"/>
    <w:rsid w:val="000059A4"/>
    <w:rsid w:val="000102F9"/>
    <w:rsid w:val="00013441"/>
    <w:rsid w:val="00014B80"/>
    <w:rsid w:val="00021FB1"/>
    <w:rsid w:val="00022345"/>
    <w:rsid w:val="00024C24"/>
    <w:rsid w:val="000250B0"/>
    <w:rsid w:val="00026B63"/>
    <w:rsid w:val="00026D88"/>
    <w:rsid w:val="00031DC2"/>
    <w:rsid w:val="0003495E"/>
    <w:rsid w:val="00037F0E"/>
    <w:rsid w:val="0004211B"/>
    <w:rsid w:val="0004534C"/>
    <w:rsid w:val="0004576F"/>
    <w:rsid w:val="000463A9"/>
    <w:rsid w:val="00053CAE"/>
    <w:rsid w:val="00061ADF"/>
    <w:rsid w:val="00070D0C"/>
    <w:rsid w:val="00072705"/>
    <w:rsid w:val="00072CB0"/>
    <w:rsid w:val="00076D33"/>
    <w:rsid w:val="00077731"/>
    <w:rsid w:val="0008053B"/>
    <w:rsid w:val="000805FB"/>
    <w:rsid w:val="000820C4"/>
    <w:rsid w:val="00082B2B"/>
    <w:rsid w:val="00084B2C"/>
    <w:rsid w:val="00085037"/>
    <w:rsid w:val="0008743B"/>
    <w:rsid w:val="00087510"/>
    <w:rsid w:val="00090A24"/>
    <w:rsid w:val="00094B5A"/>
    <w:rsid w:val="000961F3"/>
    <w:rsid w:val="00096CC2"/>
    <w:rsid w:val="000A032D"/>
    <w:rsid w:val="000A073C"/>
    <w:rsid w:val="000A45C5"/>
    <w:rsid w:val="000A7147"/>
    <w:rsid w:val="000B00E2"/>
    <w:rsid w:val="000B2F91"/>
    <w:rsid w:val="000B35BB"/>
    <w:rsid w:val="000B6209"/>
    <w:rsid w:val="000C257D"/>
    <w:rsid w:val="000D0B65"/>
    <w:rsid w:val="000D642E"/>
    <w:rsid w:val="000D7AD6"/>
    <w:rsid w:val="000E0493"/>
    <w:rsid w:val="000E20AD"/>
    <w:rsid w:val="000E2989"/>
    <w:rsid w:val="000E7259"/>
    <w:rsid w:val="000F1182"/>
    <w:rsid w:val="000F179C"/>
    <w:rsid w:val="000F1C9A"/>
    <w:rsid w:val="000F3B14"/>
    <w:rsid w:val="000F60C6"/>
    <w:rsid w:val="00104476"/>
    <w:rsid w:val="0010498F"/>
    <w:rsid w:val="001064A9"/>
    <w:rsid w:val="00111627"/>
    <w:rsid w:val="00112913"/>
    <w:rsid w:val="00115425"/>
    <w:rsid w:val="00123CB5"/>
    <w:rsid w:val="001264A0"/>
    <w:rsid w:val="00131AC0"/>
    <w:rsid w:val="001324DF"/>
    <w:rsid w:val="001338A6"/>
    <w:rsid w:val="00133AB3"/>
    <w:rsid w:val="00146CFE"/>
    <w:rsid w:val="001470D3"/>
    <w:rsid w:val="001510DF"/>
    <w:rsid w:val="0015297F"/>
    <w:rsid w:val="00152F4F"/>
    <w:rsid w:val="00154E35"/>
    <w:rsid w:val="00155A03"/>
    <w:rsid w:val="001566C3"/>
    <w:rsid w:val="00165A87"/>
    <w:rsid w:val="00165BD9"/>
    <w:rsid w:val="001701E3"/>
    <w:rsid w:val="0017145F"/>
    <w:rsid w:val="001834B9"/>
    <w:rsid w:val="00184083"/>
    <w:rsid w:val="001A01E6"/>
    <w:rsid w:val="001B3B12"/>
    <w:rsid w:val="001B67C2"/>
    <w:rsid w:val="001B6A34"/>
    <w:rsid w:val="001C3ED2"/>
    <w:rsid w:val="001D003E"/>
    <w:rsid w:val="001D074A"/>
    <w:rsid w:val="001D0C0E"/>
    <w:rsid w:val="001D2776"/>
    <w:rsid w:val="001D4E4A"/>
    <w:rsid w:val="001D54FC"/>
    <w:rsid w:val="001D608F"/>
    <w:rsid w:val="001E01A5"/>
    <w:rsid w:val="001E17B3"/>
    <w:rsid w:val="001E1827"/>
    <w:rsid w:val="001E3918"/>
    <w:rsid w:val="001E65F7"/>
    <w:rsid w:val="001E70ED"/>
    <w:rsid w:val="001F18AB"/>
    <w:rsid w:val="001F3B4E"/>
    <w:rsid w:val="001F422B"/>
    <w:rsid w:val="002046A5"/>
    <w:rsid w:val="0020470F"/>
    <w:rsid w:val="00207D95"/>
    <w:rsid w:val="00211334"/>
    <w:rsid w:val="0021731C"/>
    <w:rsid w:val="0021746E"/>
    <w:rsid w:val="0022402A"/>
    <w:rsid w:val="00230223"/>
    <w:rsid w:val="0023535F"/>
    <w:rsid w:val="00235A00"/>
    <w:rsid w:val="002371E4"/>
    <w:rsid w:val="002409D4"/>
    <w:rsid w:val="00245F5B"/>
    <w:rsid w:val="00245FA7"/>
    <w:rsid w:val="0025350C"/>
    <w:rsid w:val="002537D5"/>
    <w:rsid w:val="00254E54"/>
    <w:rsid w:val="00256D78"/>
    <w:rsid w:val="00264E8D"/>
    <w:rsid w:val="0026745F"/>
    <w:rsid w:val="00267E83"/>
    <w:rsid w:val="0027184F"/>
    <w:rsid w:val="00274149"/>
    <w:rsid w:val="00276091"/>
    <w:rsid w:val="0028133F"/>
    <w:rsid w:val="0028274D"/>
    <w:rsid w:val="002909CA"/>
    <w:rsid w:val="00291393"/>
    <w:rsid w:val="002A4953"/>
    <w:rsid w:val="002A71AA"/>
    <w:rsid w:val="002B4876"/>
    <w:rsid w:val="002C01DA"/>
    <w:rsid w:val="002C2597"/>
    <w:rsid w:val="002D5955"/>
    <w:rsid w:val="002D7889"/>
    <w:rsid w:val="002E1531"/>
    <w:rsid w:val="002E4B3E"/>
    <w:rsid w:val="002E68B0"/>
    <w:rsid w:val="002E7025"/>
    <w:rsid w:val="002E7594"/>
    <w:rsid w:val="00307753"/>
    <w:rsid w:val="00313EC9"/>
    <w:rsid w:val="003152BD"/>
    <w:rsid w:val="00315814"/>
    <w:rsid w:val="00315A5F"/>
    <w:rsid w:val="0032018F"/>
    <w:rsid w:val="00321F93"/>
    <w:rsid w:val="00322D6C"/>
    <w:rsid w:val="00325A0E"/>
    <w:rsid w:val="00326700"/>
    <w:rsid w:val="003307EA"/>
    <w:rsid w:val="003369E5"/>
    <w:rsid w:val="00345CDA"/>
    <w:rsid w:val="00346DB2"/>
    <w:rsid w:val="00353462"/>
    <w:rsid w:val="00354776"/>
    <w:rsid w:val="00356108"/>
    <w:rsid w:val="00360D6A"/>
    <w:rsid w:val="0036680C"/>
    <w:rsid w:val="0036686B"/>
    <w:rsid w:val="003735E0"/>
    <w:rsid w:val="003870C3"/>
    <w:rsid w:val="00390974"/>
    <w:rsid w:val="003929C0"/>
    <w:rsid w:val="00392E3D"/>
    <w:rsid w:val="003951A9"/>
    <w:rsid w:val="00396022"/>
    <w:rsid w:val="00396D8D"/>
    <w:rsid w:val="003A23F7"/>
    <w:rsid w:val="003A51B1"/>
    <w:rsid w:val="003A74AE"/>
    <w:rsid w:val="003B05B0"/>
    <w:rsid w:val="003B5334"/>
    <w:rsid w:val="003C2F4E"/>
    <w:rsid w:val="003C310C"/>
    <w:rsid w:val="003D0D99"/>
    <w:rsid w:val="003D383C"/>
    <w:rsid w:val="003E1CCA"/>
    <w:rsid w:val="003E5C66"/>
    <w:rsid w:val="003E7AF3"/>
    <w:rsid w:val="003F1B0F"/>
    <w:rsid w:val="003F4C8C"/>
    <w:rsid w:val="00401D0D"/>
    <w:rsid w:val="00403512"/>
    <w:rsid w:val="004050FA"/>
    <w:rsid w:val="00405905"/>
    <w:rsid w:val="00405C5E"/>
    <w:rsid w:val="004102AA"/>
    <w:rsid w:val="004120D2"/>
    <w:rsid w:val="004152E4"/>
    <w:rsid w:val="0043385B"/>
    <w:rsid w:val="004353E0"/>
    <w:rsid w:val="004354A9"/>
    <w:rsid w:val="0043702D"/>
    <w:rsid w:val="00442FC1"/>
    <w:rsid w:val="00452325"/>
    <w:rsid w:val="00453177"/>
    <w:rsid w:val="0045345F"/>
    <w:rsid w:val="00455D48"/>
    <w:rsid w:val="00461CAA"/>
    <w:rsid w:val="00462FD8"/>
    <w:rsid w:val="00464CC2"/>
    <w:rsid w:val="00465724"/>
    <w:rsid w:val="004657E0"/>
    <w:rsid w:val="00466498"/>
    <w:rsid w:val="00466A57"/>
    <w:rsid w:val="00470C2E"/>
    <w:rsid w:val="004717A6"/>
    <w:rsid w:val="004721F8"/>
    <w:rsid w:val="00476012"/>
    <w:rsid w:val="00482A79"/>
    <w:rsid w:val="00482AA5"/>
    <w:rsid w:val="00482F42"/>
    <w:rsid w:val="00482FB4"/>
    <w:rsid w:val="00484E44"/>
    <w:rsid w:val="00486353"/>
    <w:rsid w:val="004874FE"/>
    <w:rsid w:val="0049147F"/>
    <w:rsid w:val="004949BD"/>
    <w:rsid w:val="004968CC"/>
    <w:rsid w:val="004978B6"/>
    <w:rsid w:val="004A0B63"/>
    <w:rsid w:val="004A3967"/>
    <w:rsid w:val="004A66D9"/>
    <w:rsid w:val="004A7F66"/>
    <w:rsid w:val="004B3383"/>
    <w:rsid w:val="004B46DD"/>
    <w:rsid w:val="004B510C"/>
    <w:rsid w:val="004B5778"/>
    <w:rsid w:val="004B72FC"/>
    <w:rsid w:val="004C2D48"/>
    <w:rsid w:val="004C2E15"/>
    <w:rsid w:val="004C3DE2"/>
    <w:rsid w:val="004E3D0C"/>
    <w:rsid w:val="004F26BE"/>
    <w:rsid w:val="004F494E"/>
    <w:rsid w:val="004F589D"/>
    <w:rsid w:val="00511024"/>
    <w:rsid w:val="0051541A"/>
    <w:rsid w:val="00515B9B"/>
    <w:rsid w:val="00527E67"/>
    <w:rsid w:val="0053012C"/>
    <w:rsid w:val="005329F8"/>
    <w:rsid w:val="00532E52"/>
    <w:rsid w:val="00535FE9"/>
    <w:rsid w:val="005415C1"/>
    <w:rsid w:val="00542047"/>
    <w:rsid w:val="00545057"/>
    <w:rsid w:val="005541F4"/>
    <w:rsid w:val="00554CF1"/>
    <w:rsid w:val="0056152B"/>
    <w:rsid w:val="00561A85"/>
    <w:rsid w:val="0056475E"/>
    <w:rsid w:val="0056479B"/>
    <w:rsid w:val="00566F1E"/>
    <w:rsid w:val="005704E2"/>
    <w:rsid w:val="00571BF0"/>
    <w:rsid w:val="00572D63"/>
    <w:rsid w:val="0057736E"/>
    <w:rsid w:val="00582CD6"/>
    <w:rsid w:val="00590A9D"/>
    <w:rsid w:val="00590D36"/>
    <w:rsid w:val="005A5912"/>
    <w:rsid w:val="005B2CD3"/>
    <w:rsid w:val="005B3347"/>
    <w:rsid w:val="005B3A02"/>
    <w:rsid w:val="005B3BC7"/>
    <w:rsid w:val="005B78AF"/>
    <w:rsid w:val="005C26B6"/>
    <w:rsid w:val="005C3B1C"/>
    <w:rsid w:val="005C60B2"/>
    <w:rsid w:val="005D0596"/>
    <w:rsid w:val="005D22ED"/>
    <w:rsid w:val="005D2B50"/>
    <w:rsid w:val="005D422F"/>
    <w:rsid w:val="005D5FB8"/>
    <w:rsid w:val="005D671D"/>
    <w:rsid w:val="005E4668"/>
    <w:rsid w:val="005E547A"/>
    <w:rsid w:val="005F7759"/>
    <w:rsid w:val="00601531"/>
    <w:rsid w:val="006153E9"/>
    <w:rsid w:val="006204EA"/>
    <w:rsid w:val="00631F11"/>
    <w:rsid w:val="00632BE5"/>
    <w:rsid w:val="00633E07"/>
    <w:rsid w:val="006348F9"/>
    <w:rsid w:val="00640422"/>
    <w:rsid w:val="00644092"/>
    <w:rsid w:val="00644740"/>
    <w:rsid w:val="00645C9C"/>
    <w:rsid w:val="00650C5E"/>
    <w:rsid w:val="006510CC"/>
    <w:rsid w:val="006517BB"/>
    <w:rsid w:val="00652830"/>
    <w:rsid w:val="00653382"/>
    <w:rsid w:val="00671286"/>
    <w:rsid w:val="00672D96"/>
    <w:rsid w:val="0067656E"/>
    <w:rsid w:val="006872EC"/>
    <w:rsid w:val="00687A0E"/>
    <w:rsid w:val="00692F97"/>
    <w:rsid w:val="00694F6E"/>
    <w:rsid w:val="006A124E"/>
    <w:rsid w:val="006A1DF2"/>
    <w:rsid w:val="006A4502"/>
    <w:rsid w:val="006A4E10"/>
    <w:rsid w:val="006A7103"/>
    <w:rsid w:val="006B2585"/>
    <w:rsid w:val="006B5A5A"/>
    <w:rsid w:val="006C15D2"/>
    <w:rsid w:val="006C4BE9"/>
    <w:rsid w:val="006D4E29"/>
    <w:rsid w:val="006D7564"/>
    <w:rsid w:val="006E2615"/>
    <w:rsid w:val="006E4F57"/>
    <w:rsid w:val="006E68ED"/>
    <w:rsid w:val="006E6D93"/>
    <w:rsid w:val="006F3F07"/>
    <w:rsid w:val="00712AE3"/>
    <w:rsid w:val="00713324"/>
    <w:rsid w:val="00720506"/>
    <w:rsid w:val="00723AE4"/>
    <w:rsid w:val="0072649C"/>
    <w:rsid w:val="007317D6"/>
    <w:rsid w:val="007368FF"/>
    <w:rsid w:val="007445DE"/>
    <w:rsid w:val="00744CBC"/>
    <w:rsid w:val="00745B56"/>
    <w:rsid w:val="00747BBB"/>
    <w:rsid w:val="0075078E"/>
    <w:rsid w:val="00751ABF"/>
    <w:rsid w:val="00752F5C"/>
    <w:rsid w:val="00754DFB"/>
    <w:rsid w:val="00757BA0"/>
    <w:rsid w:val="00760F53"/>
    <w:rsid w:val="007610C2"/>
    <w:rsid w:val="007720B1"/>
    <w:rsid w:val="00772DBE"/>
    <w:rsid w:val="0077485A"/>
    <w:rsid w:val="00774FF1"/>
    <w:rsid w:val="00780BE0"/>
    <w:rsid w:val="007839E8"/>
    <w:rsid w:val="00791273"/>
    <w:rsid w:val="007922CD"/>
    <w:rsid w:val="00795447"/>
    <w:rsid w:val="007A04BD"/>
    <w:rsid w:val="007A0B69"/>
    <w:rsid w:val="007A41BC"/>
    <w:rsid w:val="007A7DAB"/>
    <w:rsid w:val="007B0C44"/>
    <w:rsid w:val="007B6191"/>
    <w:rsid w:val="007C17FD"/>
    <w:rsid w:val="007C4AB7"/>
    <w:rsid w:val="007C54BA"/>
    <w:rsid w:val="007C694A"/>
    <w:rsid w:val="007D1DA1"/>
    <w:rsid w:val="007E01FC"/>
    <w:rsid w:val="007E0625"/>
    <w:rsid w:val="007E1255"/>
    <w:rsid w:val="007E5CAF"/>
    <w:rsid w:val="007F38FC"/>
    <w:rsid w:val="007F4508"/>
    <w:rsid w:val="007F4B2B"/>
    <w:rsid w:val="007F5EFF"/>
    <w:rsid w:val="0080220E"/>
    <w:rsid w:val="00804EFA"/>
    <w:rsid w:val="00806738"/>
    <w:rsid w:val="00807301"/>
    <w:rsid w:val="008117FB"/>
    <w:rsid w:val="0081346B"/>
    <w:rsid w:val="00816721"/>
    <w:rsid w:val="00821EBF"/>
    <w:rsid w:val="00825F9B"/>
    <w:rsid w:val="00827053"/>
    <w:rsid w:val="008279AC"/>
    <w:rsid w:val="008316C6"/>
    <w:rsid w:val="008333E6"/>
    <w:rsid w:val="00833DC6"/>
    <w:rsid w:val="00834A77"/>
    <w:rsid w:val="0083629E"/>
    <w:rsid w:val="00844F81"/>
    <w:rsid w:val="00850DBD"/>
    <w:rsid w:val="008566CF"/>
    <w:rsid w:val="00861021"/>
    <w:rsid w:val="00861459"/>
    <w:rsid w:val="00865345"/>
    <w:rsid w:val="008727E5"/>
    <w:rsid w:val="00873B4E"/>
    <w:rsid w:val="00877AF1"/>
    <w:rsid w:val="0088125E"/>
    <w:rsid w:val="00882D37"/>
    <w:rsid w:val="0089395F"/>
    <w:rsid w:val="00893E43"/>
    <w:rsid w:val="0089588D"/>
    <w:rsid w:val="00896DBF"/>
    <w:rsid w:val="008A1DDC"/>
    <w:rsid w:val="008C44E9"/>
    <w:rsid w:val="008D3A59"/>
    <w:rsid w:val="008E2AF0"/>
    <w:rsid w:val="008E3F73"/>
    <w:rsid w:val="008E7432"/>
    <w:rsid w:val="008F22BF"/>
    <w:rsid w:val="008F2D97"/>
    <w:rsid w:val="008F3678"/>
    <w:rsid w:val="008F4528"/>
    <w:rsid w:val="008F4C3D"/>
    <w:rsid w:val="008F50F0"/>
    <w:rsid w:val="008F5311"/>
    <w:rsid w:val="008F6218"/>
    <w:rsid w:val="008F6461"/>
    <w:rsid w:val="009003DD"/>
    <w:rsid w:val="00900E79"/>
    <w:rsid w:val="009013E9"/>
    <w:rsid w:val="00903981"/>
    <w:rsid w:val="00906045"/>
    <w:rsid w:val="00913491"/>
    <w:rsid w:val="009143F1"/>
    <w:rsid w:val="009214D1"/>
    <w:rsid w:val="0092586D"/>
    <w:rsid w:val="00925F90"/>
    <w:rsid w:val="00926804"/>
    <w:rsid w:val="00943DBE"/>
    <w:rsid w:val="00947EB1"/>
    <w:rsid w:val="00955828"/>
    <w:rsid w:val="0095606E"/>
    <w:rsid w:val="00956210"/>
    <w:rsid w:val="00961A0D"/>
    <w:rsid w:val="00965C98"/>
    <w:rsid w:val="00971253"/>
    <w:rsid w:val="00972337"/>
    <w:rsid w:val="009739D8"/>
    <w:rsid w:val="00974BAA"/>
    <w:rsid w:val="0097522C"/>
    <w:rsid w:val="0097770C"/>
    <w:rsid w:val="00985F7B"/>
    <w:rsid w:val="00986AC3"/>
    <w:rsid w:val="009930CD"/>
    <w:rsid w:val="00994F44"/>
    <w:rsid w:val="00996134"/>
    <w:rsid w:val="009A0DE4"/>
    <w:rsid w:val="009A2A39"/>
    <w:rsid w:val="009A5A7B"/>
    <w:rsid w:val="009A761A"/>
    <w:rsid w:val="009B1874"/>
    <w:rsid w:val="009B1E3E"/>
    <w:rsid w:val="009B48AD"/>
    <w:rsid w:val="009B76E6"/>
    <w:rsid w:val="009C3DD3"/>
    <w:rsid w:val="009C656F"/>
    <w:rsid w:val="009C74F1"/>
    <w:rsid w:val="009D1797"/>
    <w:rsid w:val="009D761E"/>
    <w:rsid w:val="009D79E9"/>
    <w:rsid w:val="009E592D"/>
    <w:rsid w:val="009F0534"/>
    <w:rsid w:val="009F2A99"/>
    <w:rsid w:val="009F4E30"/>
    <w:rsid w:val="009F723E"/>
    <w:rsid w:val="00A05150"/>
    <w:rsid w:val="00A06A78"/>
    <w:rsid w:val="00A101BD"/>
    <w:rsid w:val="00A10806"/>
    <w:rsid w:val="00A11B3A"/>
    <w:rsid w:val="00A13518"/>
    <w:rsid w:val="00A16A82"/>
    <w:rsid w:val="00A17787"/>
    <w:rsid w:val="00A23F69"/>
    <w:rsid w:val="00A26054"/>
    <w:rsid w:val="00A26262"/>
    <w:rsid w:val="00A26325"/>
    <w:rsid w:val="00A269B0"/>
    <w:rsid w:val="00A30961"/>
    <w:rsid w:val="00A34FF8"/>
    <w:rsid w:val="00A42C45"/>
    <w:rsid w:val="00A433D0"/>
    <w:rsid w:val="00A51015"/>
    <w:rsid w:val="00A62544"/>
    <w:rsid w:val="00A63CB5"/>
    <w:rsid w:val="00A63E22"/>
    <w:rsid w:val="00A651EB"/>
    <w:rsid w:val="00A657A0"/>
    <w:rsid w:val="00A71F7E"/>
    <w:rsid w:val="00A84AF5"/>
    <w:rsid w:val="00A859BE"/>
    <w:rsid w:val="00A86BCF"/>
    <w:rsid w:val="00A9222A"/>
    <w:rsid w:val="00A92586"/>
    <w:rsid w:val="00A927F7"/>
    <w:rsid w:val="00AA0285"/>
    <w:rsid w:val="00AA5F6D"/>
    <w:rsid w:val="00AA62F3"/>
    <w:rsid w:val="00AB4FCA"/>
    <w:rsid w:val="00AB5E60"/>
    <w:rsid w:val="00AC6FF9"/>
    <w:rsid w:val="00AD25B6"/>
    <w:rsid w:val="00AD4DB9"/>
    <w:rsid w:val="00AE4086"/>
    <w:rsid w:val="00AE5855"/>
    <w:rsid w:val="00AE6DCD"/>
    <w:rsid w:val="00AF1B78"/>
    <w:rsid w:val="00AF2BF3"/>
    <w:rsid w:val="00AF561A"/>
    <w:rsid w:val="00AF65F0"/>
    <w:rsid w:val="00B0252F"/>
    <w:rsid w:val="00B0626B"/>
    <w:rsid w:val="00B07973"/>
    <w:rsid w:val="00B10BB7"/>
    <w:rsid w:val="00B2414D"/>
    <w:rsid w:val="00B26B35"/>
    <w:rsid w:val="00B36EE8"/>
    <w:rsid w:val="00B37170"/>
    <w:rsid w:val="00B42742"/>
    <w:rsid w:val="00B43B03"/>
    <w:rsid w:val="00B450CB"/>
    <w:rsid w:val="00B51297"/>
    <w:rsid w:val="00B55253"/>
    <w:rsid w:val="00B60550"/>
    <w:rsid w:val="00B609AC"/>
    <w:rsid w:val="00B619E6"/>
    <w:rsid w:val="00B61F3A"/>
    <w:rsid w:val="00B643AA"/>
    <w:rsid w:val="00B66F9D"/>
    <w:rsid w:val="00B7015A"/>
    <w:rsid w:val="00B802A0"/>
    <w:rsid w:val="00B836E3"/>
    <w:rsid w:val="00BA04B1"/>
    <w:rsid w:val="00BA4220"/>
    <w:rsid w:val="00BA7C27"/>
    <w:rsid w:val="00BB3E1F"/>
    <w:rsid w:val="00BB4642"/>
    <w:rsid w:val="00BC04D7"/>
    <w:rsid w:val="00BC37AC"/>
    <w:rsid w:val="00BC4132"/>
    <w:rsid w:val="00BD246A"/>
    <w:rsid w:val="00BD7770"/>
    <w:rsid w:val="00BE109A"/>
    <w:rsid w:val="00BE48DB"/>
    <w:rsid w:val="00BF05A1"/>
    <w:rsid w:val="00BF2FBE"/>
    <w:rsid w:val="00BF4289"/>
    <w:rsid w:val="00BF76C9"/>
    <w:rsid w:val="00C045D6"/>
    <w:rsid w:val="00C05ADB"/>
    <w:rsid w:val="00C13CF4"/>
    <w:rsid w:val="00C147C8"/>
    <w:rsid w:val="00C231BC"/>
    <w:rsid w:val="00C24B89"/>
    <w:rsid w:val="00C26261"/>
    <w:rsid w:val="00C32646"/>
    <w:rsid w:val="00C34DB9"/>
    <w:rsid w:val="00C358D5"/>
    <w:rsid w:val="00C42B22"/>
    <w:rsid w:val="00C5044E"/>
    <w:rsid w:val="00C512F0"/>
    <w:rsid w:val="00C63CE1"/>
    <w:rsid w:val="00C65573"/>
    <w:rsid w:val="00C74320"/>
    <w:rsid w:val="00C744C4"/>
    <w:rsid w:val="00C77D55"/>
    <w:rsid w:val="00C86DD3"/>
    <w:rsid w:val="00C877B3"/>
    <w:rsid w:val="00C96BD9"/>
    <w:rsid w:val="00C97B05"/>
    <w:rsid w:val="00CA0878"/>
    <w:rsid w:val="00CA2163"/>
    <w:rsid w:val="00CA407A"/>
    <w:rsid w:val="00CA5C1F"/>
    <w:rsid w:val="00CA6576"/>
    <w:rsid w:val="00CB2381"/>
    <w:rsid w:val="00CB5B67"/>
    <w:rsid w:val="00CB720D"/>
    <w:rsid w:val="00CD26D5"/>
    <w:rsid w:val="00CE0BED"/>
    <w:rsid w:val="00CE3CEB"/>
    <w:rsid w:val="00CE583A"/>
    <w:rsid w:val="00CE6321"/>
    <w:rsid w:val="00CE67CB"/>
    <w:rsid w:val="00CF2000"/>
    <w:rsid w:val="00CF3604"/>
    <w:rsid w:val="00CF441C"/>
    <w:rsid w:val="00CF5F13"/>
    <w:rsid w:val="00D00543"/>
    <w:rsid w:val="00D00F7A"/>
    <w:rsid w:val="00D052EC"/>
    <w:rsid w:val="00D06637"/>
    <w:rsid w:val="00D06761"/>
    <w:rsid w:val="00D157BC"/>
    <w:rsid w:val="00D166F5"/>
    <w:rsid w:val="00D16715"/>
    <w:rsid w:val="00D169EE"/>
    <w:rsid w:val="00D16D87"/>
    <w:rsid w:val="00D252B9"/>
    <w:rsid w:val="00D32114"/>
    <w:rsid w:val="00D33DCC"/>
    <w:rsid w:val="00D346B5"/>
    <w:rsid w:val="00D43E8A"/>
    <w:rsid w:val="00D4460D"/>
    <w:rsid w:val="00D5177A"/>
    <w:rsid w:val="00D52E65"/>
    <w:rsid w:val="00D56492"/>
    <w:rsid w:val="00D60614"/>
    <w:rsid w:val="00D70323"/>
    <w:rsid w:val="00D81AFA"/>
    <w:rsid w:val="00D850A2"/>
    <w:rsid w:val="00D929D7"/>
    <w:rsid w:val="00D97B7B"/>
    <w:rsid w:val="00DA031F"/>
    <w:rsid w:val="00DA1CD4"/>
    <w:rsid w:val="00DB0D31"/>
    <w:rsid w:val="00DB4F6E"/>
    <w:rsid w:val="00DB50DC"/>
    <w:rsid w:val="00DB748C"/>
    <w:rsid w:val="00DC15B9"/>
    <w:rsid w:val="00DC3EEF"/>
    <w:rsid w:val="00DC5253"/>
    <w:rsid w:val="00DC6D4A"/>
    <w:rsid w:val="00DD0CF0"/>
    <w:rsid w:val="00DD12B2"/>
    <w:rsid w:val="00DD1ABD"/>
    <w:rsid w:val="00DD368E"/>
    <w:rsid w:val="00DE0AF9"/>
    <w:rsid w:val="00DF1260"/>
    <w:rsid w:val="00DF5564"/>
    <w:rsid w:val="00E04744"/>
    <w:rsid w:val="00E0629E"/>
    <w:rsid w:val="00E07654"/>
    <w:rsid w:val="00E07E9B"/>
    <w:rsid w:val="00E1263C"/>
    <w:rsid w:val="00E12CD5"/>
    <w:rsid w:val="00E154BA"/>
    <w:rsid w:val="00E21C6B"/>
    <w:rsid w:val="00E2553E"/>
    <w:rsid w:val="00E3177C"/>
    <w:rsid w:val="00E3182C"/>
    <w:rsid w:val="00E35305"/>
    <w:rsid w:val="00E451CC"/>
    <w:rsid w:val="00E5581E"/>
    <w:rsid w:val="00E62D07"/>
    <w:rsid w:val="00E63F09"/>
    <w:rsid w:val="00E6696E"/>
    <w:rsid w:val="00E67189"/>
    <w:rsid w:val="00E673C9"/>
    <w:rsid w:val="00E67785"/>
    <w:rsid w:val="00E739CE"/>
    <w:rsid w:val="00E75A80"/>
    <w:rsid w:val="00E812D7"/>
    <w:rsid w:val="00E81F83"/>
    <w:rsid w:val="00E842B0"/>
    <w:rsid w:val="00E85879"/>
    <w:rsid w:val="00E85DCE"/>
    <w:rsid w:val="00E86DA3"/>
    <w:rsid w:val="00E940E6"/>
    <w:rsid w:val="00E94F92"/>
    <w:rsid w:val="00EA4AC5"/>
    <w:rsid w:val="00EB0570"/>
    <w:rsid w:val="00EB1030"/>
    <w:rsid w:val="00EB3964"/>
    <w:rsid w:val="00EB67CD"/>
    <w:rsid w:val="00EC160E"/>
    <w:rsid w:val="00EC4C79"/>
    <w:rsid w:val="00EC6778"/>
    <w:rsid w:val="00EC70A7"/>
    <w:rsid w:val="00EC753F"/>
    <w:rsid w:val="00ED081C"/>
    <w:rsid w:val="00ED34F2"/>
    <w:rsid w:val="00ED6A35"/>
    <w:rsid w:val="00EE0CAD"/>
    <w:rsid w:val="00EE654C"/>
    <w:rsid w:val="00EE6A14"/>
    <w:rsid w:val="00EF544F"/>
    <w:rsid w:val="00EF6844"/>
    <w:rsid w:val="00F01744"/>
    <w:rsid w:val="00F046FD"/>
    <w:rsid w:val="00F13D09"/>
    <w:rsid w:val="00F17104"/>
    <w:rsid w:val="00F2078E"/>
    <w:rsid w:val="00F227B5"/>
    <w:rsid w:val="00F22D89"/>
    <w:rsid w:val="00F25358"/>
    <w:rsid w:val="00F27A8A"/>
    <w:rsid w:val="00F27DCA"/>
    <w:rsid w:val="00F31BE5"/>
    <w:rsid w:val="00F354FF"/>
    <w:rsid w:val="00F35D62"/>
    <w:rsid w:val="00F3780C"/>
    <w:rsid w:val="00F559D1"/>
    <w:rsid w:val="00F579DB"/>
    <w:rsid w:val="00F57FD4"/>
    <w:rsid w:val="00F62926"/>
    <w:rsid w:val="00F651C5"/>
    <w:rsid w:val="00F74450"/>
    <w:rsid w:val="00F7505B"/>
    <w:rsid w:val="00F766A0"/>
    <w:rsid w:val="00F87D43"/>
    <w:rsid w:val="00F9250A"/>
    <w:rsid w:val="00F925B3"/>
    <w:rsid w:val="00F94E14"/>
    <w:rsid w:val="00FA2D52"/>
    <w:rsid w:val="00FB0731"/>
    <w:rsid w:val="00FB533E"/>
    <w:rsid w:val="00FB7F8B"/>
    <w:rsid w:val="00FC0B96"/>
    <w:rsid w:val="00FC3CFF"/>
    <w:rsid w:val="00FC6AEA"/>
    <w:rsid w:val="00FD3D84"/>
    <w:rsid w:val="00FD3EE6"/>
    <w:rsid w:val="00FD6AD7"/>
    <w:rsid w:val="00FE7772"/>
    <w:rsid w:val="00FF242A"/>
    <w:rsid w:val="00FF33DE"/>
    <w:rsid w:val="01B72C95"/>
    <w:rsid w:val="01D35132"/>
    <w:rsid w:val="01F637FB"/>
    <w:rsid w:val="028D16D5"/>
    <w:rsid w:val="02AE2370"/>
    <w:rsid w:val="02CC716D"/>
    <w:rsid w:val="02D01BA7"/>
    <w:rsid w:val="03142241"/>
    <w:rsid w:val="031B6B7F"/>
    <w:rsid w:val="031E7B7B"/>
    <w:rsid w:val="036924DB"/>
    <w:rsid w:val="03CE6A70"/>
    <w:rsid w:val="03D35490"/>
    <w:rsid w:val="03D436D9"/>
    <w:rsid w:val="0404413A"/>
    <w:rsid w:val="043E570B"/>
    <w:rsid w:val="04E854F5"/>
    <w:rsid w:val="052A5A3F"/>
    <w:rsid w:val="0554711E"/>
    <w:rsid w:val="05E30C6F"/>
    <w:rsid w:val="06D51BAA"/>
    <w:rsid w:val="07D24B26"/>
    <w:rsid w:val="07D55F4A"/>
    <w:rsid w:val="081E6F45"/>
    <w:rsid w:val="082314D5"/>
    <w:rsid w:val="083C50D8"/>
    <w:rsid w:val="088D1D6E"/>
    <w:rsid w:val="088F1091"/>
    <w:rsid w:val="08B56D56"/>
    <w:rsid w:val="09375D7F"/>
    <w:rsid w:val="09940816"/>
    <w:rsid w:val="09C50658"/>
    <w:rsid w:val="09DB6EA8"/>
    <w:rsid w:val="09EA30F8"/>
    <w:rsid w:val="09F417AF"/>
    <w:rsid w:val="09F978E2"/>
    <w:rsid w:val="0A5E18FC"/>
    <w:rsid w:val="0A6C7801"/>
    <w:rsid w:val="0B900AFD"/>
    <w:rsid w:val="0BD2051C"/>
    <w:rsid w:val="0C1A31C8"/>
    <w:rsid w:val="0C3D7323"/>
    <w:rsid w:val="0D183586"/>
    <w:rsid w:val="0D1C56D7"/>
    <w:rsid w:val="0D4412D1"/>
    <w:rsid w:val="0D815D13"/>
    <w:rsid w:val="0DFC087A"/>
    <w:rsid w:val="0EB37DCF"/>
    <w:rsid w:val="0EC15C02"/>
    <w:rsid w:val="0F5420ED"/>
    <w:rsid w:val="0F610317"/>
    <w:rsid w:val="0F6B0FEF"/>
    <w:rsid w:val="0F6E2FA7"/>
    <w:rsid w:val="103E5B2A"/>
    <w:rsid w:val="10704177"/>
    <w:rsid w:val="10BF77BD"/>
    <w:rsid w:val="11A847BC"/>
    <w:rsid w:val="11B529CE"/>
    <w:rsid w:val="11E953BA"/>
    <w:rsid w:val="123116B1"/>
    <w:rsid w:val="12567615"/>
    <w:rsid w:val="12A13996"/>
    <w:rsid w:val="12CE3CA2"/>
    <w:rsid w:val="12EC1DC7"/>
    <w:rsid w:val="12EE7D82"/>
    <w:rsid w:val="130C4CDB"/>
    <w:rsid w:val="1334486A"/>
    <w:rsid w:val="134128D2"/>
    <w:rsid w:val="139E7CC1"/>
    <w:rsid w:val="13BE6AAB"/>
    <w:rsid w:val="13CC125A"/>
    <w:rsid w:val="13ED1293"/>
    <w:rsid w:val="140A12D4"/>
    <w:rsid w:val="14192A31"/>
    <w:rsid w:val="143A2C60"/>
    <w:rsid w:val="14844C7F"/>
    <w:rsid w:val="148B3AF2"/>
    <w:rsid w:val="14A32643"/>
    <w:rsid w:val="14F77F59"/>
    <w:rsid w:val="152E0F37"/>
    <w:rsid w:val="15BE0144"/>
    <w:rsid w:val="161A14EB"/>
    <w:rsid w:val="16292E07"/>
    <w:rsid w:val="16296E4A"/>
    <w:rsid w:val="165C6742"/>
    <w:rsid w:val="16704936"/>
    <w:rsid w:val="16B40158"/>
    <w:rsid w:val="176E25A4"/>
    <w:rsid w:val="17885987"/>
    <w:rsid w:val="179C724C"/>
    <w:rsid w:val="17F074AB"/>
    <w:rsid w:val="17F925C0"/>
    <w:rsid w:val="180B370A"/>
    <w:rsid w:val="183E15A9"/>
    <w:rsid w:val="184575BD"/>
    <w:rsid w:val="18627B4D"/>
    <w:rsid w:val="186C1E69"/>
    <w:rsid w:val="187D305F"/>
    <w:rsid w:val="18B27877"/>
    <w:rsid w:val="18CA5080"/>
    <w:rsid w:val="18E2028C"/>
    <w:rsid w:val="1965085B"/>
    <w:rsid w:val="19971F45"/>
    <w:rsid w:val="19EB1817"/>
    <w:rsid w:val="1A082747"/>
    <w:rsid w:val="1A096F0C"/>
    <w:rsid w:val="1A102387"/>
    <w:rsid w:val="1A2D4715"/>
    <w:rsid w:val="1A554A52"/>
    <w:rsid w:val="1AB07B31"/>
    <w:rsid w:val="1AE86287"/>
    <w:rsid w:val="1B2B7382"/>
    <w:rsid w:val="1B592A5A"/>
    <w:rsid w:val="1B9A04EF"/>
    <w:rsid w:val="1BA81C64"/>
    <w:rsid w:val="1BE7320B"/>
    <w:rsid w:val="1BE974A7"/>
    <w:rsid w:val="1C0E077A"/>
    <w:rsid w:val="1C4C3BCF"/>
    <w:rsid w:val="1D1F0CC8"/>
    <w:rsid w:val="1D201767"/>
    <w:rsid w:val="1D6D33D9"/>
    <w:rsid w:val="1DF20632"/>
    <w:rsid w:val="1E0E1394"/>
    <w:rsid w:val="1EA471F4"/>
    <w:rsid w:val="1EB05819"/>
    <w:rsid w:val="1EE74EDE"/>
    <w:rsid w:val="1F4A66CB"/>
    <w:rsid w:val="1F841458"/>
    <w:rsid w:val="1F99634F"/>
    <w:rsid w:val="1FB93120"/>
    <w:rsid w:val="1FC15204"/>
    <w:rsid w:val="1FC52418"/>
    <w:rsid w:val="1FDC6146"/>
    <w:rsid w:val="203408A9"/>
    <w:rsid w:val="203A2849"/>
    <w:rsid w:val="20582817"/>
    <w:rsid w:val="20951352"/>
    <w:rsid w:val="20FF0C42"/>
    <w:rsid w:val="21163D3F"/>
    <w:rsid w:val="21C34ACD"/>
    <w:rsid w:val="222759DD"/>
    <w:rsid w:val="222F4B99"/>
    <w:rsid w:val="22312A3E"/>
    <w:rsid w:val="22616744"/>
    <w:rsid w:val="22814516"/>
    <w:rsid w:val="22DE2C86"/>
    <w:rsid w:val="232A1E72"/>
    <w:rsid w:val="23A72329"/>
    <w:rsid w:val="23B75F74"/>
    <w:rsid w:val="23F8402A"/>
    <w:rsid w:val="24281053"/>
    <w:rsid w:val="245A45C2"/>
    <w:rsid w:val="24A11AF9"/>
    <w:rsid w:val="24A35BD5"/>
    <w:rsid w:val="24A604CC"/>
    <w:rsid w:val="24AA60B7"/>
    <w:rsid w:val="24CC1412"/>
    <w:rsid w:val="24EA7F6E"/>
    <w:rsid w:val="256B4D22"/>
    <w:rsid w:val="25826AB6"/>
    <w:rsid w:val="258D36BB"/>
    <w:rsid w:val="25A81AC8"/>
    <w:rsid w:val="26020916"/>
    <w:rsid w:val="26165ED1"/>
    <w:rsid w:val="267355D9"/>
    <w:rsid w:val="26A863BA"/>
    <w:rsid w:val="26D838D7"/>
    <w:rsid w:val="26FA635D"/>
    <w:rsid w:val="2735710D"/>
    <w:rsid w:val="27766DC3"/>
    <w:rsid w:val="278E7E49"/>
    <w:rsid w:val="27DF1D5F"/>
    <w:rsid w:val="282A223D"/>
    <w:rsid w:val="2832442B"/>
    <w:rsid w:val="28642EB0"/>
    <w:rsid w:val="286E5EF6"/>
    <w:rsid w:val="28786659"/>
    <w:rsid w:val="288C0C93"/>
    <w:rsid w:val="28E87769"/>
    <w:rsid w:val="29061987"/>
    <w:rsid w:val="293C4A01"/>
    <w:rsid w:val="294C27FE"/>
    <w:rsid w:val="29AB0D33"/>
    <w:rsid w:val="29EE68C6"/>
    <w:rsid w:val="2A842385"/>
    <w:rsid w:val="2B5461D3"/>
    <w:rsid w:val="2B560E1B"/>
    <w:rsid w:val="2B917E0C"/>
    <w:rsid w:val="2C5D38CE"/>
    <w:rsid w:val="2C913ADD"/>
    <w:rsid w:val="2CB07280"/>
    <w:rsid w:val="2CBE7A70"/>
    <w:rsid w:val="2CDF763D"/>
    <w:rsid w:val="2CEA7054"/>
    <w:rsid w:val="2D8A4B55"/>
    <w:rsid w:val="2D933319"/>
    <w:rsid w:val="2D9B763C"/>
    <w:rsid w:val="2DC96C13"/>
    <w:rsid w:val="2DF32732"/>
    <w:rsid w:val="2E775F2D"/>
    <w:rsid w:val="2EB265AC"/>
    <w:rsid w:val="2EF22AAB"/>
    <w:rsid w:val="2F094E4F"/>
    <w:rsid w:val="2F7F2540"/>
    <w:rsid w:val="2F96641B"/>
    <w:rsid w:val="2F9C0D1A"/>
    <w:rsid w:val="2FB836C9"/>
    <w:rsid w:val="2FC92E14"/>
    <w:rsid w:val="3012724A"/>
    <w:rsid w:val="30334291"/>
    <w:rsid w:val="305F2AEA"/>
    <w:rsid w:val="30A048D2"/>
    <w:rsid w:val="30AC3C25"/>
    <w:rsid w:val="315B31EF"/>
    <w:rsid w:val="31CE629F"/>
    <w:rsid w:val="32C522FC"/>
    <w:rsid w:val="33DD6EF7"/>
    <w:rsid w:val="33E246A2"/>
    <w:rsid w:val="33F56453"/>
    <w:rsid w:val="34251F16"/>
    <w:rsid w:val="34790579"/>
    <w:rsid w:val="35B427CB"/>
    <w:rsid w:val="35BD7216"/>
    <w:rsid w:val="35FB7409"/>
    <w:rsid w:val="376B7C44"/>
    <w:rsid w:val="37796BEA"/>
    <w:rsid w:val="38137EAB"/>
    <w:rsid w:val="38462B7D"/>
    <w:rsid w:val="38706E0B"/>
    <w:rsid w:val="38934559"/>
    <w:rsid w:val="38C94DCC"/>
    <w:rsid w:val="391B3B67"/>
    <w:rsid w:val="391C2993"/>
    <w:rsid w:val="399549BE"/>
    <w:rsid w:val="3A2A0747"/>
    <w:rsid w:val="3A3E785D"/>
    <w:rsid w:val="3A5E3DA5"/>
    <w:rsid w:val="3B7C4C07"/>
    <w:rsid w:val="3BB328D7"/>
    <w:rsid w:val="3BE62689"/>
    <w:rsid w:val="3C010F64"/>
    <w:rsid w:val="3C085C60"/>
    <w:rsid w:val="3C222B9B"/>
    <w:rsid w:val="3C6954AF"/>
    <w:rsid w:val="3CAF3BA6"/>
    <w:rsid w:val="3CBB206E"/>
    <w:rsid w:val="3CBF0F32"/>
    <w:rsid w:val="3CEC1036"/>
    <w:rsid w:val="3D015F84"/>
    <w:rsid w:val="3DC53272"/>
    <w:rsid w:val="3E1D259F"/>
    <w:rsid w:val="3E3E4CB3"/>
    <w:rsid w:val="3E723DCF"/>
    <w:rsid w:val="3F841505"/>
    <w:rsid w:val="3F93524C"/>
    <w:rsid w:val="3FC75BFF"/>
    <w:rsid w:val="401D5EC1"/>
    <w:rsid w:val="40507859"/>
    <w:rsid w:val="408D6B37"/>
    <w:rsid w:val="410E7C07"/>
    <w:rsid w:val="412C68AB"/>
    <w:rsid w:val="41744FE4"/>
    <w:rsid w:val="418A788F"/>
    <w:rsid w:val="418E5414"/>
    <w:rsid w:val="41BB25FB"/>
    <w:rsid w:val="421E7D41"/>
    <w:rsid w:val="427412DB"/>
    <w:rsid w:val="42AF172B"/>
    <w:rsid w:val="42CB30E1"/>
    <w:rsid w:val="42CC49FA"/>
    <w:rsid w:val="42D23D16"/>
    <w:rsid w:val="42FD2AAE"/>
    <w:rsid w:val="430C2D0E"/>
    <w:rsid w:val="43422D0B"/>
    <w:rsid w:val="434C0EB3"/>
    <w:rsid w:val="43997FDD"/>
    <w:rsid w:val="439B73D3"/>
    <w:rsid w:val="43D474DA"/>
    <w:rsid w:val="43F931E4"/>
    <w:rsid w:val="441200AF"/>
    <w:rsid w:val="445D0BCE"/>
    <w:rsid w:val="446D4740"/>
    <w:rsid w:val="451945FF"/>
    <w:rsid w:val="451D3402"/>
    <w:rsid w:val="452F4B04"/>
    <w:rsid w:val="45674E2D"/>
    <w:rsid w:val="459B20B4"/>
    <w:rsid w:val="45A162CD"/>
    <w:rsid w:val="46931FE0"/>
    <w:rsid w:val="46AA1991"/>
    <w:rsid w:val="46C37D04"/>
    <w:rsid w:val="479B78C0"/>
    <w:rsid w:val="483C4DB9"/>
    <w:rsid w:val="486F0354"/>
    <w:rsid w:val="490A2F27"/>
    <w:rsid w:val="4A3E1BCF"/>
    <w:rsid w:val="4AD75345"/>
    <w:rsid w:val="4BCD40C8"/>
    <w:rsid w:val="4C05326E"/>
    <w:rsid w:val="4C683EE3"/>
    <w:rsid w:val="4CBA1AAC"/>
    <w:rsid w:val="4D506A5A"/>
    <w:rsid w:val="4D7E3606"/>
    <w:rsid w:val="4DC06D21"/>
    <w:rsid w:val="4E5A20A0"/>
    <w:rsid w:val="4E6D3241"/>
    <w:rsid w:val="4EE77D5F"/>
    <w:rsid w:val="4F2534E5"/>
    <w:rsid w:val="4FB82040"/>
    <w:rsid w:val="50237E6A"/>
    <w:rsid w:val="50DB3569"/>
    <w:rsid w:val="519E0114"/>
    <w:rsid w:val="51BC2DA9"/>
    <w:rsid w:val="51CE5C6C"/>
    <w:rsid w:val="51E746DB"/>
    <w:rsid w:val="520143D1"/>
    <w:rsid w:val="522F0851"/>
    <w:rsid w:val="52407136"/>
    <w:rsid w:val="529C1530"/>
    <w:rsid w:val="53B7441A"/>
    <w:rsid w:val="53BE7F4C"/>
    <w:rsid w:val="541115BE"/>
    <w:rsid w:val="54713FE9"/>
    <w:rsid w:val="54877304"/>
    <w:rsid w:val="54B321EB"/>
    <w:rsid w:val="54D74153"/>
    <w:rsid w:val="54D84760"/>
    <w:rsid w:val="550F5D13"/>
    <w:rsid w:val="55294508"/>
    <w:rsid w:val="55663F0B"/>
    <w:rsid w:val="55761A69"/>
    <w:rsid w:val="5590236E"/>
    <w:rsid w:val="55A4262D"/>
    <w:rsid w:val="55C44BBE"/>
    <w:rsid w:val="56745ACE"/>
    <w:rsid w:val="56874D53"/>
    <w:rsid w:val="568C5DF4"/>
    <w:rsid w:val="56984696"/>
    <w:rsid w:val="56A859F1"/>
    <w:rsid w:val="57491C26"/>
    <w:rsid w:val="57847D5C"/>
    <w:rsid w:val="5841705A"/>
    <w:rsid w:val="58ED6A9D"/>
    <w:rsid w:val="590A7F26"/>
    <w:rsid w:val="592242BA"/>
    <w:rsid w:val="592D5508"/>
    <w:rsid w:val="597410D3"/>
    <w:rsid w:val="59BA29BB"/>
    <w:rsid w:val="59EB7134"/>
    <w:rsid w:val="5A017AA3"/>
    <w:rsid w:val="5A1D3F88"/>
    <w:rsid w:val="5B145358"/>
    <w:rsid w:val="5B3A652A"/>
    <w:rsid w:val="5B47572D"/>
    <w:rsid w:val="5B8C4E25"/>
    <w:rsid w:val="5B8D2C20"/>
    <w:rsid w:val="5BCA2F03"/>
    <w:rsid w:val="5C077DA4"/>
    <w:rsid w:val="5C151C80"/>
    <w:rsid w:val="5C1E34DF"/>
    <w:rsid w:val="5C1E5968"/>
    <w:rsid w:val="5C4C6FFF"/>
    <w:rsid w:val="5D472FDD"/>
    <w:rsid w:val="5D7C12E6"/>
    <w:rsid w:val="5D941486"/>
    <w:rsid w:val="5D9D4BCD"/>
    <w:rsid w:val="5E0D2AAE"/>
    <w:rsid w:val="5E4D5C45"/>
    <w:rsid w:val="5E50032A"/>
    <w:rsid w:val="5E501647"/>
    <w:rsid w:val="5EA42BA9"/>
    <w:rsid w:val="5ED52CB7"/>
    <w:rsid w:val="5F781FA8"/>
    <w:rsid w:val="5FFF7696"/>
    <w:rsid w:val="600F7DB2"/>
    <w:rsid w:val="60574AA1"/>
    <w:rsid w:val="611B3E9F"/>
    <w:rsid w:val="614F2CD2"/>
    <w:rsid w:val="61665302"/>
    <w:rsid w:val="61D260B1"/>
    <w:rsid w:val="62311F87"/>
    <w:rsid w:val="624A02CE"/>
    <w:rsid w:val="62716736"/>
    <w:rsid w:val="62981AEF"/>
    <w:rsid w:val="62E220E0"/>
    <w:rsid w:val="62E37631"/>
    <w:rsid w:val="62EA078C"/>
    <w:rsid w:val="63237BAB"/>
    <w:rsid w:val="63392E56"/>
    <w:rsid w:val="634808EB"/>
    <w:rsid w:val="63C80989"/>
    <w:rsid w:val="63FD3C94"/>
    <w:rsid w:val="640D41B6"/>
    <w:rsid w:val="642A1F5E"/>
    <w:rsid w:val="64383CB0"/>
    <w:rsid w:val="64B2415B"/>
    <w:rsid w:val="64BC1BBD"/>
    <w:rsid w:val="64FF04F8"/>
    <w:rsid w:val="657F2D42"/>
    <w:rsid w:val="65963936"/>
    <w:rsid w:val="65993834"/>
    <w:rsid w:val="65DD5C2C"/>
    <w:rsid w:val="669B5377"/>
    <w:rsid w:val="66BE37AB"/>
    <w:rsid w:val="66FD4C82"/>
    <w:rsid w:val="673D732A"/>
    <w:rsid w:val="678577BC"/>
    <w:rsid w:val="67B2125E"/>
    <w:rsid w:val="67B96ACB"/>
    <w:rsid w:val="67F151D3"/>
    <w:rsid w:val="67FC669A"/>
    <w:rsid w:val="6847086A"/>
    <w:rsid w:val="68686C9A"/>
    <w:rsid w:val="68DE4AAD"/>
    <w:rsid w:val="696A58BD"/>
    <w:rsid w:val="699827BC"/>
    <w:rsid w:val="69F546C4"/>
    <w:rsid w:val="6A4F291B"/>
    <w:rsid w:val="6AC1042B"/>
    <w:rsid w:val="6B7602AE"/>
    <w:rsid w:val="6BC50CDD"/>
    <w:rsid w:val="6C2459E5"/>
    <w:rsid w:val="6C27202E"/>
    <w:rsid w:val="6C4D5602"/>
    <w:rsid w:val="6CDC486E"/>
    <w:rsid w:val="6D091252"/>
    <w:rsid w:val="6D820732"/>
    <w:rsid w:val="6E6F3CED"/>
    <w:rsid w:val="6F0A61C2"/>
    <w:rsid w:val="6F222748"/>
    <w:rsid w:val="6F6E001A"/>
    <w:rsid w:val="6F8140F2"/>
    <w:rsid w:val="6F8F3A02"/>
    <w:rsid w:val="702F1FB0"/>
    <w:rsid w:val="703300FF"/>
    <w:rsid w:val="709F1957"/>
    <w:rsid w:val="70B62E00"/>
    <w:rsid w:val="70FF32FC"/>
    <w:rsid w:val="719862FC"/>
    <w:rsid w:val="71A40BC2"/>
    <w:rsid w:val="71B16911"/>
    <w:rsid w:val="72450A64"/>
    <w:rsid w:val="7282422A"/>
    <w:rsid w:val="72880799"/>
    <w:rsid w:val="731A2304"/>
    <w:rsid w:val="731D45F4"/>
    <w:rsid w:val="73431101"/>
    <w:rsid w:val="73443517"/>
    <w:rsid w:val="73480C28"/>
    <w:rsid w:val="74117110"/>
    <w:rsid w:val="745A74E0"/>
    <w:rsid w:val="746133DD"/>
    <w:rsid w:val="7480130A"/>
    <w:rsid w:val="74913A48"/>
    <w:rsid w:val="74C57A14"/>
    <w:rsid w:val="7514126D"/>
    <w:rsid w:val="75295C02"/>
    <w:rsid w:val="753B0F54"/>
    <w:rsid w:val="7543746B"/>
    <w:rsid w:val="75464C9E"/>
    <w:rsid w:val="75894347"/>
    <w:rsid w:val="759952E6"/>
    <w:rsid w:val="75ED663B"/>
    <w:rsid w:val="76587081"/>
    <w:rsid w:val="76A1005E"/>
    <w:rsid w:val="77993211"/>
    <w:rsid w:val="78EE3408"/>
    <w:rsid w:val="7925489F"/>
    <w:rsid w:val="79264919"/>
    <w:rsid w:val="793F2E71"/>
    <w:rsid w:val="794033FC"/>
    <w:rsid w:val="79696BE7"/>
    <w:rsid w:val="79713E6D"/>
    <w:rsid w:val="799B16BB"/>
    <w:rsid w:val="79EC0ABA"/>
    <w:rsid w:val="79F65A42"/>
    <w:rsid w:val="7A2C73B0"/>
    <w:rsid w:val="7A331D84"/>
    <w:rsid w:val="7AD7638A"/>
    <w:rsid w:val="7ADC323E"/>
    <w:rsid w:val="7AF73778"/>
    <w:rsid w:val="7B0D668C"/>
    <w:rsid w:val="7B733FFE"/>
    <w:rsid w:val="7C1447C8"/>
    <w:rsid w:val="7C646E2F"/>
    <w:rsid w:val="7C74029E"/>
    <w:rsid w:val="7C94681C"/>
    <w:rsid w:val="7CA817D8"/>
    <w:rsid w:val="7CE601BF"/>
    <w:rsid w:val="7CF34F06"/>
    <w:rsid w:val="7D491640"/>
    <w:rsid w:val="7DAC4B31"/>
    <w:rsid w:val="7E594CD6"/>
    <w:rsid w:val="7E601733"/>
    <w:rsid w:val="7EC743E3"/>
    <w:rsid w:val="7EE46858"/>
    <w:rsid w:val="7F311EFB"/>
    <w:rsid w:val="7F912BD9"/>
    <w:rsid w:val="7FC700BE"/>
    <w:rsid w:val="7FD63C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5">
    <w:name w:val="heading 1"/>
    <w:basedOn w:val="1"/>
    <w:next w:val="1"/>
    <w:qFormat/>
    <w:uiPriority w:val="0"/>
    <w:pPr>
      <w:autoSpaceDE w:val="0"/>
      <w:autoSpaceDN w:val="0"/>
      <w:adjustRightInd w:val="0"/>
      <w:jc w:val="left"/>
      <w:outlineLvl w:val="0"/>
    </w:pPr>
    <w:rPr>
      <w:kern w:val="0"/>
      <w:sz w:val="20"/>
      <w:szCs w:val="24"/>
    </w:rPr>
  </w:style>
  <w:style w:type="paragraph" w:styleId="6">
    <w:name w:val="heading 2"/>
    <w:basedOn w:val="1"/>
    <w:next w:val="1"/>
    <w:qFormat/>
    <w:uiPriority w:val="0"/>
    <w:pPr>
      <w:autoSpaceDE w:val="0"/>
      <w:autoSpaceDN w:val="0"/>
      <w:adjustRightInd w:val="0"/>
      <w:jc w:val="left"/>
      <w:outlineLvl w:val="1"/>
    </w:pPr>
    <w:rPr>
      <w:kern w:val="0"/>
      <w:sz w:val="20"/>
      <w:szCs w:val="24"/>
    </w:rPr>
  </w:style>
  <w:style w:type="paragraph" w:styleId="7">
    <w:name w:val="heading 3"/>
    <w:basedOn w:val="1"/>
    <w:next w:val="8"/>
    <w:qFormat/>
    <w:uiPriority w:val="0"/>
    <w:pPr>
      <w:keepNext/>
      <w:keepLines/>
      <w:spacing w:before="260" w:after="260" w:line="416" w:lineRule="auto"/>
      <w:outlineLvl w:val="2"/>
    </w:pPr>
    <w:rPr>
      <w:b/>
      <w:bCs/>
      <w:sz w:val="32"/>
      <w:szCs w:val="32"/>
    </w:rPr>
  </w:style>
  <w:style w:type="character" w:default="1" w:styleId="22">
    <w:name w:val="Default Paragraph Font"/>
    <w:semiHidden/>
    <w:uiPriority w:val="0"/>
  </w:style>
  <w:style w:type="table" w:default="1" w:styleId="20">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20"/>
      <w:tblCellMar>
        <w:top w:w="0" w:type="dxa"/>
        <w:left w:w="108" w:type="dxa"/>
        <w:bottom w:w="0" w:type="dxa"/>
        <w:right w:w="108" w:type="dxa"/>
      </w:tblCellMar>
    </w:tblPr>
  </w:style>
  <w:style w:type="paragraph" w:styleId="2">
    <w:name w:val="Body Text First Indent 2"/>
    <w:basedOn w:val="3"/>
    <w:next w:val="4"/>
    <w:qFormat/>
    <w:uiPriority w:val="0"/>
    <w:pPr>
      <w:widowControl w:val="0"/>
      <w:spacing w:after="120"/>
      <w:ind w:left="200" w:leftChars="200" w:firstLine="420"/>
      <w:jc w:val="both"/>
    </w:pPr>
    <w:rPr>
      <w:rFonts w:ascii="Times New Roman" w:hAnsi="Times New Roman" w:eastAsia="宋体" w:cs="Times New Roman"/>
      <w:kern w:val="2"/>
      <w:sz w:val="21"/>
      <w:lang w:val="en-US" w:eastAsia="zh-CN" w:bidi="ar-SA"/>
    </w:rPr>
  </w:style>
  <w:style w:type="paragraph" w:styleId="3">
    <w:name w:val="Body Text Indent"/>
    <w:basedOn w:val="1"/>
    <w:uiPriority w:val="0"/>
    <w:pPr>
      <w:spacing w:line="500" w:lineRule="exact"/>
      <w:ind w:firstLine="420"/>
    </w:pPr>
  </w:style>
  <w:style w:type="paragraph" w:styleId="4">
    <w:name w:val="toa heading"/>
    <w:basedOn w:val="1"/>
    <w:next w:val="1"/>
    <w:qFormat/>
    <w:uiPriority w:val="0"/>
    <w:pPr>
      <w:spacing w:before="120"/>
    </w:pPr>
    <w:rPr>
      <w:rFonts w:ascii="Arial" w:hAnsi="Arial"/>
      <w:sz w:val="24"/>
    </w:rPr>
  </w:style>
  <w:style w:type="paragraph" w:styleId="8">
    <w:name w:val="Normal Indent"/>
    <w:basedOn w:val="1"/>
    <w:uiPriority w:val="0"/>
    <w:pPr>
      <w:adjustRightInd w:val="0"/>
      <w:spacing w:line="360" w:lineRule="atLeast"/>
      <w:ind w:firstLine="420" w:firstLineChars="200"/>
      <w:jc w:val="left"/>
      <w:textAlignment w:val="baseline"/>
    </w:pPr>
    <w:rPr>
      <w:kern w:val="0"/>
      <w:sz w:val="24"/>
    </w:rPr>
  </w:style>
  <w:style w:type="paragraph" w:styleId="9">
    <w:name w:val="caption"/>
    <w:basedOn w:val="1"/>
    <w:next w:val="1"/>
    <w:qFormat/>
    <w:uiPriority w:val="0"/>
    <w:pPr>
      <w:spacing w:before="152" w:after="160"/>
    </w:pPr>
    <w:rPr>
      <w:rFonts w:ascii="Arial" w:hAnsi="Arial" w:eastAsia="黑体"/>
    </w:rPr>
  </w:style>
  <w:style w:type="paragraph" w:styleId="10">
    <w:name w:val="annotation text"/>
    <w:basedOn w:val="1"/>
    <w:link w:val="43"/>
    <w:uiPriority w:val="0"/>
    <w:pPr>
      <w:jc w:val="left"/>
    </w:pPr>
  </w:style>
  <w:style w:type="paragraph" w:styleId="11">
    <w:name w:val="Body Text"/>
    <w:basedOn w:val="1"/>
    <w:uiPriority w:val="0"/>
    <w:rPr>
      <w:i/>
      <w:sz w:val="18"/>
    </w:rPr>
  </w:style>
  <w:style w:type="paragraph" w:styleId="12">
    <w:name w:val="Plain Text"/>
    <w:basedOn w:val="1"/>
    <w:uiPriority w:val="0"/>
    <w:pPr>
      <w:spacing w:before="156" w:beforeLines="50" w:after="156" w:afterLines="50" w:line="400" w:lineRule="exact"/>
    </w:pPr>
    <w:rPr>
      <w:rFonts w:ascii="宋体" w:hAnsi="Courier New"/>
      <w:sz w:val="24"/>
      <w:szCs w:val="24"/>
    </w:rPr>
  </w:style>
  <w:style w:type="paragraph" w:styleId="13">
    <w:name w:val="Date"/>
    <w:basedOn w:val="1"/>
    <w:next w:val="1"/>
    <w:uiPriority w:val="0"/>
  </w:style>
  <w:style w:type="paragraph" w:styleId="14">
    <w:name w:val="Body Text Indent 2"/>
    <w:basedOn w:val="1"/>
    <w:link w:val="42"/>
    <w:uiPriority w:val="0"/>
    <w:pPr>
      <w:spacing w:after="120" w:line="480" w:lineRule="auto"/>
      <w:ind w:left="420" w:leftChars="200"/>
    </w:pPr>
  </w:style>
  <w:style w:type="paragraph" w:styleId="15">
    <w:name w:val="Balloon Text"/>
    <w:basedOn w:val="1"/>
    <w:link w:val="41"/>
    <w:uiPriority w:val="0"/>
    <w:rPr>
      <w:sz w:val="18"/>
      <w:szCs w:val="18"/>
    </w:rPr>
  </w:style>
  <w:style w:type="paragraph" w:styleId="16">
    <w:name w:val="footer"/>
    <w:basedOn w:val="1"/>
    <w:uiPriority w:val="0"/>
    <w:pPr>
      <w:tabs>
        <w:tab w:val="center" w:pos="4153"/>
        <w:tab w:val="right" w:pos="8306"/>
      </w:tabs>
      <w:snapToGrid w:val="0"/>
      <w:jc w:val="left"/>
    </w:pPr>
    <w:rPr>
      <w:sz w:val="18"/>
    </w:rPr>
  </w:style>
  <w:style w:type="paragraph" w:styleId="17">
    <w:name w:val="header"/>
    <w:basedOn w:val="1"/>
    <w:uiPriority w:val="0"/>
    <w:pPr>
      <w:pBdr>
        <w:bottom w:val="single" w:color="auto" w:sz="6" w:space="1"/>
      </w:pBdr>
      <w:tabs>
        <w:tab w:val="center" w:pos="4153"/>
        <w:tab w:val="right" w:pos="8306"/>
      </w:tabs>
      <w:snapToGrid w:val="0"/>
      <w:jc w:val="center"/>
    </w:pPr>
    <w:rPr>
      <w:sz w:val="18"/>
    </w:rPr>
  </w:style>
  <w:style w:type="paragraph" w:styleId="18">
    <w:name w:val="Normal (Web)"/>
    <w:basedOn w:val="1"/>
    <w:uiPriority w:val="0"/>
    <w:pPr>
      <w:widowControl/>
      <w:spacing w:before="100" w:beforeAutospacing="1" w:after="100" w:afterAutospacing="1"/>
      <w:jc w:val="left"/>
    </w:pPr>
    <w:rPr>
      <w:rFonts w:ascii="宋体" w:hAnsi="宋体" w:cs="宋体"/>
      <w:color w:val="000000"/>
      <w:kern w:val="0"/>
      <w:sz w:val="24"/>
      <w:szCs w:val="24"/>
    </w:rPr>
  </w:style>
  <w:style w:type="paragraph" w:styleId="19">
    <w:name w:val="annotation subject"/>
    <w:basedOn w:val="10"/>
    <w:next w:val="10"/>
    <w:link w:val="37"/>
    <w:uiPriority w:val="0"/>
    <w:rPr>
      <w:b/>
      <w:bCs/>
    </w:rPr>
  </w:style>
  <w:style w:type="table" w:styleId="21">
    <w:name w:val="Table Grid"/>
    <w:basedOn w:val="20"/>
    <w:unhideWhenUsed/>
    <w:uiPriority w:val="99"/>
    <w:pPr>
      <w:widowControl w:val="0"/>
      <w:jc w:val="both"/>
    </w:pPr>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rPr>
  </w:style>
  <w:style w:type="character" w:styleId="24">
    <w:name w:val="page number"/>
    <w:basedOn w:val="22"/>
    <w:uiPriority w:val="0"/>
  </w:style>
  <w:style w:type="character" w:styleId="25">
    <w:name w:val="FollowedHyperlink"/>
    <w:uiPriority w:val="0"/>
    <w:rPr>
      <w:color w:val="3F88BF"/>
      <w:u w:val="none"/>
    </w:rPr>
  </w:style>
  <w:style w:type="character" w:styleId="26">
    <w:name w:val="Emphasis"/>
    <w:qFormat/>
    <w:uiPriority w:val="0"/>
  </w:style>
  <w:style w:type="character" w:styleId="27">
    <w:name w:val="HTML Definition"/>
    <w:uiPriority w:val="0"/>
  </w:style>
  <w:style w:type="character" w:styleId="28">
    <w:name w:val="HTML Variable"/>
    <w:uiPriority w:val="0"/>
  </w:style>
  <w:style w:type="character" w:styleId="29">
    <w:name w:val="Hyperlink"/>
    <w:uiPriority w:val="0"/>
    <w:rPr>
      <w:color w:val="3F88BF"/>
      <w:u w:val="none"/>
    </w:rPr>
  </w:style>
  <w:style w:type="character" w:styleId="30">
    <w:name w:val="HTML Code"/>
    <w:uiPriority w:val="0"/>
    <w:rPr>
      <w:rFonts w:hint="default" w:ascii="Arial" w:hAnsi="Arial" w:eastAsia="Arial" w:cs="Arial"/>
      <w:sz w:val="20"/>
    </w:rPr>
  </w:style>
  <w:style w:type="character" w:styleId="31">
    <w:name w:val="annotation reference"/>
    <w:uiPriority w:val="99"/>
    <w:rPr>
      <w:sz w:val="21"/>
      <w:szCs w:val="21"/>
    </w:rPr>
  </w:style>
  <w:style w:type="character" w:styleId="32">
    <w:name w:val="HTML Cite"/>
    <w:uiPriority w:val="0"/>
  </w:style>
  <w:style w:type="character" w:styleId="33">
    <w:name w:val="HTML Keyboard"/>
    <w:uiPriority w:val="0"/>
    <w:rPr>
      <w:rFonts w:hint="default" w:ascii="Arial" w:hAnsi="Arial" w:eastAsia="Arial" w:cs="Arial"/>
      <w:sz w:val="20"/>
    </w:rPr>
  </w:style>
  <w:style w:type="character" w:styleId="34">
    <w:name w:val="HTML Sample"/>
    <w:uiPriority w:val="0"/>
    <w:rPr>
      <w:rFonts w:hint="eastAsia" w:ascii="Arial" w:hAnsi="Arial" w:eastAsia="Arial" w:cs="Arial"/>
    </w:rPr>
  </w:style>
  <w:style w:type="character" w:customStyle="1" w:styleId="35">
    <w:name w:val="answer-title10"/>
    <w:basedOn w:val="22"/>
    <w:uiPriority w:val="0"/>
  </w:style>
  <w:style w:type="character" w:customStyle="1" w:styleId="36">
    <w:name w:val="num"/>
    <w:uiPriority w:val="0"/>
    <w:rPr>
      <w:b/>
      <w:color w:val="FF7800"/>
    </w:rPr>
  </w:style>
  <w:style w:type="character" w:customStyle="1" w:styleId="37">
    <w:name w:val="批注主题 Char"/>
    <w:link w:val="19"/>
    <w:uiPriority w:val="0"/>
    <w:rPr>
      <w:b/>
      <w:bCs/>
      <w:kern w:val="2"/>
      <w:sz w:val="21"/>
    </w:rPr>
  </w:style>
  <w:style w:type="character" w:customStyle="1" w:styleId="38">
    <w:name w:val="gpa"/>
    <w:uiPriority w:val="0"/>
    <w:rPr>
      <w:rFonts w:ascii="Arial" w:hAnsi="Arial" w:cs="Arial"/>
      <w:sz w:val="15"/>
      <w:szCs w:val="15"/>
    </w:rPr>
  </w:style>
  <w:style w:type="character" w:customStyle="1" w:styleId="39">
    <w:name w:val="selected"/>
    <w:uiPriority w:val="0"/>
    <w:rPr>
      <w:shd w:val="clear" w:color="auto" w:fill="B00006"/>
    </w:rPr>
  </w:style>
  <w:style w:type="character" w:customStyle="1" w:styleId="40">
    <w:name w:val="displayarti"/>
    <w:uiPriority w:val="0"/>
    <w:rPr>
      <w:color w:val="FFFFFF"/>
      <w:shd w:val="clear" w:color="auto" w:fill="A00000"/>
    </w:rPr>
  </w:style>
  <w:style w:type="character" w:customStyle="1" w:styleId="41">
    <w:name w:val="批注框文本 Char"/>
    <w:link w:val="15"/>
    <w:uiPriority w:val="0"/>
    <w:rPr>
      <w:kern w:val="2"/>
      <w:sz w:val="18"/>
      <w:szCs w:val="18"/>
    </w:rPr>
  </w:style>
  <w:style w:type="character" w:customStyle="1" w:styleId="42">
    <w:name w:val="正文文本缩进 2 Char"/>
    <w:link w:val="14"/>
    <w:uiPriority w:val="0"/>
    <w:rPr>
      <w:kern w:val="2"/>
      <w:sz w:val="21"/>
    </w:rPr>
  </w:style>
  <w:style w:type="character" w:customStyle="1" w:styleId="43">
    <w:name w:val="批注文字 Char"/>
    <w:link w:val="10"/>
    <w:uiPriority w:val="0"/>
    <w:rPr>
      <w:kern w:val="2"/>
      <w:sz w:val="21"/>
    </w:rPr>
  </w:style>
  <w:style w:type="character" w:customStyle="1" w:styleId="44">
    <w:name w:val="release-day"/>
    <w:uiPriority w:val="0"/>
    <w:rPr>
      <w:bdr w:val="single" w:color="BDEBB0" w:sz="6" w:space="0"/>
      <w:shd w:val="clear" w:color="auto" w:fill="F5FFF1"/>
    </w:rPr>
  </w:style>
  <w:style w:type="character" w:customStyle="1" w:styleId="45">
    <w:name w:val="批注文字 Char1"/>
    <w:uiPriority w:val="0"/>
    <w:rPr>
      <w:rFonts w:ascii="Tahoma" w:hAnsi="Tahoma" w:eastAsia="宋体" w:cs="Times New Roman"/>
      <w:sz w:val="22"/>
      <w:szCs w:val="22"/>
    </w:rPr>
  </w:style>
  <w:style w:type="paragraph" w:customStyle="1" w:styleId="46">
    <w:name w:val=" Char"/>
    <w:basedOn w:val="1"/>
    <w:uiPriority w:val="0"/>
    <w:rPr>
      <w:rFonts w:ascii="Tahoma" w:hAnsi="Tahoma"/>
      <w:sz w:val="24"/>
    </w:rPr>
  </w:style>
  <w:style w:type="paragraph" w:customStyle="1" w:styleId="47">
    <w:name w:val="样式 表格正文 + 两端对齐"/>
    <w:basedOn w:val="1"/>
    <w:uiPriority w:val="0"/>
    <w:pPr>
      <w:spacing w:line="300" w:lineRule="auto"/>
    </w:pPr>
    <w:rPr>
      <w:sz w:val="24"/>
    </w:rPr>
  </w:style>
  <w:style w:type="paragraph" w:customStyle="1" w:styleId="48">
    <w:name w:val="Char Char Char1 Char"/>
    <w:basedOn w:val="1"/>
    <w:semiHidden/>
    <w:uiPriority w:val="0"/>
    <w:pPr>
      <w:spacing w:line="360" w:lineRule="auto"/>
      <w:ind w:firstLine="200" w:firstLineChars="200"/>
    </w:pPr>
    <w:rPr>
      <w:rFonts w:ascii="宋体" w:hAnsi="宋体" w:cs="宋体"/>
      <w:sz w:val="24"/>
      <w:szCs w:val="24"/>
    </w:rPr>
  </w:style>
  <w:style w:type="paragraph" w:customStyle="1" w:styleId="49">
    <w:name w:val="样式1"/>
    <w:basedOn w:val="1"/>
    <w:qFormat/>
    <w:uiPriority w:val="0"/>
    <w:pPr>
      <w:numPr>
        <w:ilvl w:val="0"/>
        <w:numId w:val="1"/>
      </w:numPr>
      <w:spacing w:line="240" w:lineRule="auto"/>
      <w:jc w:val="both"/>
    </w:pPr>
    <w:rPr>
      <w:rFonts w:ascii="宋体" w:hAnsi="宋体"/>
      <w:sz w:val="21"/>
      <w:szCs w:val="21"/>
    </w:rPr>
  </w:style>
  <w:style w:type="paragraph" w:styleId="50">
    <w:name w:val="List Paragraph"/>
    <w:basedOn w:val="1"/>
    <w:qFormat/>
    <w:uiPriority w:val="99"/>
    <w:pPr>
      <w:spacing w:before="100" w:beforeAutospacing="1"/>
      <w:ind w:firstLine="420" w:firstLineChars="200"/>
    </w:pPr>
    <w:rPr>
      <w:rFonts w:ascii="Calibri" w:hAnsi="Calibri"/>
      <w:szCs w:val="21"/>
    </w:rPr>
  </w:style>
  <w:style w:type="paragraph" w:customStyle="1" w:styleId="51">
    <w:name w:val="Char Char Char Char Char Char Char"/>
    <w:basedOn w:val="1"/>
    <w:uiPriority w:val="0"/>
    <w:pPr>
      <w:widowControl/>
      <w:spacing w:after="160" w:line="240" w:lineRule="exact"/>
      <w:jc w:val="left"/>
    </w:pPr>
    <w:rPr>
      <w:rFonts w:ascii="宋体" w:hAnsi="宋体"/>
      <w:b/>
      <w:sz w:val="24"/>
    </w:rPr>
  </w:style>
  <w:style w:type="paragraph" w:customStyle="1" w:styleId="52">
    <w:name w:val="列出段落1"/>
    <w:basedOn w:val="1"/>
    <w:uiPriority w:val="0"/>
    <w:pPr>
      <w:ind w:firstLine="200" w:firstLineChars="200"/>
    </w:pPr>
    <w:rPr>
      <w:rFonts w:ascii="Calibri" w:hAnsi="Calibri" w:cs="Arial"/>
      <w:szCs w:val="21"/>
    </w:rPr>
  </w:style>
  <w:style w:type="paragraph" w:customStyle="1" w:styleId="53">
    <w:name w:val="默认段落字体 Para Char Char Char Char"/>
    <w:basedOn w:val="1"/>
    <w:uiPriority w:val="0"/>
    <w:pPr>
      <w:adjustRightInd w:val="0"/>
      <w:spacing w:line="360" w:lineRule="auto"/>
    </w:pPr>
    <w:rPr>
      <w:kern w:val="0"/>
      <w:sz w:val="24"/>
    </w:rPr>
  </w:style>
  <w:style w:type="paragraph" w:customStyle="1" w:styleId="54">
    <w:name w:val="此正文"/>
    <w:basedOn w:val="1"/>
    <w:uiPriority w:val="0"/>
    <w:pPr>
      <w:spacing w:line="360" w:lineRule="auto"/>
      <w:ind w:firstLine="200" w:firstLineChars="200"/>
    </w:pPr>
    <w:rPr>
      <w:sz w:val="24"/>
      <w:szCs w:val="24"/>
    </w:rPr>
  </w:style>
  <w:style w:type="paragraph" w:customStyle="1" w:styleId="55">
    <w:name w:val=" Char Char Char Char1 Char Char Char Char"/>
    <w:basedOn w:val="1"/>
    <w:uiPriority w:val="0"/>
    <w:pPr>
      <w:widowControl/>
      <w:spacing w:after="160" w:line="240" w:lineRule="exact"/>
      <w:jc w:val="left"/>
    </w:pPr>
  </w:style>
  <w:style w:type="paragraph" w:customStyle="1" w:styleId="56">
    <w:name w:val=" Char Char Char Char"/>
    <w:basedOn w:val="1"/>
    <w:uiPriority w:val="0"/>
    <w:rPr>
      <w:rFonts w:ascii="仿宋_GB2312" w:eastAsia="仿宋_GB2312"/>
      <w:b/>
      <w:sz w:val="32"/>
      <w:szCs w:val="3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theme/theme1.xml" Type="http://schemas.openxmlformats.org/officeDocument/2006/relationships/theme"/><Relationship Id="rId9" Target="numbering.xml" Type="http://schemas.openxmlformats.org/officeDocument/2006/relationships/numberi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76</Pages>
  <Words>7865</Words>
  <Characters>44836</Characters>
  <Lines>373</Lines>
  <Paragraphs>105</Paragraphs>
  <TotalTime>0</TotalTime>
  <ScaleCrop>false</ScaleCrop>
  <LinksUpToDate>false</LinksUpToDate>
  <CharactersWithSpaces>52596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2000-02-13T08:39:00Z</dcterms:created>
  <dc:creator>guest</dc:creator>
  <cp:lastModifiedBy>＞眺望未来-</cp:lastModifiedBy>
  <cp:lastPrinted>2021-02-01T02:32:47Z</cp:lastPrinted>
  <dcterms:modified xsi:type="dcterms:W3CDTF">2024-01-31T02:18:00Z</dcterms:modified>
  <cp:revision>3</cp:revision>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D8365D472516447EA213E472A3B056EA_13</vt:lpwstr>
  </property>
</Properties>
</file>