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b/>
          <w:sz w:val="72"/>
        </w:rPr>
      </w:pPr>
      <w:bookmarkStart w:id="40" w:name="_GoBack"/>
      <w:bookmarkEnd w:id="40"/>
    </w:p>
    <w:p>
      <w:pPr>
        <w:spacing w:line="312" w:lineRule="auto"/>
        <w:jc w:val="center"/>
        <w:rPr>
          <w:rFonts w:hint="eastAsia"/>
          <w:b/>
          <w:sz w:val="72"/>
        </w:rPr>
      </w:pPr>
      <w:r>
        <w:rPr>
          <w:rFonts w:hint="eastAsia"/>
          <w:b/>
          <w:sz w:val="72"/>
        </w:rPr>
        <w:t>政府采购</w:t>
      </w:r>
    </w:p>
    <w:p>
      <w:pPr>
        <w:spacing w:line="312" w:lineRule="auto"/>
        <w:jc w:val="center"/>
        <w:rPr>
          <w:rFonts w:hint="eastAsia"/>
          <w:b/>
          <w:sz w:val="72"/>
        </w:rPr>
      </w:pPr>
      <w:r>
        <w:rPr>
          <w:rFonts w:hint="eastAsia"/>
          <w:b/>
          <w:sz w:val="72"/>
        </w:rPr>
        <w:t>招标文件</w:t>
      </w:r>
    </w:p>
    <w:p>
      <w:pPr>
        <w:spacing w:line="312" w:lineRule="auto"/>
        <w:jc w:val="center"/>
        <w:outlineLvl w:val="0"/>
        <w:rPr>
          <w:rFonts w:hint="eastAsia"/>
          <w:b/>
          <w:sz w:val="44"/>
        </w:rPr>
      </w:pPr>
    </w:p>
    <w:p>
      <w:pPr>
        <w:spacing w:line="312" w:lineRule="auto"/>
        <w:jc w:val="center"/>
        <w:outlineLvl w:val="0"/>
        <w:rPr>
          <w:rFonts w:hint="eastAsia"/>
          <w:b/>
          <w:sz w:val="44"/>
        </w:rPr>
      </w:pPr>
    </w:p>
    <w:p>
      <w:pPr>
        <w:spacing w:line="312" w:lineRule="auto"/>
        <w:jc w:val="center"/>
        <w:rPr>
          <w:rFonts w:hint="eastAsia"/>
          <w:b/>
          <w:sz w:val="44"/>
        </w:rPr>
      </w:pPr>
    </w:p>
    <w:p>
      <w:pPr>
        <w:spacing w:line="312" w:lineRule="auto"/>
        <w:jc w:val="center"/>
        <w:rPr>
          <w:rFonts w:hint="eastAsia"/>
          <w:b/>
          <w:sz w:val="44"/>
        </w:rPr>
      </w:pPr>
    </w:p>
    <w:p>
      <w:pPr>
        <w:spacing w:line="312" w:lineRule="auto"/>
        <w:ind w:right="-506"/>
        <w:rPr>
          <w:rFonts w:hint="eastAsia"/>
          <w:b/>
          <w:sz w:val="44"/>
        </w:rPr>
      </w:pPr>
      <w:r>
        <w:rPr>
          <w:rFonts w:hint="eastAsia"/>
          <w:b/>
          <w:sz w:val="44"/>
        </w:rPr>
        <w:t>招标编号：NBZFCG2020C037G</w:t>
      </w:r>
    </w:p>
    <w:p>
      <w:pPr>
        <w:ind w:left="2209" w:hanging="2209" w:hangingChars="500"/>
        <w:rPr>
          <w:rFonts w:hint="eastAsia"/>
          <w:b/>
          <w:sz w:val="44"/>
        </w:rPr>
      </w:pPr>
      <w:r>
        <w:rPr>
          <w:rFonts w:hint="eastAsia"/>
          <w:b/>
          <w:sz w:val="44"/>
        </w:rPr>
        <w:t xml:space="preserve">项目名称：宁波大学医学院附属医院保安服务项目              </w:t>
      </w:r>
      <w:r>
        <w:rPr>
          <w:b/>
          <w:sz w:val="44"/>
        </w:rPr>
        <w:t xml:space="preserve"> </w:t>
      </w:r>
    </w:p>
    <w:p>
      <w:pPr>
        <w:spacing w:line="312" w:lineRule="auto"/>
        <w:rPr>
          <w:rFonts w:hint="eastAsia"/>
          <w:b/>
          <w:sz w:val="44"/>
        </w:rPr>
      </w:pPr>
    </w:p>
    <w:p>
      <w:pPr>
        <w:tabs>
          <w:tab w:val="left" w:pos="7455"/>
        </w:tabs>
        <w:spacing w:line="312" w:lineRule="auto"/>
        <w:rPr>
          <w:rFonts w:hint="eastAsia"/>
          <w:b/>
          <w:sz w:val="44"/>
        </w:rPr>
      </w:pPr>
      <w:r>
        <w:rPr>
          <w:b/>
          <w:sz w:val="44"/>
        </w:rPr>
        <w:tab/>
      </w:r>
    </w:p>
    <w:p>
      <w:pPr>
        <w:tabs>
          <w:tab w:val="left" w:pos="7455"/>
        </w:tabs>
        <w:spacing w:line="312" w:lineRule="auto"/>
        <w:rPr>
          <w:rFonts w:hint="eastAsia"/>
          <w:b/>
          <w:sz w:val="44"/>
        </w:rPr>
      </w:pPr>
    </w:p>
    <w:p>
      <w:pPr>
        <w:tabs>
          <w:tab w:val="left" w:pos="7455"/>
        </w:tabs>
        <w:spacing w:line="312" w:lineRule="auto"/>
        <w:rPr>
          <w:rFonts w:hint="eastAsia"/>
          <w:b/>
          <w:sz w:val="44"/>
        </w:rPr>
      </w:pPr>
    </w:p>
    <w:p>
      <w:pPr>
        <w:tabs>
          <w:tab w:val="left" w:pos="7455"/>
        </w:tabs>
        <w:spacing w:line="312" w:lineRule="auto"/>
        <w:rPr>
          <w:rFonts w:hint="eastAsia"/>
          <w:b/>
          <w:sz w:val="44"/>
        </w:rPr>
      </w:pPr>
    </w:p>
    <w:p>
      <w:pPr>
        <w:tabs>
          <w:tab w:val="left" w:pos="7455"/>
        </w:tabs>
        <w:spacing w:line="312" w:lineRule="auto"/>
        <w:rPr>
          <w:rFonts w:hint="eastAsia"/>
          <w:b/>
          <w:sz w:val="44"/>
        </w:rPr>
      </w:pPr>
    </w:p>
    <w:p>
      <w:pPr>
        <w:tabs>
          <w:tab w:val="left" w:pos="7455"/>
        </w:tabs>
        <w:spacing w:line="312" w:lineRule="auto"/>
        <w:rPr>
          <w:rFonts w:hint="eastAsia"/>
          <w:b/>
          <w:sz w:val="44"/>
        </w:rPr>
      </w:pPr>
    </w:p>
    <w:p>
      <w:pPr>
        <w:spacing w:line="312" w:lineRule="auto"/>
        <w:jc w:val="center"/>
        <w:rPr>
          <w:rFonts w:hint="eastAsia"/>
          <w:b/>
          <w:sz w:val="44"/>
        </w:rPr>
      </w:pPr>
      <w:r>
        <w:rPr>
          <w:rFonts w:hint="eastAsia"/>
          <w:b/>
          <w:sz w:val="44"/>
        </w:rPr>
        <w:t>宁波市政府采购中心</w:t>
      </w:r>
    </w:p>
    <w:p>
      <w:pPr>
        <w:jc w:val="center"/>
        <w:rPr>
          <w:rFonts w:hint="eastAsia" w:ascii="黑体" w:eastAsia="黑体"/>
          <w:b/>
          <w:snapToGrid w:val="0"/>
          <w:kern w:val="0"/>
          <w:sz w:val="36"/>
        </w:rPr>
      </w:pPr>
      <w:r>
        <w:rPr>
          <w:rFonts w:hint="eastAsia" w:ascii="黑体" w:eastAsia="黑体"/>
          <w:snapToGrid w:val="0"/>
          <w:kern w:val="0"/>
          <w:sz w:val="36"/>
        </w:rPr>
        <w:t>2020年9月</w:t>
      </w:r>
    </w:p>
    <w:p>
      <w:pPr>
        <w:pStyle w:val="17"/>
        <w:spacing w:before="120" w:after="120"/>
        <w:jc w:val="both"/>
      </w:pPr>
    </w:p>
    <w:p>
      <w:pPr>
        <w:pStyle w:val="6"/>
        <w:spacing w:before="78" w:after="78"/>
        <w:jc w:val="center"/>
        <w:rPr>
          <w:rFonts w:hint="eastAsia"/>
        </w:rPr>
      </w:pPr>
    </w:p>
    <w:p>
      <w:pPr>
        <w:spacing w:line="420" w:lineRule="exact"/>
        <w:ind w:firstLine="723" w:firstLineChars="200"/>
        <w:jc w:val="center"/>
        <w:textAlignment w:val="top"/>
        <w:rPr>
          <w:rFonts w:hint="eastAsia" w:ascii="宋体"/>
          <w:b/>
          <w:sz w:val="36"/>
          <w:szCs w:val="36"/>
        </w:rPr>
      </w:pPr>
      <w:r>
        <w:rPr>
          <w:rFonts w:hint="eastAsia" w:ascii="宋体" w:hAnsi="宋体"/>
          <w:b/>
          <w:sz w:val="36"/>
          <w:szCs w:val="36"/>
        </w:rPr>
        <w:t>投</w:t>
      </w:r>
      <w:r>
        <w:rPr>
          <w:rFonts w:ascii="宋体" w:eastAsia="Times New Roman"/>
          <w:b/>
          <w:sz w:val="36"/>
          <w:szCs w:val="36"/>
        </w:rPr>
        <w:t>标邀请</w:t>
      </w:r>
    </w:p>
    <w:p>
      <w:pPr>
        <w:spacing w:line="420" w:lineRule="exact"/>
        <w:ind w:firstLine="723" w:firstLineChars="200"/>
        <w:jc w:val="center"/>
        <w:textAlignment w:val="top"/>
        <w:rPr>
          <w:rFonts w:hint="eastAsia" w:ascii="宋体"/>
          <w:b/>
          <w:sz w:val="36"/>
          <w:szCs w:val="36"/>
        </w:rPr>
      </w:pPr>
    </w:p>
    <w:p>
      <w:pPr>
        <w:spacing w:line="420" w:lineRule="exact"/>
        <w:ind w:firstLine="480" w:firstLineChars="200"/>
        <w:textAlignment w:val="top"/>
        <w:rPr>
          <w:rFonts w:ascii="宋体" w:hAnsi="宋体" w:cs="宋体"/>
          <w:sz w:val="24"/>
        </w:rPr>
      </w:pPr>
      <w:r>
        <w:rPr>
          <w:rFonts w:hint="eastAsia" w:ascii="宋体" w:hAnsi="宋体" w:cs="宋体"/>
          <w:sz w:val="24"/>
        </w:rPr>
        <w:t>宁波市政府采购中心就宁波大学医学院附属医院保安服务项目进行公开招标</w:t>
      </w:r>
      <w:r>
        <w:rPr>
          <w:rFonts w:ascii="宋体" w:hAnsi="宋体" w:cs="宋体"/>
          <w:sz w:val="24"/>
        </w:rPr>
        <w:t>，现邀请合格供应商参加投标。</w:t>
      </w:r>
    </w:p>
    <w:p>
      <w:pPr>
        <w:spacing w:line="420" w:lineRule="exact"/>
        <w:ind w:firstLine="480" w:firstLineChars="200"/>
        <w:textAlignment w:val="top"/>
        <w:rPr>
          <w:rFonts w:ascii="宋体" w:hAnsi="宋体" w:cs="宋体"/>
          <w:sz w:val="24"/>
        </w:rPr>
      </w:pPr>
      <w:r>
        <w:rPr>
          <w:rFonts w:hint="eastAsia" w:ascii="宋体" w:hAnsi="宋体" w:cs="宋体"/>
          <w:sz w:val="24"/>
        </w:rPr>
        <w:t>一、项目基本情况：</w:t>
      </w:r>
    </w:p>
    <w:p>
      <w:pPr>
        <w:spacing w:line="420" w:lineRule="exact"/>
        <w:ind w:firstLine="480" w:firstLineChars="200"/>
        <w:textAlignment w:val="top"/>
        <w:rPr>
          <w:rFonts w:hint="eastAsia" w:ascii="宋体" w:hAnsi="宋体" w:cs="宋体"/>
          <w:sz w:val="24"/>
        </w:rPr>
      </w:pPr>
      <w:r>
        <w:rPr>
          <w:rFonts w:hint="eastAsia" w:ascii="宋体" w:hAnsi="宋体" w:cs="宋体"/>
          <w:sz w:val="24"/>
        </w:rPr>
        <w:t>1、项目编号：</w:t>
      </w:r>
      <w:r>
        <w:rPr>
          <w:rFonts w:ascii="宋体" w:hAnsi="宋体" w:cs="宋体"/>
          <w:sz w:val="24"/>
        </w:rPr>
        <w:t>NBZFCG20</w:t>
      </w:r>
      <w:r>
        <w:rPr>
          <w:rFonts w:hint="eastAsia" w:ascii="宋体" w:hAnsi="宋体" w:cs="宋体"/>
          <w:sz w:val="24"/>
        </w:rPr>
        <w:t>20C037</w:t>
      </w:r>
      <w:r>
        <w:rPr>
          <w:rFonts w:ascii="宋体" w:hAnsi="宋体" w:cs="宋体"/>
          <w:sz w:val="24"/>
        </w:rPr>
        <w:t xml:space="preserve">G    </w:t>
      </w:r>
    </w:p>
    <w:p>
      <w:pPr>
        <w:spacing w:line="420" w:lineRule="exact"/>
        <w:ind w:firstLine="480" w:firstLineChars="200"/>
        <w:textAlignment w:val="top"/>
        <w:rPr>
          <w:rFonts w:ascii="宋体" w:hAnsi="宋体" w:cs="宋体"/>
          <w:sz w:val="24"/>
        </w:rPr>
      </w:pPr>
      <w:r>
        <w:rPr>
          <w:rFonts w:hint="eastAsia" w:ascii="宋体" w:hAnsi="宋体" w:cs="宋体"/>
          <w:sz w:val="24"/>
        </w:rPr>
        <w:t>2、项目名称：宁波大学医学院附属医院保安服务项目。</w:t>
      </w:r>
    </w:p>
    <w:p>
      <w:pPr>
        <w:spacing w:line="420" w:lineRule="exact"/>
        <w:ind w:firstLine="480" w:firstLineChars="200"/>
        <w:textAlignment w:val="top"/>
        <w:rPr>
          <w:rFonts w:ascii="宋体" w:hAnsi="宋体" w:cs="宋体"/>
          <w:sz w:val="24"/>
        </w:rPr>
      </w:pPr>
      <w:r>
        <w:rPr>
          <w:rFonts w:hint="eastAsia" w:ascii="宋体" w:hAnsi="宋体" w:cs="宋体"/>
          <w:sz w:val="24"/>
        </w:rPr>
        <w:t>3、采购预算（最高限价）：295万元</w:t>
      </w:r>
      <w:r>
        <w:rPr>
          <w:rFonts w:ascii="宋体" w:hAnsi="宋体" w:cs="宋体"/>
          <w:sz w:val="24"/>
        </w:rPr>
        <w:t>/</w:t>
      </w:r>
      <w:r>
        <w:rPr>
          <w:rFonts w:hint="eastAsia" w:ascii="宋体" w:hAnsi="宋体" w:cs="宋体"/>
          <w:sz w:val="24"/>
        </w:rPr>
        <w:t>年。</w:t>
      </w:r>
    </w:p>
    <w:p>
      <w:pPr>
        <w:spacing w:line="420" w:lineRule="exact"/>
        <w:ind w:firstLine="480" w:firstLineChars="200"/>
        <w:textAlignment w:val="top"/>
        <w:rPr>
          <w:rFonts w:hint="eastAsia" w:ascii="宋体" w:hAnsi="宋体" w:cs="宋体"/>
          <w:sz w:val="24"/>
        </w:rPr>
      </w:pPr>
      <w:r>
        <w:rPr>
          <w:rFonts w:hint="eastAsia" w:ascii="宋体" w:hAnsi="宋体" w:cs="宋体"/>
          <w:sz w:val="24"/>
        </w:rPr>
        <w:t>4、采购需求：宁波大学医学院附属医院保安服务项目，详见项目概述及要求。</w:t>
      </w:r>
    </w:p>
    <w:p>
      <w:pPr>
        <w:spacing w:line="420" w:lineRule="exact"/>
        <w:ind w:firstLine="480" w:firstLineChars="200"/>
        <w:textAlignment w:val="top"/>
        <w:rPr>
          <w:rFonts w:ascii="宋体" w:hAnsi="宋体" w:cs="宋体"/>
          <w:sz w:val="24"/>
        </w:rPr>
      </w:pPr>
      <w:r>
        <w:rPr>
          <w:rFonts w:hint="eastAsia" w:ascii="宋体" w:hAnsi="宋体" w:cs="宋体"/>
          <w:sz w:val="24"/>
        </w:rPr>
        <w:t>5、合同履行期限：一招三年，合同一年一签。</w:t>
      </w:r>
    </w:p>
    <w:p>
      <w:pPr>
        <w:spacing w:line="420" w:lineRule="exact"/>
        <w:ind w:firstLine="480" w:firstLineChars="200"/>
        <w:textAlignment w:val="top"/>
        <w:rPr>
          <w:rFonts w:ascii="宋体" w:hAnsi="宋体" w:cs="宋体"/>
          <w:sz w:val="24"/>
        </w:rPr>
      </w:pPr>
      <w:r>
        <w:rPr>
          <w:rFonts w:hint="eastAsia" w:ascii="宋体" w:hAnsi="宋体" w:cs="宋体"/>
          <w:sz w:val="24"/>
        </w:rPr>
        <w:t>6、联合体投标：不接受。</w:t>
      </w:r>
    </w:p>
    <w:p>
      <w:pPr>
        <w:spacing w:line="420" w:lineRule="exact"/>
        <w:ind w:firstLine="480" w:firstLineChars="200"/>
        <w:textAlignment w:val="top"/>
        <w:rPr>
          <w:rFonts w:ascii="宋体" w:hAnsi="宋体" w:cs="宋体"/>
          <w:sz w:val="24"/>
        </w:rPr>
      </w:pPr>
      <w:r>
        <w:rPr>
          <w:rFonts w:hint="eastAsia" w:ascii="宋体" w:hAnsi="宋体" w:cs="宋体"/>
          <w:sz w:val="24"/>
        </w:rPr>
        <w:t>二、投标人的资格要求：</w:t>
      </w:r>
    </w:p>
    <w:p>
      <w:pPr>
        <w:spacing w:line="420" w:lineRule="exact"/>
        <w:ind w:firstLine="480" w:firstLineChars="200"/>
        <w:textAlignment w:val="top"/>
        <w:rPr>
          <w:rFonts w:ascii="宋体" w:hAnsi="宋体" w:cs="宋体"/>
          <w:sz w:val="24"/>
        </w:rPr>
      </w:pPr>
      <w:r>
        <w:rPr>
          <w:rFonts w:hint="eastAsia" w:ascii="宋体" w:hAnsi="宋体" w:cs="宋体"/>
          <w:sz w:val="24"/>
        </w:rPr>
        <w:t>1、符合《政府采购法》第二十二条</w:t>
      </w:r>
      <w:r>
        <w:rPr>
          <w:rFonts w:ascii="宋体" w:hAnsi="宋体" w:cs="宋体"/>
          <w:sz w:val="24"/>
        </w:rPr>
        <w:t>的规定</w:t>
      </w:r>
      <w:r>
        <w:rPr>
          <w:rFonts w:hint="eastAsia" w:ascii="宋体" w:hAnsi="宋体" w:cs="宋体"/>
          <w:sz w:val="24"/>
        </w:rPr>
        <w:t>且未列入“www.creditchina.gov.cn、www.ccgp.gov.cn”网站失信被执行人、重大税收违法案件当事人名单、政府采购严重违法失信记录名单在禁止参加采购期限的供应商。</w:t>
      </w:r>
    </w:p>
    <w:p>
      <w:pPr>
        <w:spacing w:line="420" w:lineRule="exact"/>
        <w:ind w:firstLine="480" w:firstLineChars="200"/>
        <w:textAlignment w:val="top"/>
        <w:rPr>
          <w:rFonts w:ascii="宋体" w:hAnsi="宋体" w:cs="宋体"/>
          <w:sz w:val="24"/>
        </w:rPr>
      </w:pPr>
      <w:r>
        <w:rPr>
          <w:rFonts w:hint="eastAsia" w:ascii="宋体" w:hAnsi="宋体" w:cs="宋体"/>
          <w:sz w:val="24"/>
        </w:rPr>
        <w:t>2、特定资格要求：投标人具有公安机关核发的《保安服务许可证》。</w:t>
      </w:r>
    </w:p>
    <w:p>
      <w:pPr>
        <w:spacing w:line="420" w:lineRule="exact"/>
        <w:ind w:firstLine="480" w:firstLineChars="200"/>
        <w:textAlignment w:val="top"/>
        <w:rPr>
          <w:rFonts w:ascii="宋体" w:hAnsi="宋体" w:cs="宋体"/>
          <w:sz w:val="24"/>
        </w:rPr>
      </w:pPr>
      <w:r>
        <w:rPr>
          <w:rFonts w:hint="eastAsia" w:ascii="宋体" w:hAnsi="宋体" w:cs="宋体"/>
          <w:sz w:val="24"/>
        </w:rPr>
        <w:t>三、获取招标文件：请到浙江政府采购网(zfcg.czt.zj.gov.cn)或宁波政府采购网（www.nbzfcg.cn）免费下载电子文件。</w:t>
      </w:r>
    </w:p>
    <w:p>
      <w:pPr>
        <w:spacing w:line="420" w:lineRule="exact"/>
        <w:ind w:firstLine="480" w:firstLineChars="200"/>
        <w:textAlignment w:val="top"/>
        <w:rPr>
          <w:rFonts w:ascii="宋体" w:hAnsi="宋体" w:cs="宋体"/>
          <w:sz w:val="24"/>
        </w:rPr>
      </w:pPr>
      <w:r>
        <w:rPr>
          <w:rFonts w:hint="eastAsia" w:ascii="宋体" w:hAnsi="宋体" w:cs="宋体"/>
          <w:sz w:val="24"/>
        </w:rPr>
        <w:t>四、提交投标文件截止时间、开标时间和地点：</w:t>
      </w:r>
    </w:p>
    <w:p>
      <w:pPr>
        <w:spacing w:line="420" w:lineRule="exact"/>
        <w:ind w:firstLine="480" w:firstLineChars="200"/>
        <w:textAlignment w:val="top"/>
        <w:rPr>
          <w:rFonts w:ascii="宋体" w:hAnsi="宋体" w:cs="宋体"/>
          <w:sz w:val="24"/>
        </w:rPr>
      </w:pPr>
      <w:r>
        <w:rPr>
          <w:rFonts w:hint="eastAsia" w:ascii="宋体" w:hAnsi="宋体" w:cs="宋体"/>
          <w:sz w:val="24"/>
        </w:rPr>
        <w:t>时间：2020年10月29日9：3</w:t>
      </w:r>
      <w:r>
        <w:rPr>
          <w:rFonts w:ascii="宋体" w:hAnsi="宋体" w:cs="宋体"/>
          <w:sz w:val="24"/>
        </w:rPr>
        <w:t>0</w:t>
      </w:r>
      <w:r>
        <w:rPr>
          <w:rFonts w:hint="eastAsia" w:ascii="宋体" w:hAnsi="宋体" w:cs="宋体"/>
          <w:sz w:val="24"/>
        </w:rPr>
        <w:t>。</w:t>
      </w:r>
    </w:p>
    <w:p>
      <w:pPr>
        <w:spacing w:line="420" w:lineRule="exact"/>
        <w:ind w:firstLine="480" w:firstLineChars="200"/>
        <w:textAlignment w:val="top"/>
        <w:rPr>
          <w:rFonts w:ascii="宋体" w:hAnsi="宋体" w:cs="宋体"/>
          <w:sz w:val="24"/>
        </w:rPr>
      </w:pPr>
      <w:r>
        <w:rPr>
          <w:rFonts w:hint="eastAsia" w:ascii="宋体" w:hAnsi="宋体" w:cs="宋体"/>
          <w:sz w:val="24"/>
        </w:rPr>
        <w:t>地点：宁波市鄞州区宁穿路1901号市行政服务中心四楼开标区（具体场所安排详见电子指示屏幕）。</w:t>
      </w:r>
    </w:p>
    <w:p>
      <w:pPr>
        <w:spacing w:line="420" w:lineRule="exact"/>
        <w:ind w:firstLine="480" w:firstLineChars="200"/>
        <w:textAlignment w:val="top"/>
        <w:rPr>
          <w:rFonts w:ascii="宋体" w:hAnsi="宋体" w:cs="宋体"/>
          <w:sz w:val="24"/>
        </w:rPr>
      </w:pPr>
      <w:r>
        <w:rPr>
          <w:rFonts w:hint="eastAsia" w:ascii="宋体" w:hAnsi="宋体" w:cs="宋体"/>
          <w:sz w:val="24"/>
        </w:rPr>
        <w:t>五、公告期限：自公告之日起5个工作日。</w:t>
      </w:r>
    </w:p>
    <w:p>
      <w:pPr>
        <w:spacing w:line="420" w:lineRule="exact"/>
        <w:ind w:firstLine="480" w:firstLineChars="200"/>
        <w:textAlignment w:val="top"/>
        <w:rPr>
          <w:rFonts w:ascii="宋体" w:hAnsi="宋体" w:cs="宋体"/>
          <w:sz w:val="24"/>
        </w:rPr>
      </w:pPr>
      <w:r>
        <w:rPr>
          <w:rFonts w:hint="eastAsia" w:ascii="宋体" w:hAnsi="宋体" w:cs="宋体"/>
          <w:sz w:val="24"/>
        </w:rPr>
        <w:t>六、其他补充事项：1、参加投标的供应商请于投标截止时间前在浙江政府采购网(zfcg.czt.zj.gov.cn)完成供应商注册。</w:t>
      </w:r>
    </w:p>
    <w:p>
      <w:pPr>
        <w:spacing w:line="420" w:lineRule="exact"/>
        <w:ind w:firstLine="480" w:firstLineChars="200"/>
        <w:textAlignment w:val="top"/>
        <w:rPr>
          <w:rFonts w:ascii="宋体" w:hAnsi="宋体" w:cs="宋体"/>
          <w:sz w:val="24"/>
        </w:rPr>
      </w:pPr>
      <w:r>
        <w:rPr>
          <w:rFonts w:hint="eastAsia" w:ascii="宋体" w:hAnsi="宋体" w:cs="宋体"/>
          <w:sz w:val="24"/>
        </w:rPr>
        <w:t>七、对本次采购提出询问，请按以下方式联系：</w:t>
      </w:r>
    </w:p>
    <w:p>
      <w:pPr>
        <w:spacing w:line="420" w:lineRule="exact"/>
        <w:ind w:firstLine="480" w:firstLineChars="200"/>
        <w:textAlignment w:val="top"/>
        <w:rPr>
          <w:rFonts w:ascii="宋体" w:hAnsi="宋体" w:cs="宋体"/>
          <w:sz w:val="24"/>
        </w:rPr>
      </w:pPr>
      <w:r>
        <w:rPr>
          <w:rFonts w:hint="eastAsia" w:ascii="宋体" w:hAnsi="宋体" w:cs="宋体"/>
          <w:sz w:val="24"/>
        </w:rPr>
        <w:t>1、</w:t>
      </w:r>
      <w:r>
        <w:rPr>
          <w:rFonts w:ascii="宋体" w:hAnsi="宋体" w:cs="宋体"/>
          <w:sz w:val="24"/>
        </w:rPr>
        <w:t>采购机构：宁波市政府采购中心</w:t>
      </w:r>
    </w:p>
    <w:p>
      <w:pPr>
        <w:spacing w:line="420" w:lineRule="exact"/>
        <w:ind w:firstLine="480" w:firstLineChars="200"/>
        <w:textAlignment w:val="top"/>
        <w:rPr>
          <w:rFonts w:ascii="宋体" w:hAnsi="宋体" w:cs="宋体"/>
          <w:sz w:val="24"/>
        </w:rPr>
      </w:pPr>
      <w:r>
        <w:rPr>
          <w:rFonts w:ascii="宋体" w:hAnsi="宋体" w:cs="宋体"/>
          <w:sz w:val="24"/>
        </w:rPr>
        <w:t>联系人：</w:t>
      </w:r>
      <w:r>
        <w:rPr>
          <w:rFonts w:hint="eastAsia" w:ascii="宋体" w:hAnsi="宋体" w:cs="宋体"/>
          <w:sz w:val="24"/>
        </w:rPr>
        <w:t>陈</w:t>
      </w:r>
      <w:r>
        <w:rPr>
          <w:rFonts w:ascii="宋体" w:hAnsi="宋体" w:cs="宋体"/>
          <w:sz w:val="24"/>
        </w:rPr>
        <w:t>先生，电话：</w:t>
      </w:r>
      <w:r>
        <w:rPr>
          <w:rFonts w:hint="eastAsia" w:ascii="宋体" w:hAnsi="宋体" w:cs="宋体"/>
          <w:sz w:val="24"/>
        </w:rPr>
        <w:t>0574-</w:t>
      </w:r>
      <w:r>
        <w:rPr>
          <w:rFonts w:ascii="宋体" w:hAnsi="宋体" w:cs="宋体"/>
          <w:sz w:val="24"/>
        </w:rPr>
        <w:t>8718795</w:t>
      </w:r>
      <w:r>
        <w:rPr>
          <w:rFonts w:hint="eastAsia" w:ascii="宋体" w:hAnsi="宋体" w:cs="宋体"/>
          <w:sz w:val="24"/>
        </w:rPr>
        <w:t xml:space="preserve">9  </w:t>
      </w:r>
      <w:r>
        <w:rPr>
          <w:rFonts w:ascii="宋体" w:hAnsi="宋体" w:cs="宋体"/>
          <w:sz w:val="24"/>
        </w:rPr>
        <w:t>传真：</w:t>
      </w:r>
      <w:r>
        <w:rPr>
          <w:rFonts w:hint="eastAsia" w:ascii="宋体" w:hAnsi="宋体" w:cs="宋体"/>
          <w:sz w:val="24"/>
        </w:rPr>
        <w:t>0574-</w:t>
      </w:r>
      <w:r>
        <w:rPr>
          <w:rFonts w:ascii="宋体" w:hAnsi="宋体" w:cs="宋体"/>
          <w:sz w:val="24"/>
        </w:rPr>
        <w:t xml:space="preserve">87187961    </w:t>
      </w:r>
    </w:p>
    <w:p>
      <w:pPr>
        <w:spacing w:line="420" w:lineRule="exact"/>
        <w:ind w:firstLine="480" w:firstLineChars="200"/>
        <w:textAlignment w:val="top"/>
        <w:rPr>
          <w:rFonts w:ascii="宋体" w:hAnsi="宋体" w:cs="宋体"/>
          <w:sz w:val="24"/>
        </w:rPr>
      </w:pPr>
      <w:r>
        <w:rPr>
          <w:rFonts w:ascii="宋体" w:hAnsi="宋体" w:cs="宋体"/>
          <w:sz w:val="24"/>
        </w:rPr>
        <w:t>地址: 宁波市鄞州区宁穿路1901号市行政服务中心五楼</w:t>
      </w:r>
    </w:p>
    <w:p>
      <w:pPr>
        <w:spacing w:line="420" w:lineRule="exact"/>
        <w:ind w:firstLine="480" w:firstLineChars="200"/>
        <w:textAlignment w:val="top"/>
        <w:rPr>
          <w:rFonts w:ascii="宋体" w:hAnsi="仿宋_GB2312" w:eastAsia="仿宋_GB2312"/>
          <w:sz w:val="24"/>
        </w:rPr>
      </w:pPr>
      <w:r>
        <w:rPr>
          <w:rFonts w:hint="eastAsia" w:ascii="宋体" w:hAnsi="宋体" w:cs="宋体"/>
          <w:sz w:val="24"/>
        </w:rPr>
        <w:t>2、采购人：宁波大学医学院附属医院，地址：宁波市江北区人民路247号，联系方式：卜老师/</w:t>
      </w:r>
      <w:r>
        <w:rPr>
          <w:rFonts w:ascii="宋体" w:hAnsi="宋体" w:cs="宋体"/>
          <w:sz w:val="24"/>
        </w:rPr>
        <w:t>0574-87035562</w:t>
      </w:r>
      <w:r>
        <w:rPr>
          <w:rFonts w:hint="eastAsia" w:ascii="宋体" w:hAnsi="宋体" w:cs="宋体"/>
          <w:sz w:val="24"/>
        </w:rPr>
        <w:t>。</w:t>
      </w:r>
    </w:p>
    <w:p>
      <w:pPr>
        <w:snapToGrid w:val="0"/>
        <w:spacing w:line="480" w:lineRule="exact"/>
        <w:jc w:val="center"/>
        <w:rPr>
          <w:rFonts w:hint="eastAsia" w:ascii="宋体" w:hAnsi="宋体" w:cs="宋体"/>
          <w:b/>
          <w:sz w:val="48"/>
          <w:szCs w:val="48"/>
        </w:rPr>
      </w:pPr>
      <w:r>
        <w:rPr>
          <w:rFonts w:ascii="宋体" w:eastAsia="Times New Roman"/>
          <w:sz w:val="24"/>
        </w:rPr>
        <w:br w:type="page"/>
      </w:r>
      <w:r>
        <w:rPr>
          <w:rFonts w:hint="eastAsia" w:ascii="宋体" w:hAnsi="宋体"/>
          <w:b/>
          <w:sz w:val="48"/>
          <w:szCs w:val="48"/>
        </w:rPr>
        <w:t>第一章招标项目概述及要求</w:t>
      </w:r>
    </w:p>
    <w:p>
      <w:pPr>
        <w:spacing w:line="600" w:lineRule="auto"/>
        <w:jc w:val="center"/>
        <w:rPr>
          <w:rFonts w:hint="eastAsia"/>
          <w:b/>
          <w:bCs/>
          <w:sz w:val="32"/>
          <w:szCs w:val="32"/>
        </w:rPr>
      </w:pPr>
    </w:p>
    <w:p>
      <w:pPr>
        <w:tabs>
          <w:tab w:val="left" w:pos="2520"/>
        </w:tabs>
        <w:ind w:left="1" w:hanging="1"/>
        <w:rPr>
          <w:rFonts w:hint="eastAsia"/>
          <w:b/>
          <w:sz w:val="28"/>
        </w:rPr>
      </w:pPr>
      <w:r>
        <w:rPr>
          <w:rFonts w:hint="eastAsia"/>
          <w:b/>
          <w:sz w:val="32"/>
        </w:rPr>
        <w:t>特别申明</w:t>
      </w:r>
      <w:r>
        <w:rPr>
          <w:rFonts w:hint="eastAsia"/>
          <w:b/>
          <w:sz w:val="28"/>
        </w:rPr>
        <w:t>：</w:t>
      </w:r>
    </w:p>
    <w:p>
      <w:pPr>
        <w:numPr>
          <w:ilvl w:val="0"/>
          <w:numId w:val="1"/>
        </w:numPr>
        <w:tabs>
          <w:tab w:val="left" w:pos="2520"/>
        </w:tabs>
        <w:ind w:left="1" w:hanging="1"/>
        <w:rPr>
          <w:rFonts w:hint="eastAsia"/>
          <w:b/>
          <w:sz w:val="24"/>
        </w:rPr>
      </w:pPr>
      <w:r>
        <w:rPr>
          <w:rFonts w:hint="eastAsia"/>
          <w:b/>
          <w:sz w:val="24"/>
        </w:rPr>
        <w:t>任何违反《政府采购法实施条例》第20条规定的要求均为无效采购需求。</w:t>
      </w:r>
    </w:p>
    <w:p>
      <w:pPr>
        <w:numPr>
          <w:ilvl w:val="0"/>
          <w:numId w:val="1"/>
        </w:numPr>
        <w:tabs>
          <w:tab w:val="left" w:pos="2520"/>
        </w:tabs>
        <w:ind w:left="1" w:hanging="1"/>
        <w:rPr>
          <w:rFonts w:hint="eastAsia"/>
          <w:b/>
          <w:sz w:val="24"/>
        </w:rPr>
      </w:pPr>
      <w:r>
        <w:rPr>
          <w:rFonts w:hint="eastAsia"/>
          <w:b/>
          <w:sz w:val="24"/>
        </w:rPr>
        <w:t>不得将注册资金、资产总额、营业收入、从业人员、利润、纳税额等供应商规模条件作为资格要求或者评审因素，不得将除进口产品以外的生产厂家的授权、承诺、证明、背书等作为资格要求。</w:t>
      </w:r>
    </w:p>
    <w:p>
      <w:pPr>
        <w:numPr>
          <w:ilvl w:val="0"/>
          <w:numId w:val="1"/>
        </w:numPr>
        <w:jc w:val="left"/>
        <w:rPr>
          <w:rFonts w:ascii="宋体" w:hAnsi="宋体"/>
          <w:b/>
          <w:bCs/>
          <w:sz w:val="24"/>
        </w:rPr>
      </w:pPr>
      <w:r>
        <w:rPr>
          <w:rFonts w:hint="eastAsia" w:ascii="宋体" w:hAnsi="宋体"/>
          <w:b/>
          <w:bCs/>
          <w:sz w:val="24"/>
        </w:rPr>
        <w:t>招标文件提供的数据资料仅为投标参考使用，详细信息投标方应实地踏勘现场调查核实，中标后，供应商不得以不完全了解施工现场和周围环境情况为借口，提出额外补偿的要求！</w:t>
      </w:r>
    </w:p>
    <w:p>
      <w:pPr>
        <w:numPr>
          <w:ilvl w:val="0"/>
          <w:numId w:val="1"/>
        </w:numPr>
        <w:jc w:val="left"/>
        <w:rPr>
          <w:rFonts w:hint="eastAsia" w:ascii="宋体" w:hAnsi="宋体"/>
          <w:b/>
          <w:bCs/>
          <w:sz w:val="24"/>
        </w:rPr>
      </w:pPr>
      <w:r>
        <w:rPr>
          <w:rFonts w:hint="eastAsia" w:ascii="宋体" w:hAnsi="宋体"/>
          <w:b/>
          <w:bCs/>
          <w:sz w:val="24"/>
        </w:rPr>
        <w:t>招标文件要求合同复印件、资质、证明等信息复印件需盖章编制到投标书中。</w:t>
      </w:r>
    </w:p>
    <w:p>
      <w:pPr>
        <w:numPr>
          <w:ilvl w:val="0"/>
          <w:numId w:val="1"/>
        </w:numPr>
        <w:jc w:val="left"/>
        <w:rPr>
          <w:rFonts w:hint="eastAsia" w:ascii="宋体" w:hAnsi="宋体"/>
          <w:b/>
          <w:bCs/>
          <w:sz w:val="24"/>
        </w:rPr>
      </w:pPr>
      <w:r>
        <w:rPr>
          <w:rFonts w:hint="eastAsia" w:ascii="宋体" w:hAnsi="宋体"/>
          <w:b/>
          <w:bCs/>
          <w:sz w:val="24"/>
        </w:rPr>
        <w:t>投标人应列出报价的明细构成表，并附上每项报价的计算方法、过程及依据。</w:t>
      </w:r>
    </w:p>
    <w:p>
      <w:pPr>
        <w:spacing w:line="600" w:lineRule="auto"/>
        <w:jc w:val="center"/>
        <w:rPr>
          <w:rFonts w:hint="eastAsia"/>
          <w:b/>
          <w:bCs/>
          <w:sz w:val="32"/>
          <w:szCs w:val="32"/>
        </w:rPr>
      </w:pPr>
    </w:p>
    <w:p>
      <w:pPr>
        <w:spacing w:line="600" w:lineRule="auto"/>
        <w:jc w:val="center"/>
        <w:rPr>
          <w:rFonts w:hint="eastAsia"/>
          <w:b/>
          <w:bCs/>
          <w:sz w:val="32"/>
          <w:szCs w:val="32"/>
        </w:rPr>
      </w:pPr>
    </w:p>
    <w:p>
      <w:pPr>
        <w:spacing w:line="600" w:lineRule="auto"/>
        <w:jc w:val="center"/>
        <w:rPr>
          <w:rFonts w:eastAsia="黑体"/>
          <w:b/>
          <w:bCs/>
          <w:sz w:val="32"/>
          <w:szCs w:val="32"/>
        </w:rPr>
      </w:pPr>
      <w:r>
        <w:rPr>
          <w:rFonts w:hint="eastAsia"/>
          <w:b/>
          <w:bCs/>
          <w:sz w:val="32"/>
          <w:szCs w:val="32"/>
        </w:rPr>
        <w:t>一、项目概况</w:t>
      </w:r>
    </w:p>
    <w:p>
      <w:pPr>
        <w:spacing w:line="480" w:lineRule="auto"/>
        <w:ind w:firstLine="587" w:firstLineChars="195"/>
        <w:rPr>
          <w:b/>
          <w:bCs/>
          <w:sz w:val="30"/>
          <w:szCs w:val="30"/>
        </w:rPr>
      </w:pPr>
      <w:r>
        <w:rPr>
          <w:rFonts w:hint="eastAsia" w:cs="宋体"/>
          <w:b/>
          <w:bCs/>
          <w:sz w:val="30"/>
          <w:szCs w:val="30"/>
        </w:rPr>
        <w:t>（一）项目概况</w:t>
      </w:r>
    </w:p>
    <w:p>
      <w:pPr>
        <w:spacing w:line="360" w:lineRule="auto"/>
        <w:ind w:firstLine="480" w:firstLineChars="200"/>
        <w:rPr>
          <w:rFonts w:ascii="宋体" w:hAnsi="宋体" w:cs="仿宋"/>
          <w:sz w:val="24"/>
        </w:rPr>
      </w:pPr>
      <w:r>
        <w:rPr>
          <w:rFonts w:hint="eastAsia" w:ascii="宋体" w:hAnsi="宋体" w:cs="仿宋"/>
          <w:sz w:val="24"/>
        </w:rPr>
        <w:t>医院概况：宁波大学医学院附属医院的前身是宁波市第三医院，创建于1951年5月，是一所集医疗、教学、科研及预防保健为一体的三级甲等综合医院、省文明医院、爱婴医院、平安医院、绿色医院、国际紧急救援中心网络医院、卫生部内镜专业技术培训基地、宁波市职业病医疗救治中心、中国医师协会妇科专家会诊中心、中华医学会糖尿病分会糖尿病教育管理认证单位。医院占地面积 21756 平方米，建筑面积 64084  平方米，医疗用房 56054  平方米，现核定床位1100 张，实际开放 1100张。</w:t>
      </w:r>
    </w:p>
    <w:p>
      <w:pPr>
        <w:spacing w:line="600" w:lineRule="auto"/>
        <w:jc w:val="center"/>
        <w:rPr>
          <w:b/>
          <w:bCs/>
          <w:sz w:val="32"/>
          <w:szCs w:val="32"/>
        </w:rPr>
      </w:pPr>
      <w:r>
        <w:rPr>
          <w:rFonts w:hint="eastAsia"/>
          <w:b/>
          <w:bCs/>
          <w:sz w:val="32"/>
          <w:szCs w:val="32"/>
        </w:rPr>
        <w:t>二、管理服务内容及要求</w:t>
      </w:r>
    </w:p>
    <w:p>
      <w:pPr>
        <w:spacing w:line="480" w:lineRule="auto"/>
        <w:ind w:firstLine="587" w:firstLineChars="195"/>
        <w:rPr>
          <w:rFonts w:cs="宋体"/>
          <w:b/>
          <w:bCs/>
          <w:sz w:val="30"/>
          <w:szCs w:val="30"/>
        </w:rPr>
      </w:pPr>
      <w:r>
        <w:rPr>
          <w:rFonts w:hint="eastAsia" w:cs="宋体"/>
          <w:b/>
          <w:bCs/>
          <w:sz w:val="30"/>
          <w:szCs w:val="30"/>
        </w:rPr>
        <w:t>（一）委托管理范围</w:t>
      </w:r>
    </w:p>
    <w:p>
      <w:pPr>
        <w:spacing w:line="360" w:lineRule="auto"/>
        <w:ind w:firstLine="480" w:firstLineChars="200"/>
        <w:rPr>
          <w:rFonts w:hint="eastAsia" w:ascii="宋体" w:hAnsi="宋体" w:cs="仿宋"/>
          <w:sz w:val="24"/>
        </w:rPr>
      </w:pPr>
      <w:r>
        <w:rPr>
          <w:rFonts w:hint="eastAsia" w:ascii="宋体" w:hAnsi="宋体" w:cs="仿宋"/>
          <w:sz w:val="24"/>
        </w:rPr>
        <w:t>1、维护医院就医秩序、排查安全隐患，做好医院内部安全保卫工作，有效应对医院内突发事件、群体性事件的应急处置等；</w:t>
      </w:r>
    </w:p>
    <w:p>
      <w:pPr>
        <w:spacing w:line="360" w:lineRule="auto"/>
        <w:ind w:firstLine="480" w:firstLineChars="200"/>
        <w:rPr>
          <w:rFonts w:ascii="宋体" w:hAnsi="宋体" w:cs="仿宋"/>
          <w:sz w:val="24"/>
        </w:rPr>
      </w:pPr>
      <w:r>
        <w:rPr>
          <w:rFonts w:hint="eastAsia" w:ascii="宋体" w:hAnsi="宋体" w:cs="仿宋"/>
          <w:sz w:val="24"/>
        </w:rPr>
        <w:t>2、全院消防安全巡逻、隐患排查，微型消防站工作；</w:t>
      </w:r>
    </w:p>
    <w:p>
      <w:pPr>
        <w:spacing w:line="360" w:lineRule="auto"/>
        <w:ind w:firstLine="480" w:firstLineChars="200"/>
        <w:rPr>
          <w:rFonts w:hint="eastAsia" w:ascii="宋体" w:hAnsi="宋体" w:cs="仿宋"/>
          <w:sz w:val="24"/>
        </w:rPr>
      </w:pPr>
      <w:r>
        <w:rPr>
          <w:rFonts w:hint="eastAsia" w:ascii="宋体" w:hAnsi="宋体" w:cs="仿宋"/>
          <w:sz w:val="24"/>
        </w:rPr>
        <w:t>3、车辆协助指挥，门卫（含收发）、消控。</w:t>
      </w:r>
    </w:p>
    <w:p>
      <w:pPr>
        <w:spacing w:line="480" w:lineRule="auto"/>
        <w:ind w:firstLine="587" w:firstLineChars="195"/>
        <w:rPr>
          <w:rFonts w:hint="eastAsia"/>
          <w:b/>
          <w:bCs/>
          <w:sz w:val="24"/>
        </w:rPr>
      </w:pPr>
      <w:r>
        <w:rPr>
          <w:rFonts w:hint="eastAsia" w:cs="宋体"/>
          <w:b/>
          <w:bCs/>
          <w:sz w:val="30"/>
          <w:szCs w:val="30"/>
        </w:rPr>
        <w:t>（二）委托管理期限</w:t>
      </w:r>
    </w:p>
    <w:p>
      <w:pPr>
        <w:spacing w:line="360" w:lineRule="auto"/>
        <w:ind w:firstLine="480" w:firstLineChars="200"/>
        <w:rPr>
          <w:rFonts w:hint="eastAsia" w:ascii="宋体" w:hAnsi="宋体" w:cs="仿宋"/>
          <w:sz w:val="24"/>
        </w:rPr>
      </w:pPr>
      <w:r>
        <w:rPr>
          <w:rFonts w:ascii="宋体" w:hAnsi="宋体" w:cs="仿宋"/>
          <w:sz w:val="24"/>
        </w:rPr>
        <w:t>委托管理期限为：三年。</w:t>
      </w:r>
    </w:p>
    <w:p>
      <w:pPr>
        <w:spacing w:line="480" w:lineRule="auto"/>
        <w:ind w:firstLine="587" w:firstLineChars="195"/>
        <w:rPr>
          <w:rFonts w:cs="宋体"/>
          <w:b/>
          <w:bCs/>
          <w:sz w:val="30"/>
          <w:szCs w:val="30"/>
        </w:rPr>
      </w:pPr>
      <w:r>
        <w:rPr>
          <w:rFonts w:hint="eastAsia" w:cs="宋体"/>
          <w:b/>
          <w:bCs/>
          <w:sz w:val="30"/>
          <w:szCs w:val="30"/>
        </w:rPr>
        <w:t>（三）总体服务要求</w:t>
      </w:r>
    </w:p>
    <w:p>
      <w:pPr>
        <w:spacing w:line="360" w:lineRule="auto"/>
        <w:ind w:firstLine="480" w:firstLineChars="200"/>
        <w:rPr>
          <w:rFonts w:ascii="宋体" w:hAnsi="宋体" w:cs="仿宋"/>
          <w:sz w:val="24"/>
        </w:rPr>
      </w:pPr>
      <w:r>
        <w:rPr>
          <w:rFonts w:ascii="宋体" w:hAnsi="宋体" w:cs="仿宋"/>
          <w:sz w:val="24"/>
        </w:rPr>
        <w:t>1</w:t>
      </w:r>
      <w:r>
        <w:rPr>
          <w:rFonts w:hint="eastAsia" w:ascii="宋体" w:hAnsi="宋体" w:cs="仿宋"/>
          <w:sz w:val="24"/>
        </w:rPr>
        <w:t>、工作目标：无管理原因造成治安案件和火灾发生，医院秩序井然有序；执行无烟医院规定，完成医院特殊情况下的安全保卫任务；安保、消防工作符合《浙江省平安医院评审标准》。</w:t>
      </w:r>
    </w:p>
    <w:p>
      <w:pPr>
        <w:spacing w:line="360" w:lineRule="auto"/>
        <w:ind w:firstLine="480" w:firstLineChars="200"/>
        <w:rPr>
          <w:rFonts w:hint="eastAsia" w:ascii="宋体" w:hAnsi="宋体" w:cs="仿宋"/>
          <w:sz w:val="24"/>
        </w:rPr>
      </w:pPr>
      <w:r>
        <w:rPr>
          <w:rFonts w:ascii="宋体" w:hAnsi="宋体" w:cs="仿宋"/>
          <w:sz w:val="24"/>
        </w:rPr>
        <w:t>2</w:t>
      </w:r>
      <w:r>
        <w:rPr>
          <w:rFonts w:hint="eastAsia" w:ascii="宋体" w:hAnsi="宋体" w:cs="仿宋"/>
          <w:sz w:val="24"/>
        </w:rPr>
        <w:t>、工作要求：建立安全保卫工作制度，以</w:t>
      </w:r>
      <w:r>
        <w:rPr>
          <w:rFonts w:ascii="宋体" w:hAnsi="宋体" w:cs="仿宋"/>
          <w:sz w:val="24"/>
        </w:rPr>
        <w:t>ISO9001</w:t>
      </w:r>
      <w:r>
        <w:rPr>
          <w:rFonts w:hint="eastAsia" w:ascii="宋体" w:hAnsi="宋体" w:cs="仿宋"/>
          <w:sz w:val="24"/>
        </w:rPr>
        <w:t>质量管理体系有关标准和法律法规为依据，建立健全切实可行且符合医院安全特色的保安管理制度；制订安保人员岗位责任书，建立安全检查制度，发现问题及时整改；建立消防培训制度，定期开展消防培训，使安保人员熟悉灭火器、消火栓的使用方法，熟悉灭火预案、人员疏散方案，开展灭火逃生应急演练；制定防盗、安全、消防、医疗纠纷等特发性事件的应急管理预案；所有人员持证上岗；所有保安员都是义务消防队员和微型消防站队员。</w:t>
      </w:r>
    </w:p>
    <w:p>
      <w:pPr>
        <w:spacing w:line="360" w:lineRule="auto"/>
        <w:ind w:firstLine="480" w:firstLineChars="200"/>
        <w:rPr>
          <w:rFonts w:ascii="宋体" w:hAnsi="宋体" w:cs="仿宋"/>
          <w:sz w:val="24"/>
        </w:rPr>
      </w:pPr>
      <w:r>
        <w:rPr>
          <w:rFonts w:hint="eastAsia" w:ascii="宋体" w:hAnsi="宋体" w:cs="仿宋"/>
          <w:sz w:val="24"/>
        </w:rPr>
        <w:t>3、应按照医院岗位工作要求合理安排保安人员（目前保安岗位人员配置57名）。医院实行三班二运转的工作制度。</w:t>
      </w:r>
    </w:p>
    <w:p>
      <w:pPr>
        <w:spacing w:line="360" w:lineRule="auto"/>
        <w:ind w:firstLine="480" w:firstLineChars="200"/>
        <w:rPr>
          <w:rFonts w:hint="eastAsia" w:ascii="宋体" w:hAnsi="宋体" w:cs="仿宋"/>
          <w:sz w:val="24"/>
        </w:rPr>
      </w:pPr>
      <w:r>
        <w:rPr>
          <w:rFonts w:hint="eastAsia" w:ascii="宋体" w:hAnsi="宋体" w:cs="仿宋"/>
          <w:sz w:val="24"/>
        </w:rPr>
        <w:t>4、保安服务人员要求：主要管理人员(2名保安队长，3名运行班班长，1名门诊班长，1名特勤班长)不少于80%为本地人（宁波大市范围或常驻宁波5年以上），平均年龄55周岁以下，平均身高170cm以上，以确保人员的稳定性，不得无故变更，如确需调整，应征得采购人同意。保安人员的服务不能满足采购人的要求时，采购人有权要求更换相关保安人员。中标单位应在人员履责考核时将发案率与经济效益挂钩，一般案件以每月五起为控制率，增加或减少承担相应的经济责任及获得相应的奖惩。</w:t>
      </w:r>
    </w:p>
    <w:p>
      <w:pPr>
        <w:spacing w:line="360" w:lineRule="auto"/>
        <w:ind w:firstLine="480" w:firstLineChars="200"/>
        <w:rPr>
          <w:rFonts w:ascii="宋体" w:hAnsi="宋体" w:cs="仿宋"/>
          <w:sz w:val="24"/>
        </w:rPr>
      </w:pPr>
      <w:r>
        <w:rPr>
          <w:rFonts w:hint="eastAsia" w:ascii="宋体" w:hAnsi="宋体" w:cs="仿宋"/>
          <w:sz w:val="24"/>
        </w:rPr>
        <w:t>5、参加投标的单位须提供保安人员考核细则，对保安人员实行培训教育和考核制度。</w:t>
      </w:r>
    </w:p>
    <w:p>
      <w:pPr>
        <w:spacing w:line="360" w:lineRule="auto"/>
        <w:ind w:firstLine="480" w:firstLineChars="200"/>
        <w:rPr>
          <w:rFonts w:ascii="宋体" w:hAnsi="宋体" w:cs="仿宋"/>
          <w:sz w:val="24"/>
        </w:rPr>
      </w:pPr>
      <w:r>
        <w:rPr>
          <w:rFonts w:hint="eastAsia" w:ascii="宋体" w:hAnsi="宋体" w:cs="仿宋"/>
          <w:sz w:val="24"/>
        </w:rPr>
        <w:t>6、保安人员必须服从医院的监督管理，遵守医院各项规章制度，接受医院的每月考核，并实行奖惩制度。对服务满意度及各项工作质量考核不达标的进行扣款处理；对工作积极获得有关部门的表扬或见义勇为等行为的给予相应的奖励。</w:t>
      </w:r>
    </w:p>
    <w:p>
      <w:pPr>
        <w:spacing w:line="360" w:lineRule="auto"/>
        <w:ind w:firstLine="480" w:firstLineChars="200"/>
        <w:rPr>
          <w:rFonts w:ascii="宋体" w:hAnsi="宋体" w:cs="仿宋"/>
          <w:sz w:val="24"/>
        </w:rPr>
      </w:pPr>
    </w:p>
    <w:p>
      <w:pPr>
        <w:spacing w:line="480" w:lineRule="auto"/>
        <w:ind w:firstLine="587" w:firstLineChars="195"/>
        <w:rPr>
          <w:rFonts w:cs="宋体"/>
          <w:b/>
          <w:bCs/>
          <w:sz w:val="30"/>
          <w:szCs w:val="30"/>
        </w:rPr>
      </w:pPr>
      <w:r>
        <w:rPr>
          <w:rFonts w:hint="eastAsia" w:cs="宋体"/>
          <w:b/>
          <w:bCs/>
          <w:sz w:val="30"/>
          <w:szCs w:val="30"/>
        </w:rPr>
        <w:t>（四）具体服务内容</w:t>
      </w:r>
    </w:p>
    <w:p>
      <w:pPr>
        <w:spacing w:line="360" w:lineRule="auto"/>
        <w:ind w:firstLine="482" w:firstLineChars="200"/>
        <w:rPr>
          <w:rFonts w:ascii="宋体" w:hAnsi="宋体" w:cs="仿宋"/>
          <w:b/>
          <w:sz w:val="24"/>
        </w:rPr>
      </w:pPr>
      <w:r>
        <w:rPr>
          <w:rFonts w:hint="eastAsia" w:ascii="宋体" w:hAnsi="宋体" w:cs="仿宋"/>
          <w:b/>
          <w:sz w:val="24"/>
        </w:rPr>
        <w:t>1、车辆管理、门卫</w:t>
      </w:r>
    </w:p>
    <w:p>
      <w:pPr>
        <w:spacing w:line="360" w:lineRule="auto"/>
        <w:ind w:firstLine="480" w:firstLineChars="200"/>
        <w:rPr>
          <w:rFonts w:ascii="宋体" w:hAnsi="宋体" w:cs="仿宋"/>
          <w:sz w:val="24"/>
        </w:rPr>
      </w:pPr>
      <w:r>
        <w:rPr>
          <w:rFonts w:hint="eastAsia" w:ascii="宋体" w:hAnsi="宋体" w:cs="仿宋"/>
          <w:sz w:val="24"/>
        </w:rPr>
        <w:t>1.1维护大门口车辆秩序，保障路口畅通。引导车辆及人员进出。</w:t>
      </w:r>
    </w:p>
    <w:p>
      <w:pPr>
        <w:spacing w:line="360" w:lineRule="auto"/>
        <w:ind w:firstLine="480" w:firstLineChars="200"/>
        <w:rPr>
          <w:rFonts w:ascii="宋体" w:hAnsi="宋体" w:cs="仿宋"/>
          <w:sz w:val="24"/>
        </w:rPr>
      </w:pPr>
      <w:r>
        <w:rPr>
          <w:rFonts w:hint="eastAsia" w:ascii="宋体" w:hAnsi="宋体" w:cs="仿宋"/>
          <w:sz w:val="24"/>
        </w:rPr>
        <w:t>1.2禁止小贩在大门口卖报纸、设摊。</w:t>
      </w:r>
    </w:p>
    <w:p>
      <w:pPr>
        <w:spacing w:line="360" w:lineRule="auto"/>
        <w:ind w:firstLine="480" w:firstLineChars="200"/>
        <w:rPr>
          <w:rFonts w:ascii="宋体" w:hAnsi="宋体" w:cs="仿宋"/>
          <w:sz w:val="24"/>
        </w:rPr>
      </w:pPr>
      <w:r>
        <w:rPr>
          <w:rFonts w:hint="eastAsia" w:ascii="宋体" w:hAnsi="宋体" w:cs="仿宋"/>
          <w:sz w:val="24"/>
        </w:rPr>
        <w:t>1.3院内物品出门凭有关部门出门单，禁止卫生员将废品带出医院。</w:t>
      </w:r>
    </w:p>
    <w:p>
      <w:pPr>
        <w:spacing w:line="360" w:lineRule="auto"/>
        <w:ind w:firstLine="480" w:firstLineChars="200"/>
        <w:rPr>
          <w:rFonts w:ascii="宋体" w:hAnsi="宋体" w:cs="仿宋"/>
          <w:sz w:val="24"/>
        </w:rPr>
      </w:pPr>
      <w:r>
        <w:rPr>
          <w:rFonts w:hint="eastAsia" w:ascii="宋体" w:hAnsi="宋体" w:cs="仿宋"/>
          <w:sz w:val="24"/>
        </w:rPr>
        <w:t>1.4协助车辆管理，防止院内停放的车辆及车辆内物品被盗受损；注意车辆碰撞造成停放车辆损坏，一经发生，应立即拦住肇事者车辆并通知相关部门处理（或押款）。</w:t>
      </w:r>
    </w:p>
    <w:p>
      <w:pPr>
        <w:spacing w:line="360" w:lineRule="auto"/>
        <w:ind w:firstLine="480" w:firstLineChars="200"/>
        <w:rPr>
          <w:rFonts w:ascii="宋体" w:hAnsi="宋体" w:cs="仿宋"/>
          <w:sz w:val="24"/>
        </w:rPr>
      </w:pPr>
      <w:r>
        <w:rPr>
          <w:rFonts w:hint="eastAsia" w:ascii="宋体" w:hAnsi="宋体" w:cs="仿宋"/>
          <w:sz w:val="24"/>
        </w:rPr>
        <w:t>1.5协助门卫收发工作，收发员离开时协助收件并协助保管。</w:t>
      </w:r>
    </w:p>
    <w:p>
      <w:pPr>
        <w:spacing w:line="360" w:lineRule="auto"/>
        <w:ind w:firstLine="480" w:firstLineChars="200"/>
        <w:rPr>
          <w:rFonts w:ascii="宋体" w:hAnsi="宋体" w:cs="仿宋"/>
          <w:sz w:val="24"/>
        </w:rPr>
      </w:pPr>
      <w:r>
        <w:rPr>
          <w:rFonts w:hint="eastAsia" w:ascii="宋体" w:hAnsi="宋体" w:cs="仿宋"/>
          <w:sz w:val="24"/>
        </w:rPr>
        <w:t>1.6异常情况发生时，接到对讲机通知后，立即做好配合工作。非工作内容不得使用对讲机。</w:t>
      </w:r>
    </w:p>
    <w:p>
      <w:pPr>
        <w:spacing w:line="360" w:lineRule="auto"/>
        <w:ind w:firstLine="480" w:firstLineChars="200"/>
        <w:rPr>
          <w:rFonts w:ascii="宋体" w:hAnsi="宋体" w:cs="仿宋"/>
          <w:sz w:val="24"/>
        </w:rPr>
      </w:pPr>
      <w:r>
        <w:rPr>
          <w:rFonts w:hint="eastAsia" w:ascii="宋体" w:hAnsi="宋体" w:cs="仿宋"/>
          <w:sz w:val="24"/>
        </w:rPr>
        <w:t>1.7保持个人形象，不得聚众聊天，禁止吸烟，并做好院内劝烟工作。</w:t>
      </w:r>
    </w:p>
    <w:p>
      <w:pPr>
        <w:spacing w:line="360" w:lineRule="auto"/>
        <w:ind w:firstLine="480" w:firstLineChars="200"/>
        <w:rPr>
          <w:rFonts w:ascii="宋体" w:hAnsi="宋体" w:cs="仿宋"/>
          <w:sz w:val="24"/>
        </w:rPr>
      </w:pPr>
      <w:r>
        <w:rPr>
          <w:rFonts w:hint="eastAsia" w:ascii="宋体" w:hAnsi="宋体" w:cs="仿宋"/>
          <w:sz w:val="24"/>
        </w:rPr>
        <w:t>1.8早上上班时段要站立服务，按时交接班，工作需要时要随时服从加班安排。</w:t>
      </w:r>
    </w:p>
    <w:p>
      <w:pPr>
        <w:spacing w:line="360" w:lineRule="auto"/>
        <w:ind w:firstLine="480" w:firstLineChars="200"/>
        <w:rPr>
          <w:rFonts w:ascii="宋体" w:hAnsi="宋体" w:cs="仿宋"/>
          <w:sz w:val="24"/>
        </w:rPr>
      </w:pPr>
      <w:r>
        <w:rPr>
          <w:rFonts w:hint="eastAsia" w:ascii="宋体" w:hAnsi="宋体" w:cs="仿宋"/>
          <w:sz w:val="24"/>
        </w:rPr>
        <w:t>1.9做好岗位附近非机动车管理工作，外来非机动车在指定位置停放，勤巡查，防止车辆失窃。</w:t>
      </w:r>
    </w:p>
    <w:p>
      <w:pPr>
        <w:spacing w:line="360" w:lineRule="auto"/>
        <w:ind w:firstLine="480" w:firstLineChars="200"/>
        <w:rPr>
          <w:rFonts w:ascii="宋体" w:hAnsi="宋体" w:cs="仿宋"/>
          <w:sz w:val="24"/>
        </w:rPr>
      </w:pPr>
      <w:r>
        <w:rPr>
          <w:rFonts w:hint="eastAsia" w:ascii="宋体" w:hAnsi="宋体" w:cs="仿宋"/>
          <w:sz w:val="24"/>
        </w:rPr>
        <w:t>1.10接到病人失窃报案，要热情接待并通知相关岗位查找，同时要求失主到外滩***报案，如失主不愿报案的，可要失主留下通讯地址报保安公司并做好记录。</w:t>
      </w:r>
    </w:p>
    <w:p>
      <w:pPr>
        <w:spacing w:line="360" w:lineRule="auto"/>
        <w:ind w:firstLine="482" w:firstLineChars="200"/>
        <w:rPr>
          <w:rFonts w:ascii="宋体" w:hAnsi="宋体" w:cs="仿宋"/>
          <w:sz w:val="24"/>
        </w:rPr>
      </w:pPr>
      <w:r>
        <w:rPr>
          <w:rFonts w:hint="eastAsia" w:ascii="宋体" w:hAnsi="宋体" w:cs="仿宋"/>
          <w:b/>
          <w:sz w:val="24"/>
        </w:rPr>
        <w:t>2、门、急诊，行政岗位</w:t>
      </w:r>
    </w:p>
    <w:p>
      <w:pPr>
        <w:spacing w:line="360" w:lineRule="auto"/>
        <w:ind w:firstLine="480" w:firstLineChars="200"/>
        <w:rPr>
          <w:rFonts w:ascii="宋体" w:hAnsi="宋体" w:cs="仿宋"/>
          <w:sz w:val="24"/>
        </w:rPr>
      </w:pPr>
      <w:r>
        <w:rPr>
          <w:rFonts w:hint="eastAsia" w:ascii="宋体" w:hAnsi="宋体" w:cs="仿宋"/>
          <w:sz w:val="24"/>
        </w:rPr>
        <w:t>2.1维护门诊大厅收费、取药窗口秩序，热情为病人指路问询。在指定部位上岗签到，接受考核。</w:t>
      </w:r>
    </w:p>
    <w:p>
      <w:pPr>
        <w:spacing w:line="360" w:lineRule="auto"/>
        <w:ind w:firstLine="480" w:firstLineChars="200"/>
        <w:rPr>
          <w:rFonts w:ascii="宋体" w:hAnsi="宋体" w:cs="仿宋"/>
          <w:sz w:val="24"/>
        </w:rPr>
      </w:pPr>
      <w:r>
        <w:rPr>
          <w:rFonts w:hint="eastAsia" w:ascii="宋体" w:hAnsi="宋体" w:cs="仿宋"/>
          <w:sz w:val="24"/>
        </w:rPr>
        <w:t>2.2严密监视小偷盗窃行为，发现可疑对象通知相关岗位跟踪、抓现或驱赶。（如果抓住小偷，***奖励的医院配套奖励。）</w:t>
      </w:r>
    </w:p>
    <w:p>
      <w:pPr>
        <w:spacing w:line="360" w:lineRule="auto"/>
        <w:ind w:firstLine="480" w:firstLineChars="200"/>
        <w:rPr>
          <w:rFonts w:ascii="宋体" w:hAnsi="宋体" w:cs="仿宋"/>
          <w:sz w:val="24"/>
        </w:rPr>
      </w:pPr>
      <w:r>
        <w:rPr>
          <w:rFonts w:hint="eastAsia" w:ascii="宋体" w:hAnsi="宋体" w:cs="仿宋"/>
          <w:sz w:val="24"/>
        </w:rPr>
        <w:t>2.3发生争吵、纠纷，应立即进行劝阻，做好说服工作；发生打人或其他过激行为的，通知相关岗位人员到场协助，做好医护人员的保护工作。必要时立即报警，报警后要控制肇事者逃逸；发现医托和分发医疗广告及号贩子的要立即驱赶。</w:t>
      </w:r>
    </w:p>
    <w:p>
      <w:pPr>
        <w:spacing w:line="360" w:lineRule="auto"/>
        <w:ind w:firstLine="480" w:firstLineChars="200"/>
        <w:rPr>
          <w:rFonts w:ascii="宋体" w:hAnsi="宋体" w:cs="仿宋"/>
          <w:sz w:val="24"/>
        </w:rPr>
      </w:pPr>
      <w:r>
        <w:rPr>
          <w:rFonts w:hint="eastAsia" w:ascii="宋体" w:hAnsi="宋体" w:cs="仿宋"/>
          <w:sz w:val="24"/>
        </w:rPr>
        <w:t>2.4门、急诊岗位加强巡查，要随时提醒病人和家属保管好自己的财务，防止失窃。</w:t>
      </w:r>
    </w:p>
    <w:p>
      <w:pPr>
        <w:spacing w:line="360" w:lineRule="auto"/>
        <w:ind w:firstLine="480" w:firstLineChars="200"/>
        <w:rPr>
          <w:rFonts w:ascii="宋体" w:hAnsi="宋体" w:cs="仿宋"/>
          <w:sz w:val="24"/>
        </w:rPr>
      </w:pPr>
      <w:r>
        <w:rPr>
          <w:rFonts w:hint="eastAsia" w:ascii="宋体" w:hAnsi="宋体" w:cs="仿宋"/>
          <w:sz w:val="24"/>
        </w:rPr>
        <w:t>2.5发生异常情况接到对讲机通知后，要立即赶到现场协助处置。当行政楼医务部发生纠纷时要立即上楼协助处置。</w:t>
      </w:r>
    </w:p>
    <w:p>
      <w:pPr>
        <w:spacing w:line="360" w:lineRule="auto"/>
        <w:ind w:firstLine="480" w:firstLineChars="200"/>
        <w:rPr>
          <w:rFonts w:ascii="宋体" w:hAnsi="宋体" w:cs="仿宋"/>
          <w:sz w:val="24"/>
        </w:rPr>
      </w:pPr>
      <w:r>
        <w:rPr>
          <w:rFonts w:hint="eastAsia" w:ascii="宋体" w:hAnsi="宋体" w:cs="仿宋"/>
          <w:sz w:val="24"/>
        </w:rPr>
        <w:t>2.6注意个人形象，尽量做到站立服务。禁止吸烟、聚众聊天，做好劝烟工作。</w:t>
      </w:r>
    </w:p>
    <w:p>
      <w:pPr>
        <w:spacing w:line="360" w:lineRule="auto"/>
        <w:ind w:firstLine="480" w:firstLineChars="200"/>
        <w:rPr>
          <w:rFonts w:ascii="宋体" w:hAnsi="宋体" w:cs="仿宋"/>
          <w:sz w:val="24"/>
        </w:rPr>
      </w:pPr>
      <w:r>
        <w:rPr>
          <w:rFonts w:hint="eastAsia" w:ascii="宋体" w:hAnsi="宋体" w:cs="仿宋"/>
          <w:sz w:val="24"/>
        </w:rPr>
        <w:t>2.7做好全院内巡查工作，接到火警报警立即到相关位置查看，并将查看情况通知监控室。</w:t>
      </w:r>
    </w:p>
    <w:p>
      <w:pPr>
        <w:spacing w:line="360" w:lineRule="auto"/>
        <w:ind w:firstLine="480" w:firstLineChars="200"/>
        <w:rPr>
          <w:rFonts w:ascii="宋体" w:hAnsi="宋体" w:cs="仿宋"/>
          <w:sz w:val="24"/>
        </w:rPr>
      </w:pPr>
      <w:r>
        <w:rPr>
          <w:rFonts w:hint="eastAsia" w:ascii="宋体" w:hAnsi="宋体" w:cs="仿宋"/>
          <w:sz w:val="24"/>
        </w:rPr>
        <w:t>2.8禁止小贩在门诊卖报纸、食品、衣物等，发现后要进行劝阻和驱赶，必要时可没收其物品。</w:t>
      </w:r>
    </w:p>
    <w:p>
      <w:pPr>
        <w:spacing w:line="360" w:lineRule="auto"/>
        <w:ind w:firstLine="480" w:firstLineChars="200"/>
        <w:rPr>
          <w:rFonts w:ascii="宋体" w:hAnsi="宋体" w:cs="仿宋"/>
          <w:sz w:val="24"/>
        </w:rPr>
      </w:pPr>
      <w:r>
        <w:rPr>
          <w:rFonts w:hint="eastAsia" w:ascii="宋体" w:hAnsi="宋体" w:cs="仿宋"/>
          <w:sz w:val="24"/>
        </w:rPr>
        <w:t>2.9负责行政楼各科室治安安全，督促、检查各办公室关好门窗；做好医院消防安全工作。</w:t>
      </w:r>
    </w:p>
    <w:p>
      <w:pPr>
        <w:spacing w:line="360" w:lineRule="auto"/>
        <w:ind w:firstLine="480" w:firstLineChars="200"/>
        <w:rPr>
          <w:rFonts w:ascii="宋体" w:hAnsi="宋体" w:cs="仿宋"/>
          <w:sz w:val="24"/>
        </w:rPr>
      </w:pPr>
      <w:r>
        <w:rPr>
          <w:rFonts w:hint="eastAsia" w:ascii="宋体" w:hAnsi="宋体" w:cs="仿宋"/>
          <w:sz w:val="24"/>
        </w:rPr>
        <w:t>2.10在医疗纠纷处理过程中遇到病员及家属闹事时，及时报警并阻止该类人员损坏医院公私财物及殴打医务人员。</w:t>
      </w:r>
    </w:p>
    <w:p>
      <w:pPr>
        <w:spacing w:line="360" w:lineRule="auto"/>
        <w:ind w:firstLine="482" w:firstLineChars="200"/>
        <w:rPr>
          <w:rFonts w:ascii="宋体" w:hAnsi="宋体" w:cs="仿宋"/>
          <w:b/>
          <w:sz w:val="24"/>
        </w:rPr>
      </w:pPr>
      <w:r>
        <w:rPr>
          <w:rFonts w:hint="eastAsia" w:ascii="宋体" w:hAnsi="宋体" w:cs="仿宋"/>
          <w:b/>
          <w:sz w:val="24"/>
        </w:rPr>
        <w:t>3、巡逻岗：住院部</w:t>
      </w:r>
    </w:p>
    <w:p>
      <w:pPr>
        <w:spacing w:line="360" w:lineRule="auto"/>
        <w:ind w:firstLine="480" w:firstLineChars="200"/>
        <w:rPr>
          <w:rFonts w:ascii="宋体" w:hAnsi="宋体" w:cs="仿宋"/>
          <w:sz w:val="24"/>
        </w:rPr>
      </w:pPr>
      <w:r>
        <w:rPr>
          <w:rFonts w:hint="eastAsia" w:ascii="宋体" w:hAnsi="宋体" w:cs="仿宋"/>
          <w:sz w:val="24"/>
        </w:rPr>
        <w:t>3.1对住院楼从上到下逐层进行巡查，发现可疑对象进行跟踪或通知相关岗位进行配合。正常情况间隔一小时巡查一次。</w:t>
      </w:r>
    </w:p>
    <w:p>
      <w:pPr>
        <w:spacing w:line="360" w:lineRule="auto"/>
        <w:ind w:firstLine="480" w:firstLineChars="200"/>
        <w:rPr>
          <w:rFonts w:ascii="宋体" w:hAnsi="宋体" w:cs="仿宋"/>
          <w:sz w:val="24"/>
        </w:rPr>
      </w:pPr>
      <w:r>
        <w:rPr>
          <w:rFonts w:hint="eastAsia" w:ascii="宋体" w:hAnsi="宋体" w:cs="仿宋"/>
          <w:sz w:val="24"/>
        </w:rPr>
        <w:t>3.2接受各病区、科室考核，上岗签到。尽量配合病区做好各项劝解工作，帮助病区解决临时困难。</w:t>
      </w:r>
    </w:p>
    <w:p>
      <w:pPr>
        <w:spacing w:line="360" w:lineRule="auto"/>
        <w:ind w:firstLine="480" w:firstLineChars="200"/>
        <w:rPr>
          <w:rFonts w:ascii="宋体" w:hAnsi="宋体" w:cs="仿宋"/>
          <w:sz w:val="24"/>
        </w:rPr>
      </w:pPr>
      <w:r>
        <w:rPr>
          <w:rFonts w:hint="eastAsia" w:ascii="宋体" w:hAnsi="宋体" w:cs="仿宋"/>
          <w:sz w:val="24"/>
        </w:rPr>
        <w:t>3.3巡查时，提醒病人和家属保管好自己的手机物品等财物，特别是长期卧床病人，防止失窃。</w:t>
      </w:r>
    </w:p>
    <w:p>
      <w:pPr>
        <w:spacing w:line="360" w:lineRule="auto"/>
        <w:ind w:firstLine="480" w:firstLineChars="200"/>
        <w:rPr>
          <w:rFonts w:ascii="宋体" w:hAnsi="宋体" w:cs="仿宋"/>
          <w:sz w:val="24"/>
        </w:rPr>
      </w:pPr>
      <w:r>
        <w:rPr>
          <w:rFonts w:hint="eastAsia" w:ascii="宋体" w:hAnsi="宋体" w:cs="仿宋"/>
          <w:sz w:val="24"/>
        </w:rPr>
        <w:t>3.4病区内禁止吸烟，做好病人及其家属的劝烟工作。</w:t>
      </w:r>
    </w:p>
    <w:p>
      <w:pPr>
        <w:spacing w:line="360" w:lineRule="auto"/>
        <w:ind w:firstLine="480" w:firstLineChars="200"/>
        <w:rPr>
          <w:rFonts w:ascii="宋体" w:hAnsi="宋体" w:cs="仿宋"/>
          <w:sz w:val="24"/>
        </w:rPr>
      </w:pPr>
      <w:r>
        <w:rPr>
          <w:rFonts w:hint="eastAsia" w:ascii="宋体" w:hAnsi="宋体" w:cs="仿宋"/>
          <w:sz w:val="24"/>
        </w:rPr>
        <w:t>3.5当发现火警报警后，立即到相关位置查看并做好登记工作。</w:t>
      </w:r>
    </w:p>
    <w:p>
      <w:pPr>
        <w:spacing w:line="360" w:lineRule="auto"/>
        <w:ind w:firstLine="480" w:firstLineChars="200"/>
        <w:rPr>
          <w:rFonts w:ascii="宋体" w:hAnsi="宋体" w:cs="仿宋"/>
          <w:sz w:val="24"/>
        </w:rPr>
      </w:pPr>
      <w:r>
        <w:rPr>
          <w:rFonts w:hint="eastAsia" w:ascii="宋体" w:hAnsi="宋体" w:cs="仿宋"/>
          <w:sz w:val="24"/>
        </w:rPr>
        <w:t>3.6协助做好车辆管理工作，发生纠纷时及时处理。</w:t>
      </w:r>
    </w:p>
    <w:p>
      <w:pPr>
        <w:spacing w:line="360" w:lineRule="auto"/>
        <w:ind w:firstLine="480" w:firstLineChars="200"/>
        <w:rPr>
          <w:rFonts w:ascii="宋体" w:hAnsi="宋体" w:cs="仿宋"/>
          <w:sz w:val="24"/>
        </w:rPr>
      </w:pPr>
      <w:r>
        <w:rPr>
          <w:rFonts w:hint="eastAsia" w:ascii="宋体" w:hAnsi="宋体" w:cs="仿宋"/>
          <w:sz w:val="24"/>
        </w:rPr>
        <w:t>3.7发生医疗纠纷时接到通知后，应立即到达指定地点，积极配合处理，因纠纷而影响下班时，未接到撤退通知的不得擅自离开。</w:t>
      </w:r>
    </w:p>
    <w:p>
      <w:pPr>
        <w:spacing w:line="360" w:lineRule="auto"/>
        <w:ind w:firstLine="480" w:firstLineChars="200"/>
        <w:rPr>
          <w:rFonts w:ascii="宋体" w:hAnsi="宋体" w:cs="仿宋"/>
          <w:sz w:val="24"/>
        </w:rPr>
      </w:pPr>
      <w:r>
        <w:rPr>
          <w:rFonts w:hint="eastAsia" w:ascii="宋体" w:hAnsi="宋体" w:cs="仿宋"/>
          <w:sz w:val="24"/>
        </w:rPr>
        <w:t>3.8对巡查中发现不安全因素或异常情况，应立即通知保安公司、保卫科或医院总值班，必要时可向110报警，并配合落实措施的。</w:t>
      </w:r>
    </w:p>
    <w:p>
      <w:pPr>
        <w:spacing w:line="360" w:lineRule="auto"/>
        <w:ind w:firstLine="480" w:firstLineChars="200"/>
        <w:rPr>
          <w:rFonts w:ascii="宋体" w:hAnsi="宋体" w:cs="仿宋"/>
          <w:sz w:val="24"/>
        </w:rPr>
      </w:pPr>
      <w:r>
        <w:rPr>
          <w:rFonts w:hint="eastAsia" w:ascii="宋体" w:hAnsi="宋体" w:cs="仿宋"/>
          <w:sz w:val="24"/>
        </w:rPr>
        <w:t>3.9做到礼貌待人、热情服务，文明执勤，服从分配。</w:t>
      </w:r>
    </w:p>
    <w:p>
      <w:pPr>
        <w:spacing w:line="360" w:lineRule="auto"/>
        <w:ind w:firstLine="480" w:firstLineChars="200"/>
        <w:rPr>
          <w:rFonts w:ascii="宋体" w:hAnsi="宋体" w:cs="仿宋"/>
          <w:sz w:val="24"/>
        </w:rPr>
      </w:pPr>
      <w:r>
        <w:rPr>
          <w:rFonts w:hint="eastAsia" w:ascii="宋体" w:hAnsi="宋体" w:cs="仿宋"/>
          <w:sz w:val="24"/>
        </w:rPr>
        <w:t>3.10巡查全院内各部门、区域的防火、防盗工作，并有详细记录。</w:t>
      </w:r>
    </w:p>
    <w:p>
      <w:pPr>
        <w:spacing w:line="360" w:lineRule="auto"/>
        <w:ind w:firstLine="482" w:firstLineChars="200"/>
        <w:rPr>
          <w:rFonts w:ascii="宋体" w:hAnsi="宋体" w:cs="仿宋"/>
          <w:b/>
          <w:sz w:val="24"/>
        </w:rPr>
      </w:pPr>
      <w:r>
        <w:rPr>
          <w:rFonts w:hint="eastAsia" w:ascii="宋体" w:hAnsi="宋体" w:cs="仿宋"/>
          <w:b/>
          <w:sz w:val="24"/>
        </w:rPr>
        <w:t>4、消控室（指挥中心）岗位</w:t>
      </w:r>
    </w:p>
    <w:p>
      <w:pPr>
        <w:spacing w:line="360" w:lineRule="auto"/>
        <w:ind w:firstLine="480" w:firstLineChars="200"/>
        <w:rPr>
          <w:rFonts w:ascii="宋体" w:hAnsi="宋体" w:cs="仿宋"/>
          <w:sz w:val="24"/>
        </w:rPr>
      </w:pPr>
      <w:r>
        <w:rPr>
          <w:rFonts w:hint="eastAsia" w:ascii="宋体" w:hAnsi="宋体" w:cs="仿宋"/>
          <w:sz w:val="24"/>
        </w:rPr>
        <w:t>医院指挥中心内有消防联动控制系统和监控设施，兼具消防控制室和监控室的功能。岗位要求：</w:t>
      </w:r>
    </w:p>
    <w:p>
      <w:pPr>
        <w:spacing w:line="360" w:lineRule="auto"/>
        <w:ind w:firstLine="480" w:firstLineChars="200"/>
        <w:rPr>
          <w:rFonts w:ascii="宋体" w:hAnsi="宋体" w:cs="仿宋"/>
          <w:sz w:val="24"/>
        </w:rPr>
      </w:pPr>
      <w:r>
        <w:rPr>
          <w:rFonts w:hint="eastAsia" w:ascii="宋体" w:hAnsi="宋体" w:cs="仿宋"/>
          <w:sz w:val="24"/>
        </w:rPr>
        <w:t>4.1指挥中心实行每日24小时专人值班，分工明确。</w:t>
      </w:r>
    </w:p>
    <w:p>
      <w:pPr>
        <w:spacing w:line="360" w:lineRule="auto"/>
        <w:ind w:firstLine="480" w:firstLineChars="200"/>
        <w:rPr>
          <w:rFonts w:ascii="宋体" w:hAnsi="宋体" w:cs="仿宋"/>
          <w:sz w:val="24"/>
        </w:rPr>
      </w:pPr>
      <w:r>
        <w:rPr>
          <w:rFonts w:hint="eastAsia" w:ascii="宋体" w:hAnsi="宋体" w:cs="仿宋"/>
          <w:sz w:val="24"/>
        </w:rPr>
        <w:t>4.2值班人员必须持有建（构）筑物消防员证书，掌握系统的工作原理和操作规程，熟悉设备按键的功能，能熟练操作系统。</w:t>
      </w:r>
    </w:p>
    <w:p>
      <w:pPr>
        <w:spacing w:line="360" w:lineRule="auto"/>
        <w:ind w:firstLine="480" w:firstLineChars="200"/>
        <w:rPr>
          <w:rFonts w:ascii="宋体" w:hAnsi="宋体" w:cs="仿宋"/>
          <w:sz w:val="24"/>
        </w:rPr>
      </w:pPr>
      <w:r>
        <w:rPr>
          <w:rFonts w:hint="eastAsia" w:ascii="宋体" w:hAnsi="宋体" w:cs="仿宋"/>
          <w:sz w:val="24"/>
        </w:rPr>
        <w:t>4.3值班人员必须保持高度警惕及高度责任心，密切注意各部位情况，增强安全观念，善于发现问题，认真做好值班记录。</w:t>
      </w:r>
    </w:p>
    <w:p>
      <w:pPr>
        <w:spacing w:line="360" w:lineRule="auto"/>
        <w:ind w:firstLine="480" w:firstLineChars="200"/>
        <w:rPr>
          <w:rFonts w:ascii="宋体" w:hAnsi="宋体" w:cs="仿宋"/>
          <w:sz w:val="24"/>
        </w:rPr>
      </w:pPr>
      <w:r>
        <w:rPr>
          <w:rFonts w:hint="eastAsia" w:ascii="宋体" w:hAnsi="宋体" w:cs="仿宋"/>
          <w:sz w:val="24"/>
        </w:rPr>
        <w:t>4.4值班人员负责24小时监视闭路电视、消防报警信号，发现问题及时处理并向有关领导或部门报告。</w:t>
      </w:r>
    </w:p>
    <w:p>
      <w:pPr>
        <w:spacing w:line="360" w:lineRule="auto"/>
        <w:ind w:firstLine="480" w:firstLineChars="200"/>
        <w:rPr>
          <w:rFonts w:ascii="宋体" w:hAnsi="宋体" w:cs="仿宋"/>
          <w:sz w:val="24"/>
        </w:rPr>
      </w:pPr>
      <w:r>
        <w:rPr>
          <w:rFonts w:hint="eastAsia" w:ascii="宋体" w:hAnsi="宋体" w:cs="仿宋"/>
          <w:sz w:val="24"/>
        </w:rPr>
        <w:t>4.5值班人员要严格执行交接班制度，交接班时应将机器设备的使用情况，有无可疑情况要交接记录清楚。</w:t>
      </w:r>
    </w:p>
    <w:p>
      <w:pPr>
        <w:spacing w:line="360" w:lineRule="auto"/>
        <w:ind w:firstLine="480" w:firstLineChars="200"/>
        <w:rPr>
          <w:rFonts w:ascii="宋体" w:hAnsi="宋体" w:cs="仿宋"/>
          <w:sz w:val="24"/>
        </w:rPr>
      </w:pPr>
      <w:r>
        <w:rPr>
          <w:rFonts w:hint="eastAsia" w:ascii="宋体" w:hAnsi="宋体" w:cs="仿宋"/>
          <w:sz w:val="24"/>
        </w:rPr>
        <w:t>4.6值班人员在值班时对所观察到的非正常情况，可疑人物，应进行详细记录，通知巡逻队员重点注意、盘问，并视情况向有关领导或部门报告，必要时启动应急预案。 </w:t>
      </w:r>
    </w:p>
    <w:p>
      <w:pPr>
        <w:spacing w:line="360" w:lineRule="auto"/>
        <w:ind w:firstLine="480" w:firstLineChars="200"/>
        <w:rPr>
          <w:rFonts w:ascii="宋体" w:hAnsi="宋体" w:cs="仿宋"/>
          <w:sz w:val="24"/>
        </w:rPr>
      </w:pPr>
      <w:r>
        <w:rPr>
          <w:rFonts w:hint="eastAsia" w:ascii="宋体" w:hAnsi="宋体" w:cs="仿宋"/>
          <w:sz w:val="24"/>
        </w:rPr>
        <w:t>4.7值班人员要对视频监控图像内所发生的事故及其他紧急情况进行详细记录。 </w:t>
      </w:r>
    </w:p>
    <w:p>
      <w:pPr>
        <w:spacing w:line="360" w:lineRule="auto"/>
        <w:ind w:firstLine="480" w:firstLineChars="200"/>
        <w:rPr>
          <w:rFonts w:ascii="宋体" w:hAnsi="宋体" w:cs="仿宋"/>
          <w:sz w:val="24"/>
        </w:rPr>
      </w:pPr>
      <w:r>
        <w:rPr>
          <w:rFonts w:hint="eastAsia" w:ascii="宋体" w:hAnsi="宋体" w:cs="仿宋"/>
          <w:sz w:val="24"/>
        </w:rPr>
        <w:t>4.8保持指挥中心正常工作秩序，严禁无关人员进入和操作消防设施，主动配合有关部门做好消防设施检查工作。</w:t>
      </w:r>
    </w:p>
    <w:p>
      <w:pPr>
        <w:spacing w:line="360" w:lineRule="auto"/>
        <w:ind w:firstLine="480" w:firstLineChars="200"/>
        <w:rPr>
          <w:rFonts w:ascii="宋体" w:hAnsi="宋体" w:cs="仿宋"/>
          <w:sz w:val="24"/>
        </w:rPr>
      </w:pPr>
      <w:r>
        <w:rPr>
          <w:rFonts w:hint="eastAsia" w:ascii="宋体" w:hAnsi="宋体" w:cs="仿宋"/>
          <w:sz w:val="24"/>
        </w:rPr>
        <w:t>4.9指挥中心的视频监控图像使用审批、登记制度，对图像信息的调取人员、调取时间、调取用途等事项进行审批、登记。</w:t>
      </w:r>
    </w:p>
    <w:p>
      <w:pPr>
        <w:spacing w:line="360" w:lineRule="auto"/>
        <w:ind w:firstLine="480" w:firstLineChars="200"/>
        <w:rPr>
          <w:rFonts w:ascii="宋体" w:hAnsi="宋体" w:cs="仿宋"/>
          <w:sz w:val="24"/>
        </w:rPr>
      </w:pPr>
      <w:r>
        <w:rPr>
          <w:rFonts w:hint="eastAsia" w:ascii="宋体" w:hAnsi="宋体" w:cs="仿宋"/>
          <w:sz w:val="24"/>
        </w:rPr>
        <w:t>4.10指挥中心的视频监控图像不得擅自删改，故意隐匿、毁弃留存期限内视频监控图像信息的原始记录；不得买卖散发、非法使用视频图像信息资料。</w:t>
      </w:r>
    </w:p>
    <w:p>
      <w:pPr>
        <w:spacing w:line="360" w:lineRule="auto"/>
        <w:ind w:firstLine="482" w:firstLineChars="200"/>
        <w:rPr>
          <w:rFonts w:ascii="宋体" w:hAnsi="宋体" w:cs="仿宋"/>
          <w:b/>
          <w:sz w:val="24"/>
        </w:rPr>
      </w:pPr>
      <w:r>
        <w:rPr>
          <w:rFonts w:hint="eastAsia" w:ascii="宋体" w:hAnsi="宋体" w:cs="仿宋"/>
          <w:b/>
          <w:sz w:val="24"/>
        </w:rPr>
        <w:t>5、特勤岗位要求</w:t>
      </w:r>
    </w:p>
    <w:p>
      <w:pPr>
        <w:spacing w:line="360" w:lineRule="auto"/>
        <w:rPr>
          <w:rFonts w:ascii="宋体" w:hAnsi="宋体" w:cs="仿宋"/>
          <w:sz w:val="24"/>
        </w:rPr>
      </w:pPr>
      <w:r>
        <w:rPr>
          <w:rFonts w:ascii="宋体" w:hAnsi="宋体" w:cs="仿宋"/>
          <w:sz w:val="24"/>
        </w:rPr>
        <w:t xml:space="preserve">  </w:t>
      </w:r>
      <w:r>
        <w:rPr>
          <w:rFonts w:hint="eastAsia" w:ascii="宋体" w:hAnsi="宋体" w:cs="仿宋"/>
          <w:sz w:val="24"/>
        </w:rPr>
        <w:t xml:space="preserve">  5.1特勤小分队的人员7名，要求：年龄在25-45周岁，身高175CM以上，本地人为主要，确保人员的稳定性。</w:t>
      </w:r>
    </w:p>
    <w:p>
      <w:pPr>
        <w:spacing w:line="360" w:lineRule="auto"/>
        <w:rPr>
          <w:rFonts w:ascii="宋体" w:hAnsi="宋体" w:cs="仿宋"/>
          <w:sz w:val="24"/>
        </w:rPr>
      </w:pPr>
      <w:r>
        <w:rPr>
          <w:rFonts w:ascii="宋体" w:hAnsi="宋体" w:cs="仿宋"/>
          <w:sz w:val="24"/>
        </w:rPr>
        <w:t xml:space="preserve">  </w:t>
      </w:r>
      <w:r>
        <w:rPr>
          <w:rFonts w:hint="eastAsia" w:ascii="宋体" w:hAnsi="宋体" w:cs="仿宋"/>
          <w:sz w:val="24"/>
        </w:rPr>
        <w:t xml:space="preserve">  5.2特勤人员，在医院重点区域组织巡查，对发生在院内应急事件，须第一时间赶到现场进行处置，防止矛盾激化，保护医务人员的安全。协助保卫科做好消防、危化品、**等相关工作。</w:t>
      </w:r>
    </w:p>
    <w:p>
      <w:pPr>
        <w:spacing w:line="480" w:lineRule="auto"/>
        <w:ind w:firstLine="587" w:firstLineChars="195"/>
        <w:rPr>
          <w:rFonts w:cs="宋体"/>
          <w:b/>
          <w:bCs/>
          <w:sz w:val="30"/>
          <w:szCs w:val="30"/>
        </w:rPr>
      </w:pPr>
      <w:r>
        <w:rPr>
          <w:rFonts w:hint="eastAsia" w:cs="宋体"/>
          <w:b/>
          <w:bCs/>
          <w:sz w:val="30"/>
          <w:szCs w:val="30"/>
        </w:rPr>
        <w:t>（五）人员配置要求</w:t>
      </w:r>
    </w:p>
    <w:p>
      <w:pPr>
        <w:spacing w:line="360" w:lineRule="auto"/>
        <w:ind w:firstLine="480" w:firstLineChars="200"/>
        <w:rPr>
          <w:rFonts w:hint="eastAsia" w:ascii="宋体" w:hAnsi="宋体" w:cs="仿宋"/>
          <w:sz w:val="24"/>
        </w:rPr>
      </w:pPr>
      <w:bookmarkStart w:id="0" w:name="OLE_LINK3"/>
      <w:r>
        <w:rPr>
          <w:rFonts w:hint="eastAsia" w:ascii="宋体" w:hAnsi="宋体" w:cs="仿宋"/>
          <w:sz w:val="24"/>
        </w:rPr>
        <w:t>1、政治素质：拥护党的路线、方针、政策，尊重领导和服务对象，听从指挥，服从安排，无违法犯罪记录等。爱岗敬业，恪尽职守，遵纪守法，文明执勤，礼貌待人，敢于同违法犯罪现象作斗争。</w:t>
      </w:r>
    </w:p>
    <w:p>
      <w:pPr>
        <w:spacing w:line="360" w:lineRule="auto"/>
        <w:ind w:firstLine="480" w:firstLineChars="200"/>
        <w:rPr>
          <w:rFonts w:hint="eastAsia" w:ascii="宋体" w:hAnsi="宋体" w:cs="仿宋"/>
          <w:sz w:val="24"/>
        </w:rPr>
      </w:pPr>
      <w:r>
        <w:rPr>
          <w:rFonts w:hint="eastAsia" w:ascii="宋体" w:hAnsi="宋体" w:cs="仿宋"/>
          <w:sz w:val="24"/>
        </w:rPr>
        <w:t>2、身体条件：男性身高原则在1.70米以上，双眼裸视5.0，身体健康，相貌端正，仪表大方，无传染性疾病。</w:t>
      </w:r>
    </w:p>
    <w:p>
      <w:pPr>
        <w:spacing w:line="360" w:lineRule="auto"/>
        <w:ind w:firstLine="480" w:firstLineChars="200"/>
        <w:rPr>
          <w:rFonts w:hint="eastAsia" w:ascii="宋体" w:hAnsi="宋体" w:cs="仿宋"/>
          <w:sz w:val="24"/>
        </w:rPr>
      </w:pPr>
      <w:r>
        <w:rPr>
          <w:rFonts w:hint="eastAsia" w:ascii="宋体" w:hAnsi="宋体" w:cs="仿宋"/>
          <w:sz w:val="24"/>
        </w:rPr>
        <w:t>3、年龄要求：平均年龄在55周岁（含）以下，重点岗位50周岁（含）以下。</w:t>
      </w:r>
    </w:p>
    <w:p>
      <w:pPr>
        <w:spacing w:line="360" w:lineRule="auto"/>
        <w:ind w:firstLine="480" w:firstLineChars="200"/>
        <w:rPr>
          <w:rFonts w:hint="eastAsia" w:ascii="宋体" w:hAnsi="宋体" w:cs="仿宋"/>
          <w:sz w:val="24"/>
        </w:rPr>
      </w:pPr>
      <w:r>
        <w:rPr>
          <w:rFonts w:hint="eastAsia" w:ascii="宋体" w:hAnsi="宋体" w:cs="仿宋"/>
          <w:sz w:val="24"/>
        </w:rPr>
        <w:t>4、业务技能：具备相关法律法规知识及安保、消防常识。</w:t>
      </w:r>
    </w:p>
    <w:p>
      <w:pPr>
        <w:spacing w:line="360" w:lineRule="auto"/>
        <w:ind w:firstLine="480" w:firstLineChars="200"/>
        <w:rPr>
          <w:rFonts w:hint="eastAsia" w:ascii="宋体" w:hAnsi="宋体" w:cs="仿宋"/>
          <w:sz w:val="24"/>
        </w:rPr>
      </w:pPr>
      <w:r>
        <w:rPr>
          <w:rFonts w:hint="eastAsia" w:ascii="宋体" w:hAnsi="宋体" w:cs="仿宋"/>
          <w:sz w:val="24"/>
        </w:rPr>
        <w:t>5、文化条件：具备初中（含初中）及以上文化，具有良好的语言表达及沟通协调能力。</w:t>
      </w:r>
    </w:p>
    <w:p>
      <w:pPr>
        <w:spacing w:line="360" w:lineRule="auto"/>
        <w:ind w:firstLine="480" w:firstLineChars="200"/>
        <w:rPr>
          <w:rFonts w:hint="eastAsia" w:ascii="宋体" w:hAnsi="宋体" w:cs="仿宋"/>
          <w:sz w:val="24"/>
        </w:rPr>
      </w:pPr>
      <w:r>
        <w:rPr>
          <w:rFonts w:hint="eastAsia" w:ascii="宋体" w:hAnsi="宋体" w:cs="仿宋"/>
          <w:sz w:val="24"/>
        </w:rPr>
        <w:t>6、持证要求：所有保安人员必须持有公安机关监制的保安员上岗证书。</w:t>
      </w:r>
    </w:p>
    <w:p>
      <w:pPr>
        <w:spacing w:line="360" w:lineRule="auto"/>
        <w:ind w:firstLine="480" w:firstLineChars="200"/>
        <w:rPr>
          <w:rFonts w:hint="eastAsia" w:ascii="宋体" w:hAnsi="宋体" w:cs="仿宋"/>
          <w:sz w:val="24"/>
        </w:rPr>
      </w:pPr>
      <w:r>
        <w:rPr>
          <w:rFonts w:hint="eastAsia" w:ascii="宋体" w:hAnsi="宋体" w:cs="仿宋"/>
          <w:sz w:val="24"/>
        </w:rPr>
        <w:t xml:space="preserve">7、人员数量要求：本项目实际配置人数不低于60人（具体见宁波大学医学院附属医院保安服务岗位需求配置表）；月人员更换不超总人数的5﹪（含）。 </w:t>
      </w:r>
    </w:p>
    <w:p>
      <w:pPr>
        <w:spacing w:line="360" w:lineRule="auto"/>
        <w:jc w:val="center"/>
        <w:rPr>
          <w:rFonts w:ascii="宋体" w:hAnsi="宋体" w:cs="仿宋"/>
          <w:sz w:val="24"/>
        </w:rPr>
      </w:pPr>
      <w:r>
        <w:rPr>
          <w:rFonts w:hint="eastAsia" w:ascii="宋体" w:hAnsi="宋体" w:cs="仿宋"/>
          <w:sz w:val="24"/>
        </w:rPr>
        <w:t>宁波大学医学院附属医院保安服务岗位需求配置表</w:t>
      </w:r>
    </w:p>
    <w:tbl>
      <w:tblPr>
        <w:tblStyle w:val="20"/>
        <w:tblpPr w:leftFromText="180" w:rightFromText="180" w:vertAnchor="text" w:horzAnchor="margin" w:tblpY="9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16"/>
        <w:gridCol w:w="4528"/>
        <w:gridCol w:w="1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300" w:type="pct"/>
            <w:shd w:val="clear" w:color="auto" w:fill="auto"/>
            <w:noWrap w:val="0"/>
            <w:vAlign w:val="center"/>
          </w:tcPr>
          <w:p>
            <w:pPr>
              <w:jc w:val="center"/>
              <w:rPr>
                <w:rFonts w:ascii="宋体" w:hAnsi="宋体" w:cs="宋体"/>
                <w:sz w:val="24"/>
              </w:rPr>
            </w:pPr>
            <w:r>
              <w:rPr>
                <w:rFonts w:hint="eastAsia" w:ascii="宋体" w:hAnsi="宋体" w:cs="宋体"/>
                <w:sz w:val="24"/>
              </w:rPr>
              <w:t>工作岗位</w:t>
            </w:r>
          </w:p>
        </w:tc>
        <w:tc>
          <w:tcPr>
            <w:tcW w:w="2656" w:type="pct"/>
            <w:shd w:val="clear" w:color="auto" w:fill="auto"/>
            <w:noWrap w:val="0"/>
            <w:vAlign w:val="center"/>
          </w:tcPr>
          <w:p>
            <w:pPr>
              <w:jc w:val="center"/>
              <w:rPr>
                <w:rFonts w:ascii="宋体" w:hAnsi="宋体" w:cs="宋体"/>
                <w:sz w:val="24"/>
              </w:rPr>
            </w:pPr>
            <w:r>
              <w:rPr>
                <w:rFonts w:hint="eastAsia" w:ascii="宋体" w:hAnsi="宋体" w:cs="宋体"/>
                <w:sz w:val="24"/>
              </w:rPr>
              <w:t>岗位设置</w:t>
            </w:r>
          </w:p>
        </w:tc>
        <w:tc>
          <w:tcPr>
            <w:tcW w:w="1043" w:type="pct"/>
            <w:shd w:val="clear" w:color="auto" w:fill="auto"/>
            <w:noWrap w:val="0"/>
            <w:vAlign w:val="center"/>
          </w:tcPr>
          <w:p>
            <w:pPr>
              <w:jc w:val="center"/>
              <w:rPr>
                <w:rFonts w:ascii="宋体" w:hAnsi="宋体" w:cs="宋体"/>
                <w:sz w:val="24"/>
              </w:rPr>
            </w:pPr>
            <w:r>
              <w:rPr>
                <w:rFonts w:hint="eastAsia" w:ascii="宋体" w:hAnsi="宋体" w:cs="宋体"/>
                <w:sz w:val="24"/>
              </w:rPr>
              <w:t>人员数量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exact"/>
        </w:trPr>
        <w:tc>
          <w:tcPr>
            <w:tcW w:w="1300" w:type="pct"/>
            <w:shd w:val="clear" w:color="auto" w:fill="auto"/>
            <w:noWrap w:val="0"/>
            <w:vAlign w:val="center"/>
          </w:tcPr>
          <w:p>
            <w:pPr>
              <w:spacing w:line="360" w:lineRule="auto"/>
              <w:jc w:val="center"/>
              <w:rPr>
                <w:rFonts w:ascii="宋体" w:hAnsi="宋体" w:cs="宋体"/>
                <w:sz w:val="24"/>
              </w:rPr>
            </w:pPr>
            <w:r>
              <w:rPr>
                <w:rFonts w:hint="eastAsia" w:ascii="宋体" w:hAnsi="宋体" w:cs="宋体"/>
                <w:sz w:val="24"/>
              </w:rPr>
              <w:t>运行班（3班）</w:t>
            </w:r>
          </w:p>
        </w:tc>
        <w:tc>
          <w:tcPr>
            <w:tcW w:w="2656" w:type="pct"/>
            <w:shd w:val="clear" w:color="auto" w:fill="auto"/>
            <w:noWrap w:val="0"/>
            <w:vAlign w:val="center"/>
          </w:tcPr>
          <w:p>
            <w:pPr>
              <w:jc w:val="left"/>
              <w:rPr>
                <w:rFonts w:ascii="宋体" w:hAnsi="宋体" w:cs="宋体"/>
                <w:sz w:val="24"/>
              </w:rPr>
            </w:pPr>
            <w:r>
              <w:rPr>
                <w:rFonts w:hint="eastAsia" w:ascii="宋体" w:hAnsi="宋体" w:cs="宋体"/>
                <w:sz w:val="24"/>
              </w:rPr>
              <w:t>1门卫．2班长．3急诊．4大门岗.5应急.6巡逻</w:t>
            </w:r>
          </w:p>
        </w:tc>
        <w:tc>
          <w:tcPr>
            <w:tcW w:w="1043" w:type="pct"/>
            <w:shd w:val="clear" w:color="auto" w:fill="auto"/>
            <w:noWrap w:val="0"/>
            <w:vAlign w:val="center"/>
          </w:tcPr>
          <w:p>
            <w:pPr>
              <w:jc w:val="center"/>
              <w:rPr>
                <w:rFonts w:ascii="宋体" w:hAnsi="宋体" w:cs="宋体"/>
                <w:sz w:val="24"/>
              </w:rPr>
            </w:pPr>
            <w:r>
              <w:rPr>
                <w:rFonts w:hint="eastAsia" w:ascii="宋体" w:hAnsi="宋体" w:cs="宋体"/>
                <w:sz w:val="24"/>
              </w:rPr>
              <w:t>27人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300" w:type="pct"/>
            <w:shd w:val="clear" w:color="auto" w:fill="auto"/>
            <w:noWrap w:val="0"/>
            <w:vAlign w:val="center"/>
          </w:tcPr>
          <w:p>
            <w:pPr>
              <w:jc w:val="center"/>
              <w:rPr>
                <w:rFonts w:ascii="宋体" w:hAnsi="宋体" w:cs="宋体"/>
                <w:sz w:val="24"/>
              </w:rPr>
            </w:pPr>
            <w:r>
              <w:rPr>
                <w:rFonts w:hint="eastAsia" w:ascii="宋体" w:hAnsi="宋体" w:cs="宋体"/>
                <w:sz w:val="24"/>
              </w:rPr>
              <w:t>门诊</w:t>
            </w:r>
          </w:p>
        </w:tc>
        <w:tc>
          <w:tcPr>
            <w:tcW w:w="2656" w:type="pct"/>
            <w:shd w:val="clear" w:color="auto" w:fill="auto"/>
            <w:noWrap w:val="0"/>
            <w:vAlign w:val="center"/>
          </w:tcPr>
          <w:p>
            <w:pPr>
              <w:jc w:val="left"/>
              <w:rPr>
                <w:rFonts w:ascii="宋体" w:hAnsi="宋体" w:cs="宋体"/>
                <w:sz w:val="24"/>
              </w:rPr>
            </w:pPr>
            <w:r>
              <w:rPr>
                <w:rFonts w:hint="eastAsia" w:ascii="宋体" w:hAnsi="宋体" w:cs="宋体"/>
                <w:sz w:val="24"/>
              </w:rPr>
              <w:t>一楼到四楼</w:t>
            </w:r>
          </w:p>
        </w:tc>
        <w:tc>
          <w:tcPr>
            <w:tcW w:w="1043" w:type="pct"/>
            <w:shd w:val="clear" w:color="auto" w:fill="auto"/>
            <w:noWrap w:val="0"/>
            <w:vAlign w:val="center"/>
          </w:tcPr>
          <w:p>
            <w:pPr>
              <w:jc w:val="center"/>
              <w:rPr>
                <w:rFonts w:ascii="宋体" w:hAnsi="宋体" w:cs="宋体"/>
                <w:sz w:val="24"/>
              </w:rPr>
            </w:pPr>
            <w:r>
              <w:rPr>
                <w:rFonts w:hint="eastAsia" w:ascii="宋体" w:hAnsi="宋体" w:cs="宋体"/>
                <w:sz w:val="24"/>
              </w:rPr>
              <w:t>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300" w:type="pct"/>
            <w:shd w:val="clear" w:color="auto" w:fill="auto"/>
            <w:noWrap w:val="0"/>
            <w:vAlign w:val="center"/>
          </w:tcPr>
          <w:p>
            <w:pPr>
              <w:jc w:val="center"/>
              <w:rPr>
                <w:rFonts w:ascii="宋体" w:hAnsi="宋体" w:cs="宋体"/>
                <w:sz w:val="24"/>
              </w:rPr>
            </w:pPr>
            <w:r>
              <w:rPr>
                <w:rFonts w:hint="eastAsia" w:ascii="宋体" w:hAnsi="宋体" w:cs="宋体"/>
                <w:sz w:val="24"/>
              </w:rPr>
              <w:t>非机动车岗</w:t>
            </w:r>
          </w:p>
        </w:tc>
        <w:tc>
          <w:tcPr>
            <w:tcW w:w="2656" w:type="pct"/>
            <w:shd w:val="clear" w:color="auto" w:fill="auto"/>
            <w:noWrap w:val="0"/>
            <w:vAlign w:val="center"/>
          </w:tcPr>
          <w:p>
            <w:pPr>
              <w:jc w:val="left"/>
              <w:rPr>
                <w:rFonts w:ascii="宋体" w:hAnsi="宋体" w:cs="宋体"/>
                <w:sz w:val="24"/>
              </w:rPr>
            </w:pPr>
            <w:r>
              <w:rPr>
                <w:rFonts w:hint="eastAsia" w:ascii="宋体" w:hAnsi="宋体" w:cs="宋体"/>
                <w:sz w:val="24"/>
              </w:rPr>
              <w:t>1大桥下.2鄞慈镇路口.3侧门口</w:t>
            </w:r>
          </w:p>
        </w:tc>
        <w:tc>
          <w:tcPr>
            <w:tcW w:w="1043" w:type="pct"/>
            <w:shd w:val="clear" w:color="auto" w:fill="auto"/>
            <w:noWrap w:val="0"/>
            <w:vAlign w:val="center"/>
          </w:tcPr>
          <w:p>
            <w:pPr>
              <w:jc w:val="center"/>
              <w:rPr>
                <w:rFonts w:ascii="宋体" w:hAnsi="宋体" w:cs="宋体"/>
                <w:sz w:val="24"/>
              </w:rPr>
            </w:pPr>
            <w:r>
              <w:rPr>
                <w:rFonts w:hint="eastAsia" w:ascii="宋体" w:hAnsi="宋体" w:cs="宋体"/>
                <w:sz w:val="24"/>
              </w:rPr>
              <w:t>7人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300" w:type="pct"/>
            <w:shd w:val="clear" w:color="auto" w:fill="auto"/>
            <w:noWrap w:val="0"/>
            <w:vAlign w:val="center"/>
          </w:tcPr>
          <w:p>
            <w:pPr>
              <w:jc w:val="center"/>
              <w:rPr>
                <w:rFonts w:ascii="宋体" w:hAnsi="宋体" w:cs="宋体"/>
                <w:sz w:val="24"/>
              </w:rPr>
            </w:pPr>
            <w:r>
              <w:rPr>
                <w:rFonts w:hint="eastAsia" w:ascii="宋体" w:hAnsi="宋体" w:cs="宋体"/>
                <w:sz w:val="24"/>
              </w:rPr>
              <w:t>名仕大厦</w:t>
            </w:r>
          </w:p>
        </w:tc>
        <w:tc>
          <w:tcPr>
            <w:tcW w:w="2656" w:type="pct"/>
            <w:shd w:val="clear" w:color="auto" w:fill="auto"/>
            <w:noWrap w:val="0"/>
            <w:vAlign w:val="center"/>
          </w:tcPr>
          <w:p>
            <w:pPr>
              <w:jc w:val="left"/>
              <w:rPr>
                <w:rFonts w:ascii="宋体" w:hAnsi="宋体" w:cs="宋体"/>
                <w:sz w:val="24"/>
              </w:rPr>
            </w:pPr>
            <w:r>
              <w:rPr>
                <w:rFonts w:hint="eastAsia" w:ascii="宋体" w:hAnsi="宋体" w:cs="宋体"/>
                <w:sz w:val="24"/>
              </w:rPr>
              <w:t>6号楼</w:t>
            </w:r>
          </w:p>
        </w:tc>
        <w:tc>
          <w:tcPr>
            <w:tcW w:w="1043" w:type="pct"/>
            <w:shd w:val="clear" w:color="auto" w:fill="auto"/>
            <w:noWrap w:val="0"/>
            <w:vAlign w:val="center"/>
          </w:tcPr>
          <w:p>
            <w:pPr>
              <w:jc w:val="center"/>
              <w:rPr>
                <w:rFonts w:ascii="宋体" w:hAnsi="宋体" w:cs="宋体"/>
                <w:i/>
                <w:sz w:val="24"/>
              </w:rPr>
            </w:pPr>
            <w:r>
              <w:rPr>
                <w:rFonts w:hint="eastAsia" w:ascii="宋体" w:hAnsi="宋体" w:cs="宋体"/>
                <w:sz w:val="24"/>
              </w:rPr>
              <w:t>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300" w:type="pct"/>
            <w:shd w:val="clear" w:color="auto" w:fill="auto"/>
            <w:noWrap w:val="0"/>
            <w:vAlign w:val="center"/>
          </w:tcPr>
          <w:p>
            <w:pPr>
              <w:jc w:val="center"/>
              <w:rPr>
                <w:rFonts w:ascii="宋体" w:hAnsi="宋体" w:cs="宋体"/>
                <w:sz w:val="24"/>
              </w:rPr>
            </w:pPr>
            <w:r>
              <w:rPr>
                <w:rFonts w:hint="eastAsia" w:ascii="宋体" w:hAnsi="宋体" w:cs="宋体"/>
                <w:sz w:val="24"/>
              </w:rPr>
              <w:t>特勤</w:t>
            </w:r>
          </w:p>
        </w:tc>
        <w:tc>
          <w:tcPr>
            <w:tcW w:w="2656" w:type="pct"/>
            <w:shd w:val="clear" w:color="auto" w:fill="auto"/>
            <w:noWrap w:val="0"/>
            <w:vAlign w:val="center"/>
          </w:tcPr>
          <w:p>
            <w:pPr>
              <w:jc w:val="left"/>
              <w:rPr>
                <w:rFonts w:ascii="宋体" w:hAnsi="宋体" w:cs="宋体"/>
                <w:sz w:val="24"/>
              </w:rPr>
            </w:pPr>
            <w:r>
              <w:rPr>
                <w:rFonts w:hint="eastAsia" w:ascii="宋体" w:hAnsi="宋体" w:cs="宋体"/>
                <w:sz w:val="24"/>
              </w:rPr>
              <w:t>1巡逻.2应急.3医患中心.4.消防</w:t>
            </w:r>
          </w:p>
        </w:tc>
        <w:tc>
          <w:tcPr>
            <w:tcW w:w="1043" w:type="pct"/>
            <w:shd w:val="clear" w:color="auto" w:fill="auto"/>
            <w:noWrap w:val="0"/>
            <w:vAlign w:val="center"/>
          </w:tcPr>
          <w:p>
            <w:pPr>
              <w:jc w:val="center"/>
              <w:rPr>
                <w:rFonts w:ascii="宋体" w:hAnsi="宋体" w:cs="宋体"/>
                <w:sz w:val="24"/>
              </w:rPr>
            </w:pPr>
            <w:r>
              <w:rPr>
                <w:rFonts w:hint="eastAsia" w:ascii="宋体" w:hAnsi="宋体" w:cs="宋体"/>
                <w:sz w:val="24"/>
              </w:rPr>
              <w:t>7人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300" w:type="pct"/>
            <w:shd w:val="clear" w:color="auto" w:fill="auto"/>
            <w:noWrap w:val="0"/>
            <w:vAlign w:val="center"/>
          </w:tcPr>
          <w:p>
            <w:pPr>
              <w:jc w:val="center"/>
              <w:rPr>
                <w:rFonts w:ascii="宋体" w:hAnsi="宋体" w:cs="宋体"/>
                <w:sz w:val="24"/>
              </w:rPr>
            </w:pPr>
            <w:r>
              <w:rPr>
                <w:rFonts w:hint="eastAsia" w:ascii="宋体" w:hAnsi="宋体" w:cs="宋体"/>
                <w:sz w:val="24"/>
              </w:rPr>
              <w:t>监控</w:t>
            </w:r>
          </w:p>
        </w:tc>
        <w:tc>
          <w:tcPr>
            <w:tcW w:w="2656" w:type="pct"/>
            <w:shd w:val="clear" w:color="auto" w:fill="auto"/>
            <w:noWrap w:val="0"/>
            <w:vAlign w:val="center"/>
          </w:tcPr>
          <w:p>
            <w:pPr>
              <w:jc w:val="left"/>
              <w:rPr>
                <w:rFonts w:ascii="宋体" w:hAnsi="宋体" w:cs="宋体"/>
                <w:sz w:val="24"/>
              </w:rPr>
            </w:pPr>
            <w:r>
              <w:rPr>
                <w:rFonts w:hint="eastAsia" w:ascii="宋体" w:hAnsi="宋体" w:cs="宋体"/>
                <w:sz w:val="24"/>
              </w:rPr>
              <w:t>消控室</w:t>
            </w:r>
          </w:p>
        </w:tc>
        <w:tc>
          <w:tcPr>
            <w:tcW w:w="1043" w:type="pct"/>
            <w:shd w:val="clear" w:color="auto" w:fill="auto"/>
            <w:noWrap w:val="0"/>
            <w:vAlign w:val="center"/>
          </w:tcPr>
          <w:p>
            <w:pPr>
              <w:jc w:val="center"/>
              <w:rPr>
                <w:rFonts w:ascii="宋体" w:hAnsi="宋体" w:cs="宋体"/>
                <w:sz w:val="24"/>
              </w:rPr>
            </w:pPr>
            <w:r>
              <w:rPr>
                <w:rFonts w:hint="eastAsia" w:ascii="宋体" w:hAnsi="宋体" w:cs="宋体"/>
                <w:sz w:val="24"/>
              </w:rPr>
              <w:t>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300" w:type="pct"/>
            <w:shd w:val="clear" w:color="auto" w:fill="auto"/>
            <w:noWrap w:val="0"/>
            <w:vAlign w:val="center"/>
          </w:tcPr>
          <w:p>
            <w:pPr>
              <w:jc w:val="center"/>
              <w:rPr>
                <w:rFonts w:ascii="宋体" w:hAnsi="宋体" w:cs="宋体"/>
                <w:sz w:val="24"/>
              </w:rPr>
            </w:pPr>
            <w:r>
              <w:rPr>
                <w:rFonts w:hint="eastAsia" w:ascii="宋体" w:hAnsi="宋体" w:cs="宋体"/>
                <w:sz w:val="24"/>
              </w:rPr>
              <w:t>收发</w:t>
            </w:r>
          </w:p>
        </w:tc>
        <w:tc>
          <w:tcPr>
            <w:tcW w:w="2656" w:type="pct"/>
            <w:shd w:val="clear" w:color="auto" w:fill="auto"/>
            <w:noWrap w:val="0"/>
            <w:vAlign w:val="center"/>
          </w:tcPr>
          <w:p>
            <w:pPr>
              <w:jc w:val="left"/>
              <w:rPr>
                <w:rFonts w:ascii="宋体" w:hAnsi="宋体" w:cs="宋体"/>
                <w:sz w:val="24"/>
              </w:rPr>
            </w:pPr>
            <w:r>
              <w:rPr>
                <w:rFonts w:hint="eastAsia" w:ascii="宋体" w:hAnsi="宋体" w:cs="宋体"/>
                <w:sz w:val="24"/>
              </w:rPr>
              <w:t>全院</w:t>
            </w:r>
          </w:p>
        </w:tc>
        <w:tc>
          <w:tcPr>
            <w:tcW w:w="1043" w:type="pct"/>
            <w:shd w:val="clear" w:color="auto" w:fill="auto"/>
            <w:noWrap w:val="0"/>
            <w:vAlign w:val="center"/>
          </w:tcPr>
          <w:p>
            <w:pPr>
              <w:jc w:val="center"/>
              <w:rPr>
                <w:rFonts w:ascii="宋体" w:hAnsi="宋体" w:cs="宋体"/>
                <w:sz w:val="24"/>
              </w:rPr>
            </w:pPr>
            <w:r>
              <w:rPr>
                <w:rFonts w:hint="eastAsia" w:ascii="宋体" w:hAnsi="宋体" w:cs="宋体"/>
                <w:sz w:val="24"/>
              </w:rPr>
              <w:t>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300" w:type="pct"/>
            <w:shd w:val="clear" w:color="auto" w:fill="auto"/>
            <w:noWrap w:val="0"/>
            <w:vAlign w:val="center"/>
          </w:tcPr>
          <w:p>
            <w:pPr>
              <w:jc w:val="center"/>
              <w:rPr>
                <w:rFonts w:ascii="宋体" w:hAnsi="宋体" w:cs="宋体"/>
                <w:sz w:val="24"/>
              </w:rPr>
            </w:pPr>
            <w:r>
              <w:rPr>
                <w:rFonts w:hint="eastAsia" w:ascii="宋体" w:hAnsi="宋体" w:cs="宋体"/>
                <w:sz w:val="24"/>
              </w:rPr>
              <w:t>队长</w:t>
            </w:r>
          </w:p>
        </w:tc>
        <w:tc>
          <w:tcPr>
            <w:tcW w:w="2656" w:type="pct"/>
            <w:shd w:val="clear" w:color="auto" w:fill="auto"/>
            <w:noWrap w:val="0"/>
            <w:vAlign w:val="center"/>
          </w:tcPr>
          <w:p>
            <w:pPr>
              <w:jc w:val="left"/>
              <w:rPr>
                <w:rFonts w:ascii="宋体" w:hAnsi="宋体" w:cs="宋体"/>
                <w:sz w:val="24"/>
              </w:rPr>
            </w:pPr>
            <w:r>
              <w:rPr>
                <w:rFonts w:hint="eastAsia" w:ascii="宋体" w:hAnsi="宋体" w:cs="宋体"/>
                <w:sz w:val="24"/>
              </w:rPr>
              <w:t>机动管理</w:t>
            </w:r>
          </w:p>
        </w:tc>
        <w:tc>
          <w:tcPr>
            <w:tcW w:w="1043" w:type="pct"/>
            <w:shd w:val="clear" w:color="auto" w:fill="auto"/>
            <w:noWrap w:val="0"/>
            <w:vAlign w:val="center"/>
          </w:tcPr>
          <w:p>
            <w:pPr>
              <w:jc w:val="center"/>
              <w:rPr>
                <w:rFonts w:ascii="宋体" w:hAnsi="宋体" w:cs="宋体"/>
                <w:sz w:val="24"/>
              </w:rPr>
            </w:pPr>
            <w:r>
              <w:rPr>
                <w:rFonts w:hint="eastAsia" w:ascii="宋体" w:hAnsi="宋体" w:cs="宋体"/>
                <w:sz w:val="24"/>
              </w:rPr>
              <w:t>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300" w:type="pct"/>
            <w:shd w:val="clear" w:color="auto" w:fill="auto"/>
            <w:noWrap w:val="0"/>
            <w:vAlign w:val="center"/>
          </w:tcPr>
          <w:p>
            <w:pPr>
              <w:jc w:val="center"/>
              <w:rPr>
                <w:rFonts w:ascii="宋体" w:hAnsi="宋体" w:cs="宋体"/>
                <w:sz w:val="24"/>
              </w:rPr>
            </w:pPr>
            <w:r>
              <w:rPr>
                <w:rFonts w:hint="eastAsia" w:ascii="宋体" w:hAnsi="宋体" w:cs="宋体"/>
                <w:sz w:val="24"/>
              </w:rPr>
              <w:t>医患中心</w:t>
            </w:r>
          </w:p>
        </w:tc>
        <w:tc>
          <w:tcPr>
            <w:tcW w:w="2656" w:type="pct"/>
            <w:shd w:val="clear" w:color="auto" w:fill="auto"/>
            <w:noWrap w:val="0"/>
            <w:vAlign w:val="center"/>
          </w:tcPr>
          <w:p>
            <w:pPr>
              <w:jc w:val="left"/>
              <w:rPr>
                <w:rFonts w:ascii="宋体" w:hAnsi="宋体" w:cs="宋体"/>
                <w:sz w:val="24"/>
              </w:rPr>
            </w:pPr>
            <w:r>
              <w:rPr>
                <w:rFonts w:hint="eastAsia" w:ascii="宋体" w:hAnsi="宋体" w:cs="宋体"/>
                <w:sz w:val="24"/>
              </w:rPr>
              <w:t>应急处置</w:t>
            </w:r>
          </w:p>
        </w:tc>
        <w:tc>
          <w:tcPr>
            <w:tcW w:w="1043" w:type="pct"/>
            <w:shd w:val="clear" w:color="auto" w:fill="auto"/>
            <w:noWrap w:val="0"/>
            <w:vAlign w:val="center"/>
          </w:tcPr>
          <w:p>
            <w:pPr>
              <w:jc w:val="center"/>
              <w:rPr>
                <w:rFonts w:ascii="宋体" w:hAnsi="宋体" w:cs="宋体"/>
                <w:sz w:val="24"/>
              </w:rPr>
            </w:pPr>
            <w:r>
              <w:rPr>
                <w:rFonts w:hint="eastAsia" w:ascii="宋体" w:hAnsi="宋体" w:cs="宋体"/>
                <w:sz w:val="24"/>
              </w:rPr>
              <w:t>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300" w:type="pct"/>
            <w:shd w:val="clear" w:color="auto" w:fill="auto"/>
            <w:noWrap w:val="0"/>
            <w:vAlign w:val="center"/>
          </w:tcPr>
          <w:p>
            <w:pPr>
              <w:jc w:val="center"/>
              <w:rPr>
                <w:rFonts w:ascii="宋体" w:hAnsi="宋体" w:cs="宋体"/>
                <w:sz w:val="24"/>
              </w:rPr>
            </w:pPr>
            <w:r>
              <w:rPr>
                <w:rFonts w:hint="eastAsia" w:ascii="宋体" w:hAnsi="宋体" w:cs="宋体"/>
                <w:sz w:val="24"/>
              </w:rPr>
              <w:t>陪护岗</w:t>
            </w:r>
          </w:p>
        </w:tc>
        <w:tc>
          <w:tcPr>
            <w:tcW w:w="2656" w:type="pct"/>
            <w:shd w:val="clear" w:color="auto" w:fill="auto"/>
            <w:noWrap w:val="0"/>
            <w:vAlign w:val="center"/>
          </w:tcPr>
          <w:p>
            <w:pPr>
              <w:jc w:val="left"/>
              <w:rPr>
                <w:rFonts w:ascii="宋体" w:hAnsi="宋体" w:cs="宋体"/>
                <w:sz w:val="24"/>
              </w:rPr>
            </w:pPr>
            <w:r>
              <w:rPr>
                <w:rFonts w:hint="eastAsia" w:ascii="宋体" w:hAnsi="宋体" w:cs="宋体"/>
                <w:sz w:val="24"/>
              </w:rPr>
              <w:t>一号楼一楼、二楼、新大楼、天桥下</w:t>
            </w:r>
          </w:p>
        </w:tc>
        <w:tc>
          <w:tcPr>
            <w:tcW w:w="1043" w:type="pct"/>
            <w:shd w:val="clear" w:color="auto" w:fill="auto"/>
            <w:noWrap w:val="0"/>
            <w:vAlign w:val="center"/>
          </w:tcPr>
          <w:p>
            <w:pPr>
              <w:jc w:val="center"/>
              <w:rPr>
                <w:rFonts w:ascii="宋体" w:hAnsi="宋体" w:cs="宋体"/>
                <w:sz w:val="24"/>
              </w:rPr>
            </w:pPr>
            <w:r>
              <w:rPr>
                <w:rFonts w:hint="eastAsia" w:ascii="宋体" w:hAnsi="宋体" w:cs="宋体"/>
                <w:sz w:val="24"/>
              </w:rPr>
              <w:t>6人</w:t>
            </w:r>
          </w:p>
        </w:tc>
      </w:tr>
    </w:tbl>
    <w:p>
      <w:pPr>
        <w:spacing w:line="360" w:lineRule="auto"/>
        <w:ind w:firstLine="480" w:firstLineChars="200"/>
        <w:rPr>
          <w:rFonts w:ascii="宋体" w:hAnsi="宋体" w:cs="仿宋"/>
          <w:sz w:val="24"/>
        </w:rPr>
      </w:pPr>
      <w:r>
        <w:rPr>
          <w:rFonts w:hint="eastAsia" w:ascii="宋体" w:hAnsi="宋体" w:cs="仿宋"/>
          <w:sz w:val="24"/>
        </w:rPr>
        <w:t>备注：1、人员需要更换时须及时上报业主单位，需经业主单位认可同意。</w:t>
      </w:r>
    </w:p>
    <w:p>
      <w:pPr>
        <w:spacing w:line="360" w:lineRule="auto"/>
        <w:ind w:firstLine="1200" w:firstLineChars="500"/>
        <w:rPr>
          <w:rFonts w:ascii="宋体" w:hAnsi="宋体" w:cs="仿宋"/>
          <w:sz w:val="24"/>
        </w:rPr>
      </w:pPr>
      <w:r>
        <w:rPr>
          <w:rFonts w:hint="eastAsia" w:ascii="宋体" w:hAnsi="宋体" w:cs="仿宋"/>
          <w:sz w:val="24"/>
        </w:rPr>
        <w:t>2、上述人员应无违法、犯罪记录，身体健康，遵纪守法，品行端正。</w:t>
      </w:r>
    </w:p>
    <w:bookmarkEnd w:id="0"/>
    <w:p>
      <w:pPr>
        <w:spacing w:line="600" w:lineRule="auto"/>
        <w:jc w:val="center"/>
        <w:rPr>
          <w:b/>
          <w:bCs/>
          <w:sz w:val="32"/>
          <w:szCs w:val="32"/>
        </w:rPr>
      </w:pPr>
      <w:r>
        <w:rPr>
          <w:rFonts w:hint="eastAsia"/>
          <w:b/>
          <w:bCs/>
          <w:sz w:val="32"/>
          <w:szCs w:val="32"/>
        </w:rPr>
        <w:t>三、安保管理费用及补充说明</w:t>
      </w:r>
    </w:p>
    <w:p>
      <w:pPr>
        <w:ind w:firstLine="482" w:firstLineChars="200"/>
        <w:rPr>
          <w:rFonts w:ascii="宋体" w:hAnsi="宋体" w:cs="仿宋"/>
          <w:b/>
          <w:bCs/>
          <w:sz w:val="24"/>
        </w:rPr>
      </w:pPr>
      <w:r>
        <w:rPr>
          <w:rFonts w:hint="eastAsia" w:ascii="宋体" w:hAnsi="宋体" w:cs="仿宋"/>
          <w:b/>
          <w:bCs/>
          <w:sz w:val="24"/>
        </w:rPr>
        <w:t>（一）安保管理费用包括以下内容：</w:t>
      </w:r>
    </w:p>
    <w:p>
      <w:pPr>
        <w:spacing w:line="360" w:lineRule="auto"/>
        <w:ind w:firstLine="480" w:firstLineChars="200"/>
        <w:rPr>
          <w:rFonts w:ascii="宋体" w:hAnsi="宋体" w:cs="仿宋"/>
          <w:sz w:val="24"/>
        </w:rPr>
      </w:pPr>
      <w:r>
        <w:rPr>
          <w:rFonts w:hint="eastAsia" w:ascii="宋体" w:hAnsi="宋体" w:cs="仿宋"/>
          <w:sz w:val="24"/>
        </w:rPr>
        <w:t>1、人工工资费用（必须符合劳动法及相关法律法规及宁波市人社局规定，否则作无效标处理）</w:t>
      </w:r>
    </w:p>
    <w:p>
      <w:pPr>
        <w:spacing w:line="360" w:lineRule="auto"/>
        <w:ind w:firstLine="480" w:firstLineChars="200"/>
        <w:rPr>
          <w:rFonts w:ascii="宋体" w:hAnsi="宋体" w:cs="仿宋"/>
          <w:sz w:val="24"/>
        </w:rPr>
      </w:pPr>
      <w:r>
        <w:rPr>
          <w:rFonts w:hint="eastAsia" w:ascii="宋体" w:hAnsi="宋体" w:cs="仿宋"/>
          <w:sz w:val="24"/>
        </w:rPr>
        <w:t>2、社会保险（必须符合劳动法及相关法律法规及宁波市人社局规定，否则作无效标处理）</w:t>
      </w:r>
    </w:p>
    <w:p>
      <w:pPr>
        <w:spacing w:line="360" w:lineRule="auto"/>
        <w:ind w:firstLine="480" w:firstLineChars="200"/>
        <w:rPr>
          <w:rFonts w:ascii="宋体" w:hAnsi="宋体" w:cs="仿宋"/>
          <w:sz w:val="24"/>
        </w:rPr>
      </w:pPr>
      <w:r>
        <w:rPr>
          <w:rFonts w:hint="eastAsia" w:ascii="宋体" w:hAnsi="宋体" w:cs="仿宋"/>
          <w:sz w:val="24"/>
        </w:rPr>
        <w:t>3、福利</w:t>
      </w:r>
    </w:p>
    <w:p>
      <w:pPr>
        <w:spacing w:line="360" w:lineRule="auto"/>
        <w:ind w:firstLine="480" w:firstLineChars="200"/>
        <w:rPr>
          <w:rFonts w:ascii="宋体" w:hAnsi="宋体" w:cs="仿宋"/>
          <w:sz w:val="24"/>
        </w:rPr>
      </w:pPr>
      <w:r>
        <w:rPr>
          <w:rFonts w:hint="eastAsia" w:ascii="宋体" w:hAnsi="宋体" w:cs="仿宋"/>
          <w:sz w:val="24"/>
        </w:rPr>
        <w:t>4、节假日加班费用</w:t>
      </w:r>
    </w:p>
    <w:p>
      <w:pPr>
        <w:spacing w:line="360" w:lineRule="auto"/>
        <w:ind w:firstLine="480" w:firstLineChars="200"/>
        <w:rPr>
          <w:rFonts w:ascii="宋体" w:hAnsi="宋体" w:cs="仿宋"/>
          <w:sz w:val="24"/>
        </w:rPr>
      </w:pPr>
      <w:r>
        <w:rPr>
          <w:rFonts w:hint="eastAsia" w:ascii="宋体" w:hAnsi="宋体" w:cs="仿宋"/>
          <w:sz w:val="24"/>
        </w:rPr>
        <w:t>5、行政办公费用</w:t>
      </w:r>
    </w:p>
    <w:p>
      <w:pPr>
        <w:spacing w:line="360" w:lineRule="auto"/>
        <w:ind w:firstLine="480" w:firstLineChars="200"/>
        <w:rPr>
          <w:rFonts w:ascii="宋体" w:hAnsi="宋体" w:cs="仿宋"/>
          <w:sz w:val="24"/>
        </w:rPr>
      </w:pPr>
      <w:r>
        <w:rPr>
          <w:rFonts w:hint="eastAsia" w:ascii="宋体" w:hAnsi="宋体" w:cs="仿宋"/>
          <w:sz w:val="24"/>
        </w:rPr>
        <w:t>6、员工的服装费用</w:t>
      </w:r>
    </w:p>
    <w:p>
      <w:pPr>
        <w:spacing w:line="360" w:lineRule="auto"/>
        <w:ind w:firstLine="480" w:firstLineChars="200"/>
        <w:rPr>
          <w:rFonts w:ascii="宋体" w:hAnsi="宋体" w:cs="仿宋"/>
          <w:sz w:val="24"/>
        </w:rPr>
      </w:pPr>
      <w:r>
        <w:rPr>
          <w:rFonts w:hint="eastAsia" w:ascii="宋体" w:hAnsi="宋体" w:cs="仿宋"/>
          <w:sz w:val="24"/>
        </w:rPr>
        <w:t>7、管理费用</w:t>
      </w:r>
    </w:p>
    <w:p>
      <w:pPr>
        <w:spacing w:line="360" w:lineRule="auto"/>
        <w:ind w:firstLine="480" w:firstLineChars="200"/>
        <w:rPr>
          <w:rFonts w:ascii="宋体" w:hAnsi="宋体" w:cs="仿宋"/>
          <w:sz w:val="24"/>
        </w:rPr>
      </w:pPr>
      <w:r>
        <w:rPr>
          <w:rFonts w:hint="eastAsia" w:ascii="宋体" w:hAnsi="宋体" w:cs="仿宋"/>
          <w:sz w:val="24"/>
        </w:rPr>
        <w:t>8、法定税费</w:t>
      </w:r>
    </w:p>
    <w:p>
      <w:pPr>
        <w:spacing w:line="360" w:lineRule="auto"/>
        <w:ind w:firstLine="480" w:firstLineChars="200"/>
        <w:rPr>
          <w:rFonts w:ascii="宋体" w:hAnsi="宋体" w:cs="仿宋"/>
          <w:sz w:val="24"/>
        </w:rPr>
      </w:pPr>
      <w:r>
        <w:rPr>
          <w:rFonts w:hint="eastAsia" w:ascii="宋体" w:hAnsi="宋体" w:cs="仿宋"/>
          <w:sz w:val="24"/>
        </w:rPr>
        <w:t>9、管理设备分摊及固定资产折旧</w:t>
      </w:r>
    </w:p>
    <w:p>
      <w:pPr>
        <w:spacing w:line="360" w:lineRule="auto"/>
        <w:ind w:firstLine="480" w:firstLineChars="200"/>
        <w:rPr>
          <w:rFonts w:hint="eastAsia" w:ascii="宋体" w:hAnsi="宋体" w:cs="仿宋"/>
          <w:sz w:val="24"/>
        </w:rPr>
      </w:pPr>
      <w:r>
        <w:rPr>
          <w:rFonts w:hint="eastAsia" w:ascii="宋体" w:hAnsi="宋体" w:cs="仿宋"/>
          <w:sz w:val="24"/>
        </w:rPr>
        <w:t xml:space="preserve">10、其它费用。 </w:t>
      </w:r>
    </w:p>
    <w:p>
      <w:pPr>
        <w:spacing w:line="360" w:lineRule="auto"/>
        <w:ind w:firstLine="480" w:firstLineChars="200"/>
        <w:rPr>
          <w:rFonts w:hint="eastAsia" w:ascii="宋体" w:hAnsi="宋体" w:cs="仿宋"/>
          <w:sz w:val="24"/>
        </w:rPr>
      </w:pPr>
      <w:r>
        <w:rPr>
          <w:rFonts w:ascii="宋体" w:hAnsi="宋体" w:cs="仿宋"/>
          <w:sz w:val="24"/>
        </w:rPr>
        <w:t>包括配备至少</w:t>
      </w:r>
      <w:r>
        <w:rPr>
          <w:rFonts w:hint="eastAsia" w:ascii="宋体" w:hAnsi="宋体" w:cs="仿宋"/>
          <w:sz w:val="24"/>
        </w:rPr>
        <w:t>18台对讲机、4盏强光灯。</w:t>
      </w:r>
    </w:p>
    <w:p>
      <w:pPr>
        <w:spacing w:line="360" w:lineRule="auto"/>
        <w:ind w:firstLine="480" w:firstLineChars="200"/>
        <w:rPr>
          <w:rFonts w:hint="eastAsia" w:ascii="宋体" w:hAnsi="宋体" w:cs="仿宋"/>
          <w:sz w:val="24"/>
        </w:rPr>
      </w:pPr>
      <w:r>
        <w:rPr>
          <w:rFonts w:hint="eastAsia" w:ascii="宋体" w:hAnsi="宋体" w:cs="仿宋"/>
          <w:sz w:val="24"/>
        </w:rPr>
        <w:t>7名特勤人员年人均费用为人民币7.00万元整/年/人，年总费用为人民币49.00万元整/年，采购人托管，属中标单位费用代发形式，此费用包含在投标总价中；</w:t>
      </w:r>
    </w:p>
    <w:p>
      <w:pPr>
        <w:spacing w:line="360" w:lineRule="auto"/>
        <w:ind w:firstLine="480" w:firstLineChars="200"/>
        <w:rPr>
          <w:rFonts w:ascii="宋体" w:hAnsi="宋体" w:cs="仿宋"/>
          <w:sz w:val="24"/>
        </w:rPr>
      </w:pPr>
      <w:r>
        <w:rPr>
          <w:rFonts w:hint="eastAsia" w:ascii="宋体" w:hAnsi="宋体" w:cs="仿宋"/>
          <w:sz w:val="24"/>
        </w:rPr>
        <w:t>非机动车管理7名+报刊收发1名（共8名）年人均费用为人民币3.25万元整/年/人，年总费用为人民币26.00万元整/年，采购人托管，属中标单位费用代发形式，此费用包含在投标总价中。</w:t>
      </w:r>
    </w:p>
    <w:p>
      <w:pPr>
        <w:ind w:firstLine="482" w:firstLineChars="200"/>
        <w:rPr>
          <w:rFonts w:ascii="仿宋" w:hAnsi="仿宋" w:eastAsia="仿宋" w:cs="仿宋"/>
          <w:b/>
          <w:sz w:val="24"/>
        </w:rPr>
      </w:pPr>
      <w:r>
        <w:rPr>
          <w:rFonts w:hint="eastAsia" w:ascii="宋体" w:hAnsi="宋体" w:cs="仿宋"/>
          <w:b/>
          <w:bCs/>
          <w:sz w:val="24"/>
        </w:rPr>
        <w:t>（二）其它补充说明</w:t>
      </w:r>
    </w:p>
    <w:p>
      <w:pPr>
        <w:spacing w:line="360" w:lineRule="auto"/>
        <w:ind w:firstLine="482" w:firstLineChars="200"/>
        <w:rPr>
          <w:rFonts w:hint="eastAsia" w:ascii="宋体" w:hAnsi="宋体" w:cs="仿宋"/>
          <w:b/>
          <w:sz w:val="24"/>
        </w:rPr>
      </w:pPr>
      <w:r>
        <w:rPr>
          <w:rFonts w:hint="eastAsia" w:ascii="宋体" w:hAnsi="宋体" w:cs="仿宋"/>
          <w:b/>
          <w:sz w:val="24"/>
        </w:rPr>
        <w:t>1、本次招标，委托管理期限为三年。 管理服务费用由各投标方自行报价（投标人在进行投标报价时要充分考虑未来三年价格因素的变化，中标价格将作为合同价格执行三年；合同执行期间，如宁波市社会平均最低工资调整，则调整部分费用由甲方负责，税金及社会保障金等其它费用调整由乙方负责(2020年度甲方不作调整)</w:t>
      </w:r>
    </w:p>
    <w:p>
      <w:pPr>
        <w:spacing w:line="360" w:lineRule="auto"/>
        <w:ind w:firstLine="482" w:firstLineChars="200"/>
        <w:rPr>
          <w:rFonts w:hint="eastAsia" w:ascii="宋体" w:hAnsi="宋体" w:cs="仿宋"/>
          <w:b/>
          <w:sz w:val="24"/>
        </w:rPr>
      </w:pPr>
      <w:r>
        <w:rPr>
          <w:rFonts w:hint="eastAsia" w:ascii="宋体" w:hAnsi="宋体" w:cs="仿宋"/>
          <w:b/>
          <w:sz w:val="24"/>
        </w:rPr>
        <w:t>管理合同为一年一签，一年结束后，经招标人考核合格，双方协商一致，报备宁波市政府采购管理办公室后，可续签下一年度的合同，最多续签二年。</w:t>
      </w:r>
    </w:p>
    <w:p>
      <w:pPr>
        <w:spacing w:line="360" w:lineRule="auto"/>
        <w:ind w:firstLine="480" w:firstLineChars="200"/>
        <w:rPr>
          <w:rFonts w:ascii="宋体" w:hAnsi="宋体" w:cs="仿宋"/>
          <w:sz w:val="24"/>
        </w:rPr>
      </w:pPr>
      <w:r>
        <w:rPr>
          <w:rFonts w:hint="eastAsia" w:ascii="宋体" w:hAnsi="宋体" w:cs="仿宋"/>
          <w:sz w:val="24"/>
        </w:rPr>
        <w:t>2、由于采购人要求增加或减少工作内容而导致工作人员的增加或减少的，合同金额采购人将按实际人数根据综合单价调整相应费用，调整范围不超过10%（含10%）。3、在投标报价中，管理费采用包干制。中标单位与委托方签订管理合同，对本项目实行管理，自主经营，自负盈亏。</w:t>
      </w:r>
    </w:p>
    <w:p>
      <w:pPr>
        <w:spacing w:line="360" w:lineRule="auto"/>
        <w:ind w:firstLine="480" w:firstLineChars="200"/>
        <w:rPr>
          <w:rFonts w:ascii="宋体" w:hAnsi="宋体" w:cs="仿宋"/>
          <w:sz w:val="24"/>
        </w:rPr>
      </w:pPr>
      <w:r>
        <w:rPr>
          <w:rFonts w:hint="eastAsia" w:ascii="宋体" w:hAnsi="宋体" w:cs="仿宋"/>
          <w:sz w:val="24"/>
        </w:rPr>
        <w:t>4、中标单位需在本项目中指定一名负责人长期驻守业主单位，负责本项目的协调管理，按本项目管理的要求配备相应的工作人员。中标单位必须严格管理，制订相应的规章制度，人员要坚守岗位，实行专人负责制，项目负责人必须跟班作业，服从管理，做到服务第一，质量第一。</w:t>
      </w:r>
    </w:p>
    <w:p>
      <w:pPr>
        <w:spacing w:line="360" w:lineRule="auto"/>
        <w:ind w:firstLine="480" w:firstLineChars="200"/>
        <w:rPr>
          <w:rFonts w:ascii="宋体" w:hAnsi="宋体" w:cs="仿宋"/>
          <w:sz w:val="24"/>
        </w:rPr>
      </w:pPr>
      <w:r>
        <w:rPr>
          <w:rFonts w:hint="eastAsia" w:ascii="宋体" w:hAnsi="宋体" w:cs="仿宋"/>
          <w:sz w:val="24"/>
        </w:rPr>
        <w:t>5、中标单位和委派人员应遵守国家法律法规和业主单位的规章制度，违者依法必究。派驻人员应服从业主单位管理和指导，若不服从，中标单位应在5天时间内调换人员。</w:t>
      </w:r>
    </w:p>
    <w:p>
      <w:pPr>
        <w:spacing w:line="360" w:lineRule="auto"/>
        <w:ind w:firstLine="480" w:firstLineChars="200"/>
        <w:rPr>
          <w:rFonts w:hint="eastAsia" w:ascii="宋体" w:hAnsi="宋体" w:cs="仿宋"/>
          <w:sz w:val="24"/>
        </w:rPr>
      </w:pPr>
      <w:r>
        <w:rPr>
          <w:rFonts w:hint="eastAsia" w:ascii="宋体" w:hAnsi="宋体" w:cs="仿宋"/>
          <w:sz w:val="24"/>
        </w:rPr>
        <w:t>6、中标单位与采购人签订管理合同时需向采购人提交中标金额5%的履约保证金，合同履行完毕退还，但不计利息。</w:t>
      </w:r>
    </w:p>
    <w:p>
      <w:pPr>
        <w:spacing w:line="360" w:lineRule="auto"/>
        <w:ind w:firstLine="480" w:firstLineChars="200"/>
        <w:rPr>
          <w:rFonts w:ascii="宋体" w:hAnsi="宋体" w:cs="仿宋"/>
          <w:sz w:val="24"/>
        </w:rPr>
      </w:pPr>
      <w:r>
        <w:rPr>
          <w:rFonts w:hint="eastAsia" w:ascii="宋体" w:hAnsi="宋体" w:cs="仿宋"/>
          <w:sz w:val="24"/>
        </w:rPr>
        <w:t>7、管理费用结算：合同生效后15日内支付合同金额30%的预付款。第一次结算以合同生效之日起以三个月为单位，根据实际进驻人数计算，经审核无误后，乙方提交考核报告及有效发票给甲方作为付款凭据后15日内予以支付，支付时扣除当次乙方应支付的违约金和应承担的赔偿款（实际支付费用≤预付款时，不予支付；实际支付费用＞预付款时，按实支付超出预付款部分的金额）。第一次结算完毕后，以每月25日前，根据实际人数计算，经审核无误后，乙方提交考核报告及有效发票给甲方作为付款凭据后15日内予以支付，支付时扣除当次乙方应支付的违约金和应承担的赔偿款。</w:t>
      </w:r>
    </w:p>
    <w:p>
      <w:pPr>
        <w:spacing w:line="600" w:lineRule="auto"/>
        <w:jc w:val="center"/>
        <w:rPr>
          <w:b/>
          <w:bCs/>
          <w:sz w:val="32"/>
          <w:szCs w:val="32"/>
        </w:rPr>
      </w:pPr>
      <w:r>
        <w:rPr>
          <w:rFonts w:hint="eastAsia"/>
          <w:b/>
          <w:bCs/>
          <w:sz w:val="32"/>
          <w:szCs w:val="32"/>
        </w:rPr>
        <w:t>四、注意事项</w:t>
      </w:r>
    </w:p>
    <w:p>
      <w:pPr>
        <w:spacing w:line="360" w:lineRule="auto"/>
        <w:ind w:firstLine="480" w:firstLineChars="200"/>
        <w:rPr>
          <w:rFonts w:ascii="宋体" w:hAnsi="宋体" w:cs="仿宋"/>
          <w:sz w:val="24"/>
        </w:rPr>
      </w:pPr>
      <w:r>
        <w:rPr>
          <w:rFonts w:hint="eastAsia" w:ascii="宋体" w:hAnsi="宋体" w:cs="仿宋"/>
          <w:sz w:val="24"/>
        </w:rPr>
        <w:t>1、中标人不得将项目非法分包或整体转包给任何单位和个人。否则，采购人有权即刻解除合同，并要求中标人按合同约定赔偿相应损失。</w:t>
      </w:r>
    </w:p>
    <w:p>
      <w:pPr>
        <w:spacing w:line="360" w:lineRule="auto"/>
        <w:ind w:firstLine="480" w:firstLineChars="200"/>
        <w:rPr>
          <w:rFonts w:ascii="宋体" w:hAnsi="宋体" w:cs="仿宋"/>
          <w:sz w:val="24"/>
        </w:rPr>
      </w:pPr>
      <w:r>
        <w:rPr>
          <w:rFonts w:hint="eastAsia" w:ascii="宋体" w:hAnsi="宋体" w:cs="仿宋"/>
          <w:sz w:val="24"/>
        </w:rPr>
        <w:t>2、投标人若认为招标文件的技术要求或其他要求有倾向性或不公正性，可在招标答疑阶段提出，以维护招标行为的公平、公正。</w:t>
      </w:r>
    </w:p>
    <w:p>
      <w:pPr>
        <w:spacing w:line="360" w:lineRule="auto"/>
        <w:ind w:firstLine="480" w:firstLineChars="200"/>
        <w:rPr>
          <w:rFonts w:ascii="宋体" w:hAnsi="宋体" w:cs="仿宋"/>
          <w:sz w:val="24"/>
        </w:rPr>
      </w:pPr>
      <w:r>
        <w:rPr>
          <w:rFonts w:hint="eastAsia" w:ascii="宋体" w:hAnsi="宋体" w:cs="仿宋"/>
          <w:sz w:val="24"/>
        </w:rPr>
        <w:t>3、投标人使用的标准必须是国际公认或国家、或地方政府颁布的同等或更高的标准，如投标人使用的标准低于上述标准，评标委员会将有权不予接受，投标人必须列表将明显的差异详细说明。</w:t>
      </w:r>
    </w:p>
    <w:p>
      <w:pPr>
        <w:spacing w:line="360" w:lineRule="auto"/>
        <w:ind w:firstLine="480" w:firstLineChars="200"/>
        <w:rPr>
          <w:rFonts w:ascii="宋体" w:hAnsi="宋体" w:cs="仿宋"/>
          <w:sz w:val="24"/>
        </w:rPr>
      </w:pPr>
      <w:r>
        <w:rPr>
          <w:rFonts w:hint="eastAsia" w:ascii="宋体" w:hAnsi="宋体" w:cs="仿宋"/>
          <w:sz w:val="24"/>
        </w:rPr>
        <w:t>4、如投标人提交伪造资质证书、合同文件，一经发现按有关规定进行处罚，并在宁波市政府采购网上公布。</w:t>
      </w:r>
    </w:p>
    <w:p>
      <w:pPr>
        <w:spacing w:line="360" w:lineRule="auto"/>
        <w:ind w:firstLine="480" w:firstLineChars="200"/>
        <w:rPr>
          <w:rFonts w:hint="eastAsia" w:ascii="宋体" w:hAnsi="宋体" w:cs="仿宋"/>
          <w:sz w:val="24"/>
        </w:rPr>
      </w:pPr>
      <w:r>
        <w:rPr>
          <w:rFonts w:hint="eastAsia" w:ascii="宋体" w:hAnsi="宋体" w:cs="仿宋"/>
          <w:sz w:val="24"/>
        </w:rPr>
        <w:t>5、投标过程中违法违纪，或以任何形式采取不正当竞争手段的，一经查实，按有关规定给予处罚，取消本次投标资格，已经中标的终止委托管理合同，一切后果由责任者自负。</w:t>
      </w:r>
    </w:p>
    <w:p>
      <w:pPr>
        <w:spacing w:line="600" w:lineRule="auto"/>
        <w:jc w:val="center"/>
        <w:rPr>
          <w:rFonts w:hint="eastAsia"/>
          <w:b/>
          <w:bCs/>
          <w:sz w:val="32"/>
          <w:szCs w:val="32"/>
        </w:rPr>
      </w:pPr>
      <w:r>
        <w:rPr>
          <w:b/>
          <w:bCs/>
          <w:sz w:val="32"/>
          <w:szCs w:val="32"/>
        </w:rPr>
        <w:t>五</w:t>
      </w:r>
      <w:r>
        <w:rPr>
          <w:rFonts w:hint="eastAsia"/>
          <w:b/>
          <w:bCs/>
          <w:sz w:val="32"/>
          <w:szCs w:val="32"/>
        </w:rPr>
        <w:t>、</w:t>
      </w:r>
      <w:r>
        <w:rPr>
          <w:b/>
          <w:bCs/>
          <w:sz w:val="32"/>
          <w:szCs w:val="32"/>
        </w:rPr>
        <w:t>考核标准</w:t>
      </w:r>
    </w:p>
    <w:tbl>
      <w:tblPr>
        <w:tblStyle w:val="20"/>
        <w:tblW w:w="9087" w:type="dxa"/>
        <w:tblInd w:w="0" w:type="dxa"/>
        <w:tblLayout w:type="fixed"/>
        <w:tblCellMar>
          <w:top w:w="0" w:type="dxa"/>
          <w:left w:w="0" w:type="dxa"/>
          <w:bottom w:w="0" w:type="dxa"/>
          <w:right w:w="0" w:type="dxa"/>
        </w:tblCellMar>
      </w:tblPr>
      <w:tblGrid>
        <w:gridCol w:w="441"/>
        <w:gridCol w:w="1755"/>
        <w:gridCol w:w="3631"/>
        <w:gridCol w:w="3260"/>
      </w:tblGrid>
      <w:tr>
        <w:tblPrEx>
          <w:tblCellMar>
            <w:top w:w="0" w:type="dxa"/>
            <w:left w:w="0" w:type="dxa"/>
            <w:bottom w:w="0" w:type="dxa"/>
            <w:right w:w="0" w:type="dxa"/>
          </w:tblCellMar>
        </w:tblPrEx>
        <w:trPr>
          <w:trHeight w:val="375"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rPr>
              <w:t>序号</w:t>
            </w: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rPr>
              <w:t>考核项目</w:t>
            </w:r>
          </w:p>
        </w:tc>
        <w:tc>
          <w:tcPr>
            <w:tcW w:w="3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rPr>
              <w:t>考核内容</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rPr>
              <w:t>考核标准</w:t>
            </w:r>
          </w:p>
        </w:tc>
      </w:tr>
      <w:tr>
        <w:tblPrEx>
          <w:tblCellMar>
            <w:top w:w="0" w:type="dxa"/>
            <w:left w:w="0" w:type="dxa"/>
            <w:bottom w:w="0" w:type="dxa"/>
            <w:right w:w="0" w:type="dxa"/>
          </w:tblCellMar>
        </w:tblPrEx>
        <w:trPr>
          <w:trHeight w:val="942"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培训教育</w:t>
            </w:r>
          </w:p>
        </w:tc>
        <w:tc>
          <w:tcPr>
            <w:tcW w:w="3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szCs w:val="21"/>
              </w:rPr>
            </w:pPr>
            <w:r>
              <w:rPr>
                <w:rFonts w:hint="eastAsia" w:ascii="宋体" w:hAnsi="宋体" w:cs="宋体"/>
                <w:kern w:val="0"/>
                <w:szCs w:val="21"/>
              </w:rPr>
              <w:t>保安公司月度培训（会议）资料</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szCs w:val="21"/>
              </w:rPr>
            </w:pPr>
            <w:r>
              <w:rPr>
                <w:rFonts w:hint="eastAsia" w:ascii="宋体" w:hAnsi="宋体" w:cs="宋体"/>
                <w:kern w:val="0"/>
                <w:szCs w:val="21"/>
              </w:rPr>
              <w:t>培训覆盖率90%以上，材料合格率达100%。</w:t>
            </w:r>
          </w:p>
        </w:tc>
      </w:tr>
      <w:tr>
        <w:tblPrEx>
          <w:tblCellMar>
            <w:top w:w="0" w:type="dxa"/>
            <w:left w:w="0" w:type="dxa"/>
            <w:bottom w:w="0" w:type="dxa"/>
            <w:right w:w="0" w:type="dxa"/>
          </w:tblCellMar>
        </w:tblPrEx>
        <w:trPr>
          <w:trHeight w:val="520" w:hRule="atLeast"/>
        </w:trPr>
        <w:tc>
          <w:tcPr>
            <w:tcW w:w="4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75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考勤</w:t>
            </w:r>
          </w:p>
        </w:tc>
        <w:tc>
          <w:tcPr>
            <w:tcW w:w="3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1、需指纹考勤，每月考勤汇总情况；</w:t>
            </w:r>
          </w:p>
          <w:p>
            <w:pPr>
              <w:widowControl/>
              <w:jc w:val="left"/>
              <w:textAlignment w:val="center"/>
              <w:rPr>
                <w:rFonts w:hint="eastAsia" w:ascii="宋体" w:hAnsi="宋体" w:cs="宋体"/>
                <w:kern w:val="0"/>
                <w:szCs w:val="21"/>
              </w:rPr>
            </w:pPr>
            <w:r>
              <w:rPr>
                <w:rFonts w:hint="eastAsia" w:ascii="宋体" w:hAnsi="宋体" w:cs="宋体"/>
                <w:kern w:val="0"/>
                <w:szCs w:val="21"/>
              </w:rPr>
              <w:t>2、年龄要求</w:t>
            </w:r>
          </w:p>
          <w:p>
            <w:pPr>
              <w:widowControl/>
              <w:jc w:val="left"/>
              <w:textAlignment w:val="center"/>
              <w:rPr>
                <w:rFonts w:ascii="宋体" w:hAnsi="宋体" w:cs="宋体"/>
                <w:szCs w:val="21"/>
              </w:rPr>
            </w:pPr>
            <w:r>
              <w:rPr>
                <w:rFonts w:hint="eastAsia" w:ascii="宋体" w:hAnsi="宋体" w:cs="宋体"/>
                <w:kern w:val="0"/>
                <w:szCs w:val="21"/>
              </w:rPr>
              <w:t>3、员工考勤率</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kern w:val="0"/>
                <w:szCs w:val="21"/>
              </w:rPr>
            </w:pPr>
            <w:r>
              <w:rPr>
                <w:rFonts w:hint="eastAsia" w:ascii="宋体" w:hAnsi="宋体" w:cs="宋体"/>
                <w:kern w:val="0"/>
                <w:szCs w:val="21"/>
              </w:rPr>
              <w:t>1、（60名）</w:t>
            </w:r>
          </w:p>
          <w:p>
            <w:pPr>
              <w:jc w:val="left"/>
              <w:rPr>
                <w:rFonts w:hint="eastAsia" w:ascii="宋体" w:hAnsi="宋体" w:cs="宋体"/>
                <w:kern w:val="0"/>
                <w:szCs w:val="21"/>
              </w:rPr>
            </w:pPr>
            <w:r>
              <w:rPr>
                <w:rFonts w:hint="eastAsia" w:ascii="宋体" w:hAnsi="宋体" w:cs="宋体"/>
                <w:kern w:val="0"/>
                <w:szCs w:val="21"/>
              </w:rPr>
              <w:t>2、平均年龄55周岁以下，特勤年龄45周岁以下，重点岗位50周岁以下；</w:t>
            </w:r>
          </w:p>
          <w:p>
            <w:pPr>
              <w:jc w:val="left"/>
              <w:rPr>
                <w:rFonts w:ascii="宋体" w:hAnsi="宋体" w:cs="宋体"/>
                <w:szCs w:val="21"/>
              </w:rPr>
            </w:pPr>
            <w:r>
              <w:rPr>
                <w:rFonts w:hint="eastAsia" w:ascii="宋体" w:hAnsi="宋体" w:cs="宋体"/>
                <w:kern w:val="0"/>
                <w:szCs w:val="21"/>
              </w:rPr>
              <w:t>3、100%</w:t>
            </w:r>
          </w:p>
        </w:tc>
      </w:tr>
      <w:tr>
        <w:tblPrEx>
          <w:tblCellMar>
            <w:top w:w="0" w:type="dxa"/>
            <w:left w:w="0" w:type="dxa"/>
            <w:bottom w:w="0" w:type="dxa"/>
            <w:right w:w="0"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岗位配置情况</w:t>
            </w:r>
          </w:p>
        </w:tc>
        <w:tc>
          <w:tcPr>
            <w:tcW w:w="3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szCs w:val="21"/>
              </w:rPr>
            </w:pPr>
            <w:r>
              <w:rPr>
                <w:rFonts w:hint="eastAsia" w:ascii="宋体" w:hAnsi="宋体" w:cs="宋体"/>
                <w:szCs w:val="21"/>
              </w:rPr>
              <w:t>保安需持有保安证</w:t>
            </w:r>
          </w:p>
          <w:p>
            <w:pPr>
              <w:widowControl/>
              <w:jc w:val="left"/>
              <w:textAlignment w:val="center"/>
              <w:rPr>
                <w:rFonts w:ascii="宋体" w:hAnsi="宋体" w:cs="宋体"/>
                <w:szCs w:val="21"/>
              </w:rPr>
            </w:pPr>
            <w:r>
              <w:rPr>
                <w:rFonts w:hint="eastAsia" w:ascii="宋体" w:hAnsi="宋体" w:cs="宋体"/>
                <w:szCs w:val="21"/>
              </w:rPr>
              <w:t>消控室需持有消控室上岗证</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Cs w:val="21"/>
              </w:rPr>
            </w:pPr>
            <w:r>
              <w:rPr>
                <w:rFonts w:hint="eastAsia" w:ascii="宋体" w:hAnsi="宋体" w:cs="宋体"/>
                <w:szCs w:val="21"/>
              </w:rPr>
              <w:t>100%</w:t>
            </w:r>
          </w:p>
        </w:tc>
      </w:tr>
      <w:tr>
        <w:tblPrEx>
          <w:tblCellMar>
            <w:top w:w="0" w:type="dxa"/>
            <w:left w:w="0" w:type="dxa"/>
            <w:bottom w:w="0" w:type="dxa"/>
            <w:right w:w="0" w:type="dxa"/>
          </w:tblCellMar>
        </w:tblPrEx>
        <w:trPr>
          <w:trHeight w:val="499" w:hRule="atLeast"/>
        </w:trPr>
        <w:tc>
          <w:tcPr>
            <w:tcW w:w="4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满意度</w:t>
            </w:r>
          </w:p>
        </w:tc>
        <w:tc>
          <w:tcPr>
            <w:tcW w:w="3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每季度一次保安服务满意度</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Cs w:val="21"/>
              </w:rPr>
            </w:pPr>
            <w:r>
              <w:rPr>
                <w:rFonts w:hint="eastAsia" w:ascii="宋体" w:hAnsi="宋体" w:cs="宋体"/>
                <w:kern w:val="0"/>
                <w:szCs w:val="21"/>
              </w:rPr>
              <w:t>高于90%</w:t>
            </w:r>
          </w:p>
        </w:tc>
      </w:tr>
      <w:tr>
        <w:tblPrEx>
          <w:tblCellMar>
            <w:top w:w="0" w:type="dxa"/>
            <w:left w:w="0" w:type="dxa"/>
            <w:bottom w:w="0" w:type="dxa"/>
            <w:right w:w="0"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人员精神面貌</w:t>
            </w:r>
          </w:p>
        </w:tc>
        <w:tc>
          <w:tcPr>
            <w:tcW w:w="3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仪容仪表形象，制服、装备、身份牌。</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Cs w:val="21"/>
              </w:rPr>
            </w:pPr>
            <w:r>
              <w:rPr>
                <w:rFonts w:hint="eastAsia" w:ascii="宋体" w:hAnsi="宋体" w:cs="宋体"/>
                <w:szCs w:val="21"/>
              </w:rPr>
              <w:t>抽查情况达标率95%</w:t>
            </w:r>
          </w:p>
        </w:tc>
      </w:tr>
      <w:tr>
        <w:tblPrEx>
          <w:tblCellMar>
            <w:top w:w="0" w:type="dxa"/>
            <w:left w:w="0" w:type="dxa"/>
            <w:bottom w:w="0" w:type="dxa"/>
            <w:right w:w="0" w:type="dxa"/>
          </w:tblCellMar>
        </w:tblPrEx>
        <w:trPr>
          <w:trHeight w:val="499" w:hRule="atLeast"/>
        </w:trPr>
        <w:tc>
          <w:tcPr>
            <w:tcW w:w="4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工作纪律</w:t>
            </w:r>
          </w:p>
        </w:tc>
        <w:tc>
          <w:tcPr>
            <w:tcW w:w="3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遵守劳动纪律情况</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Cs w:val="21"/>
              </w:rPr>
            </w:pPr>
            <w:r>
              <w:rPr>
                <w:rFonts w:hint="eastAsia" w:ascii="宋体" w:hAnsi="宋体" w:cs="宋体"/>
                <w:szCs w:val="21"/>
              </w:rPr>
              <w:t>检查每月指纹考勤率100%</w:t>
            </w:r>
          </w:p>
        </w:tc>
      </w:tr>
      <w:tr>
        <w:tblPrEx>
          <w:tblCellMar>
            <w:top w:w="0" w:type="dxa"/>
            <w:left w:w="0" w:type="dxa"/>
            <w:bottom w:w="0" w:type="dxa"/>
            <w:right w:w="0" w:type="dxa"/>
          </w:tblCellMar>
        </w:tblPrEx>
        <w:trPr>
          <w:trHeight w:val="700" w:hRule="atLeast"/>
        </w:trPr>
        <w:tc>
          <w:tcPr>
            <w:tcW w:w="4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7</w:t>
            </w: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消防</w:t>
            </w:r>
          </w:p>
        </w:tc>
        <w:tc>
          <w:tcPr>
            <w:tcW w:w="3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消防每日登记、安防每日登记、各门卫每日登记、监控登记</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Cs w:val="21"/>
              </w:rPr>
            </w:pPr>
            <w:r>
              <w:rPr>
                <w:rFonts w:hint="eastAsia" w:ascii="宋体" w:hAnsi="宋体" w:cs="宋体"/>
                <w:szCs w:val="21"/>
              </w:rPr>
              <w:t>每月检查登记情况，登记规范，登记率100%</w:t>
            </w:r>
          </w:p>
        </w:tc>
      </w:tr>
      <w:tr>
        <w:tblPrEx>
          <w:tblCellMar>
            <w:top w:w="0" w:type="dxa"/>
            <w:left w:w="0" w:type="dxa"/>
            <w:bottom w:w="0" w:type="dxa"/>
            <w:right w:w="0" w:type="dxa"/>
          </w:tblCellMar>
        </w:tblPrEx>
        <w:trPr>
          <w:trHeight w:val="700"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巡更</w:t>
            </w:r>
          </w:p>
        </w:tc>
        <w:tc>
          <w:tcPr>
            <w:tcW w:w="3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巡逻数据每日登记</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Cs w:val="21"/>
              </w:rPr>
            </w:pPr>
            <w:r>
              <w:rPr>
                <w:rFonts w:hint="eastAsia" w:ascii="宋体" w:hAnsi="宋体" w:cs="宋体"/>
                <w:kern w:val="0"/>
                <w:szCs w:val="21"/>
              </w:rPr>
              <w:t>每日4次巡更、巡更到位率95%以上</w:t>
            </w:r>
          </w:p>
        </w:tc>
      </w:tr>
      <w:tr>
        <w:tblPrEx>
          <w:tblCellMar>
            <w:top w:w="0" w:type="dxa"/>
            <w:left w:w="0" w:type="dxa"/>
            <w:bottom w:w="0" w:type="dxa"/>
            <w:right w:w="0" w:type="dxa"/>
          </w:tblCellMar>
        </w:tblPrEx>
        <w:trPr>
          <w:trHeight w:val="942" w:hRule="atLeast"/>
        </w:trPr>
        <w:tc>
          <w:tcPr>
            <w:tcW w:w="4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9</w:t>
            </w: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消防工作</w:t>
            </w:r>
          </w:p>
        </w:tc>
        <w:tc>
          <w:tcPr>
            <w:tcW w:w="3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kern w:val="0"/>
                <w:szCs w:val="21"/>
              </w:rPr>
            </w:pPr>
            <w:r>
              <w:rPr>
                <w:rFonts w:hint="eastAsia" w:ascii="宋体" w:hAnsi="宋体" w:cs="宋体"/>
                <w:kern w:val="0"/>
                <w:szCs w:val="21"/>
              </w:rPr>
              <w:t>安全用电用火、电瓶车充电管控、消防通道、消火栓和灭火器巡检</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Cs w:val="21"/>
              </w:rPr>
            </w:pPr>
            <w:r>
              <w:rPr>
                <w:rFonts w:hint="eastAsia" w:ascii="宋体" w:hAnsi="宋体" w:cs="宋体"/>
                <w:kern w:val="0"/>
                <w:szCs w:val="21"/>
              </w:rPr>
              <w:t>巡查自检合格率100%</w:t>
            </w:r>
          </w:p>
        </w:tc>
      </w:tr>
      <w:tr>
        <w:tblPrEx>
          <w:tblCellMar>
            <w:top w:w="0" w:type="dxa"/>
            <w:left w:w="0" w:type="dxa"/>
            <w:bottom w:w="0" w:type="dxa"/>
            <w:right w:w="0" w:type="dxa"/>
          </w:tblCellMar>
        </w:tblPrEx>
        <w:trPr>
          <w:trHeight w:val="780"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10</w:t>
            </w: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szCs w:val="21"/>
              </w:rPr>
              <w:t>微型消防站建设</w:t>
            </w:r>
          </w:p>
        </w:tc>
        <w:tc>
          <w:tcPr>
            <w:tcW w:w="3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szCs w:val="21"/>
              </w:rPr>
            </w:pPr>
            <w:r>
              <w:rPr>
                <w:rFonts w:hint="eastAsia" w:ascii="宋体" w:hAnsi="宋体" w:cs="宋体"/>
                <w:szCs w:val="21"/>
              </w:rPr>
              <w:t>所有保安岗位都是微型消防站成员，培训演练</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Cs w:val="21"/>
              </w:rPr>
            </w:pPr>
            <w:r>
              <w:rPr>
                <w:rFonts w:hint="eastAsia" w:ascii="宋体" w:hAnsi="宋体" w:cs="宋体"/>
                <w:szCs w:val="21"/>
              </w:rPr>
              <w:t>每月一次</w:t>
            </w:r>
          </w:p>
        </w:tc>
      </w:tr>
      <w:tr>
        <w:tblPrEx>
          <w:tblCellMar>
            <w:top w:w="0" w:type="dxa"/>
            <w:left w:w="0" w:type="dxa"/>
            <w:bottom w:w="0" w:type="dxa"/>
            <w:right w:w="0"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11</w:t>
            </w: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治安工作</w:t>
            </w:r>
          </w:p>
        </w:tc>
        <w:tc>
          <w:tcPr>
            <w:tcW w:w="3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防偷盗、抢劫、医闹、破坏公共财产等突发事件。</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szCs w:val="21"/>
              </w:rPr>
            </w:pPr>
            <w:r>
              <w:rPr>
                <w:rFonts w:hint="eastAsia" w:ascii="宋体" w:hAnsi="宋体" w:cs="宋体"/>
                <w:kern w:val="0"/>
                <w:szCs w:val="21"/>
              </w:rPr>
              <w:t>一般案件（如偷盗等）每月不超过4起。</w:t>
            </w:r>
          </w:p>
        </w:tc>
      </w:tr>
      <w:tr>
        <w:tblPrEx>
          <w:tblCellMar>
            <w:top w:w="0" w:type="dxa"/>
            <w:left w:w="0" w:type="dxa"/>
            <w:bottom w:w="0" w:type="dxa"/>
            <w:right w:w="0"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12</w:t>
            </w: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紧急响应</w:t>
            </w:r>
          </w:p>
        </w:tc>
        <w:tc>
          <w:tcPr>
            <w:tcW w:w="3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接警后能携带相关装备及时专业处置</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szCs w:val="21"/>
              </w:rPr>
            </w:pPr>
            <w:r>
              <w:rPr>
                <w:rFonts w:hint="eastAsia" w:ascii="宋体" w:hAnsi="宋体" w:cs="宋体"/>
                <w:kern w:val="0"/>
                <w:szCs w:val="21"/>
              </w:rPr>
              <w:t>在3分钟内到位，无投诉，无责任性医护人员伤亡</w:t>
            </w:r>
          </w:p>
        </w:tc>
      </w:tr>
      <w:tr>
        <w:tblPrEx>
          <w:tblCellMar>
            <w:top w:w="0" w:type="dxa"/>
            <w:left w:w="0" w:type="dxa"/>
            <w:bottom w:w="0" w:type="dxa"/>
            <w:right w:w="0" w:type="dxa"/>
          </w:tblCellMar>
        </w:tblPrEx>
        <w:trPr>
          <w:trHeight w:val="702" w:hRule="atLeast"/>
        </w:trPr>
        <w:tc>
          <w:tcPr>
            <w:tcW w:w="4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13</w:t>
            </w: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员工考核</w:t>
            </w:r>
          </w:p>
        </w:tc>
        <w:tc>
          <w:tcPr>
            <w:tcW w:w="3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每月对保安进行绩效考核，实施奖惩制度，经费落实</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Cs w:val="21"/>
              </w:rPr>
            </w:pPr>
            <w:r>
              <w:rPr>
                <w:rFonts w:hint="eastAsia" w:ascii="宋体" w:hAnsi="宋体" w:cs="宋体"/>
                <w:szCs w:val="21"/>
              </w:rPr>
              <w:t>每月3000考核经费落实</w:t>
            </w:r>
          </w:p>
        </w:tc>
      </w:tr>
      <w:tr>
        <w:tblPrEx>
          <w:tblCellMar>
            <w:top w:w="0" w:type="dxa"/>
            <w:left w:w="0" w:type="dxa"/>
            <w:bottom w:w="0" w:type="dxa"/>
            <w:right w:w="0" w:type="dxa"/>
          </w:tblCellMar>
        </w:tblPrEx>
        <w:trPr>
          <w:trHeight w:val="499"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14</w:t>
            </w: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等级医院考核要求</w:t>
            </w:r>
          </w:p>
        </w:tc>
        <w:tc>
          <w:tcPr>
            <w:tcW w:w="3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三甲等级医院复评，如发生因中标公司原因而扣除分数，条款不达标的情况</w:t>
            </w:r>
          </w:p>
        </w:tc>
        <w:tc>
          <w:tcPr>
            <w:tcW w:w="3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Cs w:val="21"/>
              </w:rPr>
            </w:pPr>
            <w:r>
              <w:rPr>
                <w:rFonts w:hint="eastAsia" w:ascii="宋体" w:hAnsi="宋体" w:cs="宋体"/>
                <w:szCs w:val="21"/>
              </w:rPr>
              <w:t>终止合同</w:t>
            </w:r>
          </w:p>
        </w:tc>
      </w:tr>
    </w:tbl>
    <w:p>
      <w:pPr>
        <w:ind w:firstLine="300"/>
        <w:jc w:val="center"/>
        <w:rPr>
          <w:rFonts w:hint="eastAsia" w:ascii="宋体" w:hAnsi="宋体"/>
        </w:rPr>
      </w:pPr>
      <w:r>
        <w:rPr>
          <w:b/>
          <w:bCs/>
          <w:sz w:val="30"/>
        </w:rPr>
        <w:br w:type="page"/>
      </w:r>
    </w:p>
    <w:p>
      <w:pPr>
        <w:snapToGrid w:val="0"/>
        <w:spacing w:line="480" w:lineRule="exact"/>
        <w:jc w:val="center"/>
        <w:rPr>
          <w:rFonts w:ascii="宋体" w:hAnsi="宋体"/>
          <w:b/>
          <w:sz w:val="48"/>
          <w:szCs w:val="48"/>
        </w:rPr>
      </w:pPr>
      <w:bookmarkStart w:id="1" w:name="_Toc101074875"/>
      <w:bookmarkStart w:id="2" w:name="_Toc73518116"/>
      <w:bookmarkStart w:id="3" w:name="_Toc73521634"/>
      <w:bookmarkStart w:id="4" w:name="_Toc100052363"/>
      <w:bookmarkStart w:id="5" w:name="_Toc73521546"/>
      <w:bookmarkStart w:id="6" w:name="_Toc73517638"/>
      <w:r>
        <w:rPr>
          <w:rFonts w:hint="eastAsia" w:ascii="宋体" w:hAnsi="宋体"/>
          <w:b/>
          <w:sz w:val="48"/>
          <w:szCs w:val="48"/>
        </w:rPr>
        <w:t>第二章 投标须知</w:t>
      </w:r>
      <w:bookmarkEnd w:id="1"/>
      <w:bookmarkEnd w:id="2"/>
      <w:bookmarkEnd w:id="3"/>
      <w:bookmarkEnd w:id="4"/>
      <w:bookmarkEnd w:id="5"/>
      <w:bookmarkEnd w:id="6"/>
    </w:p>
    <w:p>
      <w:pPr>
        <w:pStyle w:val="4"/>
        <w:spacing w:before="120" w:after="120"/>
        <w:rPr>
          <w:rFonts w:cs="宋体"/>
          <w:sz w:val="28"/>
          <w:szCs w:val="28"/>
        </w:rPr>
      </w:pPr>
      <w:r>
        <w:rPr>
          <w:rFonts w:hint="eastAsia" w:cs="宋体"/>
          <w:sz w:val="28"/>
          <w:szCs w:val="28"/>
        </w:rPr>
        <w:t>一、投标须知</w:t>
      </w:r>
      <w:r>
        <w:rPr>
          <w:rFonts w:hint="eastAsia" w:cs="宋体"/>
          <w:color w:val="000000"/>
          <w:sz w:val="28"/>
          <w:szCs w:val="28"/>
        </w:rPr>
        <w:t>前附表</w:t>
      </w:r>
    </w:p>
    <w:tbl>
      <w:tblPr>
        <w:tblStyle w:val="20"/>
        <w:tblW w:w="934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3"/>
        <w:gridCol w:w="2589"/>
        <w:gridCol w:w="60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tblHeader/>
        </w:trPr>
        <w:tc>
          <w:tcPr>
            <w:tcW w:w="723" w:type="dxa"/>
            <w:noWrap w:val="0"/>
            <w:vAlign w:val="center"/>
          </w:tcPr>
          <w:p>
            <w:pPr>
              <w:jc w:val="center"/>
              <w:rPr>
                <w:rFonts w:ascii="宋体" w:cs="宋体"/>
                <w:b/>
              </w:rPr>
            </w:pPr>
            <w:r>
              <w:rPr>
                <w:rFonts w:hint="eastAsia" w:ascii="宋体" w:cs="宋体"/>
                <w:b/>
              </w:rPr>
              <w:t>序号</w:t>
            </w:r>
          </w:p>
        </w:tc>
        <w:tc>
          <w:tcPr>
            <w:tcW w:w="2589" w:type="dxa"/>
            <w:noWrap w:val="0"/>
            <w:vAlign w:val="center"/>
          </w:tcPr>
          <w:p>
            <w:pPr>
              <w:jc w:val="center"/>
              <w:rPr>
                <w:rFonts w:ascii="宋体" w:cs="宋体"/>
                <w:b/>
              </w:rPr>
            </w:pPr>
            <w:r>
              <w:rPr>
                <w:rFonts w:hint="eastAsia" w:ascii="宋体" w:cs="宋体"/>
                <w:b/>
              </w:rPr>
              <w:t>内容</w:t>
            </w:r>
          </w:p>
        </w:tc>
        <w:tc>
          <w:tcPr>
            <w:tcW w:w="6028" w:type="dxa"/>
            <w:noWrap w:val="0"/>
            <w:vAlign w:val="center"/>
          </w:tcPr>
          <w:p>
            <w:pPr>
              <w:jc w:val="center"/>
              <w:rPr>
                <w:rFonts w:ascii="宋体" w:cs="宋体"/>
                <w:b/>
              </w:rPr>
            </w:pPr>
            <w:r>
              <w:rPr>
                <w:rFonts w:hint="eastAsia" w:ascii="宋体" w:cs="宋体"/>
                <w:b/>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1" w:hRule="atLeast"/>
        </w:trPr>
        <w:tc>
          <w:tcPr>
            <w:tcW w:w="723" w:type="dxa"/>
            <w:noWrap w:val="0"/>
            <w:vAlign w:val="center"/>
          </w:tcPr>
          <w:p>
            <w:pPr>
              <w:jc w:val="center"/>
              <w:rPr>
                <w:rFonts w:ascii="宋体" w:cs="宋体"/>
              </w:rPr>
            </w:pPr>
            <w:r>
              <w:rPr>
                <w:rFonts w:hint="eastAsia" w:ascii="宋体" w:cs="宋体"/>
              </w:rPr>
              <w:t>1</w:t>
            </w:r>
          </w:p>
        </w:tc>
        <w:tc>
          <w:tcPr>
            <w:tcW w:w="2589" w:type="dxa"/>
            <w:noWrap w:val="0"/>
            <w:vAlign w:val="center"/>
          </w:tcPr>
          <w:p>
            <w:pPr>
              <w:rPr>
                <w:rFonts w:ascii="宋体" w:cs="宋体"/>
                <w:szCs w:val="21"/>
              </w:rPr>
            </w:pPr>
            <w:r>
              <w:rPr>
                <w:rFonts w:hint="eastAsia" w:ascii="宋体" w:cs="宋体"/>
                <w:szCs w:val="21"/>
              </w:rPr>
              <w:t>采购方式</w:t>
            </w:r>
          </w:p>
        </w:tc>
        <w:tc>
          <w:tcPr>
            <w:tcW w:w="6028" w:type="dxa"/>
            <w:noWrap w:val="0"/>
            <w:vAlign w:val="center"/>
          </w:tcPr>
          <w:p>
            <w:pPr>
              <w:rPr>
                <w:rFonts w:ascii="宋体" w:cs="宋体"/>
                <w:szCs w:val="21"/>
              </w:rPr>
            </w:pPr>
            <w:r>
              <w:rPr>
                <w:rFonts w:hint="eastAsia" w:ascii="宋体" w:cs="宋体"/>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1" w:hRule="atLeast"/>
        </w:trPr>
        <w:tc>
          <w:tcPr>
            <w:tcW w:w="723" w:type="dxa"/>
            <w:noWrap w:val="0"/>
            <w:vAlign w:val="center"/>
          </w:tcPr>
          <w:p>
            <w:pPr>
              <w:jc w:val="center"/>
              <w:rPr>
                <w:rFonts w:ascii="宋体" w:cs="宋体"/>
              </w:rPr>
            </w:pPr>
            <w:r>
              <w:rPr>
                <w:rFonts w:hint="eastAsia" w:ascii="宋体" w:cs="宋体"/>
              </w:rPr>
              <w:t>2</w:t>
            </w:r>
          </w:p>
        </w:tc>
        <w:tc>
          <w:tcPr>
            <w:tcW w:w="2589" w:type="dxa"/>
            <w:noWrap w:val="0"/>
            <w:vAlign w:val="center"/>
          </w:tcPr>
          <w:p>
            <w:pPr>
              <w:rPr>
                <w:rFonts w:ascii="宋体" w:cs="宋体"/>
                <w:szCs w:val="21"/>
              </w:rPr>
            </w:pPr>
            <w:r>
              <w:rPr>
                <w:rFonts w:hint="eastAsia" w:ascii="宋体" w:cs="宋体"/>
                <w:szCs w:val="21"/>
              </w:rPr>
              <w:t>投标有效期</w:t>
            </w:r>
          </w:p>
        </w:tc>
        <w:tc>
          <w:tcPr>
            <w:tcW w:w="6028" w:type="dxa"/>
            <w:noWrap w:val="0"/>
            <w:vAlign w:val="center"/>
          </w:tcPr>
          <w:p>
            <w:pPr>
              <w:rPr>
                <w:rFonts w:ascii="宋体" w:cs="宋体"/>
                <w:b/>
                <w:szCs w:val="21"/>
              </w:rPr>
            </w:pPr>
            <w:r>
              <w:rPr>
                <w:rFonts w:hint="eastAsia" w:ascii="宋体" w:cs="宋体"/>
                <w:b/>
                <w:szCs w:val="21"/>
              </w:rPr>
              <w:t>开标后60日历天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723" w:type="dxa"/>
            <w:noWrap w:val="0"/>
            <w:vAlign w:val="center"/>
          </w:tcPr>
          <w:p>
            <w:pPr>
              <w:jc w:val="center"/>
              <w:rPr>
                <w:rFonts w:ascii="宋体" w:cs="宋体"/>
              </w:rPr>
            </w:pPr>
            <w:r>
              <w:rPr>
                <w:rFonts w:hint="eastAsia" w:ascii="宋体" w:cs="宋体"/>
              </w:rPr>
              <w:t>3</w:t>
            </w:r>
          </w:p>
        </w:tc>
        <w:tc>
          <w:tcPr>
            <w:tcW w:w="2589" w:type="dxa"/>
            <w:noWrap w:val="0"/>
            <w:vAlign w:val="center"/>
          </w:tcPr>
          <w:p>
            <w:pPr>
              <w:rPr>
                <w:rFonts w:ascii="宋体" w:cs="宋体"/>
                <w:szCs w:val="21"/>
              </w:rPr>
            </w:pPr>
            <w:r>
              <w:rPr>
                <w:rFonts w:hint="eastAsia" w:ascii="宋体" w:cs="宋体"/>
                <w:szCs w:val="21"/>
              </w:rPr>
              <w:t>联合体投标</w:t>
            </w:r>
          </w:p>
        </w:tc>
        <w:tc>
          <w:tcPr>
            <w:tcW w:w="6028" w:type="dxa"/>
            <w:noWrap w:val="0"/>
            <w:vAlign w:val="center"/>
          </w:tcPr>
          <w:p>
            <w:pPr>
              <w:rPr>
                <w:rFonts w:ascii="宋体" w:cs="宋体"/>
                <w:szCs w:val="21"/>
              </w:rPr>
            </w:pPr>
            <w:r>
              <w:rPr>
                <w:rFonts w:hint="eastAsia" w:ascii="宋体" w:cs="宋体"/>
                <w:szCs w:val="21"/>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8" w:hRule="atLeast"/>
        </w:trPr>
        <w:tc>
          <w:tcPr>
            <w:tcW w:w="723" w:type="dxa"/>
            <w:noWrap w:val="0"/>
            <w:vAlign w:val="center"/>
          </w:tcPr>
          <w:p>
            <w:pPr>
              <w:jc w:val="center"/>
              <w:rPr>
                <w:rFonts w:ascii="宋体" w:cs="宋体"/>
              </w:rPr>
            </w:pPr>
            <w:r>
              <w:rPr>
                <w:rFonts w:hint="eastAsia" w:ascii="宋体" w:cs="宋体"/>
              </w:rPr>
              <w:t>4</w:t>
            </w:r>
          </w:p>
        </w:tc>
        <w:tc>
          <w:tcPr>
            <w:tcW w:w="2589" w:type="dxa"/>
            <w:noWrap w:val="0"/>
            <w:vAlign w:val="center"/>
          </w:tcPr>
          <w:p>
            <w:pPr>
              <w:rPr>
                <w:rFonts w:ascii="宋体" w:cs="宋体"/>
                <w:szCs w:val="21"/>
              </w:rPr>
            </w:pPr>
            <w:r>
              <w:rPr>
                <w:rFonts w:hint="eastAsia" w:ascii="宋体" w:cs="宋体"/>
                <w:szCs w:val="21"/>
              </w:rPr>
              <w:t>投标人的替代方案</w:t>
            </w:r>
          </w:p>
        </w:tc>
        <w:tc>
          <w:tcPr>
            <w:tcW w:w="6028" w:type="dxa"/>
            <w:noWrap w:val="0"/>
            <w:vAlign w:val="center"/>
          </w:tcPr>
          <w:p>
            <w:pPr>
              <w:rPr>
                <w:rFonts w:ascii="宋体" w:cs="宋体"/>
                <w:szCs w:val="21"/>
              </w:rPr>
            </w:pPr>
            <w:r>
              <w:rPr>
                <w:rFonts w:hint="eastAsia" w:ascii="宋体" w:cs="宋体"/>
                <w:szCs w:val="21"/>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32" w:hRule="atLeast"/>
        </w:trPr>
        <w:tc>
          <w:tcPr>
            <w:tcW w:w="723" w:type="dxa"/>
            <w:tcBorders>
              <w:bottom w:val="single" w:color="auto" w:sz="4" w:space="0"/>
            </w:tcBorders>
            <w:noWrap w:val="0"/>
            <w:vAlign w:val="center"/>
          </w:tcPr>
          <w:p>
            <w:pPr>
              <w:jc w:val="center"/>
              <w:rPr>
                <w:rFonts w:ascii="宋体" w:cs="宋体"/>
              </w:rPr>
            </w:pPr>
            <w:r>
              <w:rPr>
                <w:rFonts w:hint="eastAsia" w:ascii="宋体" w:cs="宋体"/>
              </w:rPr>
              <w:t>5</w:t>
            </w:r>
          </w:p>
        </w:tc>
        <w:tc>
          <w:tcPr>
            <w:tcW w:w="2589" w:type="dxa"/>
            <w:tcBorders>
              <w:bottom w:val="single" w:color="auto" w:sz="4" w:space="0"/>
            </w:tcBorders>
            <w:noWrap w:val="0"/>
            <w:vAlign w:val="center"/>
          </w:tcPr>
          <w:p>
            <w:pPr>
              <w:pStyle w:val="6"/>
              <w:spacing w:before="78" w:after="78"/>
              <w:ind w:firstLine="0" w:firstLineChars="0"/>
              <w:rPr>
                <w:rFonts w:ascii="宋体" w:cs="宋体"/>
                <w:szCs w:val="21"/>
              </w:rPr>
            </w:pPr>
            <w:r>
              <w:rPr>
                <w:rFonts w:hint="eastAsia" w:ascii="宋体" w:cs="宋体"/>
                <w:color w:val="000000"/>
                <w:szCs w:val="21"/>
              </w:rPr>
              <w:t>投标截止时间及地点</w:t>
            </w:r>
          </w:p>
        </w:tc>
        <w:tc>
          <w:tcPr>
            <w:tcW w:w="6028" w:type="dxa"/>
            <w:tcBorders>
              <w:bottom w:val="single" w:color="auto" w:sz="4" w:space="0"/>
            </w:tcBorders>
            <w:noWrap w:val="0"/>
            <w:vAlign w:val="center"/>
          </w:tcPr>
          <w:p>
            <w:pPr>
              <w:pStyle w:val="6"/>
              <w:spacing w:before="78" w:after="78"/>
              <w:ind w:firstLine="0" w:firstLineChars="0"/>
              <w:rPr>
                <w:rFonts w:ascii="宋体" w:cs="宋体"/>
                <w:szCs w:val="21"/>
              </w:rPr>
            </w:pPr>
            <w:r>
              <w:rPr>
                <w:rFonts w:hint="eastAsia" w:ascii="宋体" w:cs="宋体"/>
                <w:szCs w:val="21"/>
              </w:rPr>
              <w:t>所有投标文件应于</w:t>
            </w:r>
            <w:r>
              <w:rPr>
                <w:rFonts w:hint="eastAsia" w:ascii="宋体" w:cs="宋体"/>
                <w:szCs w:val="21"/>
                <w:u w:val="single"/>
              </w:rPr>
              <w:t>2020年10月29 日9时30分</w:t>
            </w:r>
            <w:r>
              <w:rPr>
                <w:rFonts w:hint="eastAsia" w:ascii="宋体" w:cs="宋体"/>
                <w:szCs w:val="21"/>
              </w:rPr>
              <w:t>之前投递到宁波市鄞州区宁穿路1901号市行政服务中心四楼开标区（具体场所安排详见电子指示屏幕）。逾期收到的或不符合规定的投标文件恕不接受。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53" w:hRule="atLeast"/>
        </w:trPr>
        <w:tc>
          <w:tcPr>
            <w:tcW w:w="723" w:type="dxa"/>
            <w:tcBorders>
              <w:top w:val="single" w:color="auto" w:sz="4" w:space="0"/>
            </w:tcBorders>
            <w:noWrap w:val="0"/>
            <w:vAlign w:val="center"/>
          </w:tcPr>
          <w:p>
            <w:pPr>
              <w:jc w:val="center"/>
              <w:rPr>
                <w:rFonts w:ascii="宋体" w:cs="宋体"/>
              </w:rPr>
            </w:pPr>
            <w:r>
              <w:rPr>
                <w:rFonts w:hint="eastAsia" w:ascii="宋体" w:cs="宋体"/>
              </w:rPr>
              <w:t>6</w:t>
            </w:r>
          </w:p>
        </w:tc>
        <w:tc>
          <w:tcPr>
            <w:tcW w:w="2589" w:type="dxa"/>
            <w:tcBorders>
              <w:top w:val="single" w:color="auto" w:sz="4" w:space="0"/>
            </w:tcBorders>
            <w:noWrap w:val="0"/>
            <w:vAlign w:val="center"/>
          </w:tcPr>
          <w:p>
            <w:pPr>
              <w:rPr>
                <w:rFonts w:ascii="宋体" w:cs="宋体"/>
                <w:color w:val="000000"/>
                <w:szCs w:val="21"/>
              </w:rPr>
            </w:pPr>
            <w:r>
              <w:rPr>
                <w:rFonts w:hint="eastAsia" w:ascii="宋体" w:cs="宋体"/>
                <w:color w:val="000000"/>
                <w:szCs w:val="21"/>
              </w:rPr>
              <w:t>开标时间及地点</w:t>
            </w:r>
          </w:p>
        </w:tc>
        <w:tc>
          <w:tcPr>
            <w:tcW w:w="6028" w:type="dxa"/>
            <w:tcBorders>
              <w:top w:val="single" w:color="auto" w:sz="4" w:space="0"/>
            </w:tcBorders>
            <w:noWrap w:val="0"/>
            <w:vAlign w:val="center"/>
          </w:tcPr>
          <w:p>
            <w:pPr>
              <w:pStyle w:val="6"/>
              <w:spacing w:before="78" w:after="78"/>
              <w:ind w:firstLine="0" w:firstLineChars="0"/>
              <w:rPr>
                <w:rFonts w:ascii="宋体" w:cs="宋体"/>
                <w:szCs w:val="21"/>
                <w:u w:val="single"/>
              </w:rPr>
            </w:pPr>
            <w:r>
              <w:rPr>
                <w:rFonts w:hint="eastAsia" w:ascii="宋体" w:cs="宋体"/>
                <w:szCs w:val="21"/>
              </w:rPr>
              <w:t>开标时间：</w:t>
            </w:r>
            <w:r>
              <w:rPr>
                <w:rFonts w:hint="eastAsia" w:ascii="宋体" w:cs="宋体"/>
                <w:szCs w:val="21"/>
                <w:u w:val="single"/>
              </w:rPr>
              <w:t>2020年10月29日9时30分</w:t>
            </w:r>
          </w:p>
          <w:p>
            <w:pPr>
              <w:pStyle w:val="6"/>
              <w:spacing w:before="78" w:after="78"/>
              <w:ind w:firstLine="0" w:firstLineChars="0"/>
              <w:rPr>
                <w:rFonts w:ascii="宋体" w:cs="宋体"/>
                <w:szCs w:val="21"/>
              </w:rPr>
            </w:pPr>
            <w:r>
              <w:rPr>
                <w:rFonts w:hint="eastAsia" w:ascii="宋体" w:cs="宋体"/>
                <w:szCs w:val="21"/>
              </w:rPr>
              <w:t>开标地点：宁波市鄞州区宁穿路1901号市行政服务中心四楼开标区（具体场所安排详见电子指示屏幕）。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7" w:hRule="atLeast"/>
        </w:trPr>
        <w:tc>
          <w:tcPr>
            <w:tcW w:w="723" w:type="dxa"/>
            <w:noWrap w:val="0"/>
            <w:vAlign w:val="center"/>
          </w:tcPr>
          <w:p>
            <w:pPr>
              <w:jc w:val="center"/>
              <w:rPr>
                <w:rFonts w:ascii="宋体" w:cs="宋体"/>
              </w:rPr>
            </w:pPr>
            <w:r>
              <w:rPr>
                <w:rFonts w:hint="eastAsia" w:ascii="宋体" w:cs="宋体"/>
              </w:rPr>
              <w:t>7</w:t>
            </w:r>
          </w:p>
        </w:tc>
        <w:tc>
          <w:tcPr>
            <w:tcW w:w="2589" w:type="dxa"/>
            <w:noWrap w:val="0"/>
            <w:vAlign w:val="center"/>
          </w:tcPr>
          <w:p>
            <w:pPr>
              <w:rPr>
                <w:rFonts w:ascii="宋体" w:cs="宋体"/>
                <w:szCs w:val="21"/>
              </w:rPr>
            </w:pPr>
            <w:r>
              <w:rPr>
                <w:rFonts w:hint="eastAsia" w:ascii="宋体" w:cs="宋体"/>
                <w:szCs w:val="21"/>
              </w:rPr>
              <w:t>评标标准及方法</w:t>
            </w:r>
          </w:p>
        </w:tc>
        <w:tc>
          <w:tcPr>
            <w:tcW w:w="6028" w:type="dxa"/>
            <w:noWrap w:val="0"/>
            <w:vAlign w:val="center"/>
          </w:tcPr>
          <w:p>
            <w:pPr>
              <w:rPr>
                <w:rFonts w:ascii="宋体" w:cs="宋体"/>
                <w:szCs w:val="21"/>
              </w:rPr>
            </w:pPr>
            <w:r>
              <w:rPr>
                <w:rFonts w:hint="eastAsia" w:ascii="宋体" w:cs="宋体"/>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723" w:type="dxa"/>
            <w:noWrap w:val="0"/>
            <w:vAlign w:val="center"/>
          </w:tcPr>
          <w:p>
            <w:pPr>
              <w:jc w:val="center"/>
              <w:rPr>
                <w:rFonts w:ascii="宋体" w:cs="宋体"/>
              </w:rPr>
            </w:pPr>
            <w:r>
              <w:rPr>
                <w:rFonts w:hint="eastAsia" w:ascii="宋体" w:cs="宋体"/>
              </w:rPr>
              <w:t>8</w:t>
            </w:r>
          </w:p>
        </w:tc>
        <w:tc>
          <w:tcPr>
            <w:tcW w:w="2589" w:type="dxa"/>
            <w:noWrap w:val="0"/>
            <w:vAlign w:val="center"/>
          </w:tcPr>
          <w:p>
            <w:pPr>
              <w:rPr>
                <w:rFonts w:ascii="宋体" w:cs="宋体"/>
                <w:szCs w:val="21"/>
              </w:rPr>
            </w:pPr>
            <w:r>
              <w:rPr>
                <w:rFonts w:hint="eastAsia" w:ascii="宋体" w:cs="宋体"/>
                <w:szCs w:val="21"/>
              </w:rPr>
              <w:t>投标保证金</w:t>
            </w:r>
          </w:p>
        </w:tc>
        <w:tc>
          <w:tcPr>
            <w:tcW w:w="6028" w:type="dxa"/>
            <w:noWrap w:val="0"/>
            <w:vAlign w:val="center"/>
          </w:tcPr>
          <w:p>
            <w:pPr>
              <w:rPr>
                <w:rFonts w:ascii="宋体" w:cs="宋体"/>
                <w:szCs w:val="21"/>
              </w:rPr>
            </w:pPr>
            <w:r>
              <w:rPr>
                <w:rFonts w:hint="eastAsia" w:ascii="宋体" w:cs="宋体"/>
                <w:szCs w:val="21"/>
              </w:rPr>
              <w:t>不需缴纳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723" w:type="dxa"/>
            <w:noWrap w:val="0"/>
            <w:vAlign w:val="center"/>
          </w:tcPr>
          <w:p>
            <w:pPr>
              <w:jc w:val="center"/>
              <w:rPr>
                <w:rFonts w:ascii="宋体" w:cs="宋体"/>
              </w:rPr>
            </w:pPr>
            <w:r>
              <w:rPr>
                <w:rFonts w:hint="eastAsia" w:ascii="宋体" w:cs="宋体"/>
              </w:rPr>
              <w:t>9</w:t>
            </w:r>
          </w:p>
        </w:tc>
        <w:tc>
          <w:tcPr>
            <w:tcW w:w="2589" w:type="dxa"/>
            <w:noWrap w:val="0"/>
            <w:vAlign w:val="center"/>
          </w:tcPr>
          <w:p>
            <w:pPr>
              <w:rPr>
                <w:rFonts w:ascii="宋体" w:cs="宋体"/>
                <w:szCs w:val="21"/>
              </w:rPr>
            </w:pPr>
            <w:r>
              <w:rPr>
                <w:rFonts w:hint="eastAsia" w:ascii="宋体" w:cs="宋体"/>
                <w:szCs w:val="21"/>
              </w:rPr>
              <w:t>履约保证金金额</w:t>
            </w:r>
          </w:p>
        </w:tc>
        <w:tc>
          <w:tcPr>
            <w:tcW w:w="6028" w:type="dxa"/>
            <w:noWrap w:val="0"/>
            <w:vAlign w:val="center"/>
          </w:tcPr>
          <w:p>
            <w:pPr>
              <w:rPr>
                <w:rFonts w:ascii="宋体" w:cs="宋体"/>
                <w:szCs w:val="21"/>
              </w:rPr>
            </w:pPr>
            <w:r>
              <w:rPr>
                <w:rFonts w:hint="eastAsia" w:ascii="宋体" w:cs="宋体"/>
                <w:szCs w:val="21"/>
              </w:rPr>
              <w:t>为合同价款的5％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18" w:hRule="atLeast"/>
        </w:trPr>
        <w:tc>
          <w:tcPr>
            <w:tcW w:w="723" w:type="dxa"/>
            <w:noWrap w:val="0"/>
            <w:vAlign w:val="center"/>
          </w:tcPr>
          <w:p>
            <w:pPr>
              <w:jc w:val="center"/>
              <w:rPr>
                <w:rFonts w:ascii="宋体" w:cs="宋体"/>
              </w:rPr>
            </w:pPr>
            <w:r>
              <w:rPr>
                <w:rFonts w:hint="eastAsia" w:ascii="宋体" w:cs="宋体"/>
              </w:rPr>
              <w:t>10</w:t>
            </w:r>
          </w:p>
        </w:tc>
        <w:tc>
          <w:tcPr>
            <w:tcW w:w="2589" w:type="dxa"/>
            <w:noWrap w:val="0"/>
            <w:vAlign w:val="center"/>
          </w:tcPr>
          <w:p>
            <w:pPr>
              <w:rPr>
                <w:rFonts w:ascii="宋体" w:cs="宋体"/>
                <w:szCs w:val="21"/>
              </w:rPr>
            </w:pPr>
            <w:r>
              <w:rPr>
                <w:rFonts w:hint="eastAsia" w:ascii="宋体" w:cs="宋体"/>
                <w:szCs w:val="21"/>
              </w:rPr>
              <w:t>宁波市政府采购中心开户银行及帐号</w:t>
            </w:r>
          </w:p>
        </w:tc>
        <w:tc>
          <w:tcPr>
            <w:tcW w:w="6028" w:type="dxa"/>
            <w:noWrap w:val="0"/>
            <w:vAlign w:val="center"/>
          </w:tcPr>
          <w:p>
            <w:pPr>
              <w:pStyle w:val="6"/>
              <w:spacing w:before="78" w:after="78"/>
              <w:ind w:firstLine="0" w:firstLineChars="0"/>
              <w:rPr>
                <w:rFonts w:ascii="宋体" w:cs="宋体"/>
                <w:szCs w:val="21"/>
              </w:rPr>
            </w:pPr>
            <w:r>
              <w:rPr>
                <w:rFonts w:hint="eastAsia" w:ascii="宋体" w:cs="宋体"/>
                <w:szCs w:val="21"/>
              </w:rPr>
              <w:t>户名：宁波市政府采购中心</w:t>
            </w:r>
          </w:p>
          <w:p>
            <w:pPr>
              <w:pStyle w:val="6"/>
              <w:spacing w:before="78" w:after="78"/>
              <w:ind w:firstLine="0" w:firstLineChars="0"/>
              <w:rPr>
                <w:rFonts w:ascii="宋体" w:cs="宋体"/>
                <w:szCs w:val="21"/>
              </w:rPr>
            </w:pPr>
            <w:r>
              <w:rPr>
                <w:rFonts w:hint="eastAsia" w:ascii="宋体" w:cs="宋体"/>
                <w:szCs w:val="21"/>
              </w:rPr>
              <w:t>开户行：中国建设银行宁波东城支行</w:t>
            </w:r>
          </w:p>
          <w:p>
            <w:pPr>
              <w:pStyle w:val="6"/>
              <w:spacing w:before="78" w:after="78"/>
              <w:ind w:firstLine="0" w:firstLineChars="0"/>
              <w:rPr>
                <w:rFonts w:ascii="宋体" w:cs="宋体"/>
                <w:szCs w:val="21"/>
              </w:rPr>
            </w:pPr>
            <w:r>
              <w:rPr>
                <w:rFonts w:hint="eastAsia" w:ascii="宋体" w:cs="宋体"/>
                <w:szCs w:val="21"/>
              </w:rPr>
              <w:t>帐号：33150198367100000022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22" w:hRule="atLeast"/>
        </w:trPr>
        <w:tc>
          <w:tcPr>
            <w:tcW w:w="723" w:type="dxa"/>
            <w:noWrap w:val="0"/>
            <w:vAlign w:val="center"/>
          </w:tcPr>
          <w:p>
            <w:pPr>
              <w:jc w:val="center"/>
              <w:rPr>
                <w:rFonts w:ascii="宋体" w:cs="宋体"/>
              </w:rPr>
            </w:pPr>
            <w:r>
              <w:rPr>
                <w:rFonts w:hint="eastAsia" w:ascii="宋体" w:cs="宋体"/>
              </w:rPr>
              <w:t>11</w:t>
            </w:r>
          </w:p>
        </w:tc>
        <w:tc>
          <w:tcPr>
            <w:tcW w:w="2589" w:type="dxa"/>
            <w:noWrap w:val="0"/>
            <w:vAlign w:val="center"/>
          </w:tcPr>
          <w:p>
            <w:pPr>
              <w:rPr>
                <w:rFonts w:ascii="宋体" w:cs="宋体"/>
                <w:szCs w:val="21"/>
              </w:rPr>
            </w:pPr>
            <w:r>
              <w:rPr>
                <w:rFonts w:hint="eastAsia" w:ascii="宋体" w:cs="宋体"/>
                <w:szCs w:val="21"/>
              </w:rPr>
              <w:t>质疑接收</w:t>
            </w:r>
          </w:p>
        </w:tc>
        <w:tc>
          <w:tcPr>
            <w:tcW w:w="6028" w:type="dxa"/>
            <w:noWrap w:val="0"/>
            <w:vAlign w:val="center"/>
          </w:tcPr>
          <w:p>
            <w:pPr>
              <w:widowControl/>
              <w:spacing w:line="360" w:lineRule="atLeast"/>
              <w:rPr>
                <w:rFonts w:ascii="宋体" w:cs="宋体"/>
                <w:szCs w:val="21"/>
              </w:rPr>
            </w:pPr>
            <w:r>
              <w:rPr>
                <w:rFonts w:hint="eastAsia" w:ascii="宋体" w:cs="宋体"/>
                <w:szCs w:val="21"/>
              </w:rPr>
              <w:t>接收人：陈先生，电话：0574- 87187959，传真：0574-87187961</w:t>
            </w:r>
          </w:p>
          <w:p>
            <w:pPr>
              <w:widowControl/>
              <w:spacing w:line="360" w:lineRule="atLeast"/>
              <w:rPr>
                <w:rFonts w:ascii="宋体"/>
                <w:szCs w:val="21"/>
              </w:rPr>
            </w:pPr>
            <w:r>
              <w:rPr>
                <w:rFonts w:hint="eastAsia" w:ascii="宋体" w:cs="宋体"/>
                <w:szCs w:val="21"/>
              </w:rPr>
              <w:t>地址：宁波市鄞州区宁穿路1901号市行政服务中心5楼</w:t>
            </w:r>
            <w:r>
              <w:rPr>
                <w:rFonts w:hint="eastAsia" w:ascii="宋体"/>
                <w:szCs w:val="21"/>
              </w:rPr>
              <w:t>、邮编：315066</w:t>
            </w:r>
          </w:p>
        </w:tc>
      </w:tr>
    </w:tbl>
    <w:p>
      <w:pPr>
        <w:rPr>
          <w:rFonts w:ascii="宋体" w:cs="宋体"/>
        </w:rPr>
      </w:pPr>
    </w:p>
    <w:p>
      <w:pPr>
        <w:pStyle w:val="4"/>
        <w:spacing w:before="120" w:after="120"/>
        <w:rPr>
          <w:rFonts w:cs="宋体"/>
          <w:sz w:val="28"/>
          <w:szCs w:val="28"/>
        </w:rPr>
      </w:pPr>
      <w:r>
        <w:rPr>
          <w:rFonts w:hint="eastAsia" w:cs="宋体"/>
          <w:sz w:val="28"/>
          <w:szCs w:val="28"/>
        </w:rPr>
        <w:t>二、总则</w:t>
      </w:r>
    </w:p>
    <w:p>
      <w:pPr>
        <w:spacing w:line="450" w:lineRule="atLeast"/>
        <w:ind w:firstLine="420" w:firstLineChars="200"/>
        <w:rPr>
          <w:rFonts w:ascii="宋体" w:cs="宋体"/>
        </w:rPr>
      </w:pPr>
      <w:r>
        <w:rPr>
          <w:rFonts w:hint="eastAsia" w:ascii="宋体" w:cs="宋体"/>
        </w:rPr>
        <w:t>1．招标说明</w:t>
      </w:r>
    </w:p>
    <w:p>
      <w:pPr>
        <w:spacing w:line="450" w:lineRule="atLeast"/>
        <w:ind w:firstLine="420" w:firstLineChars="200"/>
        <w:rPr>
          <w:rFonts w:ascii="宋体" w:cs="宋体"/>
        </w:rPr>
      </w:pPr>
      <w:r>
        <w:rPr>
          <w:rFonts w:hint="eastAsia" w:ascii="宋体" w:cs="宋体"/>
        </w:rPr>
        <w:t>本项目按照</w:t>
      </w:r>
      <w:r>
        <w:rPr>
          <w:rFonts w:hint="eastAsia" w:ascii="宋体" w:cs="宋体"/>
          <w:color w:val="000000"/>
        </w:rPr>
        <w:t>根据《中华人民共和国政府采购法》和宁波市政府采购</w:t>
      </w:r>
      <w:r>
        <w:rPr>
          <w:rFonts w:hint="eastAsia" w:ascii="宋体" w:cs="宋体"/>
        </w:rPr>
        <w:t>的规定，并参考有关法规、政策、规章、规定通过招标择优选定供应商。</w:t>
      </w:r>
    </w:p>
    <w:p>
      <w:pPr>
        <w:spacing w:line="450" w:lineRule="atLeast"/>
        <w:ind w:firstLine="420" w:firstLineChars="200"/>
        <w:rPr>
          <w:rFonts w:ascii="宋体" w:cs="宋体"/>
        </w:rPr>
      </w:pPr>
      <w:r>
        <w:rPr>
          <w:rFonts w:hint="eastAsia" w:ascii="宋体" w:cs="宋体"/>
        </w:rPr>
        <w:t>2．定义</w:t>
      </w:r>
    </w:p>
    <w:p>
      <w:pPr>
        <w:spacing w:line="450" w:lineRule="atLeast"/>
        <w:ind w:firstLine="420" w:firstLineChars="200"/>
        <w:rPr>
          <w:rFonts w:ascii="宋体" w:cs="宋体"/>
        </w:rPr>
      </w:pPr>
      <w:r>
        <w:rPr>
          <w:rFonts w:hint="eastAsia" w:ascii="宋体" w:cs="宋体"/>
        </w:rPr>
        <w:t>招标文件中下列术语应解释为：</w:t>
      </w:r>
    </w:p>
    <w:p>
      <w:pPr>
        <w:spacing w:line="450" w:lineRule="atLeast"/>
        <w:ind w:firstLine="420" w:firstLineChars="200"/>
        <w:rPr>
          <w:rFonts w:ascii="宋体" w:cs="宋体"/>
        </w:rPr>
      </w:pPr>
      <w:r>
        <w:rPr>
          <w:rFonts w:hint="eastAsia" w:ascii="宋体" w:cs="宋体"/>
        </w:rPr>
        <w:t>2.1“宁波市政府采购中心”系指政府设立的负责本级财政性资金的集中采购和招标组织工作的专门机构。</w:t>
      </w:r>
    </w:p>
    <w:p>
      <w:pPr>
        <w:ind w:firstLine="412"/>
        <w:rPr>
          <w:rFonts w:ascii="宋体" w:hAnsi="宋体"/>
        </w:rPr>
      </w:pPr>
      <w:r>
        <w:rPr>
          <w:rFonts w:hint="eastAsia" w:ascii="宋体" w:cs="宋体"/>
        </w:rPr>
        <w:t>2.2“采购人”或“采购单位”：系指利用财政性资金依法进行政府采购的国家机关、事业单位、团体组织。</w:t>
      </w:r>
      <w:r>
        <w:rPr>
          <w:rFonts w:hint="eastAsia" w:ascii="宋体" w:hAnsi="宋体"/>
          <w:b/>
          <w:u w:val="single"/>
        </w:rPr>
        <w:t>本项目系指宁波大学医学院附属医院</w:t>
      </w:r>
    </w:p>
    <w:p>
      <w:pPr>
        <w:spacing w:line="450" w:lineRule="atLeast"/>
        <w:ind w:firstLine="420" w:firstLineChars="200"/>
        <w:rPr>
          <w:rFonts w:hint="eastAsia"/>
          <w:b/>
        </w:rPr>
      </w:pPr>
      <w:r>
        <w:rPr>
          <w:rFonts w:hint="eastAsia" w:cs="宋体"/>
        </w:rPr>
        <w:t>2.3“投标人”或“投标方”：</w:t>
      </w:r>
      <w:r>
        <w:rPr>
          <w:rFonts w:hint="eastAsia"/>
        </w:rPr>
        <w:t>指符合本招标文件规定并参加投标的供应商。</w:t>
      </w:r>
      <w:r>
        <w:rPr>
          <w:rFonts w:hint="eastAsia"/>
          <w:b/>
        </w:rPr>
        <w:t>单位负责人为同一人或者存在直接控股、管理关系的不同供应商，不得参加同一合同项下的政府采购活动。</w:t>
      </w:r>
    </w:p>
    <w:p>
      <w:pPr>
        <w:pStyle w:val="34"/>
        <w:snapToGrid w:val="0"/>
        <w:spacing w:line="400" w:lineRule="exact"/>
        <w:ind w:left="0" w:firstLine="420" w:firstLineChars="200"/>
        <w:rPr>
          <w:b/>
        </w:rPr>
      </w:pPr>
      <w:r>
        <w:rPr>
          <w:rFonts w:cs="宋体"/>
        </w:rPr>
        <w:t>2.</w:t>
      </w:r>
      <w:r>
        <w:rPr>
          <w:rFonts w:hint="eastAsia" w:cs="宋体"/>
        </w:rPr>
        <w:t>4“保安服务”系指按照招标项目要求中规定的保安管理内容提供的服务</w:t>
      </w:r>
    </w:p>
    <w:p>
      <w:pPr>
        <w:spacing w:line="450" w:lineRule="atLeast"/>
        <w:ind w:firstLine="420" w:firstLineChars="200"/>
        <w:rPr>
          <w:rFonts w:ascii="宋体" w:cs="宋体"/>
        </w:rPr>
      </w:pPr>
      <w:r>
        <w:rPr>
          <w:rFonts w:hint="eastAsia" w:ascii="宋体" w:cs="宋体"/>
        </w:rPr>
        <w:t>2.5“评标委员会”是依据政府采购的有关规定组建的专门负责本次招标其评标工作的临时性机构；</w:t>
      </w:r>
    </w:p>
    <w:p>
      <w:pPr>
        <w:spacing w:line="450" w:lineRule="atLeast"/>
        <w:ind w:firstLine="420" w:firstLineChars="200"/>
        <w:rPr>
          <w:rFonts w:ascii="宋体" w:cs="宋体"/>
        </w:rPr>
      </w:pPr>
      <w:r>
        <w:rPr>
          <w:rFonts w:hint="eastAsia" w:ascii="宋体" w:cs="宋体"/>
        </w:rPr>
        <w:t>2.6“日期”指公历日；</w:t>
      </w:r>
    </w:p>
    <w:p>
      <w:pPr>
        <w:spacing w:line="450" w:lineRule="atLeast"/>
        <w:ind w:firstLine="420" w:firstLineChars="200"/>
        <w:rPr>
          <w:rFonts w:ascii="宋体" w:cs="宋体"/>
        </w:rPr>
      </w:pPr>
      <w:r>
        <w:rPr>
          <w:rFonts w:hint="eastAsia" w:ascii="宋体" w:cs="宋体"/>
        </w:rPr>
        <w:t>2.7“合同”指由本次招标所产生的合同或合约文件；</w:t>
      </w:r>
    </w:p>
    <w:p>
      <w:pPr>
        <w:spacing w:line="450" w:lineRule="atLeast"/>
        <w:ind w:firstLine="420" w:firstLineChars="200"/>
        <w:rPr>
          <w:rFonts w:ascii="宋体" w:cs="宋体"/>
        </w:rPr>
      </w:pPr>
      <w:r>
        <w:rPr>
          <w:rFonts w:hint="eastAsia" w:ascii="宋体" w:cs="宋体"/>
        </w:rPr>
        <w:t>2.8招标文件中的标题或题名仅起引导作用，而不应视为对招标文件内容的理解和解释。</w:t>
      </w:r>
    </w:p>
    <w:p>
      <w:pPr>
        <w:spacing w:line="450" w:lineRule="atLeast"/>
        <w:ind w:firstLine="420" w:firstLineChars="200"/>
        <w:rPr>
          <w:rFonts w:ascii="宋体" w:cs="宋体"/>
        </w:rPr>
      </w:pPr>
      <w:r>
        <w:rPr>
          <w:rFonts w:hint="eastAsia" w:ascii="宋体" w:cs="宋体"/>
        </w:rPr>
        <w:t>3．投标人的资质要求</w:t>
      </w:r>
    </w:p>
    <w:p>
      <w:pPr>
        <w:spacing w:line="450" w:lineRule="atLeast"/>
        <w:ind w:firstLine="420" w:firstLineChars="200"/>
        <w:rPr>
          <w:rFonts w:ascii="宋体" w:cs="宋体"/>
        </w:rPr>
      </w:pPr>
      <w:r>
        <w:rPr>
          <w:rFonts w:hint="eastAsia" w:ascii="宋体" w:cs="宋体"/>
        </w:rPr>
        <w:t>3.1 参加政府采购活动投标人应当具备条件：</w:t>
      </w:r>
      <w:r>
        <w:rPr>
          <w:rFonts w:hint="eastAsia" w:ascii="宋体" w:cs="宋体"/>
          <w:b/>
        </w:rPr>
        <w:t>（见招标公告有关资质要求）</w:t>
      </w:r>
    </w:p>
    <w:p>
      <w:pPr>
        <w:spacing w:line="450" w:lineRule="atLeast"/>
        <w:ind w:firstLine="420" w:firstLineChars="200"/>
        <w:rPr>
          <w:rFonts w:ascii="宋体" w:cs="宋体"/>
        </w:rPr>
      </w:pPr>
      <w:r>
        <w:rPr>
          <w:rFonts w:hint="eastAsia" w:ascii="宋体" w:cs="宋体"/>
        </w:rPr>
        <w:t>4．联合体投标</w:t>
      </w:r>
    </w:p>
    <w:p>
      <w:pPr>
        <w:spacing w:line="450" w:lineRule="atLeast"/>
        <w:ind w:firstLine="420" w:firstLineChars="200"/>
        <w:rPr>
          <w:rFonts w:ascii="宋体" w:cs="宋体"/>
        </w:rPr>
      </w:pPr>
      <w:r>
        <w:rPr>
          <w:rFonts w:hint="eastAsia" w:ascii="宋体" w:cs="宋体"/>
        </w:rPr>
        <w:t>4.1由两个或两个以上法人组成一个联合体以一个投标人的身份共同投标时，除符合招标公告要求的资质外，还应符合以下要求：</w:t>
      </w:r>
    </w:p>
    <w:p>
      <w:pPr>
        <w:spacing w:line="450" w:lineRule="atLeast"/>
        <w:ind w:firstLine="420" w:firstLineChars="200"/>
        <w:rPr>
          <w:rFonts w:ascii="宋体" w:cs="宋体"/>
        </w:rPr>
      </w:pPr>
      <w:r>
        <w:rPr>
          <w:rFonts w:hint="eastAsia" w:ascii="宋体" w:cs="宋体"/>
        </w:rPr>
        <w:t>（1）投标人的投标文件及中标后签署的合同协议对联合体每一成员均具法律约束力；</w:t>
      </w:r>
    </w:p>
    <w:p>
      <w:pPr>
        <w:spacing w:line="450" w:lineRule="atLeast"/>
        <w:ind w:firstLine="420" w:firstLineChars="200"/>
        <w:rPr>
          <w:rFonts w:ascii="宋体" w:cs="宋体"/>
        </w:rPr>
      </w:pPr>
      <w:r>
        <w:rPr>
          <w:rFonts w:hint="eastAsia" w:ascii="宋体" w:cs="宋体"/>
        </w:rPr>
        <w:t>（2）联合体的各成员应当签订联合投标协议书，明确约定各方拟承担的工作和责任，并将该联合投标协议书随投标文件一并递交给宁波市政府采购中心；</w:t>
      </w:r>
    </w:p>
    <w:p>
      <w:pPr>
        <w:spacing w:line="450" w:lineRule="atLeast"/>
        <w:ind w:firstLine="420" w:firstLineChars="200"/>
        <w:rPr>
          <w:rFonts w:ascii="宋体" w:cs="宋体"/>
        </w:rPr>
      </w:pPr>
      <w:r>
        <w:rPr>
          <w:rFonts w:hint="eastAsia" w:ascii="宋体" w:cs="宋体"/>
        </w:rPr>
        <w:t>（3）联合体中标后，联合体各方应当共同与采购人签订合同，为履行合同向采购人承担连带责任；</w:t>
      </w:r>
    </w:p>
    <w:p>
      <w:pPr>
        <w:spacing w:line="450" w:lineRule="atLeast"/>
        <w:ind w:firstLine="420" w:firstLineChars="200"/>
        <w:rPr>
          <w:rFonts w:ascii="宋体" w:cs="宋体"/>
        </w:rPr>
      </w:pPr>
      <w:r>
        <w:rPr>
          <w:rFonts w:hint="eastAsia" w:ascii="宋体" w:cs="宋体"/>
        </w:rPr>
        <w:t>（4）参加联合体的各成员不得再以自己的名义单独投标，不得同时参加两个或两个以上的联合体投标。</w:t>
      </w:r>
    </w:p>
    <w:p>
      <w:pPr>
        <w:spacing w:line="450" w:lineRule="atLeast"/>
        <w:ind w:firstLine="420" w:firstLineChars="200"/>
        <w:rPr>
          <w:rFonts w:ascii="宋体" w:cs="宋体"/>
          <w:color w:val="000000"/>
        </w:rPr>
      </w:pPr>
      <w:r>
        <w:rPr>
          <w:rFonts w:hint="eastAsia" w:ascii="宋体" w:cs="宋体"/>
          <w:color w:val="000000"/>
        </w:rPr>
        <w:t>（5）</w:t>
      </w:r>
      <w:r>
        <w:rPr>
          <w:rFonts w:hint="eastAsia" w:ascii="宋体" w:cs="宋体"/>
          <w:b/>
          <w:color w:val="000000"/>
        </w:rPr>
        <w:t>本在物业管理服务项目中，不允许采用联合体方式投标</w:t>
      </w:r>
      <w:r>
        <w:rPr>
          <w:rFonts w:hint="eastAsia" w:ascii="宋体" w:cs="宋体"/>
          <w:color w:val="000000"/>
        </w:rPr>
        <w:t>。</w:t>
      </w:r>
    </w:p>
    <w:p>
      <w:pPr>
        <w:spacing w:line="450" w:lineRule="atLeast"/>
        <w:ind w:firstLine="420" w:firstLineChars="200"/>
        <w:rPr>
          <w:rFonts w:ascii="宋体" w:cs="宋体"/>
        </w:rPr>
      </w:pPr>
      <w:r>
        <w:rPr>
          <w:rFonts w:hint="eastAsia" w:ascii="宋体" w:cs="宋体"/>
        </w:rPr>
        <w:t>5．投标费用</w:t>
      </w:r>
    </w:p>
    <w:p>
      <w:pPr>
        <w:spacing w:line="450" w:lineRule="atLeast"/>
        <w:ind w:firstLine="420" w:firstLineChars="200"/>
        <w:rPr>
          <w:rFonts w:ascii="宋体" w:cs="宋体"/>
        </w:rPr>
      </w:pPr>
      <w:r>
        <w:rPr>
          <w:rFonts w:hint="eastAsia" w:ascii="宋体" w:cs="宋体"/>
        </w:rPr>
        <w:t>不论投标结果如何，投标人应承担其编制投标文件与递交投标文件所涉及的一切费用。</w:t>
      </w:r>
    </w:p>
    <w:p>
      <w:pPr>
        <w:spacing w:line="450" w:lineRule="atLeast"/>
        <w:ind w:firstLine="420" w:firstLineChars="200"/>
        <w:rPr>
          <w:rFonts w:ascii="宋体" w:cs="宋体"/>
        </w:rPr>
      </w:pPr>
      <w:r>
        <w:rPr>
          <w:rFonts w:hint="eastAsia" w:ascii="宋体" w:cs="宋体"/>
        </w:rPr>
        <w:t>6．踏勘现场</w:t>
      </w:r>
    </w:p>
    <w:p>
      <w:pPr>
        <w:spacing w:line="450" w:lineRule="atLeast"/>
        <w:ind w:firstLine="420" w:firstLineChars="200"/>
        <w:rPr>
          <w:rFonts w:ascii="宋体" w:cs="宋体"/>
        </w:rPr>
      </w:pPr>
      <w:r>
        <w:rPr>
          <w:rFonts w:hint="eastAsia" w:ascii="宋体" w:cs="宋体"/>
        </w:rPr>
        <w:t>6.1宁波市政府采购中心或采购单位将组织投标人对项目现场及周围环境进行踏勘，以便投标人获取有关编制投标文件和签署合同所需的所有资料。踏勘现场所发生的费用由投标人自己承担；</w:t>
      </w:r>
    </w:p>
    <w:p>
      <w:pPr>
        <w:spacing w:line="450" w:lineRule="atLeast"/>
        <w:ind w:firstLine="420" w:firstLineChars="200"/>
        <w:rPr>
          <w:rFonts w:ascii="宋体" w:cs="宋体"/>
        </w:rPr>
      </w:pPr>
      <w:r>
        <w:rPr>
          <w:rFonts w:hint="eastAsia" w:ascii="宋体" w:cs="宋体"/>
        </w:rPr>
        <w:t>6.2投标人及其人员经过采购单位的允许，可以踏勘目的进入采购单位的现场。投标人未参与统一组织踏勘现场的，采购单位有权拒绝其进入现场。</w:t>
      </w:r>
    </w:p>
    <w:p>
      <w:pPr>
        <w:spacing w:line="450" w:lineRule="atLeast"/>
        <w:ind w:firstLine="420" w:firstLineChars="200"/>
        <w:rPr>
          <w:rFonts w:ascii="宋体" w:cs="宋体"/>
        </w:rPr>
      </w:pPr>
      <w:r>
        <w:rPr>
          <w:rFonts w:hint="eastAsia" w:ascii="宋体" w:cs="宋体"/>
        </w:rPr>
        <w:t>6.3采购单位必须通过宁波市政府采购中心向投标人提供有关现场的资料和数据。</w:t>
      </w:r>
    </w:p>
    <w:p>
      <w:pPr>
        <w:spacing w:line="450" w:lineRule="atLeast"/>
        <w:ind w:firstLine="420" w:firstLineChars="200"/>
        <w:rPr>
          <w:rFonts w:ascii="宋体" w:cs="宋体"/>
        </w:rPr>
      </w:pPr>
      <w:r>
        <w:rPr>
          <w:rFonts w:hint="eastAsia" w:ascii="宋体" w:cs="宋体"/>
        </w:rPr>
        <w:t>6.4任何人或任何组织在踏勘现场时向投标人提交的任何书面或口头上的资料，未经宁波市政府采购中心在网上发布或书面通知，均作无效处理。政府集中采购机构对投标人由此而做出的推论、理解和结论概不负责；</w:t>
      </w:r>
    </w:p>
    <w:p>
      <w:pPr>
        <w:spacing w:line="450" w:lineRule="atLeast"/>
        <w:ind w:firstLine="420" w:firstLineChars="200"/>
        <w:rPr>
          <w:rFonts w:ascii="宋体" w:cs="宋体"/>
        </w:rPr>
      </w:pPr>
      <w:r>
        <w:rPr>
          <w:rFonts w:hint="eastAsia" w:ascii="宋体" w:cs="宋体"/>
        </w:rPr>
        <w:t>6.5未参与现场踏勘不做为否定投标人资格的理由。</w:t>
      </w:r>
    </w:p>
    <w:p>
      <w:pPr>
        <w:spacing w:line="450" w:lineRule="atLeast"/>
        <w:ind w:firstLine="420" w:firstLineChars="200"/>
        <w:rPr>
          <w:rFonts w:ascii="宋体" w:cs="宋体"/>
        </w:rPr>
      </w:pPr>
      <w:r>
        <w:rPr>
          <w:rFonts w:hint="eastAsia" w:ascii="宋体" w:cs="宋体"/>
        </w:rPr>
        <w:t>7．招标答疑</w:t>
      </w:r>
    </w:p>
    <w:p>
      <w:pPr>
        <w:spacing w:line="450" w:lineRule="atLeast"/>
        <w:ind w:firstLine="420" w:firstLineChars="200"/>
        <w:rPr>
          <w:rFonts w:ascii="宋体" w:cs="宋体"/>
        </w:rPr>
      </w:pPr>
      <w:r>
        <w:rPr>
          <w:rFonts w:hint="eastAsia" w:ascii="宋体" w:cs="宋体"/>
        </w:rPr>
        <w:t>7.1 招标答疑</w:t>
      </w:r>
    </w:p>
    <w:p>
      <w:pPr>
        <w:spacing w:line="450" w:lineRule="atLeast"/>
        <w:ind w:firstLine="420" w:firstLineChars="200"/>
        <w:rPr>
          <w:rFonts w:ascii="宋体" w:cs="宋体"/>
        </w:rPr>
      </w:pPr>
      <w:r>
        <w:rPr>
          <w:rFonts w:hint="eastAsia" w:ascii="宋体" w:cs="宋体"/>
        </w:rPr>
        <w:t>（1）如宁波市政府采购中心认为有必要组织招标答疑，投标人应按照招标文件规定的时间或宁波市政府采购中心另行书面通知的时间和地点，参与招标答疑；</w:t>
      </w:r>
    </w:p>
    <w:p>
      <w:pPr>
        <w:spacing w:line="450" w:lineRule="atLeast"/>
        <w:ind w:firstLine="420" w:firstLineChars="200"/>
        <w:rPr>
          <w:rFonts w:ascii="宋体" w:cs="宋体"/>
        </w:rPr>
      </w:pPr>
      <w:r>
        <w:rPr>
          <w:rFonts w:hint="eastAsia" w:ascii="宋体" w:cs="宋体"/>
        </w:rPr>
        <w:t>（2）招标答疑的目的是澄清、解答投标人在查阅招标文件后和现场踏勘中可能提出的与投标有关的问题；</w:t>
      </w:r>
    </w:p>
    <w:p>
      <w:pPr>
        <w:spacing w:line="450" w:lineRule="atLeast"/>
        <w:ind w:firstLine="420" w:firstLineChars="200"/>
        <w:rPr>
          <w:rFonts w:ascii="宋体" w:cs="宋体"/>
        </w:rPr>
      </w:pPr>
      <w:r>
        <w:rPr>
          <w:rFonts w:hint="eastAsia" w:ascii="宋体" w:cs="宋体"/>
        </w:rPr>
        <w:t>（3）投标人提出的与投标有关的问题须在招标文件规定的时间前书面形式提交给宁波市政府采购中心；</w:t>
      </w:r>
    </w:p>
    <w:p>
      <w:pPr>
        <w:spacing w:line="450" w:lineRule="atLeast"/>
        <w:ind w:firstLine="420" w:firstLineChars="200"/>
        <w:rPr>
          <w:rFonts w:ascii="宋体" w:cs="宋体"/>
        </w:rPr>
      </w:pPr>
      <w:r>
        <w:rPr>
          <w:rFonts w:hint="eastAsia" w:ascii="宋体" w:cs="宋体"/>
        </w:rPr>
        <w:t>（4）宁波市政府采购中心对疑问所做出的澄清和解答，以书面答复为准。</w:t>
      </w:r>
    </w:p>
    <w:p>
      <w:pPr>
        <w:spacing w:line="450" w:lineRule="atLeast"/>
        <w:ind w:firstLine="420" w:firstLineChars="200"/>
        <w:rPr>
          <w:rFonts w:ascii="宋体" w:cs="宋体"/>
        </w:rPr>
      </w:pPr>
      <w:r>
        <w:rPr>
          <w:rFonts w:hint="eastAsia" w:ascii="宋体" w:cs="宋体"/>
        </w:rPr>
        <w:t>（5）未参与招标答疑不作为否定投标人资格的理由。</w:t>
      </w:r>
    </w:p>
    <w:p>
      <w:pPr>
        <w:spacing w:line="450" w:lineRule="atLeast"/>
        <w:ind w:firstLine="420" w:firstLineChars="200"/>
        <w:rPr>
          <w:rFonts w:ascii="宋体" w:cs="宋体"/>
        </w:rPr>
      </w:pPr>
      <w:r>
        <w:rPr>
          <w:rFonts w:hint="eastAsia" w:ascii="宋体" w:cs="宋体"/>
        </w:rPr>
        <w:t>7.2 投标人应按照招标文件规定的时间或宁波市政府采购中心另行书面通知的时间、地点，参与宁波市政府采购中心（或业主）主持的招标答疑。</w:t>
      </w:r>
    </w:p>
    <w:p>
      <w:pPr>
        <w:pStyle w:val="4"/>
        <w:spacing w:before="120" w:after="120"/>
        <w:rPr>
          <w:rFonts w:cs="宋体"/>
          <w:sz w:val="28"/>
          <w:szCs w:val="28"/>
        </w:rPr>
      </w:pPr>
      <w:r>
        <w:rPr>
          <w:rFonts w:hint="eastAsia" w:cs="宋体"/>
          <w:sz w:val="28"/>
          <w:szCs w:val="28"/>
        </w:rPr>
        <w:t>三、招标文件</w:t>
      </w:r>
    </w:p>
    <w:p>
      <w:pPr>
        <w:spacing w:line="450" w:lineRule="atLeast"/>
        <w:ind w:firstLine="420" w:firstLineChars="200"/>
        <w:rPr>
          <w:rFonts w:ascii="宋体" w:cs="宋体"/>
        </w:rPr>
      </w:pPr>
      <w:r>
        <w:rPr>
          <w:rFonts w:hint="eastAsia" w:ascii="宋体" w:cs="宋体"/>
        </w:rPr>
        <w:t>8．招标文件的组成</w:t>
      </w:r>
    </w:p>
    <w:p>
      <w:pPr>
        <w:spacing w:line="450" w:lineRule="atLeast"/>
        <w:ind w:firstLine="420" w:firstLineChars="200"/>
        <w:rPr>
          <w:rFonts w:ascii="宋体" w:cs="宋体"/>
        </w:rPr>
      </w:pPr>
      <w:r>
        <w:rPr>
          <w:rFonts w:hint="eastAsia" w:ascii="宋体" w:cs="宋体"/>
        </w:rPr>
        <w:t>8.1招标文件除以下内容外，宁波市政府采购中心在招标（或谈判）期间发出的答疑纪要和其他补充修改函件，均是招标文件的组成部分，对投标人起约束作用；</w:t>
      </w:r>
    </w:p>
    <w:p>
      <w:pPr>
        <w:spacing w:line="450" w:lineRule="atLeast"/>
        <w:ind w:firstLine="420" w:firstLineChars="200"/>
        <w:rPr>
          <w:rFonts w:ascii="宋体" w:cs="宋体"/>
        </w:rPr>
      </w:pPr>
      <w:r>
        <w:rPr>
          <w:rFonts w:hint="eastAsia" w:ascii="宋体" w:cs="宋体"/>
        </w:rPr>
        <w:t>招标文件包括下列内容：</w:t>
      </w:r>
    </w:p>
    <w:p>
      <w:pPr>
        <w:spacing w:line="450" w:lineRule="atLeast"/>
        <w:ind w:firstLine="420" w:firstLineChars="200"/>
        <w:rPr>
          <w:rFonts w:ascii="宋体" w:cs="宋体"/>
        </w:rPr>
      </w:pPr>
      <w:r>
        <w:rPr>
          <w:rFonts w:hint="eastAsia" w:ascii="宋体" w:cs="宋体"/>
        </w:rPr>
        <w:t>招标公告</w:t>
      </w:r>
    </w:p>
    <w:p>
      <w:pPr>
        <w:spacing w:line="450" w:lineRule="atLeast"/>
        <w:ind w:firstLine="420" w:firstLineChars="200"/>
        <w:rPr>
          <w:rFonts w:ascii="宋体" w:cs="宋体"/>
        </w:rPr>
      </w:pPr>
      <w:r>
        <w:rPr>
          <w:rFonts w:hint="eastAsia" w:ascii="宋体" w:cs="宋体"/>
        </w:rPr>
        <w:t>第一章招标项目要求；</w:t>
      </w:r>
    </w:p>
    <w:p>
      <w:pPr>
        <w:spacing w:line="450" w:lineRule="atLeast"/>
        <w:ind w:firstLine="420" w:firstLineChars="200"/>
        <w:rPr>
          <w:rFonts w:ascii="宋体" w:cs="宋体"/>
        </w:rPr>
      </w:pPr>
      <w:r>
        <w:rPr>
          <w:rFonts w:hint="eastAsia" w:ascii="宋体" w:cs="宋体"/>
        </w:rPr>
        <w:t>第二章投标须知；</w:t>
      </w:r>
    </w:p>
    <w:p>
      <w:pPr>
        <w:spacing w:line="450" w:lineRule="atLeast"/>
        <w:ind w:firstLine="420" w:firstLineChars="200"/>
        <w:rPr>
          <w:rFonts w:ascii="宋体" w:cs="宋体"/>
        </w:rPr>
      </w:pPr>
      <w:r>
        <w:rPr>
          <w:rFonts w:hint="eastAsia" w:ascii="宋体" w:cs="宋体"/>
        </w:rPr>
        <w:t>第三章合同条款及合同格式</w:t>
      </w:r>
    </w:p>
    <w:p>
      <w:pPr>
        <w:spacing w:line="450" w:lineRule="atLeast"/>
        <w:ind w:firstLine="420" w:firstLineChars="200"/>
        <w:rPr>
          <w:rFonts w:ascii="宋体" w:cs="宋体"/>
        </w:rPr>
      </w:pPr>
      <w:r>
        <w:rPr>
          <w:rFonts w:hint="eastAsia" w:ascii="宋体" w:cs="宋体"/>
        </w:rPr>
        <w:t>第四章部分投标文件格式。</w:t>
      </w:r>
    </w:p>
    <w:p>
      <w:pPr>
        <w:spacing w:line="450" w:lineRule="atLeast"/>
        <w:ind w:firstLine="420" w:firstLineChars="200"/>
        <w:rPr>
          <w:rFonts w:ascii="宋体" w:cs="宋体"/>
        </w:rPr>
      </w:pPr>
      <w:r>
        <w:rPr>
          <w:rFonts w:hint="eastAsia" w:ascii="宋体" w:cs="宋体"/>
        </w:rPr>
        <w:t>8.2 投标人在领取投标文件后，应仔细检查招标文件的所有内容，如有残缺应在投标答疑截止时间之前向政府集中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spacing w:line="360" w:lineRule="auto"/>
        <w:ind w:firstLine="420" w:firstLineChars="200"/>
        <w:rPr>
          <w:rFonts w:ascii="黑体" w:eastAsia="黑体"/>
        </w:rPr>
      </w:pPr>
      <w:r>
        <w:rPr>
          <w:rFonts w:ascii="黑体" w:eastAsia="黑体"/>
        </w:rPr>
        <w:t>9</w:t>
      </w:r>
      <w:r>
        <w:rPr>
          <w:rFonts w:hint="eastAsia" w:ascii="黑体" w:eastAsia="黑体"/>
        </w:rPr>
        <w:t>．招标文件的澄清</w:t>
      </w:r>
    </w:p>
    <w:p>
      <w:pPr>
        <w:spacing w:line="360" w:lineRule="auto"/>
        <w:ind w:firstLine="420" w:firstLineChars="200"/>
        <w:rPr>
          <w:rFonts w:ascii="宋体"/>
        </w:rPr>
      </w:pPr>
      <w:r>
        <w:rPr>
          <w:rFonts w:ascii="宋体"/>
        </w:rPr>
        <w:t>9</w:t>
      </w:r>
      <w:r>
        <w:rPr>
          <w:rFonts w:hint="eastAsia" w:ascii="宋体"/>
        </w:rPr>
        <w:t>.1投标人在收到招标文件后，对招标文件若有疑问要求澄清的，均应在招标公告规定时间内，以书面的形式向宁波市政府采购中心提交。不论是宁波市政府采购中心根据需要主动对招标文件进行必要的澄清或是根据投标人的要求对招标文件做出澄清，宁波市政府采购中心都将在招标文件规定的截止日期前以书面形式答复给所有投标人。澄清纪要作为采购文件的组成部分，对投标人起约束作用。</w:t>
      </w:r>
    </w:p>
    <w:p>
      <w:pPr>
        <w:spacing w:line="360" w:lineRule="auto"/>
        <w:ind w:firstLine="420" w:firstLineChars="200"/>
        <w:rPr>
          <w:rFonts w:ascii="黑体" w:eastAsia="黑体"/>
        </w:rPr>
      </w:pPr>
      <w:r>
        <w:rPr>
          <w:rFonts w:ascii="黑体" w:eastAsia="黑体"/>
        </w:rPr>
        <w:t>10</w:t>
      </w:r>
      <w:r>
        <w:rPr>
          <w:rFonts w:hint="eastAsia" w:ascii="黑体" w:eastAsia="黑体"/>
        </w:rPr>
        <w:t>．招标文件的修改</w:t>
      </w:r>
    </w:p>
    <w:p>
      <w:pPr>
        <w:spacing w:line="360" w:lineRule="auto"/>
        <w:ind w:firstLine="420" w:firstLineChars="200"/>
        <w:rPr>
          <w:rFonts w:ascii="宋体"/>
        </w:rPr>
      </w:pPr>
      <w:r>
        <w:rPr>
          <w:rFonts w:ascii="宋体"/>
        </w:rPr>
        <w:t>10</w:t>
      </w:r>
      <w:r>
        <w:rPr>
          <w:rFonts w:hint="eastAsia" w:ascii="宋体"/>
        </w:rPr>
        <w:t>.1招标文件发出后，在投标截止时间3日前，确需要变更招标内容的，宁波市政府采购中心可主动地或在解答投标人提出的澄清问题时对招标文件进行修改；</w:t>
      </w:r>
    </w:p>
    <w:p>
      <w:pPr>
        <w:spacing w:line="360" w:lineRule="auto"/>
        <w:ind w:firstLine="420" w:firstLineChars="200"/>
        <w:rPr>
          <w:rFonts w:ascii="宋体"/>
        </w:rPr>
      </w:pPr>
      <w:r>
        <w:rPr>
          <w:rFonts w:ascii="宋体"/>
        </w:rPr>
        <w:t>10</w:t>
      </w:r>
      <w:r>
        <w:rPr>
          <w:rFonts w:hint="eastAsia" w:ascii="宋体"/>
        </w:rPr>
        <w:t>.2招标文件的修改以书面形式发送给所有投标人，招标文件的修改内容作为招标文件的组成部分，并具有约束力。</w:t>
      </w:r>
    </w:p>
    <w:p>
      <w:pPr>
        <w:spacing w:line="360" w:lineRule="auto"/>
        <w:ind w:firstLine="420" w:firstLineChars="200"/>
        <w:rPr>
          <w:rFonts w:ascii="宋体"/>
        </w:rPr>
      </w:pPr>
      <w:r>
        <w:rPr>
          <w:rFonts w:ascii="宋体"/>
        </w:rPr>
        <w:t>10</w:t>
      </w:r>
      <w:r>
        <w:rPr>
          <w:rFonts w:hint="eastAsia" w:ascii="宋体"/>
        </w:rPr>
        <w:t>.3招标文件、招标文件澄清（答疑）纪要、招标文件修改补充通知内容均以书面明确的内容为准。当招标文件、修改补充通知、澄清（答疑）纪要内容相互矛盾时，以最后发出的通知（或纪要）或修改文件为准；</w:t>
      </w:r>
    </w:p>
    <w:p>
      <w:pPr>
        <w:spacing w:line="360" w:lineRule="auto"/>
        <w:ind w:firstLine="420" w:firstLineChars="200"/>
        <w:rPr>
          <w:rFonts w:ascii="宋体"/>
        </w:rPr>
      </w:pPr>
      <w:r>
        <w:rPr>
          <w:rFonts w:ascii="宋体"/>
        </w:rPr>
        <w:t>10</w:t>
      </w:r>
      <w:r>
        <w:rPr>
          <w:rFonts w:hint="eastAsia" w:ascii="宋体"/>
        </w:rPr>
        <w:t>.4宁波市政府采购中心保证招标文件澄清（答疑）纪要和招标文件修改补充通知在招标文件规定的时间前以书面形式发送给所有投标人。</w:t>
      </w:r>
    </w:p>
    <w:p>
      <w:pPr>
        <w:spacing w:line="500" w:lineRule="exact"/>
        <w:ind w:firstLine="420"/>
        <w:rPr>
          <w:rFonts w:ascii="宋体"/>
        </w:rPr>
      </w:pPr>
      <w:r>
        <w:rPr>
          <w:rFonts w:ascii="宋体"/>
        </w:rPr>
        <w:t>10</w:t>
      </w:r>
      <w:r>
        <w:rPr>
          <w:rFonts w:hint="eastAsia" w:ascii="宋体"/>
        </w:rPr>
        <w:t>.5宁波市政府采购中心在投标截止时间3日前，对招标文件进行实质性修改，至投标截止时间不足15日的，应顺延推迟投标截止时间和开标时间，并在指定的政府采购信息发布媒体上发布补充公告。</w:t>
      </w:r>
    </w:p>
    <w:p>
      <w:pPr>
        <w:spacing w:line="450" w:lineRule="atLeast"/>
        <w:ind w:firstLine="420" w:firstLineChars="200"/>
        <w:rPr>
          <w:rFonts w:ascii="宋体" w:cs="宋体"/>
        </w:rPr>
      </w:pPr>
    </w:p>
    <w:p>
      <w:pPr>
        <w:pStyle w:val="4"/>
        <w:spacing w:before="120" w:after="120"/>
        <w:rPr>
          <w:rFonts w:cs="宋体"/>
          <w:sz w:val="28"/>
          <w:szCs w:val="28"/>
        </w:rPr>
      </w:pPr>
      <w:r>
        <w:rPr>
          <w:rFonts w:hint="eastAsia" w:cs="宋体"/>
          <w:sz w:val="28"/>
          <w:szCs w:val="28"/>
        </w:rPr>
        <w:t>四、投标文件</w:t>
      </w:r>
    </w:p>
    <w:p>
      <w:pPr>
        <w:spacing w:line="450" w:lineRule="atLeast"/>
        <w:ind w:firstLine="420" w:firstLineChars="200"/>
        <w:rPr>
          <w:rFonts w:ascii="宋体" w:cs="宋体"/>
        </w:rPr>
      </w:pPr>
      <w:r>
        <w:rPr>
          <w:rFonts w:hint="eastAsia" w:ascii="宋体" w:cs="宋体"/>
        </w:rPr>
        <w:t>11．投标文件的语言及度量单位</w:t>
      </w:r>
    </w:p>
    <w:p>
      <w:pPr>
        <w:spacing w:line="450" w:lineRule="atLeast"/>
        <w:ind w:firstLine="420" w:firstLineChars="200"/>
        <w:rPr>
          <w:rFonts w:ascii="宋体" w:cs="宋体"/>
        </w:rPr>
      </w:pPr>
      <w:r>
        <w:rPr>
          <w:rFonts w:hint="eastAsia" w:ascii="宋体" w:cs="宋体"/>
        </w:rPr>
        <w:t>11.1投标人与宁波市政府采购中心之间与投标有关的所有往来通知、函件和投标文件均应用中文。投标人随投标文件提供的证明文件和资料可以为其它语言，但必须附中文译文。在此，为了解释投标文件，应以中文为准；</w:t>
      </w:r>
    </w:p>
    <w:p>
      <w:pPr>
        <w:spacing w:line="450" w:lineRule="atLeast"/>
        <w:ind w:firstLine="420" w:firstLineChars="200"/>
        <w:rPr>
          <w:rFonts w:ascii="宋体" w:cs="宋体"/>
        </w:rPr>
      </w:pPr>
      <w:r>
        <w:rPr>
          <w:rFonts w:hint="eastAsia" w:ascii="宋体" w:cs="宋体"/>
        </w:rPr>
        <w:t>11.2除技术规范另有规定外，投标文件使用的度量单位，均采用中华人民共和国法定计量单位。</w:t>
      </w:r>
    </w:p>
    <w:p>
      <w:pPr>
        <w:spacing w:line="450" w:lineRule="atLeast"/>
        <w:ind w:firstLine="420" w:firstLineChars="200"/>
        <w:rPr>
          <w:rFonts w:ascii="宋体" w:cs="宋体"/>
        </w:rPr>
      </w:pPr>
      <w:r>
        <w:rPr>
          <w:rFonts w:hint="eastAsia" w:ascii="宋体" w:cs="宋体"/>
        </w:rPr>
        <w:t>12．投标文件的组成</w:t>
      </w:r>
    </w:p>
    <w:p>
      <w:pPr>
        <w:spacing w:line="450" w:lineRule="atLeast"/>
        <w:ind w:firstLine="420" w:firstLineChars="200"/>
        <w:rPr>
          <w:rFonts w:ascii="宋体" w:cs="宋体"/>
        </w:rPr>
      </w:pPr>
      <w:r>
        <w:rPr>
          <w:rFonts w:hint="eastAsia" w:ascii="宋体" w:cs="宋体"/>
        </w:rPr>
        <w:t>（1）投标函；</w:t>
      </w:r>
    </w:p>
    <w:p>
      <w:pPr>
        <w:spacing w:line="450" w:lineRule="atLeast"/>
        <w:ind w:firstLine="420" w:firstLineChars="200"/>
        <w:rPr>
          <w:rFonts w:hint="eastAsia" w:ascii="宋体" w:cs="宋体"/>
        </w:rPr>
      </w:pPr>
      <w:r>
        <w:rPr>
          <w:rFonts w:hint="eastAsia" w:ascii="宋体" w:cs="宋体"/>
        </w:rPr>
        <w:t>（2）法定代表人授权书；</w:t>
      </w:r>
    </w:p>
    <w:p>
      <w:pPr>
        <w:spacing w:line="450" w:lineRule="atLeast"/>
        <w:ind w:firstLine="420" w:firstLineChars="200"/>
        <w:rPr>
          <w:rFonts w:ascii="宋体" w:cs="宋体"/>
        </w:rPr>
      </w:pPr>
      <w:r>
        <w:rPr>
          <w:rFonts w:hint="eastAsia" w:ascii="宋体" w:cs="宋体"/>
        </w:rPr>
        <w:t>（3）诚信投标承诺书</w:t>
      </w:r>
    </w:p>
    <w:p>
      <w:pPr>
        <w:spacing w:line="450" w:lineRule="atLeast"/>
        <w:ind w:firstLine="420" w:firstLineChars="200"/>
        <w:rPr>
          <w:rFonts w:hint="eastAsia" w:ascii="宋体" w:cs="宋体"/>
        </w:rPr>
      </w:pPr>
      <w:r>
        <w:rPr>
          <w:rFonts w:hint="eastAsia" w:ascii="宋体" w:cs="宋体"/>
        </w:rPr>
        <w:t>（4）资格证明文件（营业执照副本复印件）</w:t>
      </w:r>
    </w:p>
    <w:p>
      <w:pPr>
        <w:spacing w:line="450" w:lineRule="atLeast"/>
        <w:ind w:firstLine="420" w:firstLineChars="200"/>
        <w:rPr>
          <w:rFonts w:ascii="宋体" w:cs="宋体"/>
        </w:rPr>
      </w:pPr>
      <w:r>
        <w:rPr>
          <w:rFonts w:hint="eastAsia" w:ascii="宋体" w:cs="宋体"/>
        </w:rPr>
        <w:t>（5）开标一览表；</w:t>
      </w:r>
    </w:p>
    <w:p>
      <w:pPr>
        <w:spacing w:line="450" w:lineRule="atLeast"/>
        <w:ind w:firstLine="420" w:firstLineChars="200"/>
        <w:rPr>
          <w:rFonts w:ascii="宋体" w:cs="宋体"/>
        </w:rPr>
      </w:pPr>
      <w:r>
        <w:rPr>
          <w:rFonts w:hint="eastAsia" w:ascii="宋体" w:cs="宋体"/>
        </w:rPr>
        <w:t>（6）管理费构成明细报价；</w:t>
      </w:r>
    </w:p>
    <w:p>
      <w:pPr>
        <w:spacing w:line="450" w:lineRule="atLeast"/>
        <w:ind w:firstLine="420" w:firstLineChars="200"/>
        <w:rPr>
          <w:rFonts w:ascii="宋体" w:cs="宋体"/>
        </w:rPr>
      </w:pPr>
      <w:r>
        <w:rPr>
          <w:rFonts w:hint="eastAsia" w:ascii="宋体" w:cs="宋体"/>
        </w:rPr>
        <w:t>（7管理方式、运作程序方案及实施文件；</w:t>
      </w:r>
    </w:p>
    <w:p>
      <w:pPr>
        <w:spacing w:line="450" w:lineRule="atLeast"/>
        <w:ind w:firstLine="420" w:firstLineChars="200"/>
        <w:rPr>
          <w:rFonts w:ascii="宋体" w:cs="宋体"/>
        </w:rPr>
      </w:pPr>
      <w:r>
        <w:rPr>
          <w:rFonts w:hint="eastAsia" w:ascii="宋体" w:cs="宋体"/>
        </w:rPr>
        <w:t>（8）相关服务计划；</w:t>
      </w:r>
    </w:p>
    <w:p>
      <w:pPr>
        <w:spacing w:line="450" w:lineRule="atLeast"/>
        <w:ind w:firstLine="420" w:firstLineChars="200"/>
        <w:rPr>
          <w:rFonts w:ascii="宋体" w:cs="宋体"/>
        </w:rPr>
      </w:pPr>
      <w:r>
        <w:rPr>
          <w:rFonts w:hint="eastAsia" w:ascii="宋体" w:cs="宋体"/>
        </w:rPr>
        <w:t>（9）各项管理指标的承诺。</w:t>
      </w:r>
    </w:p>
    <w:p>
      <w:pPr>
        <w:spacing w:line="450" w:lineRule="atLeast"/>
        <w:ind w:firstLine="420" w:firstLineChars="200"/>
        <w:rPr>
          <w:rFonts w:ascii="宋体" w:cs="宋体"/>
          <w:b/>
        </w:rPr>
      </w:pPr>
      <w:r>
        <w:rPr>
          <w:rFonts w:hint="eastAsia" w:ascii="宋体" w:cs="宋体"/>
        </w:rPr>
        <w:t>（10）其他资料。</w:t>
      </w:r>
    </w:p>
    <w:p>
      <w:pPr>
        <w:spacing w:line="450" w:lineRule="atLeast"/>
        <w:ind w:firstLine="420" w:firstLineChars="200"/>
        <w:rPr>
          <w:rFonts w:ascii="宋体" w:cs="宋体"/>
        </w:rPr>
      </w:pPr>
      <w:r>
        <w:rPr>
          <w:rFonts w:hint="eastAsia" w:ascii="宋体" w:cs="宋体"/>
        </w:rPr>
        <w:t>13．投标文件格式</w:t>
      </w:r>
    </w:p>
    <w:p>
      <w:pPr>
        <w:spacing w:line="450" w:lineRule="atLeast"/>
        <w:ind w:firstLine="420" w:firstLineChars="200"/>
        <w:rPr>
          <w:rFonts w:ascii="宋体" w:cs="宋体"/>
        </w:rPr>
      </w:pPr>
      <w:r>
        <w:rPr>
          <w:rFonts w:hint="eastAsia" w:ascii="宋体" w:cs="宋体"/>
        </w:rPr>
        <w:t>13.1投标文件包括本须知第12条中规定的内容，</w:t>
      </w:r>
      <w:r>
        <w:rPr>
          <w:rFonts w:hint="eastAsia" w:ascii="宋体" w:cs="宋体"/>
          <w:b/>
        </w:rPr>
        <w:t>投标人提交的投标文件必须毫无例外地使用招标文件所提供的投标文件格式</w:t>
      </w:r>
      <w:r>
        <w:rPr>
          <w:rFonts w:hint="eastAsia" w:ascii="宋体" w:cs="宋体"/>
        </w:rPr>
        <w:t>（表格可以按同样格式扩展）。</w:t>
      </w:r>
    </w:p>
    <w:p>
      <w:pPr>
        <w:spacing w:line="450" w:lineRule="atLeast"/>
        <w:ind w:firstLine="420" w:firstLineChars="200"/>
        <w:rPr>
          <w:rFonts w:ascii="宋体" w:cs="宋体"/>
        </w:rPr>
      </w:pPr>
      <w:r>
        <w:rPr>
          <w:rFonts w:hint="eastAsia" w:ascii="宋体" w:cs="宋体"/>
        </w:rPr>
        <w:t>14．投标价格</w:t>
      </w:r>
    </w:p>
    <w:p>
      <w:pPr>
        <w:spacing w:line="450" w:lineRule="atLeast"/>
        <w:ind w:firstLine="420" w:firstLineChars="200"/>
        <w:rPr>
          <w:rFonts w:ascii="宋体" w:cs="宋体"/>
        </w:rPr>
      </w:pPr>
      <w:r>
        <w:rPr>
          <w:rFonts w:hint="eastAsia" w:ascii="宋体" w:cs="宋体"/>
        </w:rPr>
        <w:t>14.1投标人应根据本企业的成本自行决定报价，但不得以低于其企业成本的报价竞标；</w:t>
      </w:r>
    </w:p>
    <w:p>
      <w:pPr>
        <w:ind w:firstLine="412"/>
        <w:rPr>
          <w:rFonts w:ascii="宋体" w:hAnsi="宋体"/>
          <w:b/>
          <w:bCs/>
        </w:rPr>
      </w:pPr>
      <w:r>
        <w:rPr>
          <w:rFonts w:hint="eastAsia" w:ascii="宋体" w:cs="宋体"/>
        </w:rPr>
        <w:t>14.2投标人的投标总报价不得超过财政预算限额</w:t>
      </w:r>
      <w:r>
        <w:rPr>
          <w:rFonts w:hint="eastAsia" w:ascii="宋体" w:hAnsi="宋体"/>
        </w:rPr>
        <w:t>（</w:t>
      </w:r>
      <w:r>
        <w:rPr>
          <w:rFonts w:hint="eastAsia" w:ascii="宋体" w:hAnsi="宋体"/>
          <w:b/>
          <w:bCs/>
        </w:rPr>
        <w:t>本项目的财政预算为295万元人民币/年）</w:t>
      </w:r>
      <w:r>
        <w:rPr>
          <w:rFonts w:hint="eastAsia" w:ascii="宋体" w:cs="宋体"/>
          <w:b/>
          <w:bCs/>
        </w:rPr>
        <w:t>。</w:t>
      </w:r>
    </w:p>
    <w:p>
      <w:pPr>
        <w:spacing w:line="450" w:lineRule="atLeast"/>
        <w:ind w:firstLine="420" w:firstLineChars="200"/>
        <w:rPr>
          <w:rFonts w:ascii="宋体" w:cs="宋体"/>
        </w:rPr>
      </w:pPr>
      <w:r>
        <w:rPr>
          <w:rFonts w:hint="eastAsia" w:ascii="宋体" w:cs="宋体"/>
        </w:rPr>
        <w:t>14.3投标人的投标报价，应是本项目招标范围和招标文件上所列的各项内容中所述的全部，不得以任何理由予以重复，并以投标人在清单中提出的综合单价或总价为依据；</w:t>
      </w:r>
    </w:p>
    <w:p>
      <w:pPr>
        <w:spacing w:line="450" w:lineRule="atLeast"/>
        <w:ind w:firstLine="420" w:firstLineChars="200"/>
        <w:rPr>
          <w:rFonts w:ascii="宋体" w:cs="宋体"/>
        </w:rPr>
      </w:pPr>
      <w:r>
        <w:rPr>
          <w:rFonts w:hint="eastAsia" w:ascii="宋体" w:cs="宋体"/>
        </w:rPr>
        <w:t>14.4</w:t>
      </w:r>
      <w:r>
        <w:rPr>
          <w:rFonts w:hint="eastAsia" w:ascii="宋体" w:cs="宋体"/>
          <w:color w:val="000000"/>
          <w:szCs w:val="21"/>
        </w:rPr>
        <w:t>投标人应先到项目地点踏勘以充分了解项目的位置、情况、道路及任何其它足以影响投标报价的情况，任何因忽视或误解项目情况而导致的索赔或服务期限延长申请将不获批准；</w:t>
      </w:r>
    </w:p>
    <w:p>
      <w:pPr>
        <w:spacing w:line="450" w:lineRule="atLeast"/>
        <w:ind w:firstLine="420" w:firstLineChars="200"/>
        <w:rPr>
          <w:rFonts w:ascii="宋体" w:cs="宋体"/>
        </w:rPr>
      </w:pPr>
      <w:r>
        <w:rPr>
          <w:rFonts w:hint="eastAsia" w:ascii="宋体" w:cs="宋体"/>
        </w:rPr>
        <w:t>14.5投标人投标报价总额一经中标后，即作为中标单位与采购单位签订该项目合同的总价。</w:t>
      </w:r>
    </w:p>
    <w:p>
      <w:pPr>
        <w:spacing w:line="450" w:lineRule="atLeast"/>
        <w:ind w:firstLine="420" w:firstLineChars="200"/>
        <w:rPr>
          <w:rFonts w:ascii="宋体" w:cs="宋体"/>
        </w:rPr>
      </w:pPr>
      <w:r>
        <w:rPr>
          <w:rFonts w:hint="eastAsia" w:ascii="宋体" w:cs="宋体"/>
        </w:rPr>
        <w:t>15．投标货币</w:t>
      </w:r>
    </w:p>
    <w:p>
      <w:pPr>
        <w:spacing w:line="450" w:lineRule="atLeast"/>
        <w:ind w:firstLine="420" w:firstLineChars="200"/>
        <w:rPr>
          <w:rFonts w:ascii="宋体" w:cs="宋体"/>
        </w:rPr>
      </w:pPr>
      <w:r>
        <w:rPr>
          <w:rFonts w:hint="eastAsia" w:ascii="宋体" w:cs="宋体"/>
        </w:rPr>
        <w:t>15.1本项目的投标应以人民币计。</w:t>
      </w:r>
    </w:p>
    <w:p>
      <w:pPr>
        <w:spacing w:line="450" w:lineRule="atLeast"/>
        <w:ind w:firstLine="420" w:firstLineChars="200"/>
        <w:rPr>
          <w:rFonts w:ascii="宋体" w:cs="宋体"/>
        </w:rPr>
      </w:pPr>
      <w:r>
        <w:rPr>
          <w:rFonts w:hint="eastAsia" w:ascii="宋体" w:cs="宋体"/>
        </w:rPr>
        <w:t>16．投标有效期</w:t>
      </w:r>
    </w:p>
    <w:p>
      <w:pPr>
        <w:spacing w:line="450" w:lineRule="atLeast"/>
        <w:ind w:firstLine="420" w:firstLineChars="200"/>
        <w:rPr>
          <w:rFonts w:ascii="宋体" w:cs="宋体"/>
        </w:rPr>
      </w:pPr>
      <w:r>
        <w:rPr>
          <w:rFonts w:hint="eastAsia" w:ascii="宋体" w:cs="宋体"/>
        </w:rPr>
        <w:t>16.1投标有效期见本须知前附表所规定的期限，在此期限内，所有投标文件均保持有效；</w:t>
      </w:r>
    </w:p>
    <w:p>
      <w:pPr>
        <w:spacing w:line="450" w:lineRule="atLeast"/>
        <w:ind w:firstLine="420" w:firstLineChars="200"/>
        <w:rPr>
          <w:rFonts w:ascii="宋体" w:cs="宋体"/>
        </w:rPr>
      </w:pPr>
      <w:r>
        <w:rPr>
          <w:rFonts w:hint="eastAsia" w:ascii="宋体" w:cs="宋体"/>
        </w:rPr>
        <w:t>16.2在特殊的情况下，在原定的投标有效期满之前，宁波市政府采购中心可以根据需要以书面形式向投标人提出延长投标有效期的要求，对此要求投标人须以书面形式予以答复，投标人可以拒绝宁波市政府采购中心此项要求，而不被没收投标保证金或投标保函。同意延长投标有效期的投标人不能要求也不允许修改其投标文件，在延长的投标有效期内本须知第17条关于投标保证金或投标保函的退还与没收的规定仍然适用；</w:t>
      </w:r>
    </w:p>
    <w:p>
      <w:pPr>
        <w:spacing w:line="450" w:lineRule="atLeast"/>
        <w:ind w:firstLine="420" w:firstLineChars="200"/>
        <w:rPr>
          <w:rFonts w:ascii="宋体" w:cs="宋体"/>
        </w:rPr>
      </w:pPr>
      <w:r>
        <w:rPr>
          <w:rFonts w:hint="eastAsia" w:ascii="宋体" w:cs="宋体"/>
        </w:rPr>
        <w:t>17．投标保证金</w:t>
      </w:r>
    </w:p>
    <w:p>
      <w:pPr>
        <w:spacing w:line="450" w:lineRule="atLeast"/>
        <w:ind w:firstLine="420" w:firstLineChars="200"/>
        <w:rPr>
          <w:rFonts w:ascii="宋体"/>
        </w:rPr>
      </w:pPr>
      <w:r>
        <w:rPr>
          <w:rFonts w:hint="eastAsia" w:ascii="宋体"/>
        </w:rPr>
        <w:t>1</w:t>
      </w:r>
      <w:r>
        <w:rPr>
          <w:rFonts w:ascii="宋体"/>
        </w:rPr>
        <w:t>7</w:t>
      </w:r>
      <w:r>
        <w:rPr>
          <w:rFonts w:hint="eastAsia" w:ascii="宋体"/>
        </w:rPr>
        <w:t>.1 本项目不需缴纳投标保证金</w:t>
      </w:r>
    </w:p>
    <w:p>
      <w:pPr>
        <w:spacing w:line="450" w:lineRule="atLeast"/>
        <w:ind w:firstLine="420" w:firstLineChars="200"/>
        <w:rPr>
          <w:rFonts w:ascii="宋体" w:cs="宋体"/>
        </w:rPr>
      </w:pPr>
      <w:r>
        <w:rPr>
          <w:rFonts w:hint="eastAsia" w:ascii="宋体" w:cs="宋体"/>
        </w:rPr>
        <w:t>18．投标人的替代方案</w:t>
      </w:r>
    </w:p>
    <w:p>
      <w:pPr>
        <w:spacing w:line="450" w:lineRule="atLeast"/>
        <w:ind w:firstLine="420" w:firstLineChars="200"/>
        <w:rPr>
          <w:rFonts w:ascii="宋体" w:cs="宋体"/>
        </w:rPr>
      </w:pPr>
      <w:r>
        <w:rPr>
          <w:rFonts w:hint="eastAsia" w:ascii="宋体" w:cs="宋体"/>
        </w:rPr>
        <w:t>18.1投标人所提交的投标文件应完全满足招标文件（包括图纸和技术规范所示的基本技术设计）的要求，除非投标须知前附表第3项中允许投标人提交替代方案，否则替代方案将不予考虑。如果允许投标人提交替代方案，则执行本须知第18.2款的规定；</w:t>
      </w:r>
    </w:p>
    <w:p>
      <w:pPr>
        <w:spacing w:line="450" w:lineRule="atLeast"/>
        <w:ind w:firstLine="420" w:firstLineChars="200"/>
        <w:rPr>
          <w:rFonts w:ascii="宋体" w:cs="宋体"/>
        </w:rPr>
      </w:pPr>
      <w:r>
        <w:rPr>
          <w:rFonts w:hint="eastAsia" w:ascii="宋体" w:cs="宋体"/>
        </w:rPr>
        <w:t>18.2 如果投标须知前附表第3项所述中允许投标人提交替代方案，则按照招标文件要求准备提交替代方案的投标人应提交一份满足招标文件（包括图纸和技术规范所示的基本技术设计）要求的投标文件。除此基本投标文件之外，投标人还应提交需评审其替代方案所需的全部资料，包括设计书、技术规范、单价分析表、替代方案报价书、所建议的技术方案及有关的其它详细资料，政府集中采购机构只考虑根据基本技术要求提交了最低评标价格的投标人所提交的替代方案（如已提交）。</w:t>
      </w:r>
    </w:p>
    <w:p>
      <w:pPr>
        <w:spacing w:line="450" w:lineRule="atLeast"/>
        <w:ind w:firstLine="420" w:firstLineChars="200"/>
        <w:rPr>
          <w:rFonts w:ascii="宋体" w:cs="宋体"/>
        </w:rPr>
      </w:pPr>
      <w:r>
        <w:rPr>
          <w:rFonts w:hint="eastAsia" w:ascii="宋体" w:cs="宋体"/>
        </w:rPr>
        <w:t>19．投标文件的书写要求</w:t>
      </w:r>
    </w:p>
    <w:p>
      <w:pPr>
        <w:tabs>
          <w:tab w:val="left" w:pos="0"/>
        </w:tabs>
        <w:spacing w:line="450" w:lineRule="atLeast"/>
        <w:ind w:firstLine="420" w:firstLineChars="200"/>
        <w:rPr>
          <w:rFonts w:ascii="宋体" w:cs="宋体"/>
        </w:rPr>
      </w:pPr>
      <w:r>
        <w:rPr>
          <w:rFonts w:hint="eastAsia" w:ascii="宋体" w:cs="宋体"/>
        </w:rPr>
        <w:t>19.1投标人应填写全称，同时加盖印章。投标文件必须由法人代表或授权代表签署。</w:t>
      </w:r>
    </w:p>
    <w:p>
      <w:pPr>
        <w:tabs>
          <w:tab w:val="left" w:pos="0"/>
        </w:tabs>
        <w:spacing w:line="450" w:lineRule="atLeast"/>
        <w:ind w:firstLine="420" w:firstLineChars="200"/>
        <w:rPr>
          <w:rFonts w:ascii="宋体" w:cs="宋体"/>
        </w:rPr>
      </w:pPr>
      <w:r>
        <w:rPr>
          <w:rFonts w:hint="eastAsia" w:ascii="宋体" w:cs="宋体"/>
        </w:rPr>
        <w:t>19.2投标文件中投标书一式</w:t>
      </w:r>
      <w:r>
        <w:rPr>
          <w:rFonts w:hint="eastAsia" w:ascii="宋体" w:cs="宋体"/>
          <w:b/>
        </w:rPr>
        <w:t>6</w:t>
      </w:r>
      <w:r>
        <w:rPr>
          <w:rFonts w:hint="eastAsia" w:ascii="宋体" w:cs="宋体"/>
        </w:rPr>
        <w:t>份。其中正本1份，副本5份,如果正本与副本不符，以正本为准。</w:t>
      </w:r>
    </w:p>
    <w:p>
      <w:pPr>
        <w:spacing w:line="450" w:lineRule="atLeast"/>
        <w:ind w:firstLine="420" w:firstLineChars="200"/>
        <w:rPr>
          <w:rFonts w:ascii="宋体" w:cs="宋体"/>
        </w:rPr>
      </w:pPr>
      <w:r>
        <w:rPr>
          <w:rFonts w:hint="eastAsia" w:ascii="宋体" w:cs="宋体"/>
        </w:rPr>
        <w:t>19.3投标文件的正本必须以不褪色的墨水填写或打印，注明“正本”字样。副本可用复印件。投标文件不得涂改和增删，如有修改错漏处，必须由同一签署人签字或盖章。因字迹潦草或表达不清所引起的后果由投标人负责。</w:t>
      </w:r>
    </w:p>
    <w:p>
      <w:pPr>
        <w:pStyle w:val="4"/>
        <w:spacing w:before="120" w:after="120"/>
        <w:rPr>
          <w:rFonts w:cs="宋体"/>
          <w:sz w:val="28"/>
          <w:szCs w:val="28"/>
        </w:rPr>
      </w:pPr>
      <w:r>
        <w:rPr>
          <w:rFonts w:hint="eastAsia" w:cs="宋体"/>
          <w:sz w:val="28"/>
          <w:szCs w:val="28"/>
        </w:rPr>
        <w:t>五、递交投标文件</w:t>
      </w:r>
    </w:p>
    <w:p>
      <w:pPr>
        <w:tabs>
          <w:tab w:val="left" w:pos="0"/>
        </w:tabs>
        <w:spacing w:line="450" w:lineRule="atLeast"/>
        <w:ind w:firstLine="420" w:firstLineChars="200"/>
        <w:rPr>
          <w:rFonts w:ascii="宋体" w:cs="宋体"/>
        </w:rPr>
      </w:pPr>
      <w:r>
        <w:rPr>
          <w:rFonts w:hint="eastAsia" w:ascii="宋体" w:cs="宋体"/>
        </w:rPr>
        <w:t>20、投标文件的密封及标记</w:t>
      </w:r>
    </w:p>
    <w:p>
      <w:pPr>
        <w:tabs>
          <w:tab w:val="left" w:pos="0"/>
        </w:tabs>
        <w:spacing w:line="450" w:lineRule="atLeast"/>
        <w:ind w:firstLine="420" w:firstLineChars="200"/>
        <w:rPr>
          <w:rFonts w:ascii="宋体" w:cs="宋体"/>
        </w:rPr>
      </w:pPr>
      <w:r>
        <w:rPr>
          <w:rFonts w:hint="eastAsia" w:ascii="宋体" w:cs="宋体"/>
        </w:rPr>
        <w:t>20．1投标文件应按以下方法分别装袋密封：</w:t>
      </w:r>
    </w:p>
    <w:p>
      <w:pPr>
        <w:tabs>
          <w:tab w:val="left" w:pos="0"/>
        </w:tabs>
        <w:spacing w:line="450" w:lineRule="atLeast"/>
        <w:ind w:firstLine="420" w:firstLineChars="200"/>
        <w:rPr>
          <w:rFonts w:ascii="宋体" w:cs="宋体"/>
        </w:rPr>
      </w:pPr>
      <w:r>
        <w:rPr>
          <w:rFonts w:hint="eastAsia" w:ascii="宋体" w:cs="宋体"/>
        </w:rPr>
        <w:t>投标书密封袋内装投标书正副本共</w:t>
      </w:r>
      <w:r>
        <w:rPr>
          <w:rFonts w:hint="eastAsia" w:ascii="宋体" w:cs="宋体"/>
          <w:b/>
          <w:bCs/>
          <w:color w:val="000000"/>
        </w:rPr>
        <w:t>一式6份</w:t>
      </w:r>
      <w:r>
        <w:rPr>
          <w:rFonts w:hint="eastAsia" w:ascii="宋体" w:cs="宋体"/>
        </w:rPr>
        <w:t>。封口处应有投标代表的签字及投标单位公章。封皮上写明招标编号、招标项目名称、投标人名称，并注明“开标时起封”字样。</w:t>
      </w:r>
    </w:p>
    <w:p>
      <w:pPr>
        <w:tabs>
          <w:tab w:val="left" w:pos="0"/>
        </w:tabs>
        <w:spacing w:line="450" w:lineRule="atLeast"/>
        <w:ind w:firstLine="420" w:firstLineChars="200"/>
        <w:rPr>
          <w:rFonts w:ascii="宋体" w:cs="宋体"/>
        </w:rPr>
      </w:pPr>
      <w:r>
        <w:rPr>
          <w:rFonts w:hint="eastAsia" w:ascii="宋体" w:cs="宋体"/>
        </w:rPr>
        <w:t>20．2如果投标人未按上述要求密封及加写标记，招标方对投标文件的误投和提前启封概不负责。</w:t>
      </w:r>
    </w:p>
    <w:p>
      <w:pPr>
        <w:tabs>
          <w:tab w:val="left" w:pos="0"/>
        </w:tabs>
        <w:spacing w:line="450" w:lineRule="atLeast"/>
        <w:ind w:firstLine="420" w:firstLineChars="200"/>
        <w:rPr>
          <w:rFonts w:ascii="宋体" w:cs="宋体"/>
        </w:rPr>
      </w:pPr>
      <w:r>
        <w:rPr>
          <w:rFonts w:hint="eastAsia" w:ascii="宋体" w:cs="宋体"/>
        </w:rPr>
        <w:t>20．3投标文件必须在投标截止时间前派人送达到指定的投标地点，在投标截止时间以后送达的投标文件，招标方拒绝接收。</w:t>
      </w:r>
    </w:p>
    <w:p>
      <w:pPr>
        <w:tabs>
          <w:tab w:val="left" w:pos="0"/>
        </w:tabs>
        <w:spacing w:line="450" w:lineRule="atLeast"/>
        <w:ind w:firstLine="420" w:firstLineChars="200"/>
        <w:rPr>
          <w:rFonts w:ascii="宋体" w:cs="宋体"/>
        </w:rPr>
      </w:pPr>
      <w:r>
        <w:rPr>
          <w:rFonts w:hint="eastAsia" w:ascii="宋体" w:cs="宋体"/>
        </w:rPr>
        <w:t>21．投标文件的修改和撤回</w:t>
      </w:r>
    </w:p>
    <w:p>
      <w:pPr>
        <w:tabs>
          <w:tab w:val="left" w:pos="0"/>
        </w:tabs>
        <w:spacing w:line="450" w:lineRule="atLeast"/>
        <w:ind w:firstLine="420" w:firstLineChars="200"/>
        <w:rPr>
          <w:rFonts w:ascii="宋体" w:cs="宋体"/>
        </w:rPr>
      </w:pPr>
      <w:r>
        <w:rPr>
          <w:rFonts w:hint="eastAsia" w:ascii="宋体" w:cs="宋体"/>
        </w:rPr>
        <w:t>21．1投标以后，如果投标人提出书面修改和撤标要求，在投标截止时间前送达招标方者有效。</w:t>
      </w:r>
    </w:p>
    <w:p>
      <w:pPr>
        <w:tabs>
          <w:tab w:val="left" w:pos="0"/>
        </w:tabs>
        <w:spacing w:line="450" w:lineRule="atLeast"/>
        <w:ind w:firstLine="420" w:firstLineChars="200"/>
        <w:rPr>
          <w:rFonts w:ascii="宋体" w:cs="宋体"/>
        </w:rPr>
      </w:pPr>
      <w:r>
        <w:rPr>
          <w:rFonts w:hint="eastAsia" w:ascii="宋体" w:cs="宋体"/>
        </w:rPr>
        <w:t xml:space="preserve"> 21．2投标人修改投标文件的书面村料，须密封送达招标方，同时应在封套上标明“修改投标文件（并注明招标编号）”和“开标时启封”字样。</w:t>
      </w:r>
    </w:p>
    <w:p>
      <w:pPr>
        <w:tabs>
          <w:tab w:val="left" w:pos="0"/>
        </w:tabs>
        <w:spacing w:line="450" w:lineRule="atLeast"/>
        <w:ind w:firstLine="420" w:firstLineChars="200"/>
        <w:rPr>
          <w:rFonts w:ascii="宋体" w:cs="宋体"/>
        </w:rPr>
      </w:pPr>
      <w:r>
        <w:rPr>
          <w:rFonts w:hint="eastAsia" w:ascii="宋体" w:cs="宋体"/>
        </w:rPr>
        <w:t>21．3撤回投标应以书面（或传真、电报）的形式通知招标方。如采取电报或传真形式撤回投标，随后必须补充有法人代表或授权代表签署的要求撤回投标的正式文件。撤回投标的时间以送达招标方或邮电到达日戳为准。</w:t>
      </w:r>
    </w:p>
    <w:p>
      <w:pPr>
        <w:spacing w:line="450" w:lineRule="atLeast"/>
        <w:ind w:firstLine="420" w:firstLineChars="200"/>
        <w:rPr>
          <w:rFonts w:ascii="宋体" w:cs="宋体"/>
        </w:rPr>
      </w:pPr>
      <w:r>
        <w:rPr>
          <w:rFonts w:hint="eastAsia" w:ascii="宋体" w:cs="宋体"/>
        </w:rPr>
        <w:t>21．4开标后投标人不得撤回投标。</w:t>
      </w:r>
    </w:p>
    <w:p>
      <w:pPr>
        <w:spacing w:line="450" w:lineRule="atLeast"/>
        <w:ind w:firstLine="420" w:firstLineChars="200"/>
        <w:rPr>
          <w:rFonts w:ascii="宋体" w:cs="宋体"/>
        </w:rPr>
      </w:pPr>
    </w:p>
    <w:p>
      <w:pPr>
        <w:pStyle w:val="4"/>
        <w:spacing w:before="120" w:after="120"/>
        <w:rPr>
          <w:rFonts w:cs="宋体"/>
          <w:sz w:val="28"/>
          <w:szCs w:val="28"/>
        </w:rPr>
      </w:pPr>
      <w:r>
        <w:rPr>
          <w:rFonts w:hint="eastAsia" w:cs="宋体"/>
          <w:sz w:val="28"/>
          <w:szCs w:val="28"/>
        </w:rPr>
        <w:t>六、开标</w:t>
      </w:r>
    </w:p>
    <w:p>
      <w:pPr>
        <w:spacing w:line="450" w:lineRule="atLeast"/>
        <w:ind w:firstLine="420" w:firstLineChars="200"/>
        <w:rPr>
          <w:rFonts w:ascii="宋体" w:cs="宋体"/>
        </w:rPr>
      </w:pPr>
      <w:r>
        <w:rPr>
          <w:rFonts w:hint="eastAsia" w:ascii="宋体" w:cs="宋体"/>
        </w:rPr>
        <w:t>22.1招标方按招标文件规定的时间、地点主持公开开标。开标仪式由招标方主持，采购人、投标人和有关方面代表参加。</w:t>
      </w:r>
    </w:p>
    <w:p>
      <w:pPr>
        <w:spacing w:line="450" w:lineRule="atLeast"/>
        <w:ind w:firstLine="420" w:firstLineChars="200"/>
        <w:rPr>
          <w:rFonts w:ascii="宋体" w:cs="宋体"/>
        </w:rPr>
      </w:pPr>
      <w:r>
        <w:rPr>
          <w:rFonts w:hint="eastAsia" w:ascii="宋体" w:cs="宋体"/>
        </w:rPr>
        <w:t>22.2投标人应派代表参加开标仪式，并签到。</w:t>
      </w:r>
    </w:p>
    <w:p>
      <w:pPr>
        <w:spacing w:line="450" w:lineRule="atLeast"/>
        <w:ind w:firstLine="420" w:firstLineChars="200"/>
        <w:rPr>
          <w:rFonts w:ascii="宋体" w:cs="宋体"/>
        </w:rPr>
      </w:pPr>
      <w:r>
        <w:rPr>
          <w:rFonts w:hint="eastAsia" w:ascii="宋体" w:cs="宋体"/>
        </w:rPr>
        <w:t>22.3开标时查验投标文件密封情况，经确认无误后，当众拆封、唱标。</w:t>
      </w:r>
    </w:p>
    <w:p>
      <w:pPr>
        <w:spacing w:line="450" w:lineRule="atLeast"/>
        <w:ind w:firstLine="420" w:firstLineChars="200"/>
        <w:rPr>
          <w:rFonts w:ascii="宋体" w:cs="宋体"/>
        </w:rPr>
      </w:pPr>
    </w:p>
    <w:p>
      <w:pPr>
        <w:pStyle w:val="4"/>
        <w:spacing w:before="120" w:after="120"/>
        <w:rPr>
          <w:rFonts w:cs="宋体"/>
          <w:sz w:val="28"/>
          <w:szCs w:val="28"/>
        </w:rPr>
      </w:pPr>
      <w:r>
        <w:rPr>
          <w:rFonts w:hint="eastAsia" w:cs="宋体"/>
          <w:sz w:val="28"/>
          <w:szCs w:val="28"/>
        </w:rPr>
        <w:t>七、评标要求</w:t>
      </w:r>
    </w:p>
    <w:p>
      <w:pPr>
        <w:spacing w:line="450" w:lineRule="atLeast"/>
        <w:ind w:firstLine="420" w:firstLineChars="200"/>
        <w:rPr>
          <w:rFonts w:ascii="宋体" w:cs="宋体"/>
        </w:rPr>
      </w:pPr>
      <w:r>
        <w:rPr>
          <w:rFonts w:hint="eastAsia" w:ascii="宋体" w:cs="宋体"/>
        </w:rPr>
        <w:t>23．评标会议</w:t>
      </w:r>
    </w:p>
    <w:p>
      <w:pPr>
        <w:spacing w:line="450" w:lineRule="atLeast"/>
        <w:ind w:firstLine="420" w:firstLineChars="200"/>
        <w:rPr>
          <w:rFonts w:ascii="宋体" w:cs="宋体"/>
        </w:rPr>
      </w:pPr>
      <w:r>
        <w:rPr>
          <w:rFonts w:hint="eastAsia" w:ascii="宋体" w:cs="宋体"/>
        </w:rPr>
        <w:t>23.1开标结束后召开评标会议，评标委员会由5人或以上的单数组成，负责评标活动。</w:t>
      </w:r>
    </w:p>
    <w:p>
      <w:pPr>
        <w:spacing w:line="450" w:lineRule="atLeast"/>
        <w:ind w:firstLine="420" w:firstLineChars="200"/>
        <w:rPr>
          <w:rFonts w:ascii="宋体" w:cs="宋体"/>
        </w:rPr>
      </w:pPr>
      <w:r>
        <w:rPr>
          <w:rFonts w:hint="eastAsia" w:ascii="宋体" w:cs="宋体"/>
        </w:rPr>
        <w:t>23.2评标定标应当遵循公平、公正、科学、择优的原则。</w:t>
      </w:r>
    </w:p>
    <w:p>
      <w:pPr>
        <w:spacing w:line="450" w:lineRule="atLeast"/>
        <w:ind w:firstLine="420" w:firstLineChars="200"/>
        <w:rPr>
          <w:rFonts w:ascii="宋体" w:cs="宋体"/>
        </w:rPr>
      </w:pPr>
      <w:r>
        <w:rPr>
          <w:rFonts w:hint="eastAsia" w:ascii="宋体" w:cs="宋体"/>
        </w:rPr>
        <w:t>23.3评标活动依法进行，任何单位和个人不得非法干预评标过程和结果。</w:t>
      </w:r>
    </w:p>
    <w:p>
      <w:pPr>
        <w:spacing w:line="450" w:lineRule="atLeast"/>
        <w:ind w:firstLine="420" w:firstLineChars="200"/>
        <w:rPr>
          <w:rFonts w:ascii="宋体" w:cs="宋体"/>
        </w:rPr>
      </w:pPr>
      <w:r>
        <w:rPr>
          <w:rFonts w:hint="eastAsia" w:ascii="宋体" w:cs="宋体"/>
        </w:rPr>
        <w:t>23.4评标过程中不允许违背评标程序或采用招标文件未载明的评标方法或评标因素进行评标。</w:t>
      </w:r>
    </w:p>
    <w:p>
      <w:pPr>
        <w:spacing w:line="450" w:lineRule="atLeast"/>
        <w:ind w:firstLine="422" w:firstLineChars="200"/>
        <w:rPr>
          <w:rFonts w:ascii="宋体" w:cs="宋体"/>
          <w:b/>
        </w:rPr>
      </w:pPr>
      <w:r>
        <w:rPr>
          <w:rFonts w:hint="eastAsia" w:ascii="宋体" w:cs="宋体"/>
          <w:b/>
        </w:rPr>
        <w:t>23.5 公开开标后，直到授予中标人合同为止，凡属于对投标文件的审查、澄清、评价和比较的有关资料以及中标候选人的推荐情况、与评标有关的其他任何情况均严格保密。</w:t>
      </w:r>
    </w:p>
    <w:p>
      <w:pPr>
        <w:spacing w:line="450" w:lineRule="atLeast"/>
        <w:ind w:firstLine="420" w:firstLineChars="200"/>
        <w:rPr>
          <w:rFonts w:ascii="宋体" w:cs="宋体"/>
        </w:rPr>
      </w:pPr>
      <w:r>
        <w:rPr>
          <w:rFonts w:hint="eastAsia" w:ascii="宋体" w:cs="宋体"/>
        </w:rPr>
        <w:t>24．向评标委员会提供的资料</w:t>
      </w:r>
    </w:p>
    <w:p>
      <w:pPr>
        <w:spacing w:line="450" w:lineRule="atLeast"/>
        <w:ind w:firstLine="420" w:firstLineChars="200"/>
        <w:rPr>
          <w:rFonts w:ascii="宋体" w:cs="宋体"/>
        </w:rPr>
      </w:pPr>
      <w:r>
        <w:rPr>
          <w:rFonts w:hint="eastAsia" w:ascii="宋体" w:cs="宋体"/>
        </w:rPr>
        <w:t>24.1公开发布的招标文件、答疑文件等；</w:t>
      </w:r>
    </w:p>
    <w:p>
      <w:pPr>
        <w:spacing w:line="450" w:lineRule="atLeast"/>
        <w:ind w:firstLine="420" w:firstLineChars="200"/>
        <w:rPr>
          <w:rFonts w:ascii="宋体" w:cs="宋体"/>
        </w:rPr>
      </w:pPr>
      <w:r>
        <w:rPr>
          <w:rFonts w:hint="eastAsia" w:ascii="宋体" w:cs="宋体"/>
        </w:rPr>
        <w:t>24.2其他评标必须的资料。</w:t>
      </w:r>
    </w:p>
    <w:p>
      <w:pPr>
        <w:spacing w:line="450" w:lineRule="atLeast"/>
        <w:ind w:firstLine="420" w:firstLineChars="200"/>
        <w:rPr>
          <w:rFonts w:ascii="宋体" w:cs="宋体"/>
        </w:rPr>
      </w:pPr>
      <w:r>
        <w:rPr>
          <w:rFonts w:hint="eastAsia" w:ascii="宋体" w:cs="宋体"/>
        </w:rPr>
        <w:t>24.3评标委员会应当认真研究招标文件，至少应了解熟悉以下内容：</w:t>
      </w:r>
    </w:p>
    <w:p>
      <w:pPr>
        <w:spacing w:line="450" w:lineRule="atLeast"/>
        <w:ind w:firstLine="420" w:firstLineChars="200"/>
        <w:rPr>
          <w:rFonts w:ascii="宋体" w:cs="宋体"/>
        </w:rPr>
      </w:pPr>
      <w:r>
        <w:rPr>
          <w:rFonts w:hint="eastAsia" w:ascii="宋体" w:cs="宋体"/>
        </w:rPr>
        <w:t>（1）招标的目的；</w:t>
      </w:r>
    </w:p>
    <w:p>
      <w:pPr>
        <w:spacing w:line="450" w:lineRule="atLeast"/>
        <w:ind w:firstLine="420" w:firstLineChars="200"/>
        <w:rPr>
          <w:rFonts w:ascii="宋体" w:cs="宋体"/>
        </w:rPr>
      </w:pPr>
      <w:r>
        <w:rPr>
          <w:rFonts w:hint="eastAsia" w:ascii="宋体" w:cs="宋体"/>
        </w:rPr>
        <w:t>（2）招标项目需求的范围和性质；</w:t>
      </w:r>
    </w:p>
    <w:p>
      <w:pPr>
        <w:spacing w:line="450" w:lineRule="atLeast"/>
        <w:ind w:firstLine="420" w:firstLineChars="200"/>
        <w:rPr>
          <w:rFonts w:ascii="宋体" w:cs="宋体"/>
        </w:rPr>
      </w:pPr>
      <w:r>
        <w:rPr>
          <w:rFonts w:hint="eastAsia" w:ascii="宋体" w:cs="宋体"/>
        </w:rPr>
        <w:t>（3）招标文件规定的投标人的资质、财政限额、商务条款；</w:t>
      </w:r>
    </w:p>
    <w:p>
      <w:pPr>
        <w:spacing w:line="450" w:lineRule="atLeast"/>
        <w:ind w:firstLine="420" w:firstLineChars="200"/>
        <w:rPr>
          <w:rFonts w:ascii="宋体" w:cs="宋体"/>
        </w:rPr>
      </w:pPr>
      <w:r>
        <w:rPr>
          <w:rFonts w:hint="eastAsia" w:ascii="宋体" w:cs="宋体"/>
        </w:rPr>
        <w:t>（4）招标文件规定的评标程序、评标方法和评标因素；</w:t>
      </w:r>
    </w:p>
    <w:p>
      <w:pPr>
        <w:spacing w:line="450" w:lineRule="atLeast"/>
        <w:ind w:firstLine="420" w:firstLineChars="200"/>
        <w:rPr>
          <w:rFonts w:ascii="宋体" w:cs="宋体"/>
        </w:rPr>
      </w:pPr>
      <w:r>
        <w:rPr>
          <w:rFonts w:hint="eastAsia" w:ascii="宋体" w:cs="宋体"/>
        </w:rPr>
        <w:t>（5）招标文件所列示的无效标条件；</w:t>
      </w:r>
    </w:p>
    <w:p>
      <w:pPr>
        <w:spacing w:line="450" w:lineRule="atLeast"/>
        <w:ind w:firstLine="420" w:firstLineChars="200"/>
        <w:rPr>
          <w:rFonts w:ascii="宋体" w:cs="宋体"/>
        </w:rPr>
      </w:pPr>
      <w:r>
        <w:rPr>
          <w:rFonts w:hint="eastAsia" w:ascii="宋体" w:cs="宋体"/>
        </w:rPr>
        <w:t>25．独立评标及评标程序</w:t>
      </w:r>
    </w:p>
    <w:p>
      <w:pPr>
        <w:spacing w:line="450" w:lineRule="atLeast"/>
        <w:ind w:firstLine="422" w:firstLineChars="200"/>
        <w:rPr>
          <w:rFonts w:ascii="宋体" w:cs="宋体"/>
          <w:b/>
        </w:rPr>
      </w:pPr>
      <w:r>
        <w:rPr>
          <w:rFonts w:hint="eastAsia" w:ascii="宋体" w:cs="宋体"/>
          <w:b/>
        </w:rPr>
        <w:t>评标委员会成员的评标活动应当独立进行，并应遵循投标文件初审、澄清有关问题、比较与评价、确定中标供应商、编写评标报告的工作程序。</w:t>
      </w:r>
    </w:p>
    <w:p>
      <w:pPr>
        <w:pStyle w:val="4"/>
        <w:spacing w:before="120" w:after="120"/>
        <w:rPr>
          <w:rFonts w:cs="宋体"/>
          <w:sz w:val="28"/>
          <w:szCs w:val="28"/>
        </w:rPr>
      </w:pPr>
      <w:r>
        <w:rPr>
          <w:rFonts w:hint="eastAsia" w:cs="宋体"/>
          <w:sz w:val="28"/>
          <w:szCs w:val="28"/>
        </w:rPr>
        <w:t>八、评标程序及评标方法</w:t>
      </w:r>
    </w:p>
    <w:p>
      <w:pPr>
        <w:spacing w:line="450" w:lineRule="atLeast"/>
        <w:ind w:firstLine="420" w:firstLineChars="200"/>
        <w:rPr>
          <w:rFonts w:ascii="宋体" w:cs="宋体"/>
        </w:rPr>
      </w:pPr>
      <w:r>
        <w:rPr>
          <w:rFonts w:hint="eastAsia" w:ascii="宋体" w:cs="宋体"/>
        </w:rPr>
        <w:t>26．投标文件初审</w:t>
      </w:r>
    </w:p>
    <w:p>
      <w:pPr>
        <w:spacing w:line="450" w:lineRule="atLeast"/>
        <w:ind w:firstLine="420" w:firstLineChars="200"/>
        <w:rPr>
          <w:rFonts w:ascii="宋体" w:cs="宋体"/>
        </w:rPr>
      </w:pPr>
      <w:r>
        <w:rPr>
          <w:rFonts w:hint="eastAsia" w:ascii="宋体" w:cs="宋体"/>
        </w:rPr>
        <w:t>26.1初审包括资格性审查和符合性审查。</w:t>
      </w:r>
    </w:p>
    <w:p>
      <w:pPr>
        <w:spacing w:line="450" w:lineRule="atLeast"/>
        <w:ind w:firstLine="420" w:firstLineChars="200"/>
        <w:rPr>
          <w:rFonts w:ascii="宋体" w:cs="宋体"/>
        </w:rPr>
      </w:pPr>
      <w:r>
        <w:rPr>
          <w:rFonts w:hint="eastAsia" w:ascii="宋体" w:cs="宋体"/>
        </w:rPr>
        <w:t>26.2当投标文件出现下列情况之一的将视为无效，按无效标处理，不得进入评标：</w:t>
      </w:r>
    </w:p>
    <w:p>
      <w:pPr>
        <w:spacing w:line="450" w:lineRule="atLeast"/>
        <w:ind w:firstLine="422" w:firstLineChars="200"/>
        <w:rPr>
          <w:rFonts w:ascii="宋体" w:cs="宋体"/>
          <w:b/>
        </w:rPr>
      </w:pPr>
      <w:r>
        <w:rPr>
          <w:rFonts w:hint="eastAsia" w:ascii="宋体" w:cs="宋体"/>
          <w:b/>
        </w:rPr>
        <w:t>资格性审查：</w:t>
      </w:r>
    </w:p>
    <w:p>
      <w:pPr>
        <w:spacing w:line="450" w:lineRule="atLeast"/>
        <w:ind w:firstLine="420" w:firstLineChars="200"/>
        <w:rPr>
          <w:rFonts w:ascii="宋体" w:cs="宋体"/>
          <w:b/>
        </w:rPr>
      </w:pPr>
      <w:r>
        <w:rPr>
          <w:rFonts w:hint="eastAsia" w:ascii="宋体" w:cs="宋体"/>
        </w:rPr>
        <w:t>（1）投标人不具备招标公告所列的资质条件或国家有关法律规定的；</w:t>
      </w:r>
    </w:p>
    <w:p>
      <w:pPr>
        <w:spacing w:line="450" w:lineRule="atLeast"/>
        <w:ind w:firstLine="420" w:firstLineChars="200"/>
        <w:rPr>
          <w:rFonts w:ascii="宋体" w:cs="宋体"/>
        </w:rPr>
      </w:pPr>
      <w:r>
        <w:rPr>
          <w:rFonts w:hint="eastAsia" w:ascii="宋体" w:cs="宋体"/>
        </w:rPr>
        <w:t>（2）未提交招标文件所要求的资格证明的；</w:t>
      </w:r>
    </w:p>
    <w:p>
      <w:pPr>
        <w:spacing w:line="450" w:lineRule="atLeast"/>
        <w:ind w:firstLine="420" w:firstLineChars="200"/>
        <w:rPr>
          <w:rFonts w:ascii="宋体" w:cs="宋体"/>
        </w:rPr>
      </w:pPr>
      <w:r>
        <w:rPr>
          <w:rFonts w:hint="eastAsia" w:ascii="宋体" w:cs="宋体"/>
        </w:rPr>
        <w:t>（3）列入失信被执行人、重大税收违法案件当事人名单、政府采购严重违法失信记录名单在禁止参加采购期限的供应商（以投标截止日“信用中国www.creditchina.gov.cn” 、中国政府采购网（www.ccgp.gov.cn）网站查询数据为准；采购中心工作人员在评标期间查询各投标人的信用记录，并打印不合格投标人的查询记录网页，作为资格审查资料存档）。</w:t>
      </w:r>
    </w:p>
    <w:p>
      <w:pPr>
        <w:spacing w:line="450" w:lineRule="atLeast"/>
        <w:ind w:firstLine="422" w:firstLineChars="200"/>
        <w:rPr>
          <w:rFonts w:ascii="宋体" w:cs="宋体"/>
          <w:b/>
        </w:rPr>
      </w:pPr>
      <w:r>
        <w:rPr>
          <w:rFonts w:hint="eastAsia" w:ascii="宋体" w:cs="宋体"/>
          <w:b/>
        </w:rPr>
        <w:t>符合性审查：</w:t>
      </w:r>
    </w:p>
    <w:p>
      <w:pPr>
        <w:spacing w:line="450" w:lineRule="atLeast"/>
        <w:ind w:firstLine="420" w:firstLineChars="200"/>
        <w:rPr>
          <w:rFonts w:ascii="宋体" w:cs="宋体"/>
        </w:rPr>
      </w:pPr>
      <w:r>
        <w:rPr>
          <w:rFonts w:hint="eastAsia" w:ascii="宋体" w:cs="宋体"/>
        </w:rPr>
        <w:t>（1）未按规定提供法定代表人授权书、诚信投标承诺书、投标函、开标一览表的；</w:t>
      </w:r>
    </w:p>
    <w:p>
      <w:pPr>
        <w:spacing w:line="450" w:lineRule="exact"/>
        <w:ind w:firstLine="420" w:firstLineChars="200"/>
        <w:rPr>
          <w:rFonts w:ascii="宋体" w:cs="宋体"/>
        </w:rPr>
      </w:pPr>
      <w:r>
        <w:rPr>
          <w:rFonts w:hint="eastAsia" w:ascii="宋体" w:cs="宋体"/>
        </w:rPr>
        <w:t>（2）同一项目出现两个及以上报价，按规定又无法确定哪个是有效报价的；</w:t>
      </w:r>
    </w:p>
    <w:p>
      <w:pPr>
        <w:spacing w:line="450" w:lineRule="exact"/>
        <w:ind w:firstLine="420" w:firstLineChars="200"/>
        <w:rPr>
          <w:rFonts w:ascii="宋体" w:cs="宋体"/>
        </w:rPr>
      </w:pPr>
      <w:r>
        <w:rPr>
          <w:rFonts w:hint="eastAsia" w:ascii="宋体" w:cs="宋体"/>
        </w:rPr>
        <w:t>（3）投标人未按招标文件的要求详细填写项目投标报价表的；</w:t>
      </w:r>
    </w:p>
    <w:p>
      <w:pPr>
        <w:spacing w:line="450" w:lineRule="exact"/>
        <w:ind w:firstLine="420" w:firstLineChars="200"/>
        <w:rPr>
          <w:rFonts w:ascii="宋体" w:cs="宋体"/>
        </w:rPr>
      </w:pPr>
      <w:r>
        <w:rPr>
          <w:rFonts w:hint="eastAsia" w:ascii="宋体" w:cs="宋体"/>
        </w:rPr>
        <w:t>（4）投标总价高于财政限额的；</w:t>
      </w:r>
    </w:p>
    <w:p>
      <w:pPr>
        <w:spacing w:line="450" w:lineRule="exact"/>
        <w:ind w:firstLine="420" w:firstLineChars="200"/>
        <w:rPr>
          <w:rFonts w:ascii="宋体" w:cs="宋体"/>
        </w:rPr>
      </w:pPr>
      <w:r>
        <w:rPr>
          <w:rFonts w:hint="eastAsia" w:ascii="宋体" w:cs="宋体"/>
        </w:rPr>
        <w:t>（5）投标人的报价低于其成本，且不能做出合理说明的；</w:t>
      </w:r>
    </w:p>
    <w:p>
      <w:pPr>
        <w:spacing w:line="450" w:lineRule="exact"/>
        <w:ind w:firstLine="420" w:firstLineChars="200"/>
        <w:rPr>
          <w:rFonts w:ascii="宋体" w:cs="宋体"/>
        </w:rPr>
      </w:pPr>
      <w:r>
        <w:rPr>
          <w:rFonts w:hint="eastAsia" w:ascii="宋体" w:cs="宋体"/>
        </w:rPr>
        <w:t>（6）投标文件的有效期未按招标文件的规定的；</w:t>
      </w:r>
    </w:p>
    <w:p>
      <w:pPr>
        <w:spacing w:line="450" w:lineRule="exact"/>
        <w:ind w:firstLine="420" w:firstLineChars="200"/>
        <w:rPr>
          <w:rFonts w:hint="eastAsia" w:ascii="宋体" w:cs="宋体"/>
        </w:rPr>
      </w:pPr>
      <w:r>
        <w:rPr>
          <w:rFonts w:hint="eastAsia" w:ascii="宋体" w:cs="宋体"/>
        </w:rPr>
        <w:t>（7）人员配置数量不满足采购人要求的；</w:t>
      </w:r>
    </w:p>
    <w:p>
      <w:pPr>
        <w:spacing w:line="450" w:lineRule="exact"/>
        <w:ind w:firstLine="525" w:firstLineChars="250"/>
        <w:rPr>
          <w:rFonts w:ascii="宋体" w:cs="宋体"/>
        </w:rPr>
      </w:pPr>
      <w:r>
        <w:rPr>
          <w:rFonts w:ascii="宋体" w:cs="宋体"/>
        </w:rPr>
        <w:t>(</w:t>
      </w:r>
      <w:r>
        <w:rPr>
          <w:rFonts w:hint="eastAsia" w:ascii="宋体" w:cs="宋体"/>
        </w:rPr>
        <w:t>8</w:t>
      </w:r>
      <w:r>
        <w:rPr>
          <w:rFonts w:ascii="宋体" w:cs="宋体"/>
        </w:rPr>
        <w:t>)</w:t>
      </w:r>
      <w:r>
        <w:rPr>
          <w:rFonts w:hint="eastAsia" w:ascii="宋体" w:cs="宋体"/>
        </w:rPr>
        <w:t>投标文件未按规定签署、盖章,影响投标效力的；</w:t>
      </w:r>
    </w:p>
    <w:p>
      <w:pPr>
        <w:spacing w:line="450" w:lineRule="exact"/>
        <w:ind w:firstLine="420" w:firstLineChars="200"/>
        <w:rPr>
          <w:rFonts w:ascii="宋体" w:cs="宋体"/>
        </w:rPr>
      </w:pPr>
      <w:r>
        <w:rPr>
          <w:rFonts w:hint="eastAsia" w:ascii="宋体" w:cs="宋体"/>
        </w:rPr>
        <w:t>（9）招标文件中明确规定要作为无效标处理的情形；</w:t>
      </w:r>
    </w:p>
    <w:p>
      <w:pPr>
        <w:spacing w:line="450" w:lineRule="exact"/>
        <w:ind w:firstLine="420" w:firstLineChars="200"/>
        <w:rPr>
          <w:rFonts w:ascii="宋体" w:cs="宋体"/>
        </w:rPr>
      </w:pPr>
      <w:r>
        <w:rPr>
          <w:rFonts w:hint="eastAsia" w:ascii="宋体" w:cs="宋体"/>
        </w:rPr>
        <w:t>（10）法律、法规规定的其他情形。</w:t>
      </w:r>
    </w:p>
    <w:p>
      <w:pPr>
        <w:pStyle w:val="11"/>
        <w:spacing w:line="380" w:lineRule="atLeast"/>
        <w:rPr>
          <w:rFonts w:cs="宋体"/>
        </w:rPr>
      </w:pPr>
      <w:r>
        <w:rPr>
          <w:rFonts w:hint="eastAsia" w:cs="宋体"/>
        </w:rPr>
        <w:t>注：对不属于无效标条款所列的其它情形，除法律法规另有规定外，不得作为无效标的理由。</w:t>
      </w:r>
    </w:p>
    <w:p>
      <w:pPr>
        <w:spacing w:line="380" w:lineRule="atLeast"/>
        <w:ind w:firstLine="420" w:firstLineChars="200"/>
        <w:rPr>
          <w:rFonts w:ascii="宋体" w:cs="宋体"/>
        </w:rPr>
      </w:pPr>
      <w:r>
        <w:rPr>
          <w:rFonts w:hint="eastAsia" w:ascii="宋体" w:cs="宋体"/>
        </w:rPr>
        <w:t>27．澄清有关问题</w:t>
      </w:r>
    </w:p>
    <w:p>
      <w:pPr>
        <w:spacing w:line="380" w:lineRule="atLeast"/>
        <w:ind w:firstLine="420" w:firstLineChars="200"/>
        <w:rPr>
          <w:rFonts w:ascii="宋体" w:cs="宋体"/>
        </w:rPr>
      </w:pPr>
      <w:r>
        <w:rPr>
          <w:rFonts w:hint="eastAsia" w:ascii="宋体" w:cs="宋体"/>
        </w:rPr>
        <w:t>27.1为了有助于投标文件的审查、评价和比较，评标委员会将给予每一投标人</w:t>
      </w:r>
      <w:r>
        <w:rPr>
          <w:rFonts w:hint="eastAsia" w:ascii="宋体" w:cs="宋体"/>
          <w:b/>
        </w:rPr>
        <w:t>15</w:t>
      </w:r>
      <w:r>
        <w:rPr>
          <w:rFonts w:hint="eastAsia" w:ascii="宋体" w:cs="宋体"/>
        </w:rPr>
        <w:t>分钟的讲标时间(以投标登记为序）。投标单位可指派2-3名答辩代表（</w:t>
      </w:r>
      <w:r>
        <w:rPr>
          <w:rFonts w:hint="eastAsia"/>
        </w:rPr>
        <w:t>法定代表人或委托代理人和接管管理负责人</w:t>
      </w:r>
      <w:r>
        <w:rPr>
          <w:rFonts w:hint="eastAsia" w:ascii="宋体" w:cs="宋体"/>
        </w:rPr>
        <w:t>）参加；参加答辩的代表须随带身份证、法定代表人证明或其法人委托书及答辩人员名单、简历以便评委查验。</w:t>
      </w:r>
      <w:r>
        <w:rPr>
          <w:rFonts w:hint="eastAsia"/>
          <w:b/>
        </w:rPr>
        <w:t>（备注：本项目不安排现场答辩陈述）</w:t>
      </w:r>
    </w:p>
    <w:p>
      <w:pPr>
        <w:spacing w:line="380" w:lineRule="atLeast"/>
        <w:ind w:firstLine="420" w:firstLineChars="200"/>
        <w:rPr>
          <w:rFonts w:ascii="宋体" w:cs="宋体"/>
        </w:rPr>
      </w:pPr>
      <w:r>
        <w:rPr>
          <w:rFonts w:hint="eastAsia" w:ascii="宋体" w:cs="宋体"/>
        </w:rPr>
        <w:t>27.2对投标文件含义不明确、同类问题表述不一致或者有明显文字和计算错误的内容，评标委员会可以要求投标人作出必要的澄清、说明或者纠正；投标人的澄清、说明或者补正应当用采用书面形式（由其受权的代表签字），并不得超出投标文件的范围或者改变投标文件的实质性的内容。根据本须知第28条，凡属于评标委员会在评标中发现的算术错误进行核实的修改不在此列。</w:t>
      </w:r>
    </w:p>
    <w:p>
      <w:pPr>
        <w:spacing w:line="380" w:lineRule="atLeast"/>
        <w:ind w:firstLine="420" w:firstLineChars="200"/>
        <w:rPr>
          <w:rFonts w:ascii="宋体" w:cs="宋体"/>
        </w:rPr>
      </w:pPr>
      <w:r>
        <w:rPr>
          <w:rFonts w:hint="eastAsia" w:ascii="宋体" w:cs="宋体"/>
        </w:rPr>
        <w:t>28．错误的修正</w:t>
      </w:r>
    </w:p>
    <w:p>
      <w:pPr>
        <w:spacing w:line="380" w:lineRule="atLeast"/>
        <w:ind w:firstLine="420" w:firstLineChars="200"/>
        <w:rPr>
          <w:rFonts w:ascii="宋体" w:cs="宋体"/>
        </w:rPr>
      </w:pPr>
      <w:r>
        <w:rPr>
          <w:rFonts w:hint="eastAsia" w:ascii="宋体" w:cs="宋体"/>
        </w:rPr>
        <w:t>28.1评标委员会将对确定为实质上响应招标文件要求的投标文件进行校核，看其是否有计算上、累计上或表达上的错误，修正错误的原则如下：</w:t>
      </w:r>
    </w:p>
    <w:p>
      <w:pPr>
        <w:spacing w:line="380" w:lineRule="atLeast"/>
        <w:ind w:firstLine="420" w:firstLineChars="200"/>
        <w:rPr>
          <w:rFonts w:ascii="宋体" w:cs="宋体"/>
        </w:rPr>
      </w:pPr>
      <w:r>
        <w:rPr>
          <w:rFonts w:hint="eastAsia" w:ascii="宋体" w:cs="宋体"/>
        </w:rPr>
        <w:t>（</w:t>
      </w:r>
      <w:r>
        <w:rPr>
          <w:rFonts w:ascii="宋体" w:cs="宋体"/>
        </w:rPr>
        <w:t>1</w:t>
      </w:r>
      <w:r>
        <w:rPr>
          <w:rFonts w:hint="eastAsia" w:ascii="宋体" w:cs="宋体"/>
        </w:rPr>
        <w:t>）开标一览表与分项报价表等投标文件相应内容不一致的，以开标一览表为准；</w:t>
      </w:r>
    </w:p>
    <w:p>
      <w:pPr>
        <w:spacing w:line="380" w:lineRule="atLeast"/>
        <w:ind w:firstLine="420" w:firstLineChars="200"/>
        <w:rPr>
          <w:rFonts w:ascii="宋体" w:cs="宋体"/>
        </w:rPr>
      </w:pPr>
      <w:r>
        <w:rPr>
          <w:rFonts w:hint="eastAsia" w:ascii="宋体" w:cs="宋体"/>
        </w:rPr>
        <w:t>（2）大写金额与小写金额不一致的，以大写金额为准；</w:t>
      </w:r>
    </w:p>
    <w:p>
      <w:pPr>
        <w:spacing w:line="380" w:lineRule="atLeast"/>
        <w:ind w:firstLine="420" w:firstLineChars="200"/>
        <w:rPr>
          <w:rFonts w:ascii="宋体" w:cs="宋体"/>
        </w:rPr>
      </w:pPr>
      <w:r>
        <w:rPr>
          <w:rFonts w:hint="eastAsia" w:ascii="宋体" w:cs="宋体"/>
        </w:rPr>
        <w:t>（3）单价金额小数点或者百分比有明显错位的，以开标一览表的总价为准，并修改单价；</w:t>
      </w:r>
    </w:p>
    <w:p>
      <w:pPr>
        <w:spacing w:line="380" w:lineRule="atLeast"/>
        <w:ind w:firstLine="420" w:firstLineChars="200"/>
        <w:rPr>
          <w:rFonts w:ascii="宋体" w:cs="宋体"/>
        </w:rPr>
      </w:pPr>
      <w:r>
        <w:rPr>
          <w:rFonts w:hint="eastAsia" w:ascii="宋体" w:cs="宋体"/>
        </w:rPr>
        <w:t>（4）总价金额与按单价汇总金额不一致的，以单价金额计算结果为准；</w:t>
      </w:r>
    </w:p>
    <w:p>
      <w:pPr>
        <w:spacing w:line="380" w:lineRule="atLeast"/>
        <w:ind w:firstLine="420" w:firstLineChars="200"/>
        <w:rPr>
          <w:rFonts w:ascii="宋体" w:cs="宋体"/>
        </w:rPr>
      </w:pPr>
      <w:r>
        <w:rPr>
          <w:rFonts w:hint="eastAsia" w:ascii="宋体" w:cs="宋体"/>
        </w:rPr>
        <w:t>同时出现两种以上不一致的，按照前款规定的顺序修正。修正后的报价经投标人确认后产生约束力，投标人不确认的，其投标无效。</w:t>
      </w:r>
    </w:p>
    <w:p>
      <w:pPr>
        <w:spacing w:line="380" w:lineRule="atLeast"/>
        <w:ind w:firstLine="420" w:firstLineChars="200"/>
        <w:rPr>
          <w:rFonts w:ascii="宋体" w:cs="宋体"/>
        </w:rPr>
      </w:pPr>
      <w:r>
        <w:rPr>
          <w:rFonts w:hint="eastAsia" w:ascii="宋体" w:cs="宋体"/>
        </w:rPr>
        <w:t>29．投标文件的比较与评价</w:t>
      </w:r>
    </w:p>
    <w:p>
      <w:pPr>
        <w:spacing w:line="380" w:lineRule="atLeast"/>
        <w:ind w:firstLine="420" w:firstLineChars="200"/>
        <w:rPr>
          <w:rFonts w:ascii="宋体" w:cs="宋体"/>
        </w:rPr>
      </w:pPr>
      <w:r>
        <w:rPr>
          <w:rFonts w:hint="eastAsia" w:ascii="宋体" w:cs="宋体"/>
        </w:rPr>
        <w:t>29.1评标委员会将按照招标文件的规定，参照相关法律、法规、规定，仅对通过资格审查和符合性审查的投标文件进行综合比较与评价。</w:t>
      </w:r>
    </w:p>
    <w:p>
      <w:pPr>
        <w:spacing w:line="380" w:lineRule="atLeast"/>
        <w:ind w:firstLine="420" w:firstLineChars="200"/>
        <w:rPr>
          <w:rFonts w:ascii="宋体" w:cs="宋体"/>
        </w:rPr>
      </w:pPr>
      <w:r>
        <w:rPr>
          <w:rFonts w:hint="eastAsia" w:ascii="宋体" w:cs="宋体"/>
        </w:rPr>
        <w:t>30．评标方法</w:t>
      </w:r>
    </w:p>
    <w:p>
      <w:pPr>
        <w:spacing w:line="380" w:lineRule="atLeast"/>
        <w:ind w:firstLine="420" w:firstLineChars="200"/>
        <w:rPr>
          <w:rFonts w:ascii="宋体" w:cs="宋体"/>
        </w:rPr>
      </w:pPr>
      <w:r>
        <w:rPr>
          <w:rFonts w:hint="eastAsia" w:ascii="宋体" w:cs="宋体"/>
        </w:rPr>
        <w:t>30.1本项目的评标办法采用：</w:t>
      </w:r>
      <w:r>
        <w:rPr>
          <w:rFonts w:hint="eastAsia" w:ascii="宋体" w:cs="宋体"/>
          <w:b/>
          <w:u w:val="single"/>
        </w:rPr>
        <w:t>综合评分法</w:t>
      </w:r>
    </w:p>
    <w:p>
      <w:pPr>
        <w:spacing w:line="380" w:lineRule="atLeast"/>
        <w:ind w:firstLine="420" w:firstLineChars="200"/>
        <w:rPr>
          <w:rFonts w:ascii="宋体" w:cs="宋体"/>
          <w:u w:val="single"/>
        </w:rPr>
      </w:pPr>
      <w:r>
        <w:rPr>
          <w:rFonts w:hint="eastAsia" w:ascii="宋体" w:cs="宋体"/>
          <w:u w:val="single"/>
        </w:rPr>
        <w:t>综合评分法是指在最大限度地满足招标文件实质性要求前提下，按照招标文件中规定的各项因素进行量化打分，以评标总得分最高的投标供应商作为中标候选供应商或中标供应商的评标方法。</w:t>
      </w:r>
    </w:p>
    <w:p>
      <w:pPr>
        <w:spacing w:line="360" w:lineRule="auto"/>
        <w:ind w:firstLine="420" w:firstLineChars="200"/>
        <w:rPr>
          <w:rFonts w:hint="eastAsia" w:ascii="宋体" w:cs="宋体"/>
        </w:rPr>
      </w:pPr>
      <w:r>
        <w:rPr>
          <w:rFonts w:hint="eastAsia" w:ascii="宋体" w:cs="宋体"/>
        </w:rPr>
        <w:t>30.2评分项目表</w:t>
      </w:r>
    </w:p>
    <w:tbl>
      <w:tblPr>
        <w:tblStyle w:val="20"/>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60"/>
        <w:gridCol w:w="709"/>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评审因素</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分值</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评审标准及说明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价格</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20</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1、基准价=所有有效投标中的最低评审价格，基准价得20分。</w:t>
            </w:r>
          </w:p>
          <w:p>
            <w:pPr>
              <w:rPr>
                <w:rFonts w:hint="eastAsia" w:ascii="宋体" w:hAnsi="宋体"/>
                <w:sz w:val="24"/>
              </w:rPr>
            </w:pPr>
            <w:r>
              <w:rPr>
                <w:rFonts w:hint="eastAsia" w:ascii="宋体" w:hAnsi="宋体"/>
                <w:sz w:val="24"/>
              </w:rPr>
              <w:t>投标报价得分=基准价/评审价格×20（保留二位小数）</w:t>
            </w:r>
          </w:p>
          <w:p>
            <w:pPr>
              <w:rPr>
                <w:rFonts w:hint="eastAsia" w:ascii="宋体" w:hAnsi="宋体"/>
                <w:sz w:val="24"/>
              </w:rPr>
            </w:pPr>
            <w:r>
              <w:rPr>
                <w:rFonts w:hint="eastAsia" w:ascii="宋体" w:hAnsi="宋体"/>
                <w:sz w:val="24"/>
              </w:rPr>
              <w:t>2、投标人为小、微企业的（监狱企业和残疾人福利性单位视同小微企业）， 给予6%的价格扣除后参与评审。</w:t>
            </w:r>
          </w:p>
          <w:p>
            <w:pPr>
              <w:rPr>
                <w:rFonts w:hint="eastAsia" w:ascii="宋体" w:hAnsi="宋体"/>
                <w:sz w:val="24"/>
              </w:rPr>
            </w:pPr>
            <w:r>
              <w:rPr>
                <w:rFonts w:hint="eastAsia" w:ascii="宋体" w:hAnsi="宋体"/>
                <w:sz w:val="24"/>
              </w:rPr>
              <w:t>即：评审价格＝投标报价×（1－0.06）。其它投标人，评审价格＝投标价格。</w:t>
            </w:r>
          </w:p>
          <w:p>
            <w:pPr>
              <w:rPr>
                <w:rFonts w:hint="eastAsia" w:ascii="宋体" w:hAnsi="宋体"/>
                <w:sz w:val="24"/>
              </w:rPr>
            </w:pPr>
            <w:r>
              <w:rPr>
                <w:rFonts w:hint="eastAsia" w:ascii="宋体" w:hAnsi="宋体"/>
                <w:sz w:val="24"/>
              </w:rPr>
              <w:t>3、投标报价得分，最高为20分，最低为0分。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管理体系认证</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3</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投标人具有有效质量管理体系认证证书、环境管理体系认证证书、职业健康安全管理体系认证证书，</w:t>
            </w:r>
            <w:r>
              <w:rPr>
                <w:rFonts w:hint="eastAsia" w:ascii="宋体" w:hAnsi="宋体"/>
                <w:b/>
                <w:color w:val="FF0000"/>
                <w:sz w:val="24"/>
              </w:rPr>
              <w:t>提供证书彩色扫描件</w:t>
            </w:r>
            <w:r>
              <w:rPr>
                <w:rFonts w:hint="eastAsia" w:ascii="宋体" w:hAnsi="宋体"/>
                <w:sz w:val="24"/>
              </w:rPr>
              <w:t>，每有一项得1分。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3</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类似项目管理业绩</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3</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ascii="宋体" w:hAnsi="宋体"/>
                <w:sz w:val="24"/>
              </w:rPr>
              <w:t>自2017年1月1日以来（以合同签订日为准），投标人管理过或正在管理的二级甲等及以上医院（服务内容须包含保安服务）管理服务业绩：每提供一家三级医院安保管理业绩得1分，每提供一家二级甲等医院安保管理业绩得0.5分，最高得3分，</w:t>
            </w:r>
            <w:r>
              <w:rPr>
                <w:rFonts w:hint="eastAsia" w:ascii="宋体" w:hAnsi="宋体"/>
                <w:b/>
                <w:color w:val="FF0000"/>
                <w:sz w:val="24"/>
              </w:rPr>
              <w:t>提供合同彩色扫描件</w:t>
            </w:r>
            <w:r>
              <w:rPr>
                <w:rFonts w:hint="eastAsia" w:ascii="宋体" w:hAnsi="宋体"/>
                <w:sz w:val="24"/>
              </w:rPr>
              <w:t>，合同内容没有清晰表述服务内容事项的，需另行提供用户证明材料佐证。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5</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管理整体设想及策划</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6</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对本项目的理解和熟悉程度；对本项目整体构想的创新性、充分性和相符程度；管理目标明确性，起点高低程度及设置合理性。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6</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管理指标及措施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6</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管理指标与整体定位是否准确；指标标准是否合理；达成指标的措施是否有效和可行。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7</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人员的配备、人员培训与管理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10</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人员配备是否符合招标方要求；培训机制与运行机制是否科学；培训内容与项目定位和管理目标是否相符；管理方案是否合情合理合法。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8</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人员工资及其它费用测算的合理性</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6</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测算的管理服务费与整体定位是否相符；测算的管理服务费是否符合服务费构成要求；测算的数值是否合理、规范。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9</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制度和档案的建立与管理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2.5</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管理制度是否齐全、规范，档案管理方案是否科学，是否实行信息化管理等情况。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10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宋体" w:hAnsi="宋体"/>
                <w:snapToGrid w:val="0"/>
                <w:sz w:val="24"/>
              </w:rPr>
            </w:pPr>
            <w:r>
              <w:rPr>
                <w:rFonts w:hint="eastAsia" w:ascii="宋体" w:hAnsi="宋体" w:cs="仿宋_GB2312"/>
                <w:bCs/>
                <w:sz w:val="24"/>
              </w:rPr>
              <w:t>拟投入本项目的物资装备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spacing w:line="300" w:lineRule="auto"/>
              <w:jc w:val="center"/>
              <w:rPr>
                <w:rFonts w:ascii="宋体" w:hAnsi="宋体"/>
                <w:snapToGrid w:val="0"/>
                <w:sz w:val="24"/>
              </w:rPr>
            </w:pPr>
            <w:r>
              <w:rPr>
                <w:rFonts w:hint="eastAsia" w:ascii="宋体" w:hAnsi="宋体"/>
                <w:snapToGrid w:val="0"/>
                <w:sz w:val="24"/>
              </w:rPr>
              <w:t>4</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spacing w:line="300" w:lineRule="auto"/>
              <w:rPr>
                <w:rFonts w:ascii="宋体" w:hAnsi="宋体"/>
                <w:snapToGrid w:val="0"/>
                <w:sz w:val="24"/>
              </w:rPr>
            </w:pPr>
            <w:r>
              <w:rPr>
                <w:rFonts w:hint="eastAsia" w:ascii="宋体" w:hAnsi="宋体"/>
                <w:sz w:val="24"/>
              </w:rPr>
              <w:t>投入的物资装备是否符合项目的管理需要，是否合理及专业化程度。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11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宋体" w:hAnsi="宋体" w:cs="仿宋_GB2312"/>
                <w:bCs/>
                <w:sz w:val="24"/>
              </w:rPr>
            </w:pPr>
            <w:r>
              <w:rPr>
                <w:rFonts w:hint="eastAsia" w:ascii="宋体" w:hAnsi="宋体" w:cs="仿宋_GB2312"/>
                <w:bCs/>
                <w:sz w:val="24"/>
              </w:rPr>
              <w:t>日常安全保卫、秩序维护工作的具体措施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仿宋_GB2312"/>
                <w:sz w:val="24"/>
              </w:rPr>
            </w:pPr>
            <w:r>
              <w:rPr>
                <w:rFonts w:hint="eastAsia" w:ascii="宋体" w:hAnsi="宋体" w:cs="仿宋_GB2312"/>
                <w:sz w:val="24"/>
              </w:rPr>
              <w:t>18</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 xml:space="preserve">管理方案是否适应本项目的需求，是否合理、可行，是否有创新（为医院提供科学合理有效的智慧防范体系创新建设（公安系统报警））；应答是否详尽、明晰；服务标准设计是否合理等方面进行评议。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12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宋体" w:hAnsi="宋体" w:cs="仿宋_GB2312"/>
                <w:bCs/>
                <w:sz w:val="24"/>
              </w:rPr>
            </w:pPr>
            <w:r>
              <w:rPr>
                <w:rFonts w:hint="eastAsia" w:ascii="宋体" w:hAnsi="宋体" w:cs="仿宋_GB2312"/>
                <w:bCs/>
                <w:sz w:val="24"/>
              </w:rPr>
              <w:t>消防管理的具体措施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仿宋_GB2312"/>
                <w:sz w:val="24"/>
              </w:rPr>
            </w:pPr>
            <w:r>
              <w:rPr>
                <w:rFonts w:hint="eastAsia" w:ascii="宋体" w:hAnsi="宋体" w:cs="仿宋_GB2312"/>
                <w:sz w:val="24"/>
              </w:rPr>
              <w:t>12</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管理方案是否适应本项目的需求，是否合理、可行，是否有创新（智能化消防平台创新等）；应答是否详尽、明晰；服务标准设计是否合理等方面进行评议。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13</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宋体" w:hAnsi="宋体" w:cs="仿宋_GB2312"/>
                <w:bCs/>
                <w:sz w:val="24"/>
              </w:rPr>
            </w:pPr>
            <w:r>
              <w:rPr>
                <w:rFonts w:hint="eastAsia" w:ascii="宋体" w:hAnsi="宋体" w:cs="仿宋_GB2312"/>
                <w:bCs/>
                <w:sz w:val="24"/>
              </w:rPr>
              <w:t>对各类突发事件、群体性事件处置的工作方案</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8</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1、应对火灾、盗窃事件的应急预案及相应的措施是否合理、可行：2分；</w:t>
            </w:r>
          </w:p>
          <w:p>
            <w:pPr>
              <w:rPr>
                <w:rFonts w:hint="eastAsia" w:ascii="宋体" w:hAnsi="宋体"/>
                <w:sz w:val="24"/>
              </w:rPr>
            </w:pPr>
            <w:r>
              <w:rPr>
                <w:rFonts w:hint="eastAsia" w:ascii="宋体" w:hAnsi="宋体"/>
                <w:sz w:val="24"/>
              </w:rPr>
              <w:t>2、应对台风、暴雨等灾害性天气的应急预案及相应的措施是否合理、可行：2分；</w:t>
            </w:r>
          </w:p>
          <w:p>
            <w:pPr>
              <w:rPr>
                <w:rFonts w:hint="eastAsia" w:ascii="宋体" w:hAnsi="宋体"/>
                <w:sz w:val="24"/>
              </w:rPr>
            </w:pPr>
            <w:r>
              <w:rPr>
                <w:rFonts w:hint="eastAsia" w:ascii="宋体" w:hAnsi="宋体"/>
                <w:sz w:val="24"/>
              </w:rPr>
              <w:t>3、应对群体性事件、暴恐事件的应急预案及相应的措施是否合理、可行：2分；</w:t>
            </w:r>
          </w:p>
          <w:p>
            <w:pPr>
              <w:rPr>
                <w:rFonts w:ascii="宋体" w:hAnsi="宋体"/>
                <w:sz w:val="24"/>
              </w:rPr>
            </w:pPr>
            <w:r>
              <w:rPr>
                <w:rFonts w:hint="eastAsia" w:ascii="宋体" w:hAnsi="宋体"/>
                <w:sz w:val="24"/>
              </w:rPr>
              <w:t>4、当医院有重大事件发生时，能额外调派支援人员的能力及承诺2分。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14</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投标文件质量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1</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ascii="宋体" w:hAnsi="宋体"/>
                <w:sz w:val="24"/>
              </w:rPr>
              <w:t>对投标文件排版规范</w:t>
            </w:r>
            <w:r>
              <w:rPr>
                <w:rFonts w:hint="eastAsia" w:ascii="宋体" w:hAnsi="宋体"/>
                <w:sz w:val="24"/>
              </w:rPr>
              <w:t>、</w:t>
            </w:r>
            <w:r>
              <w:rPr>
                <w:rFonts w:ascii="宋体" w:hAnsi="宋体"/>
                <w:sz w:val="24"/>
              </w:rPr>
              <w:t>可读性情况评定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15</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ascii="宋体" w:hAnsi="宋体"/>
                <w:sz w:val="24"/>
              </w:rPr>
              <w:t>政策加分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0.5</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投标人是国家认定的不发达地区或少数民族地区企业的加0.5分。</w:t>
            </w:r>
          </w:p>
        </w:tc>
      </w:tr>
    </w:tbl>
    <w:p>
      <w:pPr>
        <w:spacing w:line="440" w:lineRule="exact"/>
        <w:ind w:firstLine="414"/>
        <w:rPr>
          <w:rFonts w:ascii="宋体" w:cs="宋体"/>
        </w:rPr>
      </w:pPr>
      <w:r>
        <w:rPr>
          <w:rFonts w:hint="eastAsia" w:ascii="宋体" w:cs="宋体"/>
        </w:rPr>
        <w:t>30.3投标不足三家后续处理</w:t>
      </w:r>
    </w:p>
    <w:p>
      <w:pPr>
        <w:spacing w:line="440" w:lineRule="exact"/>
        <w:ind w:firstLine="414"/>
        <w:rPr>
          <w:rFonts w:hint="eastAsia" w:ascii="宋体" w:cs="宋体"/>
        </w:rPr>
      </w:pPr>
      <w:r>
        <w:rPr>
          <w:rFonts w:hint="eastAsia" w:ascii="宋体" w:cs="宋体"/>
        </w:rPr>
        <w:tab/>
      </w:r>
      <w:r>
        <w:rPr>
          <w:rFonts w:hint="eastAsia" w:ascii="宋体" w:cs="宋体"/>
        </w:rPr>
        <w:t>30.3.1投标供应商不足三家、或评审过程中发生有效投标不足三家的，评审专家须重点审查招标公告时间和程序是否符合规定，供应商资格条件、采购需求和评审标准是否存在不合理条款，并出具审查意见和修改建议。存在不合理条款的，应按审查意见和建议修改招标文件后重新组织招标。没有不合理条款的，按以下原则处理：</w:t>
      </w:r>
    </w:p>
    <w:p>
      <w:pPr>
        <w:spacing w:line="440" w:lineRule="exact"/>
        <w:ind w:firstLine="414"/>
        <w:rPr>
          <w:rFonts w:hint="eastAsia" w:ascii="宋体" w:cs="宋体"/>
        </w:rPr>
      </w:pPr>
      <w:r>
        <w:rPr>
          <w:rFonts w:hint="eastAsia" w:ascii="宋体" w:cs="宋体"/>
        </w:rPr>
        <w:t>（1）单个标包预算金额不到公开招标数额标准，由采购人提出书面申请，经招标方分管领导同意：2家供应商具有竞争性的，可以根据“浙财采监字[2007]2号”文件规定继续按原程序进行2家供应商评审，或者比照竞争性磋商（综合评分法适用），或者比照竞争性谈判（最低评标价法适用）；1家供应商可以进行单一来源采购。</w:t>
      </w:r>
    </w:p>
    <w:p>
      <w:pPr>
        <w:spacing w:line="440" w:lineRule="exact"/>
        <w:ind w:firstLine="414"/>
        <w:rPr>
          <w:rFonts w:hint="eastAsia" w:ascii="宋体" w:cs="宋体"/>
        </w:rPr>
      </w:pPr>
      <w:r>
        <w:rPr>
          <w:rFonts w:hint="eastAsia" w:ascii="宋体" w:cs="宋体"/>
        </w:rPr>
        <w:t>（2）其他情形的，后续程序终止，除采购任务取消外，招标方将重新组织招标或依法经同级财政部门批准采取其他方式组织采购。</w:t>
      </w:r>
    </w:p>
    <w:p>
      <w:pPr>
        <w:spacing w:line="440" w:lineRule="exact"/>
        <w:ind w:firstLine="414"/>
        <w:rPr>
          <w:rFonts w:hint="eastAsia" w:ascii="宋体" w:cs="宋体"/>
        </w:rPr>
      </w:pPr>
      <w:r>
        <w:rPr>
          <w:rFonts w:hint="eastAsia" w:ascii="宋体" w:cs="宋体"/>
        </w:rPr>
        <w:t>30.3.2竞争性谈判（磋商）程序：</w:t>
      </w:r>
    </w:p>
    <w:p>
      <w:pPr>
        <w:spacing w:line="440" w:lineRule="exact"/>
        <w:ind w:firstLine="414"/>
        <w:rPr>
          <w:rFonts w:hint="eastAsia" w:ascii="宋体" w:cs="宋体"/>
        </w:rPr>
      </w:pPr>
      <w:r>
        <w:rPr>
          <w:rFonts w:hint="eastAsia" w:ascii="宋体" w:cs="宋体"/>
        </w:rPr>
        <w:t xml:space="preserve">（1）招标项目的评审委员会转为竞争性谈判（磋商）的评审小组 </w:t>
      </w:r>
    </w:p>
    <w:p>
      <w:pPr>
        <w:spacing w:line="440" w:lineRule="exact"/>
        <w:ind w:firstLine="414"/>
        <w:rPr>
          <w:rFonts w:hint="eastAsia" w:ascii="宋体" w:cs="宋体"/>
        </w:rPr>
      </w:pPr>
      <w:r>
        <w:rPr>
          <w:rFonts w:hint="eastAsia" w:ascii="宋体" w:cs="宋体"/>
        </w:rPr>
        <w:t>（2）评审小组确认原招标文件为竞争性谈判（磋商）文件；</w:t>
      </w:r>
    </w:p>
    <w:p>
      <w:pPr>
        <w:spacing w:line="440" w:lineRule="exact"/>
        <w:ind w:firstLine="414"/>
        <w:rPr>
          <w:rFonts w:hint="eastAsia" w:ascii="宋体" w:cs="宋体"/>
        </w:rPr>
      </w:pPr>
      <w:r>
        <w:rPr>
          <w:rFonts w:hint="eastAsia" w:ascii="宋体" w:cs="宋体"/>
        </w:rPr>
        <w:t>（3）供应商的投标文件转为竞争性谈判（磋商）的首次响应文件；</w:t>
      </w:r>
    </w:p>
    <w:p>
      <w:pPr>
        <w:spacing w:line="440" w:lineRule="exact"/>
        <w:ind w:firstLine="414"/>
        <w:rPr>
          <w:rFonts w:hint="eastAsia" w:ascii="宋体" w:cs="宋体"/>
        </w:rPr>
      </w:pPr>
      <w:r>
        <w:rPr>
          <w:rFonts w:hint="eastAsia" w:ascii="宋体" w:cs="宋体"/>
        </w:rPr>
        <w:t>（4）评审小组所有成员应当集中与单一供应商分别进行谈判（磋商），并给予所有参加谈判（磋商）的供应商平等的谈判（磋商）机会；</w:t>
      </w:r>
    </w:p>
    <w:p>
      <w:pPr>
        <w:spacing w:line="440" w:lineRule="exact"/>
        <w:ind w:firstLine="414"/>
        <w:rPr>
          <w:rFonts w:hint="eastAsia" w:ascii="宋体" w:cs="宋体"/>
        </w:rPr>
      </w:pPr>
      <w:r>
        <w:rPr>
          <w:rFonts w:hint="eastAsia" w:ascii="宋体" w:cs="宋体"/>
        </w:rPr>
        <w:t>（5）谈判（磋商）结束后，评审小组应当要求所有继续参加谈判的供应商在规定时间内提交最后报价。</w:t>
      </w:r>
    </w:p>
    <w:p>
      <w:pPr>
        <w:spacing w:line="440" w:lineRule="exact"/>
        <w:ind w:firstLine="414"/>
        <w:rPr>
          <w:rFonts w:hint="eastAsia" w:ascii="宋体" w:cs="宋体"/>
        </w:rPr>
      </w:pPr>
      <w:r>
        <w:rPr>
          <w:rFonts w:hint="eastAsia" w:ascii="宋体" w:cs="宋体"/>
        </w:rPr>
        <w:t>（6）竞争性谈判按照最低评标价法确定成交供应商，竞争性磋商按照综合评分法确定成交供应商。</w:t>
      </w:r>
    </w:p>
    <w:p>
      <w:pPr>
        <w:spacing w:line="440" w:lineRule="exact"/>
        <w:ind w:firstLine="414"/>
        <w:rPr>
          <w:rFonts w:hint="eastAsia" w:ascii="宋体" w:cs="宋体"/>
        </w:rPr>
      </w:pPr>
      <w:r>
        <w:rPr>
          <w:rFonts w:hint="eastAsia" w:ascii="宋体" w:cs="宋体"/>
        </w:rPr>
        <w:t>30.3.3单一来源采购程序：</w:t>
      </w:r>
    </w:p>
    <w:p>
      <w:pPr>
        <w:spacing w:line="440" w:lineRule="exact"/>
        <w:ind w:firstLine="414"/>
        <w:rPr>
          <w:rFonts w:hint="eastAsia" w:ascii="宋体" w:cs="宋体"/>
        </w:rPr>
      </w:pPr>
      <w:r>
        <w:rPr>
          <w:rFonts w:hint="eastAsia" w:ascii="宋体" w:cs="宋体"/>
        </w:rPr>
        <w:t>（1）招标项目的评审委员会转为单一来源采购的评审小组</w:t>
      </w:r>
    </w:p>
    <w:p>
      <w:pPr>
        <w:spacing w:line="440" w:lineRule="exact"/>
        <w:ind w:firstLine="414"/>
        <w:rPr>
          <w:rFonts w:hint="eastAsia" w:ascii="宋体" w:cs="宋体"/>
        </w:rPr>
      </w:pPr>
      <w:r>
        <w:rPr>
          <w:rFonts w:hint="eastAsia" w:ascii="宋体" w:cs="宋体"/>
        </w:rPr>
        <w:t>（2）评审小组确认原招标文件为单一来源采购文件；</w:t>
      </w:r>
    </w:p>
    <w:p>
      <w:pPr>
        <w:spacing w:line="440" w:lineRule="exact"/>
        <w:ind w:firstLine="414"/>
        <w:rPr>
          <w:rFonts w:hint="eastAsia" w:ascii="宋体" w:cs="宋体"/>
        </w:rPr>
      </w:pPr>
      <w:r>
        <w:rPr>
          <w:rFonts w:hint="eastAsia" w:ascii="宋体" w:cs="宋体"/>
        </w:rPr>
        <w:t>（3）供应商的投标文件转为单一来源采购的首次响应文件；</w:t>
      </w:r>
    </w:p>
    <w:p>
      <w:pPr>
        <w:spacing w:line="440" w:lineRule="exact"/>
        <w:ind w:firstLine="414"/>
        <w:rPr>
          <w:rFonts w:hint="eastAsia" w:ascii="宋体" w:cs="宋体"/>
        </w:rPr>
      </w:pPr>
      <w:r>
        <w:rPr>
          <w:rFonts w:hint="eastAsia" w:ascii="宋体" w:cs="宋体"/>
        </w:rPr>
        <w:t>（4）评审小组与供应商协商确定合理的成交价格。</w:t>
      </w:r>
    </w:p>
    <w:p>
      <w:pPr>
        <w:spacing w:line="450" w:lineRule="atLeast"/>
        <w:ind w:firstLine="315" w:firstLineChars="150"/>
        <w:rPr>
          <w:rFonts w:ascii="宋体" w:cs="宋体"/>
        </w:rPr>
      </w:pPr>
      <w:r>
        <w:rPr>
          <w:rFonts w:hint="eastAsia" w:ascii="宋体" w:cs="宋体"/>
        </w:rPr>
        <w:t>31．定标</w:t>
      </w:r>
    </w:p>
    <w:p>
      <w:pPr>
        <w:spacing w:line="450" w:lineRule="atLeast"/>
        <w:ind w:firstLine="420" w:firstLineChars="200"/>
        <w:rPr>
          <w:rFonts w:ascii="宋体" w:cs="宋体"/>
        </w:rPr>
      </w:pPr>
      <w:r>
        <w:rPr>
          <w:rFonts w:hint="eastAsia" w:ascii="宋体" w:cs="宋体"/>
        </w:rPr>
        <w:t>31.1评标委员会依据本须知第30项规定的评标方法进行评审和比较，并根据评标方法比较评价结果从高到低进行排序，并推荐中标候选人或确定中标供应商；</w:t>
      </w:r>
    </w:p>
    <w:p>
      <w:pPr>
        <w:spacing w:line="450" w:lineRule="atLeast"/>
        <w:ind w:firstLine="420" w:firstLineChars="200"/>
        <w:rPr>
          <w:rFonts w:ascii="宋体" w:cs="宋体"/>
          <w:u w:val="single"/>
        </w:rPr>
      </w:pPr>
      <w:r>
        <w:rPr>
          <w:rFonts w:hint="eastAsia" w:ascii="宋体" w:cs="宋体"/>
          <w:u w:val="single"/>
        </w:rPr>
        <w:t>采用综合评分法的，按评审后得分（保留二位小数）由高到低顺序排列。得分相同的，按投标报价由低到高顺序排列。得分且投标报价相同的，按技术指标优劣顺序排列。</w:t>
      </w:r>
    </w:p>
    <w:p>
      <w:pPr>
        <w:spacing w:line="450" w:lineRule="atLeast"/>
        <w:ind w:firstLine="420" w:firstLineChars="200"/>
        <w:rPr>
          <w:rFonts w:ascii="宋体" w:cs="宋体"/>
        </w:rPr>
      </w:pPr>
      <w:r>
        <w:rPr>
          <w:rFonts w:hint="eastAsia" w:ascii="宋体" w:cs="宋体"/>
        </w:rPr>
        <w:t>32．编写评标报告</w:t>
      </w:r>
    </w:p>
    <w:p>
      <w:pPr>
        <w:spacing w:line="450" w:lineRule="atLeast"/>
        <w:ind w:firstLine="420" w:firstLineChars="200"/>
        <w:rPr>
          <w:rFonts w:ascii="宋体" w:cs="宋体"/>
        </w:rPr>
      </w:pPr>
      <w:r>
        <w:rPr>
          <w:rFonts w:hint="eastAsia" w:ascii="宋体" w:cs="宋体"/>
        </w:rPr>
        <w:t>32.1评标报告是评标委员会根据全体评标成员签字的原始评标记录和评标结果编写的报告，评标报告由评标委员会全体成员签字。对评标结论持有异议的评标委员会成员可以书面方式阐述其不同意见和理由。评标委员会拒绝在评标报告上签字且不陈述其不同意见和理由的，视为同意评标结论。评标委员会应当对此作出书面说明并记录在案。</w:t>
      </w:r>
    </w:p>
    <w:p>
      <w:pPr>
        <w:spacing w:line="450" w:lineRule="atLeast"/>
        <w:ind w:firstLine="420" w:firstLineChars="200"/>
        <w:rPr>
          <w:rFonts w:ascii="宋体" w:cs="宋体"/>
        </w:rPr>
      </w:pPr>
      <w:r>
        <w:rPr>
          <w:rFonts w:hint="eastAsia" w:ascii="宋体" w:cs="宋体"/>
        </w:rPr>
        <w:t>33．中标、成交的确定及公告</w:t>
      </w:r>
    </w:p>
    <w:p>
      <w:pPr>
        <w:spacing w:line="440" w:lineRule="exact"/>
        <w:ind w:firstLine="420" w:firstLineChars="200"/>
        <w:rPr>
          <w:rFonts w:ascii="宋体" w:cs="宋体"/>
        </w:rPr>
      </w:pPr>
      <w:r>
        <w:rPr>
          <w:rFonts w:ascii="宋体" w:cs="宋体"/>
        </w:rPr>
        <w:t>33.1</w:t>
      </w:r>
      <w:r>
        <w:rPr>
          <w:rFonts w:hint="eastAsia" w:ascii="宋体" w:cs="宋体"/>
        </w:rPr>
        <w:t>中标、成交确定的形式有二种：一种是经采购人授权，由评审委员会直接确定中标人；另一种是由采购人根据评标委员会评审报告，在评审报告推荐的中标侯选人中，按顺序确定中标人。</w:t>
      </w:r>
    </w:p>
    <w:p>
      <w:pPr>
        <w:spacing w:line="450" w:lineRule="atLeast"/>
        <w:ind w:firstLine="420" w:firstLineChars="200"/>
        <w:rPr>
          <w:rFonts w:ascii="宋体" w:cs="宋体"/>
        </w:rPr>
      </w:pPr>
      <w:r>
        <w:rPr>
          <w:rFonts w:ascii="宋体" w:cs="宋体"/>
        </w:rPr>
        <w:t xml:space="preserve">33.2 </w:t>
      </w:r>
      <w:r>
        <w:rPr>
          <w:rFonts w:hint="eastAsia" w:ascii="宋体" w:cs="宋体"/>
        </w:rPr>
        <w:t>中标、成交确定后，宁波市政府采购中心将在浙江政府采购网(www.zjzfcg.gov.cn)上发布采购结果公告。</w:t>
      </w:r>
    </w:p>
    <w:p>
      <w:pPr>
        <w:spacing w:line="450" w:lineRule="atLeast"/>
        <w:ind w:firstLine="420" w:firstLineChars="200"/>
        <w:rPr>
          <w:rFonts w:ascii="宋体" w:cs="宋体"/>
        </w:rPr>
      </w:pPr>
      <w:r>
        <w:rPr>
          <w:rFonts w:hint="eastAsia" w:ascii="宋体" w:cs="宋体"/>
        </w:rPr>
        <w:t>34．中标通知书</w:t>
      </w:r>
    </w:p>
    <w:p>
      <w:pPr>
        <w:spacing w:line="450" w:lineRule="atLeast"/>
        <w:ind w:firstLine="420" w:firstLineChars="200"/>
        <w:rPr>
          <w:rFonts w:ascii="宋体" w:cs="宋体"/>
        </w:rPr>
      </w:pPr>
      <w:r>
        <w:rPr>
          <w:rFonts w:ascii="宋体" w:cs="宋体"/>
        </w:rPr>
        <w:t>34.1</w:t>
      </w:r>
      <w:r>
        <w:rPr>
          <w:rFonts w:hint="eastAsia" w:ascii="宋体" w:cs="宋体"/>
        </w:rPr>
        <w:t>中标人确定后，宁波市政府采购中心将向中标人发出《中标通知书》。</w:t>
      </w:r>
    </w:p>
    <w:p>
      <w:pPr>
        <w:spacing w:line="450" w:lineRule="atLeast"/>
        <w:ind w:firstLine="420" w:firstLineChars="200"/>
        <w:rPr>
          <w:rFonts w:ascii="宋体" w:cs="宋体"/>
        </w:rPr>
      </w:pPr>
      <w:r>
        <w:rPr>
          <w:rFonts w:hint="eastAsia" w:ascii="宋体" w:cs="宋体"/>
        </w:rPr>
        <w:t>34.2中标通知书是合同的重要组成部分。</w:t>
      </w:r>
    </w:p>
    <w:p>
      <w:pPr>
        <w:pStyle w:val="4"/>
        <w:spacing w:before="120" w:after="120"/>
        <w:rPr>
          <w:rFonts w:cs="宋体"/>
          <w:sz w:val="28"/>
          <w:szCs w:val="28"/>
        </w:rPr>
      </w:pPr>
      <w:r>
        <w:rPr>
          <w:rFonts w:hint="eastAsia" w:cs="宋体"/>
          <w:sz w:val="28"/>
          <w:szCs w:val="28"/>
        </w:rPr>
        <w:t>九、合同的授予</w:t>
      </w:r>
    </w:p>
    <w:p>
      <w:pPr>
        <w:spacing w:line="450" w:lineRule="atLeast"/>
        <w:ind w:firstLine="420" w:firstLineChars="200"/>
        <w:rPr>
          <w:rFonts w:ascii="宋体" w:cs="宋体"/>
        </w:rPr>
      </w:pPr>
      <w:r>
        <w:rPr>
          <w:rFonts w:hint="eastAsia" w:ascii="宋体" w:cs="宋体"/>
        </w:rPr>
        <w:t>35．合同授予标准</w:t>
      </w:r>
    </w:p>
    <w:p>
      <w:pPr>
        <w:spacing w:line="450" w:lineRule="atLeast"/>
        <w:ind w:firstLine="420" w:firstLineChars="200"/>
        <w:rPr>
          <w:rFonts w:ascii="宋体" w:cs="宋体"/>
        </w:rPr>
      </w:pPr>
      <w:r>
        <w:rPr>
          <w:rFonts w:hint="eastAsia" w:ascii="宋体" w:cs="宋体"/>
        </w:rPr>
        <w:t>35.1本项目的合同将授予按本须知八所确定的中标人。</w:t>
      </w:r>
    </w:p>
    <w:p>
      <w:pPr>
        <w:spacing w:line="450" w:lineRule="atLeast"/>
        <w:ind w:firstLine="420" w:firstLineChars="200"/>
        <w:rPr>
          <w:rFonts w:ascii="宋体" w:cs="宋体"/>
        </w:rPr>
      </w:pPr>
      <w:r>
        <w:rPr>
          <w:rFonts w:ascii="宋体" w:cs="宋体"/>
        </w:rPr>
        <w:t>36</w:t>
      </w:r>
      <w:r>
        <w:rPr>
          <w:rFonts w:hint="eastAsia" w:ascii="宋体" w:cs="宋体"/>
        </w:rPr>
        <w:t>．合同的签订</w:t>
      </w:r>
    </w:p>
    <w:p>
      <w:pPr>
        <w:spacing w:line="450" w:lineRule="atLeast"/>
        <w:ind w:firstLine="420" w:firstLineChars="200"/>
        <w:rPr>
          <w:rFonts w:ascii="宋体" w:cs="宋体"/>
        </w:rPr>
      </w:pPr>
      <w:r>
        <w:rPr>
          <w:rFonts w:ascii="宋体" w:cs="宋体"/>
        </w:rPr>
        <w:t>36</w:t>
      </w:r>
      <w:r>
        <w:rPr>
          <w:rFonts w:hint="eastAsia" w:ascii="宋体" w:cs="宋体"/>
        </w:rPr>
        <w:t>.1中标人须于中标通知书规定的时间内，按照招标文件和投标文件内容与采购人签订书面合同；</w:t>
      </w:r>
    </w:p>
    <w:p>
      <w:pPr>
        <w:spacing w:line="450" w:lineRule="atLeast"/>
        <w:ind w:firstLine="420" w:firstLineChars="200"/>
        <w:rPr>
          <w:rFonts w:ascii="宋体" w:cs="宋体"/>
        </w:rPr>
      </w:pPr>
      <w:r>
        <w:rPr>
          <w:rFonts w:ascii="宋体" w:cs="宋体"/>
        </w:rPr>
        <w:t>36</w:t>
      </w:r>
      <w:r>
        <w:rPr>
          <w:rFonts w:hint="eastAsia" w:ascii="宋体" w:cs="宋体"/>
        </w:rPr>
        <w:t>.2中标人无正当理由不按本投标须知第</w:t>
      </w:r>
      <w:r>
        <w:rPr>
          <w:rFonts w:ascii="宋体" w:cs="宋体"/>
        </w:rPr>
        <w:t>36</w:t>
      </w:r>
      <w:r>
        <w:rPr>
          <w:rFonts w:hint="eastAsia" w:ascii="宋体" w:cs="宋体"/>
        </w:rPr>
        <w:t>.1款的规定与采购人签订合同的，中标、成交无效；同时承担相应法律责任；</w:t>
      </w:r>
    </w:p>
    <w:p>
      <w:pPr>
        <w:spacing w:line="450" w:lineRule="atLeast"/>
        <w:ind w:firstLine="420" w:firstLineChars="200"/>
        <w:rPr>
          <w:rFonts w:ascii="宋体" w:cs="宋体"/>
        </w:rPr>
      </w:pPr>
      <w:r>
        <w:rPr>
          <w:rFonts w:ascii="宋体" w:cs="宋体"/>
        </w:rPr>
        <w:t>37</w:t>
      </w:r>
      <w:r>
        <w:rPr>
          <w:rFonts w:hint="eastAsia" w:ascii="宋体" w:cs="宋体"/>
        </w:rPr>
        <w:t>．履约担保</w:t>
      </w:r>
    </w:p>
    <w:p>
      <w:pPr>
        <w:spacing w:line="450" w:lineRule="atLeast"/>
        <w:ind w:firstLine="420" w:firstLineChars="200"/>
        <w:rPr>
          <w:rFonts w:ascii="宋体" w:cs="宋体"/>
        </w:rPr>
      </w:pPr>
      <w:r>
        <w:rPr>
          <w:rFonts w:ascii="宋体" w:cs="宋体"/>
        </w:rPr>
        <w:t>37</w:t>
      </w:r>
      <w:r>
        <w:rPr>
          <w:rFonts w:hint="eastAsia" w:ascii="宋体" w:cs="宋体"/>
        </w:rPr>
        <w:t>.1在签订项目合同的同时，中标人应按前附表的规定向采购单位提交履约保证金，履约保证金可采用银行保函的方式。</w:t>
      </w:r>
    </w:p>
    <w:p>
      <w:pPr>
        <w:tabs>
          <w:tab w:val="left" w:pos="0"/>
        </w:tabs>
        <w:spacing w:line="500" w:lineRule="exact"/>
        <w:ind w:firstLine="420"/>
        <w:rPr>
          <w:rFonts w:ascii="宋体" w:cs="宋体"/>
        </w:rPr>
      </w:pPr>
      <w:r>
        <w:rPr>
          <w:rFonts w:ascii="宋体" w:cs="宋体"/>
        </w:rPr>
        <w:t>37</w:t>
      </w:r>
      <w:r>
        <w:rPr>
          <w:rFonts w:hint="eastAsia" w:ascii="宋体" w:cs="宋体"/>
        </w:rPr>
        <w:t>.2如果中标人不能按本须知第</w:t>
      </w:r>
      <w:r>
        <w:rPr>
          <w:rFonts w:ascii="宋体" w:cs="宋体"/>
        </w:rPr>
        <w:t>37</w:t>
      </w:r>
      <w:r>
        <w:rPr>
          <w:rFonts w:hint="eastAsia" w:ascii="宋体" w:cs="宋体"/>
        </w:rPr>
        <w:t>.1款的规定执行，采购人有权撤销其中标资格；给采购人造成的损失，还应当予以赔偿。在这种情况下，招标人可另选中标方或另行招标。</w:t>
      </w:r>
    </w:p>
    <w:p>
      <w:pPr>
        <w:tabs>
          <w:tab w:val="left" w:pos="0"/>
        </w:tabs>
        <w:spacing w:line="500" w:lineRule="exact"/>
        <w:ind w:firstLine="420"/>
        <w:rPr>
          <w:rFonts w:ascii="宋体" w:cs="宋体"/>
        </w:rPr>
      </w:pPr>
      <w:r>
        <w:rPr>
          <w:rFonts w:ascii="宋体" w:cs="宋体"/>
        </w:rPr>
        <w:t>37</w:t>
      </w:r>
      <w:r>
        <w:rPr>
          <w:rFonts w:hint="eastAsia" w:ascii="宋体" w:cs="宋体"/>
        </w:rPr>
        <w:t>.3合同终止并已将物业及有关资料移交给接管人后，采购人在七日内办理退还履约担保手续。</w:t>
      </w:r>
    </w:p>
    <w:p>
      <w:pPr>
        <w:tabs>
          <w:tab w:val="left" w:pos="0"/>
        </w:tabs>
        <w:spacing w:line="500" w:lineRule="exact"/>
        <w:ind w:firstLine="420"/>
        <w:rPr>
          <w:rFonts w:ascii="宋体" w:cs="宋体"/>
        </w:rPr>
      </w:pPr>
      <w:r>
        <w:rPr>
          <w:rFonts w:hint="eastAsia" w:ascii="宋体" w:cs="宋体"/>
        </w:rPr>
        <w:t>38．中标服务费</w:t>
      </w:r>
    </w:p>
    <w:p>
      <w:pPr>
        <w:spacing w:line="450" w:lineRule="atLeast"/>
        <w:ind w:firstLine="420" w:firstLineChars="200"/>
        <w:rPr>
          <w:rFonts w:ascii="宋体" w:cs="宋体"/>
        </w:rPr>
      </w:pPr>
      <w:r>
        <w:rPr>
          <w:rFonts w:hint="eastAsia" w:ascii="宋体" w:cs="宋体"/>
        </w:rPr>
        <w:t>38.1宁波市政府采购中心不收取中标服务费，报价时投标人应充分考虑这个因素。</w:t>
      </w:r>
    </w:p>
    <w:p>
      <w:pPr>
        <w:pStyle w:val="4"/>
        <w:spacing w:before="120" w:after="120"/>
        <w:rPr>
          <w:rFonts w:cs="宋体"/>
          <w:sz w:val="28"/>
          <w:szCs w:val="28"/>
        </w:rPr>
      </w:pPr>
      <w:bookmarkStart w:id="7" w:name="_Toc2583663"/>
      <w:bookmarkStart w:id="8" w:name="_Toc518923102"/>
      <w:r>
        <w:rPr>
          <w:rFonts w:hint="eastAsia" w:cs="宋体"/>
          <w:sz w:val="28"/>
          <w:szCs w:val="28"/>
        </w:rPr>
        <w:t>十、质疑和投诉</w:t>
      </w:r>
    </w:p>
    <w:p>
      <w:pPr>
        <w:spacing w:line="450" w:lineRule="atLeast"/>
        <w:ind w:firstLine="420" w:firstLineChars="200"/>
        <w:rPr>
          <w:rFonts w:ascii="宋体" w:cs="宋体"/>
        </w:rPr>
      </w:pPr>
      <w:r>
        <w:rPr>
          <w:rFonts w:ascii="宋体" w:cs="宋体"/>
        </w:rPr>
        <w:t>39.</w:t>
      </w:r>
      <w:r>
        <w:rPr>
          <w:rFonts w:hint="eastAsia" w:ascii="宋体" w:cs="宋体"/>
        </w:rPr>
        <w:t>质疑的提出与接收</w:t>
      </w:r>
      <w:bookmarkEnd w:id="7"/>
      <w:bookmarkEnd w:id="8"/>
    </w:p>
    <w:p>
      <w:pPr>
        <w:spacing w:line="450" w:lineRule="atLeast"/>
        <w:ind w:firstLine="420" w:firstLineChars="200"/>
        <w:rPr>
          <w:rFonts w:ascii="宋体" w:cs="宋体"/>
        </w:rPr>
      </w:pPr>
      <w:r>
        <w:rPr>
          <w:rFonts w:ascii="宋体" w:cs="宋体"/>
        </w:rPr>
        <w:t>39.1</w:t>
      </w:r>
      <w:r>
        <w:rPr>
          <w:rFonts w:hint="eastAsia" w:ascii="宋体" w:cs="宋体"/>
        </w:rPr>
        <w:t>投标人认为招标文件、招标过程和中标结果使自己的权益受到损害的，可以根据《中华人民共和国政府采购法》、《中华人民共和国政府采购法实施条例》和《政府采购质疑和投诉办法》的有关规定，依法向宁波市政府采购中心提出质疑。</w:t>
      </w:r>
    </w:p>
    <w:p>
      <w:pPr>
        <w:spacing w:line="450" w:lineRule="atLeast"/>
        <w:ind w:firstLine="420" w:firstLineChars="200"/>
        <w:rPr>
          <w:rFonts w:ascii="宋体" w:cs="宋体"/>
        </w:rPr>
      </w:pPr>
      <w:r>
        <w:rPr>
          <w:rFonts w:ascii="宋体" w:cs="宋体"/>
        </w:rPr>
        <w:t>39.2</w:t>
      </w:r>
      <w:r>
        <w:rPr>
          <w:rFonts w:hint="eastAsia" w:ascii="宋体" w:cs="宋体"/>
        </w:rPr>
        <w:t>质疑供应商应按照财政部制定的《政府采购质疑函范本》格式（可从</w:t>
      </w:r>
      <w:r>
        <w:rPr>
          <w:rFonts w:ascii="宋体" w:cs="宋体"/>
        </w:rPr>
        <w:t>www.nbzfcg.cn</w:t>
      </w:r>
      <w:r>
        <w:rPr>
          <w:rFonts w:hint="eastAsia" w:ascii="宋体" w:cs="宋体"/>
        </w:rPr>
        <w:t>网站下载）和《政府采购质疑和投诉办法》的要求，在法定质疑期内以书面形式提出质疑，针对同一采购程序环节的质疑应一次性提出。超出法定质疑期提交的质疑将被拒绝。重复或分次提出的、内容或形式不符合《政府采购质疑和投诉办法》的，质疑供应商将依法承担不利后果。</w:t>
      </w:r>
    </w:p>
    <w:p>
      <w:pPr>
        <w:spacing w:line="450" w:lineRule="atLeast"/>
        <w:ind w:firstLine="420" w:firstLineChars="200"/>
        <w:rPr>
          <w:rFonts w:ascii="宋体" w:cs="宋体"/>
        </w:rPr>
      </w:pPr>
      <w:r>
        <w:rPr>
          <w:rFonts w:ascii="宋体" w:cs="宋体"/>
        </w:rPr>
        <w:t>39.3</w:t>
      </w:r>
      <w:r>
        <w:rPr>
          <w:rFonts w:hint="eastAsia" w:ascii="宋体" w:cs="宋体"/>
        </w:rPr>
        <w:t>质疑函接收联系人、联系电话和通讯地址见“投标须知前附表”。</w:t>
      </w:r>
    </w:p>
    <w:p>
      <w:pPr>
        <w:spacing w:line="450" w:lineRule="atLeast"/>
        <w:ind w:firstLine="420" w:firstLineChars="200"/>
        <w:rPr>
          <w:rFonts w:ascii="宋体" w:cs="宋体"/>
        </w:rPr>
      </w:pPr>
      <w:r>
        <w:rPr>
          <w:rFonts w:ascii="宋体" w:cs="宋体"/>
        </w:rPr>
        <w:t>40.</w:t>
      </w:r>
      <w:r>
        <w:rPr>
          <w:rFonts w:hint="eastAsia" w:ascii="宋体" w:cs="宋体"/>
        </w:rPr>
        <w:t>投诉：质疑供应商对质疑答复不满意，或者采购人、采购代理机构未在规定的时间内作出质疑答复的，可以在质疑答复期满后15个工作日内，向宁波市政府采购管理办公室提出投诉。</w:t>
      </w:r>
    </w:p>
    <w:p>
      <w:pPr>
        <w:snapToGrid w:val="0"/>
        <w:spacing w:line="480" w:lineRule="exact"/>
        <w:jc w:val="center"/>
        <w:rPr>
          <w:rFonts w:ascii="宋体"/>
          <w:b/>
          <w:sz w:val="32"/>
        </w:rPr>
      </w:pPr>
      <w:r>
        <w:rPr>
          <w:rFonts w:ascii="宋体" w:cs="宋体"/>
        </w:rPr>
        <w:br w:type="page"/>
      </w:r>
      <w:bookmarkStart w:id="9" w:name="_Toc471735926"/>
      <w:r>
        <w:rPr>
          <w:rFonts w:ascii="宋体" w:hAnsi="宋体"/>
          <w:b/>
          <w:sz w:val="48"/>
          <w:szCs w:val="48"/>
        </w:rPr>
        <w:t>第三</w:t>
      </w:r>
      <w:r>
        <w:rPr>
          <w:rFonts w:hint="eastAsia" w:ascii="宋体" w:hAnsi="宋体"/>
          <w:b/>
          <w:sz w:val="48"/>
          <w:szCs w:val="48"/>
        </w:rPr>
        <w:t>章</w:t>
      </w:r>
      <w:r>
        <w:rPr>
          <w:rFonts w:ascii="宋体" w:hAnsi="宋体"/>
          <w:b/>
          <w:sz w:val="48"/>
          <w:szCs w:val="48"/>
        </w:rPr>
        <w:t>合同条款及合同格式</w:t>
      </w:r>
      <w:bookmarkEnd w:id="9"/>
    </w:p>
    <w:p>
      <w:pPr>
        <w:jc w:val="center"/>
        <w:rPr>
          <w:rFonts w:ascii="宋体"/>
          <w:b/>
          <w:sz w:val="32"/>
        </w:rPr>
      </w:pPr>
    </w:p>
    <w:p>
      <w:pPr>
        <w:jc w:val="center"/>
        <w:rPr>
          <w:rFonts w:ascii="宋体"/>
          <w:b/>
          <w:sz w:val="30"/>
          <w:szCs w:val="30"/>
        </w:rPr>
      </w:pPr>
      <w:bookmarkStart w:id="10" w:name="bt总则"/>
      <w:bookmarkEnd w:id="10"/>
      <w:bookmarkStart w:id="11" w:name="bt商务标投标文件格式"/>
      <w:bookmarkEnd w:id="11"/>
      <w:bookmarkStart w:id="12" w:name="bt合同条款及格式"/>
      <w:bookmarkEnd w:id="12"/>
      <w:bookmarkStart w:id="13" w:name="bt投标须知前附表"/>
      <w:bookmarkEnd w:id="13"/>
      <w:bookmarkStart w:id="14" w:name="_Toc100052456"/>
      <w:bookmarkStart w:id="15" w:name="_Toc73521682"/>
      <w:bookmarkStart w:id="16" w:name="_Toc101074887"/>
      <w:bookmarkStart w:id="17" w:name="_Toc73521594"/>
      <w:bookmarkStart w:id="18" w:name="_Toc73517688"/>
      <w:bookmarkStart w:id="19" w:name="_Toc73518166"/>
      <w:r>
        <w:rPr>
          <w:rFonts w:ascii="宋体"/>
          <w:b/>
          <w:sz w:val="30"/>
          <w:szCs w:val="30"/>
        </w:rPr>
        <w:t>管理合同</w:t>
      </w:r>
    </w:p>
    <w:p>
      <w:pPr>
        <w:spacing w:line="360" w:lineRule="auto"/>
        <w:ind w:right="3"/>
        <w:jc w:val="center"/>
        <w:rPr>
          <w:rFonts w:ascii="宋体"/>
          <w:bCs/>
          <w:sz w:val="30"/>
          <w:szCs w:val="30"/>
        </w:rPr>
      </w:pPr>
      <w:r>
        <w:rPr>
          <w:rFonts w:ascii="宋体"/>
          <w:bCs/>
          <w:sz w:val="30"/>
          <w:szCs w:val="30"/>
        </w:rPr>
        <w:t>（供签约时参考）</w:t>
      </w:r>
    </w:p>
    <w:p>
      <w:pPr>
        <w:autoSpaceDE w:val="0"/>
        <w:autoSpaceDN w:val="0"/>
        <w:spacing w:line="360" w:lineRule="auto"/>
        <w:jc w:val="left"/>
        <w:rPr>
          <w:rFonts w:ascii="宋体"/>
          <w:kern w:val="0"/>
          <w:sz w:val="24"/>
          <w:u w:val="single"/>
        </w:rPr>
      </w:pPr>
      <w:r>
        <w:rPr>
          <w:rFonts w:ascii="宋体"/>
          <w:kern w:val="0"/>
          <w:sz w:val="24"/>
        </w:rPr>
        <w:t>甲方（）</w:t>
      </w:r>
    </w:p>
    <w:p>
      <w:pPr>
        <w:autoSpaceDE w:val="0"/>
        <w:autoSpaceDN w:val="0"/>
        <w:spacing w:line="360" w:lineRule="auto"/>
        <w:jc w:val="left"/>
        <w:rPr>
          <w:rFonts w:ascii="宋体"/>
          <w:kern w:val="0"/>
          <w:sz w:val="24"/>
          <w:u w:val="single"/>
        </w:rPr>
      </w:pPr>
      <w:r>
        <w:rPr>
          <w:rFonts w:ascii="宋体"/>
          <w:kern w:val="0"/>
          <w:sz w:val="24"/>
        </w:rPr>
        <w:t>乙方（中标人）</w:t>
      </w:r>
    </w:p>
    <w:p>
      <w:pPr>
        <w:spacing w:line="360" w:lineRule="auto"/>
        <w:ind w:firstLine="480" w:firstLineChars="200"/>
        <w:rPr>
          <w:rFonts w:ascii="宋体"/>
          <w:sz w:val="24"/>
        </w:rPr>
      </w:pPr>
      <w:r>
        <w:rPr>
          <w:rFonts w:ascii="宋体"/>
          <w:sz w:val="24"/>
        </w:rPr>
        <w:t>根据《中华人民共和国合同法》、《物业管理条例》等法律、法规的规定，甲、乙双方在平等、自愿的基础上，经协商一致，就以下</w:t>
      </w:r>
      <w:r>
        <w:rPr>
          <w:rFonts w:hint="eastAsia" w:ascii="宋体"/>
          <w:sz w:val="24"/>
        </w:rPr>
        <w:t>保</w:t>
      </w:r>
      <w:r>
        <w:rPr>
          <w:rFonts w:ascii="宋体"/>
          <w:sz w:val="24"/>
        </w:rPr>
        <w:t>安服务事项达成协议。</w:t>
      </w:r>
    </w:p>
    <w:p>
      <w:pPr>
        <w:tabs>
          <w:tab w:val="left" w:pos="0"/>
          <w:tab w:val="left" w:pos="360"/>
        </w:tabs>
        <w:spacing w:line="360" w:lineRule="auto"/>
        <w:rPr>
          <w:rFonts w:ascii="宋体"/>
          <w:b/>
          <w:kern w:val="0"/>
          <w:sz w:val="24"/>
        </w:rPr>
      </w:pPr>
      <w:r>
        <w:rPr>
          <w:rFonts w:hint="eastAsia" w:ascii="宋体"/>
          <w:b/>
          <w:kern w:val="0"/>
          <w:sz w:val="24"/>
        </w:rPr>
        <w:t>第一条项</w:t>
      </w:r>
      <w:r>
        <w:rPr>
          <w:rFonts w:ascii="宋体"/>
          <w:b/>
          <w:kern w:val="0"/>
          <w:sz w:val="24"/>
        </w:rPr>
        <w:t>目基本情况</w:t>
      </w:r>
    </w:p>
    <w:p>
      <w:pPr>
        <w:spacing w:line="360" w:lineRule="auto"/>
        <w:ind w:firstLine="480" w:firstLineChars="200"/>
        <w:rPr>
          <w:rFonts w:ascii="宋体"/>
          <w:kern w:val="0"/>
          <w:sz w:val="24"/>
        </w:rPr>
      </w:pPr>
      <w:r>
        <w:rPr>
          <w:rFonts w:ascii="宋体"/>
          <w:kern w:val="0"/>
          <w:sz w:val="24"/>
        </w:rPr>
        <w:t>详见合同附件。</w:t>
      </w:r>
    </w:p>
    <w:p>
      <w:pPr>
        <w:spacing w:line="360" w:lineRule="auto"/>
        <w:rPr>
          <w:rFonts w:ascii="宋体"/>
          <w:kern w:val="0"/>
          <w:sz w:val="24"/>
        </w:rPr>
      </w:pPr>
    </w:p>
    <w:p>
      <w:pPr>
        <w:spacing w:line="360" w:lineRule="auto"/>
        <w:rPr>
          <w:rFonts w:ascii="宋体"/>
          <w:b/>
          <w:kern w:val="0"/>
          <w:sz w:val="24"/>
        </w:rPr>
      </w:pPr>
      <w:r>
        <w:rPr>
          <w:rFonts w:ascii="宋体"/>
          <w:b/>
          <w:kern w:val="0"/>
          <w:sz w:val="24"/>
        </w:rPr>
        <w:t>第二条管理服务范围</w:t>
      </w:r>
    </w:p>
    <w:p>
      <w:pPr>
        <w:spacing w:line="360" w:lineRule="auto"/>
        <w:ind w:firstLine="480" w:firstLineChars="200"/>
        <w:rPr>
          <w:rFonts w:ascii="宋体" w:hAnsi="宋体"/>
          <w:b/>
          <w:kern w:val="0"/>
          <w:sz w:val="24"/>
        </w:rPr>
      </w:pPr>
      <w:r>
        <w:rPr>
          <w:rFonts w:ascii="宋体" w:hAnsi="宋体"/>
          <w:sz w:val="24"/>
        </w:rPr>
        <w:t>管理服务范围是指</w:t>
      </w:r>
      <w:r>
        <w:rPr>
          <w:rFonts w:ascii="宋体"/>
          <w:kern w:val="0"/>
          <w:sz w:val="24"/>
        </w:rPr>
        <w:t>甲方委托管理范围内的</w:t>
      </w:r>
      <w:r>
        <w:rPr>
          <w:rFonts w:hint="eastAsia" w:ascii="宋体" w:hAnsi="宋体"/>
          <w:sz w:val="24"/>
        </w:rPr>
        <w:t>安</w:t>
      </w:r>
      <w:r>
        <w:rPr>
          <w:rFonts w:ascii="宋体" w:hAnsi="宋体"/>
          <w:sz w:val="24"/>
        </w:rPr>
        <w:t>保服务，不涉及资产的所有权。</w:t>
      </w:r>
    </w:p>
    <w:p>
      <w:pPr>
        <w:autoSpaceDE w:val="0"/>
        <w:autoSpaceDN w:val="0"/>
        <w:spacing w:line="360" w:lineRule="auto"/>
        <w:jc w:val="left"/>
        <w:rPr>
          <w:rFonts w:ascii="宋体"/>
          <w:sz w:val="24"/>
          <w:u w:val="single"/>
        </w:rPr>
      </w:pPr>
    </w:p>
    <w:p>
      <w:pPr>
        <w:spacing w:line="360" w:lineRule="auto"/>
        <w:ind w:left="602" w:hanging="602" w:hangingChars="250"/>
        <w:rPr>
          <w:rFonts w:ascii="宋体"/>
          <w:b/>
          <w:sz w:val="24"/>
        </w:rPr>
      </w:pPr>
      <w:r>
        <w:rPr>
          <w:rFonts w:ascii="宋体"/>
          <w:b/>
          <w:sz w:val="24"/>
        </w:rPr>
        <w:t>第三条管理服务</w:t>
      </w:r>
      <w:r>
        <w:rPr>
          <w:rFonts w:hint="eastAsia" w:ascii="宋体"/>
          <w:b/>
          <w:sz w:val="24"/>
        </w:rPr>
        <w:t>内</w:t>
      </w:r>
      <w:r>
        <w:rPr>
          <w:rFonts w:ascii="宋体"/>
          <w:b/>
          <w:sz w:val="24"/>
        </w:rPr>
        <w:t>容</w:t>
      </w:r>
      <w:r>
        <w:rPr>
          <w:rFonts w:hint="eastAsia" w:ascii="宋体"/>
          <w:b/>
          <w:sz w:val="24"/>
        </w:rPr>
        <w:t xml:space="preserve"> </w:t>
      </w:r>
    </w:p>
    <w:p>
      <w:pPr>
        <w:spacing w:line="360" w:lineRule="auto"/>
        <w:ind w:firstLine="480" w:firstLineChars="200"/>
        <w:rPr>
          <w:rFonts w:hint="eastAsia" w:ascii="宋体" w:hAnsi="宋体"/>
          <w:sz w:val="24"/>
        </w:rPr>
      </w:pPr>
      <w:r>
        <w:rPr>
          <w:rFonts w:hint="eastAsia" w:ascii="宋体" w:hAnsi="宋体"/>
          <w:sz w:val="24"/>
        </w:rPr>
        <w:t>（一）</w:t>
      </w:r>
    </w:p>
    <w:p>
      <w:pPr>
        <w:spacing w:line="360" w:lineRule="auto"/>
        <w:ind w:firstLine="480" w:firstLineChars="200"/>
        <w:rPr>
          <w:rFonts w:hint="eastAsia" w:ascii="宋体" w:hAnsi="宋体"/>
          <w:sz w:val="24"/>
        </w:rPr>
      </w:pPr>
      <w:r>
        <w:rPr>
          <w:rFonts w:hint="eastAsia" w:ascii="宋体" w:hAnsi="宋体"/>
          <w:sz w:val="24"/>
        </w:rPr>
        <w:t>（二）</w:t>
      </w:r>
    </w:p>
    <w:p>
      <w:pPr>
        <w:spacing w:line="360" w:lineRule="auto"/>
        <w:ind w:firstLine="480" w:firstLineChars="200"/>
        <w:rPr>
          <w:rFonts w:ascii="宋体" w:hAnsi="宋体"/>
          <w:sz w:val="24"/>
        </w:rPr>
      </w:pPr>
      <w:r>
        <w:rPr>
          <w:rFonts w:hint="eastAsia" w:ascii="宋体" w:hAnsi="宋体"/>
          <w:sz w:val="24"/>
        </w:rPr>
        <w:t>（三）</w:t>
      </w:r>
    </w:p>
    <w:p>
      <w:pPr>
        <w:spacing w:line="360" w:lineRule="auto"/>
        <w:rPr>
          <w:rFonts w:ascii="宋体" w:hAnsi="宋体"/>
          <w:sz w:val="24"/>
          <w:u w:val="single"/>
        </w:rPr>
      </w:pPr>
      <w:r>
        <w:rPr>
          <w:rFonts w:ascii="宋体" w:hAnsi="宋体"/>
          <w:sz w:val="24"/>
        </w:rPr>
        <w:t>以上各项服务内容详见合同附件。</w:t>
      </w:r>
    </w:p>
    <w:p>
      <w:pPr>
        <w:spacing w:line="360" w:lineRule="auto"/>
        <w:rPr>
          <w:rFonts w:ascii="宋体" w:hAnsi="宋体"/>
          <w:sz w:val="24"/>
        </w:rPr>
      </w:pPr>
    </w:p>
    <w:p>
      <w:pPr>
        <w:spacing w:line="360" w:lineRule="auto"/>
        <w:rPr>
          <w:rFonts w:ascii="宋体"/>
          <w:sz w:val="24"/>
        </w:rPr>
      </w:pPr>
      <w:r>
        <w:rPr>
          <w:rFonts w:ascii="宋体"/>
          <w:b/>
          <w:sz w:val="24"/>
        </w:rPr>
        <w:t>第四条管理服务期限</w:t>
      </w:r>
    </w:p>
    <w:p>
      <w:pPr>
        <w:spacing w:line="360" w:lineRule="auto"/>
        <w:ind w:firstLine="480" w:firstLineChars="200"/>
        <w:rPr>
          <w:rFonts w:ascii="宋体" w:hAnsi="宋体"/>
          <w:sz w:val="24"/>
        </w:rPr>
      </w:pPr>
      <w:r>
        <w:rPr>
          <w:rFonts w:ascii="宋体" w:hAnsi="宋体"/>
          <w:sz w:val="24"/>
        </w:rPr>
        <w:t>管理的期限为</w:t>
      </w:r>
      <w:r>
        <w:rPr>
          <w:rFonts w:hint="eastAsia" w:ascii="宋体" w:hAnsi="宋体"/>
          <w:sz w:val="24"/>
          <w:u w:val="single"/>
        </w:rPr>
        <w:t xml:space="preserve">     </w:t>
      </w:r>
      <w:r>
        <w:rPr>
          <w:rFonts w:ascii="宋体" w:hAnsi="宋体"/>
          <w:sz w:val="24"/>
        </w:rPr>
        <w:t>年</w:t>
      </w:r>
      <w:r>
        <w:rPr>
          <w:rFonts w:hint="eastAsia" w:ascii="宋体" w:hAnsi="宋体"/>
          <w:sz w:val="24"/>
        </w:rPr>
        <w:t>。</w:t>
      </w:r>
    </w:p>
    <w:p>
      <w:pPr>
        <w:spacing w:line="360" w:lineRule="auto"/>
        <w:rPr>
          <w:rFonts w:ascii="宋体"/>
          <w:b/>
          <w:sz w:val="24"/>
        </w:rPr>
      </w:pPr>
      <w:r>
        <w:rPr>
          <w:rFonts w:ascii="宋体"/>
          <w:b/>
          <w:sz w:val="24"/>
        </w:rPr>
        <w:t>第五条管理服务的质量标准</w:t>
      </w:r>
    </w:p>
    <w:p>
      <w:pPr>
        <w:spacing w:line="360" w:lineRule="auto"/>
        <w:ind w:firstLine="480" w:firstLineChars="200"/>
        <w:rPr>
          <w:rFonts w:ascii="宋体"/>
          <w:sz w:val="24"/>
        </w:rPr>
      </w:pPr>
      <w:r>
        <w:rPr>
          <w:rFonts w:ascii="宋体"/>
          <w:sz w:val="24"/>
        </w:rPr>
        <w:t>乙方应在本合同履行期限内，对本项目的管理达到甲方在招标文件中提出的、乙方在投标文件中承诺的、以及在服务方案中具体表明的质量标准。</w:t>
      </w:r>
    </w:p>
    <w:p>
      <w:pPr>
        <w:pStyle w:val="36"/>
        <w:spacing w:line="360" w:lineRule="auto"/>
        <w:ind w:firstLine="0" w:firstLineChars="0"/>
        <w:jc w:val="left"/>
        <w:rPr>
          <w:rFonts w:ascii="宋体" w:cs="Times New Roman"/>
          <w:b/>
          <w:sz w:val="24"/>
        </w:rPr>
      </w:pPr>
      <w:r>
        <w:rPr>
          <w:rFonts w:ascii="宋体" w:cs="Times New Roman"/>
          <w:b/>
          <w:sz w:val="24"/>
        </w:rPr>
        <w:t>第六条管理费用及支付方式</w:t>
      </w:r>
    </w:p>
    <w:p>
      <w:pPr>
        <w:pStyle w:val="35"/>
        <w:spacing w:line="360" w:lineRule="auto"/>
        <w:ind w:left="279" w:leftChars="133" w:firstLine="240" w:firstLineChars="100"/>
        <w:jc w:val="left"/>
        <w:rPr>
          <w:rFonts w:ascii="宋体" w:hAnsi="宋体"/>
          <w:sz w:val="24"/>
        </w:rPr>
      </w:pPr>
      <w:r>
        <w:rPr>
          <w:rFonts w:ascii="宋体" w:hAnsi="宋体"/>
          <w:sz w:val="24"/>
        </w:rPr>
        <w:t>（一）管理费用按招标文件内容、范围，合计：大写人民币元</w:t>
      </w:r>
      <w:r>
        <w:rPr>
          <w:rFonts w:hint="eastAsia" w:ascii="宋体" w:hAnsi="宋体"/>
          <w:sz w:val="24"/>
        </w:rPr>
        <w:t>/年</w:t>
      </w:r>
      <w:r>
        <w:rPr>
          <w:rFonts w:ascii="宋体" w:hAnsi="宋体"/>
          <w:sz w:val="24"/>
        </w:rPr>
        <w:t>。</w:t>
      </w:r>
    </w:p>
    <w:p>
      <w:pPr>
        <w:pStyle w:val="35"/>
        <w:spacing w:line="360" w:lineRule="auto"/>
        <w:ind w:firstLine="480"/>
        <w:jc w:val="left"/>
        <w:rPr>
          <w:rFonts w:ascii="宋体" w:hAnsi="宋体"/>
          <w:sz w:val="24"/>
        </w:rPr>
      </w:pPr>
      <w:r>
        <w:rPr>
          <w:rFonts w:ascii="宋体" w:hAnsi="宋体"/>
          <w:sz w:val="24"/>
        </w:rPr>
        <w:t>（二）管理费支付方式</w:t>
      </w:r>
      <w:r>
        <w:rPr>
          <w:rFonts w:hint="eastAsia" w:ascii="宋体" w:hAnsi="宋体"/>
          <w:sz w:val="24"/>
        </w:rPr>
        <w:t>：</w:t>
      </w:r>
    </w:p>
    <w:p>
      <w:pPr>
        <w:pStyle w:val="35"/>
        <w:spacing w:line="360" w:lineRule="auto"/>
        <w:ind w:firstLine="480"/>
        <w:jc w:val="left"/>
        <w:rPr>
          <w:rFonts w:ascii="宋体" w:hAnsi="宋体"/>
          <w:sz w:val="24"/>
        </w:rPr>
      </w:pPr>
      <w:r>
        <w:rPr>
          <w:rFonts w:ascii="宋体" w:hAnsi="宋体"/>
          <w:sz w:val="24"/>
        </w:rPr>
        <w:t>（三）</w:t>
      </w:r>
      <w:r>
        <w:rPr>
          <w:rFonts w:hint="eastAsia" w:ascii="宋体" w:hAnsi="宋体"/>
          <w:sz w:val="24"/>
        </w:rPr>
        <w:t>合同期内价格调整：　</w:t>
      </w:r>
    </w:p>
    <w:p>
      <w:pPr>
        <w:pStyle w:val="35"/>
        <w:spacing w:line="360" w:lineRule="auto"/>
        <w:ind w:firstLine="480"/>
        <w:jc w:val="left"/>
        <w:rPr>
          <w:rFonts w:ascii="宋体" w:hAnsi="宋体"/>
          <w:sz w:val="24"/>
        </w:rPr>
      </w:pPr>
      <w:r>
        <w:rPr>
          <w:rFonts w:hint="eastAsia" w:ascii="宋体" w:hAnsi="宋体"/>
          <w:sz w:val="24"/>
        </w:rPr>
        <w:t>（四）其它约定：　　　　　　　　</w:t>
      </w:r>
    </w:p>
    <w:p>
      <w:pPr>
        <w:spacing w:line="360" w:lineRule="auto"/>
        <w:rPr>
          <w:rFonts w:ascii="宋体"/>
          <w:b/>
          <w:sz w:val="24"/>
        </w:rPr>
      </w:pPr>
      <w:r>
        <w:rPr>
          <w:rFonts w:ascii="宋体"/>
          <w:b/>
          <w:sz w:val="24"/>
        </w:rPr>
        <w:t>第七条双方的权利义务</w:t>
      </w:r>
    </w:p>
    <w:p>
      <w:pPr>
        <w:spacing w:line="360" w:lineRule="auto"/>
        <w:ind w:firstLine="472" w:firstLineChars="196"/>
        <w:rPr>
          <w:rFonts w:ascii="宋体"/>
          <w:b/>
          <w:sz w:val="24"/>
        </w:rPr>
      </w:pPr>
      <w:r>
        <w:rPr>
          <w:rFonts w:ascii="宋体"/>
          <w:b/>
          <w:sz w:val="24"/>
        </w:rPr>
        <w:t>（一）甲方的权利义务</w:t>
      </w:r>
    </w:p>
    <w:p>
      <w:pPr>
        <w:spacing w:line="360" w:lineRule="auto"/>
        <w:ind w:firstLine="360" w:firstLineChars="150"/>
        <w:jc w:val="left"/>
        <w:rPr>
          <w:rFonts w:ascii="宋体"/>
          <w:sz w:val="24"/>
        </w:rPr>
      </w:pPr>
      <w:r>
        <w:rPr>
          <w:rFonts w:ascii="宋体"/>
          <w:sz w:val="24"/>
        </w:rPr>
        <w:t>1.有权审定乙方编制的服务方案、人员编制、费用预算。</w:t>
      </w:r>
    </w:p>
    <w:p>
      <w:pPr>
        <w:spacing w:line="360" w:lineRule="auto"/>
        <w:ind w:firstLine="360" w:firstLineChars="150"/>
        <w:jc w:val="left"/>
        <w:rPr>
          <w:rFonts w:ascii="宋体"/>
          <w:sz w:val="24"/>
        </w:rPr>
      </w:pPr>
      <w:r>
        <w:rPr>
          <w:rFonts w:ascii="宋体"/>
          <w:sz w:val="24"/>
        </w:rPr>
        <w:t>2.有权对乙方服务的质量进行监督，对不符合质量标准的服务有权建议整改，对不称职人员可以要求乙方更换。</w:t>
      </w:r>
    </w:p>
    <w:p>
      <w:pPr>
        <w:spacing w:line="360" w:lineRule="auto"/>
        <w:ind w:firstLine="360" w:firstLineChars="150"/>
        <w:jc w:val="left"/>
        <w:rPr>
          <w:rFonts w:ascii="宋体"/>
          <w:sz w:val="24"/>
        </w:rPr>
      </w:pPr>
      <w:r>
        <w:rPr>
          <w:rFonts w:ascii="宋体"/>
          <w:sz w:val="24"/>
        </w:rPr>
        <w:t>3.为乙方的服务提供必要的工作条件及所必需的相关资料，包括办公用房、设备工具库房、员工更衣及休息场所等设施和涉及本管理外包所需的验收图纸、资料等。为乙方的管理</w:t>
      </w:r>
      <w:r>
        <w:rPr>
          <w:rFonts w:hint="eastAsia" w:ascii="宋体"/>
          <w:sz w:val="24"/>
        </w:rPr>
        <w:t>服务</w:t>
      </w:r>
      <w:r>
        <w:rPr>
          <w:rFonts w:ascii="宋体"/>
          <w:sz w:val="24"/>
        </w:rPr>
        <w:t>提供相应的协助和配合。</w:t>
      </w:r>
    </w:p>
    <w:p>
      <w:pPr>
        <w:pStyle w:val="36"/>
        <w:spacing w:line="360" w:lineRule="auto"/>
        <w:ind w:firstLine="360" w:firstLineChars="150"/>
        <w:jc w:val="left"/>
        <w:rPr>
          <w:rFonts w:ascii="宋体" w:cs="Times New Roman"/>
          <w:sz w:val="24"/>
        </w:rPr>
      </w:pPr>
      <w:r>
        <w:rPr>
          <w:rFonts w:ascii="宋体" w:cs="Times New Roman"/>
          <w:sz w:val="24"/>
        </w:rPr>
        <w:t>4.按合同约定的费用额度、支付方式和支付程序，按季支付管理费用。</w:t>
      </w:r>
    </w:p>
    <w:p>
      <w:pPr>
        <w:pStyle w:val="36"/>
        <w:spacing w:line="360" w:lineRule="auto"/>
        <w:ind w:firstLine="360" w:firstLineChars="150"/>
        <w:jc w:val="left"/>
        <w:rPr>
          <w:rFonts w:ascii="宋体" w:cs="Times New Roman"/>
          <w:sz w:val="24"/>
        </w:rPr>
      </w:pPr>
      <w:r>
        <w:rPr>
          <w:rFonts w:ascii="宋体" w:cs="Times New Roman"/>
          <w:sz w:val="24"/>
        </w:rPr>
        <w:t>5.甲方享有对乙方服务人员指定、更换或调整的权利。</w:t>
      </w:r>
    </w:p>
    <w:p>
      <w:pPr>
        <w:spacing w:line="360" w:lineRule="auto"/>
        <w:ind w:firstLine="360" w:firstLineChars="150"/>
        <w:jc w:val="left"/>
        <w:rPr>
          <w:rFonts w:ascii="宋体"/>
          <w:sz w:val="24"/>
        </w:rPr>
      </w:pPr>
      <w:r>
        <w:rPr>
          <w:rFonts w:ascii="宋体"/>
          <w:sz w:val="24"/>
        </w:rPr>
        <w:t>6.按法律规定或经双方商定由甲方承担的其他责任和义务。</w:t>
      </w:r>
    </w:p>
    <w:p>
      <w:pPr>
        <w:spacing w:line="360" w:lineRule="auto"/>
        <w:ind w:firstLine="482" w:firstLineChars="200"/>
        <w:jc w:val="left"/>
        <w:rPr>
          <w:rFonts w:ascii="宋体"/>
          <w:b/>
          <w:sz w:val="24"/>
        </w:rPr>
      </w:pPr>
      <w:r>
        <w:rPr>
          <w:rFonts w:ascii="宋体"/>
          <w:b/>
          <w:sz w:val="24"/>
        </w:rPr>
        <w:t>（二）乙方的权利义务</w:t>
      </w:r>
    </w:p>
    <w:p>
      <w:pPr>
        <w:pStyle w:val="36"/>
        <w:spacing w:line="360" w:lineRule="auto"/>
        <w:ind w:firstLine="360" w:firstLineChars="150"/>
        <w:jc w:val="left"/>
        <w:rPr>
          <w:rFonts w:ascii="宋体" w:cs="Times New Roman"/>
          <w:sz w:val="24"/>
        </w:rPr>
      </w:pPr>
      <w:r>
        <w:rPr>
          <w:rFonts w:ascii="宋体" w:cs="Times New Roman"/>
          <w:sz w:val="24"/>
        </w:rPr>
        <w:t>1.应根据法律、法规的规定及本合同约定，编制物业管理方案、人员编制和费用预算，报送甲方审定。</w:t>
      </w:r>
    </w:p>
    <w:p>
      <w:pPr>
        <w:pStyle w:val="36"/>
        <w:spacing w:line="360" w:lineRule="auto"/>
        <w:ind w:firstLine="360" w:firstLineChars="150"/>
        <w:jc w:val="left"/>
        <w:rPr>
          <w:rFonts w:ascii="宋体" w:cs="Times New Roman"/>
          <w:sz w:val="24"/>
        </w:rPr>
      </w:pPr>
      <w:r>
        <w:rPr>
          <w:rFonts w:ascii="宋体" w:cs="Times New Roman"/>
          <w:sz w:val="24"/>
        </w:rPr>
        <w:t>2.保证从事本项目的人员具备相应的职业资格和应有的素质要求。如需调整技术骨干应事先通报甲方，对甲方提出认为不适合的在岗人员，乙方应作出相应调整。乙方在聘用、任命、调整、调换有关主要管理服务人员之前，须征得甲方同意。在实施管理管理工作过程中，若乙方对投标时及合同中承诺的服务人员安排情况自行变动而未经甲方同意的，将按照违约处理，情况严重者，甲方有权终止合同。</w:t>
      </w:r>
    </w:p>
    <w:p>
      <w:pPr>
        <w:pStyle w:val="36"/>
        <w:spacing w:line="360" w:lineRule="auto"/>
        <w:ind w:firstLine="360" w:firstLineChars="150"/>
        <w:jc w:val="left"/>
        <w:rPr>
          <w:rFonts w:ascii="宋体" w:cs="Times New Roman"/>
          <w:sz w:val="24"/>
        </w:rPr>
      </w:pPr>
      <w:r>
        <w:rPr>
          <w:rFonts w:ascii="宋体" w:cs="Times New Roman"/>
          <w:sz w:val="24"/>
        </w:rPr>
        <w:t>3. 合同期间，乙方派出本项目的项目总负责人和各部门主管不得在其他项目中同时任职。</w:t>
      </w:r>
    </w:p>
    <w:p>
      <w:pPr>
        <w:pStyle w:val="36"/>
        <w:spacing w:line="360" w:lineRule="auto"/>
        <w:ind w:firstLine="360" w:firstLineChars="150"/>
        <w:jc w:val="left"/>
        <w:rPr>
          <w:rFonts w:ascii="宋体" w:cs="Times New Roman"/>
          <w:sz w:val="24"/>
        </w:rPr>
      </w:pPr>
      <w:r>
        <w:rPr>
          <w:rFonts w:ascii="宋体" w:cs="Times New Roman"/>
          <w:sz w:val="24"/>
        </w:rPr>
        <w:t>4. 对管理涉及的专业性、技术性要求较高的工作内容，可另行委托第三方承担，但必须得到甲方的书面同意。委托的工作内容仅限于分项内容，整体管理项目不得转让给第三方。</w:t>
      </w:r>
    </w:p>
    <w:p>
      <w:pPr>
        <w:pStyle w:val="36"/>
        <w:spacing w:line="360" w:lineRule="auto"/>
        <w:ind w:firstLine="360" w:firstLineChars="150"/>
        <w:jc w:val="left"/>
        <w:rPr>
          <w:rFonts w:ascii="宋体" w:cs="Times New Roman"/>
          <w:sz w:val="24"/>
        </w:rPr>
      </w:pPr>
      <w:r>
        <w:rPr>
          <w:rFonts w:ascii="宋体" w:cs="Times New Roman"/>
          <w:sz w:val="24"/>
        </w:rPr>
        <w:t>5.合同终止时，乙方应向甲方提交管理总结报告。在约定时间内向甲方移交房屋、物料、设备、工具、档案和图纸资料；所有移交的内容都应有清单并由双方签收；全部手续完成后签署移交确认书。</w:t>
      </w:r>
    </w:p>
    <w:p>
      <w:pPr>
        <w:pStyle w:val="11"/>
        <w:ind w:firstLine="240" w:firstLineChars="100"/>
        <w:rPr>
          <w:b w:val="0"/>
          <w:bCs w:val="0"/>
          <w:sz w:val="24"/>
          <w:szCs w:val="24"/>
        </w:rPr>
      </w:pPr>
      <w:r>
        <w:rPr>
          <w:b w:val="0"/>
          <w:sz w:val="24"/>
          <w:szCs w:val="24"/>
        </w:rPr>
        <w:t>6.按法律规定或经双方商定应由乙方承担的其他责任和义务。</w:t>
      </w:r>
    </w:p>
    <w:p>
      <w:pPr>
        <w:pStyle w:val="36"/>
        <w:spacing w:line="360" w:lineRule="auto"/>
        <w:ind w:firstLine="0" w:firstLineChars="0"/>
        <w:jc w:val="left"/>
        <w:rPr>
          <w:rFonts w:ascii="宋体" w:cs="Times New Roman"/>
          <w:b/>
          <w:sz w:val="24"/>
        </w:rPr>
      </w:pPr>
      <w:r>
        <w:rPr>
          <w:rFonts w:ascii="宋体" w:cs="Times New Roman"/>
          <w:b/>
          <w:sz w:val="24"/>
        </w:rPr>
        <w:t>第八条违约责任</w:t>
      </w:r>
    </w:p>
    <w:p>
      <w:pPr>
        <w:pStyle w:val="36"/>
        <w:spacing w:line="360" w:lineRule="auto"/>
        <w:ind w:firstLine="360" w:firstLineChars="150"/>
        <w:jc w:val="left"/>
        <w:rPr>
          <w:rFonts w:ascii="宋体" w:cs="Times New Roman"/>
          <w:sz w:val="24"/>
        </w:rPr>
      </w:pPr>
      <w:r>
        <w:rPr>
          <w:rFonts w:ascii="宋体" w:cs="Times New Roman"/>
          <w:sz w:val="24"/>
        </w:rPr>
        <w:t>（一）乙方未按合同约定的质量标准履行管理职责，但未给甲方造成损失的，甲方可要求乙方整改，直至乙方达到管理质量标准后，甲方再支付相应的管理费用。</w:t>
      </w:r>
    </w:p>
    <w:p>
      <w:pPr>
        <w:pStyle w:val="36"/>
        <w:spacing w:line="360" w:lineRule="auto"/>
        <w:ind w:firstLine="360" w:firstLineChars="150"/>
        <w:jc w:val="left"/>
        <w:rPr>
          <w:rFonts w:ascii="宋体" w:cs="Times New Roman"/>
          <w:sz w:val="24"/>
        </w:rPr>
      </w:pPr>
      <w:r>
        <w:rPr>
          <w:rFonts w:ascii="宋体" w:cs="Times New Roman"/>
          <w:sz w:val="24"/>
        </w:rPr>
        <w:t>（二）乙方未按合同约定的质量标准履行管理职责，且给甲方造成损失的，甲方可要求乙方按实赔偿；情况严重的，甲方可根据损失情况，最多可要求乙方支付合同总额</w:t>
      </w:r>
      <w:r>
        <w:rPr>
          <w:rFonts w:ascii="宋体" w:cs="Times New Roman"/>
          <w:sz w:val="24"/>
          <w:u w:val="single"/>
        </w:rPr>
        <w:t xml:space="preserve"> 5 </w:t>
      </w:r>
      <w:r>
        <w:rPr>
          <w:rFonts w:ascii="宋体" w:cs="Times New Roman"/>
          <w:sz w:val="24"/>
        </w:rPr>
        <w:t>%的违约金；因乙方管理质量问题导致甲方无法实现合同目的时，甲方有权单方面解除合同。</w:t>
      </w:r>
    </w:p>
    <w:p>
      <w:pPr>
        <w:pStyle w:val="36"/>
        <w:spacing w:line="360" w:lineRule="auto"/>
        <w:ind w:firstLine="360" w:firstLineChars="150"/>
        <w:jc w:val="left"/>
        <w:rPr>
          <w:rFonts w:ascii="宋体" w:cs="Times New Roman"/>
          <w:sz w:val="24"/>
        </w:rPr>
      </w:pPr>
      <w:r>
        <w:rPr>
          <w:rFonts w:ascii="宋体" w:cs="Times New Roman"/>
          <w:sz w:val="24"/>
        </w:rPr>
        <w:t>（三）因乙方原因导致重大火灾、失窃等事件或其他违反法律、法规和规章规定的行为的，甲方有权单方解除合同，并要求乙方赔偿相关损失。</w:t>
      </w:r>
    </w:p>
    <w:p>
      <w:pPr>
        <w:snapToGrid w:val="0"/>
        <w:spacing w:line="360" w:lineRule="auto"/>
        <w:rPr>
          <w:rFonts w:ascii="宋体"/>
          <w:b/>
          <w:sz w:val="24"/>
        </w:rPr>
      </w:pPr>
    </w:p>
    <w:p>
      <w:pPr>
        <w:snapToGrid w:val="0"/>
        <w:spacing w:line="360" w:lineRule="auto"/>
        <w:rPr>
          <w:rFonts w:ascii="宋体"/>
          <w:sz w:val="24"/>
        </w:rPr>
      </w:pPr>
      <w:r>
        <w:rPr>
          <w:rFonts w:ascii="宋体"/>
          <w:b/>
          <w:sz w:val="24"/>
        </w:rPr>
        <w:t>第九条争议解决方式</w:t>
      </w:r>
    </w:p>
    <w:p>
      <w:pPr>
        <w:wordWrap w:val="0"/>
        <w:snapToGrid w:val="0"/>
        <w:spacing w:line="300" w:lineRule="auto"/>
        <w:ind w:firstLine="567"/>
        <w:rPr>
          <w:rFonts w:ascii="宋体"/>
          <w:sz w:val="24"/>
        </w:rPr>
      </w:pPr>
      <w:r>
        <w:rPr>
          <w:rFonts w:ascii="宋体"/>
          <w:sz w:val="24"/>
        </w:rPr>
        <w:t>双方发生争议的，可协商解决，或向有关部门申请调解；也可（请在选择项中打“√”）</w:t>
      </w:r>
    </w:p>
    <w:p>
      <w:pPr>
        <w:spacing w:line="360" w:lineRule="auto"/>
        <w:ind w:firstLine="567"/>
        <w:rPr>
          <w:rFonts w:ascii="宋体"/>
          <w:sz w:val="24"/>
        </w:rPr>
      </w:pPr>
      <w:r>
        <w:rPr>
          <w:rFonts w:ascii="宋体"/>
          <w:sz w:val="24"/>
          <w:u w:val="single"/>
        </w:rPr>
        <w:t>□</w:t>
      </w:r>
      <w:r>
        <w:rPr>
          <w:rFonts w:ascii="宋体"/>
          <w:sz w:val="24"/>
        </w:rPr>
        <w:t>提请宁波仲裁委员会仲裁。</w:t>
      </w:r>
    </w:p>
    <w:p>
      <w:pPr>
        <w:spacing w:line="360" w:lineRule="auto"/>
        <w:ind w:firstLine="567"/>
        <w:rPr>
          <w:rFonts w:ascii="宋体"/>
          <w:b/>
          <w:sz w:val="24"/>
        </w:rPr>
      </w:pPr>
      <w:r>
        <w:rPr>
          <w:rFonts w:ascii="宋体"/>
          <w:b/>
          <w:sz w:val="24"/>
          <w:u w:val="single"/>
        </w:rPr>
        <w:t>√</w:t>
      </w:r>
      <w:r>
        <w:rPr>
          <w:rFonts w:ascii="宋体"/>
          <w:b/>
          <w:sz w:val="24"/>
        </w:rPr>
        <w:t>向</w:t>
      </w:r>
      <w:r>
        <w:rPr>
          <w:rFonts w:hint="eastAsia" w:ascii="宋体"/>
          <w:b/>
          <w:sz w:val="24"/>
        </w:rPr>
        <w:t>甲方所在地</w:t>
      </w:r>
      <w:r>
        <w:rPr>
          <w:rFonts w:ascii="宋体"/>
          <w:b/>
          <w:sz w:val="24"/>
        </w:rPr>
        <w:t>法院提起诉讼。</w:t>
      </w:r>
    </w:p>
    <w:p>
      <w:pPr>
        <w:spacing w:line="360" w:lineRule="auto"/>
        <w:ind w:firstLine="567"/>
        <w:rPr>
          <w:rFonts w:ascii="宋体"/>
          <w:sz w:val="24"/>
        </w:rPr>
      </w:pPr>
    </w:p>
    <w:p>
      <w:pPr>
        <w:numPr>
          <w:ilvl w:val="0"/>
          <w:numId w:val="2"/>
        </w:numPr>
        <w:snapToGrid w:val="0"/>
        <w:spacing w:line="360" w:lineRule="auto"/>
        <w:rPr>
          <w:rFonts w:ascii="宋体"/>
          <w:b/>
          <w:sz w:val="24"/>
        </w:rPr>
      </w:pPr>
      <w:r>
        <w:rPr>
          <w:rFonts w:ascii="宋体"/>
          <w:b/>
          <w:sz w:val="24"/>
        </w:rPr>
        <w:t>合同附件</w:t>
      </w:r>
    </w:p>
    <w:p>
      <w:pPr>
        <w:snapToGrid w:val="0"/>
        <w:spacing w:line="360" w:lineRule="auto"/>
        <w:ind w:firstLine="240" w:firstLineChars="100"/>
        <w:rPr>
          <w:rFonts w:ascii="宋体"/>
          <w:b/>
          <w:sz w:val="24"/>
        </w:rPr>
      </w:pPr>
      <w:r>
        <w:rPr>
          <w:rFonts w:ascii="宋体"/>
          <w:sz w:val="24"/>
        </w:rPr>
        <w:t>（一）本项目招投标过程中的有关招投标文件作为本合同的附件，与本合同具有同等法律效力。如招投标文件内容同本合同条款有不一致处，以本合同条款为准。</w:t>
      </w:r>
    </w:p>
    <w:p>
      <w:pPr>
        <w:snapToGrid w:val="0"/>
        <w:spacing w:line="360" w:lineRule="auto"/>
        <w:ind w:firstLine="240" w:firstLineChars="100"/>
        <w:rPr>
          <w:rFonts w:ascii="宋体"/>
          <w:sz w:val="24"/>
        </w:rPr>
      </w:pPr>
      <w:r>
        <w:rPr>
          <w:rFonts w:ascii="宋体"/>
          <w:sz w:val="24"/>
        </w:rPr>
        <w:t>（二）对本合同的未尽事宜，可经双方协商一致后另行签署补充协议。补充协议作为本合同的组成部分，与本合同具有同等法律效力。补充协议内容与本合同不一致处，从补充协议。</w:t>
      </w:r>
    </w:p>
    <w:p>
      <w:pPr>
        <w:snapToGrid w:val="0"/>
        <w:spacing w:line="360" w:lineRule="auto"/>
        <w:rPr>
          <w:rFonts w:ascii="宋体"/>
          <w:sz w:val="24"/>
        </w:rPr>
      </w:pPr>
      <w:r>
        <w:rPr>
          <w:rFonts w:ascii="宋体"/>
          <w:b/>
          <w:sz w:val="24"/>
        </w:rPr>
        <w:t>第十一条合同生效</w:t>
      </w:r>
    </w:p>
    <w:p>
      <w:pPr>
        <w:snapToGrid w:val="0"/>
        <w:spacing w:line="360" w:lineRule="auto"/>
        <w:ind w:firstLine="480" w:firstLineChars="200"/>
        <w:rPr>
          <w:rFonts w:ascii="宋体"/>
          <w:sz w:val="24"/>
        </w:rPr>
      </w:pPr>
      <w:r>
        <w:rPr>
          <w:rFonts w:ascii="宋体"/>
          <w:sz w:val="24"/>
        </w:rPr>
        <w:t>本合同签订后经双方签字、盖章后生效。本合同一式四份，甲乙双方各执两份。</w:t>
      </w:r>
    </w:p>
    <w:p>
      <w:pPr>
        <w:snapToGrid w:val="0"/>
        <w:spacing w:line="360" w:lineRule="auto"/>
        <w:rPr>
          <w:rFonts w:ascii="宋体"/>
          <w:sz w:val="24"/>
        </w:rPr>
      </w:pPr>
    </w:p>
    <w:p>
      <w:pPr>
        <w:snapToGrid w:val="0"/>
        <w:spacing w:line="360" w:lineRule="auto"/>
        <w:rPr>
          <w:rFonts w:ascii="宋体"/>
          <w:sz w:val="24"/>
        </w:rPr>
      </w:pPr>
    </w:p>
    <w:p>
      <w:pPr>
        <w:snapToGrid w:val="0"/>
        <w:spacing w:line="360" w:lineRule="auto"/>
        <w:rPr>
          <w:rFonts w:ascii="宋体"/>
          <w:sz w:val="24"/>
        </w:rPr>
      </w:pPr>
      <w:r>
        <w:rPr>
          <w:rFonts w:ascii="宋体"/>
          <w:sz w:val="24"/>
        </w:rPr>
        <w:t>甲方：</w:t>
      </w:r>
      <w:r>
        <w:rPr>
          <w:rFonts w:hint="eastAsia" w:ascii="宋体"/>
          <w:sz w:val="24"/>
        </w:rPr>
        <w:t xml:space="preserve">                                  </w:t>
      </w:r>
      <w:r>
        <w:rPr>
          <w:rFonts w:ascii="宋体"/>
          <w:sz w:val="24"/>
        </w:rPr>
        <w:t>乙方：</w:t>
      </w:r>
    </w:p>
    <w:p>
      <w:pPr>
        <w:snapToGrid w:val="0"/>
        <w:spacing w:line="360" w:lineRule="auto"/>
        <w:rPr>
          <w:rFonts w:ascii="宋体"/>
          <w:sz w:val="24"/>
        </w:rPr>
      </w:pPr>
      <w:r>
        <w:rPr>
          <w:rFonts w:ascii="宋体"/>
          <w:sz w:val="24"/>
        </w:rPr>
        <w:t>法定代表人：</w:t>
      </w:r>
      <w:r>
        <w:rPr>
          <w:rFonts w:hint="eastAsia" w:ascii="宋体"/>
          <w:sz w:val="24"/>
        </w:rPr>
        <w:t xml:space="preserve">                            </w:t>
      </w:r>
      <w:r>
        <w:rPr>
          <w:rFonts w:ascii="宋体"/>
          <w:sz w:val="24"/>
        </w:rPr>
        <w:t>法定代表人：</w:t>
      </w:r>
    </w:p>
    <w:p>
      <w:pPr>
        <w:snapToGrid w:val="0"/>
        <w:spacing w:line="360" w:lineRule="auto"/>
        <w:rPr>
          <w:rFonts w:ascii="宋体"/>
          <w:sz w:val="24"/>
        </w:rPr>
      </w:pPr>
      <w:r>
        <w:rPr>
          <w:rFonts w:ascii="宋体"/>
          <w:sz w:val="24"/>
        </w:rPr>
        <w:t>委托代理人：</w:t>
      </w:r>
      <w:r>
        <w:rPr>
          <w:rFonts w:hint="eastAsia" w:ascii="宋体"/>
          <w:sz w:val="24"/>
        </w:rPr>
        <w:t xml:space="preserve">                            </w:t>
      </w:r>
      <w:r>
        <w:rPr>
          <w:rFonts w:ascii="宋体"/>
          <w:sz w:val="24"/>
        </w:rPr>
        <w:t>委托代理人：</w:t>
      </w:r>
    </w:p>
    <w:p>
      <w:pPr>
        <w:snapToGrid w:val="0"/>
        <w:spacing w:line="360" w:lineRule="auto"/>
        <w:rPr>
          <w:rFonts w:ascii="宋体"/>
          <w:sz w:val="24"/>
        </w:rPr>
      </w:pPr>
      <w:r>
        <w:rPr>
          <w:rFonts w:ascii="宋体"/>
          <w:sz w:val="24"/>
        </w:rPr>
        <w:t>电话：</w:t>
      </w:r>
      <w:r>
        <w:rPr>
          <w:rFonts w:hint="eastAsia" w:ascii="宋体"/>
          <w:sz w:val="24"/>
        </w:rPr>
        <w:t xml:space="preserve">                                  </w:t>
      </w:r>
      <w:r>
        <w:rPr>
          <w:rFonts w:ascii="宋体"/>
          <w:sz w:val="24"/>
        </w:rPr>
        <w:t>电话：</w:t>
      </w:r>
    </w:p>
    <w:p>
      <w:pPr>
        <w:spacing w:line="360" w:lineRule="auto"/>
        <w:rPr>
          <w:rFonts w:ascii="宋体"/>
          <w:sz w:val="24"/>
        </w:rPr>
      </w:pPr>
      <w:r>
        <w:rPr>
          <w:rFonts w:ascii="宋体"/>
          <w:sz w:val="24"/>
        </w:rPr>
        <w:t>签订时间：年月日</w:t>
      </w:r>
      <w:r>
        <w:rPr>
          <w:rFonts w:hint="eastAsia" w:ascii="宋体"/>
          <w:sz w:val="24"/>
        </w:rPr>
        <w:t xml:space="preserve">                        </w:t>
      </w:r>
      <w:r>
        <w:rPr>
          <w:rFonts w:ascii="宋体"/>
          <w:sz w:val="24"/>
        </w:rPr>
        <w:t>签订时间：年月日</w:t>
      </w:r>
    </w:p>
    <w:p>
      <w:pPr>
        <w:spacing w:line="360" w:lineRule="auto"/>
        <w:rPr>
          <w:rFonts w:ascii="宋体"/>
        </w:rPr>
      </w:pPr>
    </w:p>
    <w:p>
      <w:pPr>
        <w:spacing w:line="360" w:lineRule="auto"/>
        <w:ind w:firstLine="420" w:firstLineChars="200"/>
      </w:pPr>
    </w:p>
    <w:p>
      <w:pPr>
        <w:snapToGrid w:val="0"/>
        <w:spacing w:line="480" w:lineRule="exact"/>
        <w:jc w:val="center"/>
        <w:rPr>
          <w:rFonts w:hint="eastAsia" w:ascii="宋体"/>
          <w:b/>
          <w:sz w:val="32"/>
        </w:rPr>
      </w:pPr>
      <w:r>
        <w:rPr>
          <w:rFonts w:ascii="宋体"/>
          <w:b/>
          <w:sz w:val="32"/>
        </w:rPr>
        <w:br w:type="page"/>
      </w:r>
      <w:r>
        <w:rPr>
          <w:rFonts w:hint="eastAsia" w:ascii="宋体" w:hAnsi="宋体"/>
          <w:b/>
          <w:sz w:val="48"/>
          <w:szCs w:val="48"/>
        </w:rPr>
        <w:t>第四章 部分投标文件格式</w:t>
      </w:r>
      <w:bookmarkEnd w:id="14"/>
      <w:bookmarkEnd w:id="15"/>
      <w:bookmarkEnd w:id="16"/>
      <w:bookmarkEnd w:id="17"/>
      <w:bookmarkEnd w:id="18"/>
      <w:bookmarkEnd w:id="19"/>
    </w:p>
    <w:p>
      <w:pPr>
        <w:spacing w:line="560" w:lineRule="exact"/>
        <w:ind w:firstLine="570"/>
        <w:jc w:val="center"/>
        <w:rPr>
          <w:rFonts w:hint="eastAsia"/>
          <w:b/>
          <w:sz w:val="32"/>
        </w:rPr>
      </w:pPr>
    </w:p>
    <w:p>
      <w:pPr>
        <w:jc w:val="left"/>
        <w:rPr>
          <w:rFonts w:hint="eastAsia" w:eastAsia="黑体"/>
          <w:sz w:val="32"/>
        </w:rPr>
      </w:pPr>
      <w:bookmarkStart w:id="20" w:name="bt本工程承诺书"/>
      <w:bookmarkEnd w:id="20"/>
      <w:r>
        <w:rPr>
          <w:rFonts w:hint="eastAsia" w:eastAsia="黑体"/>
          <w:sz w:val="32"/>
        </w:rPr>
        <w:t xml:space="preserve">封面 </w:t>
      </w:r>
    </w:p>
    <w:p>
      <w:pPr>
        <w:jc w:val="left"/>
        <w:rPr>
          <w:rFonts w:hint="eastAsia" w:eastAsia="黑体"/>
          <w:sz w:val="32"/>
        </w:rPr>
      </w:pPr>
    </w:p>
    <w:p>
      <w:pPr>
        <w:jc w:val="left"/>
        <w:rPr>
          <w:rFonts w:hint="eastAsia" w:eastAsia="黑体"/>
          <w:sz w:val="32"/>
        </w:rPr>
      </w:pPr>
    </w:p>
    <w:p>
      <w:pPr>
        <w:rPr>
          <w:rFonts w:hint="eastAsia"/>
        </w:rPr>
      </w:pPr>
    </w:p>
    <w:p>
      <w:pPr>
        <w:spacing w:line="360" w:lineRule="auto"/>
        <w:jc w:val="center"/>
        <w:rPr>
          <w:rFonts w:ascii="宋体" w:hAnsi="宋体"/>
          <w:b/>
          <w:sz w:val="72"/>
          <w:szCs w:val="72"/>
        </w:rPr>
      </w:pPr>
      <w:r>
        <w:rPr>
          <w:rFonts w:hint="eastAsia" w:ascii="宋体" w:hAnsi="宋体"/>
          <w:b/>
          <w:sz w:val="72"/>
          <w:szCs w:val="72"/>
        </w:rPr>
        <w:t>投</w:t>
      </w:r>
    </w:p>
    <w:p>
      <w:pPr>
        <w:spacing w:line="360" w:lineRule="auto"/>
        <w:jc w:val="center"/>
        <w:rPr>
          <w:rFonts w:ascii="宋体" w:hAnsi="宋体"/>
          <w:b/>
          <w:sz w:val="72"/>
          <w:szCs w:val="72"/>
        </w:rPr>
      </w:pPr>
      <w:r>
        <w:rPr>
          <w:rFonts w:hint="eastAsia" w:ascii="宋体" w:hAnsi="宋体"/>
          <w:b/>
          <w:sz w:val="72"/>
          <w:szCs w:val="72"/>
        </w:rPr>
        <w:t>标</w:t>
      </w:r>
    </w:p>
    <w:p>
      <w:pPr>
        <w:spacing w:line="360" w:lineRule="auto"/>
        <w:jc w:val="center"/>
        <w:rPr>
          <w:rFonts w:ascii="宋体" w:hAnsi="宋体"/>
          <w:b/>
          <w:sz w:val="72"/>
          <w:szCs w:val="72"/>
        </w:rPr>
      </w:pPr>
      <w:r>
        <w:rPr>
          <w:rFonts w:hint="eastAsia" w:ascii="宋体" w:hAnsi="宋体"/>
          <w:b/>
          <w:sz w:val="72"/>
          <w:szCs w:val="72"/>
        </w:rPr>
        <w:t>文</w:t>
      </w:r>
    </w:p>
    <w:p>
      <w:pPr>
        <w:spacing w:line="360" w:lineRule="auto"/>
        <w:jc w:val="center"/>
        <w:rPr>
          <w:rFonts w:hint="eastAsia" w:ascii="宋体" w:hAnsi="宋体"/>
          <w:b/>
          <w:sz w:val="72"/>
          <w:szCs w:val="72"/>
        </w:rPr>
      </w:pPr>
      <w:r>
        <w:rPr>
          <w:rFonts w:hint="eastAsia" w:ascii="宋体" w:hAnsi="宋体"/>
          <w:b/>
          <w:sz w:val="72"/>
          <w:szCs w:val="72"/>
        </w:rPr>
        <w:t>件</w:t>
      </w:r>
    </w:p>
    <w:p>
      <w:pPr>
        <w:rPr>
          <w:rFonts w:hint="eastAsia"/>
        </w:rPr>
      </w:pPr>
    </w:p>
    <w:p>
      <w:pPr>
        <w:rPr>
          <w:rFonts w:hint="eastAsia"/>
        </w:rPr>
      </w:pPr>
    </w:p>
    <w:p>
      <w:pPr>
        <w:rPr>
          <w:rFonts w:hint="eastAsia"/>
        </w:rPr>
      </w:pPr>
    </w:p>
    <w:p>
      <w:pPr>
        <w:rPr>
          <w:rFonts w:hint="eastAsia"/>
        </w:rPr>
      </w:pPr>
    </w:p>
    <w:p>
      <w:pPr>
        <w:jc w:val="center"/>
        <w:rPr>
          <w:rFonts w:hint="eastAsia" w:ascii="黑体" w:eastAsia="黑体"/>
          <w:sz w:val="36"/>
        </w:rPr>
      </w:pPr>
      <w:r>
        <w:rPr>
          <w:rFonts w:hint="eastAsia" w:ascii="黑体" w:eastAsia="黑体"/>
          <w:sz w:val="36"/>
        </w:rPr>
        <w:t>采购编号:________________________</w:t>
      </w:r>
    </w:p>
    <w:p>
      <w:pPr>
        <w:jc w:val="center"/>
        <w:rPr>
          <w:rFonts w:hint="eastAsia" w:ascii="黑体" w:eastAsia="黑体"/>
          <w:sz w:val="36"/>
        </w:rPr>
      </w:pPr>
      <w:r>
        <w:rPr>
          <w:rFonts w:hint="eastAsia" w:ascii="黑体" w:eastAsia="黑体"/>
          <w:sz w:val="36"/>
        </w:rPr>
        <w:t>项目名称:________________________</w:t>
      </w:r>
    </w:p>
    <w:p>
      <w:pPr>
        <w:jc w:val="center"/>
        <w:rPr>
          <w:rFonts w:hint="eastAsia" w:ascii="黑体" w:eastAsia="黑体"/>
          <w:sz w:val="36"/>
        </w:rPr>
      </w:pPr>
    </w:p>
    <w:p>
      <w:pPr>
        <w:jc w:val="center"/>
        <w:rPr>
          <w:rFonts w:hint="eastAsia" w:ascii="黑体" w:eastAsia="黑体"/>
          <w:sz w:val="36"/>
        </w:rPr>
      </w:pPr>
      <w:r>
        <w:rPr>
          <w:rFonts w:hint="eastAsia" w:ascii="黑体" w:eastAsia="黑体"/>
          <w:sz w:val="36"/>
        </w:rPr>
        <w:t>投 标 人:________________________</w:t>
      </w:r>
    </w:p>
    <w:p>
      <w:pPr>
        <w:jc w:val="center"/>
        <w:rPr>
          <w:rFonts w:hint="eastAsia" w:ascii="黑体" w:eastAsia="黑体"/>
          <w:sz w:val="36"/>
        </w:rPr>
      </w:pPr>
    </w:p>
    <w:p>
      <w:pPr>
        <w:jc w:val="center"/>
        <w:rPr>
          <w:rFonts w:hint="eastAsia" w:ascii="黑体" w:eastAsia="黑体"/>
          <w:sz w:val="32"/>
        </w:rPr>
      </w:pPr>
      <w:r>
        <w:rPr>
          <w:rFonts w:hint="eastAsia" w:ascii="黑体" w:eastAsia="黑体"/>
          <w:sz w:val="32"/>
          <w:u w:val="single"/>
        </w:rPr>
        <w:t xml:space="preserve">   </w:t>
      </w:r>
      <w:r>
        <w:rPr>
          <w:rFonts w:hint="eastAsia" w:ascii="黑体" w:eastAsia="黑体"/>
          <w:sz w:val="32"/>
        </w:rPr>
        <w:t>年</w:t>
      </w:r>
      <w:r>
        <w:rPr>
          <w:rFonts w:hint="eastAsia" w:ascii="黑体" w:eastAsia="黑体"/>
          <w:sz w:val="32"/>
          <w:u w:val="single"/>
        </w:rPr>
        <w:t xml:space="preserve">   </w:t>
      </w:r>
      <w:r>
        <w:rPr>
          <w:rFonts w:hint="eastAsia" w:ascii="黑体" w:eastAsia="黑体"/>
          <w:sz w:val="32"/>
        </w:rPr>
        <w:t>月</w:t>
      </w:r>
      <w:r>
        <w:rPr>
          <w:rFonts w:hint="eastAsia" w:ascii="黑体" w:eastAsia="黑体"/>
          <w:sz w:val="32"/>
          <w:u w:val="single"/>
        </w:rPr>
        <w:t xml:space="preserve">   </w:t>
      </w:r>
      <w:r>
        <w:rPr>
          <w:rFonts w:hint="eastAsia" w:ascii="黑体" w:eastAsia="黑体"/>
          <w:sz w:val="32"/>
        </w:rPr>
        <w:t>日</w:t>
      </w:r>
    </w:p>
    <w:p>
      <w:pPr>
        <w:tabs>
          <w:tab w:val="left" w:pos="1575"/>
        </w:tabs>
        <w:spacing w:line="560" w:lineRule="exact"/>
        <w:jc w:val="center"/>
        <w:rPr>
          <w:rFonts w:ascii="仿宋_GB2312" w:eastAsia="仿宋_GB2312"/>
          <w:b/>
          <w:sz w:val="30"/>
          <w:szCs w:val="30"/>
        </w:rPr>
      </w:pPr>
      <w:r>
        <w:br w:type="page"/>
      </w:r>
      <w:r>
        <w:rPr>
          <w:rFonts w:hint="eastAsia" w:ascii="仿宋_GB2312" w:eastAsia="仿宋_GB2312"/>
          <w:b/>
          <w:sz w:val="30"/>
          <w:szCs w:val="30"/>
        </w:rPr>
        <w:t>一、法定代表人授权书</w:t>
      </w:r>
    </w:p>
    <w:p>
      <w:pPr>
        <w:tabs>
          <w:tab w:val="left" w:pos="1575"/>
        </w:tabs>
        <w:spacing w:line="500" w:lineRule="exact"/>
        <w:rPr>
          <w:rFonts w:ascii="仿宋_GB2312" w:eastAsia="仿宋_GB2312"/>
          <w:sz w:val="30"/>
          <w:szCs w:val="30"/>
        </w:rPr>
      </w:pPr>
    </w:p>
    <w:p>
      <w:pPr>
        <w:spacing w:line="500" w:lineRule="exact"/>
        <w:rPr>
          <w:rFonts w:ascii="宋体" w:hAnsi="宋体"/>
          <w:sz w:val="24"/>
          <w:u w:val="single"/>
        </w:rPr>
      </w:pPr>
      <w:r>
        <w:rPr>
          <w:rFonts w:hint="eastAsia" w:ascii="宋体" w:hAnsi="宋体"/>
          <w:sz w:val="24"/>
        </w:rPr>
        <w:t>致：</w:t>
      </w:r>
      <w:r>
        <w:rPr>
          <w:rFonts w:hint="eastAsia" w:ascii="宋体" w:hAnsi="宋体"/>
          <w:sz w:val="24"/>
          <w:u w:val="single"/>
        </w:rPr>
        <w:t>宁波市政府采购中心</w:t>
      </w:r>
    </w:p>
    <w:p>
      <w:pPr>
        <w:spacing w:line="50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（投标单位全称）法定代表人</w:t>
      </w:r>
    </w:p>
    <w:p>
      <w:pPr>
        <w:spacing w:line="500" w:lineRule="exact"/>
        <w:ind w:left="-239" w:leftChars="-114"/>
        <w:jc w:val="left"/>
        <w:rPr>
          <w:rFonts w:ascii="宋体" w:hAnsi="宋体"/>
          <w:sz w:val="24"/>
        </w:rPr>
      </w:pPr>
      <w:r>
        <w:rPr>
          <w:rFonts w:hint="eastAsia" w:ascii="宋体" w:hAnsi="宋体"/>
          <w:sz w:val="24"/>
          <w:u w:val="single"/>
        </w:rPr>
        <w:t xml:space="preserve">          </w:t>
      </w:r>
      <w:r>
        <w:rPr>
          <w:rFonts w:hint="eastAsia" w:ascii="宋体" w:hAnsi="宋体"/>
          <w:sz w:val="24"/>
        </w:rPr>
        <w:t>（姓名）</w:t>
      </w:r>
      <w:r>
        <w:rPr>
          <w:rFonts w:hint="eastAsia" w:ascii="宋体" w:hAnsi="宋体"/>
          <w:sz w:val="24"/>
          <w:u w:val="single"/>
        </w:rPr>
        <w:t xml:space="preserve">                 </w:t>
      </w:r>
      <w:r>
        <w:rPr>
          <w:rFonts w:hint="eastAsia" w:ascii="宋体" w:hAnsi="宋体"/>
          <w:sz w:val="24"/>
        </w:rPr>
        <w:t>（身份证件号码）授权</w:t>
      </w:r>
      <w:r>
        <w:rPr>
          <w:rFonts w:hint="eastAsia" w:ascii="宋体" w:hAnsi="宋体"/>
          <w:sz w:val="24"/>
          <w:u w:val="single"/>
        </w:rPr>
        <w:t xml:space="preserve">    　　</w:t>
      </w:r>
      <w:r>
        <w:rPr>
          <w:rFonts w:hint="eastAsia" w:ascii="宋体" w:hAnsi="宋体"/>
          <w:sz w:val="24"/>
        </w:rPr>
        <w:t>（姓名、职务）</w:t>
      </w:r>
      <w:r>
        <w:rPr>
          <w:rFonts w:hint="eastAsia" w:ascii="宋体" w:hAnsi="宋体"/>
          <w:sz w:val="24"/>
          <w:u w:val="single"/>
        </w:rPr>
        <w:t xml:space="preserve">                 　　</w:t>
      </w:r>
      <w:r>
        <w:rPr>
          <w:rFonts w:hint="eastAsia" w:ascii="宋体" w:hAnsi="宋体"/>
          <w:sz w:val="24"/>
        </w:rPr>
        <w:t xml:space="preserve">（身份证件号码）为委托代理人，参加贵方组织的 </w:t>
      </w:r>
      <w:r>
        <w:rPr>
          <w:rFonts w:hint="eastAsia" w:ascii="宋体" w:hAnsi="宋体"/>
          <w:sz w:val="24"/>
          <w:u w:val="single"/>
        </w:rPr>
        <w:t xml:space="preserve">                      </w:t>
      </w:r>
      <w:r>
        <w:rPr>
          <w:rFonts w:hint="eastAsia" w:ascii="宋体" w:hAnsi="宋体"/>
          <w:sz w:val="24"/>
        </w:rPr>
        <w:t>项目（采购编号</w:t>
      </w:r>
      <w:r>
        <w:rPr>
          <w:rFonts w:hint="eastAsia" w:ascii="宋体" w:hAnsi="宋体"/>
          <w:sz w:val="24"/>
          <w:u w:val="single"/>
        </w:rPr>
        <w:t xml:space="preserve">            </w:t>
      </w:r>
      <w:r>
        <w:rPr>
          <w:rFonts w:hint="eastAsia" w:ascii="宋体" w:hAnsi="宋体"/>
          <w:sz w:val="24"/>
        </w:rPr>
        <w:t>）政府采购活动，全权处理政府采购活动中的一切事宜。</w:t>
      </w:r>
    </w:p>
    <w:p>
      <w:pPr>
        <w:spacing w:line="500" w:lineRule="exact"/>
        <w:rPr>
          <w:rFonts w:ascii="宋体" w:hAnsi="宋体"/>
          <w:sz w:val="24"/>
        </w:rPr>
      </w:pPr>
      <w:r>
        <w:rPr>
          <w:rFonts w:hint="eastAsia" w:ascii="宋体" w:hAnsi="宋体"/>
          <w:sz w:val="24"/>
        </w:rPr>
        <w:t xml:space="preserve">    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日签署生效，特此声明。</w:t>
      </w:r>
    </w:p>
    <w:p>
      <w:pPr>
        <w:spacing w:line="500" w:lineRule="exact"/>
        <w:rPr>
          <w:rFonts w:ascii="宋体" w:hAnsi="宋体"/>
          <w:sz w:val="24"/>
        </w:rPr>
      </w:pPr>
      <w:r>
        <w:rPr>
          <w:rFonts w:hint="eastAsia" w:ascii="宋体" w:hAnsi="宋体"/>
          <w:sz w:val="24"/>
        </w:rPr>
        <w:t xml:space="preserve"> </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投标单位全称（单位公章）：</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日期：</w:t>
      </w:r>
    </w:p>
    <w:p>
      <w:pPr>
        <w:spacing w:line="500" w:lineRule="exact"/>
        <w:rPr>
          <w:rFonts w:ascii="宋体" w:hAnsi="宋体"/>
          <w:sz w:val="24"/>
        </w:rPr>
      </w:pP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w:t>
      </w:r>
    </w:p>
    <w:p>
      <w:pPr>
        <w:pStyle w:val="9"/>
        <w:spacing w:line="520" w:lineRule="exact"/>
        <w:ind w:firstLine="640"/>
        <w:rPr>
          <w:i/>
          <w:iCs/>
          <w:sz w:val="32"/>
        </w:rPr>
      </w:pPr>
    </w:p>
    <w:p>
      <w:pPr>
        <w:tabs>
          <w:tab w:val="left" w:pos="1575"/>
        </w:tabs>
        <w:spacing w:line="560" w:lineRule="exact"/>
        <w:jc w:val="center"/>
      </w:pPr>
      <w:r>
        <w:rPr>
          <w:rFonts w:ascii="仿宋_GB2312" w:eastAsia="仿宋_GB2312"/>
          <w:b/>
          <w:sz w:val="32"/>
        </w:rPr>
        <w:br w:type="page"/>
      </w:r>
      <w:r>
        <w:rPr>
          <w:rFonts w:hint="eastAsia" w:ascii="仿宋_GB2312" w:eastAsia="仿宋_GB2312"/>
          <w:b/>
          <w:sz w:val="30"/>
          <w:szCs w:val="30"/>
        </w:rPr>
        <w:t>二、投标函</w:t>
      </w:r>
    </w:p>
    <w:p>
      <w:pPr>
        <w:spacing w:line="500" w:lineRule="exact"/>
        <w:jc w:val="center"/>
        <w:outlineLvl w:val="1"/>
        <w:rPr>
          <w:sz w:val="32"/>
        </w:rPr>
      </w:pPr>
    </w:p>
    <w:p>
      <w:pPr>
        <w:adjustRightInd w:val="0"/>
        <w:snapToGrid w:val="0"/>
        <w:spacing w:line="500" w:lineRule="exact"/>
        <w:rPr>
          <w:rFonts w:ascii="宋体" w:hAnsi="宋体"/>
          <w:sz w:val="24"/>
        </w:rPr>
      </w:pPr>
      <w:r>
        <w:rPr>
          <w:rFonts w:hint="eastAsia" w:ascii="宋体" w:hAnsi="宋体"/>
          <w:sz w:val="24"/>
        </w:rPr>
        <w:t>致：</w:t>
      </w:r>
      <w:r>
        <w:rPr>
          <w:rFonts w:hint="eastAsia" w:ascii="宋体" w:hAnsi="宋体"/>
          <w:sz w:val="24"/>
          <w:u w:val="single"/>
        </w:rPr>
        <w:t xml:space="preserve"> 宁波市政府采购中心      </w:t>
      </w:r>
    </w:p>
    <w:p>
      <w:pPr>
        <w:adjustRightInd w:val="0"/>
        <w:snapToGrid w:val="0"/>
        <w:spacing w:line="50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(投标单位全称)授权</w:t>
      </w:r>
    </w:p>
    <w:p>
      <w:pPr>
        <w:adjustRightInd w:val="0"/>
        <w:snapToGrid w:val="0"/>
        <w:spacing w:line="500" w:lineRule="exact"/>
        <w:rPr>
          <w:rFonts w:ascii="宋体" w:hAnsi="宋体"/>
          <w:sz w:val="24"/>
        </w:rPr>
      </w:pPr>
      <w:r>
        <w:rPr>
          <w:rFonts w:hint="eastAsia" w:ascii="宋体" w:hAnsi="宋体"/>
          <w:sz w:val="24"/>
          <w:u w:val="single"/>
        </w:rPr>
        <w:t xml:space="preserve">               </w:t>
      </w:r>
      <w:r>
        <w:rPr>
          <w:rFonts w:hint="eastAsia" w:ascii="宋体" w:hAnsi="宋体"/>
          <w:sz w:val="24"/>
        </w:rPr>
        <w:t>(全权代表姓名)</w:t>
      </w:r>
      <w:r>
        <w:rPr>
          <w:rFonts w:hint="eastAsia" w:ascii="宋体" w:hAnsi="宋体"/>
          <w:sz w:val="24"/>
          <w:u w:val="single"/>
        </w:rPr>
        <w:t xml:space="preserve">               </w:t>
      </w:r>
      <w:r>
        <w:rPr>
          <w:rFonts w:hint="eastAsia" w:ascii="宋体" w:hAnsi="宋体"/>
          <w:sz w:val="24"/>
        </w:rPr>
        <w:t>(职务、职称)为全权代表，参加贵方组织的</w:t>
      </w:r>
      <w:r>
        <w:rPr>
          <w:rFonts w:hint="eastAsia" w:ascii="宋体" w:hAnsi="宋体"/>
          <w:sz w:val="24"/>
          <w:u w:val="single"/>
        </w:rPr>
        <w:t xml:space="preserve">                            </w:t>
      </w:r>
      <w:r>
        <w:rPr>
          <w:rFonts w:hint="eastAsia" w:ascii="宋体" w:hAnsi="宋体"/>
          <w:sz w:val="24"/>
        </w:rPr>
        <w:t xml:space="preserve"> 招标的有关活动，并对项目进行投标。为此：</w:t>
      </w:r>
    </w:p>
    <w:p>
      <w:pPr>
        <w:adjustRightInd w:val="0"/>
        <w:snapToGrid w:val="0"/>
        <w:spacing w:line="500" w:lineRule="exact"/>
        <w:ind w:firstLine="600"/>
        <w:rPr>
          <w:rFonts w:ascii="宋体" w:hAnsi="宋体"/>
          <w:sz w:val="24"/>
        </w:rPr>
      </w:pPr>
      <w:r>
        <w:rPr>
          <w:rFonts w:hint="eastAsia" w:ascii="宋体" w:hAnsi="宋体"/>
          <w:sz w:val="24"/>
        </w:rPr>
        <w:t>1、提供投标须知规定的全部投标文件。</w:t>
      </w:r>
    </w:p>
    <w:p>
      <w:pPr>
        <w:adjustRightInd w:val="0"/>
        <w:snapToGrid w:val="0"/>
        <w:spacing w:line="500" w:lineRule="exact"/>
        <w:ind w:firstLine="600"/>
        <w:rPr>
          <w:rFonts w:ascii="宋体" w:hAnsi="宋体"/>
          <w:sz w:val="24"/>
        </w:rPr>
      </w:pPr>
      <w:r>
        <w:rPr>
          <w:rFonts w:hint="eastAsia" w:ascii="宋体" w:hAnsi="宋体"/>
          <w:sz w:val="24"/>
        </w:rPr>
        <w:t>2、投标项目总投标价人民币（大写）：            元/年。</w:t>
      </w:r>
    </w:p>
    <w:p>
      <w:pPr>
        <w:adjustRightInd w:val="0"/>
        <w:snapToGrid w:val="0"/>
        <w:spacing w:line="500" w:lineRule="exact"/>
        <w:ind w:firstLine="600"/>
        <w:rPr>
          <w:rFonts w:ascii="宋体" w:hAnsi="宋体"/>
          <w:sz w:val="24"/>
        </w:rPr>
      </w:pPr>
      <w:r>
        <w:rPr>
          <w:rFonts w:hint="eastAsia" w:ascii="宋体" w:hAnsi="宋体"/>
          <w:sz w:val="24"/>
        </w:rPr>
        <w:t>3、如果我方中标，我方将按照规定提交上述总价  5 ％履约保证金。</w:t>
      </w:r>
    </w:p>
    <w:p>
      <w:pPr>
        <w:adjustRightInd w:val="0"/>
        <w:snapToGrid w:val="0"/>
        <w:spacing w:line="500" w:lineRule="exact"/>
        <w:ind w:firstLine="600"/>
        <w:rPr>
          <w:rFonts w:ascii="宋体" w:hAnsi="宋体"/>
          <w:sz w:val="24"/>
        </w:rPr>
      </w:pPr>
      <w:r>
        <w:rPr>
          <w:rFonts w:hint="eastAsia" w:ascii="宋体" w:hAnsi="宋体"/>
          <w:sz w:val="24"/>
        </w:rPr>
        <w:t>4、本投标文件在开标后 60 天内有效。</w:t>
      </w:r>
    </w:p>
    <w:p>
      <w:pPr>
        <w:adjustRightInd w:val="0"/>
        <w:snapToGrid w:val="0"/>
        <w:spacing w:line="500" w:lineRule="exact"/>
        <w:ind w:firstLine="600"/>
        <w:rPr>
          <w:rFonts w:ascii="宋体" w:hAnsi="宋体"/>
          <w:sz w:val="24"/>
        </w:rPr>
      </w:pPr>
    </w:p>
    <w:p>
      <w:pPr>
        <w:spacing w:line="500" w:lineRule="exact"/>
        <w:rPr>
          <w:sz w:val="24"/>
          <w:u w:val="single"/>
        </w:rPr>
      </w:pPr>
      <w:r>
        <w:rPr>
          <w:rFonts w:hint="eastAsia"/>
          <w:sz w:val="24"/>
        </w:rPr>
        <w:t>投标人：</w:t>
      </w:r>
      <w:r>
        <w:rPr>
          <w:rFonts w:hint="eastAsia"/>
          <w:sz w:val="24"/>
          <w:u w:val="single"/>
        </w:rPr>
        <w:t xml:space="preserve">                   </w:t>
      </w:r>
      <w:r>
        <w:rPr>
          <w:rFonts w:hint="eastAsia"/>
          <w:sz w:val="24"/>
        </w:rPr>
        <w:t xml:space="preserve">    单位地址：</w:t>
      </w:r>
      <w:r>
        <w:rPr>
          <w:rFonts w:hint="eastAsia"/>
          <w:sz w:val="24"/>
          <w:u w:val="single"/>
        </w:rPr>
        <w:t xml:space="preserve">               </w:t>
      </w:r>
    </w:p>
    <w:p>
      <w:pPr>
        <w:spacing w:line="500" w:lineRule="exact"/>
        <w:ind w:left="540"/>
        <w:rPr>
          <w:sz w:val="24"/>
          <w:u w:val="single"/>
        </w:rPr>
      </w:pPr>
      <w:r>
        <w:rPr>
          <w:rFonts w:hint="eastAsia"/>
          <w:sz w:val="24"/>
        </w:rPr>
        <w:t>邮政编码：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传真：</w:t>
      </w:r>
      <w:r>
        <w:rPr>
          <w:rFonts w:hint="eastAsia"/>
          <w:sz w:val="24"/>
          <w:u w:val="single"/>
        </w:rPr>
        <w:t xml:space="preserve">           </w:t>
      </w:r>
    </w:p>
    <w:p>
      <w:pPr>
        <w:spacing w:line="500" w:lineRule="exact"/>
        <w:ind w:left="540"/>
        <w:rPr>
          <w:sz w:val="24"/>
        </w:rPr>
      </w:pPr>
      <w:r>
        <w:rPr>
          <w:rFonts w:hint="eastAsia"/>
          <w:sz w:val="24"/>
        </w:rPr>
        <w:t>投标单位：（盖章）</w:t>
      </w:r>
    </w:p>
    <w:p>
      <w:pPr>
        <w:spacing w:line="500" w:lineRule="exact"/>
        <w:ind w:left="540"/>
        <w:rPr>
          <w:sz w:val="24"/>
        </w:rPr>
      </w:pPr>
      <w:r>
        <w:rPr>
          <w:rFonts w:hint="eastAsia"/>
          <w:sz w:val="24"/>
        </w:rPr>
        <w:t>全权代表：（签字）</w:t>
      </w:r>
    </w:p>
    <w:p>
      <w:pPr>
        <w:spacing w:line="500" w:lineRule="exact"/>
        <w:ind w:left="257"/>
        <w:jc w:val="right"/>
        <w:rPr>
          <w:rFonts w:ascii="宋体" w:hAnsi="宋体"/>
          <w:sz w:val="24"/>
        </w:rPr>
      </w:pPr>
    </w:p>
    <w:p>
      <w:pPr>
        <w:spacing w:line="500" w:lineRule="exact"/>
        <w:ind w:left="257" w:right="420"/>
        <w:jc w:val="right"/>
        <w:rPr>
          <w:sz w:val="24"/>
        </w:rPr>
      </w:pPr>
      <w:r>
        <w:rPr>
          <w:rFonts w:hint="eastAsia"/>
          <w:sz w:val="24"/>
        </w:rPr>
        <w:t>日期：       年     月    日</w:t>
      </w:r>
    </w:p>
    <w:p>
      <w:pPr>
        <w:widowControl/>
        <w:jc w:val="center"/>
        <w:rPr>
          <w:rFonts w:ascii="仿宋_GB2312" w:eastAsia="仿宋_GB2312"/>
          <w:b/>
          <w:sz w:val="30"/>
          <w:szCs w:val="30"/>
        </w:rPr>
      </w:pPr>
      <w:r>
        <w:br w:type="page"/>
      </w:r>
      <w:r>
        <w:rPr>
          <w:rFonts w:hint="eastAsia" w:ascii="仿宋_GB2312" w:eastAsia="仿宋_GB2312"/>
          <w:b/>
          <w:sz w:val="30"/>
          <w:szCs w:val="30"/>
        </w:rPr>
        <w:t>三、开标一览表</w:t>
      </w:r>
    </w:p>
    <w:p>
      <w:pPr>
        <w:ind w:firstLine="473"/>
        <w:rPr>
          <w:rFonts w:hint="eastAsia"/>
        </w:rPr>
      </w:pPr>
    </w:p>
    <w:p>
      <w:pPr>
        <w:rPr>
          <w:rFonts w:hint="eastAsia"/>
          <w:sz w:val="24"/>
        </w:rPr>
      </w:pPr>
      <w:r>
        <w:rPr>
          <w:rFonts w:hint="eastAsia"/>
          <w:sz w:val="24"/>
        </w:rPr>
        <w:t>投标单位：</w:t>
      </w:r>
    </w:p>
    <w:p>
      <w:pPr>
        <w:ind w:firstLine="473"/>
      </w:pP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1"/>
        <w:gridCol w:w="1416"/>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75" w:type="pct"/>
            <w:noWrap w:val="0"/>
            <w:vAlign w:val="center"/>
          </w:tcPr>
          <w:p>
            <w:pPr>
              <w:jc w:val="center"/>
              <w:rPr>
                <w:rFonts w:ascii="宋体" w:hAnsi="宋体"/>
                <w:sz w:val="28"/>
                <w:szCs w:val="28"/>
              </w:rPr>
            </w:pPr>
            <w:r>
              <w:rPr>
                <w:rFonts w:hint="eastAsia" w:ascii="宋体" w:hAnsi="宋体"/>
                <w:sz w:val="28"/>
                <w:szCs w:val="28"/>
              </w:rPr>
              <w:t>本项目总收费报价</w:t>
            </w:r>
          </w:p>
        </w:tc>
        <w:tc>
          <w:tcPr>
            <w:tcW w:w="831" w:type="pct"/>
            <w:noWrap w:val="0"/>
            <w:vAlign w:val="center"/>
          </w:tcPr>
          <w:p>
            <w:pPr>
              <w:jc w:val="center"/>
              <w:rPr>
                <w:rFonts w:ascii="宋体" w:hAnsi="宋体"/>
                <w:sz w:val="28"/>
                <w:szCs w:val="28"/>
              </w:rPr>
            </w:pPr>
            <w:r>
              <w:rPr>
                <w:rFonts w:hint="eastAsia" w:ascii="宋体" w:hAnsi="宋体"/>
                <w:sz w:val="28"/>
                <w:szCs w:val="28"/>
              </w:rPr>
              <w:t>单位</w:t>
            </w:r>
          </w:p>
        </w:tc>
        <w:tc>
          <w:tcPr>
            <w:tcW w:w="1194" w:type="pct"/>
            <w:noWrap w:val="0"/>
            <w:vAlign w:val="top"/>
          </w:tcPr>
          <w:p>
            <w:pPr>
              <w:ind w:firstLine="700" w:firstLineChars="250"/>
              <w:rPr>
                <w:rFonts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trPr>
        <w:tc>
          <w:tcPr>
            <w:tcW w:w="2975" w:type="pct"/>
            <w:noWrap w:val="0"/>
            <w:vAlign w:val="center"/>
          </w:tcPr>
          <w:p>
            <w:pPr>
              <w:spacing w:line="480" w:lineRule="auto"/>
              <w:jc w:val="center"/>
              <w:rPr>
                <w:rFonts w:hint="eastAsia" w:ascii="宋体" w:hAnsi="宋体"/>
                <w:sz w:val="28"/>
                <w:szCs w:val="28"/>
              </w:rPr>
            </w:pPr>
            <w:r>
              <w:rPr>
                <w:rFonts w:hint="eastAsia" w:ascii="宋体" w:hAnsi="宋体"/>
                <w:sz w:val="28"/>
                <w:szCs w:val="28"/>
              </w:rPr>
              <w:t>____________________（大写）</w:t>
            </w:r>
          </w:p>
          <w:p>
            <w:pPr>
              <w:jc w:val="center"/>
              <w:rPr>
                <w:rFonts w:ascii="宋体" w:hAnsi="宋体"/>
                <w:sz w:val="28"/>
                <w:szCs w:val="28"/>
              </w:rPr>
            </w:pPr>
            <w:r>
              <w:rPr>
                <w:rFonts w:hint="eastAsia" w:ascii="宋体" w:hAnsi="宋体"/>
                <w:sz w:val="28"/>
                <w:szCs w:val="28"/>
              </w:rPr>
              <w:t>____________________（小写）</w:t>
            </w:r>
          </w:p>
        </w:tc>
        <w:tc>
          <w:tcPr>
            <w:tcW w:w="831" w:type="pct"/>
            <w:noWrap w:val="0"/>
            <w:vAlign w:val="center"/>
          </w:tcPr>
          <w:p>
            <w:pPr>
              <w:jc w:val="center"/>
              <w:rPr>
                <w:rFonts w:ascii="宋体" w:hAnsi="宋体"/>
                <w:sz w:val="28"/>
                <w:szCs w:val="28"/>
              </w:rPr>
            </w:pPr>
            <w:r>
              <w:rPr>
                <w:rFonts w:hint="eastAsia" w:ascii="宋体" w:hAnsi="宋体"/>
                <w:sz w:val="28"/>
                <w:szCs w:val="28"/>
              </w:rPr>
              <w:t>元/年</w:t>
            </w:r>
          </w:p>
        </w:tc>
        <w:tc>
          <w:tcPr>
            <w:tcW w:w="1194" w:type="pct"/>
            <w:noWrap w:val="0"/>
            <w:vAlign w:val="top"/>
          </w:tcPr>
          <w:p>
            <w:pPr>
              <w:rPr>
                <w:rFonts w:ascii="宋体" w:hAnsi="宋体"/>
                <w:sz w:val="28"/>
                <w:szCs w:val="28"/>
              </w:rPr>
            </w:pPr>
          </w:p>
          <w:p>
            <w:pPr>
              <w:rPr>
                <w:rFonts w:ascii="宋体" w:hAnsi="宋体"/>
                <w:sz w:val="28"/>
                <w:szCs w:val="28"/>
              </w:rPr>
            </w:pPr>
          </w:p>
          <w:p>
            <w:pPr>
              <w:rPr>
                <w:rFonts w:ascii="宋体" w:hAnsi="宋体"/>
                <w:sz w:val="28"/>
                <w:szCs w:val="28"/>
              </w:rPr>
            </w:pPr>
          </w:p>
        </w:tc>
      </w:tr>
    </w:tbl>
    <w:p>
      <w:pPr>
        <w:rPr>
          <w:rFonts w:hint="eastAsia"/>
          <w:snapToGrid w:val="0"/>
          <w:kern w:val="0"/>
        </w:rPr>
      </w:pPr>
    </w:p>
    <w:p>
      <w:pPr>
        <w:rPr>
          <w:rFonts w:hint="eastAsia"/>
          <w:snapToGrid w:val="0"/>
          <w:kern w:val="0"/>
        </w:rPr>
      </w:pPr>
    </w:p>
    <w:p>
      <w:pPr>
        <w:rPr>
          <w:rFonts w:hint="eastAsia"/>
          <w:b/>
          <w:snapToGrid w:val="0"/>
          <w:kern w:val="0"/>
          <w:sz w:val="32"/>
          <w:szCs w:val="32"/>
        </w:rPr>
      </w:pPr>
    </w:p>
    <w:p>
      <w:pPr>
        <w:rPr>
          <w:b/>
          <w:snapToGrid w:val="0"/>
          <w:kern w:val="0"/>
          <w:sz w:val="32"/>
          <w:szCs w:val="32"/>
        </w:rPr>
      </w:pPr>
      <w:r>
        <w:rPr>
          <w:rFonts w:hint="eastAsia"/>
          <w:b/>
          <w:snapToGrid w:val="0"/>
          <w:kern w:val="0"/>
          <w:sz w:val="32"/>
          <w:szCs w:val="32"/>
        </w:rPr>
        <w:t>法定代表人或全权代表签字：</w:t>
      </w:r>
    </w:p>
    <w:p>
      <w:pPr>
        <w:rPr>
          <w:rFonts w:hint="eastAsia"/>
          <w:snapToGrid w:val="0"/>
          <w:kern w:val="0"/>
        </w:rPr>
      </w:pPr>
    </w:p>
    <w:p>
      <w:pPr>
        <w:rPr>
          <w:rFonts w:hint="eastAsia"/>
          <w:snapToGrid w:val="0"/>
          <w:kern w:val="0"/>
        </w:rPr>
      </w:pPr>
    </w:p>
    <w:p>
      <w:pPr>
        <w:rPr>
          <w:rFonts w:hint="eastAsia"/>
          <w:snapToGrid w:val="0"/>
          <w:kern w:val="0"/>
        </w:rPr>
      </w:pPr>
    </w:p>
    <w:p>
      <w:pPr>
        <w:rPr>
          <w:rFonts w:hint="eastAsia"/>
          <w:snapToGrid w:val="0"/>
          <w:kern w:val="0"/>
        </w:rPr>
      </w:pPr>
    </w:p>
    <w:p>
      <w:pPr>
        <w:rPr>
          <w:snapToGrid w:val="0"/>
          <w:kern w:val="0"/>
        </w:rPr>
      </w:pPr>
      <w:r>
        <w:rPr>
          <w:rFonts w:hint="eastAsia"/>
          <w:snapToGrid w:val="0"/>
          <w:kern w:val="0"/>
        </w:rPr>
        <w:t>注：</w:t>
      </w:r>
    </w:p>
    <w:p>
      <w:pPr>
        <w:spacing w:line="360" w:lineRule="auto"/>
        <w:rPr>
          <w:rFonts w:ascii="宋体"/>
          <w:snapToGrid w:val="0"/>
          <w:kern w:val="0"/>
        </w:rPr>
      </w:pPr>
      <w:r>
        <w:rPr>
          <w:rFonts w:ascii="宋体" w:hAnsi="宋体"/>
          <w:snapToGrid w:val="0"/>
          <w:kern w:val="0"/>
        </w:rPr>
        <w:t>1</w:t>
      </w:r>
      <w:r>
        <w:rPr>
          <w:rFonts w:hint="eastAsia" w:ascii="宋体" w:hAnsi="宋体"/>
          <w:snapToGrid w:val="0"/>
          <w:kern w:val="0"/>
        </w:rPr>
        <w:t>、</w:t>
      </w:r>
      <w:r>
        <w:rPr>
          <w:rFonts w:hint="eastAsia" w:ascii="宋体" w:hAnsi="宋体"/>
        </w:rPr>
        <w:t>本项目</w:t>
      </w:r>
      <w:r>
        <w:rPr>
          <w:rFonts w:hint="eastAsia" w:ascii="宋体" w:hAnsi="宋体"/>
          <w:snapToGrid w:val="0"/>
          <w:kern w:val="0"/>
        </w:rPr>
        <w:t>总收费：指招标文件中所规定的所有服务项目合同期内全年的总报价，此报价作为投标方的投标总价。</w:t>
      </w:r>
    </w:p>
    <w:p>
      <w:pPr>
        <w:spacing w:line="360" w:lineRule="auto"/>
        <w:rPr>
          <w:rFonts w:ascii="宋体"/>
          <w:snapToGrid w:val="0"/>
          <w:kern w:val="0"/>
        </w:rPr>
      </w:pPr>
      <w:r>
        <w:rPr>
          <w:rFonts w:ascii="宋体" w:hAnsi="宋体"/>
          <w:snapToGrid w:val="0"/>
          <w:kern w:val="0"/>
        </w:rPr>
        <w:t>2</w:t>
      </w:r>
      <w:r>
        <w:rPr>
          <w:rFonts w:hint="eastAsia" w:ascii="宋体" w:hAnsi="宋体"/>
          <w:snapToGrid w:val="0"/>
          <w:kern w:val="0"/>
        </w:rPr>
        <w:t>、各投标单位还必须按项目内容对各项服务单独报价，并列出报价表。</w:t>
      </w:r>
    </w:p>
    <w:p>
      <w:pPr>
        <w:ind w:firstLine="420"/>
        <w:rPr>
          <w:snapToGrid w:val="0"/>
          <w:kern w:val="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1575"/>
        </w:tabs>
        <w:spacing w:line="560" w:lineRule="exact"/>
        <w:jc w:val="center"/>
        <w:rPr>
          <w:rFonts w:hint="eastAsia" w:ascii="仿宋_GB2312" w:eastAsia="仿宋_GB2312"/>
          <w:b/>
          <w:sz w:val="30"/>
          <w:szCs w:val="30"/>
        </w:rPr>
      </w:pPr>
      <w:r>
        <w:rPr>
          <w:rFonts w:hint="eastAsia" w:ascii="仿宋_GB2312" w:eastAsia="仿宋_GB2312"/>
          <w:b/>
          <w:sz w:val="30"/>
          <w:szCs w:val="30"/>
        </w:rPr>
        <w:t>四、管理费构成明细报价</w:t>
      </w:r>
    </w:p>
    <w:p>
      <w:pPr>
        <w:tabs>
          <w:tab w:val="left" w:pos="1575"/>
        </w:tabs>
        <w:spacing w:line="560" w:lineRule="exact"/>
        <w:jc w:val="center"/>
        <w:rPr>
          <w:rFonts w:ascii="仿宋_GB2312" w:eastAsia="仿宋_GB2312"/>
          <w:b/>
          <w:sz w:val="30"/>
          <w:szCs w:val="30"/>
        </w:rPr>
      </w:pPr>
    </w:p>
    <w:p>
      <w:pPr>
        <w:ind w:firstLine="6287" w:firstLineChars="2982"/>
        <w:rPr>
          <w:rFonts w:ascii="宋体" w:hAnsi="宋体"/>
          <w:b/>
        </w:rPr>
      </w:pPr>
      <w:r>
        <w:rPr>
          <w:rFonts w:hint="eastAsia" w:ascii="宋体" w:hAnsi="宋体"/>
          <w:b/>
        </w:rPr>
        <w:t>（单位：元/月）</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3908"/>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3"/>
            <w:noWrap w:val="0"/>
            <w:vAlign w:val="center"/>
          </w:tcPr>
          <w:p>
            <w:pPr>
              <w:jc w:val="center"/>
              <w:rPr>
                <w:rFonts w:ascii="宋体" w:hAnsi="宋体"/>
              </w:rPr>
            </w:pPr>
            <w:r>
              <w:rPr>
                <w:rFonts w:hint="eastAsia" w:ascii="宋体" w:hAnsi="宋体"/>
              </w:rPr>
              <w:t>管理费构成测算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pStyle w:val="15"/>
              <w:jc w:val="center"/>
            </w:pPr>
            <w:r>
              <w:rPr>
                <w:rFonts w:hint="eastAsia"/>
              </w:rPr>
              <w:t>序号</w:t>
            </w:r>
          </w:p>
        </w:tc>
        <w:tc>
          <w:tcPr>
            <w:tcW w:w="2293" w:type="pct"/>
            <w:noWrap w:val="0"/>
            <w:vAlign w:val="center"/>
          </w:tcPr>
          <w:p>
            <w:pPr>
              <w:jc w:val="center"/>
              <w:rPr>
                <w:rFonts w:ascii="宋体" w:hAnsi="宋体"/>
              </w:rPr>
            </w:pPr>
            <w:r>
              <w:rPr>
                <w:rFonts w:hint="eastAsia" w:ascii="宋体" w:hAnsi="宋体"/>
              </w:rPr>
              <w:t>项目</w:t>
            </w:r>
          </w:p>
        </w:tc>
        <w:tc>
          <w:tcPr>
            <w:tcW w:w="1872" w:type="pct"/>
            <w:noWrap w:val="0"/>
            <w:vAlign w:val="center"/>
          </w:tcPr>
          <w:p>
            <w:pPr>
              <w:jc w:val="center"/>
              <w:rPr>
                <w:rFonts w:ascii="宋体" w:hAnsi="宋体"/>
              </w:rPr>
            </w:pPr>
            <w:r>
              <w:rPr>
                <w:rFonts w:hint="eastAsia" w:ascii="宋体" w:hAnsi="宋体"/>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ascii="宋体" w:hAnsi="宋体"/>
              </w:rPr>
            </w:pPr>
            <w:r>
              <w:rPr>
                <w:rFonts w:hint="eastAsia" w:ascii="宋体" w:hAnsi="宋体"/>
              </w:rPr>
              <w:t>1</w:t>
            </w:r>
          </w:p>
        </w:tc>
        <w:tc>
          <w:tcPr>
            <w:tcW w:w="2293" w:type="pct"/>
            <w:noWrap w:val="0"/>
            <w:vAlign w:val="center"/>
          </w:tcPr>
          <w:p>
            <w:pPr>
              <w:jc w:val="center"/>
              <w:rPr>
                <w:rFonts w:ascii="宋体" w:hAnsi="宋体"/>
              </w:rPr>
            </w:pPr>
          </w:p>
        </w:tc>
        <w:tc>
          <w:tcPr>
            <w:tcW w:w="1872" w:type="pct"/>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ascii="宋体" w:hAnsi="宋体"/>
              </w:rPr>
            </w:pPr>
            <w:r>
              <w:rPr>
                <w:rFonts w:hint="eastAsia" w:ascii="宋体" w:hAnsi="宋体"/>
              </w:rPr>
              <w:t>2</w:t>
            </w:r>
          </w:p>
        </w:tc>
        <w:tc>
          <w:tcPr>
            <w:tcW w:w="2293" w:type="pct"/>
            <w:noWrap w:val="0"/>
            <w:vAlign w:val="center"/>
          </w:tcPr>
          <w:p>
            <w:pPr>
              <w:jc w:val="center"/>
              <w:rPr>
                <w:rFonts w:ascii="宋体" w:hAnsi="宋体"/>
              </w:rPr>
            </w:pPr>
          </w:p>
        </w:tc>
        <w:tc>
          <w:tcPr>
            <w:tcW w:w="1872" w:type="pct"/>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ascii="宋体" w:hAnsi="宋体"/>
              </w:rPr>
            </w:pPr>
            <w:r>
              <w:rPr>
                <w:rFonts w:hint="eastAsia" w:ascii="宋体" w:hAnsi="宋体"/>
              </w:rPr>
              <w:t>3</w:t>
            </w:r>
          </w:p>
        </w:tc>
        <w:tc>
          <w:tcPr>
            <w:tcW w:w="2293" w:type="pct"/>
            <w:noWrap w:val="0"/>
            <w:vAlign w:val="center"/>
          </w:tcPr>
          <w:p>
            <w:pPr>
              <w:jc w:val="center"/>
              <w:rPr>
                <w:rFonts w:ascii="宋体" w:hAnsi="宋体"/>
              </w:rPr>
            </w:pPr>
          </w:p>
        </w:tc>
        <w:tc>
          <w:tcPr>
            <w:tcW w:w="1872" w:type="pct"/>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ascii="宋体" w:hAnsi="宋体"/>
              </w:rPr>
            </w:pPr>
            <w:r>
              <w:rPr>
                <w:rFonts w:hint="eastAsia" w:ascii="宋体" w:hAnsi="宋体"/>
              </w:rPr>
              <w:t>4</w:t>
            </w:r>
          </w:p>
        </w:tc>
        <w:tc>
          <w:tcPr>
            <w:tcW w:w="2293" w:type="pct"/>
            <w:noWrap w:val="0"/>
            <w:vAlign w:val="center"/>
          </w:tcPr>
          <w:p>
            <w:pPr>
              <w:jc w:val="center"/>
              <w:rPr>
                <w:rFonts w:ascii="宋体" w:hAnsi="宋体"/>
              </w:rPr>
            </w:pPr>
          </w:p>
        </w:tc>
        <w:tc>
          <w:tcPr>
            <w:tcW w:w="1872" w:type="pct"/>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ascii="宋体" w:hAnsi="宋体"/>
              </w:rPr>
            </w:pPr>
            <w:r>
              <w:rPr>
                <w:rFonts w:hint="eastAsia" w:ascii="宋体" w:hAnsi="宋体"/>
              </w:rPr>
              <w:t>5</w:t>
            </w:r>
          </w:p>
        </w:tc>
        <w:tc>
          <w:tcPr>
            <w:tcW w:w="2293" w:type="pct"/>
            <w:noWrap w:val="0"/>
            <w:vAlign w:val="center"/>
          </w:tcPr>
          <w:p>
            <w:pPr>
              <w:jc w:val="center"/>
              <w:rPr>
                <w:rFonts w:ascii="宋体" w:hAnsi="宋体"/>
              </w:rPr>
            </w:pPr>
          </w:p>
        </w:tc>
        <w:tc>
          <w:tcPr>
            <w:tcW w:w="1872" w:type="pct"/>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ascii="宋体" w:hAnsi="宋体"/>
              </w:rPr>
            </w:pPr>
            <w:r>
              <w:rPr>
                <w:rFonts w:hint="eastAsia" w:ascii="宋体" w:hAnsi="宋体"/>
              </w:rPr>
              <w:t>6</w:t>
            </w:r>
          </w:p>
        </w:tc>
        <w:tc>
          <w:tcPr>
            <w:tcW w:w="2293" w:type="pct"/>
            <w:noWrap w:val="0"/>
            <w:vAlign w:val="center"/>
          </w:tcPr>
          <w:p>
            <w:pPr>
              <w:jc w:val="center"/>
              <w:rPr>
                <w:rFonts w:ascii="宋体" w:hAnsi="宋体"/>
              </w:rPr>
            </w:pPr>
          </w:p>
        </w:tc>
        <w:tc>
          <w:tcPr>
            <w:tcW w:w="1872" w:type="pct"/>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ascii="宋体" w:hAnsi="宋体"/>
              </w:rPr>
            </w:pPr>
            <w:r>
              <w:rPr>
                <w:rFonts w:hint="eastAsia" w:ascii="宋体" w:hAnsi="宋体"/>
              </w:rPr>
              <w:t>7</w:t>
            </w:r>
          </w:p>
        </w:tc>
        <w:tc>
          <w:tcPr>
            <w:tcW w:w="2293" w:type="pct"/>
            <w:noWrap w:val="0"/>
            <w:vAlign w:val="center"/>
          </w:tcPr>
          <w:p>
            <w:pPr>
              <w:jc w:val="center"/>
              <w:rPr>
                <w:rFonts w:ascii="宋体" w:hAnsi="宋体"/>
              </w:rPr>
            </w:pPr>
          </w:p>
        </w:tc>
        <w:tc>
          <w:tcPr>
            <w:tcW w:w="1872" w:type="pct"/>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ascii="宋体" w:hAnsi="宋体"/>
              </w:rPr>
            </w:pPr>
            <w:r>
              <w:rPr>
                <w:rFonts w:hint="eastAsia" w:ascii="宋体" w:hAnsi="宋体"/>
              </w:rPr>
              <w:t>8</w:t>
            </w:r>
          </w:p>
        </w:tc>
        <w:tc>
          <w:tcPr>
            <w:tcW w:w="2293" w:type="pct"/>
            <w:noWrap w:val="0"/>
            <w:vAlign w:val="center"/>
          </w:tcPr>
          <w:p>
            <w:pPr>
              <w:jc w:val="center"/>
              <w:rPr>
                <w:rFonts w:ascii="宋体" w:hAnsi="宋体"/>
              </w:rPr>
            </w:pPr>
          </w:p>
        </w:tc>
        <w:tc>
          <w:tcPr>
            <w:tcW w:w="1872" w:type="pct"/>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ascii="宋体" w:hAnsi="宋体"/>
              </w:rPr>
            </w:pPr>
            <w:r>
              <w:rPr>
                <w:rFonts w:hint="eastAsia" w:ascii="宋体" w:hAnsi="宋体"/>
              </w:rPr>
              <w:t>9</w:t>
            </w:r>
          </w:p>
        </w:tc>
        <w:tc>
          <w:tcPr>
            <w:tcW w:w="2293" w:type="pct"/>
            <w:noWrap w:val="0"/>
            <w:vAlign w:val="center"/>
          </w:tcPr>
          <w:p>
            <w:pPr>
              <w:jc w:val="center"/>
              <w:rPr>
                <w:rFonts w:ascii="宋体" w:hAnsi="宋体"/>
              </w:rPr>
            </w:pPr>
          </w:p>
        </w:tc>
        <w:tc>
          <w:tcPr>
            <w:tcW w:w="1872" w:type="pct"/>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ascii="宋体" w:hAnsi="宋体"/>
              </w:rPr>
            </w:pPr>
            <w:r>
              <w:rPr>
                <w:rFonts w:hint="eastAsia" w:ascii="宋体" w:hAnsi="宋体"/>
              </w:rPr>
              <w:t>10</w:t>
            </w:r>
          </w:p>
        </w:tc>
        <w:tc>
          <w:tcPr>
            <w:tcW w:w="2293" w:type="pct"/>
            <w:noWrap w:val="0"/>
            <w:vAlign w:val="center"/>
          </w:tcPr>
          <w:p>
            <w:pPr>
              <w:jc w:val="center"/>
              <w:rPr>
                <w:rFonts w:ascii="宋体" w:hAnsi="宋体"/>
              </w:rPr>
            </w:pPr>
          </w:p>
        </w:tc>
        <w:tc>
          <w:tcPr>
            <w:tcW w:w="1872" w:type="pct"/>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ascii="宋体" w:hAnsi="宋体"/>
              </w:rPr>
            </w:pPr>
            <w:r>
              <w:rPr>
                <w:rFonts w:hint="eastAsia" w:ascii="宋体" w:hAnsi="宋体"/>
              </w:rPr>
              <w:t>11</w:t>
            </w:r>
          </w:p>
        </w:tc>
        <w:tc>
          <w:tcPr>
            <w:tcW w:w="2293" w:type="pct"/>
            <w:noWrap w:val="0"/>
            <w:vAlign w:val="center"/>
          </w:tcPr>
          <w:p>
            <w:pPr>
              <w:jc w:val="center"/>
              <w:rPr>
                <w:rFonts w:ascii="宋体" w:hAnsi="宋体"/>
              </w:rPr>
            </w:pPr>
          </w:p>
        </w:tc>
        <w:tc>
          <w:tcPr>
            <w:tcW w:w="1872" w:type="pct"/>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ascii="宋体" w:hAnsi="宋体"/>
              </w:rPr>
            </w:pPr>
            <w:r>
              <w:rPr>
                <w:rFonts w:hint="eastAsia" w:ascii="宋体" w:hAnsi="宋体"/>
              </w:rPr>
              <w:t>12</w:t>
            </w:r>
          </w:p>
        </w:tc>
        <w:tc>
          <w:tcPr>
            <w:tcW w:w="2293" w:type="pct"/>
            <w:noWrap w:val="0"/>
            <w:vAlign w:val="center"/>
          </w:tcPr>
          <w:p>
            <w:pPr>
              <w:jc w:val="center"/>
              <w:rPr>
                <w:rFonts w:ascii="宋体" w:hAnsi="宋体"/>
              </w:rPr>
            </w:pPr>
          </w:p>
        </w:tc>
        <w:tc>
          <w:tcPr>
            <w:tcW w:w="1872" w:type="pct"/>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ascii="宋体" w:hAnsi="宋体"/>
              </w:rPr>
            </w:pPr>
          </w:p>
        </w:tc>
        <w:tc>
          <w:tcPr>
            <w:tcW w:w="2293" w:type="pct"/>
            <w:noWrap w:val="0"/>
            <w:vAlign w:val="center"/>
          </w:tcPr>
          <w:p>
            <w:pPr>
              <w:jc w:val="center"/>
              <w:rPr>
                <w:rFonts w:ascii="宋体" w:hAnsi="宋体"/>
              </w:rPr>
            </w:pPr>
          </w:p>
        </w:tc>
        <w:tc>
          <w:tcPr>
            <w:tcW w:w="1872" w:type="pct"/>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noWrap w:val="0"/>
            <w:vAlign w:val="center"/>
          </w:tcPr>
          <w:p>
            <w:pPr>
              <w:jc w:val="center"/>
              <w:rPr>
                <w:rFonts w:ascii="宋体" w:hAnsi="宋体"/>
              </w:rPr>
            </w:pPr>
            <w:r>
              <w:rPr>
                <w:rFonts w:hint="eastAsia" w:ascii="宋体" w:hAnsi="宋体"/>
              </w:rPr>
              <w:t>小计</w:t>
            </w:r>
          </w:p>
        </w:tc>
        <w:tc>
          <w:tcPr>
            <w:tcW w:w="4165" w:type="pct"/>
            <w:gridSpan w:val="2"/>
            <w:noWrap w:val="0"/>
            <w:vAlign w:val="center"/>
          </w:tcPr>
          <w:p>
            <w:pPr>
              <w:jc w:val="center"/>
              <w:rPr>
                <w:rFonts w:ascii="宋体" w:hAnsi="宋体"/>
              </w:rPr>
            </w:pPr>
          </w:p>
        </w:tc>
      </w:tr>
    </w:tbl>
    <w:p>
      <w:pPr>
        <w:keepNext/>
        <w:keepLines/>
        <w:spacing w:before="120" w:after="120" w:line="413" w:lineRule="auto"/>
      </w:pPr>
      <w:r>
        <w:rPr>
          <w:rFonts w:hint="eastAsia"/>
        </w:rPr>
        <w:t>注：1、管理费构成中的人工费用部分必须提供费用构成明细，可另附表说明。</w:t>
      </w:r>
    </w:p>
    <w:p>
      <w:pPr>
        <w:tabs>
          <w:tab w:val="left" w:pos="1575"/>
        </w:tabs>
        <w:spacing w:line="560" w:lineRule="exact"/>
        <w:jc w:val="center"/>
        <w:rPr>
          <w:rFonts w:hint="eastAsia" w:ascii="宋体" w:hAnsi="宋体"/>
          <w:b/>
          <w:bCs/>
          <w:sz w:val="28"/>
        </w:rPr>
      </w:pPr>
      <w:r>
        <w:br w:type="page"/>
      </w:r>
      <w:r>
        <w:rPr>
          <w:rFonts w:hint="eastAsia" w:ascii="仿宋_GB2312" w:eastAsia="仿宋_GB2312"/>
          <w:b/>
          <w:sz w:val="30"/>
          <w:szCs w:val="30"/>
        </w:rPr>
        <w:t>五、为完成本项目配备的办公及其它设备明细表</w:t>
      </w:r>
    </w:p>
    <w:p>
      <w:pPr>
        <w:spacing w:before="156" w:after="156"/>
        <w:ind w:left="420"/>
        <w:jc w:val="center"/>
        <w:rPr>
          <w:rFonts w:hint="eastAsia" w:ascii="宋体" w:hAnsi="宋体"/>
          <w:b/>
          <w:bCs/>
          <w:sz w:val="24"/>
        </w:rPr>
      </w:pPr>
      <w:r>
        <w:rPr>
          <w:rFonts w:hint="eastAsia" w:ascii="宋体" w:hAnsi="宋体"/>
          <w:b/>
          <w:bCs/>
          <w:sz w:val="24"/>
        </w:rPr>
        <w:t>（备注：若业主方提供相关设备，则本项下相关表格可不填）</w:t>
      </w:r>
    </w:p>
    <w:p>
      <w:pPr>
        <w:spacing w:before="156" w:after="156"/>
        <w:ind w:left="420"/>
        <w:jc w:val="center"/>
        <w:rPr>
          <w:rFonts w:ascii="宋体" w:hAnsi="宋体"/>
          <w:b/>
          <w:bCs/>
          <w:sz w:val="24"/>
        </w:rPr>
      </w:pPr>
    </w:p>
    <w:p>
      <w:pPr>
        <w:spacing w:before="156" w:after="156"/>
        <w:rPr>
          <w:rFonts w:hint="eastAsia" w:ascii="宋体" w:hAnsi="宋体"/>
          <w:sz w:val="24"/>
        </w:rPr>
      </w:pPr>
      <w:r>
        <w:rPr>
          <w:rFonts w:hint="eastAsia" w:ascii="宋体" w:hAnsi="宋体"/>
          <w:sz w:val="24"/>
        </w:rPr>
        <w:t>（一）办公设备</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995"/>
        <w:gridCol w:w="847"/>
        <w:gridCol w:w="847"/>
        <w:gridCol w:w="847"/>
        <w:gridCol w:w="757"/>
        <w:gridCol w:w="939"/>
        <w:gridCol w:w="847"/>
        <w:gridCol w:w="847"/>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jc w:val="center"/>
              <w:rPr>
                <w:rFonts w:hint="eastAsia" w:ascii="宋体" w:hAnsi="宋体"/>
                <w:sz w:val="24"/>
              </w:rPr>
            </w:pPr>
            <w:r>
              <w:rPr>
                <w:rFonts w:hint="eastAsia" w:ascii="宋体" w:hAnsi="宋体"/>
                <w:sz w:val="24"/>
              </w:rPr>
              <w:t>序号</w:t>
            </w:r>
          </w:p>
        </w:tc>
        <w:tc>
          <w:tcPr>
            <w:tcW w:w="584" w:type="pct"/>
            <w:noWrap w:val="0"/>
            <w:vAlign w:val="center"/>
          </w:tcPr>
          <w:p>
            <w:pPr>
              <w:spacing w:before="120" w:after="120"/>
              <w:jc w:val="center"/>
              <w:rPr>
                <w:rFonts w:hint="eastAsia" w:ascii="宋体" w:hAnsi="宋体"/>
                <w:bCs/>
                <w:caps/>
                <w:sz w:val="24"/>
              </w:rPr>
            </w:pPr>
            <w:r>
              <w:rPr>
                <w:rFonts w:hint="eastAsia" w:ascii="宋体" w:hAnsi="宋体"/>
                <w:bCs/>
                <w:caps/>
                <w:sz w:val="24"/>
              </w:rPr>
              <w:t>名称</w:t>
            </w:r>
          </w:p>
        </w:tc>
        <w:tc>
          <w:tcPr>
            <w:tcW w:w="497" w:type="pct"/>
            <w:noWrap w:val="0"/>
            <w:vAlign w:val="center"/>
          </w:tcPr>
          <w:p>
            <w:pPr>
              <w:jc w:val="center"/>
              <w:rPr>
                <w:rFonts w:hint="eastAsia" w:ascii="宋体" w:hAnsi="宋体"/>
                <w:sz w:val="24"/>
              </w:rPr>
            </w:pPr>
            <w:r>
              <w:rPr>
                <w:rFonts w:hint="eastAsia" w:ascii="宋体" w:hAnsi="宋体"/>
                <w:sz w:val="24"/>
              </w:rPr>
              <w:t>数量</w:t>
            </w:r>
          </w:p>
        </w:tc>
        <w:tc>
          <w:tcPr>
            <w:tcW w:w="497" w:type="pct"/>
            <w:noWrap w:val="0"/>
            <w:vAlign w:val="center"/>
          </w:tcPr>
          <w:p>
            <w:pPr>
              <w:jc w:val="center"/>
              <w:rPr>
                <w:rFonts w:hint="eastAsia" w:ascii="宋体" w:hAnsi="宋体"/>
                <w:sz w:val="24"/>
              </w:rPr>
            </w:pPr>
            <w:r>
              <w:rPr>
                <w:rFonts w:hint="eastAsia" w:ascii="宋体" w:hAnsi="宋体"/>
                <w:sz w:val="24"/>
              </w:rPr>
              <w:t>单价</w:t>
            </w:r>
          </w:p>
        </w:tc>
        <w:tc>
          <w:tcPr>
            <w:tcW w:w="497" w:type="pct"/>
            <w:noWrap w:val="0"/>
            <w:vAlign w:val="center"/>
          </w:tcPr>
          <w:p>
            <w:pPr>
              <w:jc w:val="center"/>
              <w:rPr>
                <w:rFonts w:hint="eastAsia" w:ascii="宋体" w:hAnsi="宋体"/>
                <w:sz w:val="24"/>
              </w:rPr>
            </w:pPr>
            <w:r>
              <w:rPr>
                <w:rFonts w:hint="eastAsia" w:ascii="宋体" w:hAnsi="宋体"/>
                <w:sz w:val="24"/>
              </w:rPr>
              <w:t>金额</w:t>
            </w:r>
          </w:p>
        </w:tc>
        <w:tc>
          <w:tcPr>
            <w:tcW w:w="444" w:type="pct"/>
            <w:noWrap w:val="0"/>
            <w:vAlign w:val="center"/>
          </w:tcPr>
          <w:p>
            <w:pPr>
              <w:jc w:val="center"/>
              <w:rPr>
                <w:rFonts w:hint="eastAsia" w:ascii="宋体" w:hAnsi="宋体"/>
                <w:sz w:val="24"/>
              </w:rPr>
            </w:pPr>
            <w:r>
              <w:rPr>
                <w:rFonts w:hint="eastAsia" w:ascii="宋体" w:hAnsi="宋体"/>
                <w:sz w:val="24"/>
              </w:rPr>
              <w:t>序号</w:t>
            </w:r>
          </w:p>
        </w:tc>
        <w:tc>
          <w:tcPr>
            <w:tcW w:w="551" w:type="pct"/>
            <w:noWrap w:val="0"/>
            <w:vAlign w:val="center"/>
          </w:tcPr>
          <w:p>
            <w:pPr>
              <w:jc w:val="center"/>
              <w:rPr>
                <w:rFonts w:hint="eastAsia" w:ascii="宋体" w:hAnsi="宋体"/>
                <w:sz w:val="24"/>
              </w:rPr>
            </w:pPr>
            <w:r>
              <w:rPr>
                <w:rFonts w:hint="eastAsia" w:ascii="宋体" w:hAnsi="宋体"/>
                <w:sz w:val="24"/>
              </w:rPr>
              <w:t>名称</w:t>
            </w:r>
          </w:p>
        </w:tc>
        <w:tc>
          <w:tcPr>
            <w:tcW w:w="497" w:type="pct"/>
            <w:noWrap w:val="0"/>
            <w:vAlign w:val="center"/>
          </w:tcPr>
          <w:p>
            <w:pPr>
              <w:jc w:val="center"/>
              <w:rPr>
                <w:rFonts w:hint="eastAsia" w:ascii="宋体" w:hAnsi="宋体"/>
                <w:sz w:val="24"/>
              </w:rPr>
            </w:pPr>
            <w:r>
              <w:rPr>
                <w:rFonts w:hint="eastAsia" w:ascii="宋体" w:hAnsi="宋体"/>
                <w:sz w:val="24"/>
              </w:rPr>
              <w:t>数量</w:t>
            </w:r>
          </w:p>
        </w:tc>
        <w:tc>
          <w:tcPr>
            <w:tcW w:w="497" w:type="pct"/>
            <w:noWrap w:val="0"/>
            <w:vAlign w:val="center"/>
          </w:tcPr>
          <w:p>
            <w:pPr>
              <w:jc w:val="center"/>
              <w:rPr>
                <w:rFonts w:hint="eastAsia" w:ascii="宋体" w:hAnsi="宋体"/>
                <w:sz w:val="24"/>
              </w:rPr>
            </w:pPr>
            <w:r>
              <w:rPr>
                <w:rFonts w:hint="eastAsia" w:ascii="宋体" w:hAnsi="宋体"/>
                <w:sz w:val="24"/>
              </w:rPr>
              <w:t>单价</w:t>
            </w:r>
          </w:p>
        </w:tc>
        <w:tc>
          <w:tcPr>
            <w:tcW w:w="497" w:type="pct"/>
            <w:noWrap w:val="0"/>
            <w:vAlign w:val="center"/>
          </w:tcPr>
          <w:p>
            <w:pPr>
              <w:jc w:val="center"/>
              <w:rPr>
                <w:rFonts w:hint="eastAsia" w:ascii="宋体" w:hAnsi="宋体"/>
                <w:sz w:val="24"/>
              </w:rPr>
            </w:pPr>
            <w:r>
              <w:rPr>
                <w:rFonts w:hint="eastAsia" w:ascii="宋体" w:hAnsi="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sz w:val="24"/>
              </w:rPr>
            </w:pPr>
            <w:r>
              <w:rPr>
                <w:rFonts w:hint="eastAsia" w:ascii="宋体" w:hAnsi="宋体"/>
                <w:sz w:val="24"/>
              </w:rPr>
              <w:t>1</w:t>
            </w:r>
          </w:p>
        </w:tc>
        <w:tc>
          <w:tcPr>
            <w:tcW w:w="584"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44" w:type="pct"/>
            <w:noWrap w:val="0"/>
            <w:vAlign w:val="top"/>
          </w:tcPr>
          <w:p>
            <w:pPr>
              <w:jc w:val="center"/>
              <w:rPr>
                <w:rFonts w:hint="eastAsia" w:ascii="宋体" w:hAnsi="宋体"/>
                <w:sz w:val="24"/>
              </w:rPr>
            </w:pPr>
            <w:r>
              <w:rPr>
                <w:rFonts w:hint="eastAsia" w:ascii="宋体" w:hAnsi="宋体"/>
                <w:sz w:val="24"/>
              </w:rPr>
              <w:t>5</w:t>
            </w:r>
          </w:p>
        </w:tc>
        <w:tc>
          <w:tcPr>
            <w:tcW w:w="551"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sz w:val="24"/>
              </w:rPr>
            </w:pPr>
            <w:r>
              <w:rPr>
                <w:rFonts w:hint="eastAsia" w:ascii="宋体" w:hAnsi="宋体"/>
                <w:sz w:val="24"/>
              </w:rPr>
              <w:t>2</w:t>
            </w:r>
          </w:p>
        </w:tc>
        <w:tc>
          <w:tcPr>
            <w:tcW w:w="584"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44" w:type="pct"/>
            <w:noWrap w:val="0"/>
            <w:vAlign w:val="top"/>
          </w:tcPr>
          <w:p>
            <w:pPr>
              <w:jc w:val="center"/>
              <w:rPr>
                <w:rFonts w:hint="eastAsia" w:ascii="宋体" w:hAnsi="宋体"/>
                <w:sz w:val="24"/>
              </w:rPr>
            </w:pPr>
            <w:r>
              <w:rPr>
                <w:rFonts w:hint="eastAsia" w:ascii="宋体" w:hAnsi="宋体"/>
                <w:sz w:val="24"/>
              </w:rPr>
              <w:t>6</w:t>
            </w:r>
          </w:p>
        </w:tc>
        <w:tc>
          <w:tcPr>
            <w:tcW w:w="551"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sz w:val="24"/>
              </w:rPr>
            </w:pPr>
            <w:r>
              <w:rPr>
                <w:rFonts w:hint="eastAsia" w:ascii="宋体" w:hAnsi="宋体"/>
                <w:sz w:val="24"/>
              </w:rPr>
              <w:t>3</w:t>
            </w:r>
          </w:p>
        </w:tc>
        <w:tc>
          <w:tcPr>
            <w:tcW w:w="584"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44" w:type="pct"/>
            <w:noWrap w:val="0"/>
            <w:vAlign w:val="top"/>
          </w:tcPr>
          <w:p>
            <w:pPr>
              <w:jc w:val="center"/>
              <w:rPr>
                <w:rFonts w:hint="eastAsia" w:ascii="宋体" w:hAnsi="宋体"/>
                <w:sz w:val="24"/>
              </w:rPr>
            </w:pPr>
            <w:r>
              <w:rPr>
                <w:rFonts w:hint="eastAsia" w:ascii="宋体" w:hAnsi="宋体"/>
                <w:sz w:val="24"/>
              </w:rPr>
              <w:t>7</w:t>
            </w:r>
          </w:p>
        </w:tc>
        <w:tc>
          <w:tcPr>
            <w:tcW w:w="551"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sz w:val="24"/>
              </w:rPr>
            </w:pPr>
            <w:r>
              <w:rPr>
                <w:rFonts w:hint="eastAsia" w:ascii="宋体" w:hAnsi="宋体"/>
                <w:sz w:val="24"/>
              </w:rPr>
              <w:t>4</w:t>
            </w:r>
          </w:p>
        </w:tc>
        <w:tc>
          <w:tcPr>
            <w:tcW w:w="584"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44" w:type="pct"/>
            <w:noWrap w:val="0"/>
            <w:vAlign w:val="top"/>
          </w:tcPr>
          <w:p>
            <w:pPr>
              <w:jc w:val="center"/>
              <w:rPr>
                <w:rFonts w:hint="eastAsia" w:ascii="宋体" w:hAnsi="宋体"/>
                <w:sz w:val="24"/>
              </w:rPr>
            </w:pPr>
            <w:r>
              <w:rPr>
                <w:rFonts w:hint="eastAsia" w:ascii="宋体" w:hAnsi="宋体"/>
                <w:sz w:val="24"/>
              </w:rPr>
              <w:t>8</w:t>
            </w:r>
          </w:p>
        </w:tc>
        <w:tc>
          <w:tcPr>
            <w:tcW w:w="551"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c>
          <w:tcPr>
            <w:tcW w:w="497" w:type="pct"/>
            <w:noWrap w:val="0"/>
            <w:vAlign w:val="top"/>
          </w:tcPr>
          <w:p>
            <w:pPr>
              <w:rPr>
                <w:rFonts w:hint="eastAsia" w:ascii="宋体" w:hAnsi="宋体"/>
                <w:sz w:val="24"/>
              </w:rPr>
            </w:pPr>
          </w:p>
        </w:tc>
      </w:tr>
    </w:tbl>
    <w:p>
      <w:pPr>
        <w:spacing w:before="156" w:after="156"/>
        <w:rPr>
          <w:rFonts w:hint="eastAsia" w:ascii="宋体" w:hAnsi="宋体"/>
          <w:sz w:val="24"/>
        </w:rPr>
      </w:pPr>
      <w:r>
        <w:rPr>
          <w:rFonts w:hint="eastAsia" w:ascii="宋体" w:hAnsi="宋体"/>
          <w:sz w:val="24"/>
        </w:rPr>
        <w:t>（二）安保设备</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997"/>
        <w:gridCol w:w="847"/>
        <w:gridCol w:w="847"/>
        <w:gridCol w:w="847"/>
        <w:gridCol w:w="757"/>
        <w:gridCol w:w="939"/>
        <w:gridCol w:w="847"/>
        <w:gridCol w:w="847"/>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sz w:val="24"/>
              </w:rPr>
            </w:pPr>
            <w:r>
              <w:rPr>
                <w:rFonts w:hint="eastAsia" w:ascii="宋体" w:hAnsi="宋体"/>
                <w:sz w:val="24"/>
              </w:rPr>
              <w:t>序号</w:t>
            </w:r>
          </w:p>
        </w:tc>
        <w:tc>
          <w:tcPr>
            <w:tcW w:w="585" w:type="pct"/>
            <w:noWrap w:val="0"/>
            <w:vAlign w:val="top"/>
          </w:tcPr>
          <w:p>
            <w:pPr>
              <w:jc w:val="center"/>
              <w:rPr>
                <w:rFonts w:hint="eastAsia" w:ascii="宋体" w:hAnsi="宋体"/>
                <w:sz w:val="24"/>
              </w:rPr>
            </w:pPr>
            <w:r>
              <w:rPr>
                <w:rFonts w:hint="eastAsia" w:ascii="宋体" w:hAnsi="宋体"/>
                <w:sz w:val="24"/>
              </w:rPr>
              <w:t>名称</w:t>
            </w:r>
          </w:p>
        </w:tc>
        <w:tc>
          <w:tcPr>
            <w:tcW w:w="497" w:type="pct"/>
            <w:noWrap w:val="0"/>
            <w:vAlign w:val="top"/>
          </w:tcPr>
          <w:p>
            <w:pPr>
              <w:jc w:val="center"/>
              <w:rPr>
                <w:rFonts w:hint="eastAsia" w:ascii="宋体" w:hAnsi="宋体"/>
                <w:sz w:val="24"/>
              </w:rPr>
            </w:pPr>
            <w:r>
              <w:rPr>
                <w:rFonts w:hint="eastAsia" w:ascii="宋体" w:hAnsi="宋体"/>
                <w:sz w:val="24"/>
              </w:rPr>
              <w:t>数量</w:t>
            </w:r>
          </w:p>
        </w:tc>
        <w:tc>
          <w:tcPr>
            <w:tcW w:w="497" w:type="pct"/>
            <w:noWrap w:val="0"/>
            <w:vAlign w:val="top"/>
          </w:tcPr>
          <w:p>
            <w:pPr>
              <w:jc w:val="center"/>
              <w:rPr>
                <w:rFonts w:hint="eastAsia" w:ascii="宋体" w:hAnsi="宋体"/>
                <w:sz w:val="24"/>
              </w:rPr>
            </w:pPr>
            <w:r>
              <w:rPr>
                <w:rFonts w:hint="eastAsia" w:ascii="宋体" w:hAnsi="宋体"/>
                <w:sz w:val="24"/>
              </w:rPr>
              <w:t>单价</w:t>
            </w:r>
          </w:p>
        </w:tc>
        <w:tc>
          <w:tcPr>
            <w:tcW w:w="497" w:type="pct"/>
            <w:noWrap w:val="0"/>
            <w:vAlign w:val="top"/>
          </w:tcPr>
          <w:p>
            <w:pPr>
              <w:jc w:val="center"/>
              <w:rPr>
                <w:rFonts w:hint="eastAsia" w:ascii="宋体" w:hAnsi="宋体"/>
                <w:sz w:val="24"/>
              </w:rPr>
            </w:pPr>
            <w:r>
              <w:rPr>
                <w:rFonts w:hint="eastAsia" w:ascii="宋体" w:hAnsi="宋体"/>
                <w:sz w:val="24"/>
              </w:rPr>
              <w:t>金额</w:t>
            </w:r>
          </w:p>
        </w:tc>
        <w:tc>
          <w:tcPr>
            <w:tcW w:w="444" w:type="pct"/>
            <w:noWrap w:val="0"/>
            <w:vAlign w:val="top"/>
          </w:tcPr>
          <w:p>
            <w:pPr>
              <w:jc w:val="center"/>
              <w:rPr>
                <w:rFonts w:hint="eastAsia" w:ascii="宋体" w:hAnsi="宋体"/>
                <w:sz w:val="24"/>
              </w:rPr>
            </w:pPr>
            <w:r>
              <w:rPr>
                <w:rFonts w:hint="eastAsia" w:ascii="宋体" w:hAnsi="宋体"/>
                <w:sz w:val="24"/>
              </w:rPr>
              <w:t>序号</w:t>
            </w:r>
          </w:p>
        </w:tc>
        <w:tc>
          <w:tcPr>
            <w:tcW w:w="551" w:type="pct"/>
            <w:noWrap w:val="0"/>
            <w:vAlign w:val="top"/>
          </w:tcPr>
          <w:p>
            <w:pPr>
              <w:jc w:val="center"/>
              <w:rPr>
                <w:rFonts w:hint="eastAsia" w:ascii="宋体" w:hAnsi="宋体"/>
                <w:sz w:val="24"/>
              </w:rPr>
            </w:pPr>
            <w:r>
              <w:rPr>
                <w:rFonts w:hint="eastAsia" w:ascii="宋体" w:hAnsi="宋体"/>
                <w:sz w:val="24"/>
              </w:rPr>
              <w:t>名称</w:t>
            </w:r>
          </w:p>
        </w:tc>
        <w:tc>
          <w:tcPr>
            <w:tcW w:w="497" w:type="pct"/>
            <w:noWrap w:val="0"/>
            <w:vAlign w:val="top"/>
          </w:tcPr>
          <w:p>
            <w:pPr>
              <w:jc w:val="center"/>
              <w:rPr>
                <w:rFonts w:hint="eastAsia" w:ascii="宋体" w:hAnsi="宋体"/>
                <w:sz w:val="24"/>
              </w:rPr>
            </w:pPr>
            <w:r>
              <w:rPr>
                <w:rFonts w:hint="eastAsia" w:ascii="宋体" w:hAnsi="宋体"/>
                <w:sz w:val="24"/>
              </w:rPr>
              <w:t>数量</w:t>
            </w:r>
          </w:p>
        </w:tc>
        <w:tc>
          <w:tcPr>
            <w:tcW w:w="497" w:type="pct"/>
            <w:noWrap w:val="0"/>
            <w:vAlign w:val="top"/>
          </w:tcPr>
          <w:p>
            <w:pPr>
              <w:jc w:val="center"/>
              <w:rPr>
                <w:rFonts w:hint="eastAsia" w:ascii="宋体" w:hAnsi="宋体"/>
                <w:sz w:val="24"/>
              </w:rPr>
            </w:pPr>
            <w:r>
              <w:rPr>
                <w:rFonts w:hint="eastAsia" w:ascii="宋体" w:hAnsi="宋体"/>
                <w:sz w:val="24"/>
              </w:rPr>
              <w:t>单价</w:t>
            </w:r>
          </w:p>
        </w:tc>
        <w:tc>
          <w:tcPr>
            <w:tcW w:w="496" w:type="pct"/>
            <w:noWrap w:val="0"/>
            <w:vAlign w:val="top"/>
          </w:tcPr>
          <w:p>
            <w:pPr>
              <w:jc w:val="center"/>
              <w:rPr>
                <w:rFonts w:hint="eastAsia" w:ascii="宋体" w:hAnsi="宋体"/>
                <w:sz w:val="24"/>
              </w:rPr>
            </w:pPr>
            <w:r>
              <w:rPr>
                <w:rFonts w:hint="eastAsia" w:ascii="宋体" w:hAnsi="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sz w:val="24"/>
              </w:rPr>
            </w:pPr>
            <w:r>
              <w:rPr>
                <w:rFonts w:hint="eastAsia" w:ascii="宋体" w:hAnsi="宋体"/>
                <w:sz w:val="24"/>
              </w:rPr>
              <w:t>1</w:t>
            </w:r>
          </w:p>
        </w:tc>
        <w:tc>
          <w:tcPr>
            <w:tcW w:w="585"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44" w:type="pct"/>
            <w:noWrap w:val="0"/>
            <w:vAlign w:val="top"/>
          </w:tcPr>
          <w:p>
            <w:pPr>
              <w:jc w:val="center"/>
              <w:rPr>
                <w:rFonts w:hint="eastAsia" w:ascii="宋体" w:hAnsi="宋体"/>
                <w:sz w:val="24"/>
              </w:rPr>
            </w:pPr>
            <w:r>
              <w:rPr>
                <w:rFonts w:hint="eastAsia" w:ascii="宋体" w:hAnsi="宋体"/>
                <w:sz w:val="24"/>
              </w:rPr>
              <w:t>5</w:t>
            </w:r>
          </w:p>
        </w:tc>
        <w:tc>
          <w:tcPr>
            <w:tcW w:w="551"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6" w:type="pct"/>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sz w:val="24"/>
              </w:rPr>
            </w:pPr>
            <w:r>
              <w:rPr>
                <w:rFonts w:hint="eastAsia" w:ascii="宋体" w:hAnsi="宋体"/>
                <w:sz w:val="24"/>
              </w:rPr>
              <w:t>2</w:t>
            </w:r>
          </w:p>
        </w:tc>
        <w:tc>
          <w:tcPr>
            <w:tcW w:w="585"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44" w:type="pct"/>
            <w:noWrap w:val="0"/>
            <w:vAlign w:val="top"/>
          </w:tcPr>
          <w:p>
            <w:pPr>
              <w:jc w:val="center"/>
              <w:rPr>
                <w:rFonts w:hint="eastAsia" w:ascii="宋体" w:hAnsi="宋体"/>
                <w:sz w:val="24"/>
              </w:rPr>
            </w:pPr>
            <w:r>
              <w:rPr>
                <w:rFonts w:hint="eastAsia" w:ascii="宋体" w:hAnsi="宋体"/>
                <w:sz w:val="24"/>
              </w:rPr>
              <w:t>6</w:t>
            </w:r>
          </w:p>
        </w:tc>
        <w:tc>
          <w:tcPr>
            <w:tcW w:w="551"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6" w:type="pct"/>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sz w:val="24"/>
              </w:rPr>
            </w:pPr>
            <w:r>
              <w:rPr>
                <w:rFonts w:hint="eastAsia" w:ascii="宋体" w:hAnsi="宋体"/>
                <w:sz w:val="24"/>
              </w:rPr>
              <w:t>3</w:t>
            </w:r>
          </w:p>
        </w:tc>
        <w:tc>
          <w:tcPr>
            <w:tcW w:w="585"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44" w:type="pct"/>
            <w:noWrap w:val="0"/>
            <w:vAlign w:val="top"/>
          </w:tcPr>
          <w:p>
            <w:pPr>
              <w:jc w:val="center"/>
              <w:rPr>
                <w:rFonts w:hint="eastAsia" w:ascii="宋体" w:hAnsi="宋体"/>
                <w:sz w:val="24"/>
              </w:rPr>
            </w:pPr>
            <w:r>
              <w:rPr>
                <w:rFonts w:hint="eastAsia" w:ascii="宋体" w:hAnsi="宋体"/>
                <w:sz w:val="24"/>
              </w:rPr>
              <w:t>7</w:t>
            </w:r>
          </w:p>
        </w:tc>
        <w:tc>
          <w:tcPr>
            <w:tcW w:w="551"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6" w:type="pct"/>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sz w:val="24"/>
              </w:rPr>
            </w:pPr>
            <w:r>
              <w:rPr>
                <w:rFonts w:hint="eastAsia" w:ascii="宋体" w:hAnsi="宋体"/>
                <w:sz w:val="24"/>
              </w:rPr>
              <w:t>4</w:t>
            </w:r>
          </w:p>
        </w:tc>
        <w:tc>
          <w:tcPr>
            <w:tcW w:w="585"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44" w:type="pct"/>
            <w:noWrap w:val="0"/>
            <w:vAlign w:val="top"/>
          </w:tcPr>
          <w:p>
            <w:pPr>
              <w:jc w:val="center"/>
              <w:rPr>
                <w:rFonts w:hint="eastAsia" w:ascii="宋体" w:hAnsi="宋体"/>
                <w:sz w:val="24"/>
              </w:rPr>
            </w:pPr>
            <w:r>
              <w:rPr>
                <w:rFonts w:hint="eastAsia" w:ascii="宋体" w:hAnsi="宋体"/>
                <w:sz w:val="24"/>
              </w:rPr>
              <w:t>8</w:t>
            </w:r>
          </w:p>
        </w:tc>
        <w:tc>
          <w:tcPr>
            <w:tcW w:w="551"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6" w:type="pct"/>
            <w:noWrap w:val="0"/>
            <w:vAlign w:val="top"/>
          </w:tcPr>
          <w:p>
            <w:pPr>
              <w:jc w:val="center"/>
              <w:rPr>
                <w:rFonts w:hint="eastAsia" w:ascii="宋体" w:hAnsi="宋体"/>
                <w:sz w:val="24"/>
              </w:rPr>
            </w:pPr>
          </w:p>
        </w:tc>
      </w:tr>
    </w:tbl>
    <w:p>
      <w:pPr>
        <w:spacing w:before="156" w:after="156"/>
        <w:rPr>
          <w:rFonts w:hint="eastAsia" w:ascii="宋体" w:hAnsi="宋体"/>
          <w:sz w:val="24"/>
        </w:rPr>
      </w:pPr>
      <w:r>
        <w:rPr>
          <w:rFonts w:hint="eastAsia" w:ascii="宋体" w:hAnsi="宋体"/>
          <w:sz w:val="24"/>
        </w:rPr>
        <w:t>（三）其它设备</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997"/>
        <w:gridCol w:w="847"/>
        <w:gridCol w:w="847"/>
        <w:gridCol w:w="847"/>
        <w:gridCol w:w="757"/>
        <w:gridCol w:w="939"/>
        <w:gridCol w:w="847"/>
        <w:gridCol w:w="847"/>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0" w:type="pct"/>
            <w:noWrap w:val="0"/>
            <w:vAlign w:val="top"/>
          </w:tcPr>
          <w:p>
            <w:pPr>
              <w:jc w:val="center"/>
              <w:rPr>
                <w:rFonts w:hint="eastAsia" w:ascii="宋体" w:hAnsi="宋体"/>
                <w:sz w:val="24"/>
              </w:rPr>
            </w:pPr>
            <w:r>
              <w:rPr>
                <w:rFonts w:hint="eastAsia" w:ascii="宋体" w:hAnsi="宋体"/>
                <w:sz w:val="24"/>
              </w:rPr>
              <w:t>序号</w:t>
            </w:r>
          </w:p>
        </w:tc>
        <w:tc>
          <w:tcPr>
            <w:tcW w:w="585" w:type="pct"/>
            <w:noWrap w:val="0"/>
            <w:vAlign w:val="top"/>
          </w:tcPr>
          <w:p>
            <w:pPr>
              <w:jc w:val="center"/>
              <w:rPr>
                <w:rFonts w:hint="eastAsia" w:ascii="宋体" w:hAnsi="宋体"/>
                <w:sz w:val="24"/>
              </w:rPr>
            </w:pPr>
            <w:r>
              <w:rPr>
                <w:rFonts w:hint="eastAsia" w:ascii="宋体" w:hAnsi="宋体"/>
                <w:sz w:val="24"/>
              </w:rPr>
              <w:t>名称</w:t>
            </w:r>
          </w:p>
        </w:tc>
        <w:tc>
          <w:tcPr>
            <w:tcW w:w="497" w:type="pct"/>
            <w:noWrap w:val="0"/>
            <w:vAlign w:val="top"/>
          </w:tcPr>
          <w:p>
            <w:pPr>
              <w:jc w:val="center"/>
              <w:rPr>
                <w:rFonts w:hint="eastAsia" w:ascii="宋体" w:hAnsi="宋体"/>
                <w:sz w:val="24"/>
              </w:rPr>
            </w:pPr>
            <w:r>
              <w:rPr>
                <w:rFonts w:hint="eastAsia" w:ascii="宋体" w:hAnsi="宋体"/>
                <w:sz w:val="24"/>
              </w:rPr>
              <w:t>数量</w:t>
            </w:r>
          </w:p>
        </w:tc>
        <w:tc>
          <w:tcPr>
            <w:tcW w:w="497" w:type="pct"/>
            <w:noWrap w:val="0"/>
            <w:vAlign w:val="top"/>
          </w:tcPr>
          <w:p>
            <w:pPr>
              <w:jc w:val="center"/>
              <w:rPr>
                <w:rFonts w:hint="eastAsia" w:ascii="宋体" w:hAnsi="宋体"/>
                <w:sz w:val="24"/>
              </w:rPr>
            </w:pPr>
            <w:r>
              <w:rPr>
                <w:rFonts w:hint="eastAsia" w:ascii="宋体" w:hAnsi="宋体"/>
                <w:sz w:val="24"/>
              </w:rPr>
              <w:t>单价</w:t>
            </w:r>
          </w:p>
        </w:tc>
        <w:tc>
          <w:tcPr>
            <w:tcW w:w="497" w:type="pct"/>
            <w:noWrap w:val="0"/>
            <w:vAlign w:val="top"/>
          </w:tcPr>
          <w:p>
            <w:pPr>
              <w:jc w:val="center"/>
              <w:rPr>
                <w:rFonts w:hint="eastAsia" w:ascii="宋体" w:hAnsi="宋体"/>
                <w:sz w:val="24"/>
              </w:rPr>
            </w:pPr>
            <w:r>
              <w:rPr>
                <w:rFonts w:hint="eastAsia" w:ascii="宋体" w:hAnsi="宋体"/>
                <w:sz w:val="24"/>
              </w:rPr>
              <w:t>金额</w:t>
            </w:r>
          </w:p>
        </w:tc>
        <w:tc>
          <w:tcPr>
            <w:tcW w:w="444" w:type="pct"/>
            <w:noWrap w:val="0"/>
            <w:vAlign w:val="top"/>
          </w:tcPr>
          <w:p>
            <w:pPr>
              <w:jc w:val="center"/>
              <w:rPr>
                <w:rFonts w:hint="eastAsia" w:ascii="宋体" w:hAnsi="宋体"/>
                <w:sz w:val="24"/>
              </w:rPr>
            </w:pPr>
            <w:r>
              <w:rPr>
                <w:rFonts w:hint="eastAsia" w:ascii="宋体" w:hAnsi="宋体"/>
                <w:sz w:val="24"/>
              </w:rPr>
              <w:t>序号</w:t>
            </w:r>
          </w:p>
        </w:tc>
        <w:tc>
          <w:tcPr>
            <w:tcW w:w="551" w:type="pct"/>
            <w:noWrap w:val="0"/>
            <w:vAlign w:val="top"/>
          </w:tcPr>
          <w:p>
            <w:pPr>
              <w:jc w:val="center"/>
              <w:rPr>
                <w:rFonts w:hint="eastAsia" w:ascii="宋体" w:hAnsi="宋体"/>
                <w:sz w:val="24"/>
              </w:rPr>
            </w:pPr>
            <w:r>
              <w:rPr>
                <w:rFonts w:hint="eastAsia" w:ascii="宋体" w:hAnsi="宋体"/>
                <w:sz w:val="24"/>
              </w:rPr>
              <w:t>名称</w:t>
            </w:r>
          </w:p>
        </w:tc>
        <w:tc>
          <w:tcPr>
            <w:tcW w:w="497" w:type="pct"/>
            <w:noWrap w:val="0"/>
            <w:vAlign w:val="top"/>
          </w:tcPr>
          <w:p>
            <w:pPr>
              <w:jc w:val="center"/>
              <w:rPr>
                <w:rFonts w:hint="eastAsia" w:ascii="宋体" w:hAnsi="宋体"/>
                <w:sz w:val="24"/>
              </w:rPr>
            </w:pPr>
            <w:r>
              <w:rPr>
                <w:rFonts w:hint="eastAsia" w:ascii="宋体" w:hAnsi="宋体"/>
                <w:sz w:val="24"/>
              </w:rPr>
              <w:t>数量</w:t>
            </w:r>
          </w:p>
        </w:tc>
        <w:tc>
          <w:tcPr>
            <w:tcW w:w="497" w:type="pct"/>
            <w:noWrap w:val="0"/>
            <w:vAlign w:val="top"/>
          </w:tcPr>
          <w:p>
            <w:pPr>
              <w:jc w:val="center"/>
              <w:rPr>
                <w:rFonts w:hint="eastAsia" w:ascii="宋体" w:hAnsi="宋体"/>
                <w:sz w:val="24"/>
              </w:rPr>
            </w:pPr>
            <w:r>
              <w:rPr>
                <w:rFonts w:hint="eastAsia" w:ascii="宋体" w:hAnsi="宋体"/>
                <w:sz w:val="24"/>
              </w:rPr>
              <w:t>单价</w:t>
            </w:r>
          </w:p>
        </w:tc>
        <w:tc>
          <w:tcPr>
            <w:tcW w:w="496" w:type="pct"/>
            <w:noWrap w:val="0"/>
            <w:vAlign w:val="top"/>
          </w:tcPr>
          <w:p>
            <w:pPr>
              <w:jc w:val="center"/>
              <w:rPr>
                <w:rFonts w:hint="eastAsia" w:ascii="宋体" w:hAnsi="宋体"/>
                <w:sz w:val="24"/>
              </w:rPr>
            </w:pPr>
            <w:r>
              <w:rPr>
                <w:rFonts w:hint="eastAsia" w:ascii="宋体" w:hAnsi="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sz w:val="24"/>
              </w:rPr>
            </w:pPr>
            <w:r>
              <w:rPr>
                <w:rFonts w:hint="eastAsia" w:ascii="宋体" w:hAnsi="宋体"/>
                <w:sz w:val="24"/>
              </w:rPr>
              <w:t>1</w:t>
            </w:r>
          </w:p>
        </w:tc>
        <w:tc>
          <w:tcPr>
            <w:tcW w:w="585"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44" w:type="pct"/>
            <w:noWrap w:val="0"/>
            <w:vAlign w:val="top"/>
          </w:tcPr>
          <w:p>
            <w:pPr>
              <w:jc w:val="center"/>
              <w:rPr>
                <w:rFonts w:hint="eastAsia" w:ascii="宋体" w:hAnsi="宋体"/>
                <w:sz w:val="24"/>
              </w:rPr>
            </w:pPr>
            <w:r>
              <w:rPr>
                <w:rFonts w:hint="eastAsia" w:ascii="宋体" w:hAnsi="宋体"/>
                <w:sz w:val="24"/>
              </w:rPr>
              <w:t>5</w:t>
            </w:r>
          </w:p>
        </w:tc>
        <w:tc>
          <w:tcPr>
            <w:tcW w:w="551"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6" w:type="pct"/>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sz w:val="24"/>
              </w:rPr>
            </w:pPr>
            <w:r>
              <w:rPr>
                <w:rFonts w:hint="eastAsia" w:ascii="宋体" w:hAnsi="宋体"/>
                <w:sz w:val="24"/>
              </w:rPr>
              <w:t>2</w:t>
            </w:r>
          </w:p>
        </w:tc>
        <w:tc>
          <w:tcPr>
            <w:tcW w:w="585"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44" w:type="pct"/>
            <w:noWrap w:val="0"/>
            <w:vAlign w:val="top"/>
          </w:tcPr>
          <w:p>
            <w:pPr>
              <w:jc w:val="center"/>
              <w:rPr>
                <w:rFonts w:hint="eastAsia" w:ascii="宋体" w:hAnsi="宋体"/>
                <w:sz w:val="24"/>
              </w:rPr>
            </w:pPr>
            <w:r>
              <w:rPr>
                <w:rFonts w:hint="eastAsia" w:ascii="宋体" w:hAnsi="宋体"/>
                <w:sz w:val="24"/>
              </w:rPr>
              <w:t>6</w:t>
            </w:r>
          </w:p>
        </w:tc>
        <w:tc>
          <w:tcPr>
            <w:tcW w:w="551"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6" w:type="pct"/>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sz w:val="24"/>
              </w:rPr>
            </w:pPr>
            <w:r>
              <w:rPr>
                <w:rFonts w:hint="eastAsia" w:ascii="宋体" w:hAnsi="宋体"/>
                <w:sz w:val="24"/>
              </w:rPr>
              <w:t>3</w:t>
            </w:r>
          </w:p>
        </w:tc>
        <w:tc>
          <w:tcPr>
            <w:tcW w:w="585"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44" w:type="pct"/>
            <w:noWrap w:val="0"/>
            <w:vAlign w:val="top"/>
          </w:tcPr>
          <w:p>
            <w:pPr>
              <w:jc w:val="center"/>
              <w:rPr>
                <w:rFonts w:hint="eastAsia" w:ascii="宋体" w:hAnsi="宋体"/>
                <w:sz w:val="24"/>
              </w:rPr>
            </w:pPr>
            <w:r>
              <w:rPr>
                <w:rFonts w:hint="eastAsia" w:ascii="宋体" w:hAnsi="宋体"/>
                <w:sz w:val="24"/>
              </w:rPr>
              <w:t>7</w:t>
            </w:r>
          </w:p>
        </w:tc>
        <w:tc>
          <w:tcPr>
            <w:tcW w:w="551"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6" w:type="pct"/>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sz w:val="24"/>
              </w:rPr>
            </w:pPr>
            <w:r>
              <w:rPr>
                <w:rFonts w:hint="eastAsia" w:ascii="宋体" w:hAnsi="宋体"/>
                <w:sz w:val="24"/>
              </w:rPr>
              <w:t>4</w:t>
            </w:r>
          </w:p>
        </w:tc>
        <w:tc>
          <w:tcPr>
            <w:tcW w:w="585"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44" w:type="pct"/>
            <w:noWrap w:val="0"/>
            <w:vAlign w:val="top"/>
          </w:tcPr>
          <w:p>
            <w:pPr>
              <w:jc w:val="center"/>
              <w:rPr>
                <w:rFonts w:hint="eastAsia" w:ascii="宋体" w:hAnsi="宋体"/>
                <w:sz w:val="24"/>
              </w:rPr>
            </w:pPr>
            <w:r>
              <w:rPr>
                <w:rFonts w:hint="eastAsia" w:ascii="宋体" w:hAnsi="宋体"/>
                <w:sz w:val="24"/>
              </w:rPr>
              <w:t>8</w:t>
            </w:r>
          </w:p>
        </w:tc>
        <w:tc>
          <w:tcPr>
            <w:tcW w:w="551"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7" w:type="pct"/>
            <w:noWrap w:val="0"/>
            <w:vAlign w:val="top"/>
          </w:tcPr>
          <w:p>
            <w:pPr>
              <w:jc w:val="center"/>
              <w:rPr>
                <w:rFonts w:hint="eastAsia" w:ascii="宋体" w:hAnsi="宋体"/>
                <w:sz w:val="24"/>
              </w:rPr>
            </w:pPr>
          </w:p>
        </w:tc>
        <w:tc>
          <w:tcPr>
            <w:tcW w:w="496" w:type="pct"/>
            <w:noWrap w:val="0"/>
            <w:vAlign w:val="top"/>
          </w:tcPr>
          <w:p>
            <w:pPr>
              <w:jc w:val="center"/>
              <w:rPr>
                <w:rFonts w:hint="eastAsia" w:ascii="宋体" w:hAnsi="宋体"/>
                <w:sz w:val="24"/>
              </w:rPr>
            </w:pPr>
          </w:p>
        </w:tc>
      </w:tr>
    </w:tbl>
    <w:p>
      <w:pPr>
        <w:spacing w:before="156" w:after="156"/>
        <w:jc w:val="center"/>
        <w:rPr>
          <w:rFonts w:hint="eastAsia" w:ascii="宋体" w:hAnsi="宋体"/>
          <w:bCs/>
          <w:sz w:val="24"/>
        </w:rPr>
      </w:pPr>
      <w:r>
        <w:rPr>
          <w:rFonts w:hint="eastAsia" w:ascii="宋体" w:hAnsi="宋体"/>
          <w:bCs/>
          <w:sz w:val="24"/>
        </w:rPr>
        <w:t>其它根据项目要求自行增删表格……</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tabs>
          <w:tab w:val="left" w:pos="1575"/>
        </w:tabs>
        <w:spacing w:line="560" w:lineRule="exact"/>
        <w:jc w:val="center"/>
        <w:rPr>
          <w:rFonts w:hint="eastAsia" w:ascii="仿宋_GB2312" w:eastAsia="仿宋_GB2312"/>
          <w:b/>
          <w:sz w:val="30"/>
          <w:szCs w:val="30"/>
        </w:rPr>
      </w:pPr>
      <w:r>
        <w:rPr>
          <w:rFonts w:hint="eastAsia" w:ascii="仿宋_GB2312" w:eastAsia="仿宋_GB2312"/>
          <w:b/>
          <w:sz w:val="30"/>
          <w:szCs w:val="30"/>
        </w:rPr>
        <w:t>六、投标人情况介绍</w:t>
      </w:r>
    </w:p>
    <w:p>
      <w:pPr>
        <w:tabs>
          <w:tab w:val="left" w:pos="1575"/>
        </w:tabs>
        <w:spacing w:line="560" w:lineRule="exact"/>
        <w:jc w:val="center"/>
        <w:rPr>
          <w:rFonts w:ascii="仿宋_GB2312" w:eastAsia="仿宋_GB2312"/>
          <w:b/>
          <w:sz w:val="30"/>
          <w:szCs w:val="30"/>
        </w:rPr>
      </w:pPr>
    </w:p>
    <w:tbl>
      <w:tblPr>
        <w:tblStyle w:val="2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2340"/>
        <w:gridCol w:w="1800"/>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9" w:type="dxa"/>
            <w:noWrap w:val="0"/>
            <w:vAlign w:val="center"/>
          </w:tcPr>
          <w:p>
            <w:pPr>
              <w:jc w:val="center"/>
              <w:rPr>
                <w:sz w:val="24"/>
              </w:rPr>
            </w:pPr>
            <w:r>
              <w:rPr>
                <w:rFonts w:hint="eastAsia"/>
                <w:sz w:val="24"/>
              </w:rPr>
              <w:t>投标人名称</w:t>
            </w:r>
          </w:p>
        </w:tc>
        <w:tc>
          <w:tcPr>
            <w:tcW w:w="2340" w:type="dxa"/>
            <w:noWrap w:val="0"/>
            <w:vAlign w:val="center"/>
          </w:tcPr>
          <w:p>
            <w:pPr>
              <w:jc w:val="center"/>
              <w:rPr>
                <w:sz w:val="24"/>
              </w:rPr>
            </w:pPr>
            <w:r>
              <w:rPr>
                <w:rFonts w:hint="eastAsia"/>
                <w:sz w:val="24"/>
              </w:rPr>
              <w:t>注册年度及注册编号</w:t>
            </w:r>
          </w:p>
        </w:tc>
        <w:tc>
          <w:tcPr>
            <w:tcW w:w="1800" w:type="dxa"/>
            <w:noWrap w:val="0"/>
            <w:vAlign w:val="center"/>
          </w:tcPr>
          <w:p>
            <w:pPr>
              <w:jc w:val="center"/>
              <w:rPr>
                <w:sz w:val="24"/>
              </w:rPr>
            </w:pPr>
            <w:r>
              <w:rPr>
                <w:rFonts w:hint="eastAsia"/>
                <w:sz w:val="24"/>
              </w:rPr>
              <w:t>注册资金（万元）</w:t>
            </w:r>
          </w:p>
        </w:tc>
        <w:tc>
          <w:tcPr>
            <w:tcW w:w="3294" w:type="dxa"/>
            <w:noWrap w:val="0"/>
            <w:vAlign w:val="center"/>
          </w:tcPr>
          <w:p>
            <w:pPr>
              <w:jc w:val="center"/>
              <w:rPr>
                <w:sz w:val="24"/>
              </w:rPr>
            </w:pPr>
            <w:r>
              <w:rPr>
                <w:rFonts w:hint="eastAsia"/>
                <w:sz w:val="24"/>
              </w:rPr>
              <w:t>资格（质）证书批准单位、等级</w:t>
            </w:r>
          </w:p>
          <w:p>
            <w:pPr>
              <w:jc w:val="center"/>
              <w:rPr>
                <w:sz w:val="24"/>
              </w:rPr>
            </w:pPr>
            <w:r>
              <w:rPr>
                <w:rFonts w:hint="eastAsia"/>
                <w:sz w:val="24"/>
              </w:rPr>
              <w:t>批准时间及编号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9" w:type="dxa"/>
            <w:noWrap w:val="0"/>
            <w:vAlign w:val="center"/>
          </w:tcPr>
          <w:p>
            <w:pPr>
              <w:jc w:val="center"/>
              <w:rPr>
                <w:sz w:val="24"/>
              </w:rPr>
            </w:pPr>
          </w:p>
        </w:tc>
        <w:tc>
          <w:tcPr>
            <w:tcW w:w="2340" w:type="dxa"/>
            <w:noWrap w:val="0"/>
            <w:vAlign w:val="center"/>
          </w:tcPr>
          <w:p>
            <w:pPr>
              <w:jc w:val="center"/>
              <w:rPr>
                <w:sz w:val="24"/>
              </w:rPr>
            </w:pPr>
          </w:p>
        </w:tc>
        <w:tc>
          <w:tcPr>
            <w:tcW w:w="1800" w:type="dxa"/>
            <w:noWrap w:val="0"/>
            <w:vAlign w:val="center"/>
          </w:tcPr>
          <w:p>
            <w:pPr>
              <w:jc w:val="center"/>
              <w:rPr>
                <w:sz w:val="24"/>
              </w:rPr>
            </w:pPr>
          </w:p>
        </w:tc>
        <w:tc>
          <w:tcPr>
            <w:tcW w:w="329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9" w:type="dxa"/>
            <w:noWrap w:val="0"/>
            <w:vAlign w:val="center"/>
          </w:tcPr>
          <w:p>
            <w:pPr>
              <w:jc w:val="center"/>
              <w:rPr>
                <w:sz w:val="24"/>
              </w:rPr>
            </w:pPr>
            <w:r>
              <w:rPr>
                <w:rFonts w:hint="eastAsia"/>
                <w:sz w:val="24"/>
              </w:rPr>
              <w:t>税务登记证编号</w:t>
            </w:r>
          </w:p>
        </w:tc>
        <w:tc>
          <w:tcPr>
            <w:tcW w:w="2340" w:type="dxa"/>
            <w:noWrap w:val="0"/>
            <w:vAlign w:val="center"/>
          </w:tcPr>
          <w:p>
            <w:pPr>
              <w:jc w:val="center"/>
              <w:rPr>
                <w:sz w:val="24"/>
              </w:rPr>
            </w:pPr>
            <w:r>
              <w:rPr>
                <w:rFonts w:hint="eastAsia"/>
                <w:sz w:val="24"/>
              </w:rPr>
              <w:t>经营场所</w:t>
            </w:r>
          </w:p>
        </w:tc>
        <w:tc>
          <w:tcPr>
            <w:tcW w:w="1800" w:type="dxa"/>
            <w:noWrap w:val="0"/>
            <w:vAlign w:val="center"/>
          </w:tcPr>
          <w:p>
            <w:pPr>
              <w:jc w:val="center"/>
              <w:rPr>
                <w:sz w:val="24"/>
              </w:rPr>
            </w:pPr>
            <w:r>
              <w:rPr>
                <w:rFonts w:hint="eastAsia"/>
                <w:sz w:val="24"/>
              </w:rPr>
              <w:t>在职技术人数</w:t>
            </w:r>
          </w:p>
        </w:tc>
        <w:tc>
          <w:tcPr>
            <w:tcW w:w="3294" w:type="dxa"/>
            <w:noWrap w:val="0"/>
            <w:vAlign w:val="center"/>
          </w:tcPr>
          <w:p>
            <w:pPr>
              <w:jc w:val="center"/>
              <w:rPr>
                <w:sz w:val="24"/>
              </w:rPr>
            </w:pPr>
            <w:r>
              <w:rPr>
                <w:rFonts w:hint="eastAsia"/>
                <w:sz w:val="24"/>
              </w:rPr>
              <w:t>得奖或评优项目数量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9" w:type="dxa"/>
            <w:noWrap w:val="0"/>
            <w:vAlign w:val="center"/>
          </w:tcPr>
          <w:p>
            <w:pPr>
              <w:rPr>
                <w:sz w:val="24"/>
              </w:rPr>
            </w:pPr>
          </w:p>
        </w:tc>
        <w:tc>
          <w:tcPr>
            <w:tcW w:w="2340" w:type="dxa"/>
            <w:noWrap w:val="0"/>
            <w:vAlign w:val="center"/>
          </w:tcPr>
          <w:p>
            <w:pPr>
              <w:rPr>
                <w:sz w:val="24"/>
              </w:rPr>
            </w:pPr>
          </w:p>
        </w:tc>
        <w:tc>
          <w:tcPr>
            <w:tcW w:w="1800" w:type="dxa"/>
            <w:noWrap w:val="0"/>
            <w:vAlign w:val="center"/>
          </w:tcPr>
          <w:p>
            <w:pPr>
              <w:rPr>
                <w:sz w:val="24"/>
              </w:rPr>
            </w:pPr>
          </w:p>
        </w:tc>
        <w:tc>
          <w:tcPr>
            <w:tcW w:w="3294" w:type="dxa"/>
            <w:noWrap w:val="0"/>
            <w:vAlign w:val="center"/>
          </w:tcPr>
          <w:p>
            <w:pPr>
              <w:rPr>
                <w:sz w:val="24"/>
              </w:rPr>
            </w:pPr>
          </w:p>
        </w:tc>
      </w:tr>
    </w:tbl>
    <w:p>
      <w:pPr>
        <w:ind w:left="632" w:hanging="632"/>
        <w:rPr>
          <w:b/>
        </w:rPr>
      </w:pPr>
      <w:r>
        <w:rPr>
          <w:rFonts w:hint="eastAsia"/>
          <w:b/>
        </w:rPr>
        <w:t>注：1、在按要求填写好此表格后，各投标单位可以用其它的方式，就公司整体情况作出详细的介绍。</w:t>
      </w:r>
    </w:p>
    <w:p>
      <w:pPr>
        <w:ind w:firstLine="420"/>
        <w:rPr>
          <w:b/>
        </w:rPr>
      </w:pPr>
      <w:r>
        <w:rPr>
          <w:rFonts w:hint="eastAsia"/>
          <w:b/>
        </w:rPr>
        <w:t>2、有关资质和获奖情况需提供证书复印件。</w:t>
      </w:r>
    </w:p>
    <w:p>
      <w:pPr>
        <w:tabs>
          <w:tab w:val="left" w:pos="1575"/>
        </w:tabs>
        <w:spacing w:line="560" w:lineRule="exact"/>
        <w:jc w:val="center"/>
        <w:rPr>
          <w:rFonts w:hint="eastAsia" w:ascii="仿宋_GB2312" w:eastAsia="仿宋_GB2312"/>
          <w:b/>
          <w:sz w:val="30"/>
          <w:szCs w:val="30"/>
        </w:rPr>
      </w:pPr>
      <w:r>
        <w:rPr>
          <w:rFonts w:ascii="宋体" w:hAnsi="宋体"/>
          <w:b/>
          <w:bCs/>
          <w:sz w:val="28"/>
        </w:rPr>
        <w:br w:type="page"/>
      </w:r>
      <w:r>
        <w:rPr>
          <w:rFonts w:hint="eastAsia" w:ascii="仿宋_GB2312" w:eastAsia="仿宋_GB2312"/>
          <w:b/>
          <w:sz w:val="30"/>
          <w:szCs w:val="30"/>
        </w:rPr>
        <w:t>七、类似项目案例</w:t>
      </w:r>
    </w:p>
    <w:p>
      <w:pPr>
        <w:tabs>
          <w:tab w:val="left" w:pos="1575"/>
        </w:tabs>
        <w:spacing w:line="560" w:lineRule="exact"/>
        <w:jc w:val="center"/>
        <w:rPr>
          <w:rFonts w:ascii="宋体" w:hAnsi="宋体"/>
          <w:b/>
          <w:bCs/>
          <w:sz w:val="28"/>
        </w:rPr>
      </w:pPr>
    </w:p>
    <w:tbl>
      <w:tblPr>
        <w:tblStyle w:val="20"/>
        <w:tblW w:w="953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571"/>
        <w:gridCol w:w="1440"/>
        <w:gridCol w:w="1320"/>
        <w:gridCol w:w="1169"/>
        <w:gridCol w:w="792"/>
        <w:gridCol w:w="851"/>
        <w:gridCol w:w="877"/>
        <w:gridCol w:w="1260"/>
        <w:gridCol w:w="12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571" w:type="dxa"/>
            <w:noWrap w:val="0"/>
            <w:vAlign w:val="center"/>
          </w:tcPr>
          <w:p>
            <w:r>
              <w:rPr>
                <w:rFonts w:hint="eastAsia"/>
              </w:rPr>
              <w:t>序号</w:t>
            </w:r>
          </w:p>
        </w:tc>
        <w:tc>
          <w:tcPr>
            <w:tcW w:w="1440" w:type="dxa"/>
            <w:noWrap w:val="0"/>
            <w:vAlign w:val="center"/>
          </w:tcPr>
          <w:p>
            <w:pPr>
              <w:jc w:val="center"/>
            </w:pPr>
            <w:r>
              <w:rPr>
                <w:rFonts w:hint="eastAsia"/>
              </w:rPr>
              <w:t>物业名称</w:t>
            </w:r>
          </w:p>
        </w:tc>
        <w:tc>
          <w:tcPr>
            <w:tcW w:w="1320" w:type="dxa"/>
            <w:noWrap w:val="0"/>
            <w:vAlign w:val="center"/>
          </w:tcPr>
          <w:p>
            <w:pPr>
              <w:jc w:val="center"/>
            </w:pPr>
            <w:r>
              <w:rPr>
                <w:rFonts w:hint="eastAsia"/>
              </w:rPr>
              <w:t>业主</w:t>
            </w:r>
          </w:p>
        </w:tc>
        <w:tc>
          <w:tcPr>
            <w:tcW w:w="1169" w:type="dxa"/>
            <w:noWrap w:val="0"/>
            <w:vAlign w:val="center"/>
          </w:tcPr>
          <w:p>
            <w:pPr>
              <w:jc w:val="center"/>
            </w:pPr>
            <w:r>
              <w:rPr>
                <w:rFonts w:hint="eastAsia"/>
              </w:rPr>
              <w:t>医院等级</w:t>
            </w:r>
          </w:p>
        </w:tc>
        <w:tc>
          <w:tcPr>
            <w:tcW w:w="792" w:type="dxa"/>
            <w:noWrap w:val="0"/>
            <w:vAlign w:val="center"/>
          </w:tcPr>
          <w:p>
            <w:pPr>
              <w:jc w:val="center"/>
            </w:pPr>
            <w:r>
              <w:rPr>
                <w:rFonts w:hint="eastAsia"/>
              </w:rPr>
              <w:t>合同金额</w:t>
            </w:r>
          </w:p>
        </w:tc>
        <w:tc>
          <w:tcPr>
            <w:tcW w:w="851" w:type="dxa"/>
            <w:noWrap w:val="0"/>
            <w:vAlign w:val="center"/>
          </w:tcPr>
          <w:p>
            <w:pPr>
              <w:jc w:val="center"/>
            </w:pPr>
            <w:r>
              <w:rPr>
                <w:rFonts w:hint="eastAsia"/>
              </w:rPr>
              <w:t>合同起始时间</w:t>
            </w:r>
          </w:p>
        </w:tc>
        <w:tc>
          <w:tcPr>
            <w:tcW w:w="877" w:type="dxa"/>
            <w:noWrap w:val="0"/>
            <w:vAlign w:val="center"/>
          </w:tcPr>
          <w:p>
            <w:pPr>
              <w:jc w:val="center"/>
            </w:pPr>
            <w:r>
              <w:rPr>
                <w:rFonts w:hint="eastAsia"/>
              </w:rPr>
              <w:t>所获奖项</w:t>
            </w:r>
          </w:p>
        </w:tc>
        <w:tc>
          <w:tcPr>
            <w:tcW w:w="1260" w:type="dxa"/>
            <w:noWrap w:val="0"/>
            <w:vAlign w:val="center"/>
          </w:tcPr>
          <w:p>
            <w:pPr>
              <w:jc w:val="center"/>
            </w:pPr>
            <w:r>
              <w:rPr>
                <w:rFonts w:hint="eastAsia"/>
              </w:rPr>
              <w:t>业主联系人</w:t>
            </w:r>
          </w:p>
        </w:tc>
        <w:tc>
          <w:tcPr>
            <w:tcW w:w="1254" w:type="dxa"/>
            <w:noWrap w:val="0"/>
            <w:vAlign w:val="center"/>
          </w:tcPr>
          <w:p>
            <w:r>
              <w:rPr>
                <w:rFonts w:hint="eastAsia"/>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571" w:type="dxa"/>
            <w:tcBorders>
              <w:bottom w:val="single" w:color="auto" w:sz="4" w:space="0"/>
            </w:tcBorders>
            <w:noWrap w:val="0"/>
            <w:vAlign w:val="center"/>
          </w:tcPr>
          <w:p/>
        </w:tc>
        <w:tc>
          <w:tcPr>
            <w:tcW w:w="1440" w:type="dxa"/>
            <w:noWrap w:val="0"/>
            <w:vAlign w:val="center"/>
          </w:tcPr>
          <w:p/>
        </w:tc>
        <w:tc>
          <w:tcPr>
            <w:tcW w:w="1320" w:type="dxa"/>
            <w:noWrap w:val="0"/>
            <w:vAlign w:val="center"/>
          </w:tcPr>
          <w:p/>
        </w:tc>
        <w:tc>
          <w:tcPr>
            <w:tcW w:w="1169" w:type="dxa"/>
            <w:noWrap w:val="0"/>
            <w:vAlign w:val="center"/>
          </w:tcPr>
          <w:p/>
        </w:tc>
        <w:tc>
          <w:tcPr>
            <w:tcW w:w="792" w:type="dxa"/>
            <w:noWrap w:val="0"/>
            <w:vAlign w:val="center"/>
          </w:tcPr>
          <w:p/>
        </w:tc>
        <w:tc>
          <w:tcPr>
            <w:tcW w:w="851" w:type="dxa"/>
            <w:noWrap w:val="0"/>
            <w:vAlign w:val="center"/>
          </w:tcPr>
          <w:p/>
        </w:tc>
        <w:tc>
          <w:tcPr>
            <w:tcW w:w="877" w:type="dxa"/>
            <w:noWrap w:val="0"/>
            <w:vAlign w:val="center"/>
          </w:tcPr>
          <w:p/>
        </w:tc>
        <w:tc>
          <w:tcPr>
            <w:tcW w:w="1260" w:type="dxa"/>
            <w:noWrap w:val="0"/>
            <w:vAlign w:val="center"/>
          </w:tcPr>
          <w:p/>
        </w:tc>
        <w:tc>
          <w:tcPr>
            <w:tcW w:w="1254" w:type="dxa"/>
            <w:noWrap w:val="0"/>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571" w:type="dxa"/>
            <w:tcBorders>
              <w:top w:val="single" w:color="auto" w:sz="4" w:space="0"/>
            </w:tcBorders>
            <w:noWrap w:val="0"/>
            <w:vAlign w:val="center"/>
          </w:tcPr>
          <w:p/>
        </w:tc>
        <w:tc>
          <w:tcPr>
            <w:tcW w:w="1440" w:type="dxa"/>
            <w:noWrap w:val="0"/>
            <w:vAlign w:val="center"/>
          </w:tcPr>
          <w:p/>
        </w:tc>
        <w:tc>
          <w:tcPr>
            <w:tcW w:w="1320" w:type="dxa"/>
            <w:noWrap w:val="0"/>
            <w:vAlign w:val="center"/>
          </w:tcPr>
          <w:p/>
        </w:tc>
        <w:tc>
          <w:tcPr>
            <w:tcW w:w="1169" w:type="dxa"/>
            <w:noWrap w:val="0"/>
            <w:vAlign w:val="center"/>
          </w:tcPr>
          <w:p/>
        </w:tc>
        <w:tc>
          <w:tcPr>
            <w:tcW w:w="792" w:type="dxa"/>
            <w:noWrap w:val="0"/>
            <w:vAlign w:val="center"/>
          </w:tcPr>
          <w:p/>
        </w:tc>
        <w:tc>
          <w:tcPr>
            <w:tcW w:w="851" w:type="dxa"/>
            <w:noWrap w:val="0"/>
            <w:vAlign w:val="center"/>
          </w:tcPr>
          <w:p/>
        </w:tc>
        <w:tc>
          <w:tcPr>
            <w:tcW w:w="877" w:type="dxa"/>
            <w:noWrap w:val="0"/>
            <w:vAlign w:val="center"/>
          </w:tcPr>
          <w:p/>
        </w:tc>
        <w:tc>
          <w:tcPr>
            <w:tcW w:w="1260" w:type="dxa"/>
            <w:noWrap w:val="0"/>
            <w:vAlign w:val="center"/>
          </w:tcPr>
          <w:p/>
        </w:tc>
        <w:tc>
          <w:tcPr>
            <w:tcW w:w="1254" w:type="dxa"/>
            <w:noWrap w:val="0"/>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571" w:type="dxa"/>
            <w:noWrap w:val="0"/>
            <w:vAlign w:val="center"/>
          </w:tcPr>
          <w:p/>
        </w:tc>
        <w:tc>
          <w:tcPr>
            <w:tcW w:w="1440" w:type="dxa"/>
            <w:noWrap w:val="0"/>
            <w:vAlign w:val="center"/>
          </w:tcPr>
          <w:p/>
        </w:tc>
        <w:tc>
          <w:tcPr>
            <w:tcW w:w="1320" w:type="dxa"/>
            <w:noWrap w:val="0"/>
            <w:vAlign w:val="center"/>
          </w:tcPr>
          <w:p/>
        </w:tc>
        <w:tc>
          <w:tcPr>
            <w:tcW w:w="1169" w:type="dxa"/>
            <w:noWrap w:val="0"/>
            <w:vAlign w:val="center"/>
          </w:tcPr>
          <w:p/>
        </w:tc>
        <w:tc>
          <w:tcPr>
            <w:tcW w:w="792" w:type="dxa"/>
            <w:noWrap w:val="0"/>
            <w:vAlign w:val="center"/>
          </w:tcPr>
          <w:p/>
        </w:tc>
        <w:tc>
          <w:tcPr>
            <w:tcW w:w="851" w:type="dxa"/>
            <w:noWrap w:val="0"/>
            <w:vAlign w:val="center"/>
          </w:tcPr>
          <w:p/>
        </w:tc>
        <w:tc>
          <w:tcPr>
            <w:tcW w:w="877" w:type="dxa"/>
            <w:noWrap w:val="0"/>
            <w:vAlign w:val="center"/>
          </w:tcPr>
          <w:p/>
        </w:tc>
        <w:tc>
          <w:tcPr>
            <w:tcW w:w="1260" w:type="dxa"/>
            <w:noWrap w:val="0"/>
            <w:vAlign w:val="center"/>
          </w:tcPr>
          <w:p/>
        </w:tc>
        <w:tc>
          <w:tcPr>
            <w:tcW w:w="1254" w:type="dxa"/>
            <w:noWrap w:val="0"/>
            <w:vAlign w:val="center"/>
          </w:tcPr>
          <w:p/>
        </w:tc>
      </w:tr>
    </w:tbl>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360"/>
        </w:tabs>
        <w:ind w:left="360"/>
        <w:rPr>
          <w:rFonts w:hint="eastAsia"/>
        </w:rPr>
      </w:pPr>
    </w:p>
    <w:p>
      <w:pPr>
        <w:tabs>
          <w:tab w:val="left" w:pos="1575"/>
        </w:tabs>
        <w:spacing w:line="560" w:lineRule="exact"/>
        <w:jc w:val="center"/>
        <w:rPr>
          <w:rFonts w:ascii="仿宋_GB2312" w:eastAsia="仿宋_GB2312"/>
          <w:b/>
          <w:sz w:val="30"/>
          <w:szCs w:val="30"/>
        </w:rPr>
      </w:pPr>
      <w:r>
        <w:rPr>
          <w:rFonts w:hint="eastAsia" w:ascii="仿宋_GB2312" w:eastAsia="仿宋_GB2312"/>
          <w:b/>
          <w:sz w:val="30"/>
          <w:szCs w:val="30"/>
        </w:rPr>
        <w:t>八、管理班子情况</w:t>
      </w:r>
    </w:p>
    <w:p/>
    <w:p>
      <w:pPr>
        <w:keepNext/>
        <w:keepLines/>
        <w:adjustRightInd w:val="0"/>
        <w:jc w:val="center"/>
        <w:textAlignment w:val="baseline"/>
        <w:rPr>
          <w:rFonts w:ascii="宋体" w:hAnsi="宋体"/>
          <w:sz w:val="24"/>
        </w:rPr>
      </w:pPr>
      <w:r>
        <w:rPr>
          <w:rFonts w:hint="eastAsia" w:ascii="宋体" w:hAnsi="宋体"/>
          <w:sz w:val="24"/>
        </w:rPr>
        <w:t>（一）管理负责人简历表</w:t>
      </w:r>
    </w:p>
    <w:tbl>
      <w:tblPr>
        <w:tblStyle w:val="20"/>
        <w:tblW w:w="94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60"/>
        <w:gridCol w:w="468"/>
        <w:gridCol w:w="1332"/>
        <w:gridCol w:w="180"/>
        <w:gridCol w:w="1080"/>
        <w:gridCol w:w="214"/>
        <w:gridCol w:w="1548"/>
        <w:gridCol w:w="218"/>
        <w:gridCol w:w="720"/>
        <w:gridCol w:w="180"/>
        <w:gridCol w:w="720"/>
        <w:gridCol w:w="11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center"/>
          </w:tcPr>
          <w:p>
            <w:pPr>
              <w:jc w:val="center"/>
              <w:rPr>
                <w:rFonts w:ascii="宋体" w:hAnsi="宋体"/>
                <w:sz w:val="24"/>
              </w:rPr>
            </w:pPr>
            <w:r>
              <w:rPr>
                <w:rFonts w:hint="eastAsia" w:ascii="宋体" w:hAnsi="宋体"/>
                <w:sz w:val="24"/>
              </w:rPr>
              <w:t>姓名</w:t>
            </w:r>
          </w:p>
        </w:tc>
        <w:tc>
          <w:tcPr>
            <w:tcW w:w="2340" w:type="dxa"/>
            <w:gridSpan w:val="4"/>
            <w:noWrap w:val="0"/>
            <w:vAlign w:val="center"/>
          </w:tcPr>
          <w:p>
            <w:pPr>
              <w:jc w:val="center"/>
              <w:rPr>
                <w:rFonts w:ascii="宋体" w:hAnsi="宋体"/>
                <w:sz w:val="24"/>
              </w:rPr>
            </w:pPr>
          </w:p>
        </w:tc>
        <w:tc>
          <w:tcPr>
            <w:tcW w:w="1080" w:type="dxa"/>
            <w:noWrap w:val="0"/>
            <w:vAlign w:val="center"/>
          </w:tcPr>
          <w:p>
            <w:pPr>
              <w:jc w:val="center"/>
              <w:rPr>
                <w:rFonts w:ascii="宋体" w:hAnsi="宋体"/>
                <w:sz w:val="24"/>
              </w:rPr>
            </w:pPr>
            <w:r>
              <w:rPr>
                <w:rFonts w:hint="eastAsia" w:ascii="宋体" w:hAnsi="宋体"/>
                <w:sz w:val="24"/>
              </w:rPr>
              <w:t>性别</w:t>
            </w:r>
          </w:p>
        </w:tc>
        <w:tc>
          <w:tcPr>
            <w:tcW w:w="1762" w:type="dxa"/>
            <w:gridSpan w:val="2"/>
            <w:noWrap w:val="0"/>
            <w:vAlign w:val="center"/>
          </w:tcPr>
          <w:p>
            <w:pPr>
              <w:jc w:val="center"/>
              <w:rPr>
                <w:rFonts w:ascii="宋体" w:hAnsi="宋体"/>
                <w:sz w:val="24"/>
              </w:rPr>
            </w:pPr>
          </w:p>
        </w:tc>
        <w:tc>
          <w:tcPr>
            <w:tcW w:w="1118" w:type="dxa"/>
            <w:gridSpan w:val="3"/>
            <w:noWrap w:val="0"/>
            <w:vAlign w:val="center"/>
          </w:tcPr>
          <w:p>
            <w:pPr>
              <w:jc w:val="center"/>
              <w:rPr>
                <w:rFonts w:ascii="宋体" w:hAnsi="宋体"/>
                <w:sz w:val="24"/>
              </w:rPr>
            </w:pPr>
            <w:r>
              <w:rPr>
                <w:rFonts w:hint="eastAsia" w:ascii="宋体" w:hAnsi="宋体"/>
                <w:sz w:val="24"/>
              </w:rPr>
              <w:t>年龄</w:t>
            </w:r>
          </w:p>
        </w:tc>
        <w:tc>
          <w:tcPr>
            <w:tcW w:w="1908" w:type="dxa"/>
            <w:gridSpan w:val="2"/>
            <w:noWrap w:val="0"/>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center"/>
          </w:tcPr>
          <w:p>
            <w:pPr>
              <w:jc w:val="center"/>
              <w:rPr>
                <w:rFonts w:ascii="宋体" w:hAnsi="宋体"/>
                <w:sz w:val="24"/>
              </w:rPr>
            </w:pPr>
            <w:r>
              <w:rPr>
                <w:rFonts w:hint="eastAsia" w:ascii="宋体" w:hAnsi="宋体"/>
                <w:sz w:val="24"/>
              </w:rPr>
              <w:t>职务</w:t>
            </w:r>
          </w:p>
        </w:tc>
        <w:tc>
          <w:tcPr>
            <w:tcW w:w="2340" w:type="dxa"/>
            <w:gridSpan w:val="4"/>
            <w:noWrap w:val="0"/>
            <w:vAlign w:val="center"/>
          </w:tcPr>
          <w:p>
            <w:pPr>
              <w:jc w:val="center"/>
              <w:rPr>
                <w:rFonts w:ascii="宋体" w:hAnsi="宋体"/>
                <w:sz w:val="24"/>
              </w:rPr>
            </w:pPr>
          </w:p>
        </w:tc>
        <w:tc>
          <w:tcPr>
            <w:tcW w:w="1080" w:type="dxa"/>
            <w:noWrap w:val="0"/>
            <w:vAlign w:val="center"/>
          </w:tcPr>
          <w:p>
            <w:pPr>
              <w:jc w:val="center"/>
              <w:rPr>
                <w:rFonts w:ascii="宋体" w:hAnsi="宋体"/>
                <w:sz w:val="24"/>
              </w:rPr>
            </w:pPr>
            <w:r>
              <w:rPr>
                <w:rFonts w:hint="eastAsia" w:ascii="宋体" w:hAnsi="宋体"/>
                <w:sz w:val="24"/>
              </w:rPr>
              <w:t>职称</w:t>
            </w:r>
          </w:p>
        </w:tc>
        <w:tc>
          <w:tcPr>
            <w:tcW w:w="1762" w:type="dxa"/>
            <w:gridSpan w:val="2"/>
            <w:noWrap w:val="0"/>
            <w:vAlign w:val="center"/>
          </w:tcPr>
          <w:p>
            <w:pPr>
              <w:jc w:val="center"/>
              <w:rPr>
                <w:rFonts w:ascii="宋体" w:hAnsi="宋体"/>
                <w:sz w:val="24"/>
              </w:rPr>
            </w:pPr>
          </w:p>
        </w:tc>
        <w:tc>
          <w:tcPr>
            <w:tcW w:w="1118" w:type="dxa"/>
            <w:gridSpan w:val="3"/>
            <w:noWrap w:val="0"/>
            <w:vAlign w:val="center"/>
          </w:tcPr>
          <w:p>
            <w:pPr>
              <w:jc w:val="center"/>
              <w:rPr>
                <w:rFonts w:ascii="宋体" w:hAnsi="宋体"/>
                <w:sz w:val="24"/>
              </w:rPr>
            </w:pPr>
            <w:r>
              <w:rPr>
                <w:rFonts w:hint="eastAsia" w:ascii="宋体" w:hAnsi="宋体"/>
                <w:sz w:val="24"/>
              </w:rPr>
              <w:t>学历</w:t>
            </w:r>
          </w:p>
        </w:tc>
        <w:tc>
          <w:tcPr>
            <w:tcW w:w="1908" w:type="dxa"/>
            <w:gridSpan w:val="2"/>
            <w:noWrap w:val="0"/>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gridSpan w:val="3"/>
            <w:noWrap w:val="0"/>
            <w:vAlign w:val="center"/>
          </w:tcPr>
          <w:p>
            <w:pPr>
              <w:jc w:val="center"/>
              <w:rPr>
                <w:rFonts w:ascii="宋体" w:hAnsi="宋体"/>
                <w:sz w:val="24"/>
              </w:rPr>
            </w:pPr>
            <w:r>
              <w:rPr>
                <w:rFonts w:hint="eastAsia" w:ascii="宋体" w:hAnsi="宋体"/>
                <w:sz w:val="24"/>
              </w:rPr>
              <w:t>参加工作时间</w:t>
            </w:r>
          </w:p>
        </w:tc>
        <w:tc>
          <w:tcPr>
            <w:tcW w:w="5292" w:type="dxa"/>
            <w:gridSpan w:val="7"/>
            <w:noWrap w:val="0"/>
            <w:vAlign w:val="center"/>
          </w:tcPr>
          <w:p>
            <w:pPr>
              <w:jc w:val="center"/>
              <w:rPr>
                <w:rFonts w:ascii="宋体" w:hAnsi="宋体"/>
                <w:sz w:val="24"/>
              </w:rPr>
            </w:pPr>
          </w:p>
        </w:tc>
        <w:tc>
          <w:tcPr>
            <w:tcW w:w="2088" w:type="dxa"/>
            <w:gridSpan w:val="3"/>
            <w:noWrap w:val="0"/>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00" w:type="dxa"/>
            <w:gridSpan w:val="5"/>
            <w:noWrap w:val="0"/>
            <w:vAlign w:val="center"/>
          </w:tcPr>
          <w:p>
            <w:pPr>
              <w:jc w:val="center"/>
              <w:rPr>
                <w:rFonts w:ascii="宋体" w:hAnsi="宋体"/>
                <w:sz w:val="24"/>
              </w:rPr>
            </w:pPr>
            <w:r>
              <w:rPr>
                <w:rFonts w:hint="eastAsia" w:ascii="宋体" w:hAnsi="宋体"/>
                <w:sz w:val="24"/>
              </w:rPr>
              <w:t>专业</w:t>
            </w:r>
          </w:p>
        </w:tc>
        <w:tc>
          <w:tcPr>
            <w:tcW w:w="5868" w:type="dxa"/>
            <w:gridSpan w:val="8"/>
            <w:noWrap w:val="0"/>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00" w:type="dxa"/>
            <w:gridSpan w:val="5"/>
            <w:noWrap w:val="0"/>
            <w:vAlign w:val="center"/>
          </w:tcPr>
          <w:p>
            <w:pPr>
              <w:jc w:val="center"/>
              <w:rPr>
                <w:rFonts w:ascii="宋体" w:hAnsi="宋体"/>
                <w:sz w:val="24"/>
              </w:rPr>
            </w:pPr>
            <w:r>
              <w:rPr>
                <w:rFonts w:hint="eastAsia" w:ascii="宋体" w:hAnsi="宋体"/>
                <w:sz w:val="24"/>
              </w:rPr>
              <w:t>相关资格证书</w:t>
            </w:r>
          </w:p>
        </w:tc>
        <w:tc>
          <w:tcPr>
            <w:tcW w:w="5868" w:type="dxa"/>
            <w:gridSpan w:val="8"/>
            <w:noWrap w:val="0"/>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8" w:type="dxa"/>
            <w:gridSpan w:val="13"/>
            <w:noWrap w:val="0"/>
            <w:vAlign w:val="center"/>
          </w:tcPr>
          <w:p>
            <w:pPr>
              <w:jc w:val="center"/>
              <w:rPr>
                <w:rFonts w:ascii="宋体" w:hAnsi="宋体"/>
                <w:sz w:val="24"/>
              </w:rPr>
            </w:pPr>
            <w:r>
              <w:rPr>
                <w:rFonts w:hint="eastAsia" w:ascii="宋体" w:hAnsi="宋体"/>
                <w:sz w:val="24"/>
              </w:rPr>
              <w:t>参与项目情况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gridSpan w:val="2"/>
            <w:noWrap w:val="0"/>
            <w:vAlign w:val="center"/>
          </w:tcPr>
          <w:p>
            <w:pPr>
              <w:jc w:val="center"/>
              <w:rPr>
                <w:rFonts w:ascii="宋体" w:hAnsi="宋体"/>
                <w:sz w:val="24"/>
              </w:rPr>
            </w:pPr>
            <w:r>
              <w:rPr>
                <w:rFonts w:hint="eastAsia" w:ascii="宋体" w:hAnsi="宋体"/>
                <w:sz w:val="24"/>
              </w:rPr>
              <w:t>业主</w:t>
            </w:r>
          </w:p>
        </w:tc>
        <w:tc>
          <w:tcPr>
            <w:tcW w:w="1800" w:type="dxa"/>
            <w:gridSpan w:val="2"/>
            <w:noWrap w:val="0"/>
            <w:vAlign w:val="center"/>
          </w:tcPr>
          <w:p>
            <w:pPr>
              <w:jc w:val="center"/>
              <w:rPr>
                <w:rFonts w:ascii="宋体" w:hAnsi="宋体"/>
                <w:sz w:val="24"/>
              </w:rPr>
            </w:pPr>
            <w:r>
              <w:rPr>
                <w:rFonts w:hint="eastAsia" w:ascii="宋体" w:hAnsi="宋体"/>
                <w:sz w:val="24"/>
              </w:rPr>
              <w:t>物业名称</w:t>
            </w:r>
          </w:p>
        </w:tc>
        <w:tc>
          <w:tcPr>
            <w:tcW w:w="1474" w:type="dxa"/>
            <w:gridSpan w:val="3"/>
            <w:noWrap w:val="0"/>
            <w:vAlign w:val="center"/>
          </w:tcPr>
          <w:p>
            <w:pPr>
              <w:jc w:val="center"/>
              <w:rPr>
                <w:rFonts w:ascii="宋体" w:hAnsi="宋体"/>
                <w:sz w:val="24"/>
              </w:rPr>
            </w:pPr>
            <w:r>
              <w:rPr>
                <w:rFonts w:hint="eastAsia" w:ascii="宋体" w:hAnsi="宋体"/>
                <w:sz w:val="24"/>
              </w:rPr>
              <w:t>物业面积</w:t>
            </w:r>
          </w:p>
        </w:tc>
        <w:tc>
          <w:tcPr>
            <w:tcW w:w="1766" w:type="dxa"/>
            <w:gridSpan w:val="2"/>
            <w:noWrap w:val="0"/>
            <w:vAlign w:val="center"/>
          </w:tcPr>
          <w:p>
            <w:pPr>
              <w:jc w:val="center"/>
              <w:rPr>
                <w:rFonts w:ascii="宋体" w:hAnsi="宋体"/>
                <w:sz w:val="24"/>
              </w:rPr>
            </w:pPr>
            <w:r>
              <w:rPr>
                <w:rFonts w:hint="eastAsia" w:ascii="宋体" w:hAnsi="宋体"/>
                <w:sz w:val="24"/>
              </w:rPr>
              <w:t>所获奖项名称及时间</w:t>
            </w:r>
          </w:p>
        </w:tc>
        <w:tc>
          <w:tcPr>
            <w:tcW w:w="1620" w:type="dxa"/>
            <w:gridSpan w:val="3"/>
            <w:noWrap w:val="0"/>
            <w:vAlign w:val="center"/>
          </w:tcPr>
          <w:p>
            <w:pPr>
              <w:jc w:val="center"/>
              <w:rPr>
                <w:rFonts w:ascii="宋体" w:hAnsi="宋体"/>
                <w:sz w:val="24"/>
              </w:rPr>
            </w:pPr>
            <w:r>
              <w:rPr>
                <w:rFonts w:hint="eastAsia" w:ascii="宋体" w:hAnsi="宋体"/>
                <w:sz w:val="24"/>
              </w:rPr>
              <w:t>业主联系人</w:t>
            </w:r>
          </w:p>
        </w:tc>
        <w:tc>
          <w:tcPr>
            <w:tcW w:w="1188" w:type="dxa"/>
            <w:noWrap w:val="0"/>
            <w:vAlign w:val="center"/>
          </w:tcPr>
          <w:p>
            <w:pPr>
              <w:jc w:val="center"/>
              <w:rPr>
                <w:rFonts w:ascii="宋体" w:hAnsi="宋体"/>
                <w:sz w:val="24"/>
              </w:rPr>
            </w:pPr>
            <w:r>
              <w:rPr>
                <w:rFonts w:hint="eastAsia" w:ascii="宋体" w:hAnsi="宋体"/>
                <w:sz w:val="24"/>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gridSpan w:val="2"/>
            <w:noWrap w:val="0"/>
            <w:vAlign w:val="center"/>
          </w:tcPr>
          <w:p>
            <w:pPr>
              <w:rPr>
                <w:rFonts w:ascii="宋体" w:hAnsi="宋体"/>
                <w:sz w:val="24"/>
              </w:rPr>
            </w:pPr>
          </w:p>
        </w:tc>
        <w:tc>
          <w:tcPr>
            <w:tcW w:w="1800" w:type="dxa"/>
            <w:gridSpan w:val="2"/>
            <w:noWrap w:val="0"/>
            <w:vAlign w:val="center"/>
          </w:tcPr>
          <w:p>
            <w:pPr>
              <w:rPr>
                <w:rFonts w:ascii="宋体" w:hAnsi="宋体"/>
                <w:sz w:val="24"/>
              </w:rPr>
            </w:pPr>
          </w:p>
        </w:tc>
        <w:tc>
          <w:tcPr>
            <w:tcW w:w="1474" w:type="dxa"/>
            <w:gridSpan w:val="3"/>
            <w:noWrap w:val="0"/>
            <w:vAlign w:val="center"/>
          </w:tcPr>
          <w:p>
            <w:pPr>
              <w:rPr>
                <w:rFonts w:ascii="宋体" w:hAnsi="宋体"/>
                <w:sz w:val="24"/>
              </w:rPr>
            </w:pPr>
          </w:p>
        </w:tc>
        <w:tc>
          <w:tcPr>
            <w:tcW w:w="1766" w:type="dxa"/>
            <w:gridSpan w:val="2"/>
            <w:noWrap w:val="0"/>
            <w:vAlign w:val="center"/>
          </w:tcPr>
          <w:p>
            <w:pPr>
              <w:rPr>
                <w:rFonts w:ascii="宋体" w:hAnsi="宋体"/>
                <w:sz w:val="24"/>
              </w:rPr>
            </w:pPr>
          </w:p>
        </w:tc>
        <w:tc>
          <w:tcPr>
            <w:tcW w:w="1620" w:type="dxa"/>
            <w:gridSpan w:val="3"/>
            <w:noWrap w:val="0"/>
            <w:vAlign w:val="center"/>
          </w:tcPr>
          <w:p>
            <w:pPr>
              <w:rPr>
                <w:rFonts w:ascii="宋体" w:hAnsi="宋体"/>
                <w:sz w:val="24"/>
              </w:rPr>
            </w:pPr>
          </w:p>
        </w:tc>
        <w:tc>
          <w:tcPr>
            <w:tcW w:w="1188" w:type="dxa"/>
            <w:noWrap w:val="0"/>
            <w:vAlign w:val="center"/>
          </w:tcPr>
          <w:p>
            <w:pPr>
              <w:rPr>
                <w:rFonts w:ascii="宋体" w:hAnsi="宋体"/>
                <w:sz w:val="24"/>
              </w:rPr>
            </w:pPr>
          </w:p>
        </w:tc>
      </w:tr>
    </w:tbl>
    <w:p>
      <w:pPr>
        <w:widowControl/>
        <w:jc w:val="center"/>
        <w:rPr>
          <w:rFonts w:ascii="宋体" w:hAnsi="宋体"/>
          <w:bCs/>
          <w:sz w:val="24"/>
        </w:rPr>
      </w:pPr>
    </w:p>
    <w:p>
      <w:pPr>
        <w:widowControl/>
        <w:jc w:val="center"/>
        <w:rPr>
          <w:rFonts w:ascii="宋体" w:hAnsi="宋体"/>
          <w:sz w:val="24"/>
        </w:rPr>
      </w:pPr>
      <w:r>
        <w:rPr>
          <w:rFonts w:hint="eastAsia" w:ascii="宋体" w:hAnsi="宋体"/>
          <w:bCs/>
          <w:sz w:val="24"/>
        </w:rPr>
        <w:t>（二）其它管理服务人员配备一览表</w:t>
      </w:r>
    </w:p>
    <w:tbl>
      <w:tblPr>
        <w:tblStyle w:val="20"/>
        <w:tblW w:w="9230" w:type="dxa"/>
        <w:jc w:val="center"/>
        <w:tblLayout w:type="fixed"/>
        <w:tblCellMar>
          <w:top w:w="0" w:type="dxa"/>
          <w:left w:w="54" w:type="dxa"/>
          <w:bottom w:w="0" w:type="dxa"/>
          <w:right w:w="54" w:type="dxa"/>
        </w:tblCellMar>
      </w:tblPr>
      <w:tblGrid>
        <w:gridCol w:w="744"/>
        <w:gridCol w:w="1136"/>
        <w:gridCol w:w="709"/>
        <w:gridCol w:w="850"/>
        <w:gridCol w:w="709"/>
        <w:gridCol w:w="1701"/>
        <w:gridCol w:w="1701"/>
        <w:gridCol w:w="1680"/>
      </w:tblGrid>
      <w:tr>
        <w:tblPrEx>
          <w:tblCellMar>
            <w:top w:w="0" w:type="dxa"/>
            <w:left w:w="54" w:type="dxa"/>
            <w:bottom w:w="0" w:type="dxa"/>
            <w:right w:w="54" w:type="dxa"/>
          </w:tblCellMar>
        </w:tblPrEx>
        <w:trPr>
          <w:trHeight w:val="402"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序号</w:t>
            </w:r>
          </w:p>
        </w:tc>
        <w:tc>
          <w:tcPr>
            <w:tcW w:w="1136"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姓名</w:t>
            </w:r>
          </w:p>
        </w:tc>
        <w:tc>
          <w:tcPr>
            <w:tcW w:w="709" w:type="dxa"/>
            <w:tcBorders>
              <w:top w:val="single" w:color="auto" w:sz="6" w:space="0"/>
              <w:left w:val="single" w:color="auto" w:sz="6" w:space="0"/>
              <w:bottom w:val="single" w:color="auto" w:sz="6" w:space="0"/>
              <w:right w:val="single" w:color="auto" w:sz="4" w:space="0"/>
            </w:tcBorders>
            <w:noWrap w:val="0"/>
            <w:vAlign w:val="top"/>
          </w:tcPr>
          <w:p>
            <w:pPr>
              <w:jc w:val="center"/>
              <w:rPr>
                <w:rFonts w:ascii="宋体" w:hAnsi="宋体"/>
                <w:sz w:val="24"/>
              </w:rPr>
            </w:pPr>
            <w:r>
              <w:rPr>
                <w:rFonts w:hint="eastAsia" w:ascii="宋体" w:hAnsi="宋体"/>
                <w:sz w:val="24"/>
              </w:rPr>
              <w:t>年龄</w:t>
            </w:r>
          </w:p>
        </w:tc>
        <w:tc>
          <w:tcPr>
            <w:tcW w:w="850" w:type="dxa"/>
            <w:tcBorders>
              <w:top w:val="single" w:color="auto" w:sz="6" w:space="0"/>
              <w:left w:val="single" w:color="auto" w:sz="4" w:space="0"/>
              <w:bottom w:val="single" w:color="auto" w:sz="6" w:space="0"/>
              <w:right w:val="single" w:color="auto" w:sz="4" w:space="0"/>
            </w:tcBorders>
            <w:noWrap w:val="0"/>
            <w:vAlign w:val="top"/>
          </w:tcPr>
          <w:p>
            <w:pPr>
              <w:jc w:val="center"/>
              <w:rPr>
                <w:rFonts w:ascii="宋体" w:hAnsi="宋体"/>
                <w:sz w:val="24"/>
              </w:rPr>
            </w:pPr>
            <w:r>
              <w:rPr>
                <w:rFonts w:hint="eastAsia" w:ascii="宋体" w:hAnsi="宋体"/>
                <w:sz w:val="24"/>
              </w:rPr>
              <w:t>姓别</w:t>
            </w:r>
          </w:p>
        </w:tc>
        <w:tc>
          <w:tcPr>
            <w:tcW w:w="709" w:type="dxa"/>
            <w:tcBorders>
              <w:top w:val="single" w:color="auto" w:sz="6" w:space="0"/>
              <w:left w:val="single" w:color="auto" w:sz="4" w:space="0"/>
              <w:bottom w:val="single" w:color="auto" w:sz="6" w:space="0"/>
              <w:right w:val="single" w:color="auto" w:sz="4" w:space="0"/>
            </w:tcBorders>
            <w:noWrap w:val="0"/>
            <w:vAlign w:val="top"/>
          </w:tcPr>
          <w:p>
            <w:pPr>
              <w:jc w:val="center"/>
              <w:rPr>
                <w:rFonts w:ascii="宋体" w:hAnsi="宋体"/>
                <w:sz w:val="24"/>
              </w:rPr>
            </w:pPr>
            <w:r>
              <w:rPr>
                <w:rFonts w:hint="eastAsia" w:ascii="宋体" w:hAnsi="宋体"/>
                <w:sz w:val="24"/>
              </w:rPr>
              <w:t>学历</w:t>
            </w:r>
          </w:p>
        </w:tc>
        <w:tc>
          <w:tcPr>
            <w:tcW w:w="1701" w:type="dxa"/>
            <w:tcBorders>
              <w:top w:val="single" w:color="auto" w:sz="6" w:space="0"/>
              <w:left w:val="single" w:color="auto" w:sz="4"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拟任岗位及职务</w:t>
            </w:r>
          </w:p>
        </w:tc>
        <w:tc>
          <w:tcPr>
            <w:tcW w:w="1701"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持何种资格证件</w:t>
            </w:r>
          </w:p>
        </w:tc>
        <w:tc>
          <w:tcPr>
            <w:tcW w:w="1680"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相关工作经验</w:t>
            </w:r>
          </w:p>
        </w:tc>
      </w:tr>
      <w:tr>
        <w:tblPrEx>
          <w:tblCellMar>
            <w:top w:w="0" w:type="dxa"/>
            <w:left w:w="54" w:type="dxa"/>
            <w:bottom w:w="0" w:type="dxa"/>
            <w:right w:w="54" w:type="dxa"/>
          </w:tblCellMar>
        </w:tblPrEx>
        <w:trPr>
          <w:cantSplit/>
          <w:trHeight w:val="320" w:hRule="exac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1</w:t>
            </w:r>
          </w:p>
        </w:tc>
        <w:tc>
          <w:tcPr>
            <w:tcW w:w="113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709" w:type="dxa"/>
            <w:tcBorders>
              <w:top w:val="single" w:color="auto" w:sz="6" w:space="0"/>
              <w:left w:val="single" w:color="auto" w:sz="6" w:space="0"/>
              <w:bottom w:val="single" w:color="auto" w:sz="6" w:space="0"/>
              <w:right w:val="single" w:color="auto" w:sz="4" w:space="0"/>
            </w:tcBorders>
            <w:noWrap w:val="0"/>
            <w:vAlign w:val="top"/>
          </w:tcPr>
          <w:p>
            <w:pPr>
              <w:rPr>
                <w:rFonts w:ascii="宋体" w:hAnsi="宋体"/>
                <w:sz w:val="24"/>
              </w:rPr>
            </w:pPr>
          </w:p>
        </w:tc>
        <w:tc>
          <w:tcPr>
            <w:tcW w:w="850"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709"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1701" w:type="dxa"/>
            <w:tcBorders>
              <w:top w:val="single" w:color="auto" w:sz="6" w:space="0"/>
              <w:left w:val="single" w:color="auto" w:sz="4" w:space="0"/>
              <w:bottom w:val="single" w:color="auto" w:sz="6" w:space="0"/>
              <w:right w:val="single" w:color="auto" w:sz="6" w:space="0"/>
            </w:tcBorders>
            <w:noWrap w:val="0"/>
            <w:vAlign w:val="top"/>
          </w:tcPr>
          <w:p>
            <w:pPr>
              <w:rPr>
                <w:rFonts w:ascii="宋体" w:hAnsi="宋体"/>
                <w:sz w:val="24"/>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168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r>
      <w:tr>
        <w:tblPrEx>
          <w:tblCellMar>
            <w:top w:w="0" w:type="dxa"/>
            <w:left w:w="54" w:type="dxa"/>
            <w:bottom w:w="0" w:type="dxa"/>
            <w:right w:w="54" w:type="dxa"/>
          </w:tblCellMar>
        </w:tblPrEx>
        <w:trPr>
          <w:cantSplit/>
          <w:trHeight w:val="320" w:hRule="exac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2</w:t>
            </w:r>
          </w:p>
        </w:tc>
        <w:tc>
          <w:tcPr>
            <w:tcW w:w="1136" w:type="dxa"/>
            <w:tcBorders>
              <w:top w:val="single" w:color="auto" w:sz="6" w:space="0"/>
              <w:left w:val="single" w:color="auto" w:sz="6" w:space="0"/>
              <w:bottom w:val="single" w:color="auto" w:sz="6" w:space="0"/>
              <w:right w:val="single" w:color="auto" w:sz="6" w:space="0"/>
            </w:tcBorders>
            <w:noWrap w:val="0"/>
            <w:vAlign w:val="top"/>
          </w:tcPr>
          <w:p>
            <w:pPr>
              <w:pStyle w:val="15"/>
              <w:rPr>
                <w:sz w:val="24"/>
              </w:rPr>
            </w:pPr>
          </w:p>
        </w:tc>
        <w:tc>
          <w:tcPr>
            <w:tcW w:w="709" w:type="dxa"/>
            <w:tcBorders>
              <w:top w:val="single" w:color="auto" w:sz="6" w:space="0"/>
              <w:left w:val="single" w:color="auto" w:sz="6" w:space="0"/>
              <w:bottom w:val="single" w:color="auto" w:sz="6" w:space="0"/>
              <w:right w:val="single" w:color="auto" w:sz="4" w:space="0"/>
            </w:tcBorders>
            <w:noWrap w:val="0"/>
            <w:vAlign w:val="top"/>
          </w:tcPr>
          <w:p>
            <w:pPr>
              <w:rPr>
                <w:rFonts w:ascii="宋体" w:hAnsi="宋体"/>
                <w:sz w:val="24"/>
              </w:rPr>
            </w:pPr>
          </w:p>
        </w:tc>
        <w:tc>
          <w:tcPr>
            <w:tcW w:w="850"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709"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1701" w:type="dxa"/>
            <w:tcBorders>
              <w:top w:val="single" w:color="auto" w:sz="6" w:space="0"/>
              <w:left w:val="single" w:color="auto" w:sz="4" w:space="0"/>
              <w:bottom w:val="single" w:color="auto" w:sz="6" w:space="0"/>
              <w:right w:val="single" w:color="auto" w:sz="6" w:space="0"/>
            </w:tcBorders>
            <w:noWrap w:val="0"/>
            <w:vAlign w:val="top"/>
          </w:tcPr>
          <w:p>
            <w:pPr>
              <w:rPr>
                <w:rFonts w:ascii="宋体" w:hAnsi="宋体"/>
                <w:sz w:val="24"/>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168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r>
      <w:tr>
        <w:tblPrEx>
          <w:tblCellMar>
            <w:top w:w="0" w:type="dxa"/>
            <w:left w:w="54" w:type="dxa"/>
            <w:bottom w:w="0" w:type="dxa"/>
            <w:right w:w="54" w:type="dxa"/>
          </w:tblCellMar>
        </w:tblPrEx>
        <w:trPr>
          <w:cantSplit/>
          <w:trHeight w:val="320" w:hRule="exac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3</w:t>
            </w:r>
          </w:p>
        </w:tc>
        <w:tc>
          <w:tcPr>
            <w:tcW w:w="113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709" w:type="dxa"/>
            <w:tcBorders>
              <w:top w:val="single" w:color="auto" w:sz="6" w:space="0"/>
              <w:left w:val="single" w:color="auto" w:sz="6" w:space="0"/>
              <w:bottom w:val="single" w:color="auto" w:sz="6" w:space="0"/>
              <w:right w:val="single" w:color="auto" w:sz="4" w:space="0"/>
            </w:tcBorders>
            <w:noWrap w:val="0"/>
            <w:vAlign w:val="top"/>
          </w:tcPr>
          <w:p>
            <w:pPr>
              <w:rPr>
                <w:rFonts w:ascii="宋体" w:hAnsi="宋体"/>
                <w:sz w:val="24"/>
              </w:rPr>
            </w:pPr>
          </w:p>
        </w:tc>
        <w:tc>
          <w:tcPr>
            <w:tcW w:w="850"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709"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1701" w:type="dxa"/>
            <w:tcBorders>
              <w:top w:val="single" w:color="auto" w:sz="6" w:space="0"/>
              <w:left w:val="single" w:color="auto" w:sz="4" w:space="0"/>
              <w:bottom w:val="single" w:color="auto" w:sz="6" w:space="0"/>
              <w:right w:val="single" w:color="auto" w:sz="6" w:space="0"/>
            </w:tcBorders>
            <w:noWrap w:val="0"/>
            <w:vAlign w:val="top"/>
          </w:tcPr>
          <w:p>
            <w:pPr>
              <w:rPr>
                <w:rFonts w:ascii="宋体" w:hAnsi="宋体"/>
                <w:sz w:val="24"/>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168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r>
      <w:tr>
        <w:tblPrEx>
          <w:tblCellMar>
            <w:top w:w="0" w:type="dxa"/>
            <w:left w:w="54" w:type="dxa"/>
            <w:bottom w:w="0" w:type="dxa"/>
            <w:right w:w="54" w:type="dxa"/>
          </w:tblCellMar>
        </w:tblPrEx>
        <w:trPr>
          <w:cantSplit/>
          <w:trHeight w:val="320" w:hRule="exac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4</w:t>
            </w:r>
          </w:p>
        </w:tc>
        <w:tc>
          <w:tcPr>
            <w:tcW w:w="113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709" w:type="dxa"/>
            <w:tcBorders>
              <w:top w:val="single" w:color="auto" w:sz="6" w:space="0"/>
              <w:left w:val="single" w:color="auto" w:sz="6" w:space="0"/>
              <w:bottom w:val="single" w:color="auto" w:sz="6" w:space="0"/>
              <w:right w:val="single" w:color="auto" w:sz="4" w:space="0"/>
            </w:tcBorders>
            <w:noWrap w:val="0"/>
            <w:vAlign w:val="top"/>
          </w:tcPr>
          <w:p>
            <w:pPr>
              <w:rPr>
                <w:rFonts w:ascii="宋体" w:hAnsi="宋体"/>
                <w:sz w:val="24"/>
              </w:rPr>
            </w:pPr>
          </w:p>
        </w:tc>
        <w:tc>
          <w:tcPr>
            <w:tcW w:w="850"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709"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1701" w:type="dxa"/>
            <w:tcBorders>
              <w:top w:val="single" w:color="auto" w:sz="6" w:space="0"/>
              <w:left w:val="single" w:color="auto" w:sz="4" w:space="0"/>
              <w:bottom w:val="single" w:color="auto" w:sz="6" w:space="0"/>
              <w:right w:val="single" w:color="auto" w:sz="6" w:space="0"/>
            </w:tcBorders>
            <w:noWrap w:val="0"/>
            <w:vAlign w:val="top"/>
          </w:tcPr>
          <w:p>
            <w:pPr>
              <w:rPr>
                <w:rFonts w:ascii="宋体" w:hAnsi="宋体"/>
                <w:sz w:val="24"/>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168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r>
      <w:tr>
        <w:tblPrEx>
          <w:tblCellMar>
            <w:top w:w="0" w:type="dxa"/>
            <w:left w:w="54" w:type="dxa"/>
            <w:bottom w:w="0" w:type="dxa"/>
            <w:right w:w="54" w:type="dxa"/>
          </w:tblCellMar>
        </w:tblPrEx>
        <w:trPr>
          <w:cantSplit/>
          <w:trHeight w:val="320" w:hRule="exac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5</w:t>
            </w:r>
          </w:p>
        </w:tc>
        <w:tc>
          <w:tcPr>
            <w:tcW w:w="113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709" w:type="dxa"/>
            <w:tcBorders>
              <w:top w:val="single" w:color="auto" w:sz="6" w:space="0"/>
              <w:left w:val="single" w:color="auto" w:sz="6" w:space="0"/>
              <w:bottom w:val="single" w:color="auto" w:sz="6" w:space="0"/>
              <w:right w:val="single" w:color="auto" w:sz="4" w:space="0"/>
            </w:tcBorders>
            <w:noWrap w:val="0"/>
            <w:vAlign w:val="top"/>
          </w:tcPr>
          <w:p>
            <w:pPr>
              <w:rPr>
                <w:rFonts w:ascii="宋体" w:hAnsi="宋体"/>
                <w:sz w:val="24"/>
              </w:rPr>
            </w:pPr>
          </w:p>
        </w:tc>
        <w:tc>
          <w:tcPr>
            <w:tcW w:w="850"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709"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1701" w:type="dxa"/>
            <w:tcBorders>
              <w:top w:val="single" w:color="auto" w:sz="6" w:space="0"/>
              <w:left w:val="single" w:color="auto" w:sz="4" w:space="0"/>
              <w:bottom w:val="single" w:color="auto" w:sz="6" w:space="0"/>
              <w:right w:val="single" w:color="auto" w:sz="6" w:space="0"/>
            </w:tcBorders>
            <w:noWrap w:val="0"/>
            <w:vAlign w:val="top"/>
          </w:tcPr>
          <w:p>
            <w:pPr>
              <w:rPr>
                <w:rFonts w:ascii="宋体" w:hAnsi="宋体"/>
                <w:sz w:val="24"/>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168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r>
      <w:tr>
        <w:tblPrEx>
          <w:tblCellMar>
            <w:top w:w="0" w:type="dxa"/>
            <w:left w:w="54" w:type="dxa"/>
            <w:bottom w:w="0" w:type="dxa"/>
            <w:right w:w="54" w:type="dxa"/>
          </w:tblCellMar>
        </w:tblPrEx>
        <w:trPr>
          <w:cantSplit/>
          <w:trHeight w:val="320" w:hRule="exac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6</w:t>
            </w:r>
          </w:p>
        </w:tc>
        <w:tc>
          <w:tcPr>
            <w:tcW w:w="113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709" w:type="dxa"/>
            <w:tcBorders>
              <w:top w:val="single" w:color="auto" w:sz="6" w:space="0"/>
              <w:left w:val="single" w:color="auto" w:sz="6" w:space="0"/>
              <w:bottom w:val="single" w:color="auto" w:sz="6" w:space="0"/>
              <w:right w:val="single" w:color="auto" w:sz="4" w:space="0"/>
            </w:tcBorders>
            <w:noWrap w:val="0"/>
            <w:vAlign w:val="top"/>
          </w:tcPr>
          <w:p>
            <w:pPr>
              <w:rPr>
                <w:rFonts w:ascii="宋体" w:hAnsi="宋体"/>
                <w:sz w:val="24"/>
              </w:rPr>
            </w:pPr>
          </w:p>
        </w:tc>
        <w:tc>
          <w:tcPr>
            <w:tcW w:w="850"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709"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1701" w:type="dxa"/>
            <w:tcBorders>
              <w:top w:val="single" w:color="auto" w:sz="6" w:space="0"/>
              <w:left w:val="single" w:color="auto" w:sz="4" w:space="0"/>
              <w:bottom w:val="single" w:color="auto" w:sz="6" w:space="0"/>
              <w:right w:val="single" w:color="auto" w:sz="6" w:space="0"/>
            </w:tcBorders>
            <w:noWrap w:val="0"/>
            <w:vAlign w:val="top"/>
          </w:tcPr>
          <w:p>
            <w:pPr>
              <w:rPr>
                <w:rFonts w:ascii="宋体" w:hAnsi="宋体"/>
                <w:sz w:val="24"/>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168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r>
      <w:tr>
        <w:tblPrEx>
          <w:tblCellMar>
            <w:top w:w="0" w:type="dxa"/>
            <w:left w:w="54" w:type="dxa"/>
            <w:bottom w:w="0" w:type="dxa"/>
            <w:right w:w="54" w:type="dxa"/>
          </w:tblCellMar>
        </w:tblPrEx>
        <w:trPr>
          <w:cantSplit/>
          <w:trHeight w:val="320" w:hRule="exac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7</w:t>
            </w:r>
          </w:p>
        </w:tc>
        <w:tc>
          <w:tcPr>
            <w:tcW w:w="113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709" w:type="dxa"/>
            <w:tcBorders>
              <w:top w:val="single" w:color="auto" w:sz="6" w:space="0"/>
              <w:left w:val="single" w:color="auto" w:sz="6" w:space="0"/>
              <w:bottom w:val="single" w:color="auto" w:sz="6" w:space="0"/>
              <w:right w:val="single" w:color="auto" w:sz="4" w:space="0"/>
            </w:tcBorders>
            <w:noWrap w:val="0"/>
            <w:vAlign w:val="top"/>
          </w:tcPr>
          <w:p>
            <w:pPr>
              <w:rPr>
                <w:rFonts w:ascii="宋体" w:hAnsi="宋体"/>
                <w:sz w:val="24"/>
              </w:rPr>
            </w:pPr>
          </w:p>
        </w:tc>
        <w:tc>
          <w:tcPr>
            <w:tcW w:w="850"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709"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1701" w:type="dxa"/>
            <w:tcBorders>
              <w:top w:val="single" w:color="auto" w:sz="6" w:space="0"/>
              <w:left w:val="single" w:color="auto" w:sz="4" w:space="0"/>
              <w:bottom w:val="single" w:color="auto" w:sz="6" w:space="0"/>
              <w:right w:val="single" w:color="auto" w:sz="6" w:space="0"/>
            </w:tcBorders>
            <w:noWrap w:val="0"/>
            <w:vAlign w:val="top"/>
          </w:tcPr>
          <w:p>
            <w:pPr>
              <w:rPr>
                <w:rFonts w:ascii="宋体" w:hAnsi="宋体"/>
                <w:sz w:val="24"/>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168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r>
      <w:tr>
        <w:tblPrEx>
          <w:tblCellMar>
            <w:top w:w="0" w:type="dxa"/>
            <w:left w:w="54" w:type="dxa"/>
            <w:bottom w:w="0" w:type="dxa"/>
            <w:right w:w="54" w:type="dxa"/>
          </w:tblCellMar>
        </w:tblPrEx>
        <w:trPr>
          <w:cantSplit/>
          <w:trHeight w:val="320" w:hRule="exact"/>
          <w:jc w:val="center"/>
        </w:trPr>
        <w:tc>
          <w:tcPr>
            <w:tcW w:w="744" w:type="dxa"/>
            <w:tcBorders>
              <w:top w:val="single" w:color="auto" w:sz="6" w:space="0"/>
              <w:left w:val="single" w:color="auto" w:sz="6" w:space="0"/>
              <w:bottom w:val="nil"/>
              <w:right w:val="single" w:color="auto" w:sz="6" w:space="0"/>
            </w:tcBorders>
            <w:noWrap w:val="0"/>
            <w:vAlign w:val="top"/>
          </w:tcPr>
          <w:p>
            <w:pPr>
              <w:jc w:val="center"/>
              <w:rPr>
                <w:rFonts w:ascii="宋体" w:hAnsi="宋体"/>
                <w:sz w:val="24"/>
              </w:rPr>
            </w:pPr>
            <w:r>
              <w:rPr>
                <w:rFonts w:hint="eastAsia" w:ascii="宋体" w:hAnsi="宋体"/>
                <w:sz w:val="24"/>
              </w:rPr>
              <w:t>8</w:t>
            </w:r>
          </w:p>
        </w:tc>
        <w:tc>
          <w:tcPr>
            <w:tcW w:w="113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709" w:type="dxa"/>
            <w:tcBorders>
              <w:top w:val="single" w:color="auto" w:sz="6" w:space="0"/>
              <w:left w:val="single" w:color="auto" w:sz="6" w:space="0"/>
              <w:bottom w:val="single" w:color="auto" w:sz="6" w:space="0"/>
              <w:right w:val="single" w:color="auto" w:sz="4" w:space="0"/>
            </w:tcBorders>
            <w:noWrap w:val="0"/>
            <w:vAlign w:val="top"/>
          </w:tcPr>
          <w:p>
            <w:pPr>
              <w:rPr>
                <w:rFonts w:ascii="宋体" w:hAnsi="宋体"/>
                <w:sz w:val="24"/>
              </w:rPr>
            </w:pPr>
          </w:p>
        </w:tc>
        <w:tc>
          <w:tcPr>
            <w:tcW w:w="850"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709"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1701" w:type="dxa"/>
            <w:tcBorders>
              <w:top w:val="single" w:color="auto" w:sz="6" w:space="0"/>
              <w:left w:val="single" w:color="auto" w:sz="4" w:space="0"/>
              <w:bottom w:val="single" w:color="auto" w:sz="6" w:space="0"/>
              <w:right w:val="single" w:color="auto" w:sz="6" w:space="0"/>
            </w:tcBorders>
            <w:noWrap w:val="0"/>
            <w:vAlign w:val="top"/>
          </w:tcPr>
          <w:p>
            <w:pPr>
              <w:rPr>
                <w:rFonts w:ascii="宋体" w:hAnsi="宋体"/>
                <w:sz w:val="24"/>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168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r>
      <w:tr>
        <w:tblPrEx>
          <w:tblCellMar>
            <w:top w:w="0" w:type="dxa"/>
            <w:left w:w="54" w:type="dxa"/>
            <w:bottom w:w="0" w:type="dxa"/>
            <w:right w:w="54" w:type="dxa"/>
          </w:tblCellMar>
        </w:tblPrEx>
        <w:trPr>
          <w:cantSplit/>
          <w:trHeight w:val="320" w:hRule="exac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9</w:t>
            </w:r>
          </w:p>
        </w:tc>
        <w:tc>
          <w:tcPr>
            <w:tcW w:w="113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709" w:type="dxa"/>
            <w:tcBorders>
              <w:top w:val="single" w:color="auto" w:sz="6" w:space="0"/>
              <w:left w:val="single" w:color="auto" w:sz="6" w:space="0"/>
              <w:bottom w:val="single" w:color="auto" w:sz="6" w:space="0"/>
              <w:right w:val="single" w:color="auto" w:sz="4" w:space="0"/>
            </w:tcBorders>
            <w:noWrap w:val="0"/>
            <w:vAlign w:val="top"/>
          </w:tcPr>
          <w:p>
            <w:pPr>
              <w:rPr>
                <w:rFonts w:ascii="宋体" w:hAnsi="宋体"/>
                <w:sz w:val="24"/>
              </w:rPr>
            </w:pPr>
          </w:p>
        </w:tc>
        <w:tc>
          <w:tcPr>
            <w:tcW w:w="850"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709"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1701" w:type="dxa"/>
            <w:tcBorders>
              <w:top w:val="single" w:color="auto" w:sz="6" w:space="0"/>
              <w:left w:val="single" w:color="auto" w:sz="4" w:space="0"/>
              <w:bottom w:val="single" w:color="auto" w:sz="6" w:space="0"/>
              <w:right w:val="single" w:color="auto" w:sz="6" w:space="0"/>
            </w:tcBorders>
            <w:noWrap w:val="0"/>
            <w:vAlign w:val="top"/>
          </w:tcPr>
          <w:p>
            <w:pPr>
              <w:rPr>
                <w:rFonts w:ascii="宋体" w:hAnsi="宋体"/>
                <w:sz w:val="24"/>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168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r>
      <w:tr>
        <w:tblPrEx>
          <w:tblCellMar>
            <w:top w:w="0" w:type="dxa"/>
            <w:left w:w="54" w:type="dxa"/>
            <w:bottom w:w="0" w:type="dxa"/>
            <w:right w:w="54" w:type="dxa"/>
          </w:tblCellMar>
        </w:tblPrEx>
        <w:trPr>
          <w:cantSplit/>
          <w:trHeight w:val="320" w:hRule="exact"/>
          <w:jc w:val="center"/>
        </w:trPr>
        <w:tc>
          <w:tcPr>
            <w:tcW w:w="744" w:type="dxa"/>
            <w:tcBorders>
              <w:top w:val="nil"/>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10</w:t>
            </w:r>
          </w:p>
        </w:tc>
        <w:tc>
          <w:tcPr>
            <w:tcW w:w="113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709" w:type="dxa"/>
            <w:tcBorders>
              <w:top w:val="single" w:color="auto" w:sz="6" w:space="0"/>
              <w:left w:val="single" w:color="auto" w:sz="6" w:space="0"/>
              <w:bottom w:val="single" w:color="auto" w:sz="6" w:space="0"/>
              <w:right w:val="single" w:color="auto" w:sz="4" w:space="0"/>
            </w:tcBorders>
            <w:noWrap w:val="0"/>
            <w:vAlign w:val="top"/>
          </w:tcPr>
          <w:p>
            <w:pPr>
              <w:rPr>
                <w:rFonts w:ascii="宋体" w:hAnsi="宋体"/>
                <w:sz w:val="24"/>
              </w:rPr>
            </w:pPr>
          </w:p>
        </w:tc>
        <w:tc>
          <w:tcPr>
            <w:tcW w:w="850"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709" w:type="dxa"/>
            <w:tcBorders>
              <w:top w:val="single" w:color="auto" w:sz="6" w:space="0"/>
              <w:left w:val="single" w:color="auto" w:sz="4" w:space="0"/>
              <w:bottom w:val="single" w:color="auto" w:sz="6" w:space="0"/>
              <w:right w:val="single" w:color="auto" w:sz="4" w:space="0"/>
            </w:tcBorders>
            <w:noWrap w:val="0"/>
            <w:vAlign w:val="top"/>
          </w:tcPr>
          <w:p>
            <w:pPr>
              <w:rPr>
                <w:rFonts w:ascii="宋体" w:hAnsi="宋体"/>
                <w:sz w:val="24"/>
              </w:rPr>
            </w:pPr>
          </w:p>
        </w:tc>
        <w:tc>
          <w:tcPr>
            <w:tcW w:w="1701" w:type="dxa"/>
            <w:tcBorders>
              <w:top w:val="single" w:color="auto" w:sz="6" w:space="0"/>
              <w:left w:val="single" w:color="auto" w:sz="4" w:space="0"/>
              <w:bottom w:val="single" w:color="auto" w:sz="6" w:space="0"/>
              <w:right w:val="single" w:color="auto" w:sz="6" w:space="0"/>
            </w:tcBorders>
            <w:noWrap w:val="0"/>
            <w:vAlign w:val="top"/>
          </w:tcPr>
          <w:p>
            <w:pPr>
              <w:rPr>
                <w:rFonts w:ascii="宋体" w:hAnsi="宋体"/>
                <w:sz w:val="24"/>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c>
          <w:tcPr>
            <w:tcW w:w="168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sz w:val="24"/>
              </w:rPr>
            </w:pPr>
          </w:p>
        </w:tc>
      </w:tr>
    </w:tbl>
    <w:p>
      <w:pPr>
        <w:ind w:left="420" w:leftChars="200"/>
        <w:rPr>
          <w:rFonts w:ascii="宋体"/>
          <w:b/>
          <w:bCs/>
        </w:rPr>
      </w:pPr>
    </w:p>
    <w:p>
      <w:pPr>
        <w:ind w:left="420" w:leftChars="200"/>
        <w:rPr>
          <w:rFonts w:ascii="宋体"/>
          <w:b/>
          <w:bCs/>
        </w:rPr>
      </w:pPr>
      <w:r>
        <w:rPr>
          <w:rFonts w:hint="eastAsia" w:ascii="宋体"/>
          <w:b/>
          <w:bCs/>
        </w:rPr>
        <w:t>注：1、填写时，如本表格不适合供应商的实际情况，可根据本表格格式自行划表填写。</w:t>
      </w:r>
    </w:p>
    <w:p>
      <w:pPr>
        <w:spacing w:line="400" w:lineRule="exact"/>
        <w:rPr>
          <w:rFonts w:ascii="宋体"/>
          <w:b/>
          <w:bCs/>
        </w:rPr>
      </w:pPr>
      <w:r>
        <w:rPr>
          <w:rFonts w:hint="eastAsia" w:ascii="宋体"/>
          <w:b/>
          <w:bCs/>
        </w:rPr>
        <w:t>　　 2、主要管理人员需明确姓名及持何种资格证件（证书复印件附后）；其它人员可以承诺的方式填写，无须明确姓名，中标后签订合同时，应提供具体人员名单及证件，若不履约，中标人须承担相应责任。</w:t>
      </w:r>
    </w:p>
    <w:p>
      <w:pPr>
        <w:ind w:firstLine="517" w:firstLineChars="245"/>
        <w:rPr>
          <w:rFonts w:ascii="宋体"/>
          <w:b/>
          <w:bCs/>
        </w:rPr>
      </w:pPr>
      <w:r>
        <w:rPr>
          <w:rFonts w:hint="eastAsia" w:ascii="宋体"/>
          <w:b/>
          <w:bCs/>
        </w:rPr>
        <w:t>3、本表格所要求填写的人员是指供应商将安排在此项目的具体人员。</w:t>
      </w:r>
      <w:bookmarkStart w:id="21" w:name="bt投标文件签署授权委托书"/>
      <w:bookmarkEnd w:id="21"/>
      <w:bookmarkStart w:id="22" w:name="_Toc101074890"/>
      <w:bookmarkStart w:id="23" w:name="_Toc100052459"/>
      <w:bookmarkStart w:id="24" w:name="_Toc73517692"/>
      <w:bookmarkStart w:id="25" w:name="_Toc73518170"/>
      <w:bookmarkStart w:id="26" w:name="_Toc73521686"/>
      <w:bookmarkStart w:id="27" w:name="_Toc73521598"/>
      <w:r>
        <w:br w:type="page"/>
      </w:r>
      <w:bookmarkEnd w:id="22"/>
      <w:bookmarkEnd w:id="23"/>
      <w:bookmarkEnd w:id="24"/>
      <w:bookmarkEnd w:id="25"/>
      <w:bookmarkEnd w:id="26"/>
      <w:bookmarkEnd w:id="27"/>
    </w:p>
    <w:p>
      <w:pPr>
        <w:tabs>
          <w:tab w:val="left" w:pos="1575"/>
        </w:tabs>
        <w:spacing w:line="560" w:lineRule="exact"/>
        <w:jc w:val="center"/>
        <w:rPr>
          <w:rFonts w:ascii="仿宋_GB2312" w:eastAsia="仿宋_GB2312"/>
          <w:b/>
          <w:sz w:val="30"/>
          <w:szCs w:val="30"/>
        </w:rPr>
      </w:pPr>
      <w:r>
        <w:rPr>
          <w:rFonts w:hint="eastAsia" w:ascii="仿宋_GB2312" w:eastAsia="仿宋_GB2312"/>
          <w:b/>
          <w:sz w:val="30"/>
          <w:szCs w:val="30"/>
        </w:rPr>
        <w:t>九、投标单位</w:t>
      </w:r>
      <w:r>
        <w:rPr>
          <w:rFonts w:ascii="仿宋_GB2312" w:eastAsia="仿宋_GB2312"/>
          <w:b/>
          <w:sz w:val="30"/>
          <w:szCs w:val="30"/>
        </w:rPr>
        <w:t>声明函</w:t>
      </w:r>
    </w:p>
    <w:p>
      <w:pPr>
        <w:widowControl/>
        <w:spacing w:before="100" w:beforeAutospacing="1" w:after="100" w:afterAutospacing="1" w:line="432" w:lineRule="auto"/>
        <w:jc w:val="left"/>
        <w:rPr>
          <w:rFonts w:hint="eastAsia" w:ascii="ˎ̥" w:hAnsi="ˎ̥" w:cs="宋体"/>
          <w:color w:val="000000"/>
          <w:kern w:val="0"/>
          <w:sz w:val="24"/>
        </w:rPr>
      </w:pPr>
      <w:r>
        <w:rPr>
          <w:rFonts w:ascii="ˎ̥" w:hAnsi="ˎ̥" w:cs="宋体"/>
          <w:color w:val="000000"/>
          <w:kern w:val="0"/>
          <w:sz w:val="24"/>
        </w:rPr>
        <w:t> 　　根据</w:t>
      </w:r>
      <w:r>
        <w:rPr>
          <w:rFonts w:hint="eastAsia" w:ascii="ˎ̥" w:hAnsi="ˎ̥" w:cs="宋体"/>
          <w:color w:val="000000"/>
          <w:kern w:val="0"/>
          <w:sz w:val="24"/>
        </w:rPr>
        <w:t>财政部</w:t>
      </w:r>
      <w:r>
        <w:rPr>
          <w:rFonts w:ascii="ˎ̥" w:hAnsi="ˎ̥" w:cs="宋体"/>
          <w:color w:val="000000"/>
          <w:kern w:val="0"/>
          <w:sz w:val="24"/>
        </w:rPr>
        <w:t>《政府采购促进中小企业发展暂行办法》（财库[2011]181号）</w:t>
      </w:r>
      <w:r>
        <w:rPr>
          <w:rFonts w:hint="eastAsia" w:ascii="ˎ̥" w:hAnsi="ˎ̥" w:cs="宋体"/>
          <w:color w:val="000000"/>
          <w:kern w:val="0"/>
          <w:sz w:val="24"/>
        </w:rPr>
        <w:t>和宁波市财政局《关于政府采购促进中小企业发展若干问题的通知》（甬采购办</w:t>
      </w:r>
      <w:r>
        <w:rPr>
          <w:rFonts w:ascii="ˎ̥" w:hAnsi="ˎ̥" w:cs="宋体"/>
          <w:color w:val="000000"/>
          <w:kern w:val="0"/>
          <w:sz w:val="24"/>
        </w:rPr>
        <w:t>[201</w:t>
      </w:r>
      <w:r>
        <w:rPr>
          <w:rFonts w:hint="eastAsia" w:ascii="ˎ̥" w:hAnsi="ˎ̥" w:cs="宋体"/>
          <w:color w:val="000000"/>
          <w:kern w:val="0"/>
          <w:sz w:val="24"/>
        </w:rPr>
        <w:t>2</w:t>
      </w:r>
      <w:r>
        <w:rPr>
          <w:rFonts w:ascii="ˎ̥" w:hAnsi="ˎ̥" w:cs="宋体"/>
          <w:color w:val="000000"/>
          <w:kern w:val="0"/>
          <w:sz w:val="24"/>
        </w:rPr>
        <w:t>]</w:t>
      </w:r>
      <w:r>
        <w:rPr>
          <w:rFonts w:hint="eastAsia" w:ascii="ˎ̥" w:hAnsi="ˎ̥" w:cs="宋体"/>
          <w:color w:val="000000"/>
          <w:kern w:val="0"/>
          <w:sz w:val="24"/>
        </w:rPr>
        <w:t>1427号）的</w:t>
      </w:r>
      <w:r>
        <w:rPr>
          <w:rFonts w:ascii="ˎ̥" w:hAnsi="ˎ̥" w:cs="宋体"/>
          <w:color w:val="000000"/>
          <w:kern w:val="0"/>
          <w:sz w:val="24"/>
        </w:rPr>
        <w:t>规定，本</w:t>
      </w:r>
      <w:r>
        <w:rPr>
          <w:rFonts w:hint="eastAsia" w:ascii="ˎ̥" w:hAnsi="ˎ̥" w:cs="宋体"/>
          <w:color w:val="000000"/>
          <w:kern w:val="0"/>
          <w:sz w:val="24"/>
        </w:rPr>
        <w:t>单位</w:t>
      </w:r>
      <w:r>
        <w:rPr>
          <w:rFonts w:ascii="ˎ̥" w:hAnsi="ˎ̥" w:cs="宋体"/>
          <w:color w:val="000000"/>
          <w:kern w:val="0"/>
          <w:sz w:val="24"/>
        </w:rPr>
        <w:t>郑重声明：</w:t>
      </w:r>
    </w:p>
    <w:p>
      <w:pPr>
        <w:widowControl/>
        <w:spacing w:before="100" w:beforeAutospacing="1" w:after="100" w:afterAutospacing="1" w:line="432" w:lineRule="auto"/>
        <w:jc w:val="left"/>
        <w:rPr>
          <w:rFonts w:hint="eastAsia" w:ascii="ˎ̥" w:hAnsi="ˎ̥" w:cs="宋体"/>
          <w:color w:val="000000"/>
          <w:kern w:val="0"/>
          <w:sz w:val="24"/>
        </w:rPr>
      </w:pPr>
      <w:r>
        <w:rPr>
          <w:rFonts w:ascii="ˎ̥" w:hAnsi="ˎ̥" w:cs="宋体"/>
          <w:color w:val="000000"/>
          <w:kern w:val="0"/>
          <w:sz w:val="24"/>
        </w:rPr>
        <w:t>　　1.</w:t>
      </w:r>
      <w:r>
        <w:rPr>
          <w:rFonts w:hint="eastAsia" w:ascii="ˎ̥" w:hAnsi="ˎ̥" w:cs="宋体"/>
          <w:color w:val="000000"/>
          <w:kern w:val="0"/>
          <w:sz w:val="24"/>
        </w:rPr>
        <w:t>依据</w:t>
      </w:r>
      <w:r>
        <w:rPr>
          <w:rFonts w:ascii="ˎ̥" w:hAnsi="ˎ̥" w:cs="宋体"/>
          <w:color w:val="000000"/>
          <w:kern w:val="0"/>
          <w:sz w:val="24"/>
        </w:rPr>
        <w:t>工业和信息化部、国家统计局、国家发展和改革委员会、财政部《关于印发中小企业划型标准规定的通知》（工信部联企业[2011]300号）规定的划分标准，本</w:t>
      </w:r>
      <w:r>
        <w:rPr>
          <w:rFonts w:hint="eastAsia" w:ascii="ˎ̥" w:hAnsi="ˎ̥" w:cs="宋体"/>
          <w:color w:val="000000"/>
          <w:kern w:val="0"/>
          <w:sz w:val="24"/>
        </w:rPr>
        <w:t>单位</w:t>
      </w:r>
      <w:r>
        <w:rPr>
          <w:rFonts w:ascii="ˎ̥" w:hAnsi="ˎ̥" w:cs="宋体"/>
          <w:color w:val="000000"/>
          <w:kern w:val="0"/>
          <w:sz w:val="24"/>
        </w:rPr>
        <w:t>为______（</w:t>
      </w:r>
      <w:r>
        <w:rPr>
          <w:rFonts w:hint="eastAsia" w:ascii="ˎ̥" w:hAnsi="ˎ̥" w:cs="宋体"/>
          <w:color w:val="000000"/>
          <w:kern w:val="0"/>
          <w:sz w:val="24"/>
        </w:rPr>
        <w:t>大型、</w:t>
      </w:r>
      <w:r>
        <w:rPr>
          <w:rFonts w:ascii="ˎ̥" w:hAnsi="ˎ̥" w:cs="宋体"/>
          <w:color w:val="000000"/>
          <w:kern w:val="0"/>
          <w:sz w:val="24"/>
        </w:rPr>
        <w:t>中型、小型、微型</w:t>
      </w:r>
      <w:r>
        <w:rPr>
          <w:rFonts w:hint="eastAsia" w:ascii="ˎ̥" w:hAnsi="ˎ̥" w:cs="宋体"/>
          <w:color w:val="000000"/>
          <w:kern w:val="0"/>
          <w:sz w:val="24"/>
        </w:rPr>
        <w:t>、不划型</w:t>
      </w:r>
      <w:r>
        <w:rPr>
          <w:rFonts w:ascii="ˎ̥" w:hAnsi="ˎ̥" w:cs="宋体"/>
          <w:color w:val="000000"/>
          <w:kern w:val="0"/>
          <w:sz w:val="24"/>
        </w:rPr>
        <w:t>）企业</w:t>
      </w:r>
      <w:r>
        <w:rPr>
          <w:rFonts w:hint="eastAsia" w:ascii="ˎ̥" w:hAnsi="ˎ̥" w:cs="宋体"/>
          <w:color w:val="000000"/>
          <w:kern w:val="0"/>
          <w:sz w:val="24"/>
        </w:rPr>
        <w:t>，其中所属行业为</w:t>
      </w:r>
      <w:r>
        <w:rPr>
          <w:rFonts w:ascii="ˎ̥" w:hAnsi="ˎ̥" w:cs="宋体"/>
          <w:color w:val="000000"/>
          <w:kern w:val="0"/>
          <w:sz w:val="24"/>
        </w:rPr>
        <w:t>________________</w:t>
      </w:r>
      <w:r>
        <w:rPr>
          <w:rFonts w:hint="eastAsia" w:ascii="ˎ̥" w:hAnsi="ˎ̥" w:cs="宋体"/>
          <w:color w:val="000000"/>
          <w:kern w:val="0"/>
          <w:sz w:val="24"/>
        </w:rPr>
        <w:t>、上年末从业人员</w:t>
      </w:r>
      <w:r>
        <w:rPr>
          <w:rFonts w:ascii="ˎ̥" w:hAnsi="ˎ̥" w:cs="宋体"/>
          <w:color w:val="000000"/>
          <w:kern w:val="0"/>
          <w:sz w:val="24"/>
        </w:rPr>
        <w:t>____</w:t>
      </w:r>
      <w:r>
        <w:rPr>
          <w:rFonts w:hint="eastAsia" w:ascii="ˎ̥" w:hAnsi="ˎ̥" w:cs="宋体"/>
          <w:color w:val="000000"/>
          <w:kern w:val="0"/>
          <w:sz w:val="24"/>
        </w:rPr>
        <w:t>人、上年营业收入</w:t>
      </w:r>
      <w:r>
        <w:rPr>
          <w:rFonts w:ascii="ˎ̥" w:hAnsi="ˎ̥" w:cs="宋体"/>
          <w:color w:val="000000"/>
          <w:kern w:val="0"/>
          <w:sz w:val="24"/>
        </w:rPr>
        <w:t>____</w:t>
      </w:r>
      <w:r>
        <w:rPr>
          <w:rFonts w:hint="eastAsia" w:ascii="ˎ̥" w:hAnsi="ˎ̥" w:cs="宋体"/>
          <w:color w:val="000000"/>
          <w:kern w:val="0"/>
          <w:sz w:val="24"/>
        </w:rPr>
        <w:t>万元、上年资产总额</w:t>
      </w:r>
      <w:r>
        <w:rPr>
          <w:rFonts w:ascii="ˎ̥" w:hAnsi="ˎ̥" w:cs="宋体"/>
          <w:color w:val="000000"/>
          <w:kern w:val="0"/>
          <w:sz w:val="24"/>
        </w:rPr>
        <w:t>____</w:t>
      </w:r>
      <w:r>
        <w:rPr>
          <w:rFonts w:hint="eastAsia" w:ascii="ˎ̥" w:hAnsi="ˎ̥" w:cs="宋体"/>
          <w:color w:val="000000"/>
          <w:kern w:val="0"/>
          <w:sz w:val="24"/>
        </w:rPr>
        <w:t>万元。</w:t>
      </w:r>
    </w:p>
    <w:p>
      <w:pPr>
        <w:widowControl/>
        <w:spacing w:before="100" w:beforeAutospacing="1" w:after="100" w:afterAutospacing="1" w:line="432" w:lineRule="auto"/>
        <w:jc w:val="left"/>
        <w:rPr>
          <w:rFonts w:hint="eastAsia" w:ascii="ˎ̥" w:hAnsi="ˎ̥" w:cs="宋体"/>
          <w:color w:val="000000"/>
          <w:kern w:val="0"/>
          <w:sz w:val="24"/>
        </w:rPr>
      </w:pPr>
      <w:r>
        <w:rPr>
          <w:rFonts w:ascii="ˎ̥" w:hAnsi="ˎ̥" w:cs="宋体"/>
          <w:color w:val="000000"/>
          <w:kern w:val="0"/>
          <w:sz w:val="24"/>
        </w:rPr>
        <w:t>　　2.本</w:t>
      </w:r>
      <w:r>
        <w:rPr>
          <w:rFonts w:hint="eastAsia" w:ascii="ˎ̥" w:hAnsi="ˎ̥" w:cs="宋体"/>
          <w:color w:val="000000"/>
          <w:kern w:val="0"/>
          <w:sz w:val="24"/>
        </w:rPr>
        <w:t>单位</w:t>
      </w:r>
      <w:r>
        <w:rPr>
          <w:rFonts w:ascii="ˎ̥" w:hAnsi="ˎ̥" w:cs="宋体"/>
          <w:color w:val="000000"/>
          <w:kern w:val="0"/>
          <w:sz w:val="24"/>
        </w:rPr>
        <w:t>参加______项目</w:t>
      </w:r>
      <w:r>
        <w:rPr>
          <w:rFonts w:hint="eastAsia" w:ascii="ˎ̥" w:hAnsi="ˎ̥" w:cs="宋体"/>
          <w:color w:val="000000"/>
          <w:kern w:val="0"/>
          <w:sz w:val="24"/>
        </w:rPr>
        <w:t>（采购编号</w:t>
      </w:r>
      <w:r>
        <w:rPr>
          <w:rFonts w:ascii="ˎ̥" w:hAnsi="ˎ̥" w:cs="宋体"/>
          <w:color w:val="000000"/>
          <w:kern w:val="0"/>
          <w:sz w:val="24"/>
        </w:rPr>
        <w:t>______</w:t>
      </w:r>
      <w:r>
        <w:rPr>
          <w:rFonts w:hint="eastAsia" w:ascii="ˎ̥" w:hAnsi="ˎ̥" w:cs="宋体"/>
          <w:color w:val="000000"/>
          <w:kern w:val="0"/>
          <w:sz w:val="24"/>
        </w:rPr>
        <w:t>标段/包</w:t>
      </w:r>
      <w:r>
        <w:rPr>
          <w:rFonts w:ascii="ˎ̥" w:hAnsi="ˎ̥" w:cs="宋体"/>
          <w:color w:val="000000"/>
          <w:kern w:val="0"/>
          <w:sz w:val="24"/>
        </w:rPr>
        <w:t>______</w:t>
      </w:r>
      <w:r>
        <w:rPr>
          <w:rFonts w:hint="eastAsia" w:ascii="ˎ̥" w:hAnsi="ˎ̥" w:cs="宋体"/>
          <w:color w:val="000000"/>
          <w:kern w:val="0"/>
          <w:sz w:val="24"/>
        </w:rPr>
        <w:t>）</w:t>
      </w:r>
      <w:r>
        <w:rPr>
          <w:rFonts w:ascii="ˎ̥" w:hAnsi="ˎ̥" w:cs="宋体"/>
          <w:color w:val="000000"/>
          <w:kern w:val="0"/>
          <w:sz w:val="24"/>
        </w:rPr>
        <w:t>采购活动</w:t>
      </w:r>
      <w:r>
        <w:rPr>
          <w:rFonts w:hint="eastAsia" w:ascii="ˎ̥" w:hAnsi="ˎ̥" w:cs="宋体"/>
          <w:color w:val="000000"/>
          <w:kern w:val="0"/>
          <w:sz w:val="24"/>
        </w:rPr>
        <w:t>，项目的市场价格为</w:t>
      </w:r>
      <w:r>
        <w:rPr>
          <w:rFonts w:ascii="ˎ̥" w:hAnsi="ˎ̥" w:cs="宋体"/>
          <w:color w:val="000000"/>
          <w:kern w:val="0"/>
          <w:sz w:val="24"/>
        </w:rPr>
        <w:t>_____</w:t>
      </w:r>
      <w:r>
        <w:rPr>
          <w:rFonts w:hint="eastAsia" w:ascii="ˎ̥" w:hAnsi="ˎ̥" w:cs="宋体"/>
          <w:color w:val="000000"/>
          <w:kern w:val="0"/>
          <w:sz w:val="24"/>
        </w:rPr>
        <w:t>万元，本次投标价格为</w:t>
      </w:r>
      <w:r>
        <w:rPr>
          <w:rFonts w:ascii="ˎ̥" w:hAnsi="ˎ̥" w:cs="宋体"/>
          <w:color w:val="000000"/>
          <w:kern w:val="0"/>
          <w:sz w:val="24"/>
        </w:rPr>
        <w:t>_____</w:t>
      </w:r>
      <w:r>
        <w:rPr>
          <w:rFonts w:hint="eastAsia" w:ascii="ˎ̥" w:hAnsi="ˎ̥" w:cs="宋体"/>
          <w:color w:val="000000"/>
          <w:kern w:val="0"/>
          <w:sz w:val="24"/>
        </w:rPr>
        <w:t>万元，其中</w:t>
      </w:r>
      <w:r>
        <w:rPr>
          <w:rFonts w:ascii="ˎ̥" w:hAnsi="ˎ̥" w:cs="宋体"/>
          <w:color w:val="000000"/>
          <w:kern w:val="0"/>
          <w:sz w:val="24"/>
        </w:rPr>
        <w:t>由本</w:t>
      </w:r>
      <w:r>
        <w:rPr>
          <w:rFonts w:hint="eastAsia" w:ascii="ˎ̥" w:hAnsi="ˎ̥" w:cs="宋体"/>
          <w:color w:val="000000"/>
          <w:kern w:val="0"/>
          <w:sz w:val="24"/>
        </w:rPr>
        <w:t>单位</w:t>
      </w:r>
      <w:r>
        <w:rPr>
          <w:rFonts w:ascii="ˎ̥" w:hAnsi="ˎ̥" w:cs="宋体"/>
          <w:color w:val="000000"/>
          <w:kern w:val="0"/>
          <w:sz w:val="24"/>
        </w:rPr>
        <w:t>承担工程</w:t>
      </w:r>
      <w:r>
        <w:rPr>
          <w:rFonts w:hint="eastAsia" w:ascii="ˎ̥" w:hAnsi="ˎ̥" w:cs="宋体"/>
          <w:color w:val="000000"/>
          <w:kern w:val="0"/>
          <w:sz w:val="24"/>
        </w:rPr>
        <w:t>金额为</w:t>
      </w:r>
      <w:r>
        <w:rPr>
          <w:rFonts w:ascii="ˎ̥" w:hAnsi="ˎ̥" w:cs="宋体"/>
          <w:color w:val="000000"/>
          <w:kern w:val="0"/>
          <w:sz w:val="24"/>
        </w:rPr>
        <w:t>_____</w:t>
      </w:r>
      <w:r>
        <w:rPr>
          <w:rFonts w:hint="eastAsia" w:ascii="ˎ̥" w:hAnsi="ˎ̥" w:cs="宋体"/>
          <w:color w:val="000000"/>
          <w:kern w:val="0"/>
          <w:sz w:val="24"/>
        </w:rPr>
        <w:t>万元，</w:t>
      </w:r>
      <w:r>
        <w:rPr>
          <w:rFonts w:ascii="ˎ̥" w:hAnsi="ˎ̥" w:cs="宋体"/>
          <w:color w:val="000000"/>
          <w:kern w:val="0"/>
          <w:sz w:val="24"/>
        </w:rPr>
        <w:t>由本</w:t>
      </w:r>
      <w:r>
        <w:rPr>
          <w:rFonts w:hint="eastAsia" w:ascii="ˎ̥" w:hAnsi="ˎ̥" w:cs="宋体"/>
          <w:color w:val="000000"/>
          <w:kern w:val="0"/>
          <w:sz w:val="24"/>
        </w:rPr>
        <w:t>单位</w:t>
      </w:r>
      <w:r>
        <w:rPr>
          <w:rFonts w:ascii="ˎ̥" w:hAnsi="ˎ̥" w:cs="宋体"/>
          <w:color w:val="000000"/>
          <w:kern w:val="0"/>
          <w:sz w:val="24"/>
        </w:rPr>
        <w:t>提供服务</w:t>
      </w:r>
      <w:r>
        <w:rPr>
          <w:rFonts w:hint="eastAsia" w:ascii="ˎ̥" w:hAnsi="ˎ̥" w:cs="宋体"/>
          <w:color w:val="000000"/>
          <w:kern w:val="0"/>
          <w:sz w:val="24"/>
        </w:rPr>
        <w:t>金额为</w:t>
      </w:r>
      <w:r>
        <w:rPr>
          <w:rFonts w:ascii="ˎ̥" w:hAnsi="ˎ̥" w:cs="宋体"/>
          <w:color w:val="000000"/>
          <w:kern w:val="0"/>
          <w:sz w:val="24"/>
        </w:rPr>
        <w:t>_____</w:t>
      </w:r>
      <w:r>
        <w:rPr>
          <w:rFonts w:hint="eastAsia" w:ascii="ˎ̥" w:hAnsi="ˎ̥" w:cs="宋体"/>
          <w:color w:val="000000"/>
          <w:kern w:val="0"/>
          <w:sz w:val="24"/>
        </w:rPr>
        <w:t>万元，</w:t>
      </w:r>
      <w:r>
        <w:rPr>
          <w:rFonts w:ascii="ˎ̥" w:hAnsi="ˎ̥" w:cs="宋体"/>
          <w:color w:val="000000"/>
          <w:kern w:val="0"/>
          <w:sz w:val="24"/>
        </w:rPr>
        <w:t>提供本</w:t>
      </w:r>
      <w:r>
        <w:rPr>
          <w:rFonts w:hint="eastAsia" w:ascii="ˎ̥" w:hAnsi="ˎ̥" w:cs="宋体"/>
          <w:color w:val="000000"/>
          <w:kern w:val="0"/>
          <w:sz w:val="24"/>
        </w:rPr>
        <w:t>单位</w:t>
      </w:r>
      <w:r>
        <w:rPr>
          <w:rFonts w:ascii="ˎ̥" w:hAnsi="ˎ̥" w:cs="宋体"/>
          <w:color w:val="000000"/>
          <w:kern w:val="0"/>
          <w:sz w:val="24"/>
        </w:rPr>
        <w:t>制造的货物</w:t>
      </w:r>
      <w:r>
        <w:rPr>
          <w:rFonts w:hint="eastAsia" w:ascii="ˎ̥" w:hAnsi="ˎ̥" w:cs="宋体"/>
          <w:color w:val="000000"/>
          <w:kern w:val="0"/>
          <w:sz w:val="24"/>
        </w:rPr>
        <w:t>金额为</w:t>
      </w:r>
      <w:r>
        <w:rPr>
          <w:rFonts w:ascii="ˎ̥" w:hAnsi="ˎ̥" w:cs="宋体"/>
          <w:color w:val="000000"/>
          <w:kern w:val="0"/>
          <w:sz w:val="24"/>
        </w:rPr>
        <w:t>_____</w:t>
      </w:r>
      <w:r>
        <w:rPr>
          <w:rFonts w:hint="eastAsia" w:ascii="ˎ̥" w:hAnsi="ˎ̥" w:cs="宋体"/>
          <w:color w:val="000000"/>
          <w:kern w:val="0"/>
          <w:sz w:val="24"/>
        </w:rPr>
        <w:t>万元，</w:t>
      </w:r>
      <w:r>
        <w:rPr>
          <w:rFonts w:ascii="ˎ̥" w:hAnsi="ˎ̥" w:cs="宋体"/>
          <w:color w:val="000000"/>
          <w:kern w:val="0"/>
          <w:sz w:val="24"/>
        </w:rPr>
        <w:t>或者提供其他</w:t>
      </w:r>
      <w:r>
        <w:rPr>
          <w:rFonts w:hint="eastAsia" w:ascii="ˎ̥" w:hAnsi="ˎ̥" w:cs="宋体"/>
          <w:color w:val="000000"/>
          <w:kern w:val="0"/>
          <w:sz w:val="24"/>
        </w:rPr>
        <w:t>大型</w:t>
      </w:r>
      <w:r>
        <w:rPr>
          <w:rFonts w:ascii="ˎ̥" w:hAnsi="ˎ̥" w:cs="宋体"/>
          <w:color w:val="000000"/>
          <w:kern w:val="0"/>
          <w:sz w:val="24"/>
        </w:rPr>
        <w:t>企业制造的货物</w:t>
      </w:r>
      <w:r>
        <w:rPr>
          <w:rFonts w:hint="eastAsia" w:ascii="ˎ̥" w:hAnsi="ˎ̥" w:cs="宋体"/>
          <w:color w:val="000000"/>
          <w:kern w:val="0"/>
          <w:sz w:val="24"/>
        </w:rPr>
        <w:t>金额为</w:t>
      </w:r>
      <w:r>
        <w:rPr>
          <w:rFonts w:ascii="ˎ̥" w:hAnsi="ˎ̥" w:cs="宋体"/>
          <w:color w:val="000000"/>
          <w:kern w:val="0"/>
          <w:sz w:val="24"/>
        </w:rPr>
        <w:t>_____</w:t>
      </w:r>
      <w:r>
        <w:rPr>
          <w:rFonts w:hint="eastAsia" w:ascii="ˎ̥" w:hAnsi="ˎ̥" w:cs="宋体"/>
          <w:color w:val="000000"/>
          <w:kern w:val="0"/>
          <w:sz w:val="24"/>
        </w:rPr>
        <w:t>万元、</w:t>
      </w:r>
      <w:r>
        <w:rPr>
          <w:rFonts w:ascii="ˎ̥" w:hAnsi="ˎ̥" w:cs="宋体"/>
          <w:color w:val="000000"/>
          <w:kern w:val="0"/>
          <w:sz w:val="24"/>
        </w:rPr>
        <w:t>其他中型企业制造的货物</w:t>
      </w:r>
      <w:r>
        <w:rPr>
          <w:rFonts w:hint="eastAsia" w:ascii="ˎ̥" w:hAnsi="ˎ̥" w:cs="宋体"/>
          <w:color w:val="000000"/>
          <w:kern w:val="0"/>
          <w:sz w:val="24"/>
        </w:rPr>
        <w:t>金额为</w:t>
      </w:r>
      <w:r>
        <w:rPr>
          <w:rFonts w:ascii="ˎ̥" w:hAnsi="ˎ̥" w:cs="宋体"/>
          <w:color w:val="000000"/>
          <w:kern w:val="0"/>
          <w:sz w:val="24"/>
        </w:rPr>
        <w:t>_____</w:t>
      </w:r>
      <w:r>
        <w:rPr>
          <w:rFonts w:hint="eastAsia" w:ascii="ˎ̥" w:hAnsi="ˎ̥" w:cs="宋体"/>
          <w:color w:val="000000"/>
          <w:kern w:val="0"/>
          <w:sz w:val="24"/>
        </w:rPr>
        <w:t>万元、</w:t>
      </w:r>
      <w:r>
        <w:rPr>
          <w:rFonts w:ascii="ˎ̥" w:hAnsi="ˎ̥" w:cs="宋体"/>
          <w:color w:val="000000"/>
          <w:kern w:val="0"/>
          <w:sz w:val="24"/>
        </w:rPr>
        <w:t>其他小型企业制造的货物</w:t>
      </w:r>
      <w:r>
        <w:rPr>
          <w:rFonts w:hint="eastAsia" w:ascii="ˎ̥" w:hAnsi="ˎ̥" w:cs="宋体"/>
          <w:color w:val="000000"/>
          <w:kern w:val="0"/>
          <w:sz w:val="24"/>
        </w:rPr>
        <w:t>金额为</w:t>
      </w:r>
      <w:r>
        <w:rPr>
          <w:rFonts w:ascii="ˎ̥" w:hAnsi="ˎ̥" w:cs="宋体"/>
          <w:color w:val="000000"/>
          <w:kern w:val="0"/>
          <w:sz w:val="24"/>
        </w:rPr>
        <w:t>_____</w:t>
      </w:r>
      <w:r>
        <w:rPr>
          <w:rFonts w:hint="eastAsia" w:ascii="ˎ̥" w:hAnsi="ˎ̥" w:cs="宋体"/>
          <w:color w:val="000000"/>
          <w:kern w:val="0"/>
          <w:sz w:val="24"/>
        </w:rPr>
        <w:t>万元、</w:t>
      </w:r>
      <w:r>
        <w:rPr>
          <w:rFonts w:ascii="ˎ̥" w:hAnsi="ˎ̥" w:cs="宋体"/>
          <w:color w:val="000000"/>
          <w:kern w:val="0"/>
          <w:sz w:val="24"/>
        </w:rPr>
        <w:t>其他微型企业制造的货物</w:t>
      </w:r>
      <w:r>
        <w:rPr>
          <w:rFonts w:hint="eastAsia" w:ascii="ˎ̥" w:hAnsi="ˎ̥" w:cs="宋体"/>
          <w:color w:val="000000"/>
          <w:kern w:val="0"/>
          <w:sz w:val="24"/>
        </w:rPr>
        <w:t>金额为</w:t>
      </w:r>
      <w:r>
        <w:rPr>
          <w:rFonts w:ascii="ˎ̥" w:hAnsi="ˎ̥" w:cs="宋体"/>
          <w:color w:val="000000"/>
          <w:kern w:val="0"/>
          <w:sz w:val="24"/>
        </w:rPr>
        <w:t>_____</w:t>
      </w:r>
      <w:r>
        <w:rPr>
          <w:rFonts w:hint="eastAsia" w:ascii="ˎ̥" w:hAnsi="ˎ̥" w:cs="宋体"/>
          <w:color w:val="000000"/>
          <w:kern w:val="0"/>
          <w:sz w:val="24"/>
        </w:rPr>
        <w:t>万元。原产地为中国境内货物金额为</w:t>
      </w:r>
      <w:r>
        <w:rPr>
          <w:rFonts w:ascii="ˎ̥" w:hAnsi="ˎ̥" w:cs="宋体"/>
          <w:color w:val="000000"/>
          <w:kern w:val="0"/>
          <w:sz w:val="24"/>
        </w:rPr>
        <w:t>_____</w:t>
      </w:r>
      <w:r>
        <w:rPr>
          <w:rFonts w:hint="eastAsia" w:ascii="ˎ̥" w:hAnsi="ˎ̥" w:cs="宋体"/>
          <w:color w:val="000000"/>
          <w:kern w:val="0"/>
          <w:sz w:val="24"/>
        </w:rPr>
        <w:t>万元、原产地为宁波货物金额为</w:t>
      </w:r>
      <w:r>
        <w:rPr>
          <w:rFonts w:ascii="ˎ̥" w:hAnsi="ˎ̥" w:cs="宋体"/>
          <w:color w:val="000000"/>
          <w:kern w:val="0"/>
          <w:sz w:val="24"/>
        </w:rPr>
        <w:t>_____</w:t>
      </w:r>
      <w:r>
        <w:rPr>
          <w:rFonts w:hint="eastAsia" w:ascii="ˎ̥" w:hAnsi="ˎ̥" w:cs="宋体"/>
          <w:color w:val="000000"/>
          <w:kern w:val="0"/>
          <w:sz w:val="24"/>
        </w:rPr>
        <w:t>万元，列入国家节能产品清单货物金额为</w:t>
      </w:r>
      <w:r>
        <w:rPr>
          <w:rFonts w:ascii="ˎ̥" w:hAnsi="ˎ̥" w:cs="宋体"/>
          <w:color w:val="000000"/>
          <w:kern w:val="0"/>
          <w:sz w:val="24"/>
        </w:rPr>
        <w:t>_____</w:t>
      </w:r>
      <w:r>
        <w:rPr>
          <w:rFonts w:hint="eastAsia" w:ascii="ˎ̥" w:hAnsi="ˎ̥" w:cs="宋体"/>
          <w:color w:val="000000"/>
          <w:kern w:val="0"/>
          <w:sz w:val="24"/>
        </w:rPr>
        <w:t>万元，列入国家环境标志产品清单货物金额为</w:t>
      </w:r>
      <w:r>
        <w:rPr>
          <w:rFonts w:ascii="ˎ̥" w:hAnsi="ˎ̥" w:cs="宋体"/>
          <w:color w:val="000000"/>
          <w:kern w:val="0"/>
          <w:sz w:val="24"/>
        </w:rPr>
        <w:t>_____</w:t>
      </w:r>
      <w:r>
        <w:rPr>
          <w:rFonts w:hint="eastAsia" w:ascii="ˎ̥" w:hAnsi="ˎ̥" w:cs="宋体"/>
          <w:color w:val="000000"/>
          <w:kern w:val="0"/>
          <w:sz w:val="24"/>
        </w:rPr>
        <w:t>万元</w:t>
      </w:r>
      <w:r>
        <w:rPr>
          <w:rFonts w:ascii="ˎ̥" w:hAnsi="ˎ̥" w:cs="宋体"/>
          <w:color w:val="000000"/>
          <w:kern w:val="0"/>
          <w:sz w:val="24"/>
        </w:rPr>
        <w:t>。</w:t>
      </w:r>
    </w:p>
    <w:p>
      <w:pPr>
        <w:widowControl/>
        <w:spacing w:before="100" w:beforeAutospacing="1" w:after="100" w:afterAutospacing="1" w:line="432" w:lineRule="auto"/>
        <w:jc w:val="left"/>
        <w:rPr>
          <w:rFonts w:hint="eastAsia" w:ascii="ˎ̥" w:hAnsi="ˎ̥" w:cs="宋体"/>
          <w:color w:val="000000"/>
          <w:kern w:val="0"/>
          <w:sz w:val="24"/>
        </w:rPr>
      </w:pPr>
      <w:r>
        <w:rPr>
          <w:rFonts w:ascii="ˎ̥" w:hAnsi="ˎ̥" w:cs="宋体"/>
          <w:color w:val="000000"/>
          <w:kern w:val="0"/>
          <w:sz w:val="24"/>
        </w:rPr>
        <w:t>　　本</w:t>
      </w:r>
      <w:r>
        <w:rPr>
          <w:rFonts w:hint="eastAsia" w:ascii="ˎ̥" w:hAnsi="ˎ̥" w:cs="宋体"/>
          <w:color w:val="000000"/>
          <w:kern w:val="0"/>
          <w:sz w:val="24"/>
        </w:rPr>
        <w:t>单位</w:t>
      </w:r>
      <w:r>
        <w:rPr>
          <w:rFonts w:ascii="ˎ̥" w:hAnsi="ˎ̥" w:cs="宋体"/>
          <w:color w:val="000000"/>
          <w:kern w:val="0"/>
          <w:sz w:val="24"/>
        </w:rPr>
        <w:t>对上述声明的真实性负责。如有虚假，将依法承担相应责任。</w:t>
      </w:r>
    </w:p>
    <w:p>
      <w:pPr>
        <w:widowControl/>
        <w:spacing w:before="100" w:beforeAutospacing="1" w:after="100" w:afterAutospacing="1" w:line="432" w:lineRule="auto"/>
        <w:jc w:val="left"/>
        <w:rPr>
          <w:rFonts w:hint="eastAsia" w:ascii="ˎ̥" w:hAnsi="ˎ̥" w:cs="宋体"/>
          <w:color w:val="000000"/>
          <w:kern w:val="0"/>
          <w:sz w:val="24"/>
        </w:rPr>
      </w:pPr>
      <w:r>
        <w:rPr>
          <w:rFonts w:ascii="ˎ̥" w:hAnsi="ˎ̥" w:cs="宋体"/>
          <w:color w:val="000000"/>
          <w:kern w:val="0"/>
          <w:sz w:val="24"/>
        </w:rPr>
        <w:t> </w:t>
      </w:r>
    </w:p>
    <w:p>
      <w:pPr>
        <w:widowControl/>
        <w:spacing w:before="100" w:beforeAutospacing="1" w:after="100" w:afterAutospacing="1" w:line="432" w:lineRule="auto"/>
        <w:jc w:val="left"/>
        <w:rPr>
          <w:rFonts w:hint="eastAsia" w:ascii="ˎ̥" w:hAnsi="ˎ̥" w:cs="宋体"/>
          <w:color w:val="000000"/>
          <w:kern w:val="0"/>
          <w:sz w:val="24"/>
          <w:u w:val="single"/>
        </w:rPr>
      </w:pPr>
      <w:r>
        <w:rPr>
          <w:rFonts w:ascii="ˎ̥" w:hAnsi="ˎ̥" w:cs="宋体"/>
          <w:color w:val="000000"/>
          <w:kern w:val="0"/>
          <w:sz w:val="24"/>
        </w:rPr>
        <w:t>　　</w:t>
      </w:r>
      <w:r>
        <w:rPr>
          <w:rFonts w:hint="eastAsia" w:ascii="ˎ̥" w:hAnsi="ˎ̥" w:cs="宋体"/>
          <w:color w:val="000000"/>
          <w:kern w:val="0"/>
          <w:sz w:val="24"/>
        </w:rPr>
        <w:t>投标单位</w:t>
      </w:r>
      <w:r>
        <w:rPr>
          <w:rFonts w:ascii="ˎ̥" w:hAnsi="ˎ̥" w:cs="宋体"/>
          <w:color w:val="000000"/>
          <w:kern w:val="0"/>
          <w:sz w:val="24"/>
        </w:rPr>
        <w:t>名称（盖章）：</w:t>
      </w:r>
    </w:p>
    <w:p>
      <w:pPr>
        <w:widowControl/>
        <w:spacing w:before="100" w:beforeAutospacing="1" w:after="100" w:afterAutospacing="1" w:line="432" w:lineRule="auto"/>
        <w:jc w:val="left"/>
        <w:rPr>
          <w:rFonts w:hint="eastAsia" w:ascii="ˎ̥" w:hAnsi="ˎ̥" w:cs="宋体"/>
          <w:color w:val="000000"/>
          <w:kern w:val="0"/>
          <w:sz w:val="24"/>
        </w:rPr>
      </w:pPr>
      <w:r>
        <w:rPr>
          <w:rFonts w:ascii="ˎ̥" w:hAnsi="ˎ̥" w:cs="宋体"/>
          <w:color w:val="000000"/>
          <w:kern w:val="0"/>
          <w:sz w:val="24"/>
        </w:rPr>
        <w:t> 　　日  期：</w:t>
      </w:r>
    </w:p>
    <w:p>
      <w:pPr>
        <w:spacing w:line="520" w:lineRule="exact"/>
        <w:rPr>
          <w:color w:val="000000"/>
        </w:rPr>
      </w:pPr>
    </w:p>
    <w:p>
      <w:pPr>
        <w:spacing w:line="520" w:lineRule="exact"/>
        <w:rPr>
          <w:color w:val="000000"/>
        </w:rPr>
      </w:pPr>
      <w:r>
        <w:rPr>
          <w:rFonts w:hint="eastAsia"/>
          <w:color w:val="000000"/>
        </w:rPr>
        <w:t>填写说明：</w:t>
      </w:r>
    </w:p>
    <w:p>
      <w:pPr>
        <w:spacing w:line="520" w:lineRule="exact"/>
        <w:rPr>
          <w:color w:val="000000"/>
        </w:rPr>
      </w:pPr>
      <w:r>
        <w:rPr>
          <w:rFonts w:hint="eastAsia"/>
          <w:color w:val="000000"/>
        </w:rPr>
        <w:t>1、根据</w:t>
      </w:r>
      <w:r>
        <w:rPr>
          <w:color w:val="000000"/>
        </w:rPr>
        <w:t>工信部联企业[2011]300号</w:t>
      </w:r>
      <w:r>
        <w:rPr>
          <w:rFonts w:hint="eastAsia"/>
          <w:color w:val="000000"/>
        </w:rPr>
        <w:t>文件，企业行业分为：</w:t>
      </w:r>
      <w:r>
        <w:rPr>
          <w:color w:val="000000"/>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olor w:val="000000"/>
        </w:rPr>
        <w:t>一般研发、生产、加工型企业填写工业，销售、贸易型企业填写批发业，具体行业划分依据国家统计局网站公布的</w:t>
      </w:r>
      <w:r>
        <w:rPr>
          <w:color w:val="000000"/>
        </w:rPr>
        <w:t>《国民经济行业分类》</w:t>
      </w:r>
      <w:r>
        <w:rPr>
          <w:rFonts w:hint="eastAsia"/>
          <w:color w:val="000000"/>
        </w:rPr>
        <w:t>标准规定。</w:t>
      </w:r>
    </w:p>
    <w:p>
      <w:pPr>
        <w:spacing w:line="520" w:lineRule="exact"/>
        <w:rPr>
          <w:color w:val="000000"/>
        </w:rPr>
      </w:pPr>
      <w:r>
        <w:rPr>
          <w:rFonts w:hint="eastAsia"/>
          <w:color w:val="000000"/>
        </w:rPr>
        <w:t>2、第1条宁波政府采购网（www.nbzfcg.cn）注册的企业供应商须根据上年财务报表等，登录进入网上供应商平台中“供应商账户管理”-“单位信息”模块，对照前款说明，可选择“所属行业”，如实填写修改上年末从业人员</w:t>
      </w:r>
      <w:r>
        <w:rPr>
          <w:color w:val="000000"/>
        </w:rPr>
        <w:t>____</w:t>
      </w:r>
      <w:r>
        <w:rPr>
          <w:rFonts w:hint="eastAsia"/>
          <w:color w:val="000000"/>
        </w:rPr>
        <w:t>人、上年营业收入</w:t>
      </w:r>
      <w:r>
        <w:rPr>
          <w:color w:val="000000"/>
        </w:rPr>
        <w:t>____</w:t>
      </w:r>
      <w:r>
        <w:rPr>
          <w:rFonts w:hint="eastAsia"/>
          <w:color w:val="000000"/>
        </w:rPr>
        <w:t>万元、上年资产总额</w:t>
      </w:r>
      <w:r>
        <w:rPr>
          <w:color w:val="000000"/>
        </w:rPr>
        <w:t>____</w:t>
      </w:r>
      <w:r>
        <w:rPr>
          <w:rFonts w:hint="eastAsia"/>
          <w:color w:val="000000"/>
        </w:rPr>
        <w:t>万元等数据，新成立企业暂以当前实际数据填报，重新点击会自动显示修改后企业划型信息，事业社团其他类型供应商不划型。</w:t>
      </w:r>
    </w:p>
    <w:p>
      <w:pPr>
        <w:spacing w:line="520" w:lineRule="exact"/>
        <w:rPr>
          <w:color w:val="000000"/>
        </w:rPr>
      </w:pPr>
      <w:r>
        <w:rPr>
          <w:rFonts w:hint="eastAsia"/>
          <w:color w:val="000000"/>
        </w:rPr>
        <w:t>3、第2条有多个标包的，须按每个标包分别填写，无此分类货物金额的应填“零”。</w:t>
      </w:r>
    </w:p>
    <w:p>
      <w:pPr>
        <w:spacing w:line="520" w:lineRule="exact"/>
        <w:rPr>
          <w:color w:val="000000"/>
        </w:rPr>
      </w:pPr>
      <w:r>
        <w:rPr>
          <w:rFonts w:hint="eastAsia"/>
          <w:color w:val="000000"/>
        </w:rPr>
        <w:t>4、联合体投标的，由联合体主办方提供本表。</w:t>
      </w:r>
    </w:p>
    <w:p>
      <w:pPr>
        <w:spacing w:line="520" w:lineRule="exact"/>
        <w:rPr>
          <w:color w:val="000000"/>
        </w:rPr>
      </w:pPr>
      <w:r>
        <w:rPr>
          <w:rFonts w:hint="eastAsia"/>
          <w:color w:val="000000"/>
        </w:rPr>
        <w:t>5、资格入围式项目（一个标包由多家中标入围）：招标人公布项目预算的，第2条有关金额按市场预估总价、投标预估总价除以入围数量填写；未公布预算的或入围数量的，投标人无需填写。</w:t>
      </w:r>
    </w:p>
    <w:p>
      <w:pPr>
        <w:spacing w:line="520" w:lineRule="exact"/>
        <w:rPr>
          <w:color w:val="000000"/>
        </w:rPr>
      </w:pPr>
      <w:r>
        <w:rPr>
          <w:rFonts w:hint="eastAsia"/>
          <w:color w:val="000000"/>
        </w:rPr>
        <w:t>6、投标价格为费率的项目、中标价格按单价执行的项目：招标人公布项目预算的，第2条有关金额按市场预估总价、投标预估总价填写；未公布预算的，投标人无需填写。</w:t>
      </w:r>
    </w:p>
    <w:p>
      <w:pPr>
        <w:spacing w:line="520" w:lineRule="exact"/>
        <w:rPr>
          <w:color w:val="000000"/>
        </w:rPr>
      </w:pPr>
      <w:r>
        <w:rPr>
          <w:rFonts w:hint="eastAsia"/>
          <w:color w:val="000000"/>
        </w:rPr>
        <w:t>7、列入国家节能产品清单、环保产品清单的产品以中国政府采购网(www.ccgp.gov.cn)上财政部发布的文件为准。</w:t>
      </w:r>
    </w:p>
    <w:p>
      <w:pPr>
        <w:tabs>
          <w:tab w:val="left" w:pos="1575"/>
        </w:tabs>
        <w:spacing w:line="560" w:lineRule="exact"/>
        <w:jc w:val="center"/>
        <w:rPr>
          <w:rFonts w:ascii="仿宋_GB2312" w:eastAsia="仿宋_GB2312"/>
          <w:b/>
          <w:spacing w:val="6"/>
          <w:sz w:val="32"/>
          <w:szCs w:val="32"/>
        </w:rPr>
      </w:pPr>
      <w:r>
        <w:br w:type="page"/>
      </w:r>
      <w:r>
        <w:rPr>
          <w:rFonts w:hint="eastAsia" w:ascii="仿宋_GB2312" w:eastAsia="仿宋_GB2312"/>
          <w:b/>
          <w:sz w:val="30"/>
          <w:szCs w:val="30"/>
        </w:rPr>
        <w:t>十、残疾人福利性单位声明函</w:t>
      </w:r>
    </w:p>
    <w:p>
      <w:pPr>
        <w:spacing w:line="588" w:lineRule="exact"/>
        <w:jc w:val="center"/>
        <w:rPr>
          <w:rFonts w:ascii="仿宋_GB2312" w:eastAsia="仿宋_GB2312"/>
          <w:b/>
          <w:spacing w:val="6"/>
          <w:sz w:val="30"/>
          <w:szCs w:val="30"/>
        </w:rPr>
      </w:pPr>
    </w:p>
    <w:p>
      <w:pPr>
        <w:spacing w:line="588" w:lineRule="exact"/>
        <w:ind w:firstLine="630" w:firstLineChars="250"/>
        <w:rPr>
          <w:rFonts w:ascii="宋体" w:hAnsi="宋体" w:cs="宋体"/>
          <w:spacing w:val="6"/>
          <w:sz w:val="24"/>
        </w:rPr>
      </w:pPr>
      <w:r>
        <w:rPr>
          <w:rFonts w:hint="eastAsia" w:ascii="宋体" w:hAnsi="宋体" w:cs="宋体"/>
          <w:spacing w:val="6"/>
          <w:sz w:val="24"/>
        </w:rPr>
        <w:t>本单位郑重声明，根据《财政部民政部中国残疾人联合会关于促进残疾人就业政府采购政策的通知》（财库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w:t>
      </w:r>
      <w:r>
        <w:rPr>
          <w:rFonts w:hint="eastAsia" w:ascii="宋体" w:hAnsi="宋体" w:cs="宋体"/>
          <w:sz w:val="24"/>
        </w:rPr>
        <w:t>“项目（采购编号：</w:t>
      </w:r>
      <w:r>
        <w:rPr>
          <w:rFonts w:hint="eastAsia" w:ascii="宋体" w:hAnsi="宋体" w:cs="宋体"/>
          <w:sz w:val="24"/>
          <w:u w:val="single"/>
        </w:rPr>
        <w:t xml:space="preserve">NBZFCG      </w:t>
      </w:r>
      <w:r>
        <w:rPr>
          <w:rFonts w:hint="eastAsia" w:ascii="宋体" w:hAnsi="宋体" w:cs="宋体"/>
          <w:sz w:val="24"/>
        </w:rPr>
        <w:t>）”</w:t>
      </w:r>
      <w:r>
        <w:rPr>
          <w:rFonts w:hint="eastAsia" w:ascii="宋体" w:hAnsi="宋体" w:cs="宋体"/>
          <w:spacing w:val="6"/>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投标单位名称（盖章）：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日期：</w:t>
      </w:r>
    </w:p>
    <w:p>
      <w:pPr>
        <w:tabs>
          <w:tab w:val="left" w:pos="1575"/>
        </w:tabs>
        <w:spacing w:line="560" w:lineRule="exact"/>
        <w:jc w:val="center"/>
        <w:rPr>
          <w:b/>
          <w:sz w:val="28"/>
          <w:szCs w:val="28"/>
        </w:rPr>
      </w:pPr>
      <w:r>
        <w:rPr>
          <w:b/>
          <w:sz w:val="28"/>
          <w:szCs w:val="28"/>
        </w:rPr>
        <w:br w:type="page"/>
      </w:r>
      <w:r>
        <w:rPr>
          <w:rFonts w:hint="eastAsia" w:ascii="仿宋_GB2312" w:eastAsia="仿宋_GB2312"/>
          <w:b/>
          <w:sz w:val="30"/>
          <w:szCs w:val="30"/>
        </w:rPr>
        <w:t>十一、诚信投标承诺书</w:t>
      </w:r>
    </w:p>
    <w:p>
      <w:pPr>
        <w:rPr>
          <w:rFonts w:ascii="宋体" w:cs="宋体"/>
          <w:sz w:val="24"/>
        </w:rPr>
      </w:pPr>
    </w:p>
    <w:p>
      <w:pPr>
        <w:rPr>
          <w:rFonts w:ascii="宋体" w:cs="宋体"/>
          <w:sz w:val="24"/>
        </w:rPr>
      </w:pPr>
      <w:r>
        <w:rPr>
          <w:rFonts w:hint="eastAsia" w:ascii="宋体" w:cs="宋体"/>
          <w:sz w:val="24"/>
        </w:rPr>
        <w:t>宁波市政府采购中心：</w:t>
      </w:r>
    </w:p>
    <w:p>
      <w:pPr>
        <w:spacing w:line="560" w:lineRule="exact"/>
        <w:ind w:firstLine="601"/>
        <w:rPr>
          <w:rFonts w:ascii="宋体" w:cs="宋体"/>
          <w:sz w:val="24"/>
        </w:rPr>
      </w:pPr>
      <w:r>
        <w:rPr>
          <w:rFonts w:hint="eastAsia" w:ascii="宋体" w:cs="宋体"/>
          <w:sz w:val="24"/>
        </w:rPr>
        <w:t>我方愿意参与“</w:t>
      </w:r>
      <w:r>
        <w:rPr>
          <w:rFonts w:hint="eastAsia" w:ascii="宋体" w:cs="宋体"/>
          <w:sz w:val="24"/>
          <w:u w:val="single"/>
        </w:rPr>
        <w:t>项目（采购编号：NBZFCG      ）</w:t>
      </w:r>
      <w:r>
        <w:rPr>
          <w:rFonts w:hint="eastAsia" w:ascii="宋体" w:cs="宋体"/>
          <w:sz w:val="24"/>
        </w:rPr>
        <w:t>”的投标，并作出如下承诺：</w:t>
      </w:r>
    </w:p>
    <w:p>
      <w:pPr>
        <w:numPr>
          <w:ilvl w:val="0"/>
          <w:numId w:val="3"/>
        </w:numPr>
        <w:spacing w:line="560" w:lineRule="exact"/>
        <w:rPr>
          <w:rFonts w:ascii="宋体" w:cs="宋体"/>
          <w:sz w:val="24"/>
        </w:rPr>
      </w:pPr>
      <w:r>
        <w:rPr>
          <w:rFonts w:hint="eastAsia" w:ascii="宋体" w:cs="宋体"/>
          <w:sz w:val="24"/>
        </w:rPr>
        <w:t>我方符合政府采购法第22条第1款规定的条件，且</w:t>
      </w:r>
      <w:r>
        <w:rPr>
          <w:rFonts w:hint="eastAsia" w:ascii="宋体" w:cs="宋体"/>
          <w:color w:val="000000"/>
          <w:kern w:val="0"/>
          <w:sz w:val="24"/>
        </w:rPr>
        <w:t>在本项目公告日前3年内没有因违法经营受到刑事处罚或者责令停产停业、吊销许可证或者执照、需经听证程序的较大数额罚款等行政处罚的重大违法记录。</w:t>
      </w:r>
    </w:p>
    <w:p>
      <w:pPr>
        <w:numPr>
          <w:ilvl w:val="0"/>
          <w:numId w:val="3"/>
        </w:numPr>
        <w:spacing w:line="560" w:lineRule="exact"/>
        <w:rPr>
          <w:rFonts w:ascii="宋体" w:cs="宋体"/>
          <w:sz w:val="24"/>
        </w:rPr>
      </w:pPr>
      <w:r>
        <w:rPr>
          <w:rFonts w:hint="eastAsia" w:ascii="宋体" w:cs="宋体"/>
          <w:sz w:val="24"/>
        </w:rPr>
        <w:t>与采购人</w:t>
      </w:r>
      <w:r>
        <w:rPr>
          <w:rFonts w:hint="eastAsia" w:ascii="宋体" w:cs="宋体"/>
          <w:sz w:val="24"/>
          <w:u w:val="single"/>
        </w:rPr>
        <w:t>（填“有/无”）</w:t>
      </w:r>
      <w:r>
        <w:rPr>
          <w:rFonts w:hint="eastAsia" w:ascii="宋体" w:cs="宋体"/>
          <w:sz w:val="24"/>
        </w:rPr>
        <w:t>关联，没有采取任何影响公平投标的行为。</w:t>
      </w:r>
    </w:p>
    <w:p>
      <w:pPr>
        <w:numPr>
          <w:ilvl w:val="0"/>
          <w:numId w:val="3"/>
        </w:numPr>
        <w:spacing w:line="560" w:lineRule="exact"/>
        <w:rPr>
          <w:rFonts w:ascii="宋体" w:cs="宋体"/>
          <w:sz w:val="24"/>
        </w:rPr>
      </w:pPr>
      <w:r>
        <w:rPr>
          <w:rFonts w:hint="eastAsia" w:ascii="宋体" w:cs="宋体"/>
          <w:sz w:val="24"/>
        </w:rPr>
        <w:t>在招投标过程中，不做以下任何事项：</w:t>
      </w:r>
    </w:p>
    <w:p>
      <w:pPr>
        <w:spacing w:line="560" w:lineRule="exact"/>
        <w:ind w:left="601"/>
        <w:rPr>
          <w:rFonts w:ascii="宋体" w:cs="宋体"/>
          <w:sz w:val="24"/>
        </w:rPr>
      </w:pPr>
      <w:r>
        <w:rPr>
          <w:rFonts w:hint="eastAsia" w:ascii="宋体" w:cs="宋体"/>
          <w:sz w:val="24"/>
        </w:rPr>
        <w:t>（1）投标截止时间后撤回投标（包括开标后拒绝应当进行的讲标演示）；</w:t>
      </w:r>
    </w:p>
    <w:p>
      <w:pPr>
        <w:spacing w:line="560" w:lineRule="exact"/>
        <w:ind w:left="601"/>
        <w:rPr>
          <w:rFonts w:ascii="宋体" w:cs="宋体"/>
          <w:sz w:val="24"/>
        </w:rPr>
      </w:pPr>
      <w:r>
        <w:rPr>
          <w:rFonts w:hint="eastAsia" w:ascii="宋体" w:cs="宋体"/>
          <w:sz w:val="24"/>
        </w:rPr>
        <w:t>（2）投标文件中提供虚假材料或不实材料；</w:t>
      </w:r>
    </w:p>
    <w:p>
      <w:pPr>
        <w:spacing w:line="560" w:lineRule="exact"/>
        <w:ind w:left="601"/>
        <w:rPr>
          <w:rFonts w:ascii="宋体" w:cs="宋体"/>
          <w:sz w:val="24"/>
        </w:rPr>
      </w:pPr>
      <w:r>
        <w:rPr>
          <w:rFonts w:hint="eastAsia" w:ascii="宋体" w:cs="宋体"/>
          <w:sz w:val="24"/>
        </w:rPr>
        <w:t>（3）与其他投标人达成可能限制竞争的协议；</w:t>
      </w:r>
    </w:p>
    <w:p>
      <w:pPr>
        <w:spacing w:line="560" w:lineRule="exact"/>
        <w:ind w:left="601"/>
        <w:rPr>
          <w:rFonts w:ascii="宋体" w:cs="宋体"/>
          <w:sz w:val="24"/>
        </w:rPr>
      </w:pPr>
      <w:r>
        <w:rPr>
          <w:rFonts w:hint="eastAsia" w:ascii="宋体" w:cs="宋体"/>
          <w:sz w:val="24"/>
        </w:rPr>
        <w:t>（4）为影响投标而向有关招标当事人提供金钱、物质及服务；</w:t>
      </w:r>
    </w:p>
    <w:p>
      <w:pPr>
        <w:spacing w:line="560" w:lineRule="exact"/>
        <w:ind w:left="601"/>
        <w:rPr>
          <w:rFonts w:ascii="宋体" w:cs="宋体"/>
          <w:sz w:val="24"/>
        </w:rPr>
      </w:pPr>
      <w:r>
        <w:rPr>
          <w:rFonts w:hint="eastAsia" w:ascii="宋体" w:cs="宋体"/>
          <w:sz w:val="24"/>
        </w:rPr>
        <w:t>（5）与其他投标人围标、陪标；</w:t>
      </w:r>
    </w:p>
    <w:p>
      <w:pPr>
        <w:spacing w:line="560" w:lineRule="exact"/>
        <w:ind w:left="601"/>
        <w:rPr>
          <w:rFonts w:ascii="宋体" w:cs="宋体"/>
          <w:sz w:val="24"/>
        </w:rPr>
      </w:pPr>
      <w:r>
        <w:rPr>
          <w:rFonts w:hint="eastAsia" w:ascii="宋体" w:cs="宋体"/>
          <w:sz w:val="24"/>
        </w:rPr>
        <w:t>（6）其他任何串通投标行为。</w:t>
      </w:r>
    </w:p>
    <w:p>
      <w:pPr>
        <w:tabs>
          <w:tab w:val="left" w:pos="720"/>
        </w:tabs>
        <w:spacing w:line="560" w:lineRule="exact"/>
        <w:ind w:firstLine="600" w:firstLineChars="250"/>
        <w:rPr>
          <w:rFonts w:ascii="宋体" w:cs="宋体"/>
          <w:sz w:val="24"/>
        </w:rPr>
      </w:pPr>
      <w:r>
        <w:rPr>
          <w:rFonts w:hint="eastAsia" w:ascii="宋体" w:cs="宋体"/>
          <w:sz w:val="24"/>
        </w:rPr>
        <w:t>4、保证所投产品来自合法的供货渠道。</w:t>
      </w:r>
    </w:p>
    <w:p>
      <w:pPr>
        <w:tabs>
          <w:tab w:val="left" w:pos="720"/>
        </w:tabs>
        <w:spacing w:line="560" w:lineRule="exact"/>
        <w:ind w:firstLine="600" w:firstLineChars="250"/>
        <w:rPr>
          <w:rFonts w:ascii="宋体" w:cs="宋体"/>
          <w:sz w:val="24"/>
        </w:rPr>
      </w:pPr>
      <w:r>
        <w:rPr>
          <w:rFonts w:hint="eastAsia" w:ascii="宋体" w:cs="宋体"/>
          <w:sz w:val="24"/>
        </w:rPr>
        <w:t>5、若中标后，保证按照投标承诺及时签订合同并履约。</w:t>
      </w:r>
    </w:p>
    <w:p>
      <w:pPr>
        <w:tabs>
          <w:tab w:val="left" w:pos="720"/>
        </w:tabs>
        <w:spacing w:line="560" w:lineRule="exact"/>
        <w:ind w:firstLine="600" w:firstLineChars="250"/>
        <w:rPr>
          <w:rFonts w:ascii="宋体" w:cs="宋体"/>
          <w:sz w:val="24"/>
        </w:rPr>
      </w:pPr>
      <w:r>
        <w:rPr>
          <w:rFonts w:hint="eastAsia" w:ascii="宋体" w:cs="宋体"/>
          <w:sz w:val="24"/>
        </w:rPr>
        <w:t>我方若违背以上承诺，接受在政府采购指定媒体上公告曝光处理，同时承担依据国家法律法规追究的其他责任。</w:t>
      </w:r>
    </w:p>
    <w:p>
      <w:pPr>
        <w:spacing w:line="240" w:lineRule="atLeast"/>
        <w:ind w:left="-720" w:leftChars="-343" w:right="-960" w:firstLine="480" w:firstLineChars="200"/>
        <w:rPr>
          <w:rFonts w:ascii="宋体" w:cs="宋体"/>
          <w:sz w:val="24"/>
        </w:rPr>
      </w:pPr>
    </w:p>
    <w:p>
      <w:pPr>
        <w:spacing w:line="240" w:lineRule="atLeast"/>
        <w:ind w:left="-720" w:leftChars="-343" w:right="-960" w:firstLine="480" w:firstLineChars="200"/>
        <w:rPr>
          <w:rFonts w:ascii="宋体" w:cs="宋体"/>
          <w:sz w:val="24"/>
        </w:rPr>
      </w:pPr>
    </w:p>
    <w:p>
      <w:pPr>
        <w:spacing w:line="240" w:lineRule="atLeast"/>
        <w:ind w:left="-720" w:leftChars="-343" w:right="-960" w:firstLine="480" w:firstLineChars="200"/>
        <w:rPr>
          <w:rFonts w:ascii="宋体" w:cs="宋体"/>
          <w:sz w:val="24"/>
        </w:rPr>
      </w:pPr>
      <w:r>
        <w:rPr>
          <w:rFonts w:hint="eastAsia" w:ascii="宋体" w:cs="宋体"/>
          <w:sz w:val="24"/>
        </w:rPr>
        <w:t>投标单位（盖章）：</w:t>
      </w:r>
    </w:p>
    <w:p>
      <w:pPr>
        <w:spacing w:line="240" w:lineRule="atLeast"/>
        <w:ind w:left="-720" w:right="-960"/>
        <w:rPr>
          <w:rFonts w:ascii="宋体" w:cs="宋体"/>
          <w:sz w:val="24"/>
        </w:rPr>
      </w:pPr>
    </w:p>
    <w:p>
      <w:pPr>
        <w:spacing w:line="240" w:lineRule="atLeast"/>
        <w:ind w:left="-720" w:leftChars="-343" w:right="-960" w:firstLine="480" w:firstLineChars="200"/>
        <w:rPr>
          <w:rFonts w:ascii="宋体" w:cs="宋体"/>
          <w:sz w:val="24"/>
        </w:rPr>
      </w:pPr>
      <w:r>
        <w:rPr>
          <w:rFonts w:hint="eastAsia" w:ascii="宋体" w:cs="宋体"/>
          <w:sz w:val="24"/>
        </w:rPr>
        <w:t>法定代表人或其委托代理人（签字或签章）：</w:t>
      </w:r>
    </w:p>
    <w:p>
      <w:pPr>
        <w:tabs>
          <w:tab w:val="left" w:pos="845"/>
        </w:tabs>
        <w:spacing w:line="360" w:lineRule="auto"/>
        <w:rPr>
          <w:rFonts w:ascii="宋体" w:cs="宋体"/>
          <w:sz w:val="24"/>
        </w:rPr>
      </w:pPr>
    </w:p>
    <w:p>
      <w:pPr>
        <w:tabs>
          <w:tab w:val="left" w:pos="845"/>
        </w:tabs>
        <w:spacing w:line="360" w:lineRule="auto"/>
        <w:jc w:val="center"/>
        <w:rPr>
          <w:rFonts w:ascii="宋体" w:cs="宋体"/>
          <w:sz w:val="24"/>
        </w:rPr>
      </w:pPr>
      <w:r>
        <w:rPr>
          <w:rFonts w:hint="eastAsia" w:ascii="宋体" w:cs="宋体"/>
          <w:sz w:val="24"/>
        </w:rPr>
        <w:t>日期：</w:t>
      </w:r>
    </w:p>
    <w:p>
      <w:pPr>
        <w:pStyle w:val="2"/>
        <w:jc w:val="both"/>
        <w:rPr>
          <w:rFonts w:ascii="宋体" w:eastAsia="宋体" w:cs="宋体"/>
          <w:sz w:val="24"/>
          <w:szCs w:val="24"/>
        </w:rPr>
      </w:pPr>
      <w:r>
        <w:rPr>
          <w:rFonts w:hint="eastAsia" w:ascii="宋体" w:eastAsia="宋体" w:cs="宋体"/>
          <w:sz w:val="24"/>
          <w:szCs w:val="24"/>
        </w:rPr>
        <w:t>特别说明：本承诺书不得实质性改动，否则视为无效标。</w:t>
      </w:r>
    </w:p>
    <w:p>
      <w:r>
        <w:rPr>
          <w:rFonts w:hint="eastAsia"/>
        </w:rPr>
        <w:br w:type="page"/>
      </w:r>
    </w:p>
    <w:p>
      <w:pPr>
        <w:tabs>
          <w:tab w:val="left" w:pos="1575"/>
        </w:tabs>
        <w:spacing w:line="560" w:lineRule="exact"/>
        <w:jc w:val="center"/>
        <w:rPr>
          <w:rFonts w:ascii="仿宋_GB2312" w:eastAsia="仿宋_GB2312"/>
          <w:b/>
          <w:sz w:val="30"/>
          <w:szCs w:val="30"/>
        </w:rPr>
      </w:pPr>
      <w:bookmarkStart w:id="28" w:name="bt投标人情况介绍"/>
      <w:bookmarkEnd w:id="28"/>
      <w:bookmarkStart w:id="29" w:name="bt其他资料由投标人自定"/>
      <w:bookmarkEnd w:id="29"/>
      <w:bookmarkStart w:id="30" w:name="bt技术标投标文件格式"/>
      <w:bookmarkEnd w:id="30"/>
      <w:bookmarkStart w:id="31" w:name="bt其他资料2"/>
      <w:bookmarkEnd w:id="31"/>
      <w:bookmarkStart w:id="32" w:name="_Toc73521628"/>
      <w:bookmarkStart w:id="33" w:name="_Toc73518192"/>
      <w:bookmarkStart w:id="34" w:name="_Toc60631689"/>
      <w:bookmarkStart w:id="35" w:name="_Toc73521716"/>
      <w:bookmarkStart w:id="36" w:name="_Toc71860066"/>
      <w:bookmarkStart w:id="37" w:name="_Toc73517714"/>
      <w:bookmarkStart w:id="38" w:name="_Toc100052479"/>
      <w:bookmarkStart w:id="39" w:name="_Toc101074909"/>
      <w:r>
        <w:rPr>
          <w:rFonts w:hint="eastAsia" w:ascii="仿宋_GB2312" w:eastAsia="仿宋_GB2312"/>
          <w:b/>
          <w:sz w:val="30"/>
          <w:szCs w:val="30"/>
        </w:rPr>
        <w:t>十二、其他资料（由投标方自定）</w:t>
      </w:r>
      <w:bookmarkEnd w:id="32"/>
      <w:bookmarkEnd w:id="33"/>
      <w:bookmarkEnd w:id="34"/>
      <w:bookmarkEnd w:id="35"/>
      <w:bookmarkEnd w:id="36"/>
      <w:bookmarkEnd w:id="37"/>
      <w:bookmarkEnd w:id="38"/>
      <w:bookmarkEnd w:id="39"/>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43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0"/>
      <w:numFmt w:val="japaneseCounting"/>
      <w:lvlText w:val="第%1条"/>
      <w:lvlJc w:val="left"/>
      <w:pPr>
        <w:tabs>
          <w:tab w:val="left" w:pos="0"/>
        </w:tabs>
        <w:ind w:left="720" w:hanging="720"/>
      </w:pPr>
      <w:rPr>
        <w:rFonts w:hint="default" w:ascii="Times New Roman" w:hAnsi="Times New Roman"/>
      </w:rPr>
    </w:lvl>
    <w:lvl w:ilvl="1" w:tentative="0">
      <w:start w:val="1"/>
      <w:numFmt w:val="decimal"/>
      <w:lvlText w:val="%2."/>
      <w:lvlJc w:val="left"/>
      <w:pPr>
        <w:tabs>
          <w:tab w:val="left" w:pos="0"/>
        </w:tabs>
        <w:ind w:left="1440" w:hanging="360"/>
      </w:pPr>
      <w:rPr>
        <w:rFonts w:hint="default" w:ascii="Times New Roman" w:hAnsi="Times New Roman"/>
      </w:rPr>
    </w:lvl>
    <w:lvl w:ilvl="2" w:tentative="0">
      <w:start w:val="1"/>
      <w:numFmt w:val="decimal"/>
      <w:lvlText w:val="%3."/>
      <w:lvlJc w:val="left"/>
      <w:pPr>
        <w:tabs>
          <w:tab w:val="left" w:pos="0"/>
        </w:tabs>
        <w:ind w:left="2160" w:hanging="360"/>
      </w:pPr>
      <w:rPr>
        <w:rFonts w:hint="default" w:ascii="Times New Roman" w:hAnsi="Times New Roman"/>
      </w:rPr>
    </w:lvl>
    <w:lvl w:ilvl="3" w:tentative="0">
      <w:start w:val="1"/>
      <w:numFmt w:val="decimal"/>
      <w:lvlText w:val="%4."/>
      <w:lvlJc w:val="left"/>
      <w:pPr>
        <w:tabs>
          <w:tab w:val="left" w:pos="0"/>
        </w:tabs>
        <w:ind w:left="2880" w:hanging="360"/>
      </w:pPr>
      <w:rPr>
        <w:rFonts w:hint="default" w:ascii="Times New Roman" w:hAnsi="Times New Roman"/>
      </w:rPr>
    </w:lvl>
    <w:lvl w:ilvl="4" w:tentative="0">
      <w:start w:val="1"/>
      <w:numFmt w:val="decimal"/>
      <w:lvlText w:val="%5."/>
      <w:lvlJc w:val="left"/>
      <w:pPr>
        <w:tabs>
          <w:tab w:val="left" w:pos="0"/>
        </w:tabs>
        <w:ind w:left="3600" w:hanging="360"/>
      </w:pPr>
      <w:rPr>
        <w:rFonts w:hint="default" w:ascii="Times New Roman" w:hAnsi="Times New Roman"/>
      </w:rPr>
    </w:lvl>
    <w:lvl w:ilvl="5" w:tentative="0">
      <w:start w:val="1"/>
      <w:numFmt w:val="decimal"/>
      <w:lvlText w:val="%6."/>
      <w:lvlJc w:val="left"/>
      <w:pPr>
        <w:tabs>
          <w:tab w:val="left" w:pos="0"/>
        </w:tabs>
        <w:ind w:left="4320" w:hanging="360"/>
      </w:pPr>
      <w:rPr>
        <w:rFonts w:hint="default" w:ascii="Times New Roman" w:hAnsi="Times New Roman"/>
      </w:rPr>
    </w:lvl>
    <w:lvl w:ilvl="6" w:tentative="0">
      <w:start w:val="1"/>
      <w:numFmt w:val="decimal"/>
      <w:lvlText w:val="%7."/>
      <w:lvlJc w:val="left"/>
      <w:pPr>
        <w:tabs>
          <w:tab w:val="left" w:pos="0"/>
        </w:tabs>
        <w:ind w:left="5040" w:hanging="360"/>
      </w:pPr>
      <w:rPr>
        <w:rFonts w:hint="default" w:ascii="Times New Roman" w:hAnsi="Times New Roman"/>
      </w:rPr>
    </w:lvl>
    <w:lvl w:ilvl="7" w:tentative="0">
      <w:start w:val="1"/>
      <w:numFmt w:val="decimal"/>
      <w:lvlText w:val="%8."/>
      <w:lvlJc w:val="left"/>
      <w:pPr>
        <w:tabs>
          <w:tab w:val="left" w:pos="0"/>
        </w:tabs>
        <w:ind w:left="5760" w:hanging="360"/>
      </w:pPr>
      <w:rPr>
        <w:rFonts w:hint="default" w:ascii="Times New Roman" w:hAnsi="Times New Roman"/>
      </w:rPr>
    </w:lvl>
    <w:lvl w:ilvl="8" w:tentative="0">
      <w:start w:val="1"/>
      <w:numFmt w:val="decimal"/>
      <w:lvlText w:val="%9."/>
      <w:lvlJc w:val="left"/>
      <w:pPr>
        <w:tabs>
          <w:tab w:val="left" w:pos="0"/>
        </w:tabs>
        <w:ind w:left="6480" w:hanging="360"/>
      </w:pPr>
      <w:rPr>
        <w:rFonts w:hint="default" w:ascii="Times New Roman" w:hAnsi="Times New Roman"/>
      </w:rPr>
    </w:lvl>
  </w:abstractNum>
  <w:abstractNum w:abstractNumId="1">
    <w:nsid w:val="5805C4F9"/>
    <w:multiLevelType w:val="singleLevel"/>
    <w:tmpl w:val="5805C4F9"/>
    <w:lvl w:ilvl="0" w:tentative="0">
      <w:start w:val="1"/>
      <w:numFmt w:val="decimal"/>
      <w:suff w:val="nothing"/>
      <w:lvlText w:val="%1、"/>
      <w:lvlJc w:val="left"/>
    </w:lvl>
  </w:abstractNum>
  <w:abstractNum w:abstractNumId="2">
    <w:nsid w:val="720B5377"/>
    <w:multiLevelType w:val="multilevel"/>
    <w:tmpl w:val="720B5377"/>
    <w:lvl w:ilvl="0" w:tentative="0">
      <w:start w:val="1"/>
      <w:numFmt w:val="decimal"/>
      <w:lvlText w:val="%1、"/>
      <w:lvlJc w:val="left"/>
      <w:pPr>
        <w:tabs>
          <w:tab w:val="left" w:pos="0"/>
        </w:tabs>
        <w:ind w:left="961" w:hanging="360"/>
      </w:pPr>
      <w:rPr>
        <w:rFonts w:hint="default"/>
      </w:rPr>
    </w:lvl>
    <w:lvl w:ilvl="1" w:tentative="0">
      <w:start w:val="6"/>
      <w:numFmt w:val="decimal"/>
      <w:lvlText w:val="（%2）"/>
      <w:lvlJc w:val="left"/>
      <w:pPr>
        <w:tabs>
          <w:tab w:val="left" w:pos="0"/>
        </w:tabs>
        <w:ind w:left="1741" w:hanging="720"/>
      </w:pPr>
      <w:rPr>
        <w:rFonts w:hint="default"/>
      </w:rPr>
    </w:lvl>
    <w:lvl w:ilvl="2" w:tentative="0">
      <w:start w:val="1"/>
      <w:numFmt w:val="lowerRoman"/>
      <w:lvlText w:val="%3."/>
      <w:lvlJc w:val="right"/>
      <w:pPr>
        <w:tabs>
          <w:tab w:val="left" w:pos="0"/>
        </w:tabs>
        <w:ind w:left="1861" w:hanging="420"/>
      </w:pPr>
    </w:lvl>
    <w:lvl w:ilvl="3" w:tentative="0">
      <w:start w:val="1"/>
      <w:numFmt w:val="decimal"/>
      <w:lvlText w:val="%4."/>
      <w:lvlJc w:val="left"/>
      <w:pPr>
        <w:tabs>
          <w:tab w:val="left" w:pos="0"/>
        </w:tabs>
        <w:ind w:left="2281" w:hanging="420"/>
      </w:pPr>
    </w:lvl>
    <w:lvl w:ilvl="4" w:tentative="0">
      <w:start w:val="1"/>
      <w:numFmt w:val="lowerLetter"/>
      <w:lvlText w:val="%5)"/>
      <w:lvlJc w:val="left"/>
      <w:pPr>
        <w:tabs>
          <w:tab w:val="left" w:pos="0"/>
        </w:tabs>
        <w:ind w:left="2701" w:hanging="420"/>
      </w:pPr>
    </w:lvl>
    <w:lvl w:ilvl="5" w:tentative="0">
      <w:start w:val="1"/>
      <w:numFmt w:val="lowerRoman"/>
      <w:lvlText w:val="%6."/>
      <w:lvlJc w:val="right"/>
      <w:pPr>
        <w:tabs>
          <w:tab w:val="left" w:pos="0"/>
        </w:tabs>
        <w:ind w:left="3121" w:hanging="420"/>
      </w:pPr>
    </w:lvl>
    <w:lvl w:ilvl="6" w:tentative="0">
      <w:start w:val="1"/>
      <w:numFmt w:val="decimal"/>
      <w:lvlText w:val="%7."/>
      <w:lvlJc w:val="left"/>
      <w:pPr>
        <w:tabs>
          <w:tab w:val="left" w:pos="0"/>
        </w:tabs>
        <w:ind w:left="3541" w:hanging="420"/>
      </w:pPr>
    </w:lvl>
    <w:lvl w:ilvl="7" w:tentative="0">
      <w:start w:val="1"/>
      <w:numFmt w:val="lowerLetter"/>
      <w:lvlText w:val="%8)"/>
      <w:lvlJc w:val="left"/>
      <w:pPr>
        <w:tabs>
          <w:tab w:val="left" w:pos="0"/>
        </w:tabs>
        <w:ind w:left="3961" w:hanging="420"/>
      </w:pPr>
    </w:lvl>
    <w:lvl w:ilvl="8" w:tentative="0">
      <w:start w:val="1"/>
      <w:numFmt w:val="lowerRoman"/>
      <w:lvlText w:val="%9."/>
      <w:lvlJc w:val="right"/>
      <w:pPr>
        <w:tabs>
          <w:tab w:val="left" w:pos="0"/>
        </w:tabs>
        <w:ind w:left="438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2F"/>
    <w:rsid w:val="000029EE"/>
    <w:rsid w:val="000061D9"/>
    <w:rsid w:val="00006297"/>
    <w:rsid w:val="000079A7"/>
    <w:rsid w:val="00012489"/>
    <w:rsid w:val="00013B5D"/>
    <w:rsid w:val="000158D9"/>
    <w:rsid w:val="00023761"/>
    <w:rsid w:val="00024273"/>
    <w:rsid w:val="0002784E"/>
    <w:rsid w:val="00030DAE"/>
    <w:rsid w:val="00032767"/>
    <w:rsid w:val="000327D8"/>
    <w:rsid w:val="000328F8"/>
    <w:rsid w:val="00042570"/>
    <w:rsid w:val="0004524A"/>
    <w:rsid w:val="000453DA"/>
    <w:rsid w:val="00050F66"/>
    <w:rsid w:val="0005139C"/>
    <w:rsid w:val="000518E9"/>
    <w:rsid w:val="00054021"/>
    <w:rsid w:val="0005440F"/>
    <w:rsid w:val="000561C9"/>
    <w:rsid w:val="000573A8"/>
    <w:rsid w:val="00064EA1"/>
    <w:rsid w:val="00065B6C"/>
    <w:rsid w:val="000701AD"/>
    <w:rsid w:val="00071C6F"/>
    <w:rsid w:val="00072830"/>
    <w:rsid w:val="00073D62"/>
    <w:rsid w:val="00074ED8"/>
    <w:rsid w:val="00076468"/>
    <w:rsid w:val="00077AFD"/>
    <w:rsid w:val="00080E0D"/>
    <w:rsid w:val="00084D9A"/>
    <w:rsid w:val="00085FC5"/>
    <w:rsid w:val="000914C3"/>
    <w:rsid w:val="0009352E"/>
    <w:rsid w:val="00094D7E"/>
    <w:rsid w:val="00096689"/>
    <w:rsid w:val="000A0792"/>
    <w:rsid w:val="000A29CC"/>
    <w:rsid w:val="000A4063"/>
    <w:rsid w:val="000A4164"/>
    <w:rsid w:val="000A5B65"/>
    <w:rsid w:val="000B0B46"/>
    <w:rsid w:val="000C2034"/>
    <w:rsid w:val="000C2F42"/>
    <w:rsid w:val="000C5262"/>
    <w:rsid w:val="000D05FE"/>
    <w:rsid w:val="000D11ED"/>
    <w:rsid w:val="000D1DB6"/>
    <w:rsid w:val="000D2D35"/>
    <w:rsid w:val="000D78A2"/>
    <w:rsid w:val="000E01FB"/>
    <w:rsid w:val="000E057A"/>
    <w:rsid w:val="000E1072"/>
    <w:rsid w:val="000E18A0"/>
    <w:rsid w:val="000E6C1E"/>
    <w:rsid w:val="000E6F05"/>
    <w:rsid w:val="000F24DB"/>
    <w:rsid w:val="000F5132"/>
    <w:rsid w:val="001053A3"/>
    <w:rsid w:val="00106379"/>
    <w:rsid w:val="001264B9"/>
    <w:rsid w:val="00130636"/>
    <w:rsid w:val="00130AC0"/>
    <w:rsid w:val="00131920"/>
    <w:rsid w:val="001364DE"/>
    <w:rsid w:val="00136FBE"/>
    <w:rsid w:val="00140024"/>
    <w:rsid w:val="0014060F"/>
    <w:rsid w:val="00144D79"/>
    <w:rsid w:val="0015095B"/>
    <w:rsid w:val="0015405D"/>
    <w:rsid w:val="00157D84"/>
    <w:rsid w:val="0016302D"/>
    <w:rsid w:val="0016355B"/>
    <w:rsid w:val="00163B8C"/>
    <w:rsid w:val="00164623"/>
    <w:rsid w:val="00166BC4"/>
    <w:rsid w:val="0016700E"/>
    <w:rsid w:val="00172B08"/>
    <w:rsid w:val="001747F6"/>
    <w:rsid w:val="00174894"/>
    <w:rsid w:val="001814A6"/>
    <w:rsid w:val="00184813"/>
    <w:rsid w:val="00190304"/>
    <w:rsid w:val="00191ED8"/>
    <w:rsid w:val="0019275E"/>
    <w:rsid w:val="00192D2A"/>
    <w:rsid w:val="0019504D"/>
    <w:rsid w:val="00196768"/>
    <w:rsid w:val="001977CB"/>
    <w:rsid w:val="001A51D4"/>
    <w:rsid w:val="001A58FD"/>
    <w:rsid w:val="001B006F"/>
    <w:rsid w:val="001B12F3"/>
    <w:rsid w:val="001B3D49"/>
    <w:rsid w:val="001B4471"/>
    <w:rsid w:val="001B4EC8"/>
    <w:rsid w:val="001C0048"/>
    <w:rsid w:val="001C52E9"/>
    <w:rsid w:val="001D4691"/>
    <w:rsid w:val="001D5A34"/>
    <w:rsid w:val="001D6A4F"/>
    <w:rsid w:val="001E20A2"/>
    <w:rsid w:val="001E23AE"/>
    <w:rsid w:val="001E50B3"/>
    <w:rsid w:val="001E7934"/>
    <w:rsid w:val="001F0007"/>
    <w:rsid w:val="001F061A"/>
    <w:rsid w:val="001F2013"/>
    <w:rsid w:val="001F3501"/>
    <w:rsid w:val="00202003"/>
    <w:rsid w:val="00202C02"/>
    <w:rsid w:val="002037BE"/>
    <w:rsid w:val="00206667"/>
    <w:rsid w:val="0020753D"/>
    <w:rsid w:val="00207ED5"/>
    <w:rsid w:val="0021084C"/>
    <w:rsid w:val="00211C5D"/>
    <w:rsid w:val="00215414"/>
    <w:rsid w:val="002163AB"/>
    <w:rsid w:val="00220EF1"/>
    <w:rsid w:val="00222305"/>
    <w:rsid w:val="00230377"/>
    <w:rsid w:val="0023231D"/>
    <w:rsid w:val="002377B3"/>
    <w:rsid w:val="00240B91"/>
    <w:rsid w:val="002413D7"/>
    <w:rsid w:val="00241B64"/>
    <w:rsid w:val="0024253D"/>
    <w:rsid w:val="002439F7"/>
    <w:rsid w:val="00243D59"/>
    <w:rsid w:val="0024483B"/>
    <w:rsid w:val="00250069"/>
    <w:rsid w:val="002510CA"/>
    <w:rsid w:val="0025403C"/>
    <w:rsid w:val="00255046"/>
    <w:rsid w:val="00257881"/>
    <w:rsid w:val="00262512"/>
    <w:rsid w:val="00262DE6"/>
    <w:rsid w:val="00263508"/>
    <w:rsid w:val="00264FE8"/>
    <w:rsid w:val="002654ED"/>
    <w:rsid w:val="00265716"/>
    <w:rsid w:val="002706D8"/>
    <w:rsid w:val="0027312E"/>
    <w:rsid w:val="00276D76"/>
    <w:rsid w:val="00276EE3"/>
    <w:rsid w:val="00283098"/>
    <w:rsid w:val="002851B3"/>
    <w:rsid w:val="00285F93"/>
    <w:rsid w:val="0028796C"/>
    <w:rsid w:val="0029046C"/>
    <w:rsid w:val="00290E55"/>
    <w:rsid w:val="0029170D"/>
    <w:rsid w:val="0029472F"/>
    <w:rsid w:val="00295B5F"/>
    <w:rsid w:val="00297A74"/>
    <w:rsid w:val="002A3CBF"/>
    <w:rsid w:val="002A46C8"/>
    <w:rsid w:val="002A4F91"/>
    <w:rsid w:val="002A51FD"/>
    <w:rsid w:val="002B13FF"/>
    <w:rsid w:val="002B3174"/>
    <w:rsid w:val="002B4F6A"/>
    <w:rsid w:val="002B62A2"/>
    <w:rsid w:val="002B66CA"/>
    <w:rsid w:val="002B70EC"/>
    <w:rsid w:val="002C17A7"/>
    <w:rsid w:val="002C1A14"/>
    <w:rsid w:val="002C6E63"/>
    <w:rsid w:val="002D228E"/>
    <w:rsid w:val="002D54B9"/>
    <w:rsid w:val="002D71A4"/>
    <w:rsid w:val="002D7305"/>
    <w:rsid w:val="002D7DC4"/>
    <w:rsid w:val="002E6C13"/>
    <w:rsid w:val="002F5376"/>
    <w:rsid w:val="002F5615"/>
    <w:rsid w:val="003033C5"/>
    <w:rsid w:val="00307220"/>
    <w:rsid w:val="00307611"/>
    <w:rsid w:val="00310193"/>
    <w:rsid w:val="0031081D"/>
    <w:rsid w:val="00312673"/>
    <w:rsid w:val="003126D5"/>
    <w:rsid w:val="003164C5"/>
    <w:rsid w:val="0031688A"/>
    <w:rsid w:val="00316D00"/>
    <w:rsid w:val="00321AFE"/>
    <w:rsid w:val="00321D11"/>
    <w:rsid w:val="00322C57"/>
    <w:rsid w:val="00322D1F"/>
    <w:rsid w:val="00330CE7"/>
    <w:rsid w:val="00334692"/>
    <w:rsid w:val="00345A4D"/>
    <w:rsid w:val="00345D58"/>
    <w:rsid w:val="00346313"/>
    <w:rsid w:val="0034784F"/>
    <w:rsid w:val="0035480E"/>
    <w:rsid w:val="00354B21"/>
    <w:rsid w:val="00356061"/>
    <w:rsid w:val="0035702E"/>
    <w:rsid w:val="00357A1C"/>
    <w:rsid w:val="0036177E"/>
    <w:rsid w:val="00362431"/>
    <w:rsid w:val="0036670B"/>
    <w:rsid w:val="003668B2"/>
    <w:rsid w:val="00371C26"/>
    <w:rsid w:val="00371DFF"/>
    <w:rsid w:val="0037333B"/>
    <w:rsid w:val="003746B1"/>
    <w:rsid w:val="00376570"/>
    <w:rsid w:val="00376FAF"/>
    <w:rsid w:val="00386546"/>
    <w:rsid w:val="00392B00"/>
    <w:rsid w:val="003A3548"/>
    <w:rsid w:val="003A680D"/>
    <w:rsid w:val="003B0833"/>
    <w:rsid w:val="003B40EC"/>
    <w:rsid w:val="003B4F24"/>
    <w:rsid w:val="003B5FC5"/>
    <w:rsid w:val="003B660E"/>
    <w:rsid w:val="003C1A13"/>
    <w:rsid w:val="003C31F3"/>
    <w:rsid w:val="003C32BC"/>
    <w:rsid w:val="003C3952"/>
    <w:rsid w:val="003D6E2C"/>
    <w:rsid w:val="003D7446"/>
    <w:rsid w:val="003E1338"/>
    <w:rsid w:val="003E162B"/>
    <w:rsid w:val="003E5452"/>
    <w:rsid w:val="003E5E62"/>
    <w:rsid w:val="003E6249"/>
    <w:rsid w:val="003F1107"/>
    <w:rsid w:val="003F1561"/>
    <w:rsid w:val="003F319F"/>
    <w:rsid w:val="003F3CD9"/>
    <w:rsid w:val="003F3DC1"/>
    <w:rsid w:val="00402745"/>
    <w:rsid w:val="00402C4D"/>
    <w:rsid w:val="00403CEA"/>
    <w:rsid w:val="00406B62"/>
    <w:rsid w:val="0041079A"/>
    <w:rsid w:val="00413ADD"/>
    <w:rsid w:val="00416ED8"/>
    <w:rsid w:val="00422229"/>
    <w:rsid w:val="004223FF"/>
    <w:rsid w:val="004323D7"/>
    <w:rsid w:val="0043301C"/>
    <w:rsid w:val="0043316A"/>
    <w:rsid w:val="004355B5"/>
    <w:rsid w:val="00437608"/>
    <w:rsid w:val="004443F0"/>
    <w:rsid w:val="00444AC1"/>
    <w:rsid w:val="00445702"/>
    <w:rsid w:val="0045155F"/>
    <w:rsid w:val="004521BD"/>
    <w:rsid w:val="004529D3"/>
    <w:rsid w:val="00454DFF"/>
    <w:rsid w:val="00455359"/>
    <w:rsid w:val="00456478"/>
    <w:rsid w:val="0045686E"/>
    <w:rsid w:val="00457372"/>
    <w:rsid w:val="004609E5"/>
    <w:rsid w:val="004612A1"/>
    <w:rsid w:val="00464CB0"/>
    <w:rsid w:val="00470E99"/>
    <w:rsid w:val="00475AFF"/>
    <w:rsid w:val="004800F3"/>
    <w:rsid w:val="00480D77"/>
    <w:rsid w:val="00482896"/>
    <w:rsid w:val="004843ED"/>
    <w:rsid w:val="00484B3A"/>
    <w:rsid w:val="00485141"/>
    <w:rsid w:val="0048580E"/>
    <w:rsid w:val="004866D9"/>
    <w:rsid w:val="0048727D"/>
    <w:rsid w:val="004921F4"/>
    <w:rsid w:val="0049660A"/>
    <w:rsid w:val="004A038B"/>
    <w:rsid w:val="004A1A16"/>
    <w:rsid w:val="004A2B77"/>
    <w:rsid w:val="004A2ECF"/>
    <w:rsid w:val="004A3663"/>
    <w:rsid w:val="004A54F9"/>
    <w:rsid w:val="004A6C28"/>
    <w:rsid w:val="004B1202"/>
    <w:rsid w:val="004B40A1"/>
    <w:rsid w:val="004B793F"/>
    <w:rsid w:val="004B79FC"/>
    <w:rsid w:val="004C042F"/>
    <w:rsid w:val="004C3A25"/>
    <w:rsid w:val="004D7B2C"/>
    <w:rsid w:val="004D7C14"/>
    <w:rsid w:val="004E0838"/>
    <w:rsid w:val="004E60D7"/>
    <w:rsid w:val="004E6413"/>
    <w:rsid w:val="004E6D60"/>
    <w:rsid w:val="004F0BEC"/>
    <w:rsid w:val="004F1587"/>
    <w:rsid w:val="00501D2E"/>
    <w:rsid w:val="00503DD6"/>
    <w:rsid w:val="00506E3A"/>
    <w:rsid w:val="00510AAC"/>
    <w:rsid w:val="0051132C"/>
    <w:rsid w:val="00516E26"/>
    <w:rsid w:val="00517D3D"/>
    <w:rsid w:val="00517E73"/>
    <w:rsid w:val="00520B93"/>
    <w:rsid w:val="00521F82"/>
    <w:rsid w:val="00522866"/>
    <w:rsid w:val="00525827"/>
    <w:rsid w:val="005259B1"/>
    <w:rsid w:val="00525E1D"/>
    <w:rsid w:val="00526211"/>
    <w:rsid w:val="00527924"/>
    <w:rsid w:val="00531E21"/>
    <w:rsid w:val="005339F7"/>
    <w:rsid w:val="00535017"/>
    <w:rsid w:val="005369DC"/>
    <w:rsid w:val="0053710A"/>
    <w:rsid w:val="00537CAC"/>
    <w:rsid w:val="00547241"/>
    <w:rsid w:val="00547915"/>
    <w:rsid w:val="00547F5E"/>
    <w:rsid w:val="0055186C"/>
    <w:rsid w:val="0055299A"/>
    <w:rsid w:val="00553B54"/>
    <w:rsid w:val="00553D7E"/>
    <w:rsid w:val="0055477F"/>
    <w:rsid w:val="00554846"/>
    <w:rsid w:val="00555222"/>
    <w:rsid w:val="00563445"/>
    <w:rsid w:val="005667F6"/>
    <w:rsid w:val="00571389"/>
    <w:rsid w:val="00580FCA"/>
    <w:rsid w:val="0058167F"/>
    <w:rsid w:val="005821B7"/>
    <w:rsid w:val="0058420E"/>
    <w:rsid w:val="005868CE"/>
    <w:rsid w:val="00587F42"/>
    <w:rsid w:val="00590708"/>
    <w:rsid w:val="00592DB1"/>
    <w:rsid w:val="00593188"/>
    <w:rsid w:val="005949CA"/>
    <w:rsid w:val="005B05F0"/>
    <w:rsid w:val="005B2D67"/>
    <w:rsid w:val="005B2DA8"/>
    <w:rsid w:val="005B77A0"/>
    <w:rsid w:val="005C117D"/>
    <w:rsid w:val="005C38CB"/>
    <w:rsid w:val="005C74A3"/>
    <w:rsid w:val="005D2131"/>
    <w:rsid w:val="005D6CA7"/>
    <w:rsid w:val="005E42AB"/>
    <w:rsid w:val="005E5CAF"/>
    <w:rsid w:val="005E6817"/>
    <w:rsid w:val="005F33DF"/>
    <w:rsid w:val="005F6BA6"/>
    <w:rsid w:val="006028F9"/>
    <w:rsid w:val="0060679F"/>
    <w:rsid w:val="00607647"/>
    <w:rsid w:val="00610126"/>
    <w:rsid w:val="00616C60"/>
    <w:rsid w:val="00625926"/>
    <w:rsid w:val="00625D22"/>
    <w:rsid w:val="00625DF4"/>
    <w:rsid w:val="006274B2"/>
    <w:rsid w:val="00627996"/>
    <w:rsid w:val="00630EEA"/>
    <w:rsid w:val="00632422"/>
    <w:rsid w:val="00640F4B"/>
    <w:rsid w:val="006432E8"/>
    <w:rsid w:val="00643C5F"/>
    <w:rsid w:val="00644690"/>
    <w:rsid w:val="0064580D"/>
    <w:rsid w:val="0064616B"/>
    <w:rsid w:val="00655C8D"/>
    <w:rsid w:val="00655DC2"/>
    <w:rsid w:val="006634CE"/>
    <w:rsid w:val="0067088B"/>
    <w:rsid w:val="006709A7"/>
    <w:rsid w:val="00671531"/>
    <w:rsid w:val="00673A9F"/>
    <w:rsid w:val="006749AA"/>
    <w:rsid w:val="006755F6"/>
    <w:rsid w:val="00676BB3"/>
    <w:rsid w:val="00681CE4"/>
    <w:rsid w:val="00683BA5"/>
    <w:rsid w:val="00687284"/>
    <w:rsid w:val="00690CF1"/>
    <w:rsid w:val="0069315D"/>
    <w:rsid w:val="006945E1"/>
    <w:rsid w:val="006962A6"/>
    <w:rsid w:val="00696807"/>
    <w:rsid w:val="006973E5"/>
    <w:rsid w:val="006A0702"/>
    <w:rsid w:val="006A16DB"/>
    <w:rsid w:val="006A7E47"/>
    <w:rsid w:val="006B612B"/>
    <w:rsid w:val="006B7AA1"/>
    <w:rsid w:val="006C0313"/>
    <w:rsid w:val="006C0DFB"/>
    <w:rsid w:val="006C11C7"/>
    <w:rsid w:val="006C1509"/>
    <w:rsid w:val="006C2164"/>
    <w:rsid w:val="006C22F1"/>
    <w:rsid w:val="006C7914"/>
    <w:rsid w:val="006D14CD"/>
    <w:rsid w:val="006D2212"/>
    <w:rsid w:val="006D6A8D"/>
    <w:rsid w:val="006D76DD"/>
    <w:rsid w:val="006E0C1F"/>
    <w:rsid w:val="006E1588"/>
    <w:rsid w:val="006E3098"/>
    <w:rsid w:val="006E3788"/>
    <w:rsid w:val="006E3FC0"/>
    <w:rsid w:val="006E7F91"/>
    <w:rsid w:val="006F18E8"/>
    <w:rsid w:val="006F2305"/>
    <w:rsid w:val="006F3191"/>
    <w:rsid w:val="006F508F"/>
    <w:rsid w:val="006F5D3E"/>
    <w:rsid w:val="00705628"/>
    <w:rsid w:val="00707BE6"/>
    <w:rsid w:val="00711079"/>
    <w:rsid w:val="007131B7"/>
    <w:rsid w:val="00713AF6"/>
    <w:rsid w:val="00717063"/>
    <w:rsid w:val="00717143"/>
    <w:rsid w:val="0072187D"/>
    <w:rsid w:val="00722905"/>
    <w:rsid w:val="00722CF9"/>
    <w:rsid w:val="007246AD"/>
    <w:rsid w:val="00726D57"/>
    <w:rsid w:val="007359F6"/>
    <w:rsid w:val="00741F72"/>
    <w:rsid w:val="00744376"/>
    <w:rsid w:val="00750FE6"/>
    <w:rsid w:val="007540BD"/>
    <w:rsid w:val="00754FB0"/>
    <w:rsid w:val="007578B8"/>
    <w:rsid w:val="00757C4A"/>
    <w:rsid w:val="00760E45"/>
    <w:rsid w:val="00771513"/>
    <w:rsid w:val="00771E53"/>
    <w:rsid w:val="00774F3B"/>
    <w:rsid w:val="00777479"/>
    <w:rsid w:val="00780701"/>
    <w:rsid w:val="00780E34"/>
    <w:rsid w:val="007838AD"/>
    <w:rsid w:val="00787AD8"/>
    <w:rsid w:val="00790EEE"/>
    <w:rsid w:val="007924CC"/>
    <w:rsid w:val="00794203"/>
    <w:rsid w:val="00797648"/>
    <w:rsid w:val="007A2698"/>
    <w:rsid w:val="007A531E"/>
    <w:rsid w:val="007A5F6A"/>
    <w:rsid w:val="007A6155"/>
    <w:rsid w:val="007A7101"/>
    <w:rsid w:val="007B411F"/>
    <w:rsid w:val="007C1CAE"/>
    <w:rsid w:val="007C3663"/>
    <w:rsid w:val="007C390D"/>
    <w:rsid w:val="007C5824"/>
    <w:rsid w:val="007D0EBC"/>
    <w:rsid w:val="007D5032"/>
    <w:rsid w:val="007D5BF1"/>
    <w:rsid w:val="007D6E14"/>
    <w:rsid w:val="007E4694"/>
    <w:rsid w:val="007E69CC"/>
    <w:rsid w:val="007F051A"/>
    <w:rsid w:val="007F204B"/>
    <w:rsid w:val="007F3C2C"/>
    <w:rsid w:val="007F44A7"/>
    <w:rsid w:val="007F456B"/>
    <w:rsid w:val="007F479E"/>
    <w:rsid w:val="007F714A"/>
    <w:rsid w:val="00800EF0"/>
    <w:rsid w:val="00802245"/>
    <w:rsid w:val="00802974"/>
    <w:rsid w:val="0080372D"/>
    <w:rsid w:val="008047D3"/>
    <w:rsid w:val="0081352F"/>
    <w:rsid w:val="008278A7"/>
    <w:rsid w:val="00830171"/>
    <w:rsid w:val="00832157"/>
    <w:rsid w:val="008343A9"/>
    <w:rsid w:val="00841089"/>
    <w:rsid w:val="00843C5C"/>
    <w:rsid w:val="0084604A"/>
    <w:rsid w:val="00846B7B"/>
    <w:rsid w:val="00851F9A"/>
    <w:rsid w:val="008539D8"/>
    <w:rsid w:val="00854580"/>
    <w:rsid w:val="00857875"/>
    <w:rsid w:val="008605F9"/>
    <w:rsid w:val="008606B4"/>
    <w:rsid w:val="008627F3"/>
    <w:rsid w:val="008647F2"/>
    <w:rsid w:val="00870DF0"/>
    <w:rsid w:val="008720F2"/>
    <w:rsid w:val="0087272A"/>
    <w:rsid w:val="00874FC7"/>
    <w:rsid w:val="008805B3"/>
    <w:rsid w:val="00882E01"/>
    <w:rsid w:val="00883F0C"/>
    <w:rsid w:val="008860FF"/>
    <w:rsid w:val="008875DA"/>
    <w:rsid w:val="00891345"/>
    <w:rsid w:val="008918DE"/>
    <w:rsid w:val="008927BF"/>
    <w:rsid w:val="00892CC2"/>
    <w:rsid w:val="00895838"/>
    <w:rsid w:val="008960E8"/>
    <w:rsid w:val="00897FEF"/>
    <w:rsid w:val="008A384C"/>
    <w:rsid w:val="008A3946"/>
    <w:rsid w:val="008B0322"/>
    <w:rsid w:val="008B66C1"/>
    <w:rsid w:val="008C3F2B"/>
    <w:rsid w:val="008C53DF"/>
    <w:rsid w:val="008C59AB"/>
    <w:rsid w:val="008D7C2E"/>
    <w:rsid w:val="008E46CF"/>
    <w:rsid w:val="008F56AB"/>
    <w:rsid w:val="00900AF7"/>
    <w:rsid w:val="00901BDC"/>
    <w:rsid w:val="009023D6"/>
    <w:rsid w:val="00902689"/>
    <w:rsid w:val="00904CDF"/>
    <w:rsid w:val="00911110"/>
    <w:rsid w:val="009122DD"/>
    <w:rsid w:val="009145A2"/>
    <w:rsid w:val="00920828"/>
    <w:rsid w:val="00921351"/>
    <w:rsid w:val="00923DE9"/>
    <w:rsid w:val="009240B4"/>
    <w:rsid w:val="00926247"/>
    <w:rsid w:val="00932229"/>
    <w:rsid w:val="009324A7"/>
    <w:rsid w:val="009344C3"/>
    <w:rsid w:val="009440B5"/>
    <w:rsid w:val="00944239"/>
    <w:rsid w:val="00947FF3"/>
    <w:rsid w:val="009531AD"/>
    <w:rsid w:val="00954BF0"/>
    <w:rsid w:val="0095713F"/>
    <w:rsid w:val="009611B4"/>
    <w:rsid w:val="0096192E"/>
    <w:rsid w:val="0096203D"/>
    <w:rsid w:val="0096208A"/>
    <w:rsid w:val="00963A03"/>
    <w:rsid w:val="00965A67"/>
    <w:rsid w:val="00967A74"/>
    <w:rsid w:val="00970235"/>
    <w:rsid w:val="0097359C"/>
    <w:rsid w:val="00975773"/>
    <w:rsid w:val="00975FAE"/>
    <w:rsid w:val="00981160"/>
    <w:rsid w:val="00982DF5"/>
    <w:rsid w:val="0098321D"/>
    <w:rsid w:val="0098419A"/>
    <w:rsid w:val="009861C2"/>
    <w:rsid w:val="009862D1"/>
    <w:rsid w:val="009932BE"/>
    <w:rsid w:val="009A2BE0"/>
    <w:rsid w:val="009A385E"/>
    <w:rsid w:val="009A55E9"/>
    <w:rsid w:val="009A58E8"/>
    <w:rsid w:val="009A7FEE"/>
    <w:rsid w:val="009B042F"/>
    <w:rsid w:val="009B33B2"/>
    <w:rsid w:val="009B35D9"/>
    <w:rsid w:val="009B44C8"/>
    <w:rsid w:val="009B45BB"/>
    <w:rsid w:val="009C5485"/>
    <w:rsid w:val="009C7470"/>
    <w:rsid w:val="009C77ED"/>
    <w:rsid w:val="009D0F03"/>
    <w:rsid w:val="009D16D9"/>
    <w:rsid w:val="009D42C3"/>
    <w:rsid w:val="009D6C95"/>
    <w:rsid w:val="009E0721"/>
    <w:rsid w:val="009E1DAB"/>
    <w:rsid w:val="009E1F1A"/>
    <w:rsid w:val="009E537A"/>
    <w:rsid w:val="009F04C4"/>
    <w:rsid w:val="009F2387"/>
    <w:rsid w:val="009F318D"/>
    <w:rsid w:val="009F4FFE"/>
    <w:rsid w:val="00A0161A"/>
    <w:rsid w:val="00A01BE8"/>
    <w:rsid w:val="00A13C84"/>
    <w:rsid w:val="00A1451E"/>
    <w:rsid w:val="00A154F7"/>
    <w:rsid w:val="00A302C9"/>
    <w:rsid w:val="00A31BBB"/>
    <w:rsid w:val="00A34E86"/>
    <w:rsid w:val="00A35611"/>
    <w:rsid w:val="00A405D4"/>
    <w:rsid w:val="00A41090"/>
    <w:rsid w:val="00A433E0"/>
    <w:rsid w:val="00A44131"/>
    <w:rsid w:val="00A502E2"/>
    <w:rsid w:val="00A509A8"/>
    <w:rsid w:val="00A50C7C"/>
    <w:rsid w:val="00A51025"/>
    <w:rsid w:val="00A5490E"/>
    <w:rsid w:val="00A54EA9"/>
    <w:rsid w:val="00A553CC"/>
    <w:rsid w:val="00A560A7"/>
    <w:rsid w:val="00A61801"/>
    <w:rsid w:val="00A641B1"/>
    <w:rsid w:val="00A64ECD"/>
    <w:rsid w:val="00A66555"/>
    <w:rsid w:val="00A70CE7"/>
    <w:rsid w:val="00A72E10"/>
    <w:rsid w:val="00A77EFB"/>
    <w:rsid w:val="00A8016E"/>
    <w:rsid w:val="00A817C7"/>
    <w:rsid w:val="00A824F8"/>
    <w:rsid w:val="00A840B3"/>
    <w:rsid w:val="00A842EF"/>
    <w:rsid w:val="00A851C7"/>
    <w:rsid w:val="00A85DA1"/>
    <w:rsid w:val="00A8771F"/>
    <w:rsid w:val="00A87A5A"/>
    <w:rsid w:val="00A9063C"/>
    <w:rsid w:val="00A92467"/>
    <w:rsid w:val="00A92AF3"/>
    <w:rsid w:val="00A9585C"/>
    <w:rsid w:val="00A95AA2"/>
    <w:rsid w:val="00A96EF6"/>
    <w:rsid w:val="00AA0ED1"/>
    <w:rsid w:val="00AA35E1"/>
    <w:rsid w:val="00AA660B"/>
    <w:rsid w:val="00AA6D1A"/>
    <w:rsid w:val="00AB0607"/>
    <w:rsid w:val="00AB0C2F"/>
    <w:rsid w:val="00AB101C"/>
    <w:rsid w:val="00AB35BC"/>
    <w:rsid w:val="00AB6C2A"/>
    <w:rsid w:val="00AC498A"/>
    <w:rsid w:val="00AC70FB"/>
    <w:rsid w:val="00AD0380"/>
    <w:rsid w:val="00AD0F6B"/>
    <w:rsid w:val="00AD177D"/>
    <w:rsid w:val="00AD31F8"/>
    <w:rsid w:val="00AD36AB"/>
    <w:rsid w:val="00AD4FC5"/>
    <w:rsid w:val="00AE023A"/>
    <w:rsid w:val="00AE3D87"/>
    <w:rsid w:val="00AE788D"/>
    <w:rsid w:val="00AF1597"/>
    <w:rsid w:val="00AF1DF2"/>
    <w:rsid w:val="00AF39D8"/>
    <w:rsid w:val="00AF543C"/>
    <w:rsid w:val="00AF5588"/>
    <w:rsid w:val="00AF652C"/>
    <w:rsid w:val="00B005ED"/>
    <w:rsid w:val="00B16C4C"/>
    <w:rsid w:val="00B16E18"/>
    <w:rsid w:val="00B20F22"/>
    <w:rsid w:val="00B21C4A"/>
    <w:rsid w:val="00B21D16"/>
    <w:rsid w:val="00B23D03"/>
    <w:rsid w:val="00B255D9"/>
    <w:rsid w:val="00B26ABE"/>
    <w:rsid w:val="00B30A0D"/>
    <w:rsid w:val="00B34CE7"/>
    <w:rsid w:val="00B35E93"/>
    <w:rsid w:val="00B37186"/>
    <w:rsid w:val="00B40543"/>
    <w:rsid w:val="00B4109B"/>
    <w:rsid w:val="00B41819"/>
    <w:rsid w:val="00B41D90"/>
    <w:rsid w:val="00B42AD0"/>
    <w:rsid w:val="00B42C2F"/>
    <w:rsid w:val="00B4525B"/>
    <w:rsid w:val="00B45600"/>
    <w:rsid w:val="00B457E6"/>
    <w:rsid w:val="00B5296E"/>
    <w:rsid w:val="00B56EFE"/>
    <w:rsid w:val="00B650D7"/>
    <w:rsid w:val="00B676EA"/>
    <w:rsid w:val="00B76718"/>
    <w:rsid w:val="00B80A89"/>
    <w:rsid w:val="00B81901"/>
    <w:rsid w:val="00B83CFF"/>
    <w:rsid w:val="00B86B80"/>
    <w:rsid w:val="00B870D8"/>
    <w:rsid w:val="00B904B5"/>
    <w:rsid w:val="00B90A96"/>
    <w:rsid w:val="00B918F6"/>
    <w:rsid w:val="00B928D7"/>
    <w:rsid w:val="00B9624A"/>
    <w:rsid w:val="00B965F9"/>
    <w:rsid w:val="00B9683B"/>
    <w:rsid w:val="00B972A6"/>
    <w:rsid w:val="00BA00A8"/>
    <w:rsid w:val="00BA0DD6"/>
    <w:rsid w:val="00BA1C1E"/>
    <w:rsid w:val="00BA3663"/>
    <w:rsid w:val="00BA3D26"/>
    <w:rsid w:val="00BA5907"/>
    <w:rsid w:val="00BB03C7"/>
    <w:rsid w:val="00BB0640"/>
    <w:rsid w:val="00BB34DD"/>
    <w:rsid w:val="00BB703A"/>
    <w:rsid w:val="00BC09EA"/>
    <w:rsid w:val="00BC0D96"/>
    <w:rsid w:val="00BC1152"/>
    <w:rsid w:val="00BC3232"/>
    <w:rsid w:val="00BC4B2E"/>
    <w:rsid w:val="00BD562F"/>
    <w:rsid w:val="00BD6871"/>
    <w:rsid w:val="00BE272F"/>
    <w:rsid w:val="00BE35AD"/>
    <w:rsid w:val="00BF130C"/>
    <w:rsid w:val="00BF1395"/>
    <w:rsid w:val="00BF14BB"/>
    <w:rsid w:val="00BF2A1D"/>
    <w:rsid w:val="00BF3F2F"/>
    <w:rsid w:val="00BF5AD0"/>
    <w:rsid w:val="00BF6361"/>
    <w:rsid w:val="00C00135"/>
    <w:rsid w:val="00C03BE3"/>
    <w:rsid w:val="00C0666F"/>
    <w:rsid w:val="00C07801"/>
    <w:rsid w:val="00C10469"/>
    <w:rsid w:val="00C104AB"/>
    <w:rsid w:val="00C12DAA"/>
    <w:rsid w:val="00C15A69"/>
    <w:rsid w:val="00C17DEC"/>
    <w:rsid w:val="00C17E5C"/>
    <w:rsid w:val="00C25256"/>
    <w:rsid w:val="00C2567D"/>
    <w:rsid w:val="00C2751A"/>
    <w:rsid w:val="00C328EF"/>
    <w:rsid w:val="00C363B9"/>
    <w:rsid w:val="00C364AF"/>
    <w:rsid w:val="00C416F1"/>
    <w:rsid w:val="00C45ADC"/>
    <w:rsid w:val="00C45C28"/>
    <w:rsid w:val="00C45D3D"/>
    <w:rsid w:val="00C46B49"/>
    <w:rsid w:val="00C53F71"/>
    <w:rsid w:val="00C56EDF"/>
    <w:rsid w:val="00C57DA9"/>
    <w:rsid w:val="00C627D8"/>
    <w:rsid w:val="00C6481F"/>
    <w:rsid w:val="00C653C4"/>
    <w:rsid w:val="00C71BC3"/>
    <w:rsid w:val="00C7233A"/>
    <w:rsid w:val="00C74F2F"/>
    <w:rsid w:val="00C82C7B"/>
    <w:rsid w:val="00C84EA1"/>
    <w:rsid w:val="00C90E9E"/>
    <w:rsid w:val="00C91615"/>
    <w:rsid w:val="00C92621"/>
    <w:rsid w:val="00C930FF"/>
    <w:rsid w:val="00C94381"/>
    <w:rsid w:val="00C9554F"/>
    <w:rsid w:val="00CA01F4"/>
    <w:rsid w:val="00CA2391"/>
    <w:rsid w:val="00CA4C35"/>
    <w:rsid w:val="00CA6900"/>
    <w:rsid w:val="00CB0131"/>
    <w:rsid w:val="00CB4C12"/>
    <w:rsid w:val="00CB547B"/>
    <w:rsid w:val="00CB59EE"/>
    <w:rsid w:val="00CB60A5"/>
    <w:rsid w:val="00CB66E3"/>
    <w:rsid w:val="00CB6B36"/>
    <w:rsid w:val="00CC153C"/>
    <w:rsid w:val="00CC3321"/>
    <w:rsid w:val="00CC52A2"/>
    <w:rsid w:val="00CC6C16"/>
    <w:rsid w:val="00CD2153"/>
    <w:rsid w:val="00CD75A2"/>
    <w:rsid w:val="00CE74C4"/>
    <w:rsid w:val="00CF16A9"/>
    <w:rsid w:val="00CF2EA4"/>
    <w:rsid w:val="00D04700"/>
    <w:rsid w:val="00D11B36"/>
    <w:rsid w:val="00D16E1B"/>
    <w:rsid w:val="00D2032C"/>
    <w:rsid w:val="00D27470"/>
    <w:rsid w:val="00D27EA9"/>
    <w:rsid w:val="00D30F70"/>
    <w:rsid w:val="00D36279"/>
    <w:rsid w:val="00D4158A"/>
    <w:rsid w:val="00D428F5"/>
    <w:rsid w:val="00D43C21"/>
    <w:rsid w:val="00D460B1"/>
    <w:rsid w:val="00D617F3"/>
    <w:rsid w:val="00D61DDB"/>
    <w:rsid w:val="00D64048"/>
    <w:rsid w:val="00D665AC"/>
    <w:rsid w:val="00D667D4"/>
    <w:rsid w:val="00D66ED1"/>
    <w:rsid w:val="00D67042"/>
    <w:rsid w:val="00D67743"/>
    <w:rsid w:val="00D75356"/>
    <w:rsid w:val="00D807B7"/>
    <w:rsid w:val="00D819AD"/>
    <w:rsid w:val="00D82306"/>
    <w:rsid w:val="00D836E8"/>
    <w:rsid w:val="00D8412E"/>
    <w:rsid w:val="00D90E3D"/>
    <w:rsid w:val="00D92676"/>
    <w:rsid w:val="00D9344D"/>
    <w:rsid w:val="00D94061"/>
    <w:rsid w:val="00D943A0"/>
    <w:rsid w:val="00D94450"/>
    <w:rsid w:val="00D95516"/>
    <w:rsid w:val="00DA1171"/>
    <w:rsid w:val="00DA233E"/>
    <w:rsid w:val="00DA2C48"/>
    <w:rsid w:val="00DA3B6A"/>
    <w:rsid w:val="00DA429C"/>
    <w:rsid w:val="00DA52A6"/>
    <w:rsid w:val="00DA5FB8"/>
    <w:rsid w:val="00DA63D3"/>
    <w:rsid w:val="00DA7624"/>
    <w:rsid w:val="00DB725D"/>
    <w:rsid w:val="00DC0669"/>
    <w:rsid w:val="00DD00D5"/>
    <w:rsid w:val="00DD0786"/>
    <w:rsid w:val="00DD090C"/>
    <w:rsid w:val="00DD33A7"/>
    <w:rsid w:val="00DD4C8F"/>
    <w:rsid w:val="00DD6A36"/>
    <w:rsid w:val="00DE21C7"/>
    <w:rsid w:val="00DE2E6E"/>
    <w:rsid w:val="00DE3CFA"/>
    <w:rsid w:val="00DE40AB"/>
    <w:rsid w:val="00DF0227"/>
    <w:rsid w:val="00DF75AB"/>
    <w:rsid w:val="00E02EAA"/>
    <w:rsid w:val="00E05607"/>
    <w:rsid w:val="00E06995"/>
    <w:rsid w:val="00E076FF"/>
    <w:rsid w:val="00E10AD1"/>
    <w:rsid w:val="00E13CEE"/>
    <w:rsid w:val="00E151B1"/>
    <w:rsid w:val="00E20FC3"/>
    <w:rsid w:val="00E23A33"/>
    <w:rsid w:val="00E23DE4"/>
    <w:rsid w:val="00E25DD3"/>
    <w:rsid w:val="00E263CC"/>
    <w:rsid w:val="00E278EE"/>
    <w:rsid w:val="00E31F84"/>
    <w:rsid w:val="00E323ED"/>
    <w:rsid w:val="00E351D6"/>
    <w:rsid w:val="00E406E2"/>
    <w:rsid w:val="00E52472"/>
    <w:rsid w:val="00E524D7"/>
    <w:rsid w:val="00E52A5F"/>
    <w:rsid w:val="00E53127"/>
    <w:rsid w:val="00E5435A"/>
    <w:rsid w:val="00E57BD9"/>
    <w:rsid w:val="00E61F4F"/>
    <w:rsid w:val="00E67A90"/>
    <w:rsid w:val="00E73F97"/>
    <w:rsid w:val="00E7403A"/>
    <w:rsid w:val="00E749F4"/>
    <w:rsid w:val="00E75D92"/>
    <w:rsid w:val="00E76613"/>
    <w:rsid w:val="00E77C35"/>
    <w:rsid w:val="00E80427"/>
    <w:rsid w:val="00E86179"/>
    <w:rsid w:val="00E94AE0"/>
    <w:rsid w:val="00E95A0B"/>
    <w:rsid w:val="00E96246"/>
    <w:rsid w:val="00E97B4E"/>
    <w:rsid w:val="00EA00DD"/>
    <w:rsid w:val="00EA0729"/>
    <w:rsid w:val="00EA1456"/>
    <w:rsid w:val="00EA15B0"/>
    <w:rsid w:val="00EA4467"/>
    <w:rsid w:val="00EA6894"/>
    <w:rsid w:val="00EB223A"/>
    <w:rsid w:val="00EB2CA9"/>
    <w:rsid w:val="00EB5A56"/>
    <w:rsid w:val="00EB6EDB"/>
    <w:rsid w:val="00EC1448"/>
    <w:rsid w:val="00EC4271"/>
    <w:rsid w:val="00EC4C64"/>
    <w:rsid w:val="00EC6874"/>
    <w:rsid w:val="00ED0CA8"/>
    <w:rsid w:val="00ED22F3"/>
    <w:rsid w:val="00ED2885"/>
    <w:rsid w:val="00ED4167"/>
    <w:rsid w:val="00ED4BFC"/>
    <w:rsid w:val="00ED5344"/>
    <w:rsid w:val="00EE1BE9"/>
    <w:rsid w:val="00EE5E83"/>
    <w:rsid w:val="00EE5F59"/>
    <w:rsid w:val="00EF2D7E"/>
    <w:rsid w:val="00EF69FB"/>
    <w:rsid w:val="00F04486"/>
    <w:rsid w:val="00F0686B"/>
    <w:rsid w:val="00F0749A"/>
    <w:rsid w:val="00F07F49"/>
    <w:rsid w:val="00F133EB"/>
    <w:rsid w:val="00F13C34"/>
    <w:rsid w:val="00F22670"/>
    <w:rsid w:val="00F27381"/>
    <w:rsid w:val="00F2743B"/>
    <w:rsid w:val="00F277F5"/>
    <w:rsid w:val="00F2781F"/>
    <w:rsid w:val="00F303A7"/>
    <w:rsid w:val="00F305CF"/>
    <w:rsid w:val="00F306B3"/>
    <w:rsid w:val="00F30CF0"/>
    <w:rsid w:val="00F34401"/>
    <w:rsid w:val="00F36909"/>
    <w:rsid w:val="00F4111D"/>
    <w:rsid w:val="00F43559"/>
    <w:rsid w:val="00F43828"/>
    <w:rsid w:val="00F45829"/>
    <w:rsid w:val="00F50F29"/>
    <w:rsid w:val="00F53299"/>
    <w:rsid w:val="00F60088"/>
    <w:rsid w:val="00F66CB0"/>
    <w:rsid w:val="00F75F03"/>
    <w:rsid w:val="00F77134"/>
    <w:rsid w:val="00F807D6"/>
    <w:rsid w:val="00F86643"/>
    <w:rsid w:val="00F873B0"/>
    <w:rsid w:val="00F879C5"/>
    <w:rsid w:val="00F9555F"/>
    <w:rsid w:val="00FA1E40"/>
    <w:rsid w:val="00FA6EBE"/>
    <w:rsid w:val="00FA7592"/>
    <w:rsid w:val="00FB0429"/>
    <w:rsid w:val="00FB7D69"/>
    <w:rsid w:val="00FC24C5"/>
    <w:rsid w:val="00FC6D8C"/>
    <w:rsid w:val="00FD2C26"/>
    <w:rsid w:val="00FD3C04"/>
    <w:rsid w:val="00FD5827"/>
    <w:rsid w:val="00FD5B80"/>
    <w:rsid w:val="00FE7010"/>
    <w:rsid w:val="00FF4C6C"/>
    <w:rsid w:val="00FF53B8"/>
    <w:rsid w:val="00FF742B"/>
    <w:rsid w:val="03D62924"/>
    <w:rsid w:val="0A2D4025"/>
    <w:rsid w:val="144A680B"/>
    <w:rsid w:val="198170FF"/>
    <w:rsid w:val="1A284E46"/>
    <w:rsid w:val="263C2677"/>
    <w:rsid w:val="2FEB0912"/>
    <w:rsid w:val="30001C19"/>
    <w:rsid w:val="349E73D3"/>
    <w:rsid w:val="34A26FF7"/>
    <w:rsid w:val="4199214B"/>
    <w:rsid w:val="4F511474"/>
    <w:rsid w:val="56A51FCE"/>
    <w:rsid w:val="5A2E0DEA"/>
    <w:rsid w:val="5B6227AA"/>
    <w:rsid w:val="72F61EB8"/>
    <w:rsid w:val="760C5B60"/>
    <w:rsid w:val="79084C1B"/>
    <w:rsid w:val="7AC471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120" w:after="120" w:line="240" w:lineRule="auto"/>
      <w:jc w:val="center"/>
      <w:outlineLvl w:val="0"/>
    </w:pPr>
    <w:rPr>
      <w:rFonts w:eastAsia="黑体"/>
      <w:b w:val="0"/>
      <w:bCs w:val="0"/>
      <w:kern w:val="44"/>
      <w:sz w:val="28"/>
      <w:szCs w:val="28"/>
    </w:rPr>
  </w:style>
  <w:style w:type="paragraph" w:styleId="4">
    <w:name w:val="heading 2"/>
    <w:basedOn w:val="3"/>
    <w:next w:val="5"/>
    <w:qFormat/>
    <w:uiPriority w:val="0"/>
    <w:pPr>
      <w:adjustRightInd w:val="0"/>
      <w:spacing w:line="240" w:lineRule="auto"/>
      <w:jc w:val="center"/>
      <w:textAlignment w:val="baseline"/>
      <w:outlineLvl w:val="1"/>
    </w:pPr>
    <w:rPr>
      <w:rFonts w:ascii="宋体" w:hAnsi="宋体"/>
      <w:kern w:val="0"/>
      <w:sz w:val="24"/>
      <w:szCs w:val="20"/>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iPriority w:val="0"/>
  </w:style>
  <w:style w:type="table" w:default="1" w:styleId="20">
    <w:name w:val="Normal Table"/>
    <w:semiHidden/>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27"/>
    <w:uiPriority w:val="0"/>
    <w:pPr>
      <w:jc w:val="left"/>
    </w:pPr>
  </w:style>
  <w:style w:type="paragraph" w:styleId="8">
    <w:name w:val="Body Text"/>
    <w:basedOn w:val="1"/>
    <w:link w:val="37"/>
    <w:uiPriority w:val="0"/>
    <w:pPr>
      <w:spacing w:after="120"/>
    </w:pPr>
  </w:style>
  <w:style w:type="paragraph" w:styleId="9">
    <w:name w:val="Body Text Indent"/>
    <w:basedOn w:val="1"/>
    <w:link w:val="28"/>
    <w:uiPriority w:val="0"/>
    <w:pPr>
      <w:spacing w:after="120"/>
      <w:ind w:left="420" w:leftChars="200"/>
    </w:pPr>
  </w:style>
  <w:style w:type="paragraph" w:styleId="10">
    <w:name w:val="Plain Text"/>
    <w:basedOn w:val="1"/>
    <w:uiPriority w:val="0"/>
    <w:rPr>
      <w:rFonts w:ascii="宋体" w:hAnsi="Courier New"/>
      <w:szCs w:val="20"/>
    </w:rPr>
  </w:style>
  <w:style w:type="paragraph" w:styleId="11">
    <w:name w:val="Body Text Indent 2"/>
    <w:basedOn w:val="1"/>
    <w:uiPriority w:val="0"/>
    <w:pPr>
      <w:ind w:firstLine="413" w:firstLineChars="196"/>
    </w:pPr>
    <w:rPr>
      <w:rFonts w:ascii="宋体" w:hAnsi="宋体"/>
      <w:b/>
      <w:bCs/>
      <w:szCs w:val="21"/>
    </w:rPr>
  </w:style>
  <w:style w:type="paragraph" w:styleId="12">
    <w:name w:val="Balloon Text"/>
    <w:basedOn w:val="1"/>
    <w:semiHidden/>
    <w:uiPriority w:val="0"/>
    <w:rPr>
      <w:sz w:val="18"/>
      <w:szCs w:val="18"/>
    </w:rPr>
  </w:style>
  <w:style w:type="paragraph" w:styleId="13">
    <w:name w:val="footer"/>
    <w:basedOn w:val="1"/>
    <w:link w:val="29"/>
    <w:uiPriority w:val="0"/>
    <w:pPr>
      <w:tabs>
        <w:tab w:val="center" w:pos="4153"/>
        <w:tab w:val="right" w:pos="8306"/>
      </w:tabs>
      <w:snapToGrid w:val="0"/>
      <w:jc w:val="left"/>
    </w:pPr>
    <w:rPr>
      <w:sz w:val="18"/>
      <w:szCs w:val="18"/>
    </w:rPr>
  </w:style>
  <w:style w:type="paragraph" w:styleId="14">
    <w:name w:val="header"/>
    <w:basedOn w:val="1"/>
    <w:link w:val="30"/>
    <w:autoRedefine/>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iPriority w:val="0"/>
    <w:pPr>
      <w:numPr>
        <w:ilvl w:val="0"/>
        <w:numId w:val="0"/>
      </w:numPr>
      <w:snapToGrid w:val="0"/>
      <w:spacing w:before="120" w:after="120" w:line="300" w:lineRule="auto"/>
      <w:jc w:val="left"/>
    </w:pPr>
    <w:rPr>
      <w:rFonts w:ascii="宋体" w:hAnsi="宋体"/>
      <w:bCs/>
      <w:caps/>
      <w:snapToGrid w:val="0"/>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styleId="17">
    <w:name w:val="Title"/>
    <w:basedOn w:val="1"/>
    <w:qFormat/>
    <w:uiPriority w:val="0"/>
    <w:pPr>
      <w:spacing w:before="240" w:after="60"/>
      <w:jc w:val="center"/>
      <w:outlineLvl w:val="0"/>
    </w:pPr>
    <w:rPr>
      <w:rFonts w:ascii="Arial" w:hAnsi="Arial" w:eastAsia="隶书" w:cs="Arial"/>
      <w:b/>
      <w:bCs/>
      <w:sz w:val="32"/>
      <w:szCs w:val="32"/>
    </w:rPr>
  </w:style>
  <w:style w:type="paragraph" w:styleId="18">
    <w:name w:val="annotation subject"/>
    <w:basedOn w:val="7"/>
    <w:next w:val="7"/>
    <w:link w:val="26"/>
    <w:uiPriority w:val="0"/>
    <w:rPr>
      <w:b/>
      <w:bCs/>
    </w:rPr>
  </w:style>
  <w:style w:type="paragraph" w:styleId="19">
    <w:name w:val="Body Text First Indent 2"/>
    <w:basedOn w:val="9"/>
    <w:link w:val="31"/>
    <w:uiPriority w:val="0"/>
    <w:pPr>
      <w:ind w:firstLine="420" w:firstLineChars="200"/>
    </w:pPr>
  </w:style>
  <w:style w:type="table" w:styleId="21">
    <w:name w:val="Table Grid"/>
    <w:basedOn w:val="20"/>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iPriority w:val="0"/>
  </w:style>
  <w:style w:type="character" w:styleId="24">
    <w:name w:val="Hyperlink"/>
    <w:uiPriority w:val="0"/>
    <w:rPr>
      <w:color w:val="0000FF"/>
      <w:u w:val="single"/>
    </w:rPr>
  </w:style>
  <w:style w:type="character" w:styleId="25">
    <w:name w:val="annotation reference"/>
    <w:basedOn w:val="22"/>
    <w:uiPriority w:val="0"/>
    <w:rPr>
      <w:sz w:val="21"/>
      <w:szCs w:val="21"/>
    </w:rPr>
  </w:style>
  <w:style w:type="character" w:customStyle="1" w:styleId="26">
    <w:name w:val="批注主题 Char"/>
    <w:basedOn w:val="27"/>
    <w:link w:val="18"/>
    <w:uiPriority w:val="0"/>
    <w:rPr>
      <w:b/>
      <w:bCs/>
    </w:rPr>
  </w:style>
  <w:style w:type="character" w:customStyle="1" w:styleId="27">
    <w:name w:val="批注文字 Char"/>
    <w:basedOn w:val="22"/>
    <w:link w:val="7"/>
    <w:uiPriority w:val="0"/>
    <w:rPr>
      <w:kern w:val="2"/>
      <w:sz w:val="21"/>
      <w:szCs w:val="24"/>
    </w:rPr>
  </w:style>
  <w:style w:type="character" w:customStyle="1" w:styleId="28">
    <w:name w:val="正文文本缩进 Char"/>
    <w:basedOn w:val="22"/>
    <w:link w:val="9"/>
    <w:uiPriority w:val="0"/>
    <w:rPr>
      <w:kern w:val="2"/>
      <w:sz w:val="21"/>
      <w:szCs w:val="24"/>
    </w:rPr>
  </w:style>
  <w:style w:type="character" w:customStyle="1" w:styleId="29">
    <w:name w:val="页脚 Char"/>
    <w:link w:val="13"/>
    <w:uiPriority w:val="0"/>
    <w:rPr>
      <w:kern w:val="2"/>
      <w:sz w:val="18"/>
      <w:szCs w:val="18"/>
    </w:rPr>
  </w:style>
  <w:style w:type="character" w:customStyle="1" w:styleId="30">
    <w:name w:val="页眉 Char"/>
    <w:link w:val="14"/>
    <w:uiPriority w:val="0"/>
    <w:rPr>
      <w:kern w:val="2"/>
      <w:sz w:val="18"/>
      <w:szCs w:val="18"/>
    </w:rPr>
  </w:style>
  <w:style w:type="character" w:customStyle="1" w:styleId="31">
    <w:name w:val="正文首行缩进 2 Char"/>
    <w:basedOn w:val="28"/>
    <w:link w:val="19"/>
    <w:autoRedefine/>
    <w:uiPriority w:val="0"/>
  </w:style>
  <w:style w:type="paragraph" w:customStyle="1" w:styleId="32">
    <w:name w:val="Char Char Char1 Char"/>
    <w:basedOn w:val="1"/>
    <w:semiHidden/>
    <w:uiPriority w:val="0"/>
    <w:pPr>
      <w:spacing w:line="360" w:lineRule="auto"/>
      <w:ind w:firstLine="200" w:firstLineChars="200"/>
    </w:pPr>
    <w:rPr>
      <w:rFonts w:ascii="宋体" w:hAnsi="宋体" w:cs="宋体"/>
      <w:sz w:val="24"/>
    </w:rPr>
  </w:style>
  <w:style w:type="paragraph" w:customStyle="1" w:styleId="33">
    <w:name w:val="列出段落2"/>
    <w:basedOn w:val="1"/>
    <w:qFormat/>
    <w:uiPriority w:val="0"/>
    <w:pPr>
      <w:ind w:firstLine="200" w:firstLineChars="200"/>
    </w:pPr>
    <w:rPr>
      <w:rFonts w:ascii="Calibri" w:hAnsi="Calibri" w:cs="Arial"/>
    </w:rPr>
  </w:style>
  <w:style w:type="paragraph" w:customStyle="1" w:styleId="34">
    <w:name w:val="样式1"/>
    <w:basedOn w:val="1"/>
    <w:qFormat/>
    <w:uiPriority w:val="0"/>
    <w:pPr>
      <w:tabs>
        <w:tab w:val="left" w:pos="709"/>
      </w:tabs>
      <w:adjustRightInd w:val="0"/>
      <w:ind w:left="720" w:hanging="720"/>
      <w:textAlignment w:val="baseline"/>
    </w:pPr>
    <w:rPr>
      <w:rFonts w:ascii="宋体" w:hAnsi="Calibri"/>
      <w:kern w:val="0"/>
      <w:szCs w:val="21"/>
    </w:rPr>
  </w:style>
  <w:style w:type="paragraph" w:styleId="35">
    <w:name w:val="List Paragraph"/>
    <w:basedOn w:val="1"/>
    <w:qFormat/>
    <w:uiPriority w:val="0"/>
    <w:pPr>
      <w:ind w:firstLine="420" w:firstLineChars="200"/>
    </w:pPr>
    <w:rPr>
      <w:rFonts w:ascii="Calibri" w:hAnsi="Calibri"/>
    </w:rPr>
  </w:style>
  <w:style w:type="paragraph" w:customStyle="1" w:styleId="36">
    <w:name w:val="列出段落1"/>
    <w:basedOn w:val="1"/>
    <w:qFormat/>
    <w:uiPriority w:val="0"/>
    <w:pPr>
      <w:ind w:firstLine="200" w:firstLineChars="200"/>
    </w:pPr>
    <w:rPr>
      <w:rFonts w:ascii="Calibri" w:hAnsi="Calibri" w:cs="Arial"/>
    </w:rPr>
  </w:style>
  <w:style w:type="character" w:customStyle="1" w:styleId="37">
    <w:name w:val="正文文本 Char"/>
    <w:basedOn w:val="22"/>
    <w:link w:val="8"/>
    <w:uiPriority w:val="0"/>
    <w:rPr>
      <w:kern w:val="2"/>
      <w:sz w:val="21"/>
      <w:szCs w:val="24"/>
    </w:rPr>
  </w:style>
  <w:style w:type="paragraph" w:customStyle="1" w:styleId="38">
    <w:name w:val=" Char"/>
    <w:basedOn w:val="1"/>
    <w:uiPriority w:val="0"/>
    <w:rPr>
      <w:rFonts w:ascii="宋体" w:hAnsi="宋体"/>
      <w:i/>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cgzx</Company>
  <Pages>43</Pages>
  <Words>3608</Words>
  <Characters>20570</Characters>
  <Lines>171</Lines>
  <Paragraphs>48</Paragraphs>
  <TotalTime>0</TotalTime>
  <ScaleCrop>false</ScaleCrop>
  <LinksUpToDate>false</LinksUpToDate>
  <CharactersWithSpaces>24130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2007-11-12T09:17:00Z</dcterms:created>
  <dc:creator>zzn</dc:creator>
  <cp:lastModifiedBy>WPS_1701756769</cp:lastModifiedBy>
  <cp:lastPrinted>2020-09-03T08:05:00Z</cp:lastPrinted>
  <dcterms:modified xsi:type="dcterms:W3CDTF">2024-02-26T03:50:31Z</dcterms:modified>
  <cp:revision>153</cp:revision>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7EE4BAF7F48B4650BFCFEFAA66365727_13</vt:lpwstr>
  </property>
</Properties>
</file>