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FEBA5">
      <w:pPr>
        <w:ind w:firstLine="425" w:firstLineChars="0"/>
        <w:jc w:val="both"/>
        <w:rPr>
          <w:rFonts w:hint="default"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 xml:space="preserve"> </w:t>
      </w:r>
    </w:p>
    <w:p w14:paraId="08DB8ECB">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周巷镇“乡村振兴”保险服务采购项目</w:t>
      </w:r>
    </w:p>
    <w:p w14:paraId="00D47660">
      <w:pPr>
        <w:ind w:firstLine="2530" w:firstLineChars="700"/>
        <w:rPr>
          <w:rFonts w:ascii="宋体" w:hAnsi="宋体" w:cs="宋体"/>
          <w:b/>
          <w:color w:val="auto"/>
          <w:sz w:val="36"/>
          <w:szCs w:val="36"/>
          <w:highlight w:val="none"/>
        </w:rPr>
      </w:pPr>
    </w:p>
    <w:p w14:paraId="06CB1B4A">
      <w:pPr>
        <w:ind w:firstLine="2530" w:firstLineChars="700"/>
        <w:rPr>
          <w:rFonts w:ascii="宋体" w:hAnsi="宋体" w:cs="宋体"/>
          <w:b/>
          <w:color w:val="auto"/>
          <w:sz w:val="36"/>
          <w:szCs w:val="36"/>
          <w:highlight w:val="none"/>
        </w:rPr>
      </w:pPr>
    </w:p>
    <w:p w14:paraId="75504525">
      <w:pPr>
        <w:ind w:firstLine="2530" w:firstLineChars="700"/>
        <w:rPr>
          <w:rFonts w:hint="eastAsia" w:ascii="宋体" w:hAnsi="宋体" w:eastAsia="宋体" w:cs="宋体"/>
          <w:b/>
          <w:color w:val="auto"/>
          <w:sz w:val="36"/>
          <w:szCs w:val="36"/>
          <w:highlight w:val="none"/>
          <w:lang w:val="en-US" w:eastAsia="zh-CN"/>
        </w:rPr>
      </w:pPr>
      <w:r>
        <w:rPr>
          <w:rFonts w:ascii="宋体" w:hAnsi="宋体" w:cs="宋体"/>
          <w:b/>
          <w:color w:val="auto"/>
          <w:sz w:val="36"/>
          <w:szCs w:val="36"/>
          <w:highlight w:val="none"/>
        </w:rPr>
        <w:t>采购编号：</w:t>
      </w:r>
      <w:r>
        <w:rPr>
          <w:rFonts w:hint="eastAsia" w:ascii="宋体" w:hAnsi="宋体" w:cs="宋体"/>
          <w:b/>
          <w:color w:val="auto"/>
          <w:sz w:val="36"/>
          <w:szCs w:val="36"/>
          <w:highlight w:val="none"/>
        </w:rPr>
        <w:t>330282202507005214</w:t>
      </w:r>
      <w:r>
        <w:rPr>
          <w:rFonts w:hint="eastAsia" w:ascii="宋体" w:hAnsi="宋体" w:cs="宋体"/>
          <w:b/>
          <w:color w:val="auto"/>
          <w:sz w:val="36"/>
          <w:szCs w:val="36"/>
          <w:highlight w:val="none"/>
          <w:lang w:eastAsia="zh-CN"/>
        </w:rPr>
        <w:t xml:space="preserve">  </w:t>
      </w:r>
      <w:r>
        <w:rPr>
          <w:rFonts w:hint="eastAsia" w:ascii="宋体" w:hAnsi="宋体" w:cs="宋体"/>
          <w:b/>
          <w:color w:val="auto"/>
          <w:sz w:val="36"/>
          <w:szCs w:val="36"/>
          <w:highlight w:val="none"/>
          <w:lang w:val="en-US" w:eastAsia="zh-CN"/>
        </w:rPr>
        <w:t xml:space="preserve"> </w:t>
      </w:r>
    </w:p>
    <w:p w14:paraId="70C7DA1E">
      <w:pPr>
        <w:pStyle w:val="45"/>
        <w:rPr>
          <w:rFonts w:hint="eastAsia"/>
          <w:color w:val="auto"/>
          <w:highlight w:val="none"/>
          <w:lang w:val="en-US" w:eastAsia="zh-CN"/>
        </w:rPr>
      </w:pPr>
    </w:p>
    <w:p w14:paraId="54A9CD58">
      <w:pPr>
        <w:rPr>
          <w:rFonts w:ascii="宋体" w:hAnsi="宋体" w:cs="宋体"/>
          <w:b/>
          <w:color w:val="auto"/>
          <w:szCs w:val="21"/>
          <w:highlight w:val="none"/>
        </w:rPr>
      </w:pPr>
    </w:p>
    <w:p w14:paraId="7E4E8E75">
      <w:pPr>
        <w:rPr>
          <w:rFonts w:hint="eastAsia" w:ascii="宋体" w:hAnsi="宋体" w:cs="宋体"/>
          <w:b/>
          <w:bCs/>
          <w:color w:val="auto"/>
          <w:szCs w:val="21"/>
          <w:highlight w:val="none"/>
        </w:rPr>
      </w:pPr>
    </w:p>
    <w:p w14:paraId="08F1B815">
      <w:pPr>
        <w:pStyle w:val="2"/>
        <w:ind w:firstLine="400"/>
        <w:rPr>
          <w:rFonts w:hint="eastAsia" w:ascii="Verdana" w:hAnsi="Verdana"/>
          <w:color w:val="auto"/>
          <w:kern w:val="0"/>
          <w:sz w:val="20"/>
          <w:highlight w:val="none"/>
        </w:rPr>
      </w:pPr>
    </w:p>
    <w:p w14:paraId="0B27A026">
      <w:pPr>
        <w:rPr>
          <w:rFonts w:hint="eastAsia" w:ascii="宋体" w:hAnsi="宋体" w:cs="宋体"/>
          <w:b/>
          <w:bCs/>
          <w:color w:val="auto"/>
          <w:szCs w:val="21"/>
          <w:highlight w:val="none"/>
        </w:rPr>
      </w:pPr>
    </w:p>
    <w:p w14:paraId="5E7521B6">
      <w:pPr>
        <w:jc w:val="center"/>
        <w:rPr>
          <w:rFonts w:hint="eastAsia" w:ascii="宋体" w:hAnsi="宋体" w:cs="宋体"/>
          <w:b/>
          <w:bCs/>
          <w:color w:val="auto"/>
          <w:sz w:val="72"/>
          <w:szCs w:val="72"/>
          <w:highlight w:val="none"/>
        </w:rPr>
      </w:pPr>
      <w:r>
        <w:rPr>
          <w:rFonts w:ascii="宋体" w:hAnsi="宋体" w:cs="宋体"/>
          <w:b/>
          <w:bCs/>
          <w:color w:val="auto"/>
          <w:sz w:val="72"/>
          <w:szCs w:val="72"/>
          <w:highlight w:val="none"/>
        </w:rPr>
        <w:t>公</w:t>
      </w:r>
    </w:p>
    <w:p w14:paraId="51AE81DA">
      <w:pPr>
        <w:jc w:val="center"/>
        <w:rPr>
          <w:rFonts w:hint="eastAsia" w:ascii="宋体" w:hAnsi="宋体" w:cs="宋体"/>
          <w:b/>
          <w:bCs/>
          <w:color w:val="auto"/>
          <w:sz w:val="72"/>
          <w:szCs w:val="72"/>
          <w:highlight w:val="none"/>
        </w:rPr>
      </w:pPr>
      <w:r>
        <w:rPr>
          <w:rFonts w:ascii="宋体" w:hAnsi="宋体" w:cs="宋体"/>
          <w:b/>
          <w:bCs/>
          <w:color w:val="auto"/>
          <w:sz w:val="72"/>
          <w:szCs w:val="72"/>
          <w:highlight w:val="none"/>
        </w:rPr>
        <w:t>开</w:t>
      </w:r>
    </w:p>
    <w:p w14:paraId="784F43FB">
      <w:pPr>
        <w:jc w:val="center"/>
        <w:rPr>
          <w:rFonts w:hint="eastAsia" w:ascii="宋体" w:hAnsi="宋体" w:cs="宋体"/>
          <w:b/>
          <w:bCs/>
          <w:color w:val="auto"/>
          <w:sz w:val="72"/>
          <w:szCs w:val="72"/>
          <w:highlight w:val="none"/>
        </w:rPr>
      </w:pPr>
      <w:r>
        <w:rPr>
          <w:rFonts w:ascii="宋体" w:hAnsi="宋体" w:cs="宋体"/>
          <w:b/>
          <w:bCs/>
          <w:color w:val="auto"/>
          <w:sz w:val="72"/>
          <w:szCs w:val="72"/>
          <w:highlight w:val="none"/>
        </w:rPr>
        <w:t>招</w:t>
      </w:r>
    </w:p>
    <w:p w14:paraId="56E53426">
      <w:pPr>
        <w:jc w:val="center"/>
        <w:rPr>
          <w:rFonts w:hint="eastAsia" w:ascii="宋体" w:hAnsi="宋体" w:cs="宋体"/>
          <w:b/>
          <w:bCs/>
          <w:color w:val="auto"/>
          <w:sz w:val="72"/>
          <w:szCs w:val="72"/>
          <w:highlight w:val="none"/>
        </w:rPr>
      </w:pPr>
      <w:r>
        <w:rPr>
          <w:rFonts w:ascii="宋体" w:hAnsi="宋体" w:cs="宋体"/>
          <w:b/>
          <w:bCs/>
          <w:color w:val="auto"/>
          <w:sz w:val="72"/>
          <w:szCs w:val="72"/>
          <w:highlight w:val="none"/>
        </w:rPr>
        <w:t>标</w:t>
      </w:r>
    </w:p>
    <w:p w14:paraId="789466E0">
      <w:pPr>
        <w:jc w:val="center"/>
        <w:rPr>
          <w:rFonts w:hint="eastAsia" w:ascii="宋体" w:hAnsi="宋体" w:cs="宋体"/>
          <w:b/>
          <w:bCs/>
          <w:color w:val="auto"/>
          <w:sz w:val="72"/>
          <w:szCs w:val="72"/>
          <w:highlight w:val="none"/>
        </w:rPr>
      </w:pPr>
      <w:r>
        <w:rPr>
          <w:rFonts w:ascii="宋体" w:hAnsi="宋体" w:cs="宋体"/>
          <w:b/>
          <w:bCs/>
          <w:color w:val="auto"/>
          <w:sz w:val="72"/>
          <w:szCs w:val="72"/>
          <w:highlight w:val="none"/>
        </w:rPr>
        <w:t>文</w:t>
      </w:r>
    </w:p>
    <w:p w14:paraId="7F966AC5">
      <w:pPr>
        <w:jc w:val="center"/>
        <w:rPr>
          <w:rFonts w:ascii="宋体" w:hAnsi="宋体" w:cs="宋体"/>
          <w:b/>
          <w:bCs/>
          <w:color w:val="auto"/>
          <w:sz w:val="72"/>
          <w:szCs w:val="72"/>
          <w:highlight w:val="none"/>
        </w:rPr>
      </w:pPr>
      <w:r>
        <w:rPr>
          <w:rFonts w:ascii="宋体" w:hAnsi="宋体" w:cs="宋体"/>
          <w:b/>
          <w:bCs/>
          <w:color w:val="auto"/>
          <w:sz w:val="72"/>
          <w:szCs w:val="72"/>
          <w:highlight w:val="none"/>
        </w:rPr>
        <w:t>件</w:t>
      </w:r>
    </w:p>
    <w:p w14:paraId="25FBE817">
      <w:pPr>
        <w:pStyle w:val="2"/>
        <w:ind w:firstLine="1446"/>
        <w:rPr>
          <w:rFonts w:hint="eastAsia" w:ascii="宋体" w:hAnsi="宋体" w:cs="宋体"/>
          <w:b/>
          <w:bCs/>
          <w:color w:val="auto"/>
          <w:sz w:val="72"/>
          <w:szCs w:val="72"/>
          <w:highlight w:val="none"/>
        </w:rPr>
      </w:pPr>
    </w:p>
    <w:p w14:paraId="5953153B">
      <w:pPr>
        <w:pStyle w:val="2"/>
        <w:ind w:firstLine="1446"/>
        <w:rPr>
          <w:rFonts w:hint="eastAsia" w:ascii="宋体" w:hAnsi="宋体" w:cs="宋体"/>
          <w:b/>
          <w:bCs/>
          <w:color w:val="auto"/>
          <w:sz w:val="72"/>
          <w:szCs w:val="72"/>
          <w:highlight w:val="none"/>
        </w:rPr>
      </w:pPr>
    </w:p>
    <w:p w14:paraId="4EC47CE1">
      <w:pPr>
        <w:pStyle w:val="2"/>
        <w:ind w:left="0" w:leftChars="0" w:firstLine="0" w:firstLineChars="0"/>
        <w:rPr>
          <w:rFonts w:hint="eastAsia" w:ascii="宋体" w:hAnsi="宋体" w:cs="宋体"/>
          <w:b/>
          <w:bCs/>
          <w:color w:val="auto"/>
          <w:sz w:val="72"/>
          <w:szCs w:val="72"/>
          <w:highlight w:val="none"/>
        </w:rPr>
      </w:pPr>
    </w:p>
    <w:p w14:paraId="1E83E012">
      <w:pPr>
        <w:adjustRightInd w:val="0"/>
        <w:snapToGrid w:val="0"/>
        <w:spacing w:line="700" w:lineRule="exact"/>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招 标 人：</w:t>
      </w:r>
      <w:r>
        <w:rPr>
          <w:rFonts w:hint="eastAsia" w:ascii="宋体" w:hAnsi="宋体"/>
          <w:b/>
          <w:bCs/>
          <w:color w:val="auto"/>
          <w:sz w:val="30"/>
          <w:szCs w:val="30"/>
          <w:highlight w:val="none"/>
          <w:lang w:eastAsia="zh-CN"/>
        </w:rPr>
        <w:t>慈溪市周巷镇人民政府</w:t>
      </w:r>
    </w:p>
    <w:p w14:paraId="4C0F0708">
      <w:pPr>
        <w:adjustRightInd w:val="0"/>
        <w:snapToGrid w:val="0"/>
        <w:spacing w:line="700" w:lineRule="exact"/>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rPr>
        <w:t xml:space="preserve">           代理机构：</w:t>
      </w:r>
      <w:r>
        <w:rPr>
          <w:rFonts w:hint="eastAsia" w:ascii="宋体" w:hAnsi="宋体"/>
          <w:b/>
          <w:bCs/>
          <w:color w:val="auto"/>
          <w:sz w:val="30"/>
          <w:szCs w:val="30"/>
          <w:highlight w:val="none"/>
          <w:lang w:eastAsia="zh-CN"/>
        </w:rPr>
        <w:t>浙江天诚工程咨询有限公司</w:t>
      </w:r>
    </w:p>
    <w:p w14:paraId="3762C820">
      <w:pPr>
        <w:adjustRightInd w:val="0"/>
        <w:snapToGrid w:val="0"/>
        <w:spacing w:line="700" w:lineRule="exact"/>
        <w:ind w:firstLine="280" w:firstLineChars="93"/>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编制日期：</w:t>
      </w:r>
      <w:r>
        <w:rPr>
          <w:rFonts w:hint="eastAsia" w:ascii="宋体" w:hAnsi="宋体"/>
          <w:b/>
          <w:bCs/>
          <w:color w:val="auto"/>
          <w:sz w:val="30"/>
          <w:szCs w:val="30"/>
          <w:highlight w:val="none"/>
          <w:lang w:eastAsia="zh-CN"/>
        </w:rPr>
        <w:t>2025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7</w:t>
      </w:r>
      <w:r>
        <w:rPr>
          <w:rFonts w:hint="eastAsia" w:ascii="宋体" w:hAnsi="宋体"/>
          <w:b/>
          <w:bCs/>
          <w:color w:val="auto"/>
          <w:sz w:val="30"/>
          <w:szCs w:val="30"/>
          <w:highlight w:val="none"/>
        </w:rPr>
        <w:t>月</w:t>
      </w:r>
    </w:p>
    <w:p w14:paraId="076CA1AD">
      <w:pPr>
        <w:spacing w:line="360" w:lineRule="auto"/>
        <w:jc w:val="center"/>
        <w:rPr>
          <w:rFonts w:ascii="宋体" w:hAnsi="宋体" w:cs="宋体"/>
          <w:b/>
          <w:bCs/>
          <w:color w:val="auto"/>
          <w:sz w:val="24"/>
          <w:szCs w:val="24"/>
          <w:highlight w:val="none"/>
          <w:u w:val="single"/>
        </w:rPr>
        <w:sectPr>
          <w:headerReference r:id="rId3" w:type="default"/>
          <w:footerReference r:id="rId4" w:type="even"/>
          <w:type w:val="nextColumn"/>
          <w:pgSz w:w="11906" w:h="16838"/>
          <w:pgMar w:top="1417" w:right="1134" w:bottom="1417"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bCs/>
          <w:color w:val="auto"/>
          <w:sz w:val="24"/>
          <w:szCs w:val="24"/>
          <w:highlight w:val="none"/>
        </w:rPr>
        <w:t xml:space="preserve">  </w:t>
      </w:r>
    </w:p>
    <w:p w14:paraId="79B8CA1F">
      <w:pPr>
        <w:spacing w:line="1000" w:lineRule="exact"/>
        <w:jc w:val="center"/>
        <w:rPr>
          <w:rFonts w:hint="eastAsia" w:ascii="宋体" w:hAnsi="宋体" w:cs="宋体"/>
          <w:color w:val="auto"/>
          <w:sz w:val="32"/>
          <w:szCs w:val="32"/>
          <w:highlight w:val="none"/>
        </w:rPr>
      </w:pPr>
      <w:r>
        <w:rPr>
          <w:rFonts w:hint="eastAsia" w:ascii="宋体" w:hAnsi="宋体" w:cs="宋体"/>
          <w:b/>
          <w:color w:val="auto"/>
          <w:sz w:val="52"/>
          <w:szCs w:val="52"/>
          <w:highlight w:val="none"/>
        </w:rPr>
        <w:tab/>
      </w:r>
      <w:r>
        <w:rPr>
          <w:rFonts w:hint="eastAsia" w:ascii="宋体" w:hAnsi="宋体" w:cs="宋体"/>
          <w:b/>
          <w:color w:val="auto"/>
          <w:sz w:val="48"/>
          <w:szCs w:val="48"/>
          <w:highlight w:val="none"/>
          <w:lang w:bidi="ar"/>
        </w:rPr>
        <w:t>温馨提醒</w:t>
      </w:r>
    </w:p>
    <w:p w14:paraId="0CCD7E5D">
      <w:pPr>
        <w:spacing w:line="360" w:lineRule="auto"/>
        <w:ind w:firstLine="602" w:firstLineChars="200"/>
        <w:jc w:val="left"/>
        <w:rPr>
          <w:rFonts w:hint="eastAsia" w:ascii="宋体" w:hAnsi="宋体" w:cs="宋体"/>
          <w:b/>
          <w:color w:val="auto"/>
          <w:sz w:val="30"/>
          <w:szCs w:val="30"/>
          <w:highlight w:val="none"/>
          <w:lang w:bidi="ar"/>
        </w:rPr>
      </w:pPr>
    </w:p>
    <w:p w14:paraId="36680D9C">
      <w:pPr>
        <w:spacing w:line="360" w:lineRule="auto"/>
        <w:ind w:firstLine="602" w:firstLineChars="200"/>
        <w:jc w:val="left"/>
        <w:rPr>
          <w:rFonts w:hint="eastAsia" w:ascii="宋体" w:hAnsi="宋体" w:cs="宋体"/>
          <w:b/>
          <w:color w:val="auto"/>
          <w:sz w:val="30"/>
          <w:szCs w:val="30"/>
          <w:highlight w:val="none"/>
          <w:lang w:bidi="ar"/>
        </w:rPr>
      </w:pPr>
      <w:r>
        <w:rPr>
          <w:rFonts w:hint="eastAsia" w:ascii="宋体" w:hAnsi="宋体" w:cs="宋体"/>
          <w:b/>
          <w:color w:val="auto"/>
          <w:sz w:val="30"/>
          <w:szCs w:val="30"/>
          <w:highlight w:val="none"/>
          <w:lang w:bidi="ar"/>
        </w:rPr>
        <w:t>采购人可以对已发出的招标文件进行必要的澄清或者修改，将以“澄清公告”的形式发布在政采云平台，供应商应及时登录政采云平台，进行浏览并下载，未及时浏览下载的责任自负。</w:t>
      </w:r>
    </w:p>
    <w:p w14:paraId="59669A74">
      <w:pPr>
        <w:spacing w:line="360" w:lineRule="auto"/>
        <w:ind w:firstLine="602" w:firstLineChars="200"/>
        <w:jc w:val="left"/>
        <w:rPr>
          <w:rFonts w:hint="eastAsia" w:ascii="宋体" w:hAnsi="宋体" w:cs="宋体"/>
          <w:b/>
          <w:color w:val="auto"/>
          <w:sz w:val="30"/>
          <w:szCs w:val="30"/>
          <w:highlight w:val="none"/>
          <w:lang w:bidi="ar"/>
        </w:rPr>
      </w:pPr>
    </w:p>
    <w:p w14:paraId="4E760C0F">
      <w:pPr>
        <w:pStyle w:val="18"/>
        <w:rPr>
          <w:rFonts w:hint="eastAsia"/>
          <w:color w:val="auto"/>
          <w:highlight w:val="none"/>
        </w:rPr>
      </w:pPr>
    </w:p>
    <w:p w14:paraId="3C22329D">
      <w:pPr>
        <w:pStyle w:val="5"/>
        <w:keepLines/>
        <w:spacing w:before="340" w:after="330" w:line="360" w:lineRule="auto"/>
        <w:rPr>
          <w:rFonts w:hint="eastAsia" w:ascii="宋体" w:hAnsi="宋体"/>
          <w:color w:val="auto"/>
          <w:sz w:val="36"/>
          <w:szCs w:val="36"/>
          <w:highlight w:val="none"/>
        </w:rPr>
      </w:pPr>
    </w:p>
    <w:p w14:paraId="70F9ABA1">
      <w:pPr>
        <w:rPr>
          <w:rFonts w:hint="eastAsia" w:ascii="宋体" w:hAnsi="宋体"/>
          <w:color w:val="auto"/>
          <w:sz w:val="36"/>
          <w:szCs w:val="36"/>
          <w:highlight w:val="none"/>
        </w:rPr>
      </w:pPr>
    </w:p>
    <w:p w14:paraId="0F305B71">
      <w:pPr>
        <w:pStyle w:val="2"/>
        <w:ind w:firstLine="720"/>
        <w:rPr>
          <w:rFonts w:hint="eastAsia" w:ascii="宋体" w:hAnsi="宋体"/>
          <w:color w:val="auto"/>
          <w:sz w:val="36"/>
          <w:szCs w:val="36"/>
          <w:highlight w:val="none"/>
        </w:rPr>
      </w:pPr>
    </w:p>
    <w:p w14:paraId="218FAF0B">
      <w:pPr>
        <w:pStyle w:val="2"/>
        <w:ind w:firstLine="720"/>
        <w:rPr>
          <w:rFonts w:hint="eastAsia" w:ascii="宋体" w:hAnsi="宋体"/>
          <w:color w:val="auto"/>
          <w:sz w:val="36"/>
          <w:szCs w:val="36"/>
          <w:highlight w:val="none"/>
        </w:rPr>
      </w:pPr>
    </w:p>
    <w:p w14:paraId="3970FA6A">
      <w:pPr>
        <w:pStyle w:val="2"/>
        <w:ind w:firstLine="720"/>
        <w:rPr>
          <w:rFonts w:hint="eastAsia" w:ascii="宋体" w:hAnsi="宋体"/>
          <w:color w:val="auto"/>
          <w:sz w:val="36"/>
          <w:szCs w:val="36"/>
          <w:highlight w:val="none"/>
        </w:rPr>
      </w:pPr>
    </w:p>
    <w:p w14:paraId="2F28F4DB">
      <w:pPr>
        <w:pStyle w:val="2"/>
        <w:ind w:firstLine="720"/>
        <w:rPr>
          <w:rFonts w:hint="eastAsia" w:ascii="宋体" w:hAnsi="宋体"/>
          <w:color w:val="auto"/>
          <w:sz w:val="36"/>
          <w:szCs w:val="36"/>
          <w:highlight w:val="none"/>
        </w:rPr>
      </w:pPr>
    </w:p>
    <w:p w14:paraId="046220E0">
      <w:pPr>
        <w:pStyle w:val="2"/>
        <w:ind w:firstLine="720"/>
        <w:rPr>
          <w:rFonts w:hint="eastAsia" w:ascii="宋体" w:hAnsi="宋体"/>
          <w:color w:val="auto"/>
          <w:sz w:val="36"/>
          <w:szCs w:val="36"/>
          <w:highlight w:val="none"/>
        </w:rPr>
      </w:pPr>
    </w:p>
    <w:p w14:paraId="469C1B5B">
      <w:pPr>
        <w:pStyle w:val="2"/>
        <w:ind w:firstLine="720"/>
        <w:rPr>
          <w:rFonts w:hint="eastAsia" w:ascii="宋体" w:hAnsi="宋体"/>
          <w:color w:val="auto"/>
          <w:sz w:val="36"/>
          <w:szCs w:val="36"/>
          <w:highlight w:val="none"/>
        </w:rPr>
      </w:pPr>
    </w:p>
    <w:p w14:paraId="77755223">
      <w:pPr>
        <w:pStyle w:val="2"/>
        <w:ind w:firstLine="720"/>
        <w:rPr>
          <w:rFonts w:hint="eastAsia" w:ascii="宋体" w:hAnsi="宋体"/>
          <w:color w:val="auto"/>
          <w:sz w:val="36"/>
          <w:szCs w:val="36"/>
          <w:highlight w:val="none"/>
        </w:rPr>
      </w:pPr>
    </w:p>
    <w:p w14:paraId="5B6EF7AB">
      <w:pPr>
        <w:pStyle w:val="2"/>
        <w:ind w:firstLine="720"/>
        <w:rPr>
          <w:rFonts w:hint="eastAsia" w:ascii="宋体" w:hAnsi="宋体"/>
          <w:color w:val="auto"/>
          <w:sz w:val="36"/>
          <w:szCs w:val="36"/>
          <w:highlight w:val="none"/>
        </w:rPr>
      </w:pPr>
    </w:p>
    <w:p w14:paraId="2684F6C4">
      <w:pPr>
        <w:pStyle w:val="2"/>
        <w:ind w:firstLine="720"/>
        <w:rPr>
          <w:rFonts w:hint="eastAsia" w:ascii="宋体" w:hAnsi="宋体"/>
          <w:color w:val="auto"/>
          <w:sz w:val="36"/>
          <w:szCs w:val="36"/>
          <w:highlight w:val="none"/>
        </w:rPr>
      </w:pPr>
    </w:p>
    <w:p w14:paraId="31B855C1">
      <w:pPr>
        <w:pStyle w:val="2"/>
        <w:ind w:firstLine="720"/>
        <w:rPr>
          <w:rFonts w:hint="eastAsia" w:ascii="宋体" w:hAnsi="宋体"/>
          <w:color w:val="auto"/>
          <w:sz w:val="36"/>
          <w:szCs w:val="36"/>
          <w:highlight w:val="none"/>
        </w:rPr>
      </w:pPr>
    </w:p>
    <w:p w14:paraId="08F24484">
      <w:pPr>
        <w:pStyle w:val="2"/>
        <w:ind w:firstLine="720"/>
        <w:rPr>
          <w:rFonts w:hint="eastAsia" w:ascii="宋体" w:hAnsi="宋体"/>
          <w:color w:val="auto"/>
          <w:sz w:val="36"/>
          <w:szCs w:val="36"/>
          <w:highlight w:val="none"/>
        </w:rPr>
      </w:pPr>
    </w:p>
    <w:p w14:paraId="0A94129F">
      <w:pPr>
        <w:pStyle w:val="2"/>
        <w:ind w:firstLine="720"/>
        <w:rPr>
          <w:rFonts w:hint="eastAsia" w:ascii="宋体" w:hAnsi="宋体"/>
          <w:color w:val="auto"/>
          <w:sz w:val="36"/>
          <w:szCs w:val="36"/>
          <w:highlight w:val="none"/>
        </w:rPr>
      </w:pPr>
    </w:p>
    <w:p w14:paraId="28631C53">
      <w:pPr>
        <w:pStyle w:val="2"/>
        <w:ind w:firstLine="720"/>
        <w:rPr>
          <w:rFonts w:hint="eastAsia" w:ascii="宋体" w:hAnsi="宋体"/>
          <w:color w:val="auto"/>
          <w:sz w:val="36"/>
          <w:szCs w:val="36"/>
          <w:highlight w:val="none"/>
        </w:rPr>
      </w:pPr>
    </w:p>
    <w:p w14:paraId="7FDDAD19">
      <w:pPr>
        <w:pStyle w:val="2"/>
        <w:ind w:firstLine="720"/>
        <w:rPr>
          <w:rFonts w:hint="eastAsia" w:ascii="宋体" w:hAnsi="宋体"/>
          <w:color w:val="auto"/>
          <w:sz w:val="36"/>
          <w:szCs w:val="36"/>
          <w:highlight w:val="none"/>
        </w:rPr>
      </w:pPr>
    </w:p>
    <w:p w14:paraId="3F26F601">
      <w:pPr>
        <w:pStyle w:val="2"/>
        <w:ind w:firstLine="720"/>
        <w:rPr>
          <w:rFonts w:hint="eastAsia" w:ascii="宋体" w:hAnsi="宋体"/>
          <w:color w:val="auto"/>
          <w:sz w:val="36"/>
          <w:szCs w:val="36"/>
          <w:highlight w:val="none"/>
        </w:rPr>
      </w:pPr>
    </w:p>
    <w:p w14:paraId="55BA7756">
      <w:pPr>
        <w:pStyle w:val="2"/>
        <w:ind w:firstLine="720"/>
        <w:rPr>
          <w:rFonts w:hint="eastAsia" w:ascii="宋体" w:hAnsi="宋体"/>
          <w:color w:val="auto"/>
          <w:sz w:val="36"/>
          <w:szCs w:val="36"/>
          <w:highlight w:val="none"/>
        </w:rPr>
      </w:pPr>
    </w:p>
    <w:p w14:paraId="4E960D01">
      <w:pPr>
        <w:pStyle w:val="2"/>
        <w:ind w:firstLine="720"/>
        <w:rPr>
          <w:rFonts w:hint="eastAsia" w:ascii="宋体" w:hAnsi="宋体"/>
          <w:color w:val="auto"/>
          <w:sz w:val="36"/>
          <w:szCs w:val="36"/>
          <w:highlight w:val="none"/>
        </w:rPr>
      </w:pPr>
    </w:p>
    <w:p w14:paraId="2B90843C">
      <w:pPr>
        <w:pStyle w:val="2"/>
        <w:ind w:firstLine="720"/>
        <w:rPr>
          <w:rFonts w:hint="eastAsia" w:ascii="宋体" w:hAnsi="宋体"/>
          <w:color w:val="auto"/>
          <w:sz w:val="36"/>
          <w:szCs w:val="36"/>
          <w:highlight w:val="none"/>
        </w:rPr>
      </w:pPr>
    </w:p>
    <w:p w14:paraId="0DEA7AB5">
      <w:pPr>
        <w:pStyle w:val="2"/>
        <w:ind w:firstLine="720"/>
        <w:rPr>
          <w:rFonts w:hint="eastAsia" w:ascii="宋体" w:hAnsi="宋体"/>
          <w:color w:val="auto"/>
          <w:sz w:val="36"/>
          <w:szCs w:val="36"/>
          <w:highlight w:val="none"/>
        </w:rPr>
      </w:pPr>
    </w:p>
    <w:p w14:paraId="18203EAD">
      <w:pPr>
        <w:pStyle w:val="2"/>
        <w:ind w:firstLine="720"/>
        <w:rPr>
          <w:rFonts w:hint="eastAsia" w:ascii="宋体" w:hAnsi="宋体"/>
          <w:color w:val="auto"/>
          <w:sz w:val="36"/>
          <w:szCs w:val="36"/>
          <w:highlight w:val="none"/>
        </w:rPr>
      </w:pPr>
    </w:p>
    <w:p w14:paraId="10E24BA0">
      <w:pPr>
        <w:pStyle w:val="2"/>
        <w:ind w:firstLine="720"/>
        <w:rPr>
          <w:rFonts w:hint="eastAsia" w:ascii="宋体" w:hAnsi="宋体"/>
          <w:color w:val="auto"/>
          <w:sz w:val="36"/>
          <w:szCs w:val="36"/>
          <w:highlight w:val="none"/>
        </w:rPr>
      </w:pPr>
    </w:p>
    <w:p w14:paraId="34C3FBFD">
      <w:pPr>
        <w:pStyle w:val="2"/>
        <w:ind w:firstLine="720"/>
        <w:rPr>
          <w:rFonts w:hint="eastAsia" w:ascii="宋体" w:hAnsi="宋体"/>
          <w:color w:val="auto"/>
          <w:sz w:val="36"/>
          <w:szCs w:val="36"/>
          <w:highlight w:val="none"/>
        </w:rPr>
      </w:pPr>
    </w:p>
    <w:p w14:paraId="5CF2842A">
      <w:pPr>
        <w:tabs>
          <w:tab w:val="center" w:pos="4365"/>
        </w:tabs>
        <w:spacing w:line="480" w:lineRule="auto"/>
        <w:jc w:val="center"/>
        <w:rPr>
          <w:rFonts w:hint="eastAsia" w:ascii="宋体" w:hAnsi="宋体" w:cs="宋体"/>
          <w:b/>
          <w:color w:val="auto"/>
          <w:sz w:val="52"/>
          <w:szCs w:val="52"/>
          <w:highlight w:val="none"/>
        </w:rPr>
      </w:pPr>
      <w:r>
        <w:rPr>
          <w:rFonts w:hint="eastAsia" w:ascii="宋体" w:hAnsi="宋体" w:cs="宋体"/>
          <w:b/>
          <w:color w:val="auto"/>
          <w:sz w:val="36"/>
          <w:szCs w:val="36"/>
          <w:highlight w:val="none"/>
        </w:rPr>
        <w:t>目    录</w:t>
      </w:r>
    </w:p>
    <w:p w14:paraId="659CC47B">
      <w:pPr>
        <w:pStyle w:val="31"/>
        <w:tabs>
          <w:tab w:val="right" w:leader="dot" w:pos="9073"/>
          <w:tab w:val="clear" w:pos="8721"/>
        </w:tabs>
        <w:rPr>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_Toc15205 </w:instrText>
      </w:r>
      <w:r>
        <w:rPr>
          <w:rFonts w:hint="eastAsia" w:cs="宋体"/>
          <w:color w:val="auto"/>
          <w:sz w:val="21"/>
          <w:szCs w:val="21"/>
          <w:highlight w:val="none"/>
        </w:rPr>
        <w:fldChar w:fldCharType="separate"/>
      </w:r>
      <w:r>
        <w:rPr>
          <w:rFonts w:hint="eastAsia" w:ascii="宋体" w:hAnsi="宋体"/>
          <w:color w:val="auto"/>
          <w:sz w:val="21"/>
          <w:szCs w:val="21"/>
          <w:highlight w:val="none"/>
        </w:rPr>
        <w:t xml:space="preserve">第一章  </w:t>
      </w:r>
      <w:r>
        <w:rPr>
          <w:rFonts w:hint="eastAsia" w:ascii="宋体" w:hAnsi="宋体"/>
          <w:color w:val="auto"/>
          <w:sz w:val="21"/>
          <w:szCs w:val="21"/>
          <w:highlight w:val="none"/>
          <w:lang w:eastAsia="zh-CN"/>
        </w:rPr>
        <w:t>招标</w:t>
      </w:r>
      <w:r>
        <w:rPr>
          <w:rFonts w:hint="eastAsia" w:ascii="宋体" w:hAnsi="宋体"/>
          <w:color w:val="auto"/>
          <w:sz w:val="21"/>
          <w:szCs w:val="21"/>
          <w:highlight w:val="none"/>
        </w:rPr>
        <w:t>公告</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_Toc15205 \h </w:instrText>
      </w:r>
      <w:r>
        <w:rPr>
          <w:color w:val="auto"/>
          <w:sz w:val="21"/>
          <w:szCs w:val="21"/>
          <w:highlight w:val="none"/>
        </w:rPr>
        <w:fldChar w:fldCharType="separate"/>
      </w:r>
      <w:r>
        <w:rPr>
          <w:color w:val="auto"/>
          <w:sz w:val="21"/>
          <w:szCs w:val="21"/>
          <w:highlight w:val="none"/>
        </w:rPr>
        <w:t>1</w:t>
      </w:r>
      <w:r>
        <w:rPr>
          <w:color w:val="auto"/>
          <w:sz w:val="21"/>
          <w:szCs w:val="21"/>
          <w:highlight w:val="none"/>
        </w:rPr>
        <w:fldChar w:fldCharType="end"/>
      </w:r>
      <w:r>
        <w:rPr>
          <w:rFonts w:hint="eastAsia" w:cs="宋体"/>
          <w:color w:val="auto"/>
          <w:sz w:val="21"/>
          <w:szCs w:val="21"/>
          <w:highlight w:val="none"/>
        </w:rPr>
        <w:fldChar w:fldCharType="end"/>
      </w:r>
    </w:p>
    <w:p w14:paraId="051E980D">
      <w:pPr>
        <w:pStyle w:val="31"/>
        <w:tabs>
          <w:tab w:val="right" w:leader="dot" w:pos="9073"/>
          <w:tab w:val="clear" w:pos="8721"/>
        </w:tabs>
        <w:rPr>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_Toc17639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第二章  投标须知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_Toc17639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rFonts w:hint="eastAsia" w:ascii="宋体" w:hAnsi="宋体" w:cs="宋体"/>
          <w:color w:val="auto"/>
          <w:sz w:val="21"/>
          <w:szCs w:val="21"/>
          <w:highlight w:val="none"/>
        </w:rPr>
        <w:fldChar w:fldCharType="end"/>
      </w:r>
    </w:p>
    <w:p w14:paraId="24AC7AB6">
      <w:pPr>
        <w:pStyle w:val="31"/>
        <w:tabs>
          <w:tab w:val="right" w:leader="dot" w:pos="9073"/>
          <w:tab w:val="clear" w:pos="8721"/>
        </w:tabs>
        <w:rPr>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_Toc4241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第三章  评标办法及标准</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_Toc4241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rFonts w:hint="eastAsia" w:ascii="宋体" w:hAnsi="宋体" w:cs="宋体"/>
          <w:color w:val="auto"/>
          <w:sz w:val="21"/>
          <w:szCs w:val="21"/>
          <w:highlight w:val="none"/>
        </w:rPr>
        <w:fldChar w:fldCharType="end"/>
      </w:r>
    </w:p>
    <w:p w14:paraId="533F21C3">
      <w:pPr>
        <w:pStyle w:val="31"/>
        <w:tabs>
          <w:tab w:val="right" w:leader="dot" w:pos="9073"/>
          <w:tab w:val="clear" w:pos="8721"/>
        </w:tabs>
        <w:rPr>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_Toc28857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第四章  采购合同样本</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_Toc28857 \h </w:instrText>
      </w:r>
      <w:r>
        <w:rPr>
          <w:color w:val="auto"/>
          <w:sz w:val="21"/>
          <w:szCs w:val="21"/>
          <w:highlight w:val="none"/>
        </w:rPr>
        <w:fldChar w:fldCharType="separate"/>
      </w:r>
      <w:r>
        <w:rPr>
          <w:color w:val="auto"/>
          <w:sz w:val="21"/>
          <w:szCs w:val="21"/>
          <w:highlight w:val="none"/>
        </w:rPr>
        <w:t>25</w:t>
      </w:r>
      <w:r>
        <w:rPr>
          <w:color w:val="auto"/>
          <w:sz w:val="21"/>
          <w:szCs w:val="21"/>
          <w:highlight w:val="none"/>
        </w:rPr>
        <w:fldChar w:fldCharType="end"/>
      </w:r>
      <w:r>
        <w:rPr>
          <w:rFonts w:hint="eastAsia" w:ascii="宋体" w:hAnsi="宋体" w:cs="宋体"/>
          <w:color w:val="auto"/>
          <w:sz w:val="21"/>
          <w:szCs w:val="21"/>
          <w:highlight w:val="none"/>
        </w:rPr>
        <w:fldChar w:fldCharType="end"/>
      </w:r>
    </w:p>
    <w:p w14:paraId="11647B5C">
      <w:pPr>
        <w:pStyle w:val="31"/>
        <w:tabs>
          <w:tab w:val="right" w:leader="dot" w:pos="9073"/>
          <w:tab w:val="clear" w:pos="8721"/>
        </w:tabs>
        <w:rPr>
          <w:rFonts w:hint="eastAsia" w:eastAsia="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_Toc23939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 xml:space="preserve">第五章  </w:t>
      </w:r>
      <w:r>
        <w:rPr>
          <w:rFonts w:hint="eastAsia" w:ascii="宋体" w:hAnsi="宋体"/>
          <w:color w:val="auto"/>
          <w:sz w:val="21"/>
          <w:szCs w:val="21"/>
          <w:highlight w:val="none"/>
          <w:lang w:eastAsia="zh-CN"/>
        </w:rPr>
        <w:t>招标内容与技术需求</w:t>
      </w:r>
      <w:r>
        <w:rPr>
          <w:color w:val="auto"/>
          <w:sz w:val="21"/>
          <w:szCs w:val="21"/>
          <w:highlight w:val="none"/>
        </w:rPr>
        <w:tab/>
      </w:r>
      <w:r>
        <w:rPr>
          <w:rFonts w:hint="eastAsia"/>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cs="宋体"/>
          <w:color w:val="auto"/>
          <w:sz w:val="21"/>
          <w:szCs w:val="21"/>
          <w:highlight w:val="none"/>
          <w:lang w:val="en-US" w:eastAsia="zh-CN"/>
        </w:rPr>
        <w:t>3</w:t>
      </w:r>
    </w:p>
    <w:p w14:paraId="2978CBC4">
      <w:pPr>
        <w:pStyle w:val="31"/>
        <w:tabs>
          <w:tab w:val="right" w:leader="dot" w:pos="9073"/>
          <w:tab w:val="clear" w:pos="8721"/>
        </w:tabs>
        <w:rPr>
          <w:rFonts w:hint="eastAsia" w:eastAsia="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_Toc22131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第六章  商务条款</w:t>
      </w:r>
      <w:r>
        <w:rPr>
          <w:color w:val="auto"/>
          <w:sz w:val="21"/>
          <w:szCs w:val="21"/>
          <w:highlight w:val="none"/>
        </w:rPr>
        <w:tab/>
      </w:r>
      <w:r>
        <w:rPr>
          <w:rFonts w:hint="eastAsia"/>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cs="宋体"/>
          <w:color w:val="auto"/>
          <w:sz w:val="21"/>
          <w:szCs w:val="21"/>
          <w:highlight w:val="none"/>
          <w:lang w:val="en-US" w:eastAsia="zh-CN"/>
        </w:rPr>
        <w:t>7</w:t>
      </w:r>
    </w:p>
    <w:p w14:paraId="1014C472">
      <w:pPr>
        <w:pStyle w:val="31"/>
        <w:tabs>
          <w:tab w:val="right" w:leader="dot" w:pos="9073"/>
          <w:tab w:val="clear" w:pos="8721"/>
        </w:tabs>
        <w:rPr>
          <w:rFonts w:hint="eastAsia" w:eastAsia="宋体"/>
          <w:color w:val="auto"/>
          <w:sz w:val="21"/>
          <w:szCs w:val="21"/>
          <w:highlight w:val="none"/>
          <w:lang w:val="en-US" w:eastAsia="zh-CN"/>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_Toc15382 </w:instrText>
      </w:r>
      <w:r>
        <w:rPr>
          <w:rFonts w:hint="eastAsia" w:ascii="宋体" w:hAnsi="宋体" w:cs="宋体"/>
          <w:color w:val="auto"/>
          <w:sz w:val="21"/>
          <w:szCs w:val="21"/>
          <w:highlight w:val="none"/>
        </w:rPr>
        <w:fldChar w:fldCharType="separate"/>
      </w:r>
      <w:r>
        <w:rPr>
          <w:rFonts w:hint="eastAsia" w:ascii="宋体" w:hAnsi="宋体"/>
          <w:color w:val="auto"/>
          <w:sz w:val="21"/>
          <w:szCs w:val="21"/>
          <w:highlight w:val="none"/>
        </w:rPr>
        <w:t>第七章  附件</w:t>
      </w:r>
      <w:r>
        <w:rPr>
          <w:color w:val="auto"/>
          <w:sz w:val="21"/>
          <w:szCs w:val="21"/>
          <w:highlight w:val="none"/>
        </w:rPr>
        <w:tab/>
      </w:r>
      <w:r>
        <w:rPr>
          <w:rFonts w:hint="eastAsia"/>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cs="宋体"/>
          <w:color w:val="auto"/>
          <w:sz w:val="21"/>
          <w:szCs w:val="21"/>
          <w:highlight w:val="none"/>
          <w:lang w:val="en-US" w:eastAsia="zh-CN"/>
        </w:rPr>
        <w:t>9</w:t>
      </w:r>
    </w:p>
    <w:p w14:paraId="77C90534">
      <w:pPr>
        <w:spacing w:line="360" w:lineRule="auto"/>
        <w:jc w:val="center"/>
        <w:rPr>
          <w:rFonts w:hint="eastAsia" w:ascii="宋体" w:hAnsi="宋体" w:cs="宋体"/>
          <w:b/>
          <w:color w:val="auto"/>
          <w:szCs w:val="21"/>
          <w:highlight w:val="none"/>
        </w:rPr>
      </w:pPr>
      <w:r>
        <w:rPr>
          <w:rFonts w:hint="eastAsia" w:ascii="宋体" w:hAnsi="宋体" w:cs="宋体"/>
          <w:color w:val="auto"/>
          <w:sz w:val="21"/>
          <w:szCs w:val="21"/>
          <w:highlight w:val="none"/>
        </w:rPr>
        <w:fldChar w:fldCharType="end"/>
      </w:r>
    </w:p>
    <w:p w14:paraId="6B91BF55">
      <w:pPr>
        <w:spacing w:line="360" w:lineRule="auto"/>
        <w:jc w:val="center"/>
        <w:rPr>
          <w:rFonts w:ascii="宋体" w:hAnsi="宋体"/>
          <w:b/>
          <w:color w:val="auto"/>
          <w:szCs w:val="21"/>
          <w:highlight w:val="none"/>
        </w:rPr>
        <w:sectPr>
          <w:headerReference r:id="rId5" w:type="default"/>
          <w:footerReference r:id="rId6" w:type="default"/>
          <w:type w:val="nextColumn"/>
          <w:pgSz w:w="11907" w:h="16840"/>
          <w:pgMar w:top="1134" w:right="1417" w:bottom="1134" w:left="1417" w:header="569" w:footer="697" w:gutter="0"/>
          <w:pgBorders>
            <w:top w:val="none" w:sz="0" w:space="0"/>
            <w:left w:val="none" w:sz="0" w:space="0"/>
            <w:bottom w:val="none" w:sz="0" w:space="0"/>
            <w:right w:val="none" w:sz="0" w:space="0"/>
          </w:pgBorders>
          <w:cols w:space="720" w:num="1"/>
          <w:docGrid w:linePitch="285" w:charSpace="0"/>
        </w:sectPr>
      </w:pPr>
    </w:p>
    <w:p w14:paraId="37EA739F">
      <w:pPr>
        <w:pStyle w:val="5"/>
        <w:keepLines/>
        <w:spacing w:before="340" w:after="330" w:line="360" w:lineRule="auto"/>
        <w:rPr>
          <w:rFonts w:hint="eastAsia" w:ascii="宋体" w:hAnsi="宋体"/>
          <w:color w:val="auto"/>
          <w:sz w:val="36"/>
          <w:szCs w:val="36"/>
          <w:highlight w:val="none"/>
        </w:rPr>
      </w:pPr>
      <w:bookmarkStart w:id="0" w:name="_Toc15205"/>
      <w:r>
        <w:rPr>
          <w:rFonts w:hint="eastAsia" w:ascii="宋体" w:hAnsi="宋体"/>
          <w:color w:val="auto"/>
          <w:sz w:val="36"/>
          <w:szCs w:val="36"/>
          <w:highlight w:val="none"/>
        </w:rPr>
        <w:t xml:space="preserve">第一章  </w:t>
      </w:r>
      <w:r>
        <w:rPr>
          <w:rFonts w:hint="eastAsia" w:ascii="宋体" w:hAnsi="宋体"/>
          <w:color w:val="auto"/>
          <w:sz w:val="36"/>
          <w:szCs w:val="36"/>
          <w:highlight w:val="none"/>
          <w:lang w:eastAsia="zh-CN"/>
        </w:rPr>
        <w:t>招标</w:t>
      </w:r>
      <w:r>
        <w:rPr>
          <w:rFonts w:hint="eastAsia" w:ascii="宋体" w:hAnsi="宋体"/>
          <w:color w:val="auto"/>
          <w:sz w:val="36"/>
          <w:szCs w:val="36"/>
          <w:highlight w:val="none"/>
        </w:rPr>
        <w:t>公告</w:t>
      </w:r>
      <w:bookmarkEnd w:id="0"/>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1"/>
      </w:tblGrid>
      <w:tr w14:paraId="62C2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trPr>
        <w:tc>
          <w:tcPr>
            <w:tcW w:w="9861" w:type="dxa"/>
            <w:noWrap w:val="0"/>
            <w:vAlign w:val="top"/>
          </w:tcPr>
          <w:p w14:paraId="496CD3A0">
            <w:pPr>
              <w:keepNext w:val="0"/>
              <w:keepLines w:val="0"/>
              <w:suppressLineNumbers w:val="0"/>
              <w:spacing w:before="0" w:beforeAutospacing="0" w:after="0" w:afterAutospacing="0" w:line="400" w:lineRule="exact"/>
              <w:ind w:left="0" w:right="0"/>
              <w:rPr>
                <w:rFonts w:hint="eastAsia" w:ascii="宋体" w:hAnsi="宋体" w:cs="Times New Roman"/>
                <w:b w:val="0"/>
                <w:bCs w:val="0"/>
                <w:color w:val="auto"/>
                <w:szCs w:val="21"/>
                <w:highlight w:val="none"/>
                <w:lang w:val="zh-CN" w:eastAsia="zh-CN"/>
              </w:rPr>
            </w:pPr>
            <w:r>
              <w:rPr>
                <w:rFonts w:hint="eastAsia" w:ascii="宋体" w:hAnsi="宋体" w:cs="Times New Roman"/>
                <w:b w:val="0"/>
                <w:bCs w:val="0"/>
                <w:color w:val="auto"/>
                <w:szCs w:val="21"/>
                <w:highlight w:val="none"/>
                <w:lang w:val="zh-CN" w:eastAsia="zh-CN"/>
              </w:rPr>
              <w:t>项目概况</w:t>
            </w:r>
          </w:p>
          <w:p w14:paraId="4841A2F2">
            <w:pPr>
              <w:keepNext w:val="0"/>
              <w:keepLines w:val="0"/>
              <w:suppressLineNumbers w:val="0"/>
              <w:spacing w:before="0" w:beforeAutospacing="0" w:after="0" w:afterAutospacing="0" w:line="400" w:lineRule="exact"/>
              <w:ind w:left="0" w:right="0"/>
              <w:rPr>
                <w:rFonts w:hint="eastAsia" w:ascii="宋体" w:hAnsi="宋体" w:cs="Times New Roman"/>
                <w:b w:val="0"/>
                <w:bCs w:val="0"/>
                <w:color w:val="auto"/>
                <w:szCs w:val="21"/>
                <w:highlight w:val="none"/>
                <w:vertAlign w:val="baseline"/>
                <w:lang w:val="zh-CN" w:eastAsia="zh-CN"/>
              </w:rPr>
            </w:pPr>
            <w:r>
              <w:rPr>
                <w:rFonts w:hint="eastAsia" w:ascii="宋体" w:hAnsi="宋体" w:cs="Times New Roman"/>
                <w:b w:val="0"/>
                <w:bCs w:val="0"/>
                <w:color w:val="auto"/>
                <w:szCs w:val="21"/>
                <w:highlight w:val="none"/>
                <w:lang w:val="zh-CN" w:eastAsia="zh-CN"/>
              </w:rPr>
              <w:t xml:space="preserve"> </w:t>
            </w:r>
            <w:r>
              <w:rPr>
                <w:rFonts w:hint="eastAsia" w:ascii="宋体" w:hAnsi="宋体" w:cs="Times New Roman"/>
                <w:b w:val="0"/>
                <w:bCs w:val="0"/>
                <w:color w:val="auto"/>
                <w:szCs w:val="21"/>
                <w:highlight w:val="none"/>
                <w:lang w:val="en-US" w:eastAsia="zh-CN"/>
              </w:rPr>
              <w:t xml:space="preserve">  </w:t>
            </w:r>
            <w:r>
              <w:rPr>
                <w:rFonts w:hint="eastAsia" w:ascii="宋体" w:hAnsi="宋体" w:cs="Times New Roman"/>
                <w:b w:val="0"/>
                <w:bCs w:val="0"/>
                <w:color w:val="auto"/>
                <w:szCs w:val="21"/>
                <w:highlight w:val="none"/>
                <w:u w:val="single"/>
                <w:lang w:val="en-US" w:eastAsia="zh-CN"/>
              </w:rPr>
              <w:t xml:space="preserve"> 周巷镇“乡村振兴”保险服务采购项目 </w:t>
            </w:r>
            <w:r>
              <w:rPr>
                <w:rFonts w:hint="eastAsia" w:ascii="宋体" w:hAnsi="宋体" w:cs="Times New Roman"/>
                <w:color w:val="auto"/>
                <w:szCs w:val="21"/>
                <w:highlight w:val="none"/>
                <w:u w:val="none"/>
                <w:lang w:eastAsia="zh-CN"/>
              </w:rPr>
              <w:t>招标项目的潜在投标人应在政采云平台获取（下载）招标文件</w:t>
            </w:r>
            <w:r>
              <w:rPr>
                <w:rFonts w:hint="eastAsia" w:ascii="宋体" w:hAnsi="宋体" w:cs="Times New Roman"/>
                <w:b w:val="0"/>
                <w:bCs w:val="0"/>
                <w:color w:val="auto"/>
                <w:szCs w:val="21"/>
                <w:highlight w:val="none"/>
                <w:lang w:val="zh-CN" w:eastAsia="zh-CN"/>
              </w:rPr>
              <w:t>，并于</w:t>
            </w:r>
            <w:r>
              <w:rPr>
                <w:rFonts w:hint="eastAsia" w:ascii="宋体" w:hAnsi="宋体" w:cs="Times New Roman"/>
                <w:b w:val="0"/>
                <w:bCs w:val="0"/>
                <w:color w:val="auto"/>
                <w:szCs w:val="21"/>
                <w:highlight w:val="none"/>
                <w:u w:val="single"/>
                <w:lang w:val="zh-CN" w:eastAsia="zh-CN"/>
              </w:rPr>
              <w:t xml:space="preserve"> </w:t>
            </w:r>
            <w:r>
              <w:rPr>
                <w:rFonts w:hint="eastAsia" w:ascii="宋体" w:hAnsi="宋体" w:cs="Times New Roman"/>
                <w:b w:val="0"/>
                <w:bCs w:val="0"/>
                <w:color w:val="auto"/>
                <w:szCs w:val="21"/>
                <w:highlight w:val="none"/>
                <w:u w:val="single"/>
                <w:lang w:val="en-US" w:eastAsia="zh-CN"/>
              </w:rPr>
              <w:t>2025年8月4日9</w:t>
            </w:r>
            <w:r>
              <w:rPr>
                <w:rFonts w:hint="eastAsia" w:ascii="宋体" w:hAnsi="宋体" w:cs="Times New Roman"/>
                <w:b w:val="0"/>
                <w:bCs w:val="0"/>
                <w:color w:val="auto"/>
                <w:szCs w:val="21"/>
                <w:highlight w:val="none"/>
                <w:u w:val="single"/>
                <w:lang w:val="zh-CN" w:eastAsia="zh-CN"/>
              </w:rPr>
              <w:t>：</w:t>
            </w:r>
            <w:r>
              <w:rPr>
                <w:rFonts w:hint="eastAsia" w:ascii="宋体" w:hAnsi="宋体" w:cs="Times New Roman"/>
                <w:b w:val="0"/>
                <w:bCs w:val="0"/>
                <w:color w:val="auto"/>
                <w:szCs w:val="21"/>
                <w:highlight w:val="none"/>
                <w:u w:val="single"/>
                <w:lang w:val="en-US" w:eastAsia="zh-CN"/>
              </w:rPr>
              <w:t>30</w:t>
            </w:r>
            <w:r>
              <w:rPr>
                <w:rFonts w:hint="eastAsia" w:ascii="宋体" w:hAnsi="宋体" w:cs="Times New Roman"/>
                <w:b w:val="0"/>
                <w:bCs w:val="0"/>
                <w:color w:val="auto"/>
                <w:szCs w:val="21"/>
                <w:highlight w:val="none"/>
                <w:lang w:val="zh-CN" w:eastAsia="zh-CN"/>
              </w:rPr>
              <w:t>（北京时间）前递交（上传）投标文件。</w:t>
            </w:r>
          </w:p>
        </w:tc>
      </w:tr>
    </w:tbl>
    <w:p w14:paraId="0D620E81">
      <w:pPr>
        <w:spacing w:line="400" w:lineRule="exact"/>
        <w:rPr>
          <w:rFonts w:hint="eastAsia" w:ascii="宋体" w:hAnsi="宋体"/>
          <w:b/>
          <w:bCs/>
          <w:color w:val="auto"/>
          <w:szCs w:val="21"/>
          <w:highlight w:val="none"/>
        </w:rPr>
      </w:pPr>
      <w:r>
        <w:rPr>
          <w:rFonts w:hint="eastAsia" w:ascii="宋体" w:hAnsi="宋体"/>
          <w:b/>
          <w:bCs/>
          <w:color w:val="auto"/>
          <w:szCs w:val="21"/>
          <w:highlight w:val="none"/>
        </w:rPr>
        <w:t>一、项目基本情况</w:t>
      </w:r>
      <w:r>
        <w:rPr>
          <w:rFonts w:ascii="宋体" w:hAnsi="宋体"/>
          <w:b/>
          <w:bCs/>
          <w:color w:val="auto"/>
          <w:szCs w:val="21"/>
          <w:highlight w:val="none"/>
        </w:rPr>
        <w:t>。</w:t>
      </w:r>
    </w:p>
    <w:p w14:paraId="1644ECD6">
      <w:pPr>
        <w:spacing w:line="400" w:lineRule="exact"/>
        <w:ind w:firstLine="422" w:firstLineChars="20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rPr>
        <w:t>采购</w:t>
      </w:r>
      <w:r>
        <w:rPr>
          <w:rFonts w:ascii="宋体" w:hAnsi="宋体"/>
          <w:b/>
          <w:bCs/>
          <w:color w:val="auto"/>
          <w:szCs w:val="21"/>
          <w:highlight w:val="none"/>
        </w:rPr>
        <w:t>编号：</w:t>
      </w:r>
      <w:r>
        <w:rPr>
          <w:rFonts w:hint="eastAsia" w:ascii="宋体" w:hAnsi="宋体"/>
          <w:b w:val="0"/>
          <w:bCs w:val="0"/>
          <w:color w:val="auto"/>
          <w:szCs w:val="21"/>
          <w:highlight w:val="none"/>
        </w:rPr>
        <w:t>330282202507005214</w:t>
      </w:r>
      <w:r>
        <w:rPr>
          <w:rFonts w:hint="eastAsia" w:ascii="宋体" w:hAnsi="宋体"/>
          <w:b w:val="0"/>
          <w:bCs w:val="0"/>
          <w:color w:val="auto"/>
          <w:szCs w:val="21"/>
          <w:highlight w:val="none"/>
          <w:lang w:eastAsia="zh-CN"/>
        </w:rPr>
        <w:t xml:space="preserve">  </w:t>
      </w:r>
      <w:r>
        <w:rPr>
          <w:rFonts w:hint="eastAsia" w:ascii="宋体" w:hAnsi="宋体"/>
          <w:b w:val="0"/>
          <w:bCs w:val="0"/>
          <w:color w:val="auto"/>
          <w:szCs w:val="21"/>
          <w:highlight w:val="none"/>
          <w:lang w:val="en-US" w:eastAsia="zh-CN"/>
        </w:rPr>
        <w:t xml:space="preserve"> </w:t>
      </w:r>
    </w:p>
    <w:p w14:paraId="2651FA80">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项目名称：</w:t>
      </w:r>
      <w:r>
        <w:rPr>
          <w:rFonts w:hint="eastAsia" w:ascii="宋体" w:hAnsi="宋体"/>
          <w:b w:val="0"/>
          <w:bCs w:val="0"/>
          <w:color w:val="auto"/>
          <w:szCs w:val="21"/>
          <w:highlight w:val="none"/>
          <w:lang w:val="en-US" w:eastAsia="zh-CN"/>
        </w:rPr>
        <w:t>周巷镇“乡村振兴”保险服务采购项目</w:t>
      </w:r>
    </w:p>
    <w:p w14:paraId="77707268">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lang w:val="zh-CN" w:eastAsia="zh-CN"/>
        </w:rPr>
        <w:t>预算金额</w:t>
      </w:r>
      <w:r>
        <w:rPr>
          <w:rFonts w:hint="eastAsia" w:ascii="宋体" w:hAnsi="宋体" w:cs="宋体"/>
          <w:b/>
          <w:color w:val="auto"/>
          <w:szCs w:val="21"/>
          <w:highlight w:val="none"/>
          <w:lang w:eastAsia="zh-CN"/>
        </w:rPr>
        <w:t>（元）</w:t>
      </w:r>
      <w:r>
        <w:rPr>
          <w:rFonts w:hint="eastAsia" w:ascii="宋体" w:hAnsi="宋体"/>
          <w:b/>
          <w:bCs/>
          <w:color w:val="auto"/>
          <w:szCs w:val="21"/>
          <w:highlight w:val="none"/>
          <w:lang w:val="zh-CN" w:eastAsia="zh-CN"/>
        </w:rPr>
        <w:t>：</w:t>
      </w:r>
      <w:r>
        <w:rPr>
          <w:rFonts w:hint="eastAsia" w:ascii="宋体" w:hAnsi="宋体" w:eastAsia="宋体" w:cs="Times New Roman"/>
          <w:b w:val="0"/>
          <w:bCs w:val="0"/>
          <w:color w:val="auto"/>
          <w:szCs w:val="21"/>
          <w:highlight w:val="none"/>
          <w:lang w:val="zh-CN" w:eastAsia="zh-CN"/>
        </w:rPr>
        <w:t>600000</w:t>
      </w:r>
      <w:r>
        <w:rPr>
          <w:rFonts w:hint="eastAsia" w:ascii="宋体" w:hAnsi="宋体" w:eastAsia="宋体" w:cs="Times New Roman"/>
          <w:b w:val="0"/>
          <w:bCs w:val="0"/>
          <w:color w:val="auto"/>
          <w:szCs w:val="21"/>
          <w:highlight w:val="none"/>
          <w:lang w:val="en-US" w:eastAsia="zh-CN"/>
        </w:rPr>
        <w:t xml:space="preserve"> </w:t>
      </w:r>
    </w:p>
    <w:p w14:paraId="64621CD8">
      <w:pPr>
        <w:spacing w:line="400" w:lineRule="exact"/>
        <w:ind w:firstLine="422" w:firstLineChars="200"/>
        <w:rPr>
          <w:rFonts w:hint="default"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最高限价</w:t>
      </w:r>
      <w:r>
        <w:rPr>
          <w:rFonts w:hint="eastAsia" w:ascii="宋体" w:hAnsi="宋体" w:cs="宋体"/>
          <w:b/>
          <w:color w:val="auto"/>
          <w:szCs w:val="21"/>
          <w:highlight w:val="none"/>
          <w:lang w:eastAsia="zh-CN"/>
        </w:rPr>
        <w:t>（元）</w:t>
      </w:r>
      <w:r>
        <w:rPr>
          <w:rFonts w:hint="eastAsia" w:ascii="宋体" w:hAnsi="宋体"/>
          <w:b/>
          <w:bCs/>
          <w:color w:val="auto"/>
          <w:szCs w:val="21"/>
          <w:highlight w:val="none"/>
          <w:lang w:val="en-US" w:eastAsia="zh-CN"/>
        </w:rPr>
        <w:t>：</w:t>
      </w:r>
      <w:r>
        <w:rPr>
          <w:rFonts w:hint="eastAsia" w:ascii="宋体" w:hAnsi="宋体"/>
          <w:b w:val="0"/>
          <w:bCs w:val="0"/>
          <w:color w:val="auto"/>
          <w:szCs w:val="21"/>
          <w:highlight w:val="none"/>
          <w:lang w:val="en-US" w:eastAsia="zh-CN"/>
        </w:rPr>
        <w:t xml:space="preserve">600000 </w:t>
      </w:r>
    </w:p>
    <w:p w14:paraId="0772AB40">
      <w:pPr>
        <w:spacing w:line="400" w:lineRule="exact"/>
        <w:ind w:left="631" w:leftChars="200" w:hanging="211" w:hangingChars="100"/>
        <w:rPr>
          <w:rFonts w:ascii="宋体" w:hAnsi="宋体"/>
          <w:b/>
          <w:bCs/>
          <w:color w:val="auto"/>
          <w:szCs w:val="21"/>
          <w:highlight w:val="none"/>
        </w:rPr>
      </w:pPr>
      <w:r>
        <w:rPr>
          <w:rFonts w:hint="eastAsia" w:ascii="宋体" w:hAnsi="宋体"/>
          <w:b/>
          <w:bCs/>
          <w:color w:val="auto"/>
          <w:szCs w:val="21"/>
          <w:highlight w:val="none"/>
          <w:lang w:val="en-US" w:eastAsia="zh-CN"/>
        </w:rPr>
        <w:t>采购需求</w:t>
      </w:r>
      <w:r>
        <w:rPr>
          <w:rFonts w:ascii="宋体" w:hAnsi="宋体"/>
          <w:b/>
          <w:bCs/>
          <w:color w:val="auto"/>
          <w:szCs w:val="21"/>
          <w:highlight w:val="none"/>
        </w:rPr>
        <w:t>：</w:t>
      </w:r>
    </w:p>
    <w:p w14:paraId="761FD85E">
      <w:pPr>
        <w:spacing w:line="400" w:lineRule="exact"/>
        <w:ind w:left="631" w:leftChars="200" w:hanging="211" w:hangingChars="100"/>
        <w:rPr>
          <w:rFonts w:hint="eastAsia" w:ascii="宋体" w:hAnsi="宋体"/>
          <w:b/>
          <w:bCs/>
          <w:color w:val="auto"/>
          <w:szCs w:val="21"/>
          <w:highlight w:val="none"/>
          <w:lang w:val="en-US" w:eastAsia="zh-CN"/>
        </w:rPr>
      </w:pPr>
      <w:r>
        <w:rPr>
          <w:rFonts w:hint="eastAsia" w:ascii="宋体" w:hAnsi="宋体"/>
          <w:b/>
          <w:bCs/>
          <w:color w:val="auto"/>
          <w:szCs w:val="21"/>
          <w:highlight w:val="none"/>
        </w:rPr>
        <w:t>标项一:</w:t>
      </w:r>
      <w:r>
        <w:rPr>
          <w:rFonts w:hint="eastAsia" w:ascii="宋体" w:hAnsi="宋体"/>
          <w:b/>
          <w:bCs/>
          <w:color w:val="auto"/>
          <w:szCs w:val="21"/>
          <w:highlight w:val="none"/>
          <w:lang w:val="en-US" w:eastAsia="zh-CN"/>
        </w:rPr>
        <w:t xml:space="preserve"> </w:t>
      </w:r>
    </w:p>
    <w:p w14:paraId="2C88019E">
      <w:pPr>
        <w:spacing w:line="400" w:lineRule="exact"/>
        <w:ind w:left="420" w:leftChars="200" w:firstLine="0" w:firstLineChars="0"/>
        <w:rPr>
          <w:rFonts w:hint="eastAsia" w:ascii="宋体" w:hAnsi="宋体" w:eastAsia="宋体"/>
          <w:color w:val="auto"/>
          <w:szCs w:val="21"/>
          <w:highlight w:val="none"/>
          <w:lang w:eastAsia="zh-CN"/>
        </w:rPr>
      </w:pPr>
      <w:r>
        <w:rPr>
          <w:rFonts w:hint="eastAsia" w:ascii="宋体" w:hAnsi="宋体"/>
          <w:b/>
          <w:bCs/>
          <w:color w:val="auto"/>
          <w:szCs w:val="21"/>
          <w:highlight w:val="none"/>
        </w:rPr>
        <w:t>标项名称:</w:t>
      </w:r>
      <w:r>
        <w:rPr>
          <w:rFonts w:hint="eastAsia" w:ascii="宋体" w:hAnsi="宋体"/>
          <w:b/>
          <w:bCs/>
          <w:color w:val="auto"/>
          <w:szCs w:val="21"/>
          <w:highlight w:val="none"/>
          <w:lang w:val="en-US" w:eastAsia="zh-CN"/>
        </w:rPr>
        <w:t xml:space="preserve"> </w:t>
      </w:r>
      <w:r>
        <w:rPr>
          <w:rFonts w:hint="eastAsia" w:ascii="宋体" w:hAnsi="宋体"/>
          <w:b w:val="0"/>
          <w:bCs w:val="0"/>
          <w:color w:val="auto"/>
          <w:szCs w:val="21"/>
          <w:highlight w:val="none"/>
          <w:lang w:val="en-US" w:eastAsia="zh-CN"/>
        </w:rPr>
        <w:t>周巷镇“乡村振兴”保险服务采购项目</w:t>
      </w:r>
    </w:p>
    <w:p w14:paraId="7D520BE8">
      <w:pPr>
        <w:spacing w:line="400" w:lineRule="exact"/>
        <w:ind w:left="420" w:leftChars="200" w:firstLine="0" w:firstLineChars="0"/>
        <w:rPr>
          <w:rFonts w:hint="eastAsia" w:ascii="宋体" w:hAnsi="宋体" w:eastAsia="宋体"/>
          <w:b w:val="0"/>
          <w:bCs w:val="0"/>
          <w:color w:val="auto"/>
          <w:szCs w:val="21"/>
          <w:highlight w:val="none"/>
          <w:lang w:eastAsia="zh-CN"/>
        </w:rPr>
      </w:pPr>
      <w:r>
        <w:rPr>
          <w:rFonts w:hint="eastAsia" w:ascii="宋体" w:hAnsi="宋体"/>
          <w:b/>
          <w:bCs/>
          <w:color w:val="auto"/>
          <w:szCs w:val="21"/>
          <w:highlight w:val="none"/>
        </w:rPr>
        <w:t>数量:</w:t>
      </w:r>
      <w:r>
        <w:rPr>
          <w:rFonts w:hint="eastAsia" w:ascii="宋体" w:hAnsi="宋体"/>
          <w:b w:val="0"/>
          <w:bCs w:val="0"/>
          <w:color w:val="auto"/>
          <w:szCs w:val="21"/>
          <w:highlight w:val="none"/>
          <w:lang w:val="en-US" w:eastAsia="zh-CN"/>
        </w:rPr>
        <w:t>不限</w:t>
      </w:r>
      <w:r>
        <w:rPr>
          <w:rFonts w:hint="eastAsia" w:ascii="宋体" w:hAnsi="宋体"/>
          <w:b w:val="0"/>
          <w:bCs w:val="0"/>
          <w:color w:val="auto"/>
          <w:szCs w:val="21"/>
          <w:highlight w:val="none"/>
        </w:rPr>
        <w:t> </w:t>
      </w:r>
    </w:p>
    <w:p w14:paraId="53C2FFF3">
      <w:pPr>
        <w:spacing w:line="400" w:lineRule="exact"/>
        <w:ind w:left="420" w:leftChars="200" w:firstLine="0" w:firstLineChars="0"/>
        <w:rPr>
          <w:rFonts w:hint="default" w:ascii="宋体" w:hAnsi="宋体" w:eastAsia="宋体"/>
          <w:color w:val="auto"/>
          <w:szCs w:val="21"/>
          <w:highlight w:val="none"/>
          <w:lang w:val="en-US" w:eastAsia="zh-CN" w:bidi="ar"/>
        </w:rPr>
      </w:pPr>
      <w:r>
        <w:rPr>
          <w:rFonts w:hint="eastAsia" w:ascii="宋体" w:hAnsi="宋体"/>
          <w:b/>
          <w:bCs/>
          <w:color w:val="auto"/>
          <w:szCs w:val="21"/>
          <w:highlight w:val="none"/>
        </w:rPr>
        <w:t>预算金额（元）</w:t>
      </w:r>
      <w:r>
        <w:rPr>
          <w:rFonts w:hint="eastAsia" w:ascii="宋体" w:hAnsi="宋体"/>
          <w:b/>
          <w:bCs/>
          <w:color w:val="auto"/>
          <w:szCs w:val="21"/>
          <w:highlight w:val="none"/>
          <w:lang w:eastAsia="zh-CN"/>
        </w:rPr>
        <w:t>：</w:t>
      </w:r>
      <w:r>
        <w:rPr>
          <w:rFonts w:hint="eastAsia" w:ascii="宋体" w:hAnsi="宋体"/>
          <w:b w:val="0"/>
          <w:bCs w:val="0"/>
          <w:color w:val="auto"/>
          <w:szCs w:val="21"/>
          <w:highlight w:val="none"/>
          <w:lang w:val="en-US" w:eastAsia="zh-CN"/>
        </w:rPr>
        <w:t>600000</w:t>
      </w:r>
    </w:p>
    <w:p w14:paraId="5F3185F1">
      <w:pPr>
        <w:spacing w:line="400" w:lineRule="exact"/>
        <w:ind w:firstLine="422" w:firstLineChars="200"/>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bCs/>
          <w:color w:val="auto"/>
          <w:szCs w:val="21"/>
          <w:highlight w:val="none"/>
        </w:rPr>
        <w:t>简要规格描述或项目基本概况介绍、用途：</w:t>
      </w:r>
      <w:r>
        <w:rPr>
          <w:rFonts w:hint="eastAsia" w:ascii="宋体" w:hAnsi="宋体" w:eastAsia="宋体" w:cs="Times New Roman"/>
          <w:b w:val="0"/>
          <w:bCs w:val="0"/>
          <w:color w:val="auto"/>
          <w:szCs w:val="21"/>
          <w:highlight w:val="none"/>
        </w:rPr>
        <w:t>按采购人要求完成乡村居民公共安全</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困难群众救助</w:t>
      </w:r>
      <w:r>
        <w:rPr>
          <w:rFonts w:hint="eastAsia" w:ascii="宋体" w:hAnsi="宋体" w:cs="Times New Roman"/>
          <w:b w:val="0"/>
          <w:bCs w:val="0"/>
          <w:color w:val="auto"/>
          <w:szCs w:val="21"/>
          <w:highlight w:val="none"/>
          <w:lang w:val="en-US" w:eastAsia="zh-CN"/>
        </w:rPr>
        <w:t>等保险工作</w:t>
      </w:r>
      <w:r>
        <w:rPr>
          <w:rFonts w:hint="eastAsia" w:ascii="宋体" w:hAnsi="宋体" w:eastAsia="宋体" w:cs="Times New Roman"/>
          <w:b w:val="0"/>
          <w:bCs w:val="0"/>
          <w:color w:val="auto"/>
          <w:szCs w:val="21"/>
          <w:highlight w:val="none"/>
        </w:rPr>
        <w:t>。</w:t>
      </w:r>
    </w:p>
    <w:p w14:paraId="2188280F">
      <w:pPr>
        <w:spacing w:line="400" w:lineRule="exact"/>
        <w:ind w:firstLine="422" w:firstLineChars="200"/>
        <w:rPr>
          <w:rFonts w:hint="eastAsia" w:eastAsia="宋体"/>
          <w:color w:val="auto"/>
          <w:highlight w:val="none"/>
          <w:lang w:val="en-US" w:eastAsia="zh-CN"/>
        </w:rPr>
      </w:pPr>
      <w:r>
        <w:rPr>
          <w:rFonts w:hint="eastAsia" w:ascii="宋体" w:hAnsi="宋体"/>
          <w:b/>
          <w:bCs/>
          <w:color w:val="auto"/>
          <w:szCs w:val="21"/>
          <w:highlight w:val="none"/>
        </w:rPr>
        <w:t>备注</w:t>
      </w:r>
      <w:r>
        <w:rPr>
          <w:rFonts w:hint="eastAsia" w:ascii="宋体" w:hAnsi="宋体" w:eastAsia="宋体" w:cs="Times New Roman"/>
          <w:b/>
          <w:bCs/>
          <w:color w:val="auto"/>
          <w:szCs w:val="21"/>
          <w:highlight w:val="none"/>
          <w:lang w:val="en-US" w:eastAsia="zh-CN"/>
        </w:rPr>
        <w:t>：</w:t>
      </w:r>
      <w:r>
        <w:rPr>
          <w:rFonts w:hint="eastAsia" w:ascii="宋体" w:hAnsi="宋体" w:eastAsia="宋体" w:cs="Times New Roman"/>
          <w:b w:val="0"/>
          <w:bCs w:val="0"/>
          <w:color w:val="auto"/>
          <w:szCs w:val="21"/>
          <w:highlight w:val="none"/>
          <w:lang w:val="en-US" w:eastAsia="zh-CN"/>
        </w:rPr>
        <w:t>无</w:t>
      </w:r>
    </w:p>
    <w:p w14:paraId="472A34D0">
      <w:pPr>
        <w:spacing w:line="400" w:lineRule="exact"/>
        <w:ind w:firstLine="422"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bCs/>
          <w:color w:val="auto"/>
          <w:szCs w:val="21"/>
          <w:highlight w:val="none"/>
          <w:lang w:eastAsia="zh-CN"/>
        </w:rPr>
        <w:t>合同履行期限</w:t>
      </w:r>
      <w:r>
        <w:rPr>
          <w:rFonts w:hint="eastAsia" w:ascii="宋体" w:hAnsi="宋体" w:eastAsia="宋体" w:cs="Times New Roman"/>
          <w:b/>
          <w:bCs/>
          <w:color w:val="auto"/>
          <w:szCs w:val="21"/>
          <w:highlight w:val="none"/>
          <w:lang w:val="en-US" w:eastAsia="zh-CN"/>
        </w:rPr>
        <w:t>:标项1，</w:t>
      </w:r>
      <w:r>
        <w:rPr>
          <w:rFonts w:hint="eastAsia" w:ascii="宋体" w:hAnsi="宋体" w:cs="宋体"/>
          <w:color w:val="auto"/>
          <w:kern w:val="0"/>
          <w:szCs w:val="21"/>
          <w:highlight w:val="none"/>
        </w:rPr>
        <w:t>服务期限三年，合同一年一签。第一年度合同期满后，经采购人考核合格，可续签下一年度合同，最多可续签二次</w:t>
      </w:r>
      <w:r>
        <w:rPr>
          <w:rFonts w:hint="eastAsia" w:ascii="宋体" w:hAnsi="宋体" w:eastAsia="宋体" w:cs="Times New Roman"/>
          <w:b w:val="0"/>
          <w:bCs w:val="0"/>
          <w:color w:val="auto"/>
          <w:szCs w:val="21"/>
          <w:highlight w:val="none"/>
          <w:lang w:val="en-US" w:eastAsia="zh-CN"/>
        </w:rPr>
        <w:t>。</w:t>
      </w:r>
    </w:p>
    <w:p w14:paraId="7CE6AA06">
      <w:pPr>
        <w:spacing w:line="400" w:lineRule="exact"/>
        <w:ind w:firstLine="422" w:firstLineChars="200"/>
        <w:rPr>
          <w:rFonts w:hint="eastAsia" w:ascii="宋体" w:hAnsi="宋体" w:eastAsia="宋体" w:cs="Times New Roman"/>
          <w:b w:val="0"/>
          <w:bCs w:val="0"/>
          <w:color w:val="auto"/>
          <w:szCs w:val="21"/>
          <w:highlight w:val="none"/>
          <w:lang w:val="en-US" w:eastAsia="zh-CN"/>
        </w:rPr>
      </w:pPr>
      <w:r>
        <w:rPr>
          <w:rFonts w:hint="eastAsia" w:ascii="宋体" w:hAnsi="宋体" w:cs="宋体"/>
          <w:b/>
          <w:bCs/>
          <w:color w:val="auto"/>
          <w:szCs w:val="21"/>
          <w:highlight w:val="none"/>
        </w:rPr>
        <w:t>本项目是否接受联合体投标：</w:t>
      </w:r>
      <w:r>
        <w:rPr>
          <w:rFonts w:hint="eastAsia" w:ascii="宋体" w:hAnsi="宋体" w:cs="宋体"/>
          <w:color w:val="auto"/>
          <w:szCs w:val="21"/>
          <w:highlight w:val="none"/>
        </w:rPr>
        <w:t>否。</w:t>
      </w:r>
    </w:p>
    <w:p w14:paraId="2F1EAF54">
      <w:pPr>
        <w:spacing w:line="400" w:lineRule="exact"/>
        <w:rPr>
          <w:rFonts w:hint="eastAsia" w:ascii="宋体" w:hAnsi="宋体" w:cs="宋体"/>
          <w:b/>
          <w:bCs/>
          <w:color w:val="auto"/>
          <w:szCs w:val="21"/>
          <w:highlight w:val="none"/>
        </w:rPr>
      </w:pPr>
      <w:r>
        <w:rPr>
          <w:rFonts w:hint="eastAsia" w:ascii="宋体" w:hAnsi="宋体"/>
          <w:b/>
          <w:bCs/>
          <w:color w:val="auto"/>
          <w:szCs w:val="21"/>
          <w:highlight w:val="none"/>
          <w:lang w:eastAsia="zh-CN"/>
        </w:rPr>
        <w:t>二、</w:t>
      </w:r>
      <w:r>
        <w:rPr>
          <w:rFonts w:hint="eastAsia" w:ascii="宋体" w:hAnsi="宋体" w:cs="宋体"/>
          <w:b/>
          <w:bCs/>
          <w:color w:val="auto"/>
          <w:szCs w:val="21"/>
          <w:highlight w:val="none"/>
        </w:rPr>
        <w:t>申请人的资格要求：</w:t>
      </w:r>
    </w:p>
    <w:p w14:paraId="62781EE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满足《中华人民共和国政府采购法》第二十二条规定；未被“信用中国”（www.creditchina.gov.cn)、中国政府采购网（www.ccgp.gov.cn）列入失信被执行人、重大税收违法案件当事人名单、政府采购严重违法失信行为记录名单。</w:t>
      </w:r>
    </w:p>
    <w:p w14:paraId="54053B1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2.落实政府采购政策需满足的资格要求：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cs="BatangChe"/>
          <w:color w:val="auto"/>
          <w:kern w:val="0"/>
          <w:szCs w:val="21"/>
          <w:highlight w:val="none"/>
          <w:u w:val="single"/>
        </w:rPr>
        <w:t xml:space="preserve">。 </w:t>
      </w:r>
      <w:r>
        <w:rPr>
          <w:rFonts w:hint="eastAsia" w:ascii="宋体" w:hAnsi="宋体" w:cs="宋体"/>
          <w:color w:val="auto"/>
          <w:szCs w:val="21"/>
          <w:highlight w:val="none"/>
          <w:lang w:val="en-US" w:eastAsia="zh-CN"/>
        </w:rPr>
        <w:t> </w:t>
      </w:r>
    </w:p>
    <w:p w14:paraId="1CABCE9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Cs w:val="21"/>
          <w:highlight w:val="none"/>
          <w:u w:val="none"/>
          <w:lang w:val="en-US" w:eastAsia="zh-CN"/>
        </w:rPr>
      </w:pPr>
      <w:r>
        <w:rPr>
          <w:rFonts w:hint="eastAsia" w:ascii="宋体" w:hAnsi="宋体" w:cs="宋体"/>
          <w:b w:val="0"/>
          <w:bCs w:val="0"/>
          <w:color w:val="auto"/>
          <w:szCs w:val="21"/>
          <w:highlight w:val="none"/>
          <w:lang w:val="en-US" w:eastAsia="zh-CN"/>
        </w:rPr>
        <w:t>3.本项目的特定资格要求：</w:t>
      </w:r>
      <w:r>
        <w:rPr>
          <w:rFonts w:hint="eastAsia" w:ascii="宋体" w:hAnsi="宋体" w:cs="宋体"/>
          <w:color w:val="auto"/>
          <w:szCs w:val="21"/>
          <w:highlight w:val="none"/>
          <w:u w:val="single"/>
          <w:lang w:val="en-US" w:eastAsia="zh-CN"/>
        </w:rPr>
        <w:t>标项1：供应商须为经中国保险监督管理委员会批准，具有《中华人民共和国经营保险业务许可证》的保险公司或其分支机构</w:t>
      </w:r>
      <w:r>
        <w:rPr>
          <w:rFonts w:hint="eastAsia" w:ascii="宋体" w:hAnsi="宋体" w:cs="宋体"/>
          <w:b w:val="0"/>
          <w:bCs w:val="0"/>
          <w:color w:val="auto"/>
          <w:szCs w:val="21"/>
          <w:highlight w:val="none"/>
          <w:lang w:val="en-US" w:eastAsia="zh-CN"/>
        </w:rPr>
        <w:t>。 </w:t>
      </w:r>
    </w:p>
    <w:p w14:paraId="16BF8898">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p>
    <w:p w14:paraId="1839D6C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日。每天上午00:00至12:00 ，下午12:00至23:59（北京时间，线上获取法定节假日均可，线下获取文件法定节假日除外）。</w:t>
      </w:r>
    </w:p>
    <w:p w14:paraId="7F7C3798">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地点（网址）：政采云平台线上获取</w:t>
      </w:r>
      <w:r>
        <w:rPr>
          <w:rFonts w:hint="eastAsia" w:ascii="宋体" w:hAnsi="宋体" w:cs="宋体"/>
          <w:color w:val="auto"/>
          <w:szCs w:val="21"/>
          <w:highlight w:val="none"/>
          <w:lang w:eastAsia="zh-CN"/>
        </w:rPr>
        <w:t>。</w:t>
      </w:r>
    </w:p>
    <w:p w14:paraId="5A37033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color w:val="auto"/>
          <w:szCs w:val="21"/>
        </w:rPr>
        <w:t>供应商登录政采云平台在线申请获取采购文件（进入“项目采购”应用，在获取采购文件菜单中选择项目，申请获取采购文件）。</w:t>
      </w:r>
    </w:p>
    <w:p w14:paraId="3873AB55">
      <w:pPr>
        <w:spacing w:line="38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p>
    <w:p w14:paraId="47A63D72">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lang w:eastAsia="zh-CN"/>
        </w:rPr>
        <w:t>四</w:t>
      </w:r>
      <w:r>
        <w:rPr>
          <w:rFonts w:hint="eastAsia" w:ascii="宋体" w:hAnsi="宋体"/>
          <w:b/>
          <w:bCs/>
          <w:color w:val="auto"/>
          <w:szCs w:val="21"/>
          <w:highlight w:val="none"/>
        </w:rPr>
        <w:t>、</w:t>
      </w:r>
      <w:r>
        <w:rPr>
          <w:rFonts w:hint="eastAsia" w:ascii="宋体" w:hAnsi="宋体" w:cs="宋体"/>
          <w:b/>
          <w:bCs/>
          <w:color w:val="auto"/>
          <w:szCs w:val="21"/>
          <w:highlight w:val="none"/>
        </w:rPr>
        <w:t>提交投标文件截止时间、开标时间和地点</w:t>
      </w:r>
      <w:r>
        <w:rPr>
          <w:rFonts w:hint="eastAsia" w:ascii="宋体" w:hAnsi="宋体"/>
          <w:b/>
          <w:bCs/>
          <w:color w:val="auto"/>
          <w:szCs w:val="21"/>
          <w:highlight w:val="none"/>
        </w:rPr>
        <w:t>：</w:t>
      </w:r>
    </w:p>
    <w:p w14:paraId="073EF32F">
      <w:pPr>
        <w:pStyle w:val="2"/>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提交投标文件截止时间：2025年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eastAsia="zh-CN"/>
        </w:rPr>
        <w:t>月</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日</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lang w:eastAsia="zh-CN"/>
        </w:rPr>
        <w:t>:30（北京时间）</w:t>
      </w:r>
    </w:p>
    <w:p w14:paraId="5908DD7C">
      <w:pPr>
        <w:pStyle w:val="2"/>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投标地点（网址）：政采云平台开标大厅</w:t>
      </w:r>
    </w:p>
    <w:p w14:paraId="147A17FA">
      <w:pPr>
        <w:pStyle w:val="2"/>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开标时间：2025年</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eastAsia="zh-CN"/>
        </w:rPr>
        <w:t>月</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日</w:t>
      </w:r>
      <w:r>
        <w:rPr>
          <w:rFonts w:hint="eastAsia" w:ascii="宋体" w:hAnsi="宋体" w:eastAsia="宋体"/>
          <w:color w:val="auto"/>
          <w:sz w:val="21"/>
          <w:szCs w:val="21"/>
          <w:highlight w:val="none"/>
          <w:lang w:val="en-US" w:eastAsia="zh-CN"/>
        </w:rPr>
        <w:t>9</w:t>
      </w:r>
      <w:bookmarkStart w:id="89" w:name="_GoBack"/>
      <w:bookmarkEnd w:id="89"/>
      <w:r>
        <w:rPr>
          <w:rFonts w:hint="eastAsia" w:ascii="宋体" w:hAnsi="宋体" w:eastAsia="宋体"/>
          <w:color w:val="auto"/>
          <w:sz w:val="21"/>
          <w:szCs w:val="21"/>
          <w:highlight w:val="none"/>
          <w:lang w:eastAsia="zh-CN"/>
        </w:rPr>
        <w:t xml:space="preserve">:30 </w:t>
      </w:r>
    </w:p>
    <w:p w14:paraId="729EDFA7">
      <w:pPr>
        <w:pStyle w:val="2"/>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开标地点（网址）：慈溪市公共资源交易中心第</w:t>
      </w:r>
      <w:r>
        <w:rPr>
          <w:rFonts w:hint="eastAsia" w:ascii="宋体" w:hAnsi="宋体" w:eastAsia="宋体"/>
          <w:color w:val="auto"/>
          <w:sz w:val="21"/>
          <w:szCs w:val="21"/>
          <w:highlight w:val="none"/>
          <w:lang w:val="en-US" w:eastAsia="zh-CN"/>
        </w:rPr>
        <w:t>四</w:t>
      </w:r>
      <w:r>
        <w:rPr>
          <w:rFonts w:hint="eastAsia" w:ascii="宋体" w:hAnsi="宋体" w:eastAsia="宋体"/>
          <w:color w:val="auto"/>
          <w:sz w:val="21"/>
          <w:szCs w:val="21"/>
          <w:highlight w:val="none"/>
          <w:lang w:eastAsia="zh-CN"/>
        </w:rPr>
        <w:t>开标室</w:t>
      </w:r>
    </w:p>
    <w:p w14:paraId="52B6F8E0">
      <w:pPr>
        <w:numPr>
          <w:ilvl w:val="0"/>
          <w:numId w:val="0"/>
        </w:numPr>
        <w:spacing w:line="400" w:lineRule="exact"/>
        <w:jc w:val="left"/>
        <w:rPr>
          <w:rFonts w:hint="eastAsia" w:ascii="宋体" w:hAnsi="宋体" w:cs="仿宋_GB2312"/>
          <w:b/>
          <w:bCs w:val="0"/>
          <w:color w:val="auto"/>
          <w:szCs w:val="21"/>
          <w:highlight w:val="none"/>
          <w:lang w:eastAsia="zh-CN"/>
        </w:rPr>
      </w:pPr>
      <w:r>
        <w:rPr>
          <w:rFonts w:hint="eastAsia" w:ascii="宋体" w:hAnsi="宋体" w:cs="仿宋_GB2312"/>
          <w:b/>
          <w:bCs w:val="0"/>
          <w:color w:val="auto"/>
          <w:szCs w:val="21"/>
          <w:highlight w:val="none"/>
          <w:lang w:eastAsia="zh-CN"/>
        </w:rPr>
        <w:t>五、公告期限</w:t>
      </w:r>
      <w:r>
        <w:rPr>
          <w:rFonts w:hint="eastAsia" w:ascii="宋体" w:hAnsi="宋体" w:cs="仿宋_GB2312"/>
          <w:b/>
          <w:bCs w:val="0"/>
          <w:color w:val="auto"/>
          <w:szCs w:val="21"/>
          <w:highlight w:val="none"/>
          <w:lang w:val="en-US" w:eastAsia="zh-CN"/>
        </w:rPr>
        <w:t xml:space="preserve">  </w:t>
      </w:r>
    </w:p>
    <w:p w14:paraId="75F0C4D4">
      <w:pPr>
        <w:numPr>
          <w:ilvl w:val="0"/>
          <w:numId w:val="0"/>
        </w:numPr>
        <w:spacing w:line="400" w:lineRule="exact"/>
        <w:ind w:firstLine="420" w:firstLineChars="200"/>
        <w:jc w:val="left"/>
        <w:rPr>
          <w:rFonts w:hint="eastAsia" w:ascii="宋体" w:hAnsi="宋体" w:cs="仿宋_GB2312"/>
          <w:b/>
          <w:bCs w:val="0"/>
          <w:color w:val="auto"/>
          <w:szCs w:val="21"/>
          <w:highlight w:val="none"/>
          <w:lang w:eastAsia="zh-CN"/>
        </w:rPr>
      </w:pPr>
      <w:r>
        <w:rPr>
          <w:rFonts w:hint="eastAsia" w:ascii="宋体" w:hAnsi="宋体" w:eastAsia="宋体" w:cs="宋体"/>
          <w:color w:val="auto"/>
          <w:highlight w:val="none"/>
        </w:rPr>
        <w:t>自本公告发布之日起5个工作日。</w:t>
      </w:r>
    </w:p>
    <w:p w14:paraId="65AB385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、其他</w:t>
      </w:r>
      <w:r>
        <w:rPr>
          <w:rFonts w:hint="eastAsia" w:ascii="宋体" w:hAnsi="宋体" w:cs="宋体"/>
          <w:b/>
          <w:color w:val="auto"/>
          <w:szCs w:val="21"/>
          <w:highlight w:val="none"/>
          <w:lang w:eastAsia="zh-CN"/>
        </w:rPr>
        <w:t>补充事宜</w:t>
      </w:r>
      <w:r>
        <w:rPr>
          <w:rFonts w:hint="eastAsia" w:ascii="宋体" w:hAnsi="宋体" w:cs="宋体"/>
          <w:b/>
          <w:color w:val="auto"/>
          <w:szCs w:val="21"/>
          <w:highlight w:val="none"/>
        </w:rPr>
        <w:t>：</w:t>
      </w:r>
    </w:p>
    <w:p w14:paraId="5CD70A19">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222F5F8">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7949ED">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21C6D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.其他事项：</w:t>
      </w:r>
    </w:p>
    <w:p w14:paraId="0C97DE7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r>
        <w:rPr>
          <w:rFonts w:hint="eastAsia" w:ascii="宋体" w:hAnsi="宋体" w:cs="宋体"/>
          <w:color w:val="auto"/>
          <w:szCs w:val="21"/>
          <w:highlight w:val="none"/>
          <w:lang w:bidi="ar"/>
        </w:rPr>
        <w:t>单位负责人为同一人或者存在直接控股、管理关系的不同供应商，不得参加同一标项的投标；</w:t>
      </w:r>
    </w:p>
    <w:p w14:paraId="669E467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.2为本项目提供整体设计、规范编制或者项目管理、监理、检测等服务的供应商，不得再参加本项目的投标；</w:t>
      </w:r>
    </w:p>
    <w:p w14:paraId="690538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4.3公益一类事业单位不属于政府购买服务的承接主体，不得参与承接政府购买服务。</w:t>
      </w:r>
    </w:p>
    <w:p w14:paraId="561680C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落实政府采购政策：</w:t>
      </w:r>
      <w:r>
        <w:rPr>
          <w:rFonts w:hint="eastAsia" w:ascii="宋体" w:hAnsi="宋体"/>
          <w:color w:val="auto"/>
          <w:szCs w:val="21"/>
          <w:highlight w:val="none"/>
        </w:rPr>
        <w:t>《政府采购促进中小企业发展管理办法》（财库〔2020〕46号）</w:t>
      </w:r>
      <w:r>
        <w:rPr>
          <w:rFonts w:hint="eastAsia" w:ascii="宋体" w:hAnsi="宋体" w:cs="宋体"/>
          <w:color w:val="auto"/>
          <w:szCs w:val="21"/>
          <w:highlight w:val="none"/>
        </w:rPr>
        <w:t>、《关于政府采购支持监狱企业发展有关问题的通知》(财库[2014]68号)、《关于促进残疾人就业政府采购政策的通知》（财库[2017]141号）。</w:t>
      </w:r>
    </w:p>
    <w:p w14:paraId="290D82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本项目为不见面开评标项目</w:t>
      </w:r>
      <w:r>
        <w:rPr>
          <w:rFonts w:hint="eastAsia" w:ascii="宋体" w:hAnsi="宋体" w:cs="宋体"/>
          <w:color w:val="auto"/>
          <w:szCs w:val="21"/>
          <w:highlight w:val="none"/>
          <w:lang w:bidi="ar"/>
        </w:rPr>
        <w:t>，投标人员</w:t>
      </w:r>
      <w:r>
        <w:rPr>
          <w:rFonts w:hint="eastAsia" w:ascii="宋体" w:hAnsi="宋体" w:cs="宋体"/>
          <w:color w:val="auto"/>
          <w:szCs w:val="21"/>
          <w:highlight w:val="none"/>
          <w:lang w:eastAsia="zh-CN" w:bidi="ar"/>
        </w:rPr>
        <w:t>无须</w:t>
      </w:r>
      <w:r>
        <w:rPr>
          <w:rFonts w:hint="eastAsia" w:ascii="宋体" w:hAnsi="宋体" w:cs="宋体"/>
          <w:color w:val="auto"/>
          <w:szCs w:val="21"/>
          <w:highlight w:val="none"/>
          <w:lang w:bidi="ar"/>
        </w:rPr>
        <w:t>到场参加现场开标。</w:t>
      </w:r>
    </w:p>
    <w:p w14:paraId="4760498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招标文件及更正补充公告请自行登录浙江政府采购网，在招标公告及更正公告页面中下载。</w:t>
      </w:r>
    </w:p>
    <w:p w14:paraId="54AB6969">
      <w:pPr>
        <w:spacing w:line="400" w:lineRule="exact"/>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olor w:val="auto"/>
          <w:szCs w:val="21"/>
          <w:highlight w:val="none"/>
        </w:rPr>
        <w:t>未获取招标文件者的投标将被拒绝。</w:t>
      </w:r>
    </w:p>
    <w:p w14:paraId="12A3ED15">
      <w:pPr>
        <w:spacing w:line="400" w:lineRule="exact"/>
        <w:rPr>
          <w:rFonts w:hint="eastAsia" w:ascii="宋体" w:hAnsi="宋体" w:cs="宋体"/>
          <w:b/>
          <w:bCs/>
          <w:color w:val="auto"/>
          <w:szCs w:val="21"/>
          <w:highlight w:val="none"/>
        </w:rPr>
      </w:pPr>
      <w:r>
        <w:rPr>
          <w:rFonts w:hint="eastAsia" w:ascii="宋体" w:hAnsi="宋体"/>
          <w:b/>
          <w:bCs/>
          <w:color w:val="auto"/>
          <w:szCs w:val="21"/>
          <w:highlight w:val="none"/>
          <w:lang w:eastAsia="zh-CN"/>
        </w:rPr>
        <w:t>七</w:t>
      </w:r>
      <w:r>
        <w:rPr>
          <w:rFonts w:hint="eastAsia" w:ascii="宋体" w:hAnsi="宋体"/>
          <w:b/>
          <w:bCs/>
          <w:color w:val="auto"/>
          <w:szCs w:val="21"/>
          <w:highlight w:val="none"/>
        </w:rPr>
        <w:t>、</w:t>
      </w:r>
      <w:r>
        <w:rPr>
          <w:rFonts w:hint="eastAsia" w:ascii="宋体" w:hAnsi="宋体" w:eastAsia="宋体" w:cs="宋体"/>
          <w:b/>
          <w:bCs/>
          <w:color w:val="auto"/>
          <w:sz w:val="21"/>
          <w:szCs w:val="21"/>
          <w:highlight w:val="none"/>
        </w:rPr>
        <w:t>对本次招标提出询问，请按</w:t>
      </w:r>
      <w:r>
        <w:rPr>
          <w:rFonts w:ascii="宋体" w:hAnsi="宋体" w:eastAsia="宋体" w:cs="宋体"/>
          <w:b/>
          <w:bCs/>
          <w:color w:val="auto"/>
          <w:sz w:val="21"/>
          <w:szCs w:val="21"/>
          <w:highlight w:val="none"/>
        </w:rPr>
        <w:t>以下方式</w:t>
      </w:r>
      <w:r>
        <w:rPr>
          <w:rFonts w:hint="eastAsia" w:ascii="宋体" w:hAnsi="宋体" w:eastAsia="宋体" w:cs="宋体"/>
          <w:b/>
          <w:bCs/>
          <w:color w:val="auto"/>
          <w:sz w:val="21"/>
          <w:szCs w:val="21"/>
          <w:highlight w:val="none"/>
        </w:rPr>
        <w:t>联系</w:t>
      </w:r>
      <w:r>
        <w:rPr>
          <w:rFonts w:hint="eastAsia" w:ascii="宋体" w:hAnsi="宋体" w:cs="宋体"/>
          <w:b/>
          <w:bCs/>
          <w:color w:val="auto"/>
          <w:szCs w:val="21"/>
          <w:highlight w:val="none"/>
        </w:rPr>
        <w:t>：</w:t>
      </w:r>
    </w:p>
    <w:p w14:paraId="1AEC932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34D91F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仿宋_GB2312"/>
          <w:bCs/>
          <w:color w:val="auto"/>
          <w:szCs w:val="21"/>
          <w:highlight w:val="none"/>
          <w:lang w:eastAsia="zh-CN"/>
        </w:rPr>
        <w:t>慈溪市周巷镇人民政府</w:t>
      </w:r>
      <w:r>
        <w:rPr>
          <w:rFonts w:hint="eastAsia" w:ascii="宋体" w:hAnsi="宋体" w:cs="宋体"/>
          <w:color w:val="auto"/>
          <w:szCs w:val="21"/>
          <w:highlight w:val="none"/>
        </w:rPr>
        <w:t>　</w:t>
      </w:r>
    </w:p>
    <w:p w14:paraId="4EA6A842">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eastAsia="宋体" w:cs="仿宋_GB2312"/>
          <w:bCs/>
          <w:color w:val="auto"/>
          <w:szCs w:val="21"/>
          <w:highlight w:val="none"/>
          <w:lang w:eastAsia="zh-CN"/>
        </w:rPr>
        <w:t>宁波市慈溪市周巷镇环城北路428号</w:t>
      </w:r>
    </w:p>
    <w:p w14:paraId="4936D58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传真：/  </w:t>
      </w:r>
    </w:p>
    <w:p w14:paraId="7AA263C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：戚老师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7558251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0574-63720407</w:t>
      </w:r>
      <w:r>
        <w:rPr>
          <w:rFonts w:hint="eastAsia" w:ascii="宋体" w:hAnsi="宋体" w:cs="仿宋_GB2312"/>
          <w:bCs/>
          <w:color w:val="auto"/>
          <w:szCs w:val="21"/>
          <w:highlight w:val="none"/>
          <w:lang w:val="en-US" w:eastAsia="zh-CN"/>
        </w:rPr>
        <w:t xml:space="preserve"> </w:t>
      </w:r>
    </w:p>
    <w:p w14:paraId="0B1536D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质疑联系人：吴老师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18566F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0574-</w:t>
      </w:r>
      <w:r>
        <w:rPr>
          <w:rFonts w:hint="eastAsia" w:ascii="宋体" w:hAnsi="宋体" w:cs="宋体"/>
          <w:color w:val="auto"/>
          <w:szCs w:val="21"/>
          <w:highlight w:val="none"/>
        </w:rPr>
        <w:t>63720129</w:t>
      </w:r>
      <w:r>
        <w:rPr>
          <w:rFonts w:hint="eastAsia" w:ascii="宋体" w:hAnsi="宋体" w:cs="仿宋_GB2312"/>
          <w:bCs/>
          <w:color w:val="auto"/>
          <w:szCs w:val="21"/>
          <w:highlight w:val="none"/>
          <w:lang w:val="en-US" w:eastAsia="zh-CN"/>
        </w:rPr>
        <w:t xml:space="preserve"> </w:t>
      </w:r>
    </w:p>
    <w:p w14:paraId="379595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8A6FFD4">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浙江天诚工程咨询有限公司</w:t>
      </w:r>
    </w:p>
    <w:p w14:paraId="77579501">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地址：慈溪市古塘街道</w:t>
      </w:r>
      <w:r>
        <w:rPr>
          <w:rFonts w:hint="eastAsia" w:ascii="宋体" w:hAnsi="宋体" w:cs="宋体"/>
          <w:color w:val="auto"/>
          <w:szCs w:val="21"/>
          <w:highlight w:val="none"/>
          <w:lang w:eastAsia="zh-CN"/>
        </w:rPr>
        <w:t>海关北路</w:t>
      </w:r>
      <w:r>
        <w:rPr>
          <w:rFonts w:hint="eastAsia" w:ascii="宋体" w:hAnsi="宋体" w:cs="宋体"/>
          <w:color w:val="auto"/>
          <w:szCs w:val="21"/>
          <w:highlight w:val="none"/>
          <w:lang w:val="en-US" w:eastAsia="zh-CN"/>
        </w:rPr>
        <w:t>511号</w:t>
      </w:r>
    </w:p>
    <w:p w14:paraId="4E15922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w:t>
      </w:r>
    </w:p>
    <w:p w14:paraId="6ABFD1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李皓琛</w:t>
      </w:r>
      <w:r>
        <w:rPr>
          <w:rFonts w:hint="eastAsia" w:ascii="宋体" w:hAnsi="宋体" w:cs="宋体"/>
          <w:color w:val="auto"/>
          <w:szCs w:val="21"/>
          <w:highlight w:val="none"/>
        </w:rPr>
        <w:t xml:space="preserve">            </w:t>
      </w:r>
    </w:p>
    <w:p w14:paraId="6811F9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项目联系方式（询问）：0574-63086120 </w:t>
      </w:r>
    </w:p>
    <w:p w14:paraId="211446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质疑联系人：缪臻            </w:t>
      </w:r>
    </w:p>
    <w:p w14:paraId="5124D60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质疑联系方式：0574-63086120 　</w:t>
      </w:r>
    </w:p>
    <w:p w14:paraId="542F24E7">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同级政府采购监督管理部门：慈溪市财政局</w:t>
      </w:r>
    </w:p>
    <w:p w14:paraId="796D5F4D">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联系人：胡老师</w:t>
      </w:r>
    </w:p>
    <w:p w14:paraId="000CC7B7">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监督投诉电话：0574-63912958</w:t>
      </w:r>
    </w:p>
    <w:p w14:paraId="3013B1A2">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地址：慈溪市南二环东路1158号6楼619室</w:t>
      </w:r>
    </w:p>
    <w:p w14:paraId="38F2382E">
      <w:pPr>
        <w:spacing w:line="400" w:lineRule="exact"/>
        <w:ind w:firstLine="420" w:firstLineChars="200"/>
        <w:rPr>
          <w:rFonts w:hint="default"/>
          <w:color w:val="auto"/>
          <w:highlight w:val="none"/>
          <w:lang w:val="en-US" w:eastAsia="zh-CN"/>
        </w:rPr>
      </w:pPr>
    </w:p>
    <w:p w14:paraId="43CB34E7">
      <w:pPr>
        <w:spacing w:line="400" w:lineRule="exact"/>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0D459059">
      <w:pPr>
        <w:spacing w:line="400" w:lineRule="exact"/>
        <w:rPr>
          <w:rFonts w:hint="eastAsia" w:ascii="宋体" w:hAnsi="宋体"/>
          <w:color w:val="auto"/>
          <w:sz w:val="36"/>
          <w:szCs w:val="36"/>
          <w:highlight w:val="none"/>
        </w:rPr>
      </w:pPr>
      <w:r>
        <w:rPr>
          <w:rFonts w:hint="eastAsia" w:ascii="宋体" w:hAnsi="宋体" w:cs="宋体"/>
          <w:color w:val="auto"/>
          <w:szCs w:val="21"/>
          <w:highlight w:val="none"/>
          <w:lang w:val="en-US" w:eastAsia="zh-CN" w:bidi="ar"/>
        </w:rPr>
        <w:t>CA问题联系电话（人工）：汇信CA 400-888-4636；天谷CA 400-087-8198。</w:t>
      </w:r>
    </w:p>
    <w:p w14:paraId="3D00D95B">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36"/>
          <w:szCs w:val="36"/>
          <w:highlight w:val="none"/>
        </w:rPr>
      </w:pPr>
      <w:bookmarkStart w:id="1" w:name="_Toc17639"/>
    </w:p>
    <w:p w14:paraId="61F0B610">
      <w:pPr>
        <w:pStyle w:val="2"/>
        <w:ind w:left="0" w:leftChars="0" w:firstLine="0" w:firstLineChars="0"/>
        <w:rPr>
          <w:rFonts w:hint="eastAsia" w:ascii="宋体" w:hAnsi="宋体"/>
          <w:color w:val="auto"/>
          <w:sz w:val="36"/>
          <w:szCs w:val="36"/>
          <w:highlight w:val="none"/>
        </w:rPr>
      </w:pPr>
    </w:p>
    <w:p w14:paraId="6384B091">
      <w:pPr>
        <w:rPr>
          <w:rFonts w:hint="eastAsia" w:ascii="宋体" w:hAnsi="宋体"/>
          <w:color w:val="auto"/>
          <w:sz w:val="36"/>
          <w:szCs w:val="36"/>
          <w:highlight w:val="none"/>
        </w:rPr>
      </w:pPr>
    </w:p>
    <w:p w14:paraId="660EC04A">
      <w:pPr>
        <w:rPr>
          <w:rFonts w:hint="eastAsia" w:ascii="宋体" w:hAnsi="宋体"/>
          <w:color w:val="auto"/>
          <w:sz w:val="36"/>
          <w:szCs w:val="36"/>
          <w:highlight w:val="none"/>
        </w:rPr>
      </w:pPr>
    </w:p>
    <w:p w14:paraId="3A0D02A5">
      <w:pPr>
        <w:rPr>
          <w:rFonts w:hint="eastAsia" w:ascii="宋体" w:hAnsi="宋体"/>
          <w:color w:val="auto"/>
          <w:sz w:val="36"/>
          <w:szCs w:val="36"/>
          <w:highlight w:val="none"/>
        </w:rPr>
      </w:pPr>
    </w:p>
    <w:p w14:paraId="49C35BEC">
      <w:pPr>
        <w:rPr>
          <w:rFonts w:hint="eastAsia"/>
        </w:rPr>
      </w:pPr>
    </w:p>
    <w:p w14:paraId="3C6DEF62">
      <w:pPr>
        <w:pStyle w:val="5"/>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36"/>
          <w:szCs w:val="36"/>
          <w:highlight w:val="none"/>
        </w:rPr>
      </w:pPr>
      <w:r>
        <w:rPr>
          <w:rFonts w:hint="eastAsia" w:ascii="宋体" w:hAnsi="宋体"/>
          <w:color w:val="auto"/>
          <w:sz w:val="36"/>
          <w:szCs w:val="36"/>
          <w:highlight w:val="none"/>
        </w:rPr>
        <w:t>第二章  投标须知</w:t>
      </w:r>
      <w:bookmarkEnd w:id="1"/>
    </w:p>
    <w:p w14:paraId="199AF4B1">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一、适用范围</w:t>
      </w:r>
    </w:p>
    <w:p w14:paraId="54E9A2E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本招标文件仅适用于本采购项目所叙述的货物（服务）的招标、评标、定标、验收、合同履约、付款等（法律、法规另有规定的，从其规定）。</w:t>
      </w:r>
    </w:p>
    <w:p w14:paraId="274A2892">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二、定义</w:t>
      </w:r>
    </w:p>
    <w:p w14:paraId="4F97C170">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1、“采购人”系指</w:t>
      </w:r>
      <w:r>
        <w:rPr>
          <w:rFonts w:hint="eastAsia"/>
          <w:color w:val="auto"/>
          <w:sz w:val="21"/>
          <w:szCs w:val="21"/>
          <w:highlight w:val="none"/>
          <w:lang w:eastAsia="zh-CN"/>
        </w:rPr>
        <w:t>慈溪市周巷镇人民政府</w:t>
      </w:r>
      <w:r>
        <w:rPr>
          <w:rFonts w:hint="eastAsia" w:ascii="宋体" w:hAnsi="宋体" w:cs="宋体"/>
          <w:color w:val="auto"/>
          <w:szCs w:val="21"/>
          <w:highlight w:val="none"/>
          <w:lang w:bidi="ar"/>
        </w:rPr>
        <w:t>。</w:t>
      </w:r>
    </w:p>
    <w:p w14:paraId="1989722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eastAsia="宋体" w:cs="仿宋_GB2312"/>
          <w:bCs/>
          <w:color w:val="auto"/>
          <w:szCs w:val="21"/>
          <w:highlight w:val="none"/>
        </w:rPr>
        <w:t>“代理机构”系指</w:t>
      </w:r>
      <w:r>
        <w:rPr>
          <w:rFonts w:hint="eastAsia" w:ascii="宋体" w:hAnsi="宋体" w:eastAsia="宋体" w:cs="仿宋_GB2312"/>
          <w:bCs/>
          <w:color w:val="auto"/>
          <w:szCs w:val="21"/>
          <w:highlight w:val="none"/>
          <w:lang w:eastAsia="zh-CN"/>
        </w:rPr>
        <w:t>浙江天诚工程咨询有限公司</w:t>
      </w:r>
      <w:r>
        <w:rPr>
          <w:rFonts w:hint="eastAsia" w:ascii="宋体" w:hAnsi="宋体" w:cs="宋体"/>
          <w:color w:val="auto"/>
          <w:szCs w:val="21"/>
          <w:highlight w:val="none"/>
          <w:lang w:bidi="ar"/>
        </w:rPr>
        <w:t>。</w:t>
      </w:r>
    </w:p>
    <w:p w14:paraId="3964A01C">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3、“供应商”系指向采购人提供投标文件的供应商。</w:t>
      </w:r>
    </w:p>
    <w:p w14:paraId="16972C47">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4、“中标人”</w:t>
      </w:r>
      <w:r>
        <w:rPr>
          <w:rFonts w:hint="eastAsia" w:ascii="宋体" w:hAnsi="宋体" w:cs="宋体"/>
          <w:color w:val="auto"/>
          <w:szCs w:val="21"/>
          <w:highlight w:val="none"/>
        </w:rPr>
        <w:t>系指在本次招标中确定向采购人提供货物和服务的供应商。</w:t>
      </w:r>
    </w:p>
    <w:p w14:paraId="17D76D47">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“货物”</w:t>
      </w:r>
      <w:r>
        <w:rPr>
          <w:rFonts w:hint="eastAsia" w:ascii="宋体" w:hAnsi="宋体" w:cs="宋体"/>
          <w:color w:val="auto"/>
          <w:szCs w:val="21"/>
          <w:highlight w:val="none"/>
        </w:rPr>
        <w:t>系指供方按招标文件规定，须</w:t>
      </w:r>
      <w:r>
        <w:rPr>
          <w:rFonts w:hint="eastAsia" w:ascii="宋体" w:hAnsi="宋体" w:cs="仿宋_GB2312"/>
          <w:color w:val="auto"/>
          <w:szCs w:val="21"/>
          <w:highlight w:val="none"/>
          <w:lang w:bidi="ar"/>
        </w:rPr>
        <w:t>向</w:t>
      </w:r>
      <w:r>
        <w:rPr>
          <w:rFonts w:hint="eastAsia" w:ascii="宋体" w:hAnsi="宋体" w:cs="仿宋_GB2312"/>
          <w:color w:val="auto"/>
          <w:szCs w:val="21"/>
          <w:highlight w:val="none"/>
          <w:lang w:eastAsia="zh-CN" w:bidi="ar"/>
        </w:rPr>
        <w:t>采购人</w:t>
      </w:r>
      <w:r>
        <w:rPr>
          <w:rFonts w:hint="eastAsia" w:ascii="宋体" w:hAnsi="宋体" w:cs="宋体"/>
          <w:color w:val="auto"/>
          <w:szCs w:val="21"/>
        </w:rPr>
        <w:t>提供货物</w:t>
      </w:r>
      <w:r>
        <w:rPr>
          <w:rFonts w:hint="eastAsia" w:ascii="宋体" w:hAnsi="宋体" w:cs="宋体"/>
          <w:color w:val="auto"/>
          <w:szCs w:val="21"/>
          <w:lang w:eastAsia="zh-CN"/>
        </w:rPr>
        <w:t>（如有）</w:t>
      </w:r>
      <w:r>
        <w:rPr>
          <w:rFonts w:hint="eastAsia" w:ascii="宋体" w:hAnsi="宋体" w:cs="宋体"/>
          <w:color w:val="auto"/>
          <w:szCs w:val="21"/>
        </w:rPr>
        <w:t>和服务的供应商</w:t>
      </w:r>
      <w:r>
        <w:rPr>
          <w:rFonts w:hint="eastAsia" w:ascii="宋体" w:hAnsi="宋体" w:cs="宋体"/>
          <w:color w:val="auto"/>
          <w:highlight w:val="none"/>
          <w:lang w:bidi="ar"/>
        </w:rPr>
        <w:t>。</w:t>
      </w:r>
    </w:p>
    <w:p w14:paraId="69E5B507">
      <w:pPr>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、“服务”</w:t>
      </w:r>
      <w:r>
        <w:rPr>
          <w:rFonts w:hint="eastAsia" w:ascii="宋体" w:hAnsi="宋体" w:cs="宋体"/>
          <w:color w:val="auto"/>
          <w:szCs w:val="21"/>
          <w:highlight w:val="none"/>
        </w:rPr>
        <w:t>系指招标文件规定供应商</w:t>
      </w:r>
      <w:r>
        <w:rPr>
          <w:rFonts w:hint="eastAsia" w:ascii="宋体" w:hAnsi="宋体" w:cs="宋体"/>
          <w:color w:val="auto"/>
          <w:highlight w:val="none"/>
        </w:rPr>
        <w:t>须承担的</w:t>
      </w:r>
      <w:r>
        <w:rPr>
          <w:rFonts w:hint="eastAsia" w:ascii="宋体" w:hAnsi="宋体" w:cs="宋体"/>
          <w:bCs/>
          <w:color w:val="auto"/>
          <w:sz w:val="21"/>
          <w:szCs w:val="21"/>
          <w:lang w:eastAsia="zh-CN"/>
        </w:rPr>
        <w:t>参保、理赔等</w:t>
      </w:r>
      <w:r>
        <w:rPr>
          <w:rFonts w:hint="eastAsia" w:ascii="宋体" w:hAnsi="宋体" w:cs="宋体"/>
          <w:color w:val="auto"/>
          <w:highlight w:val="none"/>
          <w:lang w:bidi="ar"/>
        </w:rPr>
        <w:t>服务以及其他类似的义务</w:t>
      </w:r>
      <w:r>
        <w:rPr>
          <w:rFonts w:hint="eastAsia" w:ascii="宋体" w:hAnsi="宋体"/>
          <w:color w:val="auto"/>
          <w:kern w:val="10"/>
          <w:szCs w:val="21"/>
          <w:highlight w:val="none"/>
          <w:lang w:val="zh-CN"/>
        </w:rPr>
        <w:t>。</w:t>
      </w:r>
    </w:p>
    <w:p w14:paraId="07ABC4BF">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ascii="宋体" w:hAnsi="宋体"/>
          <w:color w:val="auto"/>
          <w:szCs w:val="21"/>
          <w:highlight w:val="none"/>
        </w:rPr>
        <w:t>同级</w:t>
      </w:r>
      <w:r>
        <w:rPr>
          <w:rFonts w:hint="eastAsia" w:ascii="宋体" w:hAnsi="宋体"/>
          <w:color w:val="auto"/>
          <w:szCs w:val="21"/>
          <w:highlight w:val="none"/>
        </w:rPr>
        <w:t>政府</w:t>
      </w:r>
      <w:r>
        <w:rPr>
          <w:rFonts w:ascii="宋体" w:hAnsi="宋体"/>
          <w:color w:val="auto"/>
          <w:szCs w:val="21"/>
          <w:highlight w:val="none"/>
        </w:rPr>
        <w:t>采购监管部门</w:t>
      </w:r>
      <w:r>
        <w:rPr>
          <w:rFonts w:hint="eastAsia" w:ascii="宋体" w:hAnsi="宋体"/>
          <w:color w:val="auto"/>
          <w:szCs w:val="21"/>
          <w:highlight w:val="none"/>
        </w:rPr>
        <w:t>”系指</w:t>
      </w:r>
      <w:r>
        <w:rPr>
          <w:rFonts w:hint="eastAsia" w:ascii="宋体" w:hAnsi="宋体" w:cs="宋体"/>
          <w:color w:val="auto"/>
          <w:szCs w:val="21"/>
          <w:highlight w:val="none"/>
          <w:lang w:val="en-US" w:eastAsia="zh-CN" w:bidi="ar"/>
        </w:rPr>
        <w:t>慈溪市财政局</w:t>
      </w:r>
      <w:r>
        <w:rPr>
          <w:rFonts w:hint="eastAsia" w:ascii="宋体" w:hAnsi="宋体"/>
          <w:color w:val="auto"/>
          <w:kern w:val="10"/>
          <w:szCs w:val="21"/>
          <w:highlight w:val="none"/>
          <w:lang w:val="zh-CN"/>
        </w:rPr>
        <w:t>。</w:t>
      </w:r>
    </w:p>
    <w:p w14:paraId="37023EE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ascii="宋体" w:hAnsi="宋体"/>
          <w:color w:val="auto"/>
          <w:szCs w:val="21"/>
          <w:highlight w:val="none"/>
        </w:rPr>
        <w:t>“▲”系指实质性</w:t>
      </w:r>
      <w:r>
        <w:rPr>
          <w:rFonts w:hint="eastAsia" w:ascii="宋体" w:hAnsi="宋体"/>
          <w:color w:val="auto"/>
          <w:szCs w:val="21"/>
          <w:highlight w:val="none"/>
        </w:rPr>
        <w:t>响应</w:t>
      </w:r>
      <w:r>
        <w:rPr>
          <w:rFonts w:ascii="宋体" w:hAnsi="宋体"/>
          <w:color w:val="auto"/>
          <w:szCs w:val="21"/>
          <w:highlight w:val="none"/>
        </w:rPr>
        <w:t>条款。</w:t>
      </w:r>
    </w:p>
    <w:p w14:paraId="157964CE">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三、供应商的资格要求</w:t>
      </w:r>
    </w:p>
    <w:p w14:paraId="1018B8C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详见采购公告。</w:t>
      </w:r>
    </w:p>
    <w:p w14:paraId="2E64DCA0">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四、投标费用</w:t>
      </w:r>
    </w:p>
    <w:p w14:paraId="566FA04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1、无论投标过程和结果如何，供应商自行承担与投标有关的全部费用。</w:t>
      </w:r>
    </w:p>
    <w:p w14:paraId="72ABB459">
      <w:pPr>
        <w:spacing w:line="400" w:lineRule="exact"/>
        <w:ind w:firstLine="420" w:firstLineChars="200"/>
        <w:jc w:val="left"/>
        <w:rPr>
          <w:rFonts w:hint="eastAsia" w:ascii="宋体" w:hAnsi="宋体" w:eastAsia="宋体"/>
          <w:b/>
          <w:bCs/>
          <w:color w:val="auto"/>
          <w:szCs w:val="21"/>
          <w:highlight w:val="none"/>
          <w:lang w:eastAsia="zh-CN" w:bidi="ar"/>
        </w:rPr>
      </w:pPr>
      <w:r>
        <w:rPr>
          <w:rFonts w:ascii="宋体" w:hAnsi="宋体"/>
          <w:color w:val="auto"/>
          <w:szCs w:val="21"/>
          <w:highlight w:val="none"/>
        </w:rPr>
        <w:t>2、供应商准备和参加投标活动发生的费用自理，本次采购中标服务费由中标人支付，</w:t>
      </w:r>
      <w:r>
        <w:rPr>
          <w:rFonts w:hint="eastAsia" w:ascii="宋体" w:hAnsi="宋体"/>
          <w:color w:val="auto"/>
          <w:szCs w:val="21"/>
          <w:highlight w:val="none"/>
        </w:rPr>
        <w:t>中标人在中标结果发布后5个工作日内支付给代理机构。</w:t>
      </w:r>
      <w:r>
        <w:rPr>
          <w:rFonts w:ascii="宋体" w:hAnsi="宋体"/>
          <w:color w:val="auto"/>
          <w:szCs w:val="21"/>
          <w:highlight w:val="none"/>
          <w:lang w:bidi="ar"/>
        </w:rPr>
        <w:t>代理服务费不另列项目，但其费用在报价时综合考虑，投标总价中包含此项费用。</w:t>
      </w:r>
      <w:r>
        <w:rPr>
          <w:rFonts w:hint="eastAsia" w:ascii="宋体" w:hAnsi="宋体"/>
          <w:color w:val="auto"/>
          <w:szCs w:val="21"/>
          <w:highlight w:val="none"/>
          <w:lang w:bidi="ar"/>
        </w:rPr>
        <w:t>招标代理服务费收取金额如下：</w:t>
      </w:r>
      <w:r>
        <w:rPr>
          <w:rFonts w:hint="eastAsia" w:ascii="宋体" w:hAnsi="宋体"/>
          <w:b/>
          <w:bCs/>
          <w:color w:val="auto"/>
          <w:szCs w:val="21"/>
          <w:highlight w:val="none"/>
          <w:lang w:bidi="ar"/>
        </w:rPr>
        <w:t>招标代理服务费按</w:t>
      </w:r>
      <w:r>
        <w:rPr>
          <w:rFonts w:hint="eastAsia" w:ascii="宋体" w:hAnsi="宋体"/>
          <w:b/>
          <w:bCs/>
          <w:color w:val="auto"/>
          <w:szCs w:val="21"/>
          <w:highlight w:val="none"/>
          <w:lang w:val="en-US" w:eastAsia="zh-CN" w:bidi="ar"/>
        </w:rPr>
        <w:t>8000元</w:t>
      </w:r>
      <w:r>
        <w:rPr>
          <w:rFonts w:hint="eastAsia" w:ascii="宋体" w:hAnsi="宋体"/>
          <w:b/>
          <w:bCs/>
          <w:color w:val="auto"/>
          <w:szCs w:val="21"/>
          <w:highlight w:val="none"/>
          <w:lang w:bidi="ar"/>
        </w:rPr>
        <w:t>收取。</w:t>
      </w:r>
    </w:p>
    <w:p w14:paraId="4B48037F">
      <w:pPr>
        <w:spacing w:line="400" w:lineRule="exact"/>
        <w:ind w:firstLine="420" w:firstLineChars="200"/>
        <w:jc w:val="left"/>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3、中标服务费由中标人汇至以下账户：</w:t>
      </w:r>
    </w:p>
    <w:p w14:paraId="5F904BDA">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账户名称：浙江天诚工程咨询有限公司慈溪分公司</w:t>
      </w:r>
      <w:r>
        <w:rPr>
          <w:rFonts w:ascii="宋体" w:hAnsi="宋体" w:cs="仿宋_GB2312"/>
          <w:bCs/>
          <w:color w:val="auto"/>
          <w:szCs w:val="21"/>
        </w:rPr>
        <w:t>；</w:t>
      </w:r>
    </w:p>
    <w:p w14:paraId="561ED505">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开户银行：宁波慈溪农村商业银行股份有限公司城东支行</w:t>
      </w:r>
      <w:r>
        <w:rPr>
          <w:rFonts w:ascii="宋体" w:hAnsi="宋体" w:cs="仿宋_GB2312"/>
          <w:bCs/>
          <w:color w:val="auto"/>
          <w:szCs w:val="21"/>
        </w:rPr>
        <w:t>；</w:t>
      </w:r>
    </w:p>
    <w:p w14:paraId="169795F0">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账    号：2010 0036 3518 647</w:t>
      </w:r>
      <w:r>
        <w:rPr>
          <w:rFonts w:ascii="宋体" w:hAnsi="宋体" w:cs="仿宋_GB2312"/>
          <w:bCs/>
          <w:color w:val="auto"/>
          <w:szCs w:val="21"/>
        </w:rPr>
        <w:t>；</w:t>
      </w:r>
    </w:p>
    <w:p w14:paraId="2382E827">
      <w:pPr>
        <w:spacing w:line="400" w:lineRule="exact"/>
        <w:ind w:firstLine="420" w:firstLineChars="200"/>
        <w:jc w:val="left"/>
        <w:rPr>
          <w:rFonts w:hint="eastAsia"/>
          <w:color w:val="auto"/>
        </w:rPr>
      </w:pPr>
      <w:r>
        <w:rPr>
          <w:rFonts w:hint="eastAsia" w:ascii="宋体" w:hAnsi="宋体" w:cs="宋体"/>
          <w:color w:val="auto"/>
          <w:szCs w:val="21"/>
          <w:lang w:bidi="ar"/>
        </w:rPr>
        <w:t>备    注：代理服务费；</w:t>
      </w:r>
    </w:p>
    <w:p w14:paraId="4B9B9102">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五、投标报价</w:t>
      </w:r>
    </w:p>
    <w:p w14:paraId="63A8616C">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olor w:val="auto"/>
          <w:szCs w:val="21"/>
          <w:lang w:val="zh-CN"/>
        </w:rPr>
      </w:pPr>
      <w:r>
        <w:rPr>
          <w:rFonts w:hint="eastAsia" w:ascii="宋体" w:hAnsi="宋体"/>
          <w:color w:val="auto"/>
          <w:szCs w:val="21"/>
          <w:lang w:val="zh-CN"/>
        </w:rPr>
        <w:t>1、投标报价以人民币为结算货币。</w:t>
      </w:r>
    </w:p>
    <w:p w14:paraId="6A24305F">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olor w:val="auto"/>
          <w:szCs w:val="21"/>
          <w:lang w:val="zh-CN"/>
        </w:rPr>
      </w:pPr>
      <w:r>
        <w:rPr>
          <w:rFonts w:hint="eastAsia" w:ascii="宋体" w:hAnsi="宋体"/>
          <w:color w:val="auto"/>
          <w:szCs w:val="21"/>
          <w:lang w:val="zh-CN"/>
        </w:rPr>
        <w:t>2、投标报价是履行合同的最终价格，包含需交纳的所有税费及其他一切相关费用。供应商少报或漏报的工作量，采购单位将视为已包含在投标总价中，并不予调整。</w:t>
      </w:r>
    </w:p>
    <w:p w14:paraId="051A11C1">
      <w:pPr>
        <w:keepNext w:val="0"/>
        <w:keepLines w:val="0"/>
        <w:pageBreakBefore w:val="0"/>
        <w:widowControl w:val="0"/>
        <w:kinsoku/>
        <w:wordWrap/>
        <w:overflowPunct/>
        <w:autoSpaceDE/>
        <w:autoSpaceDN/>
        <w:bidi w:val="0"/>
        <w:adjustRightInd/>
        <w:snapToGrid/>
        <w:spacing w:line="400" w:lineRule="exact"/>
        <w:ind w:firstLine="422" w:firstLineChars="200"/>
        <w:jc w:val="left"/>
        <w:textAlignment w:val="auto"/>
        <w:rPr>
          <w:rFonts w:hint="eastAsia" w:ascii="宋体" w:hAnsi="宋体"/>
          <w:color w:val="auto"/>
          <w:szCs w:val="21"/>
          <w:lang w:val="zh-CN"/>
        </w:rPr>
      </w:pPr>
      <w:r>
        <w:rPr>
          <w:rFonts w:hint="eastAsia" w:ascii="宋体" w:hAnsi="宋体" w:cs="宋体"/>
          <w:b/>
          <w:bCs/>
          <w:color w:val="auto"/>
          <w:szCs w:val="21"/>
        </w:rPr>
        <w:t>▲</w:t>
      </w:r>
      <w:r>
        <w:rPr>
          <w:rFonts w:hint="eastAsia" w:ascii="宋体" w:hAnsi="宋体"/>
          <w:b/>
          <w:bCs/>
          <w:color w:val="auto"/>
          <w:szCs w:val="21"/>
          <w:lang w:val="zh-CN"/>
        </w:rPr>
        <w:t>3、投标文件只允许有一个报价，有选择的或有条件的报价将不予接受。</w:t>
      </w:r>
    </w:p>
    <w:p w14:paraId="49E94BAC">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六、投标有效期</w:t>
      </w:r>
    </w:p>
    <w:p w14:paraId="17C4AD58">
      <w:pPr>
        <w:spacing w:line="40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▲1、投标文件从开标之日起，投标有效期为90个日历天。有效期自开标日起计算，不能小于招标文件的要求。</w:t>
      </w:r>
    </w:p>
    <w:p w14:paraId="2E18606A">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2、特殊情况下，采购人可与供应商协商延缓投标文件的有效期，这种要求和答复均以书面形式进行。</w:t>
      </w:r>
    </w:p>
    <w:p w14:paraId="201772AF">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3、同意延长有效期的供应商不能修改投标文件。</w:t>
      </w:r>
    </w:p>
    <w:p w14:paraId="443B3131">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lang w:eastAsia="zh-CN"/>
        </w:rPr>
        <w:t>七</w:t>
      </w:r>
      <w:r>
        <w:rPr>
          <w:rFonts w:hint="eastAsia" w:ascii="宋体" w:hAnsi="宋体"/>
          <w:b/>
          <w:color w:val="auto"/>
          <w:szCs w:val="21"/>
          <w:highlight w:val="none"/>
        </w:rPr>
        <w:t>、</w:t>
      </w:r>
      <w:r>
        <w:rPr>
          <w:rFonts w:hint="eastAsia" w:ascii="宋体" w:hAnsi="宋体" w:cs="宋体"/>
          <w:b/>
          <w:color w:val="auto"/>
          <w:szCs w:val="21"/>
          <w:highlight w:val="none"/>
        </w:rPr>
        <w:t>投标文件的形式、效力、制作和递交</w:t>
      </w:r>
    </w:p>
    <w:p w14:paraId="31F0A4BA">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1、投标文件的形式：</w:t>
      </w:r>
    </w:p>
    <w:p w14:paraId="6C45E5FF">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分为电子投标文件和电子备份投标文件。</w:t>
      </w:r>
    </w:p>
    <w:p w14:paraId="1DA811E3">
      <w:pPr>
        <w:spacing w:line="38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1.1、</w:t>
      </w:r>
      <w:r>
        <w:rPr>
          <w:rFonts w:hint="eastAsia" w:ascii="宋体" w:hAnsi="宋体" w:cs="宋体"/>
          <w:color w:val="auto"/>
          <w:szCs w:val="21"/>
          <w:highlight w:val="none"/>
        </w:rPr>
        <w:t>本项目实行网上投标，采用电子投标文件。</w:t>
      </w:r>
    </w:p>
    <w:p w14:paraId="122F4640">
      <w:pPr>
        <w:spacing w:line="380" w:lineRule="exact"/>
        <w:ind w:firstLine="420" w:firstLineChars="200"/>
        <w:rPr>
          <w:rFonts w:hint="eastAsia" w:ascii="宋体" w:hAnsi="宋体"/>
          <w:b/>
          <w:color w:val="auto"/>
          <w:szCs w:val="21"/>
          <w:highlight w:val="none"/>
        </w:rPr>
      </w:pPr>
      <w:r>
        <w:rPr>
          <w:rFonts w:hint="eastAsia" w:ascii="宋体" w:hAnsi="宋体" w:cs="宋体"/>
          <w:color w:val="auto"/>
          <w:szCs w:val="21"/>
          <w:highlight w:val="none"/>
        </w:rPr>
        <w:t>若供应商参与投标，自行承担投标一切费用。</w:t>
      </w:r>
      <w:r>
        <w:rPr>
          <w:rFonts w:hint="eastAsia" w:ascii="宋体" w:hAnsi="宋体"/>
          <w:color w:val="auto"/>
          <w:szCs w:val="21"/>
          <w:highlight w:val="none"/>
        </w:rPr>
        <w:t>电子投标文件按</w:t>
      </w:r>
      <w:r>
        <w:rPr>
          <w:rFonts w:hint="eastAsia" w:ascii="宋体" w:hAnsi="宋体"/>
          <w:b/>
          <w:color w:val="auto"/>
          <w:szCs w:val="21"/>
          <w:highlight w:val="none"/>
        </w:rPr>
        <w:t>“政府采购项目电子交易管理操作指南-供应商”（https://service.zcygov.cn/#/knowledges/CW1EtGwBFdiHxlNd6I3m/6IMVAG0BFdiHxlN</w:t>
      </w:r>
    </w:p>
    <w:p w14:paraId="07582872">
      <w:pPr>
        <w:spacing w:line="380" w:lineRule="exact"/>
        <w:rPr>
          <w:rFonts w:hint="eastAsia" w:ascii="宋体" w:hAnsi="宋体"/>
          <w:color w:val="auto"/>
          <w:szCs w:val="21"/>
          <w:highlight w:val="none"/>
        </w:rPr>
      </w:pPr>
      <w:r>
        <w:rPr>
          <w:rFonts w:hint="eastAsia" w:ascii="宋体" w:hAnsi="宋体"/>
          <w:b/>
          <w:color w:val="auto"/>
          <w:szCs w:val="21"/>
          <w:highlight w:val="none"/>
        </w:rPr>
        <w:t>dQ8Na）及本招标文件规定的格式和顺序</w:t>
      </w:r>
      <w:r>
        <w:rPr>
          <w:rFonts w:hint="eastAsia" w:ascii="宋体" w:hAnsi="宋体"/>
          <w:color w:val="auto"/>
          <w:szCs w:val="21"/>
          <w:highlight w:val="none"/>
        </w:rPr>
        <w:t>要求制作、加密并在开标时间（</w:t>
      </w:r>
      <w:r>
        <w:rPr>
          <w:rFonts w:hint="eastAsia" w:ascii="宋体" w:hAnsi="宋体" w:cs="宋体"/>
          <w:color w:val="auto"/>
          <w:szCs w:val="21"/>
          <w:highlight w:val="none"/>
        </w:rPr>
        <w:t>提交投标文件截止时间</w:t>
      </w:r>
      <w:r>
        <w:rPr>
          <w:rFonts w:hint="eastAsia" w:ascii="宋体" w:hAnsi="宋体"/>
          <w:color w:val="auto"/>
          <w:szCs w:val="21"/>
          <w:highlight w:val="none"/>
        </w:rPr>
        <w:t>）前上传至</w:t>
      </w:r>
      <w:r>
        <w:rPr>
          <w:rFonts w:hint="eastAsia" w:ascii="宋体" w:hAnsi="宋体" w:cs="宋体"/>
          <w:b/>
          <w:bCs/>
          <w:color w:val="auto"/>
          <w:szCs w:val="21"/>
          <w:highlight w:val="none"/>
        </w:rPr>
        <w:t>政府采购云平台（www.zcygov.cn）</w:t>
      </w:r>
      <w:r>
        <w:rPr>
          <w:rFonts w:hint="eastAsia" w:ascii="宋体" w:hAnsi="宋体"/>
          <w:color w:val="auto"/>
          <w:szCs w:val="21"/>
          <w:highlight w:val="none"/>
        </w:rPr>
        <w:t>。</w:t>
      </w:r>
    </w:p>
    <w:p w14:paraId="5EC4AE8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标前准备：各供应商应在开标前应确保成为浙江省政府采购网正式注册入库供应商，并完成CA数字证书办理（供应商CA申领操作指南：https://help.zcygov.cn/web/site_2/2018/11-29/2452.html，完成CA数字证书办理预计一周左右，请供应商自行把握时间）。</w:t>
      </w:r>
      <w:r>
        <w:rPr>
          <w:rFonts w:hint="eastAsia" w:ascii="宋体" w:hAnsi="宋体" w:cs="宋体"/>
          <w:b/>
          <w:bCs/>
          <w:color w:val="auto"/>
          <w:szCs w:val="21"/>
          <w:highlight w:val="none"/>
        </w:rPr>
        <w:t>因未注册入库、未办理CA数字证书等原因造成无法投标或投标失败等后果由供应商自行承担</w:t>
      </w:r>
      <w:r>
        <w:rPr>
          <w:rFonts w:hint="eastAsia" w:ascii="宋体" w:hAnsi="宋体" w:cs="宋体"/>
          <w:color w:val="auto"/>
          <w:szCs w:val="21"/>
          <w:highlight w:val="none"/>
        </w:rPr>
        <w:t>。</w:t>
      </w:r>
    </w:p>
    <w:p w14:paraId="109D6E3D">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1.2、备份投标文件，即</w:t>
      </w:r>
      <w:r>
        <w:rPr>
          <w:rFonts w:hint="eastAsia" w:ascii="宋体" w:hAnsi="宋体" w:cs="宋体"/>
          <w:color w:val="auto"/>
          <w:szCs w:val="21"/>
          <w:highlight w:val="none"/>
        </w:rPr>
        <w:t>存储</w:t>
      </w:r>
      <w:r>
        <w:rPr>
          <w:rFonts w:hint="eastAsia" w:ascii="宋体" w:hAnsi="宋体" w:cs="宋体"/>
          <w:b/>
          <w:bCs/>
          <w:color w:val="auto"/>
          <w:szCs w:val="21"/>
          <w:highlight w:val="none"/>
          <w:u w:val="single"/>
        </w:rPr>
        <w:t>按政采云平台“政府采购项目电子交易管理操作指南-供应商”要求制作上传的“电子投标文件”</w:t>
      </w:r>
      <w:r>
        <w:rPr>
          <w:rFonts w:hint="eastAsia" w:ascii="宋体" w:hAnsi="宋体" w:cs="宋体"/>
          <w:color w:val="auto"/>
          <w:szCs w:val="21"/>
          <w:highlight w:val="none"/>
        </w:rPr>
        <w:t>的介质（U盘）</w:t>
      </w:r>
      <w:r>
        <w:rPr>
          <w:rFonts w:hint="eastAsia" w:ascii="宋体" w:hAnsi="宋体"/>
          <w:color w:val="auto"/>
          <w:szCs w:val="21"/>
          <w:highlight w:val="none"/>
        </w:rPr>
        <w:t>。</w:t>
      </w:r>
    </w:p>
    <w:p w14:paraId="6B4DE2F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2、投标文件的效力</w:t>
      </w:r>
    </w:p>
    <w:p w14:paraId="05F4538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2.1投标文件的启用，按先后顺位分别为电子投标文件、备份投标文件。在下一顺位的投标文件启用时，前一顺位的投标文件自动失效。</w:t>
      </w:r>
    </w:p>
    <w:p w14:paraId="0752DE3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2.2电子投标文件未按时解密，供应商提供了备份投标文件的，以备份投标文件作为依据，否则视为电子投标文件撤回。电子投标文件已按时解密的，备份投标文件自动失效。</w:t>
      </w:r>
    </w:p>
    <w:p w14:paraId="1ACA3473">
      <w:pPr>
        <w:spacing w:line="3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3、投标文件的制作</w:t>
      </w:r>
    </w:p>
    <w:p w14:paraId="351861B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（1）应按照本项目招标文件和政采云平台的要求编制、加密并递交投标文件。供应商在使用系统进行投标的过程中遇到涉及平台使用的任何问题，可致电政采云平台技术支持热线</w:t>
      </w:r>
      <w:r>
        <w:rPr>
          <w:rFonts w:hint="eastAsia" w:ascii="宋体" w:hAnsi="宋体" w:cs="宋体"/>
          <w:color w:val="auto"/>
          <w:szCs w:val="21"/>
          <w:highlight w:val="none"/>
          <w:lang w:val="en-US" w:eastAsia="zh-CN"/>
        </w:rPr>
        <w:t>95763</w:t>
      </w:r>
      <w:r>
        <w:rPr>
          <w:rFonts w:hint="eastAsia" w:ascii="宋体" w:hAnsi="宋体" w:cs="宋体"/>
          <w:color w:val="auto"/>
          <w:szCs w:val="21"/>
          <w:highlight w:val="none"/>
        </w:rPr>
        <w:t>或政采云服务专员电话0574-63917219。</w:t>
      </w:r>
    </w:p>
    <w:p w14:paraId="62C4B8A6">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（2）投标人通过政采云平台电子投标工具制作投标文件，电子投标工具请供应商自行前往浙江省政府采购网下载并安装，下载网址（网页左下角附件）：</w:t>
      </w:r>
    </w:p>
    <w:p w14:paraId="00191AA5">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http://zfcg.czt.zj.gov.cn/bidClientTemplate/2019-09-24/12975.html。</w:t>
      </w:r>
    </w:p>
    <w:p w14:paraId="66463425">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供应商投标文件制作及电子交易操作指南：</w:t>
      </w:r>
    </w:p>
    <w:p w14:paraId="5E6EA487">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https://help.zcygov.cn/web/site_2/2019/08-20/3406.html（手机观看）、</w:t>
      </w:r>
    </w:p>
    <w:p w14:paraId="51EBE014">
      <w:pPr>
        <w:pStyle w:val="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https://service.zcygov.cn/#/knowledges/CW1EtGwBFdiHxlNd6I3m/7GyLXW0BXgMSmLUuYuPM（电脑登录账号后观看）、</w:t>
      </w:r>
    </w:p>
    <w:p w14:paraId="6B7B9661">
      <w:pPr>
        <w:pStyle w:val="2"/>
        <w:jc w:val="left"/>
        <w:rPr>
          <w:rFonts w:hint="eastAsia" w:ascii="宋体" w:hAnsi="宋体" w:cs="宋体"/>
          <w:color w:val="auto"/>
          <w:szCs w:val="21"/>
          <w:highlight w:val="none"/>
        </w:rPr>
      </w:pPr>
      <w:r>
        <w:rPr>
          <w:rFonts w:hint="eastAsia" w:ascii="宋体" w:hAnsi="宋体" w:cs="宋体"/>
          <w:color w:val="auto"/>
          <w:sz w:val="21"/>
          <w:szCs w:val="21"/>
          <w:highlight w:val="none"/>
        </w:rPr>
        <w:t>https://service.zcygov.cn/#/knowledges/CW1EtGwBFdiHxlNd6I3m/6IMVAG0BFdiHxlNdQ8Na（电脑登录账号后浏览）。</w:t>
      </w:r>
    </w:p>
    <w:p w14:paraId="4F91AECF">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投标文件的递交</w:t>
      </w:r>
    </w:p>
    <w:p w14:paraId="70D516D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供应商在“政府采购云平台”完成“电子加密投标文件”的上传递交之外，还</w:t>
      </w:r>
      <w:r>
        <w:rPr>
          <w:rFonts w:hint="eastAsia" w:ascii="宋体" w:hAnsi="宋体" w:cs="宋体"/>
          <w:b/>
          <w:bCs/>
          <w:color w:val="auto"/>
          <w:szCs w:val="21"/>
          <w:highlight w:val="none"/>
        </w:rPr>
        <w:t>可以</w:t>
      </w:r>
      <w:r>
        <w:rPr>
          <w:rFonts w:hint="eastAsia" w:ascii="宋体" w:hAnsi="宋体" w:cs="宋体"/>
          <w:b/>
          <w:bCs/>
          <w:color w:val="auto"/>
          <w:szCs w:val="21"/>
          <w:highlight w:val="none"/>
          <w:lang w:eastAsia="zh-CN"/>
        </w:rPr>
        <w:t>以</w:t>
      </w:r>
      <w:r>
        <w:rPr>
          <w:rFonts w:hint="eastAsia" w:ascii="宋体" w:hAnsi="宋体" w:cs="宋体"/>
          <w:b/>
          <w:bCs/>
          <w:color w:val="auto"/>
          <w:szCs w:val="21"/>
          <w:highlight w:val="none"/>
        </w:rPr>
        <w:t>邮寄形式</w:t>
      </w:r>
      <w:r>
        <w:rPr>
          <w:rFonts w:hint="eastAsia" w:ascii="宋体" w:hAnsi="宋体" w:cs="宋体"/>
          <w:color w:val="auto"/>
          <w:szCs w:val="21"/>
          <w:highlight w:val="none"/>
        </w:rPr>
        <w:t>在投标截止时间前</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以招标代理机构联系人签收时间为准）</w:t>
      </w:r>
      <w:r>
        <w:rPr>
          <w:rFonts w:hint="eastAsia" w:ascii="宋体" w:hAnsi="宋体" w:cs="宋体"/>
          <w:color w:val="auto"/>
          <w:szCs w:val="21"/>
          <w:highlight w:val="none"/>
        </w:rPr>
        <w:t>提交以介质（U盘）存储的数据电文形式的“备份投标文件”，</w:t>
      </w:r>
      <w:r>
        <w:rPr>
          <w:rFonts w:hint="eastAsia" w:ascii="宋体" w:hAnsi="宋体" w:cs="宋体"/>
          <w:b/>
          <w:bCs/>
          <w:color w:val="auto"/>
          <w:szCs w:val="21"/>
          <w:highlight w:val="none"/>
        </w:rPr>
        <w:t>备份投标文件</w:t>
      </w:r>
      <w:r>
        <w:rPr>
          <w:rFonts w:hint="eastAsia" w:ascii="宋体" w:hAnsi="宋体" w:cs="宋体"/>
          <w:b/>
          <w:bCs/>
          <w:color w:val="auto"/>
          <w:szCs w:val="21"/>
          <w:highlight w:val="none"/>
          <w:lang w:eastAsia="zh-CN"/>
        </w:rPr>
        <w:t>不强制要求递交。</w:t>
      </w:r>
      <w:r>
        <w:rPr>
          <w:rFonts w:hint="eastAsia" w:ascii="宋体" w:hAnsi="宋体" w:cs="宋体"/>
          <w:b w:val="0"/>
          <w:bCs w:val="0"/>
          <w:color w:val="auto"/>
          <w:szCs w:val="21"/>
          <w:highlight w:val="none"/>
          <w:lang w:eastAsia="zh-CN"/>
        </w:rPr>
        <w:t>需递交</w:t>
      </w:r>
      <w:r>
        <w:rPr>
          <w:rFonts w:hint="eastAsia" w:ascii="宋体" w:hAnsi="宋体" w:cs="宋体"/>
          <w:color w:val="auto"/>
          <w:szCs w:val="21"/>
          <w:highlight w:val="none"/>
        </w:rPr>
        <w:t>备份投标文件</w:t>
      </w:r>
      <w:r>
        <w:rPr>
          <w:rFonts w:hint="eastAsia" w:ascii="宋体" w:hAnsi="宋体" w:cs="宋体"/>
          <w:color w:val="auto"/>
          <w:szCs w:val="21"/>
          <w:highlight w:val="none"/>
          <w:lang w:eastAsia="zh-CN"/>
        </w:rPr>
        <w:t>的投标人仅</w:t>
      </w:r>
      <w:r>
        <w:rPr>
          <w:rFonts w:hint="eastAsia" w:ascii="宋体" w:hAnsi="宋体" w:cs="宋体"/>
          <w:color w:val="auto"/>
          <w:szCs w:val="21"/>
          <w:highlight w:val="none"/>
        </w:rPr>
        <w:t>可采用</w:t>
      </w:r>
      <w:r>
        <w:rPr>
          <w:rFonts w:hint="eastAsia" w:ascii="宋体" w:hAnsi="宋体" w:cs="宋体"/>
          <w:b/>
          <w:bCs/>
          <w:color w:val="auto"/>
          <w:szCs w:val="21"/>
          <w:highlight w:val="none"/>
        </w:rPr>
        <w:t>邮寄</w:t>
      </w:r>
      <w:r>
        <w:rPr>
          <w:rFonts w:hint="eastAsia" w:ascii="宋体" w:hAnsi="宋体" w:cs="宋体"/>
          <w:b/>
          <w:bCs/>
          <w:color w:val="auto"/>
          <w:szCs w:val="21"/>
          <w:highlight w:val="none"/>
          <w:lang w:eastAsia="zh-CN"/>
        </w:rPr>
        <w:t>送达</w:t>
      </w:r>
      <w:r>
        <w:rPr>
          <w:rFonts w:hint="eastAsia" w:ascii="宋体" w:hAnsi="宋体" w:cs="宋体"/>
          <w:b/>
          <w:bCs/>
          <w:color w:val="auto"/>
          <w:szCs w:val="21"/>
          <w:highlight w:val="none"/>
        </w:rPr>
        <w:t>的方式</w:t>
      </w:r>
      <w:r>
        <w:rPr>
          <w:rFonts w:hint="eastAsia" w:ascii="宋体" w:hAnsi="宋体" w:cs="宋体"/>
          <w:color w:val="auto"/>
          <w:szCs w:val="21"/>
          <w:highlight w:val="none"/>
        </w:rPr>
        <w:t>：EMS邮寄送达。供应商可以通过EMS邮寄送达电子备份投标文件，送达地址：</w:t>
      </w:r>
      <w:r>
        <w:rPr>
          <w:rFonts w:hint="eastAsia" w:ascii="宋体" w:hAnsi="宋体" w:cs="仿宋_GB2312"/>
          <w:bCs/>
          <w:color w:val="auto"/>
          <w:szCs w:val="21"/>
          <w:highlight w:val="none"/>
          <w:lang w:eastAsia="zh-CN"/>
        </w:rPr>
        <w:t>浙江天诚工程咨询有限公司</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eastAsia="zh-CN"/>
        </w:rPr>
        <w:t>慈溪市古塘街道海关北路511号三楼</w:t>
      </w:r>
      <w:r>
        <w:rPr>
          <w:rFonts w:hint="eastAsia" w:ascii="宋体" w:hAnsi="宋体" w:cs="仿宋_GB2312"/>
          <w:bCs/>
          <w:color w:val="auto"/>
          <w:szCs w:val="21"/>
          <w:highlight w:val="none"/>
        </w:rPr>
        <w:t>）</w:t>
      </w:r>
      <w:r>
        <w:rPr>
          <w:rFonts w:hint="eastAsia" w:ascii="宋体" w:hAnsi="宋体" w:cs="宋体"/>
          <w:color w:val="auto"/>
          <w:szCs w:val="21"/>
          <w:highlight w:val="none"/>
        </w:rPr>
        <w:t>，联系方式：</w:t>
      </w:r>
      <w:r>
        <w:rPr>
          <w:rFonts w:hint="eastAsia" w:ascii="宋体" w:hAnsi="宋体" w:cs="仿宋_GB2312"/>
          <w:bCs/>
          <w:color w:val="auto"/>
          <w:szCs w:val="21"/>
          <w:highlight w:val="none"/>
          <w:lang w:val="en-US" w:eastAsia="zh-CN"/>
        </w:rPr>
        <w:t>15158388074</w:t>
      </w:r>
      <w:r>
        <w:rPr>
          <w:rFonts w:hint="eastAsia" w:ascii="宋体" w:hAnsi="宋体" w:cs="宋体"/>
          <w:color w:val="auto"/>
          <w:szCs w:val="21"/>
          <w:highlight w:val="none"/>
        </w:rPr>
        <w:t>。供应商邮寄后可将邮件单号发送至代理机构电子邮箱（电子邮箱：</w:t>
      </w:r>
      <w:r>
        <w:rPr>
          <w:rFonts w:hint="eastAsia" w:ascii="宋体" w:hAnsi="宋体" w:cs="宋体"/>
          <w:color w:val="auto"/>
          <w:szCs w:val="21"/>
          <w:highlight w:val="none"/>
          <w:lang w:val="en-US" w:eastAsia="zh-CN"/>
        </w:rPr>
        <w:t>2576525247</w:t>
      </w:r>
      <w:r>
        <w:rPr>
          <w:rFonts w:hint="eastAsia" w:ascii="宋体" w:hAnsi="宋体" w:cs="宋体"/>
          <w:color w:val="auto"/>
          <w:szCs w:val="21"/>
          <w:highlight w:val="none"/>
        </w:rPr>
        <w:t>@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14:paraId="1DD9934E">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供应商未按要求密封的备份投标文件，代理机构不予受理。</w:t>
      </w:r>
    </w:p>
    <w:p w14:paraId="498981B0">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5、投标文件的补充和修改</w:t>
      </w:r>
    </w:p>
    <w:p w14:paraId="74DED3A7">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响应截止时间后传输递交的电子投标文件，将被拒收。</w:t>
      </w:r>
    </w:p>
    <w:p w14:paraId="592869A3">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lang w:eastAsia="zh-CN"/>
        </w:rPr>
        <w:t>八</w:t>
      </w:r>
      <w:r>
        <w:rPr>
          <w:rFonts w:hint="eastAsia" w:ascii="宋体" w:hAnsi="宋体"/>
          <w:b/>
          <w:color w:val="auto"/>
          <w:szCs w:val="21"/>
          <w:highlight w:val="none"/>
        </w:rPr>
        <w:t>、投标文件的组成</w:t>
      </w:r>
    </w:p>
    <w:p w14:paraId="00D62E4E">
      <w:pPr>
        <w:spacing w:line="400" w:lineRule="exact"/>
        <w:ind w:firstLine="420" w:firstLineChars="200"/>
        <w:jc w:val="left"/>
        <w:rPr>
          <w:rFonts w:hint="eastAsia"/>
          <w:color w:val="auto"/>
          <w:highlight w:val="none"/>
        </w:rPr>
      </w:pPr>
      <w:r>
        <w:rPr>
          <w:color w:val="auto"/>
          <w:highlight w:val="none"/>
        </w:rPr>
        <w:t>投标文件由</w:t>
      </w:r>
      <w:r>
        <w:rPr>
          <w:rFonts w:hint="eastAsia"/>
          <w:color w:val="auto"/>
          <w:highlight w:val="none"/>
        </w:rPr>
        <w:t>以下内容组成：</w:t>
      </w:r>
    </w:p>
    <w:p w14:paraId="76B087B0">
      <w:pPr>
        <w:spacing w:line="400" w:lineRule="exact"/>
        <w:ind w:left="420"/>
        <w:jc w:val="left"/>
        <w:rPr>
          <w:rFonts w:hint="eastAsia"/>
          <w:b/>
          <w:bCs/>
          <w:color w:val="auto"/>
          <w:highlight w:val="none"/>
        </w:rPr>
      </w:pPr>
      <w:r>
        <w:rPr>
          <w:rFonts w:hint="eastAsia" w:ascii="宋体" w:hAnsi="宋体" w:cs="宋体"/>
          <w:b/>
          <w:bCs/>
          <w:color w:val="auto"/>
          <w:szCs w:val="21"/>
          <w:highlight w:val="none"/>
          <w:lang w:bidi="ar"/>
        </w:rPr>
        <w:t>〈</w:t>
      </w:r>
      <w:r>
        <w:rPr>
          <w:rFonts w:hint="eastAsia"/>
          <w:b/>
          <w:bCs/>
          <w:color w:val="auto"/>
          <w:highlight w:val="none"/>
        </w:rPr>
        <w:t>一</w:t>
      </w:r>
      <w:r>
        <w:rPr>
          <w:rFonts w:hint="eastAsia" w:ascii="宋体" w:hAnsi="宋体" w:cs="宋体"/>
          <w:b/>
          <w:bCs/>
          <w:color w:val="auto"/>
          <w:szCs w:val="21"/>
          <w:highlight w:val="none"/>
          <w:lang w:bidi="ar"/>
        </w:rPr>
        <w:t>〉</w:t>
      </w:r>
      <w:r>
        <w:rPr>
          <w:rFonts w:hint="eastAsia"/>
          <w:b/>
          <w:bCs/>
          <w:color w:val="auto"/>
          <w:highlight w:val="none"/>
        </w:rPr>
        <w:t>“电子投标文件（含资格审查文件、商务技术文件、</w:t>
      </w:r>
      <w:r>
        <w:rPr>
          <w:b/>
          <w:bCs/>
          <w:color w:val="auto"/>
          <w:highlight w:val="none"/>
        </w:rPr>
        <w:t>报价文件</w:t>
      </w:r>
      <w:r>
        <w:rPr>
          <w:rFonts w:hint="eastAsia"/>
          <w:b/>
          <w:bCs/>
          <w:color w:val="auto"/>
          <w:highlight w:val="none"/>
        </w:rPr>
        <w:t>三</w:t>
      </w:r>
      <w:r>
        <w:rPr>
          <w:b/>
          <w:bCs/>
          <w:color w:val="auto"/>
          <w:highlight w:val="none"/>
        </w:rPr>
        <w:t>部分</w:t>
      </w:r>
      <w:r>
        <w:rPr>
          <w:rFonts w:hint="eastAsia"/>
          <w:b/>
          <w:bCs/>
          <w:color w:val="auto"/>
          <w:highlight w:val="none"/>
        </w:rPr>
        <w:t>，下同）”，</w:t>
      </w:r>
      <w:r>
        <w:rPr>
          <w:rFonts w:hint="eastAsia" w:ascii="宋体" w:hAnsi="宋体" w:cs="宋体"/>
          <w:b/>
          <w:bCs/>
          <w:color w:val="auto"/>
          <w:szCs w:val="21"/>
          <w:highlight w:val="none"/>
        </w:rPr>
        <w:t>电子投标文件中所须加盖公章部分均采用CA签章</w:t>
      </w:r>
      <w:r>
        <w:rPr>
          <w:b/>
          <w:bCs/>
          <w:color w:val="auto"/>
          <w:highlight w:val="none"/>
        </w:rPr>
        <w:t>。</w:t>
      </w:r>
      <w:r>
        <w:rPr>
          <w:rFonts w:hint="eastAsia"/>
          <w:b/>
          <w:bCs/>
          <w:color w:val="auto"/>
          <w:highlight w:val="none"/>
        </w:rPr>
        <w:t>资格审查文件、商务技术文件、</w:t>
      </w:r>
      <w:r>
        <w:rPr>
          <w:b/>
          <w:bCs/>
          <w:color w:val="auto"/>
          <w:highlight w:val="none"/>
        </w:rPr>
        <w:t>报价文件</w:t>
      </w:r>
      <w:r>
        <w:rPr>
          <w:rFonts w:hint="eastAsia"/>
          <w:b/>
          <w:bCs/>
          <w:color w:val="auto"/>
          <w:highlight w:val="none"/>
        </w:rPr>
        <w:t>内容如下：</w:t>
      </w:r>
    </w:p>
    <w:p w14:paraId="65022144">
      <w:pPr>
        <w:spacing w:line="400" w:lineRule="exact"/>
        <w:ind w:firstLine="422" w:firstLineChars="200"/>
        <w:jc w:val="left"/>
        <w:rPr>
          <w:rFonts w:hint="eastAsia"/>
          <w:color w:val="auto"/>
          <w:highlight w:val="none"/>
        </w:rPr>
      </w:pPr>
      <w:r>
        <w:rPr>
          <w:rFonts w:hint="eastAsia" w:ascii="宋体" w:hAnsi="宋体" w:cs="宋体"/>
          <w:b/>
          <w:bCs/>
          <w:color w:val="auto"/>
          <w:szCs w:val="21"/>
          <w:highlight w:val="none"/>
          <w:lang w:bidi="ar"/>
        </w:rPr>
        <w:t>（一）、</w:t>
      </w:r>
      <w:r>
        <w:rPr>
          <w:rFonts w:hint="eastAsia"/>
          <w:b/>
          <w:bCs/>
          <w:color w:val="auto"/>
          <w:highlight w:val="none"/>
        </w:rPr>
        <w:t>电子投标文件-资格审查文件</w:t>
      </w:r>
    </w:p>
    <w:p w14:paraId="3F2426DB">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rPr>
        <w:t>关于资格的声明函（格式见附件）</w:t>
      </w:r>
      <w:r>
        <w:rPr>
          <w:rFonts w:hint="eastAsia" w:ascii="宋体" w:hAnsi="宋体" w:cs="宋体"/>
          <w:color w:val="auto"/>
          <w:szCs w:val="21"/>
          <w:highlight w:val="none"/>
          <w:lang w:eastAsia="zh-CN"/>
        </w:rPr>
        <w:t>；</w:t>
      </w:r>
    </w:p>
    <w:p w14:paraId="58595999">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、提供有效的营业执照副本（或事业法人登记证副本或其他登记证明材料）原件扫描件或者电子营业执照加盖供应商公章</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投标人如果有名称变更的，应提供由行政主管部门出具的变更证明文件</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（加盖公章）；</w:t>
      </w:r>
    </w:p>
    <w:p w14:paraId="28D7CF60">
      <w:pPr>
        <w:spacing w:line="400" w:lineRule="exact"/>
        <w:ind w:firstLine="420" w:firstLineChars="200"/>
        <w:jc w:val="left"/>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3、提供</w:t>
      </w:r>
      <w:r>
        <w:rPr>
          <w:rFonts w:hint="eastAsia" w:ascii="宋体" w:hAnsi="宋体" w:eastAsia="宋体" w:cs="宋体"/>
          <w:bCs/>
          <w:color w:val="auto"/>
          <w:kern w:val="2"/>
          <w:sz w:val="21"/>
          <w:szCs w:val="21"/>
          <w:highlight w:val="none"/>
          <w:lang w:val="en-US" w:eastAsia="zh-CN" w:bidi="ar"/>
        </w:rPr>
        <w:t>《中华人民共和国经营保险业务许可证》</w:t>
      </w:r>
      <w:r>
        <w:rPr>
          <w:rFonts w:hint="eastAsia" w:ascii="宋体" w:hAnsi="宋体" w:cs="宋体"/>
          <w:color w:val="auto"/>
          <w:szCs w:val="21"/>
          <w:highlight w:val="none"/>
          <w:lang w:val="en-US" w:eastAsia="zh-CN" w:bidi="ar"/>
        </w:rPr>
        <w:t>（扫描件加盖公章）</w:t>
      </w:r>
    </w:p>
    <w:p w14:paraId="0AD62B00">
      <w:pPr>
        <w:keepNext w:val="0"/>
        <w:keepLines w:val="0"/>
        <w:pageBreakBefore w:val="0"/>
        <w:widowControl w:val="0"/>
        <w:kinsoku/>
        <w:wordWrap/>
        <w:overflowPunct/>
        <w:autoSpaceDE/>
        <w:autoSpaceDN/>
        <w:bidi w:val="0"/>
        <w:adjustRightInd/>
        <w:snapToGrid/>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供应商认为需要的其他资料。</w:t>
      </w:r>
    </w:p>
    <w:p w14:paraId="1B4D30C7">
      <w:pPr>
        <w:spacing w:line="400" w:lineRule="exact"/>
        <w:ind w:firstLine="422" w:firstLineChars="200"/>
        <w:jc w:val="left"/>
        <w:rPr>
          <w:rFonts w:hint="eastAsia" w:ascii="宋体" w:hAnsi="宋体"/>
          <w:b/>
          <w:bCs/>
          <w:color w:val="auto"/>
          <w:szCs w:val="21"/>
          <w:highlight w:val="none"/>
        </w:rPr>
      </w:pPr>
      <w:r>
        <w:rPr>
          <w:rFonts w:hint="eastAsia" w:ascii="宋体" w:hAnsi="宋体" w:cs="宋体"/>
          <w:b/>
          <w:bCs/>
          <w:color w:val="auto"/>
          <w:szCs w:val="21"/>
          <w:highlight w:val="none"/>
          <w:lang w:bidi="ar"/>
        </w:rPr>
        <w:t>（二）、</w:t>
      </w:r>
      <w:r>
        <w:rPr>
          <w:rFonts w:hint="eastAsia"/>
          <w:b/>
          <w:bCs/>
          <w:color w:val="auto"/>
          <w:highlight w:val="none"/>
        </w:rPr>
        <w:t>电子投标文件-商务技术文件</w:t>
      </w:r>
    </w:p>
    <w:p w14:paraId="2FC546D6">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、投标书（格式见附件）</w:t>
      </w:r>
      <w:r>
        <w:rPr>
          <w:rFonts w:hint="eastAsia" w:ascii="宋体" w:hAnsi="宋体" w:cs="宋体"/>
          <w:color w:val="auto"/>
          <w:szCs w:val="21"/>
          <w:highlight w:val="none"/>
          <w:lang w:eastAsia="zh-CN"/>
        </w:rPr>
        <w:t>；</w:t>
      </w:r>
    </w:p>
    <w:p w14:paraId="40C9CA0D">
      <w:pPr>
        <w:spacing w:line="400" w:lineRule="exact"/>
        <w:ind w:firstLine="420" w:firstLineChars="200"/>
        <w:jc w:val="left"/>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、商务技术文件自评分表（格式见附件）</w:t>
      </w:r>
      <w:r>
        <w:rPr>
          <w:rFonts w:hint="eastAsia" w:ascii="宋体" w:hAnsi="宋体" w:cs="宋体"/>
          <w:color w:val="auto"/>
          <w:szCs w:val="21"/>
          <w:highlight w:val="none"/>
          <w:lang w:eastAsia="zh-CN" w:bidi="ar"/>
        </w:rPr>
        <w:t>；</w:t>
      </w:r>
    </w:p>
    <w:p w14:paraId="3B322800">
      <w:pPr>
        <w:spacing w:line="400" w:lineRule="exact"/>
        <w:ind w:firstLine="420" w:firstLineChars="200"/>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、供应商一般情况（格式见附件）；</w:t>
      </w:r>
    </w:p>
    <w:p w14:paraId="587FF3DB">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、法定代表人身份证明或法定代表人授权书</w:t>
      </w:r>
      <w:r>
        <w:rPr>
          <w:rFonts w:hint="eastAsia" w:ascii="宋体" w:hAnsi="宋体" w:cs="宋体"/>
          <w:bCs/>
          <w:color w:val="auto"/>
          <w:szCs w:val="21"/>
          <w:highlight w:val="none"/>
          <w:lang w:bidi="ar"/>
        </w:rPr>
        <w:t>（投标人代表为法定代表人的提供法定代表人身份证明；投标人的代表若为非法定代表人的，须提交法定代表人授权书）</w:t>
      </w:r>
      <w:r>
        <w:rPr>
          <w:rFonts w:hint="eastAsia" w:ascii="宋体" w:hAnsi="宋体" w:cs="宋体"/>
          <w:color w:val="auto"/>
          <w:szCs w:val="21"/>
          <w:highlight w:val="none"/>
        </w:rPr>
        <w:t>（格式见附件）；</w:t>
      </w:r>
    </w:p>
    <w:p w14:paraId="438A736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、商务条款响应表（格式见附件）；</w:t>
      </w:r>
    </w:p>
    <w:p w14:paraId="0DC49A2D">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、技术条款响应表（格式见附件）；</w:t>
      </w:r>
    </w:p>
    <w:p w14:paraId="036BB649">
      <w:pPr>
        <w:spacing w:line="400" w:lineRule="exact"/>
        <w:ind w:firstLine="42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、商务技术评审表要求递交的相关资料；</w:t>
      </w:r>
    </w:p>
    <w:p w14:paraId="530C121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其他和商务技术评分有关的资料及</w:t>
      </w:r>
      <w:r>
        <w:rPr>
          <w:rFonts w:hint="eastAsia" w:ascii="宋体" w:hAnsi="宋体" w:cs="宋体"/>
          <w:color w:val="auto"/>
          <w:szCs w:val="21"/>
          <w:highlight w:val="none"/>
          <w:lang w:bidi="ar"/>
        </w:rPr>
        <w:t>供应商认为需要提供的其他资料。</w:t>
      </w:r>
    </w:p>
    <w:p w14:paraId="06824C01">
      <w:pPr>
        <w:spacing w:line="400" w:lineRule="exact"/>
        <w:ind w:firstLine="422" w:firstLineChars="200"/>
        <w:jc w:val="left"/>
        <w:rPr>
          <w:rFonts w:hint="eastAsia"/>
          <w:b/>
          <w:bCs/>
          <w:color w:val="auto"/>
          <w:highlight w:val="none"/>
        </w:rPr>
      </w:pPr>
      <w:r>
        <w:rPr>
          <w:rFonts w:hint="eastAsia" w:ascii="宋体" w:hAnsi="宋体" w:cs="宋体"/>
          <w:b/>
          <w:bCs/>
          <w:color w:val="auto"/>
          <w:szCs w:val="21"/>
          <w:highlight w:val="none"/>
          <w:lang w:bidi="ar"/>
        </w:rPr>
        <w:t>（三）、</w:t>
      </w:r>
      <w:r>
        <w:rPr>
          <w:rFonts w:hint="eastAsia"/>
          <w:b/>
          <w:bCs/>
          <w:color w:val="auto"/>
          <w:highlight w:val="none"/>
        </w:rPr>
        <w:t>电子投标文件-报价文件</w:t>
      </w:r>
    </w:p>
    <w:p w14:paraId="15596F8E">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、开标一览表（格式见附件）；</w:t>
      </w:r>
    </w:p>
    <w:p w14:paraId="5E48C20D">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、分项报价表（格式见附件）；</w:t>
      </w:r>
    </w:p>
    <w:p w14:paraId="04B76540">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3、中小企业声明函（如有需提供）（格式见附件）；</w:t>
      </w:r>
    </w:p>
    <w:p w14:paraId="7416E9CC">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rPr>
        <w:t>4、残疾人福利性单位声明函（如有需提供）（格式见附件）；</w:t>
      </w:r>
    </w:p>
    <w:p w14:paraId="00674972">
      <w:pPr>
        <w:spacing w:line="400" w:lineRule="exact"/>
        <w:ind w:left="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、供应商认为需要的其他资料。</w:t>
      </w:r>
    </w:p>
    <w:p w14:paraId="2E4C9434">
      <w:pPr>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备份投标文件</w:t>
      </w:r>
    </w:p>
    <w:p w14:paraId="0518B17A">
      <w:pPr>
        <w:spacing w:line="380" w:lineRule="exact"/>
        <w:ind w:firstLine="420" w:firstLineChars="200"/>
        <w:rPr>
          <w:rFonts w:hint="eastAsia"/>
          <w:color w:val="auto"/>
          <w:highlight w:val="none"/>
        </w:rPr>
      </w:pPr>
      <w:r>
        <w:rPr>
          <w:rFonts w:hint="eastAsia" w:ascii="宋体" w:hAnsi="宋体" w:cs="宋体"/>
          <w:color w:val="auto"/>
          <w:szCs w:val="21"/>
          <w:highlight w:val="none"/>
        </w:rPr>
        <w:t>供应商在“政府采购云平台”完成“电子投标文件”的上传递交之外，还</w:t>
      </w:r>
      <w:r>
        <w:rPr>
          <w:rFonts w:hint="eastAsia" w:ascii="宋体" w:hAnsi="宋体" w:cs="宋体"/>
          <w:b/>
          <w:bCs/>
          <w:color w:val="auto"/>
          <w:szCs w:val="21"/>
          <w:highlight w:val="none"/>
        </w:rPr>
        <w:t>可以</w:t>
      </w:r>
      <w:r>
        <w:rPr>
          <w:rFonts w:hint="eastAsia" w:ascii="宋体" w:hAnsi="宋体" w:cs="宋体"/>
          <w:b/>
          <w:bCs/>
          <w:color w:val="auto"/>
          <w:szCs w:val="21"/>
          <w:highlight w:val="none"/>
          <w:lang w:eastAsia="zh-CN"/>
        </w:rPr>
        <w:t>以</w:t>
      </w:r>
      <w:r>
        <w:rPr>
          <w:rFonts w:hint="eastAsia" w:ascii="宋体" w:hAnsi="宋体" w:cs="宋体"/>
          <w:b/>
          <w:bCs/>
          <w:color w:val="auto"/>
          <w:szCs w:val="21"/>
          <w:highlight w:val="none"/>
        </w:rPr>
        <w:t>邮寄形式</w:t>
      </w:r>
      <w:r>
        <w:rPr>
          <w:rFonts w:hint="eastAsia" w:ascii="宋体" w:hAnsi="宋体" w:cs="宋体"/>
          <w:color w:val="auto"/>
          <w:szCs w:val="21"/>
          <w:highlight w:val="none"/>
        </w:rPr>
        <w:t>在投标截止时间前</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以招标代理机构联系人签收时间为准）</w:t>
      </w:r>
      <w:r>
        <w:rPr>
          <w:rFonts w:hint="eastAsia" w:ascii="宋体" w:hAnsi="宋体" w:cs="宋体"/>
          <w:color w:val="auto"/>
          <w:szCs w:val="21"/>
          <w:highlight w:val="none"/>
        </w:rPr>
        <w:t>提交以介质（U盘）存储的数据电文形式的“备份投标文件”，“备份投标文件”中的内容为</w:t>
      </w:r>
      <w:r>
        <w:rPr>
          <w:rFonts w:hint="eastAsia" w:ascii="宋体" w:hAnsi="宋体" w:cs="宋体"/>
          <w:b/>
          <w:bCs/>
          <w:color w:val="auto"/>
          <w:szCs w:val="21"/>
          <w:highlight w:val="none"/>
          <w:u w:val="single"/>
        </w:rPr>
        <w:t>按政采云平台“政府采购项目电子交易管理操作指南-供应商”要求制作上传的“电子投标文件”</w:t>
      </w:r>
      <w:r>
        <w:rPr>
          <w:rFonts w:hint="eastAsia" w:ascii="宋体" w:hAnsi="宋体" w:cs="宋体"/>
          <w:color w:val="auto"/>
          <w:szCs w:val="21"/>
          <w:highlight w:val="none"/>
        </w:rPr>
        <w:t>，以用于异常情况处理。</w:t>
      </w:r>
    </w:p>
    <w:p w14:paraId="60FC7DA2">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九、投标文件的份数、密封、签署</w:t>
      </w:r>
    </w:p>
    <w:p w14:paraId="4359212B">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供应商应按本采购文件规定的格式和顺序编制电子投标文件（并标注页码）和备份投标文件，电子投标文件内容不完整、编排混乱导致投标文件被误读、漏读或者查找不到相关内容的，由供应商自行承担相关责任。</w:t>
      </w:r>
    </w:p>
    <w:p w14:paraId="7F0FAB39">
      <w:pPr>
        <w:spacing w:line="38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如递交备份投标文件的，递交方式详见本章第八条第</w:t>
      </w:r>
      <w:r>
        <w:rPr>
          <w:rFonts w:hint="eastAsia" w:ascii="宋体" w:hAnsi="宋体"/>
          <w:bCs/>
          <w:color w:val="auto"/>
          <w:szCs w:val="21"/>
          <w:highlight w:val="none"/>
          <w:lang w:val="en-US" w:eastAsia="zh-CN"/>
        </w:rPr>
        <w:t>4</w:t>
      </w:r>
      <w:r>
        <w:rPr>
          <w:rFonts w:hint="eastAsia" w:ascii="宋体" w:hAnsi="宋体"/>
          <w:bCs/>
          <w:color w:val="auto"/>
          <w:szCs w:val="21"/>
          <w:highlight w:val="none"/>
        </w:rPr>
        <w:t>款，</w:t>
      </w:r>
      <w:r>
        <w:rPr>
          <w:rFonts w:hint="eastAsia" w:ascii="宋体" w:hAnsi="宋体" w:cs="宋体"/>
          <w:color w:val="auto"/>
          <w:szCs w:val="21"/>
          <w:highlight w:val="none"/>
        </w:rPr>
        <w:t>备份投标文件</w:t>
      </w:r>
      <w:r>
        <w:rPr>
          <w:rFonts w:hint="eastAsia" w:ascii="宋体" w:hAnsi="宋体"/>
          <w:color w:val="auto"/>
          <w:szCs w:val="21"/>
          <w:highlight w:val="none"/>
        </w:rPr>
        <w:t>密封要求如下：</w:t>
      </w:r>
    </w:p>
    <w:p w14:paraId="4AFE70CB">
      <w:pPr>
        <w:spacing w:line="3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须用封袋密封，在封袋上分别注明：</w:t>
      </w:r>
    </w:p>
    <w:p w14:paraId="35AEB257">
      <w:pPr>
        <w:tabs>
          <w:tab w:val="left" w:pos="90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（1）注明：</w:t>
      </w:r>
      <w:r>
        <w:rPr>
          <w:rFonts w:hint="eastAsia" w:ascii="宋体" w:hAnsi="宋体" w:cs="宋体"/>
          <w:color w:val="auto"/>
          <w:szCs w:val="21"/>
          <w:highlight w:val="none"/>
          <w:u w:val="single"/>
        </w:rPr>
        <w:t xml:space="preserve">              备份投标文件            </w:t>
      </w:r>
      <w:r>
        <w:rPr>
          <w:rFonts w:hint="eastAsia" w:ascii="宋体" w:hAnsi="宋体" w:cs="宋体"/>
          <w:color w:val="auto"/>
          <w:szCs w:val="21"/>
          <w:highlight w:val="none"/>
        </w:rPr>
        <w:t>；</w:t>
      </w:r>
    </w:p>
    <w:p w14:paraId="6004CB9A">
      <w:pPr>
        <w:tabs>
          <w:tab w:val="left" w:pos="90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（按实填写本项目采购编号）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7A519CE0">
      <w:pPr>
        <w:tabs>
          <w:tab w:val="left" w:pos="90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（按实填写本项目项目名称）   </w:t>
      </w:r>
      <w:r>
        <w:rPr>
          <w:rFonts w:hint="eastAsia" w:ascii="宋体" w:hAnsi="宋体" w:cs="宋体"/>
          <w:color w:val="auto"/>
          <w:szCs w:val="21"/>
          <w:highlight w:val="none"/>
        </w:rPr>
        <w:t>；</w:t>
      </w:r>
    </w:p>
    <w:p w14:paraId="0E4A3147">
      <w:pPr>
        <w:tabs>
          <w:tab w:val="left" w:pos="90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 </w:t>
      </w:r>
      <w:r>
        <w:rPr>
          <w:rFonts w:hint="eastAsia" w:ascii="宋体" w:hAnsi="宋体" w:cs="宋体"/>
          <w:color w:val="auto"/>
          <w:szCs w:val="21"/>
          <w:highlight w:val="none"/>
        </w:rPr>
        <w:t>（规定的开标日期和时间）前不准启封；</w:t>
      </w:r>
    </w:p>
    <w:p w14:paraId="06890EEC">
      <w:pPr>
        <w:tabs>
          <w:tab w:val="left" w:pos="900"/>
        </w:tabs>
        <w:spacing w:line="400" w:lineRule="exact"/>
        <w:ind w:firstLine="420" w:firstLineChars="200"/>
        <w:jc w:val="left"/>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4AC652">
      <w:pPr>
        <w:spacing w:line="400" w:lineRule="exact"/>
        <w:ind w:firstLine="420" w:firstLineChars="200"/>
        <w:jc w:val="left"/>
        <w:rPr>
          <w:rFonts w:hint="eastAsia" w:ascii="宋体" w:hAnsi="宋体"/>
          <w:b/>
          <w:color w:val="auto"/>
          <w:szCs w:val="21"/>
          <w:highlight w:val="none"/>
        </w:rPr>
      </w:pPr>
      <w:r>
        <w:rPr>
          <w:rFonts w:hint="eastAsia" w:ascii="宋体" w:hAnsi="宋体" w:cs="宋体"/>
          <w:color w:val="auto"/>
          <w:szCs w:val="21"/>
          <w:highlight w:val="none"/>
        </w:rPr>
        <w:t>供应商必须在包封上加盖供应商公章或由其法定代表人（或授权代表）签字或盖章。</w:t>
      </w:r>
    </w:p>
    <w:p w14:paraId="21EB5CC0">
      <w:pPr>
        <w:spacing w:line="40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2、根据“政府采购项目电子交易管理操作指南-供应商（https://service.zcygov.cn/#/knowledges/CW1EtGwBFdiHxlNd6I3m/6IMVAG0BFdiHxlNdQ8Na）及本招标文件规定的格式和顺序编制电子投标文件并进行关联定位，</w:t>
      </w:r>
      <w:r>
        <w:rPr>
          <w:rFonts w:hint="eastAsia" w:ascii="宋体" w:hAnsi="宋体" w:cs="宋体"/>
          <w:b/>
          <w:bCs/>
          <w:color w:val="auto"/>
          <w:szCs w:val="21"/>
          <w:highlight w:val="none"/>
        </w:rPr>
        <w:t>电子投标文件中所须加盖公章部分均采用CA签章</w:t>
      </w:r>
      <w:r>
        <w:rPr>
          <w:rFonts w:hint="eastAsia" w:ascii="宋体" w:hAnsi="宋体" w:cs="宋体"/>
          <w:b/>
          <w:bCs/>
          <w:color w:val="auto"/>
          <w:szCs w:val="21"/>
          <w:highlight w:val="none"/>
          <w:lang w:eastAsia="zh-CN"/>
        </w:rPr>
        <w:t>。</w:t>
      </w:r>
      <w:bookmarkStart w:id="2" w:name="_Toc496099271"/>
    </w:p>
    <w:p w14:paraId="2C5029B2">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bidi="ar"/>
        </w:rPr>
        <w:t>十、</w:t>
      </w:r>
      <w:r>
        <w:rPr>
          <w:rFonts w:ascii="宋体" w:hAnsi="宋体"/>
          <w:b/>
          <w:color w:val="auto"/>
          <w:szCs w:val="21"/>
          <w:highlight w:val="none"/>
          <w:lang w:bidi="ar"/>
        </w:rPr>
        <w:t>开评标</w:t>
      </w:r>
      <w:r>
        <w:rPr>
          <w:rFonts w:hint="eastAsia" w:ascii="宋体" w:hAnsi="宋体"/>
          <w:b/>
          <w:color w:val="auto"/>
          <w:szCs w:val="21"/>
          <w:highlight w:val="none"/>
          <w:lang w:bidi="ar"/>
        </w:rPr>
        <w:t>程序</w:t>
      </w:r>
    </w:p>
    <w:p w14:paraId="6FF7F1D0">
      <w:pPr>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（一）开评标注意事项</w:t>
      </w:r>
    </w:p>
    <w:p w14:paraId="0156F690">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1、本项目为不见面开评标项目，供应商可通过浙江省“电子交易/不见面开评标”学习专题提前进行专题学习，熟悉操作，避免影响采购活动（https://edu.zcygov.cn/luban/e-biding）。</w:t>
      </w:r>
    </w:p>
    <w:p w14:paraId="60F7542E">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2D8BBBDB">
      <w:pPr>
        <w:spacing w:line="380" w:lineRule="exact"/>
        <w:ind w:firstLine="422" w:firstLineChars="200"/>
        <w:rPr>
          <w:rFonts w:hint="eastAsia" w:ascii="宋体" w:hAnsi="宋体" w:cs="宋体"/>
          <w:color w:val="auto"/>
          <w:szCs w:val="21"/>
          <w:highlight w:val="none"/>
        </w:rPr>
      </w:pPr>
      <w:r>
        <w:rPr>
          <w:rFonts w:hint="eastAsia" w:ascii="宋体" w:hAnsi="宋体" w:eastAsia="宋体" w:cs="宋体"/>
          <w:b/>
          <w:bCs/>
          <w:color w:val="auto"/>
          <w:szCs w:val="21"/>
          <w:highlight w:val="none"/>
        </w:rPr>
        <w:t>供应商应于提交投标文件截止时间前将电子加密投标文</w:t>
      </w:r>
      <w:r>
        <w:rPr>
          <w:rFonts w:hint="eastAsia" w:ascii="宋体" w:hAnsi="宋体" w:cs="宋体"/>
          <w:b/>
          <w:bCs/>
          <w:color w:val="auto"/>
          <w:szCs w:val="21"/>
          <w:highlight w:val="none"/>
        </w:rPr>
        <w:t>件上传到政府采购云平台（www.zcygov.cn），未上传电子投标文件，视为供应商放弃投标。</w:t>
      </w:r>
    </w:p>
    <w:p w14:paraId="729F2350">
      <w:pPr>
        <w:spacing w:line="380" w:lineRule="exact"/>
        <w:ind w:firstLine="422" w:firstLineChars="200"/>
        <w:rPr>
          <w:rFonts w:hint="eastAsia"/>
          <w:color w:val="auto"/>
          <w:highlight w:val="none"/>
        </w:rPr>
      </w:pPr>
      <w:r>
        <w:rPr>
          <w:rFonts w:hint="eastAsia" w:ascii="宋体" w:hAnsi="宋体" w:cs="宋体"/>
          <w:b/>
          <w:bCs/>
          <w:color w:val="auto"/>
          <w:szCs w:val="21"/>
          <w:highlight w:val="none"/>
        </w:rPr>
        <w:t>2、开标时间后30分钟内供应商应当登录政采云平台，用“项目采购-开标评标”功能进行解密投标文件</w:t>
      </w:r>
      <w:r>
        <w:rPr>
          <w:rFonts w:hint="eastAsia" w:ascii="宋体" w:hAnsi="宋体" w:cs="宋体"/>
          <w:color w:val="auto"/>
          <w:szCs w:val="21"/>
          <w:highlight w:val="none"/>
        </w:rPr>
        <w:t>。若供应商在规定时间内无法解密或解密失败，可以以备份电子投标文件作为依据，</w:t>
      </w:r>
      <w:r>
        <w:rPr>
          <w:rFonts w:hint="eastAsia" w:ascii="宋体" w:hAnsi="宋体" w:cs="宋体"/>
          <w:b/>
          <w:bCs/>
          <w:color w:val="auto"/>
          <w:szCs w:val="21"/>
          <w:highlight w:val="none"/>
        </w:rPr>
        <w:t>若备份电子投标文件与政采云平台上传的投标文件被识别为不一致的则投标无效</w:t>
      </w:r>
      <w:r>
        <w:rPr>
          <w:rFonts w:hint="eastAsia" w:ascii="宋体" w:hAnsi="宋体" w:cs="宋体"/>
          <w:color w:val="auto"/>
          <w:szCs w:val="21"/>
          <w:highlight w:val="none"/>
        </w:rPr>
        <w:t>；供应商按时在线解密投标文件的，以在线解密的投标文件作为评审依据，采购代理机构于开评标结束后将备份电子投标文件退回给供应商。</w:t>
      </w:r>
      <w:r>
        <w:rPr>
          <w:rFonts w:hint="eastAsia" w:ascii="宋体" w:hAnsi="宋体" w:cs="宋体"/>
          <w:b/>
          <w:bCs/>
          <w:color w:val="auto"/>
          <w:szCs w:val="21"/>
          <w:highlight w:val="none"/>
        </w:rPr>
        <w:t>若</w:t>
      </w:r>
      <w:r>
        <w:rPr>
          <w:rFonts w:hint="eastAsia" w:ascii="宋体" w:hAnsi="宋体" w:cs="宋体"/>
          <w:b/>
          <w:bCs/>
          <w:color w:val="auto"/>
          <w:szCs w:val="21"/>
          <w:highlight w:val="none"/>
          <w:u w:val="single"/>
        </w:rPr>
        <w:t>供应商在规定时间内无法解密</w:t>
      </w:r>
      <w:r>
        <w:rPr>
          <w:rFonts w:hint="eastAsia" w:ascii="宋体" w:hAnsi="宋体" w:cs="宋体"/>
          <w:b/>
          <w:bCs/>
          <w:color w:val="auto"/>
          <w:szCs w:val="21"/>
          <w:highlight w:val="none"/>
        </w:rPr>
        <w:t>或</w:t>
      </w:r>
      <w:r>
        <w:rPr>
          <w:rFonts w:hint="eastAsia" w:ascii="宋体" w:hAnsi="宋体" w:cs="宋体"/>
          <w:b/>
          <w:bCs/>
          <w:color w:val="auto"/>
          <w:szCs w:val="21"/>
          <w:highlight w:val="none"/>
          <w:u w:val="single"/>
        </w:rPr>
        <w:t>解密失败且未提供备份电子投标文件</w:t>
      </w:r>
      <w:r>
        <w:rPr>
          <w:rFonts w:hint="eastAsia" w:ascii="宋体" w:hAnsi="宋体" w:cs="宋体"/>
          <w:b/>
          <w:bCs/>
          <w:color w:val="auto"/>
          <w:szCs w:val="21"/>
          <w:highlight w:val="none"/>
        </w:rPr>
        <w:t>的，视为投标人放弃投标。</w:t>
      </w:r>
    </w:p>
    <w:p w14:paraId="7A2B5B37">
      <w:pPr>
        <w:spacing w:line="400" w:lineRule="exact"/>
        <w:ind w:firstLine="420" w:firstLineChars="200"/>
        <w:jc w:val="left"/>
        <w:rPr>
          <w:rFonts w:hint="eastAsia" w:ascii="宋体" w:hAnsi="宋体"/>
          <w:bCs/>
          <w:color w:val="auto"/>
          <w:szCs w:val="21"/>
          <w:highlight w:val="none"/>
          <w:lang w:bidi="ar"/>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bCs/>
          <w:color w:val="auto"/>
          <w:szCs w:val="21"/>
          <w:highlight w:val="none"/>
          <w:lang w:bidi="ar"/>
        </w:rPr>
        <w:t>采购人在招标文件规定的时间和地点公开开标。</w:t>
      </w:r>
    </w:p>
    <w:p w14:paraId="0AB3EB4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（三）开标由采购人（或代理机构）代表组织并主持，</w:t>
      </w:r>
      <w:r>
        <w:rPr>
          <w:rFonts w:ascii="宋体" w:hAnsi="宋体"/>
          <w:color w:val="auto"/>
          <w:szCs w:val="21"/>
          <w:highlight w:val="none"/>
        </w:rPr>
        <w:t>开标时，招标（代理）人介绍参加开标会议的相关人员，如供应商认为相关人员中有需要回避的情形可以在此时要求其回避。</w:t>
      </w:r>
    </w:p>
    <w:p w14:paraId="69D670E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需要回避的情形：</w:t>
      </w:r>
    </w:p>
    <w:p w14:paraId="5430A36F">
      <w:pPr>
        <w:numPr>
          <w:ilvl w:val="0"/>
          <w:numId w:val="5"/>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参加采购活动前3年内与供应商存在劳动关系；</w:t>
      </w:r>
    </w:p>
    <w:p w14:paraId="2FA90AEC">
      <w:pPr>
        <w:numPr>
          <w:ilvl w:val="0"/>
          <w:numId w:val="5"/>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参加采购活动前3年</w:t>
      </w:r>
      <w:r>
        <w:rPr>
          <w:rFonts w:hint="eastAsia" w:ascii="宋体" w:hAnsi="宋体"/>
          <w:color w:val="auto"/>
          <w:szCs w:val="21"/>
          <w:highlight w:val="none"/>
        </w:rPr>
        <w:t>内</w:t>
      </w:r>
      <w:r>
        <w:rPr>
          <w:rFonts w:ascii="宋体" w:hAnsi="宋体"/>
          <w:color w:val="auto"/>
          <w:szCs w:val="21"/>
          <w:highlight w:val="none"/>
        </w:rPr>
        <w:t>担任供应商的董事、监事；</w:t>
      </w:r>
    </w:p>
    <w:p w14:paraId="5C219A2A">
      <w:pPr>
        <w:numPr>
          <w:ilvl w:val="0"/>
          <w:numId w:val="5"/>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参加采购活动前3年内是供应商的控股股东或者实际控制人；</w:t>
      </w:r>
    </w:p>
    <w:p w14:paraId="0F4DEF73">
      <w:pPr>
        <w:numPr>
          <w:ilvl w:val="0"/>
          <w:numId w:val="5"/>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与供应商的法定代表人或者负责人有夫妻、直系血亲、三代以内旁系血亲或者近姻亲关系；</w:t>
      </w:r>
    </w:p>
    <w:p w14:paraId="75C3C62C">
      <w:pPr>
        <w:numPr>
          <w:ilvl w:val="0"/>
          <w:numId w:val="5"/>
        </w:num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与供应商有其他可能影响政府采购活动公平、公正进行的关系。</w:t>
      </w:r>
    </w:p>
    <w:p w14:paraId="14AA8C4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出现上述情形的，供应商法定代表人或其授权代表可以申请相关人员回避。</w:t>
      </w:r>
    </w:p>
    <w:p w14:paraId="555268D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供应商应</w:t>
      </w:r>
      <w:r>
        <w:rPr>
          <w:rFonts w:hint="eastAsia" w:ascii="宋体" w:hAnsi="宋体"/>
          <w:color w:val="auto"/>
          <w:szCs w:val="21"/>
          <w:highlight w:val="none"/>
          <w:lang w:eastAsia="zh-CN"/>
        </w:rPr>
        <w:t>以影印件形式</w:t>
      </w:r>
      <w:r>
        <w:rPr>
          <w:rFonts w:hint="eastAsia" w:ascii="宋体" w:hAnsi="宋体"/>
          <w:color w:val="auto"/>
          <w:szCs w:val="21"/>
          <w:highlight w:val="none"/>
        </w:rPr>
        <w:t>提出对参加开标会对主持人、唱读人、记录人和监督人是否有回避的请求。</w:t>
      </w:r>
    </w:p>
    <w:p w14:paraId="669D9D53">
      <w:pPr>
        <w:spacing w:line="400" w:lineRule="exact"/>
        <w:ind w:firstLine="420" w:firstLineChars="200"/>
        <w:jc w:val="left"/>
        <w:rPr>
          <w:rFonts w:hint="eastAsia" w:ascii="宋体" w:hAnsi="宋体"/>
          <w:bCs/>
          <w:color w:val="auto"/>
          <w:szCs w:val="21"/>
          <w:highlight w:val="none"/>
          <w:lang w:bidi="ar"/>
        </w:rPr>
      </w:pPr>
      <w:r>
        <w:rPr>
          <w:rFonts w:ascii="宋体" w:hAnsi="宋体"/>
          <w:color w:val="auto"/>
          <w:szCs w:val="21"/>
          <w:highlight w:val="none"/>
        </w:rPr>
        <w:t>（</w:t>
      </w:r>
      <w:r>
        <w:rPr>
          <w:rFonts w:hint="eastAsia" w:ascii="宋体" w:hAnsi="宋体"/>
          <w:color w:val="auto"/>
          <w:szCs w:val="21"/>
          <w:highlight w:val="none"/>
        </w:rPr>
        <w:t>四</w:t>
      </w:r>
      <w:r>
        <w:rPr>
          <w:rFonts w:ascii="宋体" w:hAnsi="宋体"/>
          <w:color w:val="auto"/>
          <w:szCs w:val="21"/>
          <w:highlight w:val="none"/>
        </w:rPr>
        <w:t>）</w:t>
      </w:r>
      <w:r>
        <w:rPr>
          <w:rFonts w:hint="eastAsia" w:ascii="宋体" w:hAnsi="宋体"/>
          <w:bCs/>
          <w:color w:val="auto"/>
          <w:szCs w:val="21"/>
          <w:highlight w:val="none"/>
          <w:lang w:bidi="ar"/>
        </w:rPr>
        <w:t>电子招投标开标及评审程序</w:t>
      </w:r>
    </w:p>
    <w:p w14:paraId="419B0B6A">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1、</w:t>
      </w:r>
      <w:r>
        <w:rPr>
          <w:rFonts w:ascii="宋体" w:hAnsi="宋体"/>
          <w:bCs/>
          <w:color w:val="auto"/>
          <w:szCs w:val="21"/>
          <w:highlight w:val="none"/>
          <w:lang w:bidi="ar"/>
        </w:rPr>
        <w:t>投标截止时间后，</w:t>
      </w:r>
      <w:r>
        <w:rPr>
          <w:rFonts w:hint="eastAsia" w:ascii="宋体" w:hAnsi="宋体"/>
          <w:bCs/>
          <w:color w:val="auto"/>
          <w:szCs w:val="21"/>
          <w:highlight w:val="none"/>
          <w:lang w:bidi="ar"/>
        </w:rPr>
        <w:t>供应商</w:t>
      </w:r>
      <w:r>
        <w:rPr>
          <w:rFonts w:ascii="宋体" w:hAnsi="宋体"/>
          <w:bCs/>
          <w:color w:val="auto"/>
          <w:szCs w:val="21"/>
          <w:highlight w:val="none"/>
          <w:lang w:bidi="ar"/>
        </w:rPr>
        <w:t>登录政采云平台，用“项目采购-开标评标”功能对电子投标文件进行在线解密。在线解密电子投标文件时间为开标时间起</w:t>
      </w:r>
      <w:r>
        <w:rPr>
          <w:rFonts w:hint="eastAsia" w:ascii="宋体" w:hAnsi="宋体"/>
          <w:bCs/>
          <w:color w:val="auto"/>
          <w:szCs w:val="21"/>
          <w:highlight w:val="none"/>
          <w:lang w:bidi="ar"/>
        </w:rPr>
        <w:t>30</w:t>
      </w:r>
      <w:r>
        <w:rPr>
          <w:rFonts w:ascii="宋体" w:hAnsi="宋体"/>
          <w:bCs/>
          <w:color w:val="auto"/>
          <w:szCs w:val="21"/>
          <w:highlight w:val="none"/>
          <w:lang w:bidi="ar"/>
        </w:rPr>
        <w:t>分钟内。</w:t>
      </w:r>
    </w:p>
    <w:p w14:paraId="2AF2E9EA">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2、解密完成后由</w:t>
      </w:r>
      <w:r>
        <w:rPr>
          <w:rFonts w:ascii="宋体" w:hAnsi="宋体"/>
          <w:bCs/>
          <w:color w:val="auto"/>
          <w:szCs w:val="21"/>
          <w:highlight w:val="none"/>
          <w:lang w:bidi="ar"/>
        </w:rPr>
        <w:t>采购人或代理机构对</w:t>
      </w:r>
      <w:r>
        <w:rPr>
          <w:rFonts w:hint="eastAsia" w:ascii="宋体" w:hAnsi="宋体"/>
          <w:bCs/>
          <w:color w:val="auto"/>
          <w:szCs w:val="21"/>
          <w:highlight w:val="none"/>
          <w:lang w:bidi="ar"/>
        </w:rPr>
        <w:t>解密完成的供应商</w:t>
      </w:r>
      <w:r>
        <w:rPr>
          <w:rFonts w:ascii="宋体" w:hAnsi="宋体"/>
          <w:bCs/>
          <w:color w:val="auto"/>
          <w:szCs w:val="21"/>
          <w:highlight w:val="none"/>
          <w:lang w:bidi="ar"/>
        </w:rPr>
        <w:t>进行</w:t>
      </w:r>
      <w:r>
        <w:rPr>
          <w:rFonts w:hint="eastAsia" w:ascii="宋体" w:hAnsi="宋体"/>
          <w:bCs/>
          <w:color w:val="auto"/>
          <w:szCs w:val="21"/>
          <w:highlight w:val="none"/>
          <w:lang w:bidi="ar"/>
        </w:rPr>
        <w:t>资格性</w:t>
      </w:r>
      <w:r>
        <w:rPr>
          <w:rFonts w:ascii="宋体" w:hAnsi="宋体"/>
          <w:bCs/>
          <w:color w:val="auto"/>
          <w:szCs w:val="21"/>
          <w:highlight w:val="none"/>
          <w:lang w:bidi="ar"/>
        </w:rPr>
        <w:t>审查</w:t>
      </w:r>
      <w:r>
        <w:rPr>
          <w:rFonts w:hint="eastAsia" w:ascii="宋体" w:hAnsi="宋体"/>
          <w:bCs/>
          <w:color w:val="auto"/>
          <w:szCs w:val="21"/>
          <w:highlight w:val="none"/>
          <w:lang w:bidi="ar"/>
        </w:rPr>
        <w:t>和符合性审查</w:t>
      </w:r>
      <w:r>
        <w:rPr>
          <w:rFonts w:ascii="宋体" w:hAnsi="宋体"/>
          <w:bCs/>
          <w:color w:val="auto"/>
          <w:szCs w:val="21"/>
          <w:highlight w:val="none"/>
          <w:lang w:bidi="ar"/>
        </w:rPr>
        <w:t>；</w:t>
      </w:r>
    </w:p>
    <w:p w14:paraId="2420C3BC">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3、</w:t>
      </w:r>
      <w:r>
        <w:rPr>
          <w:rFonts w:ascii="宋体" w:hAnsi="宋体"/>
          <w:bCs/>
          <w:color w:val="auto"/>
          <w:szCs w:val="21"/>
          <w:highlight w:val="none"/>
          <w:lang w:bidi="ar"/>
        </w:rPr>
        <w:t>评标委员会对</w:t>
      </w:r>
      <w:r>
        <w:rPr>
          <w:rFonts w:hint="eastAsia" w:ascii="宋体" w:hAnsi="宋体"/>
          <w:bCs/>
          <w:color w:val="auto"/>
          <w:szCs w:val="21"/>
          <w:highlight w:val="none"/>
          <w:lang w:bidi="ar"/>
        </w:rPr>
        <w:t>供应商的</w:t>
      </w:r>
      <w:r>
        <w:rPr>
          <w:rFonts w:ascii="宋体" w:hAnsi="宋体"/>
          <w:bCs/>
          <w:color w:val="auto"/>
          <w:szCs w:val="21"/>
          <w:highlight w:val="none"/>
          <w:lang w:bidi="ar"/>
        </w:rPr>
        <w:t>商务技术文件进行评审；</w:t>
      </w:r>
    </w:p>
    <w:p w14:paraId="5E4F7200">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4、</w:t>
      </w:r>
      <w:r>
        <w:rPr>
          <w:rFonts w:ascii="宋体" w:hAnsi="宋体"/>
          <w:bCs/>
          <w:color w:val="auto"/>
          <w:szCs w:val="21"/>
          <w:highlight w:val="none"/>
          <w:lang w:bidi="ar"/>
        </w:rPr>
        <w:t>在系统上公开商务技术评审结果；</w:t>
      </w:r>
    </w:p>
    <w:p w14:paraId="6F9D04AD">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5、</w:t>
      </w:r>
      <w:r>
        <w:rPr>
          <w:rFonts w:ascii="宋体" w:hAnsi="宋体"/>
          <w:bCs/>
          <w:color w:val="auto"/>
          <w:szCs w:val="21"/>
          <w:highlight w:val="none"/>
          <w:lang w:bidi="ar"/>
        </w:rPr>
        <w:t>在系统上公开报价开标情况；</w:t>
      </w:r>
    </w:p>
    <w:p w14:paraId="1441A4E3">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6、</w:t>
      </w:r>
      <w:r>
        <w:rPr>
          <w:rFonts w:ascii="宋体" w:hAnsi="宋体"/>
          <w:bCs/>
          <w:color w:val="auto"/>
          <w:szCs w:val="21"/>
          <w:highlight w:val="none"/>
          <w:lang w:bidi="ar"/>
        </w:rPr>
        <w:t>评标委员会对</w:t>
      </w:r>
      <w:r>
        <w:rPr>
          <w:rFonts w:hint="eastAsia" w:ascii="宋体" w:hAnsi="宋体"/>
          <w:bCs/>
          <w:color w:val="auto"/>
          <w:szCs w:val="21"/>
          <w:highlight w:val="none"/>
          <w:lang w:bidi="ar"/>
        </w:rPr>
        <w:t>供应商的</w:t>
      </w:r>
      <w:r>
        <w:rPr>
          <w:rFonts w:ascii="宋体" w:hAnsi="宋体"/>
          <w:bCs/>
          <w:color w:val="auto"/>
          <w:szCs w:val="21"/>
          <w:highlight w:val="none"/>
          <w:lang w:bidi="ar"/>
        </w:rPr>
        <w:t>报价</w:t>
      </w:r>
      <w:r>
        <w:rPr>
          <w:rFonts w:hint="eastAsia" w:ascii="宋体" w:hAnsi="宋体"/>
          <w:bCs/>
          <w:color w:val="auto"/>
          <w:szCs w:val="21"/>
          <w:highlight w:val="none"/>
          <w:lang w:bidi="ar"/>
        </w:rPr>
        <w:t>文件</w:t>
      </w:r>
      <w:r>
        <w:rPr>
          <w:rFonts w:ascii="宋体" w:hAnsi="宋体"/>
          <w:bCs/>
          <w:color w:val="auto"/>
          <w:szCs w:val="21"/>
          <w:highlight w:val="none"/>
          <w:lang w:bidi="ar"/>
        </w:rPr>
        <w:t>进行评审；</w:t>
      </w:r>
    </w:p>
    <w:p w14:paraId="70CD96CB">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7、</w:t>
      </w:r>
      <w:r>
        <w:rPr>
          <w:rFonts w:ascii="宋体" w:hAnsi="宋体"/>
          <w:bCs/>
          <w:color w:val="auto"/>
          <w:szCs w:val="21"/>
          <w:highlight w:val="none"/>
          <w:lang w:bidi="ar"/>
        </w:rPr>
        <w:t>在系统上公布评审结果。</w:t>
      </w:r>
    </w:p>
    <w:p w14:paraId="706D59DA">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特别说明：政采云公司如对电子化开标及评审程序有调整的，按调整后的程序操作。</w:t>
      </w:r>
      <w:r>
        <w:rPr>
          <w:rFonts w:ascii="宋体" w:hAnsi="宋体"/>
          <w:bCs/>
          <w:color w:val="auto"/>
          <w:szCs w:val="21"/>
          <w:highlight w:val="none"/>
          <w:lang w:bidi="ar"/>
        </w:rPr>
        <w:t xml:space="preserve"> </w:t>
      </w:r>
    </w:p>
    <w:p w14:paraId="2E461FB8">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8.本项目原则上采用政采云电子招投标开标及评审程序，但有下情形之一的，按以下情况处理：</w:t>
      </w:r>
    </w:p>
    <w:p w14:paraId="7C3BA9E2">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8.1若供应商在规定时间内无法解密或解密失败，将开启该供应商递交的备份投标文件，上传至政采云平台项目采购模块，以完成开标，其电子投标文件自动失效。</w:t>
      </w:r>
    </w:p>
    <w:p w14:paraId="1E6D29BF">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8.2若因政采云平台原因无法读取或电子开评标无法正常进行，采购人将中止电子交易活动。</w:t>
      </w:r>
    </w:p>
    <w:p w14:paraId="5201BA61">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8.3采购过程中出现以下情形，导致电子交易平台无法正常运行，或者无法保证电子交易的公平、公正和安全时，采购组织机构可中止电子交易活动：</w:t>
      </w:r>
    </w:p>
    <w:p w14:paraId="4733E429">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 xml:space="preserve">8.3.1电子交易平台发生故障而无法登录访问的； </w:t>
      </w:r>
    </w:p>
    <w:p w14:paraId="7BD7DF0A">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8.3.2电子交易平台应用或数据库出现错误，不能进行正常操作的；</w:t>
      </w:r>
    </w:p>
    <w:p w14:paraId="4D6578DB">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8.3.3电子交易平台发现严重安全漏洞，有潜在泄密危险的；</w:t>
      </w:r>
    </w:p>
    <w:p w14:paraId="10FE73AC">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 xml:space="preserve">8.3.4电脑病毒导致不能进行正常操作的； </w:t>
      </w:r>
    </w:p>
    <w:p w14:paraId="46EBD223">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8.3.5其他无法保证电子交易的公平、公正和安全的情况。</w:t>
      </w:r>
    </w:p>
    <w:p w14:paraId="7FEEA2A7">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出现前款规定情形，不影响采购公平、公正性的，采购组织机构可以待上述情形消除后继续组织电子交易活动。</w:t>
      </w:r>
    </w:p>
    <w:p w14:paraId="4F567E6F">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（五）评标</w:t>
      </w:r>
    </w:p>
    <w:p w14:paraId="380C3A90">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1.评标委员会</w:t>
      </w:r>
    </w:p>
    <w:p w14:paraId="17F60648">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1.1评标委员会依法由5人及以上奇数的人员组成，评标委员会对投标文件进行审查、质疑、评估和比较。</w:t>
      </w:r>
    </w:p>
    <w:p w14:paraId="5714B519">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1.2在开标过程中，如评审小组对评标文件有疑问，由评审组长将问题汇总后发起询标函，或由采购代理机构代替发起。供应商在截止时间前，根据标项回复询标函。</w:t>
      </w:r>
    </w:p>
    <w:p w14:paraId="1B0ED516">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 xml:space="preserve">路径：用户中心—项目采购—询标澄清 </w:t>
      </w:r>
    </w:p>
    <w:p w14:paraId="4D75B446">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（1）、政采云平台通过待办事项和短信提醒供应商在截止时间前完成澄清。</w:t>
      </w:r>
    </w:p>
    <w:p w14:paraId="0DB047D5">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（2）、供应商在“询标澄清-待办理”标签页下选择状态为“待澄清”的项目，点击操作栏【澄清】。</w:t>
      </w:r>
    </w:p>
    <w:p w14:paraId="6BED2107">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（3）、查看询标函内容，在澄清截止时间前上传澄清文件并对澄清文件进行签章。（注：澄清文件必须以 PDF 格式上传，文件大小：50M（含）以内。）</w:t>
      </w:r>
    </w:p>
    <w:p w14:paraId="08501FD3">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（4）、签章完成，文件名称处显示“已签章”，供应商可“撤回签章”修改澄清函和“查看文件”。</w:t>
      </w:r>
    </w:p>
    <w:p w14:paraId="70A2E342">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33F091E3">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完成状态：供应商澄清文件提交成功后，在“询标澄清-全部”标签页下显示状态为“已澄清”。</w:t>
      </w:r>
    </w:p>
    <w:p w14:paraId="7FAF4E34">
      <w:pPr>
        <w:spacing w:line="400" w:lineRule="exact"/>
        <w:ind w:firstLine="420" w:firstLineChars="200"/>
        <w:jc w:val="left"/>
        <w:rPr>
          <w:rFonts w:hint="eastAsia" w:eastAsia="宋体"/>
          <w:color w:val="auto"/>
          <w:highlight w:val="none"/>
          <w:lang w:eastAsia="zh-CN"/>
        </w:rPr>
      </w:pPr>
      <w:r>
        <w:rPr>
          <w:rFonts w:hint="eastAsia" w:ascii="宋体" w:hAnsi="宋体"/>
          <w:bCs/>
          <w:color w:val="auto"/>
          <w:szCs w:val="21"/>
          <w:highlight w:val="none"/>
          <w:lang w:eastAsia="zh-CN" w:bidi="ar"/>
        </w:rPr>
        <w:t>（六）特别说明：政采云公司如对电子化开标及评审程序有调整的，按调整后的程序操作。</w:t>
      </w:r>
    </w:p>
    <w:p w14:paraId="71B2F4AE">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2、评标原则与方法</w:t>
      </w:r>
    </w:p>
    <w:p w14:paraId="61DC7543">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2.1评标委员会将遵循公开、公平、公正的原则，对供应商提供的服务价格、提供的服务方案等进行综合分析考评，由评委按照招标文件规定的评分标准记名并独立打分，推荐综合得分排名第一的投标供应商为第一预中标人。</w:t>
      </w:r>
    </w:p>
    <w:p w14:paraId="28E41EFD">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2.2客观、公正的对待所有投标供应商，对所有投标评价，均采用相同的程序和标准。</w:t>
      </w:r>
    </w:p>
    <w:p w14:paraId="14BAE4AB">
      <w:pPr>
        <w:spacing w:line="400" w:lineRule="exact"/>
        <w:ind w:firstLine="422" w:firstLineChars="200"/>
        <w:jc w:val="left"/>
        <w:rPr>
          <w:rFonts w:hint="eastAsia" w:ascii="宋体" w:hAnsi="宋体"/>
          <w:b/>
          <w:color w:val="auto"/>
          <w:szCs w:val="21"/>
          <w:highlight w:val="none"/>
          <w:lang w:bidi="ar"/>
        </w:rPr>
      </w:pPr>
      <w:r>
        <w:rPr>
          <w:rFonts w:hint="eastAsia" w:ascii="宋体" w:hAnsi="宋体"/>
          <w:b/>
          <w:color w:val="auto"/>
          <w:szCs w:val="21"/>
          <w:highlight w:val="none"/>
          <w:lang w:bidi="ar"/>
        </w:rPr>
        <w:t>▲2.3在开标、投标期间，投标供应商不得向评标委员会成员询问评标情况，不得进行旨在影响评标结果的活动，否则将废除其投标资格。</w:t>
      </w:r>
    </w:p>
    <w:p w14:paraId="1E94FF96">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2.4在评标过程中，评标成员不得与投标供应商私下交换意见，在招标工作结束后，凡与评标情况有接触的人不得将评标情况扩散出评标成员之外。</w:t>
      </w:r>
    </w:p>
    <w:p w14:paraId="2D82721B">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2.5采购人不向落标方解释落标原因。</w:t>
      </w:r>
    </w:p>
    <w:p w14:paraId="09238839">
      <w:pPr>
        <w:spacing w:line="400" w:lineRule="exact"/>
        <w:ind w:firstLine="420" w:firstLineChars="200"/>
        <w:jc w:val="left"/>
        <w:rPr>
          <w:rFonts w:ascii="宋体" w:hAnsi="宋体"/>
          <w:bCs/>
          <w:color w:val="auto"/>
          <w:szCs w:val="21"/>
          <w:highlight w:val="none"/>
          <w:lang w:bidi="ar"/>
        </w:rPr>
      </w:pPr>
      <w:r>
        <w:rPr>
          <w:rFonts w:hint="eastAsia" w:ascii="宋体" w:hAnsi="宋体"/>
          <w:bCs/>
          <w:color w:val="auto"/>
          <w:szCs w:val="21"/>
          <w:highlight w:val="none"/>
          <w:lang w:bidi="ar"/>
        </w:rPr>
        <w:t>2.6资格性审查：</w:t>
      </w:r>
      <w:r>
        <w:rPr>
          <w:rFonts w:hint="eastAsia" w:ascii="宋体" w:hAnsi="宋体" w:cs="宋体"/>
          <w:bCs/>
          <w:color w:val="auto"/>
          <w:szCs w:val="21"/>
          <w:highlight w:val="none"/>
          <w:lang w:bidi="ar"/>
        </w:rPr>
        <w:t>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w:t>
      </w:r>
      <w:r>
        <w:rPr>
          <w:rFonts w:hint="eastAsia" w:ascii="宋体" w:hAnsi="宋体"/>
          <w:bCs/>
          <w:color w:val="auto"/>
          <w:szCs w:val="21"/>
          <w:highlight w:val="none"/>
          <w:lang w:bidi="ar"/>
        </w:rPr>
        <w:t>。</w:t>
      </w:r>
      <w:r>
        <w:rPr>
          <w:rFonts w:hint="eastAsia" w:ascii="宋体" w:hAnsi="宋体" w:cs="宋体"/>
          <w:bCs/>
          <w:color w:val="auto"/>
          <w:szCs w:val="21"/>
          <w:highlight w:val="none"/>
          <w:lang w:bidi="ar"/>
        </w:rPr>
        <w:t>对未通过资格性审查的供应商，采购人或采购机构告知其未通过的原因。合格供应商不足3家的，不再评标。</w:t>
      </w:r>
    </w:p>
    <w:p w14:paraId="65B980DB">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2.7符合性审查：</w:t>
      </w:r>
      <w:r>
        <w:rPr>
          <w:rFonts w:hint="eastAsia" w:ascii="宋体" w:hAnsi="宋体" w:cs="宋体"/>
          <w:bCs/>
          <w:color w:val="auto"/>
          <w:szCs w:val="21"/>
          <w:highlight w:val="none"/>
          <w:lang w:bidi="ar"/>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r>
        <w:rPr>
          <w:rFonts w:hint="eastAsia" w:ascii="宋体" w:hAnsi="宋体"/>
          <w:bCs/>
          <w:color w:val="auto"/>
          <w:szCs w:val="21"/>
          <w:highlight w:val="none"/>
          <w:lang w:bidi="ar"/>
        </w:rPr>
        <w:t>。</w:t>
      </w:r>
      <w:r>
        <w:rPr>
          <w:rFonts w:hint="eastAsia" w:ascii="宋体" w:hAnsi="宋体" w:cs="宋体"/>
          <w:bCs/>
          <w:color w:val="auto"/>
          <w:szCs w:val="21"/>
          <w:highlight w:val="none"/>
          <w:lang w:bidi="ar"/>
        </w:rPr>
        <w:t>如果投标文件实质不响应招标文件的各项要求，评标委员会将予以拒绝，并且不允许供应商通过修改或撤销其不符合要求的差异或保留，使之成为具有实质性响应的投标。</w:t>
      </w:r>
    </w:p>
    <w:p w14:paraId="2979E094">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 xml:space="preserve">2.8商务评议：按照第六章商务条款的各项要求，对照投标文件的响应进行比较，判定其偏差性质和程度。 </w:t>
      </w:r>
    </w:p>
    <w:p w14:paraId="6894C95B">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2.9技术评议：按照第五章采购项目需求的各项要求，对照投标文件的响应进行比较，判定其偏差性质和程度。</w:t>
      </w:r>
    </w:p>
    <w:p w14:paraId="78E5117C">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2.10综合评估：通过资格性审查、符合性审查、商务评议和技术评议的投标，评标委员会成员分别对其商务、技术和价格按第三章评标办法及标准的规定进行打分。</w:t>
      </w:r>
    </w:p>
    <w:p w14:paraId="710253C8">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2.11评标委员会经过评审，认为所有投标都不符合招标文件要求的，可以否决所有投标。</w:t>
      </w:r>
    </w:p>
    <w:p w14:paraId="28A8E06B">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2.12推荐预中标供应商</w:t>
      </w:r>
    </w:p>
    <w:p w14:paraId="21181B39">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按评分结果由高到低排序，得分相同，按投标报价由低到高顺序排列。得分且投标报价相同的并列。投标文件满足招标文件全部实质性要求，且按照评审因素的量化指标评审得分最高的供应商为本项目预中标供应商。</w:t>
      </w:r>
    </w:p>
    <w:p w14:paraId="5DE7C435">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2.13定标</w:t>
      </w:r>
      <w:r>
        <w:rPr>
          <w:rFonts w:hint="eastAsia" w:ascii="宋体" w:hAnsi="宋体"/>
          <w:bCs/>
          <w:color w:val="auto"/>
          <w:szCs w:val="21"/>
          <w:highlight w:val="none"/>
          <w:lang w:bidi="ar"/>
        </w:rPr>
        <w:tab/>
      </w:r>
    </w:p>
    <w:p w14:paraId="565F0540">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本项目由采购人确定中标人。</w:t>
      </w:r>
    </w:p>
    <w:p w14:paraId="232A49DE">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47B34D2C">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若中标人放弃中标、或事后查询为失信被执行人的、或因不可抗力提出不能履行合同被依法撤销中标资格，则招标人可确定排名其次的中标候选人为中标人，或重新组织招标。</w:t>
      </w:r>
    </w:p>
    <w:p w14:paraId="5411ECF2">
      <w:pPr>
        <w:spacing w:line="400" w:lineRule="exact"/>
        <w:ind w:firstLine="422" w:firstLineChars="200"/>
        <w:jc w:val="left"/>
        <w:rPr>
          <w:rFonts w:hint="eastAsia" w:ascii="宋体" w:hAnsi="宋体"/>
          <w:b/>
          <w:color w:val="auto"/>
          <w:szCs w:val="21"/>
          <w:highlight w:val="none"/>
          <w:lang w:bidi="ar"/>
        </w:rPr>
      </w:pPr>
      <w:r>
        <w:rPr>
          <w:rFonts w:hint="eastAsia" w:ascii="宋体" w:hAnsi="宋体"/>
          <w:b/>
          <w:color w:val="auto"/>
          <w:szCs w:val="21"/>
          <w:highlight w:val="none"/>
          <w:lang w:bidi="ar"/>
        </w:rPr>
        <w:t>▲3.评标过程的监控</w:t>
      </w:r>
    </w:p>
    <w:p w14:paraId="242D3020">
      <w:pPr>
        <w:spacing w:line="400" w:lineRule="exact"/>
        <w:ind w:firstLine="422" w:firstLineChars="200"/>
        <w:jc w:val="left"/>
        <w:rPr>
          <w:rFonts w:hint="eastAsia" w:ascii="宋体" w:hAnsi="宋体" w:cs="宋体"/>
          <w:color w:val="auto"/>
          <w:szCs w:val="21"/>
          <w:highlight w:val="none"/>
        </w:rPr>
      </w:pPr>
      <w:r>
        <w:rPr>
          <w:rFonts w:hint="eastAsia" w:ascii="宋体" w:hAnsi="宋体"/>
          <w:b/>
          <w:color w:val="auto"/>
          <w:szCs w:val="21"/>
          <w:highlight w:val="none"/>
          <w:lang w:bidi="ar"/>
        </w:rPr>
        <w:t>本项目评标过程实行全程录音、录像监控，供应商在评标过程中所进行的试图影响评标结果的不公正活动，可能导致其投标被拒绝</w:t>
      </w:r>
      <w:r>
        <w:rPr>
          <w:rFonts w:hint="eastAsia" w:ascii="宋体" w:hAnsi="宋体" w:cs="宋体"/>
          <w:b/>
          <w:bCs/>
          <w:color w:val="auto"/>
          <w:szCs w:val="21"/>
          <w:highlight w:val="none"/>
          <w:lang w:bidi="ar"/>
        </w:rPr>
        <w:t>。</w:t>
      </w:r>
    </w:p>
    <w:p w14:paraId="1BA485F9">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bidi="ar"/>
        </w:rPr>
        <w:t>十一、招标文件的澄清和修改</w:t>
      </w:r>
    </w:p>
    <w:p w14:paraId="6E9398C0">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438A7CD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、潜在供应商收到代理机构发出的招标文件澄清或修改通知，或顺延提交投标文件截止时间通知后，应在通知单回执上明示收悉意见、加盖供应商公章，以书面形式回复代理机构。</w:t>
      </w:r>
    </w:p>
    <w:p w14:paraId="4709727D">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bidi="ar"/>
        </w:rPr>
        <w:t>十二、质疑</w:t>
      </w:r>
      <w:r>
        <w:rPr>
          <w:rFonts w:hint="eastAsia" w:ascii="宋体" w:hAnsi="宋体" w:cs="宋体"/>
          <w:b/>
          <w:color w:val="auto"/>
          <w:szCs w:val="21"/>
          <w:highlight w:val="none"/>
        </w:rPr>
        <w:t>和投诉</w:t>
      </w:r>
    </w:p>
    <w:p w14:paraId="38123B10">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w:t>
      </w:r>
      <w:r>
        <w:rPr>
          <w:rFonts w:hint="eastAsia" w:ascii="宋体" w:hAnsi="宋体" w:cs="宋体"/>
          <w:b/>
          <w:bCs/>
          <w:color w:val="auto"/>
          <w:szCs w:val="21"/>
          <w:highlight w:val="none"/>
        </w:rPr>
        <w:t>或者通过政采云平台在线</w:t>
      </w:r>
      <w:r>
        <w:rPr>
          <w:rFonts w:hint="eastAsia" w:ascii="宋体" w:hAnsi="宋体" w:cs="宋体"/>
          <w:color w:val="auto"/>
          <w:szCs w:val="21"/>
          <w:highlight w:val="none"/>
        </w:rPr>
        <w:t>向采购人和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7CD03BD7">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930F9B9">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w:t>
      </w:r>
      <w:r>
        <w:rPr>
          <w:rFonts w:hint="eastAsia" w:ascii="宋体" w:hAnsi="宋体" w:cs="宋体"/>
          <w:b/>
          <w:bCs/>
          <w:color w:val="auto"/>
          <w:szCs w:val="21"/>
          <w:highlight w:val="none"/>
        </w:rPr>
        <w:t>或者通过政采云平台在线</w:t>
      </w:r>
      <w:r>
        <w:rPr>
          <w:rFonts w:hint="eastAsia" w:ascii="宋体" w:hAnsi="宋体" w:cs="宋体"/>
          <w:color w:val="auto"/>
          <w:szCs w:val="21"/>
          <w:highlight w:val="none"/>
        </w:rPr>
        <w:t>提出，质疑函格式和内容须符合财政部《质疑函范本》要求，供应商可到</w:t>
      </w:r>
      <w:r>
        <w:rPr>
          <w:rFonts w:hint="eastAsia" w:ascii="宋体" w:hAnsi="宋体" w:cs="宋体"/>
          <w:color w:val="auto"/>
          <w:szCs w:val="21"/>
          <w:highlight w:val="none"/>
          <w:lang w:eastAsia="zh-CN"/>
        </w:rPr>
        <w:t>浙江</w:t>
      </w:r>
      <w:r>
        <w:rPr>
          <w:rFonts w:hint="eastAsia" w:ascii="宋体" w:hAnsi="宋体" w:cs="宋体"/>
          <w:color w:val="auto"/>
          <w:szCs w:val="21"/>
          <w:highlight w:val="none"/>
        </w:rPr>
        <w:t>政府采购网自行下载财政部《质疑函范本》。</w:t>
      </w:r>
    </w:p>
    <w:p w14:paraId="6BFE7C87">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030D6539">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5、采购人、采购代理机构接收质疑函的方式：只接收供应商以当面递交、邮寄、传真或电子邮件</w:t>
      </w:r>
      <w:r>
        <w:rPr>
          <w:rFonts w:hint="eastAsia" w:ascii="宋体" w:hAnsi="宋体" w:cs="宋体"/>
          <w:b/>
          <w:bCs/>
          <w:color w:val="auto"/>
          <w:szCs w:val="21"/>
          <w:highlight w:val="none"/>
        </w:rPr>
        <w:t>或者通过政采云平台在线</w:t>
      </w:r>
      <w:r>
        <w:rPr>
          <w:rFonts w:hint="eastAsia" w:ascii="宋体" w:hAnsi="宋体" w:cs="宋体"/>
          <w:color w:val="auto"/>
          <w:szCs w:val="21"/>
          <w:highlight w:val="none"/>
        </w:rPr>
        <w:t>方式提出的质疑函，以其他方式提出的质疑不予接收。</w:t>
      </w:r>
    </w:p>
    <w:p w14:paraId="3966CB72">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14:paraId="00DE229D">
      <w:pPr>
        <w:topLinePunct/>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1AE0B19F">
      <w:pPr>
        <w:topLinePunct/>
        <w:spacing w:line="380" w:lineRule="exac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采取政采云平台在线方式提出的质疑函</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供应商应当在政采云平台在线</w:t>
      </w:r>
      <w:r>
        <w:rPr>
          <w:rFonts w:hint="eastAsia" w:ascii="宋体" w:hAnsi="宋体" w:cs="宋体"/>
          <w:b/>
          <w:bCs/>
          <w:color w:val="auto"/>
          <w:szCs w:val="21"/>
          <w:highlight w:val="none"/>
          <w:lang w:eastAsia="zh-CN"/>
        </w:rPr>
        <w:t>提出质疑后</w:t>
      </w:r>
      <w:r>
        <w:rPr>
          <w:rFonts w:hint="eastAsia" w:ascii="宋体" w:hAnsi="宋体" w:cs="宋体"/>
          <w:b/>
          <w:bCs/>
          <w:color w:val="auto"/>
          <w:szCs w:val="21"/>
          <w:highlight w:val="none"/>
        </w:rPr>
        <w:t>将质疑函原件邮寄给被质疑人，提出质疑的时间为质疑函原件交邮的时间（以邮戳时间或快递收件时间为准）。</w:t>
      </w:r>
    </w:p>
    <w:p w14:paraId="0A531D67">
      <w:pPr>
        <w:topLinePunct/>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6、采购人、采购代理机构以实际收到质疑函原件之日作为收到质疑函的日期，将在收到质疑函后7个工作日内作出答复。</w:t>
      </w:r>
    </w:p>
    <w:p w14:paraId="3453BC9E">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7、采购人、采购代理机构接收质疑函的联系人、联系电话和通讯地址等信息详见采购公告。</w:t>
      </w:r>
    </w:p>
    <w:p w14:paraId="46E7F506">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8、供应商对采购人或采购代理机构的质疑答复不满意或者采购人或采购代理机构未在规定时间内作出答复的，可以在答复期满后十五个工作日内向同级采购监管部门投诉。</w:t>
      </w:r>
    </w:p>
    <w:p w14:paraId="7875576C">
      <w:pPr>
        <w:spacing w:line="400" w:lineRule="exact"/>
        <w:ind w:firstLine="422" w:firstLineChars="200"/>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十三、预算价</w:t>
      </w:r>
    </w:p>
    <w:p w14:paraId="589D066F">
      <w:pPr>
        <w:spacing w:line="400" w:lineRule="exact"/>
        <w:ind w:firstLine="422" w:firstLineChars="200"/>
        <w:jc w:val="left"/>
        <w:rPr>
          <w:rFonts w:hint="eastAsia" w:ascii="宋体" w:hAnsi="宋体" w:eastAsia="宋体" w:cs="宋体"/>
          <w:b/>
          <w:bCs w:val="0"/>
          <w:color w:val="auto"/>
          <w:szCs w:val="21"/>
          <w:highlight w:val="none"/>
          <w:lang w:eastAsia="zh-CN" w:bidi="ar"/>
        </w:rPr>
      </w:pPr>
      <w:bookmarkStart w:id="3" w:name="_Toc11591"/>
      <w:bookmarkStart w:id="4" w:name="_Toc11298"/>
      <w:bookmarkStart w:id="5" w:name="_Toc12376821"/>
      <w:bookmarkStart w:id="6" w:name="_Toc441316554"/>
      <w:bookmarkStart w:id="7" w:name="_Toc12428980"/>
      <w:bookmarkStart w:id="8" w:name="_Toc12374296"/>
      <w:bookmarkStart w:id="9" w:name="_Toc419729158"/>
      <w:bookmarkStart w:id="10" w:name="_Toc529781143"/>
      <w:bookmarkStart w:id="11" w:name="_Toc436408708"/>
      <w:r>
        <w:rPr>
          <w:rFonts w:hint="eastAsia" w:ascii="宋体" w:hAnsi="宋体" w:cs="宋体"/>
          <w:b/>
          <w:color w:val="auto"/>
          <w:szCs w:val="21"/>
          <w:highlight w:val="none"/>
          <w:lang w:bidi="ar"/>
        </w:rPr>
        <w:t>本次公开招标设有</w:t>
      </w:r>
      <w:r>
        <w:rPr>
          <w:rFonts w:hint="eastAsia" w:ascii="宋体" w:hAnsi="宋体" w:eastAsia="宋体" w:cs="宋体"/>
          <w:b/>
          <w:bCs w:val="0"/>
          <w:color w:val="auto"/>
          <w:szCs w:val="21"/>
          <w:highlight w:val="none"/>
          <w:lang w:bidi="ar"/>
        </w:rPr>
        <w:t>预算价</w:t>
      </w:r>
      <w:r>
        <w:rPr>
          <w:rFonts w:hint="eastAsia" w:ascii="宋体" w:hAnsi="宋体" w:eastAsia="宋体" w:cs="宋体"/>
          <w:b/>
          <w:bCs w:val="0"/>
          <w:color w:val="auto"/>
          <w:szCs w:val="21"/>
          <w:highlight w:val="none"/>
          <w:lang w:val="en-US" w:eastAsia="zh-CN" w:bidi="ar"/>
        </w:rPr>
        <w:t>,</w:t>
      </w:r>
      <w:r>
        <w:rPr>
          <w:rFonts w:hint="eastAsia" w:ascii="宋体" w:hAnsi="宋体" w:eastAsia="宋体" w:cs="宋体"/>
          <w:b/>
          <w:bCs w:val="0"/>
          <w:color w:val="auto"/>
          <w:szCs w:val="21"/>
          <w:highlight w:val="none"/>
          <w:lang w:eastAsia="zh-CN" w:bidi="ar"/>
        </w:rPr>
        <w:t>预算价</w:t>
      </w:r>
      <w:r>
        <w:rPr>
          <w:rFonts w:hint="eastAsia" w:ascii="宋体" w:hAnsi="宋体" w:eastAsia="宋体" w:cs="宋体"/>
          <w:b/>
          <w:bCs w:val="0"/>
          <w:color w:val="auto"/>
          <w:szCs w:val="21"/>
          <w:highlight w:val="none"/>
          <w:lang w:val="en-US" w:eastAsia="zh-CN" w:bidi="ar"/>
        </w:rPr>
        <w:t>60万</w:t>
      </w:r>
      <w:r>
        <w:rPr>
          <w:rFonts w:hint="eastAsia" w:ascii="宋体" w:hAnsi="宋体" w:eastAsia="宋体" w:cs="宋体"/>
          <w:b/>
          <w:bCs w:val="0"/>
          <w:color w:val="auto"/>
          <w:kern w:val="0"/>
          <w:szCs w:val="21"/>
          <w:highlight w:val="none"/>
          <w:lang w:bidi="ar"/>
        </w:rPr>
        <w:t>元</w:t>
      </w:r>
      <w:r>
        <w:rPr>
          <w:rFonts w:hint="eastAsia" w:ascii="宋体" w:hAnsi="宋体" w:eastAsia="宋体" w:cs="宋体"/>
          <w:b/>
          <w:bCs w:val="0"/>
          <w:color w:val="auto"/>
          <w:kern w:val="0"/>
          <w:szCs w:val="21"/>
          <w:highlight w:val="none"/>
          <w:lang w:val="en-US" w:eastAsia="zh-CN" w:bidi="ar"/>
        </w:rPr>
        <w:t>/年</w:t>
      </w:r>
      <w:r>
        <w:rPr>
          <w:rFonts w:hint="eastAsia" w:ascii="宋体" w:hAnsi="宋体" w:eastAsia="宋体" w:cs="宋体"/>
          <w:b/>
          <w:bCs w:val="0"/>
          <w:color w:val="auto"/>
          <w:szCs w:val="21"/>
          <w:highlight w:val="none"/>
          <w:lang w:eastAsia="zh-CN" w:bidi="ar"/>
        </w:rPr>
        <w:t>，</w:t>
      </w:r>
      <w:r>
        <w:rPr>
          <w:rFonts w:hint="eastAsia" w:ascii="宋体" w:hAnsi="宋体" w:cs="宋体"/>
          <w:b/>
          <w:color w:val="auto"/>
          <w:szCs w:val="21"/>
          <w:highlight w:val="none"/>
        </w:rPr>
        <w:t>超出</w:t>
      </w:r>
      <w:r>
        <w:rPr>
          <w:rFonts w:hint="eastAsia" w:ascii="宋体" w:hAnsi="宋体" w:cs="宋体"/>
          <w:b/>
          <w:color w:val="auto"/>
          <w:szCs w:val="21"/>
          <w:highlight w:val="none"/>
          <w:lang w:eastAsia="zh-CN"/>
        </w:rPr>
        <w:t>预算价</w:t>
      </w:r>
      <w:r>
        <w:rPr>
          <w:rFonts w:hint="eastAsia" w:ascii="宋体" w:hAnsi="宋体" w:cs="宋体"/>
          <w:b/>
          <w:color w:val="auto"/>
          <w:szCs w:val="21"/>
          <w:highlight w:val="none"/>
        </w:rPr>
        <w:t>的视为无效投标</w:t>
      </w:r>
      <w:r>
        <w:rPr>
          <w:rFonts w:hint="eastAsia" w:ascii="宋体" w:hAnsi="宋体" w:eastAsia="宋体" w:cs="宋体"/>
          <w:b/>
          <w:bCs w:val="0"/>
          <w:color w:val="auto"/>
          <w:szCs w:val="21"/>
          <w:highlight w:val="none"/>
          <w:lang w:eastAsia="zh-CN" w:bidi="ar"/>
        </w:rPr>
        <w:t>；</w:t>
      </w:r>
    </w:p>
    <w:p w14:paraId="458753DB">
      <w:pPr>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、无效投标</w:t>
      </w:r>
    </w:p>
    <w:p w14:paraId="4407C712">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发生下列情况之一的投标文件被视为无效：</w:t>
      </w:r>
    </w:p>
    <w:p w14:paraId="5EE1BD3B">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1、投标文件未按招标文件要求签署、盖章的；</w:t>
      </w:r>
    </w:p>
    <w:p w14:paraId="0F36523E">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2、不具备招标文件中规定的资格要求的；</w:t>
      </w:r>
    </w:p>
    <w:p w14:paraId="3A728CD5">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3、报价超过招标文件中规定的预算金额的；</w:t>
      </w:r>
    </w:p>
    <w:p w14:paraId="54ED48B1">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4、投标文件含有采购人不能接受的附加条件的；</w:t>
      </w:r>
    </w:p>
    <w:p w14:paraId="561A8EE2">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5、标项以赠送方式投标的，对一个标项提供两个投标方案的；</w:t>
      </w:r>
    </w:p>
    <w:p w14:paraId="16C238FC">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6、带“▲”的条款不能满足采购文件要求；</w:t>
      </w:r>
    </w:p>
    <w:p w14:paraId="7B9952C9">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7、投标供应商在投标活动中提供任何虚假材料或从事其他违法活动的；</w:t>
      </w:r>
    </w:p>
    <w:p w14:paraId="566D02FA">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8、评委会一致认为报价明显不合理的；</w:t>
      </w:r>
    </w:p>
    <w:p w14:paraId="54D908DC">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9、违反公平竞争的原则或恶意串通或妨碍其他投标人的竞争行为或损害采购人或者其他投标人的合法权益的；</w:t>
      </w:r>
    </w:p>
    <w:p w14:paraId="0DBD2D5B">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10、“资格文件”、“商务技术文件”中出现涉及投标价格的内容；</w:t>
      </w:r>
    </w:p>
    <w:p w14:paraId="469F3979">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11、投标文件报价出现前后不一致，经按招标文件规定修正后，投标人对修正后的报价不确认的；</w:t>
      </w:r>
    </w:p>
    <w:p w14:paraId="3BE9A5A1">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12、未提供招标文件要求的资格证明文件；</w:t>
      </w:r>
    </w:p>
    <w:p w14:paraId="18396E4C">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13、投标人有下列情形之一的视为投标人串通投标，其投标无效：</w:t>
      </w:r>
    </w:p>
    <w:p w14:paraId="0E40B44F">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13.1、不同投标人的投标文件由同一单位或者个人编制；</w:t>
      </w:r>
    </w:p>
    <w:p w14:paraId="1CAA347E">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13.2、不同投标人委托同一单位或者个人办理投标事宜；</w:t>
      </w:r>
    </w:p>
    <w:p w14:paraId="1A690A9A">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13.3、不同投标人的投标文件载明的项目管理成员或者联系人员为同一人；</w:t>
      </w:r>
    </w:p>
    <w:p w14:paraId="5ACB4C05">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13.4、不同投标人的投标文件异常一致或者投标报价呈规律性差异；</w:t>
      </w:r>
    </w:p>
    <w:p w14:paraId="40934D23">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13.5、不同投标人的投标文件相互混装；</w:t>
      </w:r>
    </w:p>
    <w:p w14:paraId="35D41EB0">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14、参与同一个采购包(标段)的供应商存在下列情形之一且无法合理解释的，其投标(响应)文件无效:</w:t>
      </w:r>
    </w:p>
    <w:p w14:paraId="79AE5548">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14.1、不同供应商的电子投标(响应)文件上传计算机的IP地址</w:t>
      </w:r>
      <w:r>
        <w:rPr>
          <w:rFonts w:hint="eastAsia" w:ascii="宋体" w:hAnsi="宋体" w:cs="宋体"/>
          <w:color w:val="auto"/>
          <w:szCs w:val="21"/>
          <w:lang w:eastAsia="zh-CN"/>
        </w:rPr>
        <w:t>或</w:t>
      </w:r>
      <w:r>
        <w:rPr>
          <w:rFonts w:hint="eastAsia" w:ascii="宋体" w:hAnsi="宋体" w:cs="宋体"/>
          <w:color w:val="auto"/>
          <w:szCs w:val="21"/>
        </w:rPr>
        <w:t>网卡MAC地址或硬盘序列号等硬件信息相同的；</w:t>
      </w:r>
    </w:p>
    <w:p w14:paraId="02C71293">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14.2、上传的电子投标(响应)文件若出现使用本项目其他投标(响应)供应商的数字证书加密的，或者加盖本项目其他投标(响应)供应商的电子印章的；</w:t>
      </w:r>
    </w:p>
    <w:p w14:paraId="3CB034D8">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14.3、不同供应商的投标(响应)文件的内容存在3处(含)以上错误一致的；</w:t>
      </w:r>
    </w:p>
    <w:p w14:paraId="575920C0">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14.4、不同供应商联系人为同一人或不同联系人的联系电话一致的。</w:t>
      </w:r>
    </w:p>
    <w:p w14:paraId="05BE7BEA">
      <w:pPr>
        <w:keepNext w:val="0"/>
        <w:keepLines w:val="0"/>
        <w:pageBreakBefore w:val="0"/>
        <w:widowControl w:val="0"/>
        <w:kinsoku/>
        <w:wordWrap/>
        <w:overflowPunct/>
        <w:autoSpaceDE/>
        <w:autoSpaceDN/>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15、法律、法规和招标文件规定的其他无效情形。</w:t>
      </w:r>
    </w:p>
    <w:p w14:paraId="73734A8D">
      <w:pPr>
        <w:spacing w:line="400" w:lineRule="exact"/>
        <w:ind w:firstLine="422" w:firstLineChars="200"/>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十</w:t>
      </w:r>
      <w:r>
        <w:rPr>
          <w:rFonts w:hint="eastAsia" w:ascii="宋体" w:hAnsi="宋体" w:cs="宋体"/>
          <w:b/>
          <w:color w:val="auto"/>
          <w:szCs w:val="21"/>
          <w:highlight w:val="none"/>
          <w:lang w:eastAsia="zh-CN" w:bidi="ar"/>
        </w:rPr>
        <w:t>五</w:t>
      </w:r>
      <w:r>
        <w:rPr>
          <w:rFonts w:hint="eastAsia" w:ascii="宋体" w:hAnsi="宋体" w:cs="宋体"/>
          <w:b/>
          <w:color w:val="auto"/>
          <w:szCs w:val="21"/>
          <w:highlight w:val="none"/>
          <w:lang w:bidi="ar"/>
        </w:rPr>
        <w:t>、合同相关</w:t>
      </w:r>
    </w:p>
    <w:p w14:paraId="26C90FFA">
      <w:pPr>
        <w:topLinePunct/>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1、采购人与中标人应当在《中标通知书》发出之日起30日内签订政府采购合同。同时，采购代理机构对合同内容进行鉴证，如发现与采购结果和投标承诺内容不一致的，应予以纠正。</w:t>
      </w:r>
    </w:p>
    <w:p w14:paraId="75B8D732">
      <w:pPr>
        <w:topLinePunct/>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hint="eastAsia" w:ascii="宋体" w:hAnsi="宋体" w:cs="宋体"/>
          <w:color w:val="auto"/>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r>
        <w:rPr>
          <w:rFonts w:hint="eastAsia" w:ascii="宋体" w:hAnsi="宋体" w:cs="宋体"/>
          <w:color w:val="auto"/>
          <w:szCs w:val="21"/>
          <w:highlight w:val="none"/>
          <w:lang w:bidi="ar"/>
        </w:rPr>
        <w:t>。</w:t>
      </w:r>
    </w:p>
    <w:p w14:paraId="4B24DE50">
      <w:pPr>
        <w:topLinePunct/>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06C7ECC0">
      <w:pPr>
        <w:spacing w:line="380" w:lineRule="exact"/>
        <w:ind w:firstLine="422" w:firstLineChars="200"/>
        <w:jc w:val="left"/>
        <w:rPr>
          <w:rFonts w:hint="eastAsia" w:ascii="宋体" w:hAnsi="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、特别说明</w:t>
      </w:r>
      <w:bookmarkEnd w:id="3"/>
      <w:bookmarkEnd w:id="4"/>
      <w:bookmarkEnd w:id="5"/>
      <w:bookmarkEnd w:id="6"/>
      <w:bookmarkEnd w:id="7"/>
      <w:bookmarkEnd w:id="8"/>
      <w:bookmarkEnd w:id="9"/>
      <w:bookmarkEnd w:id="10"/>
      <w:bookmarkEnd w:id="11"/>
      <w:bookmarkStart w:id="12" w:name="_Toc13084"/>
      <w:bookmarkStart w:id="13" w:name="_Toc5032"/>
    </w:p>
    <w:bookmarkEnd w:id="12"/>
    <w:bookmarkEnd w:id="13"/>
    <w:p w14:paraId="21FA342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否</w:t>
      </w:r>
      <w:r>
        <w:rPr>
          <w:rFonts w:hint="eastAsia" w:ascii="宋体" w:hAnsi="宋体"/>
          <w:color w:val="auto"/>
          <w:szCs w:val="21"/>
          <w:highlight w:val="none"/>
          <w:u w:val="single"/>
        </w:rPr>
        <w:t xml:space="preserve">  </w:t>
      </w:r>
      <w:r>
        <w:rPr>
          <w:rFonts w:hint="eastAsia" w:ascii="宋体" w:hAnsi="宋体"/>
          <w:color w:val="auto"/>
          <w:szCs w:val="21"/>
          <w:highlight w:val="none"/>
        </w:rPr>
        <w:t>专门面向中小企业采购。</w:t>
      </w:r>
    </w:p>
    <w:p w14:paraId="656152E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2.本项目对应的中小企业划分标准所属行业：</w:t>
      </w:r>
      <w:r>
        <w:rPr>
          <w:rFonts w:hint="eastAsia" w:ascii="宋体" w:hAnsi="宋体"/>
          <w:color w:val="auto"/>
          <w:szCs w:val="21"/>
          <w:highlight w:val="none"/>
          <w:u w:val="single"/>
          <w:lang w:eastAsia="zh-CN"/>
        </w:rPr>
        <w:t>其他未列明行业</w:t>
      </w:r>
      <w:r>
        <w:rPr>
          <w:rFonts w:hint="eastAsia" w:ascii="宋体" w:hAnsi="宋体"/>
          <w:color w:val="auto"/>
          <w:szCs w:val="21"/>
          <w:highlight w:val="none"/>
          <w:u w:val="single"/>
        </w:rPr>
        <w:t>业</w:t>
      </w:r>
      <w:r>
        <w:rPr>
          <w:rFonts w:hint="eastAsia" w:ascii="宋体" w:hAnsi="宋体"/>
          <w:color w:val="auto"/>
          <w:szCs w:val="21"/>
          <w:highlight w:val="none"/>
        </w:rPr>
        <w:t xml:space="preserve">。 </w:t>
      </w:r>
    </w:p>
    <w:p w14:paraId="1B10412B">
      <w:pPr>
        <w:spacing w:line="40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p>
    <w:p w14:paraId="3D0D887A">
      <w:pPr>
        <w:spacing w:line="400" w:lineRule="exact"/>
        <w:ind w:firstLine="420" w:firstLineChars="200"/>
        <w:outlineLvl w:val="0"/>
        <w:rPr>
          <w:rFonts w:hint="eastAsia" w:ascii="宋体" w:hAnsi="宋体"/>
          <w:color w:val="auto"/>
          <w:szCs w:val="21"/>
          <w:highlight w:val="none"/>
        </w:rPr>
      </w:pPr>
      <w:bookmarkStart w:id="14" w:name="_Toc28276"/>
      <w:bookmarkStart w:id="15" w:name="_Toc21056"/>
      <w:r>
        <w:rPr>
          <w:rFonts w:hint="eastAsia" w:ascii="宋体" w:hAnsi="宋体"/>
          <w:color w:val="auto"/>
          <w:szCs w:val="21"/>
          <w:highlight w:val="none"/>
          <w:lang w:val="en-US" w:eastAsia="zh-CN"/>
        </w:rPr>
        <w:t>3</w:t>
      </w:r>
      <w:r>
        <w:rPr>
          <w:rFonts w:hint="eastAsia" w:ascii="宋体" w:hAnsi="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4"/>
      <w:bookmarkEnd w:id="15"/>
    </w:p>
    <w:p w14:paraId="0E269EB1">
      <w:pPr>
        <w:spacing w:line="400" w:lineRule="exact"/>
        <w:ind w:firstLine="420" w:firstLineChars="200"/>
        <w:outlineLvl w:val="0"/>
        <w:rPr>
          <w:rFonts w:hint="eastAsia" w:ascii="宋体" w:hAnsi="宋体"/>
          <w:color w:val="auto"/>
          <w:szCs w:val="21"/>
          <w:highlight w:val="none"/>
        </w:rPr>
      </w:pPr>
      <w:bookmarkStart w:id="16" w:name="_Toc22973"/>
      <w:bookmarkStart w:id="17" w:name="_Toc27208"/>
      <w:r>
        <w:rPr>
          <w:rFonts w:hint="eastAsia" w:ascii="宋体" w:hAnsi="宋体"/>
          <w:color w:val="auto"/>
          <w:szCs w:val="21"/>
          <w:highlight w:val="none"/>
        </w:rPr>
        <w:t>符合中小企业划分标准的个体工商户，在政府采购活动中视同中小企业。</w:t>
      </w:r>
      <w:bookmarkEnd w:id="16"/>
      <w:bookmarkEnd w:id="17"/>
    </w:p>
    <w:p w14:paraId="04F30FD7">
      <w:pPr>
        <w:spacing w:line="400" w:lineRule="exact"/>
        <w:ind w:firstLine="420" w:firstLineChars="200"/>
        <w:outlineLvl w:val="0"/>
        <w:rPr>
          <w:rFonts w:hint="eastAsia" w:ascii="宋体" w:hAnsi="宋体"/>
          <w:color w:val="auto"/>
          <w:szCs w:val="21"/>
          <w:highlight w:val="none"/>
        </w:rPr>
      </w:pPr>
      <w:bookmarkStart w:id="18" w:name="_Toc28158"/>
      <w:bookmarkStart w:id="19" w:name="_Toc28884"/>
      <w:r>
        <w:rPr>
          <w:rFonts w:hint="eastAsia" w:ascii="宋体" w:hAnsi="宋体"/>
          <w:color w:val="auto"/>
          <w:szCs w:val="21"/>
          <w:highlight w:val="none"/>
          <w:lang w:val="en-US" w:eastAsia="zh-CN"/>
        </w:rPr>
        <w:t>3</w:t>
      </w: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bookmarkEnd w:id="18"/>
      <w:bookmarkEnd w:id="19"/>
    </w:p>
    <w:p w14:paraId="6FC38AB1">
      <w:pPr>
        <w:spacing w:line="400" w:lineRule="exact"/>
        <w:ind w:firstLine="420" w:firstLineChars="200"/>
        <w:outlineLvl w:val="0"/>
        <w:rPr>
          <w:rFonts w:hint="eastAsia" w:ascii="宋体" w:hAnsi="宋体"/>
          <w:color w:val="auto"/>
          <w:szCs w:val="21"/>
          <w:highlight w:val="none"/>
        </w:rPr>
      </w:pPr>
      <w:bookmarkStart w:id="20" w:name="_Toc25790"/>
      <w:bookmarkStart w:id="21" w:name="_Toc21255"/>
      <w:r>
        <w:rPr>
          <w:rFonts w:hint="eastAsia" w:ascii="宋体" w:hAnsi="宋体"/>
          <w:color w:val="auto"/>
          <w:szCs w:val="21"/>
          <w:highlight w:val="none"/>
        </w:rPr>
        <w:t>（1）在货物采购项目中，货物由中小企业制造，即货物由中小企业生产且使用该中小企业商号或者注册商标；</w:t>
      </w:r>
      <w:bookmarkEnd w:id="20"/>
      <w:bookmarkEnd w:id="21"/>
    </w:p>
    <w:p w14:paraId="2C11E345">
      <w:pPr>
        <w:spacing w:line="400" w:lineRule="exact"/>
        <w:ind w:firstLine="420" w:firstLineChars="200"/>
        <w:outlineLvl w:val="0"/>
        <w:rPr>
          <w:rFonts w:hint="eastAsia" w:ascii="宋体" w:hAnsi="宋体"/>
          <w:color w:val="auto"/>
          <w:szCs w:val="21"/>
          <w:highlight w:val="none"/>
        </w:rPr>
      </w:pPr>
      <w:bookmarkStart w:id="22" w:name="_Toc24344"/>
      <w:bookmarkStart w:id="23" w:name="_Toc2787"/>
      <w:r>
        <w:rPr>
          <w:rFonts w:hint="eastAsia" w:ascii="宋体" w:hAnsi="宋体"/>
          <w:color w:val="auto"/>
          <w:szCs w:val="21"/>
          <w:highlight w:val="none"/>
        </w:rPr>
        <w:t>（2）在工程采购项目中，工程由中小企业承建，即工程施工单位为中小企业；</w:t>
      </w:r>
      <w:bookmarkEnd w:id="22"/>
      <w:bookmarkEnd w:id="23"/>
    </w:p>
    <w:p w14:paraId="2D558A95">
      <w:pPr>
        <w:spacing w:line="400" w:lineRule="exact"/>
        <w:ind w:firstLine="420" w:firstLineChars="200"/>
        <w:outlineLvl w:val="0"/>
        <w:rPr>
          <w:rFonts w:hint="eastAsia" w:ascii="宋体" w:hAnsi="宋体"/>
          <w:color w:val="auto"/>
          <w:szCs w:val="21"/>
          <w:highlight w:val="none"/>
        </w:rPr>
      </w:pPr>
      <w:bookmarkStart w:id="24" w:name="_Toc9815"/>
      <w:bookmarkStart w:id="25" w:name="_Toc19068"/>
      <w:r>
        <w:rPr>
          <w:rFonts w:hint="eastAsia" w:ascii="宋体" w:hAnsi="宋体"/>
          <w:color w:val="auto"/>
          <w:szCs w:val="21"/>
          <w:highlight w:val="none"/>
        </w:rPr>
        <w:t>（3）在服务采购项目中，服务由中小企业承接，即提供服务的人员为中小企业依照《中华人民共和国劳动</w:t>
      </w:r>
      <w:r>
        <w:rPr>
          <w:rFonts w:hint="eastAsia" w:ascii="宋体" w:hAnsi="宋体"/>
          <w:color w:val="auto"/>
          <w:szCs w:val="21"/>
          <w:highlight w:val="none"/>
          <w:lang w:eastAsia="zh-CN"/>
        </w:rPr>
        <w:t>民法典</w:t>
      </w:r>
      <w:r>
        <w:rPr>
          <w:rFonts w:hint="eastAsia" w:ascii="宋体" w:hAnsi="宋体"/>
          <w:color w:val="auto"/>
          <w:szCs w:val="21"/>
          <w:highlight w:val="none"/>
        </w:rPr>
        <w:t>》订立劳动合同的从业人员。</w:t>
      </w:r>
      <w:bookmarkEnd w:id="24"/>
      <w:bookmarkEnd w:id="25"/>
    </w:p>
    <w:p w14:paraId="174BADE3">
      <w:pPr>
        <w:spacing w:line="400" w:lineRule="exact"/>
        <w:ind w:firstLine="420" w:firstLineChars="200"/>
        <w:outlineLvl w:val="0"/>
        <w:rPr>
          <w:rFonts w:hint="eastAsia" w:ascii="宋体" w:hAnsi="宋体"/>
          <w:color w:val="auto"/>
          <w:szCs w:val="21"/>
          <w:highlight w:val="none"/>
        </w:rPr>
      </w:pPr>
      <w:bookmarkStart w:id="26" w:name="_Toc16902"/>
      <w:bookmarkStart w:id="27" w:name="_Toc17398"/>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bookmarkEnd w:id="26"/>
      <w:bookmarkEnd w:id="27"/>
    </w:p>
    <w:p w14:paraId="791E0375">
      <w:pPr>
        <w:spacing w:line="400" w:lineRule="exact"/>
        <w:ind w:firstLine="420" w:firstLineChars="200"/>
        <w:outlineLvl w:val="0"/>
        <w:rPr>
          <w:rFonts w:hint="eastAsia" w:ascii="宋体" w:hAnsi="宋体"/>
          <w:color w:val="auto"/>
          <w:szCs w:val="21"/>
          <w:highlight w:val="none"/>
        </w:rPr>
      </w:pPr>
      <w:bookmarkStart w:id="28" w:name="_Toc4886"/>
      <w:bookmarkStart w:id="29" w:name="_Toc12280"/>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bookmarkEnd w:id="28"/>
      <w:bookmarkEnd w:id="29"/>
    </w:p>
    <w:p w14:paraId="06FC9E2E">
      <w:pPr>
        <w:spacing w:line="400" w:lineRule="exact"/>
        <w:ind w:firstLine="420" w:firstLineChars="200"/>
        <w:outlineLvl w:val="0"/>
        <w:rPr>
          <w:rFonts w:hint="eastAsia" w:ascii="宋体" w:hAnsi="宋体"/>
          <w:color w:val="auto"/>
          <w:szCs w:val="21"/>
          <w:highlight w:val="none"/>
        </w:rPr>
      </w:pPr>
      <w:bookmarkStart w:id="30" w:name="_Toc10452"/>
      <w:bookmarkStart w:id="31" w:name="_Toc131"/>
      <w:r>
        <w:rPr>
          <w:rFonts w:hint="eastAsia" w:ascii="宋体" w:hAnsi="宋体"/>
          <w:color w:val="auto"/>
          <w:szCs w:val="21"/>
          <w:highlight w:val="none"/>
          <w:lang w:val="en-US" w:eastAsia="zh-CN"/>
        </w:rPr>
        <w:t>3</w:t>
      </w:r>
      <w:r>
        <w:rPr>
          <w:rFonts w:hint="eastAsia" w:ascii="宋体" w:hAnsi="宋体"/>
          <w:color w:val="auto"/>
          <w:szCs w:val="21"/>
          <w:highlight w:val="none"/>
        </w:rPr>
        <w:t>.3中小企业参加政府采购活动，应当出具《政府采购促进中小企业发展管理办法》规定的《中小企业声明函》（格式见本采购文件附件），否则不得享受相关中小企业扶持政策。</w:t>
      </w:r>
      <w:bookmarkEnd w:id="30"/>
      <w:bookmarkEnd w:id="31"/>
    </w:p>
    <w:p w14:paraId="088090DE">
      <w:pPr>
        <w:spacing w:line="400" w:lineRule="exact"/>
        <w:ind w:firstLine="420" w:firstLineChars="200"/>
        <w:outlineLvl w:val="0"/>
        <w:rPr>
          <w:rFonts w:hint="eastAsia" w:ascii="宋体" w:hAnsi="宋体"/>
          <w:color w:val="auto"/>
          <w:szCs w:val="21"/>
          <w:highlight w:val="none"/>
        </w:rPr>
      </w:pPr>
      <w:bookmarkStart w:id="32" w:name="_Toc26524"/>
      <w:bookmarkStart w:id="33" w:name="_Toc31998"/>
      <w:r>
        <w:rPr>
          <w:rFonts w:hint="eastAsia" w:ascii="宋体" w:hAnsi="宋体"/>
          <w:color w:val="auto"/>
          <w:szCs w:val="21"/>
          <w:highlight w:val="none"/>
          <w:lang w:val="en-US" w:eastAsia="zh-CN"/>
        </w:rPr>
        <w:t>3</w:t>
      </w: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32"/>
      <w:bookmarkEnd w:id="33"/>
    </w:p>
    <w:p w14:paraId="7CE2C7CD">
      <w:pPr>
        <w:spacing w:line="400" w:lineRule="exact"/>
        <w:ind w:firstLine="420" w:firstLineChars="200"/>
        <w:outlineLvl w:val="0"/>
        <w:rPr>
          <w:rFonts w:hint="eastAsia" w:ascii="宋体" w:hAnsi="宋体"/>
          <w:color w:val="auto"/>
          <w:szCs w:val="21"/>
          <w:highlight w:val="none"/>
        </w:rPr>
      </w:pPr>
      <w:bookmarkStart w:id="34" w:name="_Toc28609"/>
      <w:bookmarkStart w:id="35" w:name="_Toc9434"/>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bookmarkEnd w:id="34"/>
      <w:bookmarkEnd w:id="35"/>
    </w:p>
    <w:p w14:paraId="43BC7403">
      <w:pPr>
        <w:spacing w:line="400" w:lineRule="exact"/>
        <w:ind w:firstLine="420" w:firstLineChars="200"/>
        <w:outlineLvl w:val="0"/>
        <w:rPr>
          <w:rFonts w:hint="eastAsia" w:ascii="宋体" w:hAnsi="宋体"/>
          <w:color w:val="auto"/>
          <w:szCs w:val="21"/>
          <w:highlight w:val="none"/>
        </w:rPr>
      </w:pPr>
      <w:bookmarkStart w:id="36" w:name="_Toc31588"/>
      <w:bookmarkStart w:id="37" w:name="_Toc24435"/>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bookmarkEnd w:id="36"/>
      <w:bookmarkEnd w:id="37"/>
    </w:p>
    <w:p w14:paraId="0788D7EE">
      <w:pPr>
        <w:spacing w:line="400" w:lineRule="exact"/>
        <w:ind w:firstLine="420" w:firstLineChars="200"/>
        <w:outlineLvl w:val="0"/>
        <w:rPr>
          <w:rFonts w:hint="eastAsia" w:ascii="宋体" w:hAnsi="宋体"/>
          <w:color w:val="auto"/>
          <w:szCs w:val="21"/>
          <w:highlight w:val="none"/>
        </w:rPr>
      </w:pPr>
      <w:bookmarkStart w:id="38" w:name="_Toc22434"/>
      <w:bookmarkStart w:id="39" w:name="_Toc15072"/>
      <w:r>
        <w:rPr>
          <w:rFonts w:hint="eastAsia" w:ascii="宋体" w:hAnsi="宋体"/>
          <w:color w:val="auto"/>
          <w:szCs w:val="21"/>
          <w:highlight w:val="none"/>
          <w:lang w:val="en-US" w:eastAsia="zh-CN"/>
        </w:rPr>
        <w:t>3</w:t>
      </w: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bookmarkEnd w:id="38"/>
      <w:bookmarkEnd w:id="39"/>
    </w:p>
    <w:p w14:paraId="487B330A">
      <w:pPr>
        <w:spacing w:line="400" w:lineRule="exact"/>
        <w:ind w:firstLine="420" w:firstLineChars="200"/>
        <w:outlineLvl w:val="0"/>
        <w:rPr>
          <w:rFonts w:hint="eastAsia" w:ascii="宋体" w:hAnsi="宋体"/>
          <w:color w:val="auto"/>
          <w:szCs w:val="21"/>
          <w:highlight w:val="none"/>
        </w:rPr>
      </w:pPr>
      <w:bookmarkStart w:id="40" w:name="_Toc495244277"/>
      <w:bookmarkStart w:id="41" w:name="_Toc8289"/>
      <w:bookmarkStart w:id="42" w:name="_Toc1189"/>
      <w:r>
        <w:rPr>
          <w:rFonts w:hint="eastAsia" w:ascii="宋体" w:hAnsi="宋体"/>
          <w:color w:val="auto"/>
          <w:szCs w:val="21"/>
          <w:highlight w:val="none"/>
          <w:lang w:val="en-US" w:eastAsia="zh-CN"/>
        </w:rPr>
        <w:t>4</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0"/>
      <w:bookmarkEnd w:id="41"/>
      <w:bookmarkEnd w:id="42"/>
    </w:p>
    <w:p w14:paraId="073CC649">
      <w:pPr>
        <w:spacing w:line="360" w:lineRule="exact"/>
        <w:ind w:firstLine="420" w:firstLineChars="200"/>
        <w:rPr>
          <w:rFonts w:ascii="宋体" w:hAnsi="宋体"/>
          <w:color w:val="auto"/>
          <w:szCs w:val="21"/>
          <w:highlight w:val="none"/>
          <w:lang w:bidi="ar"/>
        </w:rPr>
      </w:pPr>
      <w:r>
        <w:rPr>
          <w:rFonts w:hint="eastAsia" w:ascii="宋体" w:hAnsi="宋体"/>
          <w:color w:val="auto"/>
          <w:szCs w:val="21"/>
          <w:highlight w:val="none"/>
          <w:lang w:val="en-US" w:eastAsia="zh-CN" w:bidi="ar"/>
        </w:rPr>
        <w:t>5</w:t>
      </w:r>
      <w:r>
        <w:rPr>
          <w:rFonts w:ascii="宋体" w:hAnsi="宋体"/>
          <w:color w:val="auto"/>
          <w:szCs w:val="21"/>
          <w:highlight w:val="none"/>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szCs w:val="21"/>
          <w:highlight w:val="none"/>
          <w:lang w:bidi="ar"/>
        </w:rPr>
        <w:t>七</w:t>
      </w:r>
      <w:r>
        <w:rPr>
          <w:rFonts w:ascii="宋体" w:hAnsi="宋体"/>
          <w:color w:val="auto"/>
          <w:szCs w:val="21"/>
          <w:highlight w:val="none"/>
          <w:lang w:bidi="ar"/>
        </w:rPr>
        <w:t>章附件），并对声明的真实性负责，未能提供的不予认可。</w:t>
      </w:r>
    </w:p>
    <w:p w14:paraId="266A98CA">
      <w:pPr>
        <w:spacing w:line="360" w:lineRule="exact"/>
        <w:ind w:firstLine="420" w:firstLineChars="200"/>
        <w:rPr>
          <w:rFonts w:hint="eastAsia" w:ascii="宋体" w:hAnsi="宋体" w:eastAsia="宋体" w:cs="Times New Roman"/>
          <w:color w:val="auto"/>
          <w:szCs w:val="21"/>
          <w:highlight w:val="none"/>
          <w:lang w:bidi="ar"/>
        </w:rPr>
      </w:pPr>
      <w:bookmarkStart w:id="43" w:name="_Toc10801"/>
      <w:bookmarkStart w:id="44" w:name="_Toc529781144"/>
      <w:bookmarkStart w:id="45" w:name="_Toc12376822"/>
      <w:bookmarkStart w:id="46" w:name="_Toc12428981"/>
      <w:bookmarkStart w:id="47" w:name="_Toc9825"/>
      <w:bookmarkStart w:id="48" w:name="_Toc28441"/>
      <w:bookmarkStart w:id="49" w:name="_Toc12374297"/>
      <w:bookmarkStart w:id="50" w:name="_Toc7156"/>
      <w:bookmarkStart w:id="51" w:name="_Toc31793"/>
      <w:bookmarkStart w:id="52" w:name="_Toc15058"/>
      <w:r>
        <w:rPr>
          <w:rFonts w:hint="eastAsia" w:ascii="宋体" w:hAnsi="宋体" w:eastAsia="宋体" w:cs="Times New Roman"/>
          <w:color w:val="auto"/>
          <w:szCs w:val="21"/>
          <w:highlight w:val="none"/>
          <w:lang w:val="en-US" w:eastAsia="zh-CN" w:bidi="ar"/>
        </w:rPr>
        <w:t>6</w:t>
      </w:r>
      <w:r>
        <w:rPr>
          <w:rFonts w:hint="eastAsia" w:ascii="宋体" w:hAnsi="宋体" w:eastAsia="宋体" w:cs="Times New Roman"/>
          <w:color w:val="auto"/>
          <w:szCs w:val="21"/>
          <w:highlight w:val="none"/>
          <w:lang w:bidi="ar"/>
        </w:rPr>
        <w:t>、本项目不组织潜在供应商现场考察或者召开开标前答疑。</w:t>
      </w:r>
      <w:bookmarkEnd w:id="43"/>
      <w:bookmarkEnd w:id="44"/>
      <w:bookmarkEnd w:id="45"/>
      <w:bookmarkEnd w:id="46"/>
      <w:bookmarkEnd w:id="47"/>
      <w:bookmarkEnd w:id="48"/>
      <w:bookmarkEnd w:id="49"/>
      <w:bookmarkEnd w:id="50"/>
      <w:bookmarkEnd w:id="51"/>
      <w:bookmarkEnd w:id="52"/>
    </w:p>
    <w:p w14:paraId="2129B04B">
      <w:pPr>
        <w:spacing w:line="360" w:lineRule="exact"/>
        <w:ind w:firstLine="420" w:firstLineChars="200"/>
        <w:rPr>
          <w:rFonts w:hint="eastAsia" w:ascii="宋体" w:hAnsi="宋体" w:eastAsia="宋体" w:cs="Times New Roman"/>
          <w:color w:val="auto"/>
          <w:szCs w:val="21"/>
          <w:highlight w:val="none"/>
          <w:lang w:bidi="ar"/>
        </w:rPr>
      </w:pPr>
      <w:bookmarkStart w:id="53" w:name="_Toc6488"/>
      <w:bookmarkStart w:id="54" w:name="_Toc17188"/>
      <w:bookmarkStart w:id="55" w:name="_Toc3788"/>
      <w:bookmarkStart w:id="56" w:name="_Toc529781145"/>
      <w:bookmarkStart w:id="57" w:name="_Toc15934"/>
      <w:bookmarkStart w:id="58" w:name="_Toc10421"/>
      <w:bookmarkStart w:id="59" w:name="_Toc12428982"/>
      <w:bookmarkStart w:id="60" w:name="_Toc29744"/>
      <w:bookmarkStart w:id="61" w:name="_Toc12374298"/>
      <w:bookmarkStart w:id="62" w:name="_Toc12376823"/>
      <w:r>
        <w:rPr>
          <w:rFonts w:hint="eastAsia" w:ascii="宋体" w:hAnsi="宋体" w:eastAsia="宋体" w:cs="Times New Roman"/>
          <w:color w:val="auto"/>
          <w:szCs w:val="21"/>
          <w:highlight w:val="none"/>
          <w:lang w:val="en-US" w:eastAsia="zh-CN" w:bidi="ar"/>
        </w:rPr>
        <w:t>7</w:t>
      </w:r>
      <w:r>
        <w:rPr>
          <w:rFonts w:hint="eastAsia" w:ascii="宋体" w:hAnsi="宋体" w:eastAsia="宋体" w:cs="Times New Roman"/>
          <w:color w:val="auto"/>
          <w:szCs w:val="21"/>
          <w:highlight w:val="none"/>
          <w:lang w:bidi="ar"/>
        </w:rPr>
        <w:t>、本文件未及事项，在签订合同时双方友好商定。</w:t>
      </w:r>
      <w:bookmarkEnd w:id="53"/>
      <w:bookmarkEnd w:id="54"/>
      <w:bookmarkEnd w:id="55"/>
      <w:bookmarkEnd w:id="56"/>
      <w:bookmarkEnd w:id="57"/>
      <w:bookmarkEnd w:id="58"/>
      <w:bookmarkEnd w:id="59"/>
      <w:bookmarkEnd w:id="60"/>
      <w:bookmarkEnd w:id="61"/>
      <w:bookmarkEnd w:id="62"/>
    </w:p>
    <w:p w14:paraId="0EDF3EF3">
      <w:pPr>
        <w:spacing w:line="360" w:lineRule="exact"/>
        <w:ind w:firstLine="420" w:firstLineChars="200"/>
        <w:rPr>
          <w:rFonts w:hint="eastAsia" w:ascii="宋体" w:hAnsi="宋体" w:eastAsia="宋体" w:cs="Times New Roman"/>
          <w:color w:val="auto"/>
          <w:szCs w:val="21"/>
          <w:highlight w:val="none"/>
          <w:lang w:eastAsia="zh-CN" w:bidi="ar"/>
        </w:rPr>
      </w:pPr>
      <w:bookmarkStart w:id="63" w:name="_Toc419729159"/>
      <w:r>
        <w:rPr>
          <w:rFonts w:hint="eastAsia" w:ascii="宋体" w:hAnsi="宋体" w:eastAsia="宋体" w:cs="Times New Roman"/>
          <w:color w:val="auto"/>
          <w:szCs w:val="21"/>
          <w:highlight w:val="none"/>
          <w:lang w:val="en-US" w:eastAsia="zh-CN" w:bidi="ar"/>
        </w:rPr>
        <w:t>8</w:t>
      </w:r>
      <w:r>
        <w:rPr>
          <w:rFonts w:hint="eastAsia" w:ascii="宋体" w:hAnsi="宋体" w:eastAsia="宋体" w:cs="Times New Roman"/>
          <w:color w:val="auto"/>
          <w:szCs w:val="21"/>
          <w:highlight w:val="none"/>
          <w:lang w:bidi="ar"/>
        </w:rPr>
        <w:t>、本招标文件解释权归采购人</w:t>
      </w:r>
      <w:bookmarkEnd w:id="63"/>
      <w:bookmarkStart w:id="64" w:name="_Toc4241"/>
      <w:r>
        <w:rPr>
          <w:rFonts w:hint="eastAsia" w:ascii="宋体" w:hAnsi="宋体" w:eastAsia="宋体" w:cs="Times New Roman"/>
          <w:color w:val="auto"/>
          <w:szCs w:val="21"/>
          <w:highlight w:val="none"/>
          <w:lang w:eastAsia="zh-CN" w:bidi="ar"/>
        </w:rPr>
        <w:t>。</w:t>
      </w:r>
    </w:p>
    <w:p w14:paraId="1732004D">
      <w:pPr>
        <w:rPr>
          <w:rFonts w:hint="eastAsia"/>
          <w:highlight w:val="none"/>
        </w:rPr>
      </w:pPr>
    </w:p>
    <w:p w14:paraId="64CBA067">
      <w:pPr>
        <w:pStyle w:val="2"/>
        <w:rPr>
          <w:rFonts w:hint="eastAsia"/>
          <w:highlight w:val="none"/>
        </w:rPr>
      </w:pPr>
    </w:p>
    <w:p w14:paraId="1F08A27D">
      <w:pPr>
        <w:rPr>
          <w:rFonts w:hint="eastAsia"/>
          <w:highlight w:val="none"/>
        </w:rPr>
      </w:pPr>
    </w:p>
    <w:p w14:paraId="0F3C782D">
      <w:pPr>
        <w:pStyle w:val="2"/>
        <w:rPr>
          <w:rFonts w:hint="eastAsia"/>
          <w:highlight w:val="none"/>
        </w:rPr>
      </w:pPr>
    </w:p>
    <w:p w14:paraId="7C2B72B4">
      <w:pPr>
        <w:rPr>
          <w:rFonts w:hint="eastAsia"/>
          <w:highlight w:val="none"/>
        </w:rPr>
      </w:pPr>
    </w:p>
    <w:p w14:paraId="11613D7C">
      <w:pPr>
        <w:pStyle w:val="2"/>
        <w:rPr>
          <w:rFonts w:hint="eastAsia"/>
          <w:highlight w:val="none"/>
        </w:rPr>
      </w:pPr>
    </w:p>
    <w:p w14:paraId="77EE3FAE">
      <w:pPr>
        <w:rPr>
          <w:rFonts w:hint="eastAsia"/>
          <w:highlight w:val="none"/>
        </w:rPr>
      </w:pPr>
    </w:p>
    <w:p w14:paraId="768B43DB">
      <w:pPr>
        <w:pStyle w:val="2"/>
        <w:rPr>
          <w:rFonts w:hint="eastAsia"/>
          <w:highlight w:val="none"/>
        </w:rPr>
      </w:pPr>
    </w:p>
    <w:p w14:paraId="66D4A0C8">
      <w:pPr>
        <w:pStyle w:val="2"/>
        <w:rPr>
          <w:rFonts w:hint="eastAsia"/>
          <w:highlight w:val="none"/>
        </w:rPr>
      </w:pPr>
    </w:p>
    <w:p w14:paraId="4850F6BC">
      <w:pPr>
        <w:pStyle w:val="2"/>
        <w:rPr>
          <w:rFonts w:hint="eastAsia"/>
          <w:highlight w:val="none"/>
        </w:rPr>
      </w:pPr>
    </w:p>
    <w:p w14:paraId="0C86342D">
      <w:pPr>
        <w:rPr>
          <w:rFonts w:hint="eastAsia"/>
          <w:highlight w:val="none"/>
        </w:rPr>
      </w:pPr>
    </w:p>
    <w:p w14:paraId="285D3403">
      <w:pPr>
        <w:pStyle w:val="2"/>
        <w:rPr>
          <w:rFonts w:hint="eastAsia"/>
          <w:highlight w:val="none"/>
        </w:rPr>
      </w:pPr>
    </w:p>
    <w:p w14:paraId="1549E8FD">
      <w:pPr>
        <w:rPr>
          <w:rFonts w:hint="eastAsia"/>
          <w:highlight w:val="none"/>
        </w:rPr>
      </w:pPr>
    </w:p>
    <w:p w14:paraId="764FBAC1">
      <w:pPr>
        <w:pStyle w:val="2"/>
        <w:rPr>
          <w:rFonts w:hint="eastAsia"/>
          <w:highlight w:val="none"/>
        </w:rPr>
      </w:pPr>
    </w:p>
    <w:p w14:paraId="3B82BDD4">
      <w:pPr>
        <w:rPr>
          <w:rFonts w:hint="eastAsia"/>
          <w:highlight w:val="none"/>
        </w:rPr>
      </w:pPr>
    </w:p>
    <w:p w14:paraId="06CCE3CB">
      <w:pPr>
        <w:pStyle w:val="2"/>
        <w:rPr>
          <w:rFonts w:hint="eastAsia"/>
          <w:highlight w:val="none"/>
        </w:rPr>
      </w:pPr>
    </w:p>
    <w:p w14:paraId="73A26D4D">
      <w:pPr>
        <w:pStyle w:val="2"/>
        <w:rPr>
          <w:rFonts w:hint="eastAsia"/>
          <w:highlight w:val="none"/>
        </w:rPr>
      </w:pPr>
    </w:p>
    <w:p w14:paraId="37BB34C9">
      <w:pPr>
        <w:rPr>
          <w:rFonts w:hint="eastAsia"/>
          <w:highlight w:val="none"/>
        </w:rPr>
      </w:pPr>
    </w:p>
    <w:p w14:paraId="4C0301C4">
      <w:pPr>
        <w:pStyle w:val="2"/>
        <w:rPr>
          <w:rFonts w:hint="eastAsia"/>
        </w:rPr>
      </w:pPr>
    </w:p>
    <w:p w14:paraId="2A7D7FBC">
      <w:pPr>
        <w:rPr>
          <w:rFonts w:hint="eastAsia"/>
        </w:rPr>
      </w:pPr>
    </w:p>
    <w:p w14:paraId="04265A15">
      <w:pPr>
        <w:rPr>
          <w:rFonts w:hint="eastAsia"/>
        </w:rPr>
      </w:pPr>
    </w:p>
    <w:p w14:paraId="4A8EF282">
      <w:pPr>
        <w:rPr>
          <w:rFonts w:hint="eastAsia"/>
        </w:rPr>
      </w:pPr>
    </w:p>
    <w:p w14:paraId="63C668A9">
      <w:pPr>
        <w:rPr>
          <w:rFonts w:hint="eastAsia"/>
        </w:rPr>
      </w:pPr>
    </w:p>
    <w:p w14:paraId="0A3EF46E">
      <w:pPr>
        <w:rPr>
          <w:rFonts w:hint="eastAsia"/>
        </w:rPr>
      </w:pPr>
    </w:p>
    <w:p w14:paraId="4B7D7715">
      <w:pPr>
        <w:rPr>
          <w:rFonts w:hint="eastAsia"/>
          <w:highlight w:val="none"/>
        </w:rPr>
      </w:pPr>
    </w:p>
    <w:p w14:paraId="4461A803">
      <w:pPr>
        <w:rPr>
          <w:rFonts w:hint="eastAsia"/>
          <w:highlight w:val="none"/>
        </w:rPr>
      </w:pPr>
    </w:p>
    <w:p w14:paraId="6CBE9638">
      <w:pPr>
        <w:pStyle w:val="2"/>
        <w:rPr>
          <w:rFonts w:hint="eastAsia"/>
          <w:highlight w:val="none"/>
        </w:rPr>
      </w:pPr>
    </w:p>
    <w:p w14:paraId="670BD1EA">
      <w:pPr>
        <w:rPr>
          <w:rFonts w:hint="eastAsia"/>
          <w:highlight w:val="none"/>
        </w:rPr>
      </w:pPr>
    </w:p>
    <w:p w14:paraId="0A98C103">
      <w:pPr>
        <w:pStyle w:val="2"/>
        <w:rPr>
          <w:rFonts w:hint="eastAsia"/>
          <w:highlight w:val="none"/>
        </w:rPr>
      </w:pPr>
    </w:p>
    <w:p w14:paraId="17B96F31">
      <w:pPr>
        <w:rPr>
          <w:rFonts w:hint="eastAsia"/>
        </w:rPr>
      </w:pPr>
    </w:p>
    <w:p w14:paraId="1214F5E0">
      <w:pPr>
        <w:pStyle w:val="2"/>
        <w:rPr>
          <w:rFonts w:hint="eastAsia"/>
          <w:highlight w:val="none"/>
        </w:rPr>
      </w:pPr>
    </w:p>
    <w:p w14:paraId="78EA7E0C">
      <w:pPr>
        <w:rPr>
          <w:rFonts w:hint="eastAsia"/>
        </w:rPr>
      </w:pPr>
    </w:p>
    <w:p w14:paraId="33978F3E">
      <w:pPr>
        <w:pStyle w:val="5"/>
        <w:keepLines/>
        <w:spacing w:before="340" w:after="330" w:line="360" w:lineRule="auto"/>
        <w:rPr>
          <w:rFonts w:hint="eastAsia" w:ascii="宋体" w:hAnsi="宋体"/>
          <w:color w:val="auto"/>
          <w:sz w:val="36"/>
          <w:szCs w:val="36"/>
          <w:highlight w:val="none"/>
        </w:rPr>
      </w:pPr>
      <w:r>
        <w:rPr>
          <w:rFonts w:hint="eastAsia" w:ascii="宋体" w:hAnsi="宋体"/>
          <w:color w:val="auto"/>
          <w:sz w:val="36"/>
          <w:szCs w:val="36"/>
          <w:highlight w:val="none"/>
        </w:rPr>
        <w:t xml:space="preserve">第三章  </w:t>
      </w:r>
      <w:bookmarkEnd w:id="2"/>
      <w:r>
        <w:rPr>
          <w:rFonts w:hint="eastAsia" w:ascii="宋体" w:hAnsi="宋体"/>
          <w:color w:val="auto"/>
          <w:sz w:val="36"/>
          <w:szCs w:val="36"/>
          <w:highlight w:val="none"/>
        </w:rPr>
        <w:t>评标办法及标准</w:t>
      </w:r>
      <w:bookmarkEnd w:id="64"/>
    </w:p>
    <w:p w14:paraId="4FE1A4B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一、评标办法</w:t>
      </w:r>
    </w:p>
    <w:p w14:paraId="2566BDB9">
      <w:pPr>
        <w:spacing w:line="400" w:lineRule="exact"/>
        <w:ind w:left="-2" w:leftChars="-1"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1.1本项目评标采用综合评分法。</w:t>
      </w:r>
    </w:p>
    <w:p w14:paraId="107E416F">
      <w:pPr>
        <w:spacing w:line="400" w:lineRule="exact"/>
        <w:ind w:left="-2" w:leftChars="-1"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1.2综合评分法：采用百分制，总分100分。评标委员会成员按照评分标准（商务技术评分表和价格评分表）规定的内容和分值设置以记名方式独立评定打分，汇总各评委对各供应商的评分，取算术平均值（小数点后保留二位数）即为各供应商的综合得分，按照综合得分由高到低进行排序，推荐综合得分排序第一的供应商为第一中标候选人，综合得分排序第二的供应商为第二中标候选人，综合得分排序第三的供应商为第三中标候选人。若供应商的综合得分相等，则投标报价低者列前。若投标报价也相同时采取随机抽签的方式确定排序，先抽中者排序在前。</w:t>
      </w:r>
    </w:p>
    <w:p w14:paraId="36BFAA04">
      <w:pPr>
        <w:spacing w:line="400" w:lineRule="exact"/>
        <w:ind w:left="-2" w:leftChars="-1" w:firstLine="420" w:firstLineChars="200"/>
        <w:rPr>
          <w:rFonts w:hint="eastAsia" w:ascii="宋体" w:hAnsi="宋体" w:cs="宋体"/>
          <w:color w:val="auto"/>
          <w:szCs w:val="21"/>
        </w:rPr>
      </w:pPr>
      <w:r>
        <w:rPr>
          <w:rFonts w:hint="eastAsia" w:ascii="宋体" w:hAnsi="宋体" w:cs="宋体"/>
          <w:color w:val="auto"/>
          <w:szCs w:val="21"/>
        </w:rPr>
        <w:t>1.3</w:t>
      </w:r>
      <w:r>
        <w:rPr>
          <w:rFonts w:hint="eastAsia" w:ascii="宋体" w:hAnsi="宋体" w:cs="宋体"/>
          <w:color w:val="auto"/>
        </w:rPr>
        <w:t>本项目需要落实的政府采购政策：促进中小企业发展等。</w:t>
      </w:r>
    </w:p>
    <w:p w14:paraId="1568063E">
      <w:pPr>
        <w:spacing w:line="400" w:lineRule="exact"/>
        <w:ind w:firstLine="422" w:firstLineChars="200"/>
        <w:outlineLvl w:val="0"/>
        <w:rPr>
          <w:rFonts w:hint="eastAsia" w:ascii="宋体" w:hAnsi="宋体"/>
          <w:b/>
          <w:bCs/>
          <w:color w:val="auto"/>
          <w:szCs w:val="21"/>
        </w:rPr>
      </w:pPr>
      <w:r>
        <w:rPr>
          <w:rFonts w:hint="eastAsia" w:ascii="宋体" w:hAnsi="宋体"/>
          <w:b/>
          <w:bCs/>
          <w:color w:val="auto"/>
          <w:szCs w:val="21"/>
        </w:rPr>
        <w:t>1.4</w:t>
      </w:r>
      <w:r>
        <w:rPr>
          <w:rFonts w:hint="eastAsia" w:ascii="宋体" w:hAnsi="宋体" w:cs="宋体"/>
          <w:color w:val="auto"/>
          <w:szCs w:val="21"/>
        </w:rPr>
        <w:t>本次采购为非专门面向中小企业，</w:t>
      </w:r>
      <w:r>
        <w:rPr>
          <w:rFonts w:hint="eastAsia" w:ascii="宋体" w:hAnsi="宋体" w:cs="宋体"/>
          <w:b/>
          <w:bCs/>
          <w:color w:val="auto"/>
          <w:szCs w:val="21"/>
        </w:rPr>
        <w:t>本次评标将对符合第二章第十六条第3、4、5款的小微企业的价格给予10%的扣除，用扣除后的价格参与评审。</w:t>
      </w:r>
      <w:r>
        <w:rPr>
          <w:rFonts w:hint="eastAsia" w:ascii="宋体" w:hAnsi="宋体" w:cs="宋体"/>
          <w:color w:val="auto"/>
          <w:szCs w:val="21"/>
        </w:rPr>
        <w:t>价格扣除只用于评审过程，如中标，中标价格仍按照其投标价格进行公示。</w:t>
      </w:r>
    </w:p>
    <w:p w14:paraId="4212C3E9">
      <w:pPr>
        <w:spacing w:line="400" w:lineRule="exact"/>
        <w:ind w:left="-2" w:leftChars="-1" w:firstLine="420" w:firstLineChars="200"/>
        <w:rPr>
          <w:rFonts w:hint="eastAsia" w:ascii="宋体" w:hAnsi="宋体" w:cs="宋体"/>
          <w:color w:val="auto"/>
          <w:szCs w:val="21"/>
        </w:rPr>
      </w:pPr>
      <w:r>
        <w:rPr>
          <w:rFonts w:hint="eastAsia" w:ascii="宋体" w:hAnsi="宋体" w:cs="宋体"/>
          <w:color w:val="auto"/>
          <w:szCs w:val="21"/>
          <w:lang w:bidi="ar"/>
        </w:rPr>
        <w:t>1.</w:t>
      </w:r>
      <w:r>
        <w:rPr>
          <w:rFonts w:hint="eastAsia" w:ascii="宋体" w:hAnsi="宋体" w:cs="宋体"/>
          <w:color w:val="auto"/>
          <w:szCs w:val="21"/>
          <w:lang w:val="en-US" w:eastAsia="zh-CN" w:bidi="ar"/>
        </w:rPr>
        <w:t>5</w:t>
      </w:r>
      <w:r>
        <w:rPr>
          <w:rFonts w:hint="eastAsia" w:ascii="宋体" w:hAnsi="宋体" w:cs="宋体"/>
          <w:color w:val="auto"/>
          <w:szCs w:val="21"/>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D10456">
      <w:pPr>
        <w:spacing w:line="400" w:lineRule="exact"/>
        <w:ind w:firstLine="420" w:firstLineChars="200"/>
        <w:outlineLvl w:val="0"/>
        <w:rPr>
          <w:rFonts w:hint="eastAsia" w:ascii="宋体" w:hAnsi="宋体" w:cs="宋体"/>
          <w:color w:val="auto"/>
          <w:szCs w:val="21"/>
          <w:lang w:bidi="ar"/>
        </w:rPr>
      </w:pPr>
      <w:r>
        <w:rPr>
          <w:rFonts w:hint="eastAsia" w:ascii="宋体" w:hAnsi="宋体" w:cs="宋体"/>
          <w:color w:val="auto"/>
          <w:szCs w:val="21"/>
          <w:lang w:bidi="ar"/>
        </w:rPr>
        <w:t>1.</w:t>
      </w:r>
      <w:r>
        <w:rPr>
          <w:rFonts w:hint="eastAsia" w:ascii="宋体" w:hAnsi="宋体" w:cs="宋体"/>
          <w:color w:val="auto"/>
          <w:szCs w:val="21"/>
          <w:lang w:val="en-US" w:eastAsia="zh-CN" w:bidi="ar"/>
        </w:rPr>
        <w:t>6</w:t>
      </w:r>
      <w:r>
        <w:rPr>
          <w:rFonts w:hint="eastAsia" w:ascii="宋体" w:hAnsi="宋体" w:cs="宋体"/>
          <w:color w:val="auto"/>
          <w:szCs w:val="21"/>
          <w:lang w:bidi="ar"/>
        </w:rPr>
        <w:t>评标委员会成员对需要共同认定的事项存在争议的，应当按照少数服从多数的原则作出结论。</w:t>
      </w:r>
    </w:p>
    <w:p w14:paraId="2F7D26F5">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二、评标委员会</w:t>
      </w:r>
    </w:p>
    <w:p w14:paraId="43363A1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2.1采购人依据相关规定组建评标委员会，负责本项目的评标工作。评标委员会成员名单在招标结果确定之前依法保密。</w:t>
      </w:r>
    </w:p>
    <w:p w14:paraId="28E0C6C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11540AF7">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三、评标程序</w:t>
      </w:r>
    </w:p>
    <w:p w14:paraId="62B14EE7">
      <w:pPr>
        <w:spacing w:line="400" w:lineRule="exact"/>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3.1商务技术文件评审：</w:t>
      </w:r>
    </w:p>
    <w:p w14:paraId="257175C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3.1.1初步审查：包含资格性审查和商务技术文件符合性审查。资格性审查是指采购人或代理机构根据“附表1资格性审查表”的要求对投标文件逐一进行评审（</w:t>
      </w:r>
      <w:r>
        <w:rPr>
          <w:rFonts w:ascii="宋体" w:hAnsi="宋体"/>
          <w:color w:val="auto"/>
          <w:szCs w:val="21"/>
          <w:highlight w:val="none"/>
        </w:rPr>
        <w:t>具体操作可以由评标委员会协助资格</w:t>
      </w:r>
      <w:r>
        <w:rPr>
          <w:rFonts w:hint="eastAsia" w:ascii="宋体" w:hAnsi="宋体"/>
          <w:color w:val="auto"/>
          <w:szCs w:val="21"/>
          <w:highlight w:val="none"/>
        </w:rPr>
        <w:t>性</w:t>
      </w:r>
      <w:r>
        <w:rPr>
          <w:rFonts w:ascii="宋体" w:hAnsi="宋体"/>
          <w:color w:val="auto"/>
          <w:szCs w:val="21"/>
          <w:highlight w:val="none"/>
        </w:rPr>
        <w:t>审查，资格</w:t>
      </w:r>
      <w:r>
        <w:rPr>
          <w:rFonts w:hint="eastAsia" w:ascii="宋体" w:hAnsi="宋体"/>
          <w:color w:val="auto"/>
          <w:szCs w:val="21"/>
          <w:highlight w:val="none"/>
        </w:rPr>
        <w:t>性</w:t>
      </w:r>
      <w:r>
        <w:rPr>
          <w:rFonts w:ascii="宋体" w:hAnsi="宋体"/>
          <w:color w:val="auto"/>
          <w:szCs w:val="21"/>
          <w:highlight w:val="none"/>
        </w:rPr>
        <w:t>审查的结果报招标人代表确认</w:t>
      </w:r>
      <w:r>
        <w:rPr>
          <w:rFonts w:hint="eastAsia" w:ascii="宋体" w:hAnsi="宋体" w:cs="宋体"/>
          <w:color w:val="auto"/>
          <w:szCs w:val="21"/>
          <w:highlight w:val="none"/>
          <w:lang w:bidi="ar"/>
        </w:rPr>
        <w:t>）。商务技术文件符合性审查是指评标委员会根据“附表2商务技术文件符合性审查表”的要求对投标文件逐一进行评审。</w:t>
      </w:r>
      <w:r>
        <w:rPr>
          <w:rFonts w:hint="eastAsia" w:ascii="宋体" w:hAnsi="宋体" w:cs="宋体"/>
          <w:b/>
          <w:color w:val="auto"/>
          <w:szCs w:val="21"/>
          <w:highlight w:val="none"/>
          <w:lang w:bidi="ar"/>
        </w:rPr>
        <w:t>资格性审查和商务技术文件符合性审查中，有任意一项审查结论不合格的，作无效标处理。</w:t>
      </w:r>
    </w:p>
    <w:p w14:paraId="71A7D20D">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3.1.2</w:t>
      </w:r>
      <w:r>
        <w:rPr>
          <w:rFonts w:hint="eastAsia" w:ascii="宋体" w:hAnsi="宋体" w:cs="宋体"/>
          <w:color w:val="auto"/>
          <w:szCs w:val="21"/>
          <w:highlight w:val="none"/>
          <w:lang w:val="zh-CN" w:bidi="ar"/>
        </w:rPr>
        <w:t>比较与评价：</w:t>
      </w:r>
      <w:r>
        <w:rPr>
          <w:rFonts w:hint="eastAsia" w:ascii="宋体" w:hAnsi="宋体" w:cs="宋体"/>
          <w:color w:val="auto"/>
          <w:szCs w:val="21"/>
          <w:highlight w:val="none"/>
          <w:lang w:bidi="ar"/>
        </w:rPr>
        <w:t>经过初步审查、比较，评标委员会根据“附表3评分标准（商务技术评分表）”的要求，</w:t>
      </w:r>
      <w:r>
        <w:rPr>
          <w:rFonts w:hint="eastAsia" w:ascii="宋体" w:hAnsi="宋体" w:cs="宋体"/>
          <w:color w:val="auto"/>
          <w:szCs w:val="21"/>
          <w:highlight w:val="none"/>
          <w:lang w:val="zh-CN" w:bidi="ar"/>
        </w:rPr>
        <w:t>对照投标文件的应答进行比较，判定其偏差性质和程度，</w:t>
      </w:r>
      <w:r>
        <w:rPr>
          <w:rFonts w:hint="eastAsia" w:ascii="宋体" w:hAnsi="宋体" w:cs="宋体"/>
          <w:color w:val="auto"/>
          <w:szCs w:val="21"/>
          <w:highlight w:val="none"/>
          <w:lang w:bidi="ar"/>
        </w:rPr>
        <w:t>由评标委员会成员在分值范围内以记名方式独立评定自行评分，汇总各评委对各供应商的评分，取算术平均值（小数点后保留二位数）即为供应商的商务技术得分。</w:t>
      </w:r>
    </w:p>
    <w:p w14:paraId="4B2B2FDB">
      <w:pPr>
        <w:spacing w:line="400" w:lineRule="exact"/>
        <w:ind w:firstLine="420" w:firstLineChars="200"/>
        <w:jc w:val="left"/>
        <w:rPr>
          <w:rFonts w:hint="eastAsia" w:ascii="宋体" w:hAnsi="宋体" w:cs="宋体"/>
          <w:color w:val="auto"/>
          <w:szCs w:val="21"/>
          <w:highlight w:val="none"/>
          <w:lang w:val="zh-CN" w:bidi="ar"/>
        </w:rPr>
      </w:pPr>
      <w:r>
        <w:rPr>
          <w:rFonts w:hint="eastAsia" w:ascii="宋体" w:hAnsi="宋体" w:cs="宋体"/>
          <w:color w:val="auto"/>
          <w:szCs w:val="21"/>
          <w:highlight w:val="none"/>
          <w:lang w:bidi="ar"/>
        </w:rPr>
        <w:t>3.1.3</w:t>
      </w:r>
      <w:r>
        <w:rPr>
          <w:rFonts w:hint="eastAsia" w:ascii="宋体" w:hAnsi="宋体" w:cs="宋体"/>
          <w:color w:val="auto"/>
          <w:szCs w:val="21"/>
          <w:highlight w:val="none"/>
          <w:lang w:val="zh-CN" w:bidi="ar"/>
        </w:rPr>
        <w:t>采购代理机构可协助评标委员会组长对打分结果进行校对、核对并汇总统计；</w:t>
      </w:r>
      <w:r>
        <w:rPr>
          <w:rFonts w:hint="eastAsia" w:ascii="宋体" w:hAnsi="宋体" w:cs="宋体"/>
          <w:b/>
          <w:color w:val="auto"/>
          <w:szCs w:val="21"/>
          <w:highlight w:val="none"/>
          <w:lang w:val="zh-CN" w:bidi="ar"/>
        </w:rPr>
        <w:t>对明显畸高、畸低的评分（其总评分偏离平均分30%以上的），评标委员会组长应提醒相关评标委员会成员进行复核或书面说明理由</w:t>
      </w:r>
      <w:r>
        <w:rPr>
          <w:rFonts w:hint="eastAsia" w:ascii="宋体" w:hAnsi="宋体" w:cs="宋体"/>
          <w:color w:val="auto"/>
          <w:szCs w:val="21"/>
          <w:highlight w:val="none"/>
          <w:lang w:val="zh-CN" w:bidi="ar"/>
        </w:rPr>
        <w:t>；评标委员会成员的评审、修改记录应保留原件，随项目其他资料一并存档。</w:t>
      </w:r>
    </w:p>
    <w:p w14:paraId="177414C2">
      <w:pPr>
        <w:spacing w:line="400" w:lineRule="exact"/>
        <w:ind w:firstLine="422" w:firstLineChars="200"/>
        <w:jc w:val="left"/>
        <w:rPr>
          <w:rFonts w:hint="eastAsia"/>
          <w:color w:val="auto"/>
          <w:highlight w:val="none"/>
          <w:lang w:val="zh-CN"/>
        </w:rPr>
      </w:pPr>
      <w:r>
        <w:rPr>
          <w:rFonts w:hint="eastAsia" w:ascii="宋体" w:hAnsi="宋体" w:cs="宋体"/>
          <w:b/>
          <w:color w:val="auto"/>
          <w:szCs w:val="21"/>
          <w:highlight w:val="none"/>
          <w:lang w:bidi="ar"/>
        </w:rPr>
        <w:t>3.2报价文件评审</w:t>
      </w:r>
    </w:p>
    <w:p w14:paraId="7FD6D3CD">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3.2.1报价文件符合性审查：报价文件符合性审查是指评标委员会根据“附表4报价文件符合性审查表”的要求对供应商报价文件逐一进行评审。</w:t>
      </w:r>
      <w:r>
        <w:rPr>
          <w:rFonts w:hint="eastAsia" w:ascii="宋体" w:hAnsi="宋体" w:cs="宋体"/>
          <w:b/>
          <w:bCs/>
          <w:color w:val="auto"/>
          <w:szCs w:val="21"/>
          <w:highlight w:val="none"/>
          <w:lang w:bidi="ar"/>
        </w:rPr>
        <w:t>报价文件符合性审查中，审查结论不合格的，作无效标处理。</w:t>
      </w:r>
    </w:p>
    <w:p w14:paraId="1FA567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3.2.2在评标过程中，发现的价格计算错误按下述原则修正：</w:t>
      </w:r>
    </w:p>
    <w:p w14:paraId="237AF6E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（1）投标文件中开标一览表内容与投标文件中分项报价表内容不一致的，以开标一览表为准；</w:t>
      </w:r>
    </w:p>
    <w:p w14:paraId="6C4C5EA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（2）投标文件的大写金额和小写金额不一致的，以大写金额为准；</w:t>
      </w:r>
    </w:p>
    <w:p w14:paraId="6EBF9A7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（3）单价金额小数点有明显错位的，应以总价为准，并修改单价；</w:t>
      </w:r>
    </w:p>
    <w:p w14:paraId="3B38F17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（4）总价金额与按单价汇总金额不一致的，以单价金额计算结果为准。</w:t>
      </w:r>
    </w:p>
    <w:p w14:paraId="606213AA">
      <w:pPr>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3F468DA4">
      <w:pPr>
        <w:spacing w:line="400" w:lineRule="exact"/>
        <w:ind w:firstLine="420" w:firstLineChars="200"/>
        <w:jc w:val="left"/>
        <w:rPr>
          <w:rFonts w:hint="eastAsia"/>
          <w:color w:val="auto"/>
          <w:highlight w:val="none"/>
        </w:rPr>
      </w:pPr>
      <w:r>
        <w:rPr>
          <w:rFonts w:hint="eastAsia" w:ascii="宋体" w:hAnsi="宋体" w:cs="宋体"/>
          <w:color w:val="auto"/>
          <w:szCs w:val="21"/>
          <w:highlight w:val="none"/>
          <w:lang w:bidi="ar"/>
        </w:rPr>
        <w:t>3.2.3评标委员会根据“附表5价格评分表”的规定，计算供应商报价得分（小数点后保留二位数）。</w:t>
      </w:r>
    </w:p>
    <w:p w14:paraId="0BEAB497">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bidi="ar"/>
        </w:rPr>
        <w:t>3.3综合评估：供应商综合得分=商务技术得分+报价得分。</w:t>
      </w:r>
    </w:p>
    <w:p w14:paraId="7A823CC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3.4推荐中标候选人</w:t>
      </w:r>
    </w:p>
    <w:p w14:paraId="040C56F4">
      <w:pPr>
        <w:spacing w:line="39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根据供应商综合得分由高到低进行排序，推荐综合得分排序第一的供应商为第一中标候选人，综合得分排序第二的供应商为第二中标候选人，综合得分排序第三的供应商为第三中标候选人。若供应商的综合得分相等，则投标报价低者列前。若投标报价也相同时采取随机抽签的方式确定排序，先抽中者排序在前。</w:t>
      </w:r>
    </w:p>
    <w:p w14:paraId="1B7BD1A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3.5确定中标人</w:t>
      </w:r>
    </w:p>
    <w:p w14:paraId="4E36206B">
      <w:pPr>
        <w:spacing w:line="400" w:lineRule="exact"/>
        <w:ind w:firstLine="420" w:firstLineChars="200"/>
        <w:jc w:val="left"/>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代理机构应当自评审结束之日起2个工作日内将评审报告送交采购人。采购人应当自收到评审报告之日起5个工作日内在评审报告推荐的中标候选人中确定综合得分排序第一的供应商为中标供应商</w:t>
      </w:r>
      <w:r>
        <w:rPr>
          <w:rFonts w:hint="eastAsia" w:ascii="宋体" w:hAnsi="宋体" w:cs="宋体"/>
          <w:color w:val="auto"/>
          <w:szCs w:val="21"/>
          <w:highlight w:val="none"/>
          <w:lang w:eastAsia="zh-CN" w:bidi="ar"/>
        </w:rPr>
        <w:t>。</w:t>
      </w:r>
    </w:p>
    <w:p w14:paraId="13133D23">
      <w:pPr>
        <w:spacing w:line="400" w:lineRule="exact"/>
        <w:ind w:firstLine="420" w:firstLineChars="200"/>
        <w:jc w:val="left"/>
        <w:rPr>
          <w:rFonts w:hint="eastAsia" w:ascii="宋体" w:hAnsi="宋体"/>
          <w:bCs/>
          <w:color w:val="auto"/>
          <w:szCs w:val="21"/>
          <w:highlight w:val="none"/>
          <w:lang w:bidi="ar"/>
        </w:rPr>
      </w:pPr>
      <w:r>
        <w:rPr>
          <w:rFonts w:hint="eastAsia" w:ascii="宋体" w:hAnsi="宋体"/>
          <w:bCs/>
          <w:color w:val="auto"/>
          <w:szCs w:val="21"/>
          <w:highlight w:val="none"/>
          <w:lang w:bidi="ar"/>
        </w:rPr>
        <w:t>若中标人放弃中标、或事后查询为失信被执行人的、或因不可抗力提出不能履行合同被依法撤销中标资格，则招标人可确定排名其次的中标候选人为中标人，或重新组织招标。</w:t>
      </w:r>
    </w:p>
    <w:p w14:paraId="168BA318">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四、投标的澄清</w:t>
      </w:r>
    </w:p>
    <w:p w14:paraId="05D8810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4.1对投标文件审查中发现的投标文件表达含义不明确、同类问题表述不一致或者有明显文字和计算错误的内容，评标委员会应当书面形式要求供应商作出必要的澄清、说明或者补正。</w:t>
      </w:r>
    </w:p>
    <w:p w14:paraId="1AC680D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4.2供应商的澄清、说明或者补正应当采用书面形式，并加盖公章，或者由法定代表人或其委托代理人的签字。供应商的澄清、说明或者补正不得超出投标文件的范围或者改变投标文件的实质性内容。</w:t>
      </w:r>
    </w:p>
    <w:p w14:paraId="234BFE4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4.3若供应商未响应澄清安排的通知到场进行答疑和澄清，将被视作自动放弃。</w:t>
      </w:r>
    </w:p>
    <w:p w14:paraId="425CFF78">
      <w:pPr>
        <w:widowControl/>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bidi="ar"/>
        </w:rPr>
        <w:t>五、特别声明：价格是评标的重要因素之一，但最低价不是中标的唯一依据。</w:t>
      </w:r>
    </w:p>
    <w:p w14:paraId="45C4637D">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bidi="ar"/>
        </w:rPr>
        <w:t>六、重新招标</w:t>
      </w:r>
    </w:p>
    <w:p w14:paraId="299DE56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有下列情形之一的，采购人将重新招标：</w:t>
      </w:r>
    </w:p>
    <w:p w14:paraId="16E8682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6.1投标截止时间止，供应商少于3个的；</w:t>
      </w:r>
    </w:p>
    <w:p w14:paraId="1E8FB1B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6.2评标委员会评标过程中，有效供应商少于3个的；</w:t>
      </w:r>
    </w:p>
    <w:p w14:paraId="52441D9A">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14:paraId="18E75E29">
      <w:pPr>
        <w:pStyle w:val="198"/>
        <w:rPr>
          <w:rFonts w:hint="eastAsia" w:ascii="宋体" w:hAnsi="宋体" w:cs="宋体"/>
          <w:color w:val="auto"/>
          <w:szCs w:val="21"/>
          <w:highlight w:val="none"/>
          <w:lang w:bidi="ar"/>
        </w:rPr>
      </w:pPr>
    </w:p>
    <w:p w14:paraId="1ACF6F72">
      <w:pPr>
        <w:pStyle w:val="198"/>
        <w:rPr>
          <w:rFonts w:hint="eastAsia" w:ascii="宋体" w:hAnsi="宋体" w:cs="宋体"/>
          <w:color w:val="auto"/>
          <w:szCs w:val="21"/>
          <w:highlight w:val="none"/>
          <w:lang w:bidi="ar"/>
        </w:rPr>
      </w:pPr>
    </w:p>
    <w:p w14:paraId="43B400D9">
      <w:pPr>
        <w:pStyle w:val="198"/>
        <w:rPr>
          <w:rFonts w:hint="eastAsia" w:ascii="宋体" w:hAnsi="宋体" w:cs="宋体"/>
          <w:color w:val="auto"/>
          <w:szCs w:val="21"/>
          <w:highlight w:val="none"/>
          <w:lang w:bidi="ar"/>
        </w:rPr>
      </w:pPr>
    </w:p>
    <w:p w14:paraId="109D97E9">
      <w:pPr>
        <w:pStyle w:val="198"/>
        <w:rPr>
          <w:rFonts w:hint="eastAsia" w:ascii="宋体" w:hAnsi="宋体" w:cs="宋体"/>
          <w:color w:val="auto"/>
          <w:szCs w:val="21"/>
          <w:highlight w:val="none"/>
          <w:lang w:bidi="ar"/>
        </w:rPr>
      </w:pPr>
    </w:p>
    <w:p w14:paraId="7A220BA3">
      <w:pPr>
        <w:pStyle w:val="198"/>
        <w:rPr>
          <w:rFonts w:hint="eastAsia" w:ascii="宋体" w:hAnsi="宋体" w:cs="宋体"/>
          <w:color w:val="auto"/>
          <w:szCs w:val="21"/>
          <w:highlight w:val="none"/>
          <w:lang w:bidi="ar"/>
        </w:rPr>
      </w:pPr>
    </w:p>
    <w:p w14:paraId="2767059A">
      <w:pPr>
        <w:pStyle w:val="198"/>
        <w:rPr>
          <w:rFonts w:hint="eastAsia" w:ascii="宋体" w:hAnsi="宋体" w:cs="宋体"/>
          <w:color w:val="auto"/>
          <w:szCs w:val="21"/>
          <w:highlight w:val="none"/>
          <w:lang w:bidi="ar"/>
        </w:rPr>
      </w:pPr>
    </w:p>
    <w:p w14:paraId="02550979">
      <w:pPr>
        <w:pStyle w:val="198"/>
        <w:rPr>
          <w:rFonts w:hint="eastAsia" w:ascii="宋体" w:hAnsi="宋体" w:cs="宋体"/>
          <w:color w:val="auto"/>
          <w:szCs w:val="21"/>
          <w:highlight w:val="none"/>
          <w:lang w:bidi="ar"/>
        </w:rPr>
      </w:pPr>
    </w:p>
    <w:p w14:paraId="537E45B4">
      <w:pPr>
        <w:pStyle w:val="198"/>
        <w:rPr>
          <w:rFonts w:hint="eastAsia" w:ascii="宋体" w:hAnsi="宋体" w:cs="宋体"/>
          <w:color w:val="auto"/>
          <w:szCs w:val="21"/>
          <w:highlight w:val="none"/>
          <w:lang w:bidi="ar"/>
        </w:rPr>
      </w:pPr>
    </w:p>
    <w:p w14:paraId="31BA0AB0">
      <w:pPr>
        <w:pStyle w:val="198"/>
        <w:rPr>
          <w:rFonts w:hint="eastAsia" w:ascii="宋体" w:hAnsi="宋体" w:cs="宋体"/>
          <w:color w:val="auto"/>
          <w:szCs w:val="21"/>
          <w:highlight w:val="none"/>
          <w:lang w:bidi="ar"/>
        </w:rPr>
      </w:pPr>
    </w:p>
    <w:p w14:paraId="156ED622">
      <w:pPr>
        <w:pStyle w:val="198"/>
        <w:rPr>
          <w:rFonts w:hint="eastAsia" w:ascii="宋体" w:hAnsi="宋体" w:cs="宋体"/>
          <w:color w:val="auto"/>
          <w:szCs w:val="21"/>
          <w:highlight w:val="none"/>
          <w:lang w:bidi="ar"/>
        </w:rPr>
      </w:pPr>
    </w:p>
    <w:p w14:paraId="043B70AB">
      <w:pPr>
        <w:pStyle w:val="198"/>
        <w:rPr>
          <w:rFonts w:hint="eastAsia" w:ascii="宋体" w:hAnsi="宋体" w:cs="宋体"/>
          <w:color w:val="auto"/>
          <w:szCs w:val="21"/>
          <w:highlight w:val="none"/>
          <w:lang w:bidi="ar"/>
        </w:rPr>
      </w:pPr>
    </w:p>
    <w:p w14:paraId="1515B49E">
      <w:pPr>
        <w:pStyle w:val="198"/>
        <w:rPr>
          <w:rFonts w:hint="eastAsia" w:ascii="宋体" w:hAnsi="宋体" w:cs="宋体"/>
          <w:color w:val="auto"/>
          <w:szCs w:val="21"/>
          <w:highlight w:val="none"/>
          <w:lang w:bidi="ar"/>
        </w:rPr>
      </w:pPr>
    </w:p>
    <w:p w14:paraId="1ED22065">
      <w:pPr>
        <w:pStyle w:val="198"/>
        <w:rPr>
          <w:rFonts w:hint="eastAsia" w:ascii="宋体" w:hAnsi="宋体" w:cs="宋体"/>
          <w:color w:val="auto"/>
          <w:szCs w:val="21"/>
          <w:highlight w:val="none"/>
          <w:lang w:bidi="ar"/>
        </w:rPr>
      </w:pPr>
    </w:p>
    <w:p w14:paraId="6C4BD6DC">
      <w:pPr>
        <w:pStyle w:val="198"/>
        <w:rPr>
          <w:rFonts w:hint="eastAsia" w:ascii="宋体" w:hAnsi="宋体" w:cs="宋体"/>
          <w:color w:val="auto"/>
          <w:szCs w:val="21"/>
          <w:highlight w:val="none"/>
          <w:lang w:bidi="ar"/>
        </w:rPr>
      </w:pPr>
    </w:p>
    <w:p w14:paraId="7260A215">
      <w:pPr>
        <w:pStyle w:val="198"/>
        <w:rPr>
          <w:rFonts w:hint="eastAsia" w:ascii="宋体" w:hAnsi="宋体" w:cs="宋体"/>
          <w:color w:val="auto"/>
          <w:szCs w:val="21"/>
          <w:highlight w:val="none"/>
          <w:lang w:bidi="ar"/>
        </w:rPr>
      </w:pPr>
    </w:p>
    <w:p w14:paraId="3D36DB68">
      <w:pPr>
        <w:pStyle w:val="198"/>
        <w:rPr>
          <w:rFonts w:hint="eastAsia" w:ascii="宋体" w:hAnsi="宋体" w:cs="宋体"/>
          <w:color w:val="auto"/>
          <w:szCs w:val="21"/>
          <w:highlight w:val="none"/>
          <w:lang w:bidi="ar"/>
        </w:rPr>
      </w:pPr>
    </w:p>
    <w:p w14:paraId="7C79FEF1">
      <w:pPr>
        <w:pStyle w:val="198"/>
        <w:rPr>
          <w:rFonts w:hint="eastAsia" w:ascii="宋体" w:hAnsi="宋体" w:cs="宋体"/>
          <w:color w:val="auto"/>
          <w:szCs w:val="21"/>
          <w:highlight w:val="none"/>
          <w:lang w:bidi="ar"/>
        </w:rPr>
      </w:pPr>
    </w:p>
    <w:p w14:paraId="1527573F">
      <w:pPr>
        <w:pStyle w:val="198"/>
        <w:rPr>
          <w:rFonts w:hint="eastAsia" w:ascii="宋体" w:hAnsi="宋体" w:cs="宋体"/>
          <w:color w:val="auto"/>
          <w:szCs w:val="21"/>
          <w:highlight w:val="none"/>
          <w:lang w:bidi="ar"/>
        </w:rPr>
      </w:pPr>
    </w:p>
    <w:p w14:paraId="135BE794">
      <w:pPr>
        <w:pStyle w:val="198"/>
        <w:rPr>
          <w:rFonts w:hint="eastAsia" w:ascii="宋体" w:hAnsi="宋体" w:cs="宋体"/>
          <w:color w:val="auto"/>
          <w:szCs w:val="21"/>
          <w:highlight w:val="none"/>
          <w:lang w:bidi="ar"/>
        </w:rPr>
      </w:pPr>
    </w:p>
    <w:p w14:paraId="01C85353">
      <w:pPr>
        <w:pStyle w:val="198"/>
        <w:rPr>
          <w:rFonts w:hint="eastAsia" w:ascii="宋体" w:hAnsi="宋体" w:cs="宋体"/>
          <w:color w:val="auto"/>
          <w:szCs w:val="21"/>
          <w:highlight w:val="none"/>
          <w:lang w:bidi="ar"/>
        </w:rPr>
      </w:pPr>
    </w:p>
    <w:p w14:paraId="2324CFF4">
      <w:pPr>
        <w:pStyle w:val="198"/>
        <w:rPr>
          <w:rFonts w:hint="eastAsia" w:ascii="宋体" w:hAnsi="宋体" w:cs="宋体"/>
          <w:color w:val="auto"/>
          <w:szCs w:val="21"/>
          <w:highlight w:val="none"/>
          <w:lang w:bidi="ar"/>
        </w:rPr>
      </w:pPr>
    </w:p>
    <w:p w14:paraId="299086C7">
      <w:pPr>
        <w:pStyle w:val="198"/>
        <w:rPr>
          <w:rFonts w:hint="eastAsia" w:ascii="宋体" w:hAnsi="宋体" w:cs="宋体"/>
          <w:color w:val="auto"/>
          <w:szCs w:val="21"/>
          <w:highlight w:val="none"/>
          <w:lang w:bidi="ar"/>
        </w:rPr>
      </w:pPr>
    </w:p>
    <w:p w14:paraId="2264A8BE">
      <w:pPr>
        <w:pStyle w:val="198"/>
        <w:rPr>
          <w:rFonts w:hint="eastAsia" w:ascii="宋体" w:hAnsi="宋体" w:cs="宋体"/>
          <w:color w:val="auto"/>
          <w:szCs w:val="21"/>
          <w:highlight w:val="none"/>
          <w:lang w:bidi="ar"/>
        </w:rPr>
      </w:pPr>
    </w:p>
    <w:p w14:paraId="7571DA5D">
      <w:pPr>
        <w:pStyle w:val="198"/>
        <w:rPr>
          <w:rFonts w:hint="eastAsia" w:ascii="宋体" w:hAnsi="宋体" w:cs="宋体"/>
          <w:color w:val="auto"/>
          <w:szCs w:val="21"/>
          <w:highlight w:val="none"/>
          <w:lang w:bidi="ar"/>
        </w:rPr>
      </w:pPr>
    </w:p>
    <w:p w14:paraId="51D59FE4">
      <w:pPr>
        <w:pStyle w:val="198"/>
        <w:rPr>
          <w:rFonts w:hint="eastAsia" w:ascii="宋体" w:hAnsi="宋体" w:cs="宋体"/>
          <w:color w:val="auto"/>
          <w:szCs w:val="21"/>
          <w:highlight w:val="none"/>
          <w:lang w:bidi="ar"/>
        </w:rPr>
      </w:pPr>
    </w:p>
    <w:p w14:paraId="21160C6B">
      <w:pPr>
        <w:pStyle w:val="198"/>
        <w:rPr>
          <w:rFonts w:hint="eastAsia" w:ascii="宋体" w:hAnsi="宋体" w:cs="宋体"/>
          <w:color w:val="auto"/>
          <w:szCs w:val="21"/>
          <w:highlight w:val="none"/>
          <w:lang w:bidi="ar"/>
        </w:rPr>
      </w:pPr>
    </w:p>
    <w:p w14:paraId="2E6F40EB">
      <w:pPr>
        <w:rPr>
          <w:rFonts w:hint="eastAsia"/>
          <w:color w:val="auto"/>
          <w:highlight w:val="none"/>
        </w:rPr>
      </w:pPr>
    </w:p>
    <w:p w14:paraId="6015EE4C">
      <w:pPr>
        <w:pStyle w:val="2"/>
        <w:ind w:firstLine="0" w:firstLineChars="0"/>
        <w:rPr>
          <w:rFonts w:hint="eastAsia" w:ascii="宋体" w:hAnsi="宋体" w:eastAsia="宋体" w:cs="宋体"/>
          <w:b/>
          <w:bCs/>
          <w:color w:val="auto"/>
          <w:sz w:val="28"/>
          <w:szCs w:val="28"/>
          <w:highlight w:val="none"/>
          <w:lang w:bidi="ar"/>
        </w:rPr>
      </w:pPr>
      <w:r>
        <w:rPr>
          <w:rFonts w:hint="eastAsia" w:ascii="宋体" w:hAnsi="宋体" w:eastAsia="宋体" w:cs="宋体"/>
          <w:color w:val="auto"/>
          <w:sz w:val="21"/>
          <w:szCs w:val="21"/>
          <w:highlight w:val="none"/>
          <w:lang w:bidi="ar"/>
        </w:rPr>
        <w:t xml:space="preserve">附表1：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
          <w:bCs/>
          <w:color w:val="auto"/>
          <w:sz w:val="28"/>
          <w:szCs w:val="28"/>
          <w:highlight w:val="none"/>
          <w:lang w:bidi="ar"/>
        </w:rPr>
        <w:t>资格性审查表</w:t>
      </w:r>
    </w:p>
    <w:p w14:paraId="6A60E21D">
      <w:pPr>
        <w:pStyle w:val="2"/>
        <w:ind w:firstLine="0" w:firstLineChars="0"/>
        <w:rPr>
          <w:rFonts w:hint="eastAsia" w:ascii="宋体" w:hAnsi="宋体" w:eastAsia="宋体" w:cs="宋体"/>
          <w:b/>
          <w:bCs/>
          <w:color w:val="auto"/>
          <w:sz w:val="28"/>
          <w:szCs w:val="28"/>
          <w:highlight w:val="none"/>
          <w:lang w:bidi="ar"/>
        </w:rPr>
      </w:pPr>
    </w:p>
    <w:tbl>
      <w:tblPr>
        <w:tblStyle w:val="4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561"/>
        <w:gridCol w:w="5917"/>
      </w:tblGrid>
      <w:tr w14:paraId="52C6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top"/>
          </w:tcPr>
          <w:p w14:paraId="27D4B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bidi="ar"/>
              </w:rPr>
              <w:t>序号</w:t>
            </w:r>
          </w:p>
        </w:tc>
        <w:tc>
          <w:tcPr>
            <w:tcW w:w="3561" w:type="dxa"/>
            <w:tcBorders>
              <w:top w:val="single" w:color="auto" w:sz="4" w:space="0"/>
              <w:left w:val="single" w:color="auto" w:sz="4" w:space="0"/>
              <w:bottom w:val="single" w:color="auto" w:sz="4" w:space="0"/>
              <w:right w:val="single" w:color="auto" w:sz="4" w:space="0"/>
            </w:tcBorders>
            <w:noWrap w:val="0"/>
            <w:vAlign w:val="top"/>
          </w:tcPr>
          <w:p w14:paraId="63316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bidi="ar"/>
              </w:rPr>
              <w:t>审查要求</w:t>
            </w:r>
          </w:p>
        </w:tc>
        <w:tc>
          <w:tcPr>
            <w:tcW w:w="5917" w:type="dxa"/>
            <w:tcBorders>
              <w:top w:val="single" w:color="auto" w:sz="4" w:space="0"/>
              <w:left w:val="single" w:color="auto" w:sz="4" w:space="0"/>
              <w:bottom w:val="single" w:color="auto" w:sz="4" w:space="0"/>
              <w:right w:val="single" w:color="auto" w:sz="4" w:space="0"/>
            </w:tcBorders>
            <w:noWrap w:val="0"/>
            <w:vAlign w:val="top"/>
          </w:tcPr>
          <w:p w14:paraId="55DC8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bidi="ar"/>
              </w:rPr>
              <w:t>要求说明</w:t>
            </w:r>
          </w:p>
        </w:tc>
      </w:tr>
      <w:tr w14:paraId="750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C93C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1</w:t>
            </w:r>
          </w:p>
        </w:tc>
        <w:tc>
          <w:tcPr>
            <w:tcW w:w="3561" w:type="dxa"/>
            <w:tcBorders>
              <w:top w:val="single" w:color="auto" w:sz="4" w:space="0"/>
              <w:left w:val="single" w:color="auto" w:sz="4" w:space="0"/>
              <w:right w:val="single" w:color="auto" w:sz="4" w:space="0"/>
            </w:tcBorders>
            <w:noWrap w:val="0"/>
            <w:vAlign w:val="top"/>
          </w:tcPr>
          <w:p w14:paraId="25390E30">
            <w:pPr>
              <w:keepNext w:val="0"/>
              <w:keepLines w:val="0"/>
              <w:suppressLineNumbers w:val="0"/>
              <w:spacing w:before="0" w:beforeAutospacing="0" w:after="0" w:afterAutospacing="0" w:line="300" w:lineRule="exact"/>
              <w:ind w:left="0" w:right="0"/>
              <w:rPr>
                <w:rFonts w:hint="eastAsia" w:ascii="宋体" w:hAnsi="宋体" w:eastAsia="宋体" w:cs="宋体"/>
                <w:bCs/>
                <w:color w:val="auto"/>
                <w:sz w:val="21"/>
                <w:szCs w:val="21"/>
                <w:highlight w:val="none"/>
                <w:lang w:val="en-US" w:eastAsia="zh-CN" w:bidi="ar"/>
              </w:rPr>
            </w:pPr>
            <w:r>
              <w:rPr>
                <w:rFonts w:hint="eastAsia" w:ascii="宋体" w:hAnsi="宋体" w:cs="宋体"/>
                <w:color w:val="auto"/>
                <w:szCs w:val="21"/>
              </w:rPr>
              <w:t>具有独立承担民事责任的能力；具有良好的商业信誉和健全的财务会计制度；具有履行合同所必需的设备和专业技术能力；具有依法缴纳税收和社会保障资金的良好记录；</w:t>
            </w:r>
          </w:p>
        </w:tc>
        <w:tc>
          <w:tcPr>
            <w:tcW w:w="5917" w:type="dxa"/>
            <w:tcBorders>
              <w:top w:val="single" w:color="auto" w:sz="4" w:space="0"/>
              <w:left w:val="single" w:color="auto" w:sz="4" w:space="0"/>
              <w:right w:val="single" w:color="auto" w:sz="4" w:space="0"/>
            </w:tcBorders>
            <w:noWrap w:val="0"/>
            <w:vAlign w:val="center"/>
          </w:tcPr>
          <w:p w14:paraId="39869659">
            <w:pPr>
              <w:keepNext w:val="0"/>
              <w:keepLines w:val="0"/>
              <w:suppressLineNumbers w:val="0"/>
              <w:spacing w:before="0" w:beforeAutospacing="0" w:after="0" w:afterAutospacing="0" w:line="300" w:lineRule="exact"/>
              <w:ind w:left="0" w:right="0"/>
              <w:rPr>
                <w:rFonts w:hint="eastAsia" w:ascii="宋体" w:hAnsi="宋体" w:cs="宋体"/>
                <w:bCs/>
                <w:color w:val="auto"/>
                <w:szCs w:val="21"/>
                <w:lang w:bidi="ar"/>
              </w:rPr>
            </w:pPr>
            <w:r>
              <w:rPr>
                <w:rFonts w:hint="eastAsia" w:ascii="宋体" w:hAnsi="宋体" w:cs="宋体"/>
                <w:bCs/>
                <w:color w:val="auto"/>
                <w:szCs w:val="21"/>
                <w:lang w:bidi="ar"/>
              </w:rPr>
              <w:t>1.提供有效的营业执照副本（或事业法人登记证副本或其他登记证明材料）原件扫描件或者电子营业执照加盖供应商公章。投标人如果有名称变更的，应提供由行政主管部门出具的变更证明文件。（加盖公章）</w:t>
            </w:r>
          </w:p>
          <w:p w14:paraId="2DF3FAF2">
            <w:pPr>
              <w:keepNext w:val="0"/>
              <w:keepLines w:val="0"/>
              <w:suppressLineNumbers w:val="0"/>
              <w:spacing w:before="0" w:beforeAutospacing="0" w:after="0" w:afterAutospacing="0" w:line="300" w:lineRule="exact"/>
              <w:ind w:left="0" w:right="0"/>
              <w:rPr>
                <w:rFonts w:hint="eastAsia" w:ascii="宋体" w:hAnsi="宋体" w:eastAsia="宋体" w:cs="宋体"/>
                <w:bCs/>
                <w:color w:val="auto"/>
                <w:sz w:val="21"/>
                <w:szCs w:val="21"/>
                <w:highlight w:val="none"/>
                <w:lang w:val="en-US" w:eastAsia="zh-CN" w:bidi="ar"/>
              </w:rPr>
            </w:pPr>
            <w:r>
              <w:rPr>
                <w:rFonts w:hint="eastAsia" w:ascii="宋体" w:hAnsi="宋体" w:cs="宋体"/>
                <w:bCs/>
                <w:color w:val="auto"/>
                <w:szCs w:val="21"/>
                <w:lang w:bidi="ar"/>
              </w:rPr>
              <w:t>2.按采购文件要求格式提交关于资格的声明函</w:t>
            </w:r>
          </w:p>
        </w:tc>
      </w:tr>
      <w:tr w14:paraId="6B8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7CFC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Cs/>
                <w:color w:val="auto"/>
                <w:szCs w:val="21"/>
                <w:highlight w:val="none"/>
                <w:lang w:val="en-US" w:eastAsia="zh-CN" w:bidi="ar"/>
              </w:rPr>
            </w:pPr>
            <w:r>
              <w:rPr>
                <w:rFonts w:hint="eastAsia" w:ascii="宋体" w:hAnsi="宋体" w:cs="宋体"/>
                <w:bCs/>
                <w:color w:val="auto"/>
                <w:szCs w:val="21"/>
                <w:highlight w:val="none"/>
                <w:lang w:val="en-US" w:eastAsia="zh-CN" w:bidi="ar"/>
              </w:rPr>
              <w:t>2</w:t>
            </w:r>
          </w:p>
        </w:tc>
        <w:tc>
          <w:tcPr>
            <w:tcW w:w="3561" w:type="dxa"/>
            <w:tcBorders>
              <w:top w:val="single" w:color="auto" w:sz="4" w:space="0"/>
              <w:left w:val="single" w:color="auto" w:sz="4" w:space="0"/>
              <w:bottom w:val="single" w:color="auto" w:sz="4" w:space="0"/>
              <w:right w:val="single" w:color="auto" w:sz="4" w:space="0"/>
            </w:tcBorders>
            <w:noWrap w:val="0"/>
            <w:vAlign w:val="center"/>
          </w:tcPr>
          <w:p w14:paraId="5A022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未被信用中国网站（www.creditchina.gov.cn）列入失信被执行人、重大税收违法案件当事人名单，未被中国政府采购网（www.ccgp.gov.cn）列入政府采购严重违法失信行为记录名单。</w:t>
            </w:r>
            <w:r>
              <w:rPr>
                <w:rFonts w:hint="eastAsia" w:ascii="宋体" w:hAnsi="宋体" w:eastAsia="宋体" w:cs="宋体"/>
                <w:b/>
                <w:bCs w:val="0"/>
                <w:color w:val="auto"/>
                <w:sz w:val="21"/>
                <w:szCs w:val="21"/>
                <w:highlight w:val="none"/>
                <w:lang w:val="en-US" w:eastAsia="zh-CN" w:bidi="ar"/>
              </w:rPr>
              <w:t>（本项无需上传对应资料）</w:t>
            </w:r>
          </w:p>
        </w:tc>
        <w:tc>
          <w:tcPr>
            <w:tcW w:w="5917" w:type="dxa"/>
            <w:tcBorders>
              <w:top w:val="single" w:color="auto" w:sz="4" w:space="0"/>
              <w:left w:val="single" w:color="auto" w:sz="4" w:space="0"/>
              <w:bottom w:val="single" w:color="auto" w:sz="4" w:space="0"/>
              <w:right w:val="single" w:color="auto" w:sz="4" w:space="0"/>
            </w:tcBorders>
            <w:noWrap w:val="0"/>
            <w:vAlign w:val="center"/>
          </w:tcPr>
          <w:p w14:paraId="361B5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1、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47FE5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2、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6D3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A933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3</w:t>
            </w:r>
          </w:p>
        </w:tc>
        <w:tc>
          <w:tcPr>
            <w:tcW w:w="3561" w:type="dxa"/>
            <w:tcBorders>
              <w:top w:val="single" w:color="auto" w:sz="4" w:space="0"/>
              <w:left w:val="single" w:color="auto" w:sz="4" w:space="0"/>
              <w:bottom w:val="single" w:color="auto" w:sz="4" w:space="0"/>
              <w:right w:val="single" w:color="auto" w:sz="4" w:space="0"/>
            </w:tcBorders>
            <w:noWrap w:val="0"/>
            <w:vAlign w:val="center"/>
          </w:tcPr>
          <w:p w14:paraId="47F52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公益一类事业单位不属于政府购买服务的承接主体，不得参与承接政府购买服务</w:t>
            </w:r>
            <w:r>
              <w:rPr>
                <w:rFonts w:hint="eastAsia" w:ascii="宋体" w:hAnsi="宋体" w:eastAsia="宋体" w:cs="宋体"/>
                <w:b/>
                <w:bCs w:val="0"/>
                <w:color w:val="auto"/>
                <w:sz w:val="21"/>
                <w:szCs w:val="21"/>
                <w:highlight w:val="none"/>
                <w:lang w:val="en-US" w:eastAsia="zh-CN" w:bidi="ar"/>
              </w:rPr>
              <w:t>（本项无需上传对应资料）</w:t>
            </w:r>
          </w:p>
        </w:tc>
        <w:tc>
          <w:tcPr>
            <w:tcW w:w="5917" w:type="dxa"/>
            <w:tcBorders>
              <w:top w:val="single" w:color="auto" w:sz="4" w:space="0"/>
              <w:left w:val="single" w:color="auto" w:sz="4" w:space="0"/>
              <w:bottom w:val="single" w:color="auto" w:sz="4" w:space="0"/>
              <w:right w:val="single" w:color="auto" w:sz="4" w:space="0"/>
            </w:tcBorders>
            <w:noWrap w:val="0"/>
            <w:vAlign w:val="center"/>
          </w:tcPr>
          <w:p w14:paraId="14DD6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查询投标供应商是否为公益一类事业单位，公益一类事业单位不得参与承接政府购买服务。</w:t>
            </w:r>
          </w:p>
        </w:tc>
      </w:tr>
      <w:tr w14:paraId="12B6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1DA7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4</w:t>
            </w:r>
          </w:p>
        </w:tc>
        <w:tc>
          <w:tcPr>
            <w:tcW w:w="3561" w:type="dxa"/>
            <w:tcBorders>
              <w:top w:val="single" w:color="auto" w:sz="4" w:space="0"/>
              <w:left w:val="single" w:color="auto" w:sz="4" w:space="0"/>
              <w:bottom w:val="single" w:color="auto" w:sz="4" w:space="0"/>
              <w:right w:val="single" w:color="auto" w:sz="4" w:space="0"/>
            </w:tcBorders>
            <w:noWrap w:val="0"/>
            <w:vAlign w:val="center"/>
          </w:tcPr>
          <w:p w14:paraId="61CCA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供应商须为经中国保险监督管理委员会批准，具有《中华人民共和国经营保险业务许可证》的保险公司或其分支机构。</w:t>
            </w:r>
          </w:p>
        </w:tc>
        <w:tc>
          <w:tcPr>
            <w:tcW w:w="5917" w:type="dxa"/>
            <w:tcBorders>
              <w:top w:val="single" w:color="auto" w:sz="4" w:space="0"/>
              <w:left w:val="single" w:color="auto" w:sz="4" w:space="0"/>
              <w:bottom w:val="single" w:color="auto" w:sz="4" w:space="0"/>
              <w:right w:val="single" w:color="auto" w:sz="4" w:space="0"/>
            </w:tcBorders>
            <w:noWrap w:val="0"/>
            <w:vAlign w:val="center"/>
          </w:tcPr>
          <w:p w14:paraId="152C9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提供有效的</w:t>
            </w:r>
            <w:r>
              <w:rPr>
                <w:rFonts w:hint="eastAsia" w:ascii="宋体" w:hAnsi="宋体" w:eastAsia="宋体" w:cs="宋体"/>
                <w:bCs/>
                <w:color w:val="auto"/>
                <w:kern w:val="2"/>
                <w:sz w:val="21"/>
                <w:szCs w:val="21"/>
                <w:highlight w:val="none"/>
                <w:lang w:val="en-US" w:eastAsia="zh-CN" w:bidi="ar"/>
              </w:rPr>
              <w:t>《中华人民共和国经营保险业务许可证》</w:t>
            </w:r>
            <w:r>
              <w:rPr>
                <w:rFonts w:hint="eastAsia" w:ascii="宋体" w:hAnsi="宋体" w:eastAsia="宋体" w:cs="宋体"/>
                <w:bCs/>
                <w:color w:val="auto"/>
                <w:sz w:val="21"/>
                <w:szCs w:val="21"/>
                <w:highlight w:val="none"/>
                <w:lang w:val="en-US" w:eastAsia="zh-CN" w:bidi="ar"/>
              </w:rPr>
              <w:t>扫描件（加盖供应商公章）</w:t>
            </w:r>
          </w:p>
        </w:tc>
      </w:tr>
      <w:tr w14:paraId="6A4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D655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5</w:t>
            </w:r>
          </w:p>
        </w:tc>
        <w:tc>
          <w:tcPr>
            <w:tcW w:w="3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DE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供应商是否为联合体</w:t>
            </w:r>
            <w:r>
              <w:rPr>
                <w:rFonts w:hint="eastAsia" w:ascii="宋体" w:hAnsi="宋体" w:eastAsia="宋体" w:cs="宋体"/>
                <w:b/>
                <w:bCs w:val="0"/>
                <w:color w:val="auto"/>
                <w:sz w:val="21"/>
                <w:szCs w:val="21"/>
                <w:highlight w:val="none"/>
                <w:lang w:val="en-US" w:eastAsia="zh-CN" w:bidi="ar"/>
              </w:rPr>
              <w:t>（本项无需上传对应资料）</w:t>
            </w:r>
          </w:p>
        </w:tc>
        <w:tc>
          <w:tcPr>
            <w:tcW w:w="59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86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本项目不接受联合体投标</w:t>
            </w:r>
          </w:p>
        </w:tc>
      </w:tr>
      <w:tr w14:paraId="4C5B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01" w:type="dxa"/>
            <w:gridSpan w:val="2"/>
            <w:tcBorders>
              <w:top w:val="single" w:color="auto" w:sz="4" w:space="0"/>
              <w:left w:val="single" w:color="auto" w:sz="4" w:space="0"/>
              <w:bottom w:val="single" w:color="auto" w:sz="4" w:space="0"/>
              <w:right w:val="single" w:color="auto" w:sz="4" w:space="0"/>
            </w:tcBorders>
            <w:noWrap w:val="0"/>
            <w:vAlign w:val="center"/>
          </w:tcPr>
          <w:p w14:paraId="29836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资格审查结论</w:t>
            </w:r>
          </w:p>
        </w:tc>
        <w:tc>
          <w:tcPr>
            <w:tcW w:w="5917" w:type="dxa"/>
            <w:tcBorders>
              <w:top w:val="single" w:color="auto" w:sz="4" w:space="0"/>
              <w:left w:val="single" w:color="auto" w:sz="4" w:space="0"/>
              <w:bottom w:val="single" w:color="auto" w:sz="4" w:space="0"/>
              <w:right w:val="single" w:color="auto" w:sz="4" w:space="0"/>
            </w:tcBorders>
            <w:noWrap w:val="0"/>
            <w:vAlign w:val="center"/>
          </w:tcPr>
          <w:p w14:paraId="41B295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cs="宋体"/>
                <w:bCs/>
                <w:color w:val="auto"/>
                <w:szCs w:val="21"/>
                <w:highlight w:val="none"/>
              </w:rPr>
            </w:pPr>
          </w:p>
        </w:tc>
      </w:tr>
    </w:tbl>
    <w:p w14:paraId="0B773F71">
      <w:pPr>
        <w:spacing w:line="320" w:lineRule="exact"/>
        <w:rPr>
          <w:rFonts w:hint="eastAsia" w:ascii="宋体" w:hAnsi="宋体" w:cs="宋体"/>
          <w:b/>
          <w:color w:val="auto"/>
          <w:szCs w:val="22"/>
          <w:highlight w:val="none"/>
        </w:rPr>
      </w:pPr>
      <w:r>
        <w:rPr>
          <w:rFonts w:hint="eastAsia" w:ascii="宋体" w:hAnsi="宋体" w:cs="宋体"/>
          <w:b/>
          <w:color w:val="auto"/>
          <w:szCs w:val="22"/>
          <w:highlight w:val="none"/>
          <w:lang w:bidi="ar"/>
        </w:rPr>
        <w:t>注：</w:t>
      </w:r>
      <w:r>
        <w:rPr>
          <w:rFonts w:hint="eastAsia" w:ascii="宋体" w:hAnsi="宋体" w:cs="宋体"/>
          <w:b/>
          <w:color w:val="auto"/>
          <w:szCs w:val="22"/>
          <w:highlight w:val="none"/>
        </w:rPr>
        <w:t>1、上述审查项目中，任意一项不符合的，资格性审查不合格。</w:t>
      </w:r>
    </w:p>
    <w:p w14:paraId="57E03F1E">
      <w:pPr>
        <w:spacing w:line="320" w:lineRule="exact"/>
        <w:rPr>
          <w:rFonts w:hint="eastAsia" w:ascii="宋体" w:hAnsi="宋体" w:cs="宋体"/>
          <w:b/>
          <w:color w:val="auto"/>
          <w:szCs w:val="22"/>
          <w:highlight w:val="none"/>
        </w:rPr>
      </w:pPr>
      <w:r>
        <w:rPr>
          <w:rFonts w:hint="eastAsia" w:ascii="宋体" w:hAnsi="宋体" w:cs="宋体"/>
          <w:b/>
          <w:color w:val="auto"/>
          <w:szCs w:val="22"/>
          <w:highlight w:val="none"/>
        </w:rPr>
        <w:t>2、本项目实行网上电子投标，供应商在制作投标文件时须根据上表要求说明要求的资料，将资料逐一对应上传，否则视为供应商未提供资格性审查要求的文件，资格性审查不合格（特别备注无需上传对应资料的除外）。</w:t>
      </w:r>
    </w:p>
    <w:p w14:paraId="1C20C467">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ascii="宋体" w:hAnsi="宋体"/>
          <w:b/>
          <w:color w:val="auto"/>
        </w:rPr>
      </w:pPr>
      <w:r>
        <w:rPr>
          <w:rFonts w:hint="eastAsia" w:ascii="宋体" w:hAnsi="宋体"/>
          <w:color w:val="auto"/>
          <w:szCs w:val="21"/>
        </w:rPr>
        <w:t>▲</w:t>
      </w:r>
      <w:r>
        <w:rPr>
          <w:rFonts w:hint="eastAsia" w:ascii="宋体" w:hAnsi="宋体"/>
          <w:b/>
          <w:bCs/>
          <w:color w:val="auto"/>
          <w:szCs w:val="21"/>
          <w:lang w:eastAsia="zh-CN"/>
        </w:rPr>
        <w:t>注：</w:t>
      </w:r>
      <w:r>
        <w:rPr>
          <w:rFonts w:hint="eastAsia" w:ascii="宋体" w:hAnsi="宋体" w:eastAsia="宋体" w:cs="Times New Roman"/>
          <w:b/>
          <w:bCs/>
          <w:color w:val="auto"/>
          <w:szCs w:val="21"/>
        </w:rPr>
        <w:t>金融、保险、通讯等特定行业的全国性企业所设立的区域性分支机构，以及个体工商户、个人独资企业、合伙企业，</w:t>
      </w:r>
      <w:r>
        <w:rPr>
          <w:rFonts w:hint="eastAsia" w:ascii="宋体" w:hAnsi="宋体" w:eastAsia="宋体" w:cs="Times New Roman"/>
          <w:b/>
          <w:bCs/>
          <w:color w:val="auto"/>
          <w:szCs w:val="21"/>
          <w:lang w:eastAsia="zh-CN"/>
        </w:rPr>
        <w:t>应提供</w:t>
      </w:r>
      <w:r>
        <w:rPr>
          <w:rFonts w:hint="eastAsia" w:ascii="宋体" w:hAnsi="宋体" w:eastAsia="宋体" w:cs="Times New Roman"/>
          <w:b/>
          <w:bCs/>
          <w:color w:val="auto"/>
          <w:szCs w:val="21"/>
        </w:rPr>
        <w:t>总公司（总机构）授权</w:t>
      </w:r>
      <w:r>
        <w:rPr>
          <w:rFonts w:hint="eastAsia" w:ascii="宋体" w:hAnsi="宋体" w:eastAsia="宋体" w:cs="Times New Roman"/>
          <w:b/>
          <w:bCs/>
          <w:color w:val="auto"/>
          <w:szCs w:val="21"/>
          <w:lang w:eastAsia="zh-CN"/>
        </w:rPr>
        <w:t>书</w:t>
      </w:r>
      <w:r>
        <w:rPr>
          <w:rFonts w:hint="eastAsia" w:ascii="宋体" w:hAnsi="宋体" w:eastAsia="宋体" w:cs="Times New Roman"/>
          <w:b/>
          <w:bCs/>
          <w:color w:val="auto"/>
          <w:szCs w:val="21"/>
        </w:rPr>
        <w:t>或房产权证或其他有效财产证明材料</w:t>
      </w:r>
      <w:r>
        <w:rPr>
          <w:rFonts w:hint="eastAsia" w:ascii="宋体" w:hAnsi="宋体" w:eastAsia="宋体" w:cs="Times New Roman"/>
          <w:b/>
          <w:bCs/>
          <w:color w:val="auto"/>
          <w:szCs w:val="21"/>
          <w:lang w:eastAsia="zh-CN"/>
        </w:rPr>
        <w:t>。</w:t>
      </w:r>
    </w:p>
    <w:p w14:paraId="6E32DD85">
      <w:pPr>
        <w:spacing w:line="320" w:lineRule="exact"/>
        <w:rPr>
          <w:rFonts w:hint="eastAsia" w:ascii="宋体" w:hAnsi="宋体" w:cs="宋体"/>
          <w:color w:val="auto"/>
          <w:szCs w:val="21"/>
          <w:highlight w:val="none"/>
        </w:rPr>
      </w:pPr>
      <w:r>
        <w:rPr>
          <w:rFonts w:hint="eastAsia" w:ascii="宋体" w:hAnsi="宋体" w:cs="宋体"/>
          <w:b/>
          <w:color w:val="auto"/>
          <w:szCs w:val="22"/>
          <w:highlight w:val="none"/>
          <w:lang w:bidi="ar"/>
        </w:rPr>
        <w:br w:type="page"/>
      </w:r>
      <w:r>
        <w:rPr>
          <w:rFonts w:hint="eastAsia" w:ascii="宋体" w:hAnsi="宋体" w:cs="宋体"/>
          <w:color w:val="auto"/>
          <w:szCs w:val="21"/>
          <w:highlight w:val="none"/>
          <w:lang w:bidi="ar"/>
        </w:rPr>
        <w:t>附表2：</w:t>
      </w:r>
    </w:p>
    <w:p w14:paraId="1A9BFDA4">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商务技术文件符合性审查表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68"/>
        <w:gridCol w:w="5341"/>
      </w:tblGrid>
      <w:tr w14:paraId="2F8F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005A913D">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序号</w:t>
            </w:r>
          </w:p>
        </w:tc>
        <w:tc>
          <w:tcPr>
            <w:tcW w:w="3568" w:type="dxa"/>
            <w:tcBorders>
              <w:top w:val="single" w:color="auto" w:sz="4" w:space="0"/>
              <w:left w:val="single" w:color="auto" w:sz="4" w:space="0"/>
              <w:bottom w:val="single" w:color="auto" w:sz="4" w:space="0"/>
              <w:right w:val="single" w:color="auto" w:sz="4" w:space="0"/>
            </w:tcBorders>
            <w:noWrap w:val="0"/>
            <w:vAlign w:val="top"/>
          </w:tcPr>
          <w:p w14:paraId="73FDA684">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要求</w:t>
            </w:r>
          </w:p>
        </w:tc>
        <w:tc>
          <w:tcPr>
            <w:tcW w:w="5341" w:type="dxa"/>
            <w:tcBorders>
              <w:top w:val="single" w:color="auto" w:sz="4" w:space="0"/>
              <w:left w:val="single" w:color="auto" w:sz="4" w:space="0"/>
              <w:bottom w:val="single" w:color="auto" w:sz="4" w:space="0"/>
              <w:right w:val="single" w:color="auto" w:sz="4" w:space="0"/>
            </w:tcBorders>
            <w:noWrap w:val="0"/>
            <w:vAlign w:val="top"/>
          </w:tcPr>
          <w:p w14:paraId="75410EA0">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要求说明</w:t>
            </w:r>
          </w:p>
        </w:tc>
      </w:tr>
      <w:tr w14:paraId="2014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BC016D4">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1C8D5634">
            <w:pPr>
              <w:keepNext w:val="0"/>
              <w:keepLines w:val="0"/>
              <w:suppressLineNumbers w:val="0"/>
              <w:spacing w:before="0" w:beforeAutospacing="0" w:after="0" w:afterAutospacing="0" w:line="320" w:lineRule="exact"/>
              <w:ind w:left="0" w:right="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供应商名称与营业执照（或事业法人登记证或其他登记证明材料）或者电子营业执照一致</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6ADEBD9E">
            <w:pPr>
              <w:keepNext w:val="0"/>
              <w:keepLines w:val="0"/>
              <w:suppressLineNumbers w:val="0"/>
              <w:spacing w:before="0" w:beforeAutospacing="0" w:after="0" w:afterAutospacing="0" w:line="320" w:lineRule="exact"/>
              <w:ind w:left="0" w:right="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供应商名称与营业执照（或事业法人登记证或其他登记证明材料）或者电子营业执照一致</w:t>
            </w:r>
          </w:p>
        </w:tc>
      </w:tr>
      <w:tr w14:paraId="63C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4B0E8F0">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43883E75">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投标有效期符合第二章“投标须知”第</w:t>
            </w:r>
            <w:r>
              <w:rPr>
                <w:rFonts w:hint="eastAsia" w:ascii="宋体" w:hAnsi="宋体" w:cs="宋体"/>
                <w:color w:val="auto"/>
                <w:sz w:val="21"/>
                <w:szCs w:val="21"/>
                <w:highlight w:val="none"/>
                <w:lang w:eastAsia="zh-CN" w:bidi="ar"/>
              </w:rPr>
              <w:t>六</w:t>
            </w:r>
            <w:r>
              <w:rPr>
                <w:rFonts w:hint="eastAsia" w:ascii="宋体" w:hAnsi="宋体" w:cs="宋体"/>
                <w:color w:val="auto"/>
                <w:sz w:val="21"/>
                <w:szCs w:val="21"/>
                <w:highlight w:val="none"/>
                <w:lang w:bidi="ar"/>
              </w:rPr>
              <w:t>、1条的要求。</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7F2D5656">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投标有效期符合第二章“投标须知”第</w:t>
            </w:r>
            <w:r>
              <w:rPr>
                <w:rFonts w:hint="eastAsia" w:ascii="宋体" w:hAnsi="宋体" w:cs="宋体"/>
                <w:color w:val="auto"/>
                <w:sz w:val="21"/>
                <w:szCs w:val="21"/>
                <w:highlight w:val="none"/>
                <w:lang w:eastAsia="zh-CN" w:bidi="ar"/>
              </w:rPr>
              <w:t>六</w:t>
            </w:r>
            <w:r>
              <w:rPr>
                <w:rFonts w:hint="eastAsia" w:ascii="宋体" w:hAnsi="宋体" w:cs="宋体"/>
                <w:color w:val="auto"/>
                <w:sz w:val="21"/>
                <w:szCs w:val="21"/>
                <w:highlight w:val="none"/>
                <w:lang w:bidi="ar"/>
              </w:rPr>
              <w:t>、1条的要求。</w:t>
            </w:r>
          </w:p>
        </w:tc>
      </w:tr>
      <w:tr w14:paraId="2CC0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990A753">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rPr>
              <w:t>3</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9832665">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rPr>
              <w:t>投标文件由法定代表人签字或盖章的，提供“法定代表人身份证明”；</w:t>
            </w:r>
            <w:r>
              <w:rPr>
                <w:rFonts w:hint="eastAsia" w:ascii="宋体" w:hAnsi="宋体" w:cs="宋体"/>
                <w:b/>
                <w:bCs/>
                <w:color w:val="auto"/>
                <w:sz w:val="21"/>
                <w:szCs w:val="21"/>
                <w:highlight w:val="none"/>
              </w:rPr>
              <w:t>投标文件由授权代表签字或盖章的，提供“法定代表人授权书”</w:t>
            </w:r>
            <w:r>
              <w:rPr>
                <w:rFonts w:hint="eastAsia" w:ascii="宋体" w:hAnsi="宋体" w:cs="宋体"/>
                <w:color w:val="auto"/>
                <w:sz w:val="21"/>
                <w:szCs w:val="21"/>
                <w:highlight w:val="none"/>
              </w:rPr>
              <w:t>。“法定代表人身份证明”、</w:t>
            </w:r>
            <w:r>
              <w:rPr>
                <w:rFonts w:hint="eastAsia" w:ascii="宋体" w:hAnsi="宋体" w:cs="宋体"/>
                <w:b/>
                <w:bCs/>
                <w:color w:val="auto"/>
                <w:sz w:val="21"/>
                <w:szCs w:val="21"/>
                <w:highlight w:val="none"/>
              </w:rPr>
              <w:t>“法定代表人授权书”格式符合采购文件要求。</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2FD2FDBB">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rPr>
              <w:t>投标文件由法定代表人签字或盖章的，提供“法定代表人身份证明”；</w:t>
            </w:r>
            <w:r>
              <w:rPr>
                <w:rFonts w:hint="eastAsia" w:ascii="宋体" w:hAnsi="宋体" w:cs="宋体"/>
                <w:b/>
                <w:bCs/>
                <w:color w:val="auto"/>
                <w:sz w:val="21"/>
                <w:szCs w:val="21"/>
                <w:highlight w:val="none"/>
              </w:rPr>
              <w:t>投标文件由授权代表签字或盖章的，提供“法定代表人授权书”</w:t>
            </w:r>
            <w:r>
              <w:rPr>
                <w:rFonts w:hint="eastAsia" w:ascii="宋体" w:hAnsi="宋体" w:cs="宋体"/>
                <w:color w:val="auto"/>
                <w:sz w:val="21"/>
                <w:szCs w:val="21"/>
                <w:highlight w:val="none"/>
              </w:rPr>
              <w:t>。“法定代表人身份证明”、</w:t>
            </w:r>
            <w:r>
              <w:rPr>
                <w:rFonts w:hint="eastAsia" w:ascii="宋体" w:hAnsi="宋体" w:cs="宋体"/>
                <w:b/>
                <w:bCs/>
                <w:color w:val="auto"/>
                <w:sz w:val="21"/>
                <w:szCs w:val="21"/>
                <w:highlight w:val="none"/>
              </w:rPr>
              <w:t>“法定代表人授权书”格式符合采购文件要求。</w:t>
            </w:r>
          </w:p>
        </w:tc>
      </w:tr>
      <w:tr w14:paraId="0A3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EFB4A04">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5E3C8D3C">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投标文件的签署盖章符合第二章“投标须知”第</w:t>
            </w:r>
            <w:r>
              <w:rPr>
                <w:rFonts w:hint="eastAsia" w:ascii="宋体" w:hAnsi="宋体" w:cs="宋体"/>
                <w:color w:val="auto"/>
                <w:sz w:val="21"/>
                <w:szCs w:val="21"/>
                <w:highlight w:val="none"/>
                <w:lang w:eastAsia="zh-CN" w:bidi="ar"/>
              </w:rPr>
              <w:t>九</w:t>
            </w:r>
            <w:r>
              <w:rPr>
                <w:rFonts w:hint="eastAsia" w:ascii="宋体" w:hAnsi="宋体" w:cs="宋体"/>
                <w:color w:val="auto"/>
                <w:sz w:val="21"/>
                <w:szCs w:val="21"/>
                <w:highlight w:val="none"/>
                <w:lang w:bidi="ar"/>
              </w:rPr>
              <w:t>条第2款的要求。</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491F8162">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投标文件的签署盖章符合第二章“投标须知”第</w:t>
            </w:r>
            <w:r>
              <w:rPr>
                <w:rFonts w:hint="eastAsia" w:ascii="宋体" w:hAnsi="宋体" w:cs="宋体"/>
                <w:color w:val="auto"/>
                <w:sz w:val="21"/>
                <w:szCs w:val="21"/>
                <w:highlight w:val="none"/>
                <w:lang w:eastAsia="zh-CN" w:bidi="ar"/>
              </w:rPr>
              <w:t>九</w:t>
            </w:r>
            <w:r>
              <w:rPr>
                <w:rFonts w:hint="eastAsia" w:ascii="宋体" w:hAnsi="宋体" w:cs="宋体"/>
                <w:color w:val="auto"/>
                <w:sz w:val="21"/>
                <w:szCs w:val="21"/>
                <w:highlight w:val="none"/>
                <w:lang w:bidi="ar"/>
              </w:rPr>
              <w:t>条第2款的要求。</w:t>
            </w:r>
          </w:p>
        </w:tc>
      </w:tr>
      <w:tr w14:paraId="20AD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13813A7">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w:t>
            </w:r>
          </w:p>
        </w:tc>
        <w:tc>
          <w:tcPr>
            <w:tcW w:w="3568" w:type="dxa"/>
            <w:tcBorders>
              <w:top w:val="single" w:color="auto" w:sz="4" w:space="0"/>
              <w:left w:val="single" w:color="auto" w:sz="4" w:space="0"/>
              <w:right w:val="single" w:color="auto" w:sz="4" w:space="0"/>
            </w:tcBorders>
            <w:noWrap w:val="0"/>
            <w:vAlign w:val="center"/>
          </w:tcPr>
          <w:p w14:paraId="17899B67">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auto"/>
                <w:sz w:val="21"/>
                <w:szCs w:val="21"/>
                <w:highlight w:val="none"/>
              </w:rPr>
            </w:pPr>
            <w:r>
              <w:rPr>
                <w:rFonts w:hint="eastAsia" w:ascii="宋体" w:hAnsi="宋体" w:cs="宋体"/>
                <w:color w:val="auto"/>
                <w:sz w:val="21"/>
                <w:szCs w:val="21"/>
                <w:highlight w:val="none"/>
                <w:lang w:bidi="ar"/>
              </w:rPr>
              <w:t>供应商不得在投标活动中提供任何虚假材料或从事其他违法活动的（本项无需上传或关联资料）</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121CA051">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供应商不得在投标活动中提供任何虚假材料或从事其他违法活动的。</w:t>
            </w:r>
          </w:p>
        </w:tc>
      </w:tr>
      <w:tr w14:paraId="0DD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88A0BA1">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567BA39C">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sz w:val="21"/>
                <w:szCs w:val="21"/>
                <w:highlight w:val="none"/>
              </w:rPr>
            </w:pPr>
            <w:r>
              <w:rPr>
                <w:rFonts w:hint="eastAsia" w:ascii="宋体" w:hAnsi="宋体" w:cs="宋体"/>
                <w:color w:val="auto"/>
                <w:sz w:val="21"/>
                <w:szCs w:val="21"/>
                <w:highlight w:val="none"/>
                <w:lang w:bidi="ar"/>
              </w:rPr>
              <w:t>供应商不得虚假应标、串通投标（本项无需上传或关联资料）</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1952AA46">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评标委员会经过审查，认定供应商虚假应标、串通投标的，商务技术文件符合性审查不予通过。</w:t>
            </w:r>
          </w:p>
          <w:p w14:paraId="09E5269A">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有下列情形之一的，视为供应商串通投标：</w:t>
            </w:r>
          </w:p>
          <w:p w14:paraId="54B7EDC4">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（1）不同供应商的投标文件由同一单位或者个人编制；</w:t>
            </w:r>
          </w:p>
          <w:p w14:paraId="3C689E87">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（2）不同供应商委托同一单位或者个人办理投标事宜；</w:t>
            </w:r>
          </w:p>
          <w:p w14:paraId="34702D3A">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（3）不同供应商的投标文件载明的项目管理成员或者联系人员为同一人；</w:t>
            </w:r>
          </w:p>
          <w:p w14:paraId="2A2F959F">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（4）不同供应商的投标文件异常一致或者投标报价呈规律性差异；</w:t>
            </w:r>
          </w:p>
          <w:p w14:paraId="0D57772E">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（5）不同供应商的投标文件相互混装。</w:t>
            </w:r>
          </w:p>
        </w:tc>
      </w:tr>
      <w:tr w14:paraId="5D8E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FA4CA1C">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w:t>
            </w:r>
          </w:p>
        </w:tc>
        <w:tc>
          <w:tcPr>
            <w:tcW w:w="3568" w:type="dxa"/>
            <w:tcBorders>
              <w:top w:val="single" w:color="auto" w:sz="4" w:space="0"/>
              <w:left w:val="single" w:color="auto" w:sz="4" w:space="0"/>
              <w:bottom w:val="single" w:color="auto" w:sz="4" w:space="0"/>
              <w:right w:val="single" w:color="auto" w:sz="4" w:space="0"/>
            </w:tcBorders>
            <w:noWrap w:val="0"/>
            <w:vAlign w:val="center"/>
          </w:tcPr>
          <w:p w14:paraId="2A250011">
            <w:pPr>
              <w:keepNext w:val="0"/>
              <w:keepLines w:val="0"/>
              <w:suppressLineNumbers w:val="0"/>
              <w:spacing w:before="0" w:beforeAutospacing="0" w:after="0" w:afterAutospacing="0" w:line="320" w:lineRule="exact"/>
              <w:ind w:left="0" w:right="0"/>
              <w:rPr>
                <w:rFonts w:hint="default" w:ascii="宋体" w:hAnsi="宋体" w:cs="宋体"/>
                <w:color w:val="auto"/>
                <w:sz w:val="21"/>
                <w:szCs w:val="21"/>
                <w:highlight w:val="none"/>
                <w:lang w:bidi="ar"/>
              </w:rPr>
            </w:pPr>
            <w:r>
              <w:rPr>
                <w:rFonts w:hint="eastAsia" w:ascii="宋体" w:hAnsi="宋体" w:cs="宋体"/>
                <w:color w:val="auto"/>
                <w:sz w:val="21"/>
                <w:szCs w:val="21"/>
                <w:highlight w:val="none"/>
                <w:lang w:bidi="ar"/>
              </w:rPr>
              <w:t>供应商编制的商务技术文件对商务技术文件的实质性要求完全响应（实质性要求招标文件中“▲”标记）</w:t>
            </w:r>
            <w:r>
              <w:rPr>
                <w:rFonts w:hint="eastAsia" w:ascii="宋体" w:hAnsi="宋体" w:cs="宋体"/>
                <w:color w:val="auto"/>
                <w:sz w:val="21"/>
                <w:szCs w:val="21"/>
                <w:highlight w:val="none"/>
              </w:rPr>
              <w:t>。</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56C22264">
            <w:pPr>
              <w:keepNext w:val="0"/>
              <w:keepLines w:val="0"/>
              <w:suppressLineNumbers w:val="0"/>
              <w:spacing w:before="0" w:beforeAutospacing="0" w:after="0" w:afterAutospacing="0" w:line="320" w:lineRule="exact"/>
              <w:ind w:left="0" w:right="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供应商编制的商务技术文件对商务技术文件的实质性要求完全响应（实质性要求招标文件中“▲”标记</w:t>
            </w:r>
            <w:r>
              <w:rPr>
                <w:rFonts w:hint="eastAsia" w:ascii="宋体" w:hAnsi="宋体" w:cs="宋体"/>
                <w:color w:val="auto"/>
                <w:szCs w:val="21"/>
                <w:highlight w:val="none"/>
                <w:lang w:val="en-US" w:eastAsia="zh-CN" w:bidi="ar"/>
              </w:rPr>
              <w:t>包括无效投标</w:t>
            </w:r>
            <w:r>
              <w:rPr>
                <w:rFonts w:hint="eastAsia" w:ascii="宋体" w:hAnsi="宋体" w:cs="宋体"/>
                <w:color w:val="auto"/>
                <w:sz w:val="21"/>
                <w:szCs w:val="21"/>
                <w:highlight w:val="none"/>
                <w:lang w:bidi="ar"/>
              </w:rPr>
              <w:t>）。</w:t>
            </w:r>
          </w:p>
        </w:tc>
      </w:tr>
      <w:tr w14:paraId="23EC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8" w:type="dxa"/>
            <w:gridSpan w:val="2"/>
            <w:tcBorders>
              <w:top w:val="single" w:color="auto" w:sz="4" w:space="0"/>
              <w:left w:val="single" w:color="auto" w:sz="4" w:space="0"/>
              <w:bottom w:val="single" w:color="auto" w:sz="4" w:space="0"/>
              <w:right w:val="single" w:color="auto" w:sz="4" w:space="0"/>
            </w:tcBorders>
            <w:noWrap w:val="0"/>
            <w:vAlign w:val="center"/>
          </w:tcPr>
          <w:p w14:paraId="2E1B6A35">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商务技术文件符合性审查</w:t>
            </w:r>
            <w:r>
              <w:rPr>
                <w:rFonts w:hint="default" w:ascii="宋体" w:hAnsi="宋体" w:cs="宋体"/>
                <w:color w:val="auto"/>
                <w:szCs w:val="21"/>
                <w:highlight w:val="none"/>
                <w:lang w:bidi="ar"/>
              </w:rPr>
              <w:t>结论</w:t>
            </w:r>
          </w:p>
        </w:tc>
        <w:tc>
          <w:tcPr>
            <w:tcW w:w="5341" w:type="dxa"/>
            <w:tcBorders>
              <w:top w:val="single" w:color="auto" w:sz="4" w:space="0"/>
              <w:left w:val="single" w:color="auto" w:sz="4" w:space="0"/>
              <w:bottom w:val="single" w:color="auto" w:sz="4" w:space="0"/>
              <w:right w:val="single" w:color="auto" w:sz="4" w:space="0"/>
            </w:tcBorders>
            <w:noWrap w:val="0"/>
            <w:vAlign w:val="center"/>
          </w:tcPr>
          <w:p w14:paraId="7B7A3D2E">
            <w:pPr>
              <w:keepNext w:val="0"/>
              <w:keepLines w:val="0"/>
              <w:widowControl/>
              <w:suppressLineNumbers w:val="0"/>
              <w:spacing w:before="0" w:beforeAutospacing="0" w:after="0" w:afterAutospacing="0" w:line="360" w:lineRule="exact"/>
              <w:ind w:left="0" w:right="0"/>
              <w:jc w:val="left"/>
              <w:rPr>
                <w:rFonts w:hint="eastAsia" w:ascii="宋体" w:hAnsi="宋体" w:cs="宋体"/>
                <w:color w:val="auto"/>
                <w:szCs w:val="21"/>
                <w:highlight w:val="none"/>
                <w:lang w:bidi="ar"/>
              </w:rPr>
            </w:pPr>
          </w:p>
        </w:tc>
      </w:tr>
    </w:tbl>
    <w:p w14:paraId="4BFF9B45">
      <w:pPr>
        <w:spacing w:line="400" w:lineRule="exact"/>
        <w:rPr>
          <w:rFonts w:hint="eastAsia" w:ascii="宋体" w:hAnsi="宋体" w:cs="宋体"/>
          <w:color w:val="auto"/>
          <w:szCs w:val="21"/>
          <w:highlight w:val="none"/>
        </w:rPr>
      </w:pPr>
      <w:r>
        <w:rPr>
          <w:rFonts w:hint="eastAsia" w:ascii="宋体" w:hAnsi="宋体" w:cs="宋体"/>
          <w:b/>
          <w:color w:val="auto"/>
          <w:highlight w:val="none"/>
        </w:rPr>
        <w:t>注：1、上述审查项目中，任意一项不符合的，符合性审查不合格。</w:t>
      </w:r>
    </w:p>
    <w:p w14:paraId="4F8709A5">
      <w:pPr>
        <w:spacing w:line="400" w:lineRule="exact"/>
        <w:rPr>
          <w:rFonts w:hint="eastAsia" w:ascii="宋体" w:hAnsi="宋体" w:cs="宋体"/>
          <w:color w:val="auto"/>
          <w:szCs w:val="21"/>
          <w:highlight w:val="none"/>
          <w:lang w:bidi="ar"/>
        </w:rPr>
      </w:pPr>
      <w:r>
        <w:rPr>
          <w:rFonts w:hint="eastAsia" w:ascii="宋体" w:hAnsi="宋体" w:cs="宋体"/>
          <w:b/>
          <w:bCs/>
          <w:color w:val="auto"/>
          <w:szCs w:val="21"/>
          <w:highlight w:val="none"/>
        </w:rPr>
        <w:t>2、本项目实行网上电子投标，供应商在制作投标文件时须根据上表要求说明要求将资料逐一关联</w:t>
      </w:r>
      <w:r>
        <w:rPr>
          <w:rFonts w:hint="eastAsia" w:ascii="宋体" w:hAnsi="宋体" w:cs="宋体"/>
          <w:b/>
          <w:color w:val="auto"/>
          <w:szCs w:val="22"/>
          <w:highlight w:val="none"/>
          <w:lang w:bidi="ar"/>
        </w:rPr>
        <w:t>（若关联页码有多页而只能关联一页的，则关联相应页码的第一页）。</w:t>
      </w:r>
      <w:bookmarkStart w:id="65" w:name="_Toc5853"/>
      <w:bookmarkStart w:id="66" w:name="_Toc536024503"/>
    </w:p>
    <w:p w14:paraId="3EACF089">
      <w:pPr>
        <w:pStyle w:val="2"/>
        <w:spacing w:line="360" w:lineRule="auto"/>
        <w:ind w:firstLine="0" w:firstLineChars="0"/>
        <w:jc w:val="center"/>
        <w:rPr>
          <w:rFonts w:hint="eastAsia" w:ascii="宋体" w:hAnsi="宋体" w:eastAsia="宋体" w:cs="宋体"/>
          <w:b/>
          <w:bCs/>
          <w:color w:val="auto"/>
          <w:sz w:val="28"/>
          <w:szCs w:val="28"/>
          <w:highlight w:val="none"/>
          <w:lang w:bidi="ar"/>
        </w:rPr>
      </w:pPr>
    </w:p>
    <w:p w14:paraId="4011AC91">
      <w:pPr>
        <w:pStyle w:val="2"/>
        <w:spacing w:line="360" w:lineRule="auto"/>
        <w:ind w:firstLine="0" w:firstLineChars="0"/>
        <w:jc w:val="left"/>
        <w:rPr>
          <w:rFonts w:hint="eastAsia" w:ascii="宋体" w:hAnsi="宋体" w:eastAsia="宋体" w:cs="宋体"/>
          <w:color w:val="auto"/>
          <w:sz w:val="21"/>
          <w:szCs w:val="21"/>
          <w:highlight w:val="none"/>
          <w:lang w:bidi="ar"/>
        </w:rPr>
      </w:pPr>
    </w:p>
    <w:p w14:paraId="317681F4">
      <w:pPr>
        <w:pStyle w:val="2"/>
        <w:spacing w:line="360" w:lineRule="auto"/>
        <w:ind w:firstLine="0" w:firstLineChars="0"/>
        <w:jc w:val="left"/>
        <w:rPr>
          <w:rFonts w:hint="eastAsia" w:ascii="宋体" w:hAnsi="宋体" w:eastAsia="宋体" w:cs="宋体"/>
          <w:b/>
          <w:bCs/>
          <w:color w:val="auto"/>
          <w:sz w:val="21"/>
          <w:szCs w:val="21"/>
          <w:highlight w:val="none"/>
          <w:lang w:bidi="ar"/>
        </w:rPr>
      </w:pPr>
      <w:r>
        <w:rPr>
          <w:rFonts w:hint="eastAsia" w:ascii="宋体" w:hAnsi="宋体" w:eastAsia="宋体" w:cs="宋体"/>
          <w:color w:val="auto"/>
          <w:sz w:val="21"/>
          <w:szCs w:val="21"/>
          <w:highlight w:val="none"/>
          <w:lang w:bidi="ar"/>
        </w:rPr>
        <w:t>附表3：</w:t>
      </w:r>
    </w:p>
    <w:p w14:paraId="0DB37CDA">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cs="宋体"/>
          <w:b/>
          <w:color w:val="auto"/>
          <w:sz w:val="24"/>
          <w:highlight w:val="none"/>
        </w:rPr>
        <w:t>商务技术评分标准</w:t>
      </w:r>
      <w:r>
        <w:rPr>
          <w:rFonts w:hint="eastAsia" w:ascii="宋体" w:hAnsi="宋体" w:eastAsia="宋体" w:cs="宋体"/>
          <w:b/>
          <w:bCs/>
          <w:color w:val="auto"/>
          <w:sz w:val="28"/>
          <w:szCs w:val="28"/>
          <w:highlight w:val="none"/>
          <w:lang w:bidi="ar"/>
        </w:rPr>
        <w:t>（</w:t>
      </w:r>
      <w:r>
        <w:rPr>
          <w:rFonts w:hint="eastAsia" w:ascii="宋体" w:hAnsi="宋体" w:cs="宋体"/>
          <w:b/>
          <w:color w:val="auto"/>
          <w:sz w:val="24"/>
          <w:highlight w:val="none"/>
        </w:rPr>
        <w:t>商务技术评分表</w:t>
      </w:r>
      <w:r>
        <w:rPr>
          <w:rFonts w:hint="eastAsia" w:ascii="宋体" w:hAnsi="宋体" w:eastAsia="宋体" w:cs="宋体"/>
          <w:b/>
          <w:bCs/>
          <w:color w:val="auto"/>
          <w:sz w:val="28"/>
          <w:szCs w:val="28"/>
          <w:highlight w:val="none"/>
          <w:lang w:bidi="ar"/>
        </w:rPr>
        <w:t>）</w:t>
      </w:r>
    </w:p>
    <w:tbl>
      <w:tblPr>
        <w:tblStyle w:val="47"/>
        <w:tblW w:w="10614"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98"/>
        <w:gridCol w:w="7862"/>
        <w:gridCol w:w="690"/>
      </w:tblGrid>
      <w:tr w14:paraId="73A8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64" w:type="dxa"/>
            <w:noWrap w:val="0"/>
            <w:vAlign w:val="center"/>
          </w:tcPr>
          <w:p w14:paraId="6B20CA3A">
            <w:pPr>
              <w:keepNext w:val="0"/>
              <w:keepLines w:val="0"/>
              <w:pageBreakBefore w:val="0"/>
              <w:suppressLineNumbers w:val="0"/>
              <w:kinsoku/>
              <w:overflowPunct/>
              <w:topLinePunct w:val="0"/>
              <w:autoSpaceDE/>
              <w:autoSpaceDN/>
              <w:bidi w:val="0"/>
              <w:adjustRightInd/>
              <w:snapToGrid w:val="0"/>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r>
              <w:rPr>
                <w:rFonts w:hint="eastAsia" w:ascii="宋体" w:hAnsi="宋体" w:eastAsia="宋体" w:cs="宋体"/>
                <w:b/>
                <w:color w:val="auto"/>
                <w:szCs w:val="21"/>
                <w:highlight w:val="none"/>
              </w:rPr>
              <w:t>评定项目</w:t>
            </w:r>
          </w:p>
        </w:tc>
        <w:tc>
          <w:tcPr>
            <w:tcW w:w="9060" w:type="dxa"/>
            <w:gridSpan w:val="2"/>
            <w:noWrap w:val="0"/>
            <w:vAlign w:val="center"/>
          </w:tcPr>
          <w:p w14:paraId="2C35B31C">
            <w:pPr>
              <w:keepNext w:val="0"/>
              <w:keepLines w:val="0"/>
              <w:pageBreakBefore w:val="0"/>
              <w:suppressLineNumbers w:val="0"/>
              <w:kinsoku/>
              <w:overflowPunct/>
              <w:topLinePunct w:val="0"/>
              <w:autoSpaceDE/>
              <w:autoSpaceDN/>
              <w:bidi w:val="0"/>
              <w:adjustRightInd/>
              <w:snapToGrid w:val="0"/>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r>
              <w:rPr>
                <w:rFonts w:hint="eastAsia" w:ascii="宋体" w:hAnsi="宋体" w:eastAsia="宋体" w:cs="宋体"/>
                <w:b/>
                <w:color w:val="auto"/>
                <w:szCs w:val="21"/>
                <w:highlight w:val="none"/>
              </w:rPr>
              <w:t>评分标准</w:t>
            </w:r>
          </w:p>
        </w:tc>
        <w:tc>
          <w:tcPr>
            <w:tcW w:w="690" w:type="dxa"/>
            <w:noWrap w:val="0"/>
            <w:vAlign w:val="center"/>
          </w:tcPr>
          <w:p w14:paraId="56CF4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r>
              <w:rPr>
                <w:rFonts w:hint="eastAsia" w:ascii="宋体" w:hAnsi="宋体" w:eastAsia="宋体" w:cs="宋体"/>
                <w:b/>
                <w:color w:val="auto"/>
                <w:szCs w:val="21"/>
                <w:highlight w:val="none"/>
              </w:rPr>
              <w:t>分值</w:t>
            </w:r>
          </w:p>
        </w:tc>
      </w:tr>
      <w:tr w14:paraId="3A74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64" w:type="dxa"/>
            <w:vMerge w:val="restart"/>
            <w:noWrap w:val="0"/>
            <w:vAlign w:val="center"/>
          </w:tcPr>
          <w:p w14:paraId="50151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w:t>
            </w:r>
          </w:p>
          <w:p w14:paraId="4C791DD3">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textAlignment w:val="auto"/>
              <w:rPr>
                <w:rFonts w:hint="eastAsia" w:ascii="宋体" w:hAnsi="宋体" w:eastAsia="宋体" w:cs="宋体"/>
                <w:szCs w:val="20"/>
                <w:highlight w:val="none"/>
              </w:rPr>
            </w:pPr>
          </w:p>
          <w:p w14:paraId="13EDD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务</w:t>
            </w:r>
          </w:p>
          <w:p w14:paraId="05858C84">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textAlignment w:val="auto"/>
              <w:rPr>
                <w:rFonts w:hint="eastAsia" w:ascii="宋体" w:hAnsi="宋体" w:eastAsia="宋体" w:cs="宋体"/>
                <w:szCs w:val="20"/>
                <w:highlight w:val="none"/>
              </w:rPr>
            </w:pPr>
          </w:p>
          <w:p w14:paraId="3ED94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14:paraId="78D92A36">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textAlignment w:val="auto"/>
              <w:rPr>
                <w:rFonts w:hint="eastAsia" w:ascii="宋体" w:hAnsi="宋体" w:eastAsia="宋体" w:cs="宋体"/>
                <w:szCs w:val="20"/>
                <w:highlight w:val="none"/>
              </w:rPr>
            </w:pPr>
          </w:p>
          <w:p w14:paraId="0796A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14:paraId="7A8FC421">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textAlignment w:val="auto"/>
              <w:rPr>
                <w:rFonts w:hint="eastAsia" w:ascii="宋体" w:hAnsi="宋体" w:eastAsia="宋体" w:cs="宋体"/>
                <w:szCs w:val="20"/>
                <w:highlight w:val="none"/>
              </w:rPr>
            </w:pPr>
          </w:p>
          <w:p w14:paraId="28E98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w:t>
            </w:r>
          </w:p>
          <w:p w14:paraId="1EEB7DA4">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textAlignment w:val="auto"/>
              <w:rPr>
                <w:rFonts w:hint="eastAsia" w:ascii="宋体" w:hAnsi="宋体" w:eastAsia="宋体" w:cs="宋体"/>
                <w:szCs w:val="20"/>
                <w:highlight w:val="none"/>
                <w:lang w:eastAsia="zh-CN"/>
              </w:rPr>
            </w:pPr>
          </w:p>
          <w:p w14:paraId="01AE7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分）</w:t>
            </w:r>
          </w:p>
        </w:tc>
        <w:tc>
          <w:tcPr>
            <w:tcW w:w="1198" w:type="dxa"/>
            <w:noWrap w:val="0"/>
            <w:vAlign w:val="center"/>
          </w:tcPr>
          <w:p w14:paraId="0160D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保险服务方案</w:t>
            </w:r>
            <w:r>
              <w:rPr>
                <w:rFonts w:hint="eastAsia" w:ascii="宋体" w:hAnsi="宋体" w:cs="宋体"/>
                <w:bCs/>
                <w:kern w:val="0"/>
                <w:szCs w:val="21"/>
                <w:highlight w:val="none"/>
                <w:lang w:bidi="ar"/>
              </w:rPr>
              <w:br w:type="textWrapping"/>
            </w:r>
            <w:r>
              <w:rPr>
                <w:rFonts w:hint="eastAsia" w:ascii="宋体" w:hAnsi="宋体" w:cs="宋体"/>
                <w:bCs/>
                <w:kern w:val="0"/>
                <w:szCs w:val="21"/>
                <w:highlight w:val="none"/>
                <w:lang w:bidi="ar"/>
              </w:rPr>
              <w:t>（</w:t>
            </w:r>
            <w:r>
              <w:rPr>
                <w:rFonts w:hint="eastAsia" w:ascii="宋体" w:hAnsi="宋体" w:cs="宋体"/>
                <w:bCs/>
                <w:kern w:val="0"/>
                <w:szCs w:val="21"/>
                <w:highlight w:val="none"/>
                <w:lang w:val="en-US" w:eastAsia="zh-CN" w:bidi="ar"/>
              </w:rPr>
              <w:t>8</w:t>
            </w:r>
            <w:r>
              <w:rPr>
                <w:rFonts w:hint="eastAsia" w:ascii="宋体" w:hAnsi="宋体" w:cs="宋体"/>
                <w:bCs/>
                <w:kern w:val="0"/>
                <w:szCs w:val="21"/>
                <w:highlight w:val="none"/>
                <w:lang w:bidi="ar"/>
              </w:rPr>
              <w:t>分）</w:t>
            </w:r>
          </w:p>
        </w:tc>
        <w:tc>
          <w:tcPr>
            <w:tcW w:w="7862" w:type="dxa"/>
            <w:noWrap w:val="0"/>
            <w:vAlign w:val="center"/>
          </w:tcPr>
          <w:p w14:paraId="509F4D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根据各供应商的保险服务方案进行综合评议：对方案描述具体详细，与服务需求相符的得</w:t>
            </w:r>
            <w:r>
              <w:rPr>
                <w:rFonts w:hint="eastAsia" w:ascii="宋体" w:hAnsi="宋体" w:cs="宋体"/>
                <w:bCs/>
                <w:kern w:val="0"/>
                <w:szCs w:val="21"/>
                <w:highlight w:val="none"/>
                <w:lang w:val="en-US" w:eastAsia="zh-CN" w:bidi="ar"/>
              </w:rPr>
              <w:t>8</w:t>
            </w:r>
            <w:r>
              <w:rPr>
                <w:rFonts w:hint="eastAsia" w:ascii="宋体" w:hAnsi="宋体" w:cs="宋体"/>
                <w:bCs/>
                <w:kern w:val="0"/>
                <w:szCs w:val="21"/>
                <w:highlight w:val="none"/>
                <w:lang w:bidi="ar"/>
              </w:rPr>
              <w:t>分；对方案描述较为具体详细，较符合本项目服务需求的得5分；对方案描述笼统，未针对本项目服务需求的得2分；无任何内容的得0分。</w:t>
            </w:r>
          </w:p>
        </w:tc>
        <w:tc>
          <w:tcPr>
            <w:tcW w:w="690" w:type="dxa"/>
            <w:noWrap w:val="0"/>
            <w:vAlign w:val="center"/>
          </w:tcPr>
          <w:p w14:paraId="61010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kern w:val="2"/>
                <w:sz w:val="21"/>
                <w:szCs w:val="20"/>
                <w:highlight w:val="none"/>
                <w:vertAlign w:val="baseline"/>
                <w:lang w:val="en-US" w:eastAsia="zh-CN" w:bidi="ar-SA"/>
              </w:rPr>
            </w:pPr>
            <w:r>
              <w:rPr>
                <w:rFonts w:hint="eastAsia" w:ascii="宋体" w:hAnsi="宋体" w:eastAsia="宋体" w:cs="宋体"/>
                <w:kern w:val="2"/>
                <w:sz w:val="21"/>
                <w:szCs w:val="20"/>
                <w:highlight w:val="none"/>
                <w:vertAlign w:val="baseline"/>
                <w:lang w:val="en-US" w:eastAsia="zh-CN" w:bidi="ar-SA"/>
              </w:rPr>
              <w:t>8</w:t>
            </w:r>
          </w:p>
        </w:tc>
      </w:tr>
      <w:tr w14:paraId="079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64" w:type="dxa"/>
            <w:vMerge w:val="continue"/>
            <w:noWrap w:val="0"/>
            <w:vAlign w:val="center"/>
          </w:tcPr>
          <w:p w14:paraId="24BAE954">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vMerge w:val="restart"/>
            <w:noWrap w:val="0"/>
            <w:vAlign w:val="center"/>
          </w:tcPr>
          <w:p w14:paraId="23B358A7">
            <w:pPr>
              <w:keepNext w:val="0"/>
              <w:keepLines w:val="0"/>
              <w:widowControl/>
              <w:suppressLineNumbers w:val="0"/>
              <w:spacing w:before="0" w:beforeAutospacing="0" w:after="0" w:afterAutospacing="0"/>
              <w:ind w:left="0" w:right="0"/>
              <w:jc w:val="center"/>
              <w:textAlignment w:val="center"/>
              <w:rPr>
                <w:rFonts w:hint="eastAsia" w:ascii="宋体" w:hAnsi="宋体" w:cs="宋体"/>
                <w:bCs/>
                <w:kern w:val="0"/>
                <w:szCs w:val="21"/>
                <w:highlight w:val="none"/>
                <w:lang w:bidi="ar"/>
              </w:rPr>
            </w:pPr>
            <w:r>
              <w:rPr>
                <w:rFonts w:hint="eastAsia" w:ascii="宋体" w:hAnsi="宋体" w:cs="宋体"/>
                <w:bCs/>
                <w:kern w:val="0"/>
                <w:szCs w:val="21"/>
                <w:highlight w:val="none"/>
                <w:lang w:bidi="ar"/>
              </w:rPr>
              <w:t>理赔服务方案</w:t>
            </w:r>
          </w:p>
          <w:p w14:paraId="61195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0"/>
                <w:highlight w:val="none"/>
                <w:vertAlign w:val="baseline"/>
                <w:lang w:eastAsia="zh-CN"/>
              </w:rPr>
            </w:pPr>
            <w:r>
              <w:rPr>
                <w:rFonts w:hint="eastAsia" w:ascii="宋体" w:hAnsi="宋体" w:cs="宋体"/>
                <w:bCs/>
                <w:kern w:val="0"/>
                <w:szCs w:val="21"/>
                <w:highlight w:val="none"/>
                <w:lang w:bidi="ar"/>
              </w:rPr>
              <w:t>（10分）</w:t>
            </w:r>
          </w:p>
        </w:tc>
        <w:tc>
          <w:tcPr>
            <w:tcW w:w="7862" w:type="dxa"/>
            <w:noWrap w:val="0"/>
            <w:vAlign w:val="center"/>
          </w:tcPr>
          <w:p w14:paraId="68400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0"/>
                <w:highlight w:val="none"/>
                <w:vertAlign w:val="baseline"/>
                <w:lang w:eastAsia="zh-CN"/>
              </w:rPr>
            </w:pPr>
            <w:r>
              <w:rPr>
                <w:rFonts w:hint="eastAsia" w:ascii="宋体" w:hAnsi="宋体" w:cs="宋体"/>
                <w:bCs/>
                <w:kern w:val="0"/>
                <w:szCs w:val="21"/>
                <w:highlight w:val="none"/>
                <w:lang w:bidi="ar"/>
              </w:rPr>
              <w:t>根据各供应商的理赔流程、理赔时限进行综合评议：流程清晰、理赔快的得5分；流程较清晰、理赔较快的得3分；流程不够清晰、理赔慢的得1分；无任何内容的得0分。</w:t>
            </w:r>
          </w:p>
        </w:tc>
        <w:tc>
          <w:tcPr>
            <w:tcW w:w="690" w:type="dxa"/>
            <w:noWrap w:val="0"/>
            <w:vAlign w:val="center"/>
          </w:tcPr>
          <w:p w14:paraId="2B7B3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5</w:t>
            </w:r>
          </w:p>
        </w:tc>
      </w:tr>
      <w:tr w14:paraId="550F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64" w:type="dxa"/>
            <w:vMerge w:val="continue"/>
            <w:noWrap w:val="0"/>
            <w:vAlign w:val="center"/>
          </w:tcPr>
          <w:p w14:paraId="172CFD15">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vMerge w:val="continue"/>
            <w:noWrap w:val="0"/>
            <w:vAlign w:val="center"/>
          </w:tcPr>
          <w:p w14:paraId="0D7AAF5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SA"/>
              </w:rPr>
            </w:pPr>
          </w:p>
        </w:tc>
        <w:tc>
          <w:tcPr>
            <w:tcW w:w="7862" w:type="dxa"/>
            <w:noWrap w:val="0"/>
            <w:vAlign w:val="center"/>
          </w:tcPr>
          <w:p w14:paraId="6E5B7E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bCs/>
                <w:kern w:val="0"/>
                <w:szCs w:val="21"/>
                <w:highlight w:val="none"/>
                <w:lang w:bidi="ar"/>
              </w:rPr>
              <w:t>根据各供应商的理赔制度、理赔所需资料进行综合评议：理赔制度规范、所需资料简单明了的得5分；理赔制度较规范、所需资料较简单的得3分；理赔制度不够规范、所需资料不够简单明了的得1分；无任何内容的得0分。</w:t>
            </w:r>
          </w:p>
        </w:tc>
        <w:tc>
          <w:tcPr>
            <w:tcW w:w="690" w:type="dxa"/>
            <w:noWrap w:val="0"/>
            <w:vAlign w:val="center"/>
          </w:tcPr>
          <w:p w14:paraId="21A61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w:t>
            </w:r>
          </w:p>
        </w:tc>
      </w:tr>
      <w:tr w14:paraId="3780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4" w:type="dxa"/>
            <w:vMerge w:val="continue"/>
            <w:noWrap w:val="0"/>
            <w:vAlign w:val="center"/>
          </w:tcPr>
          <w:p w14:paraId="39FCF948">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63B49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响应时效（</w:t>
            </w:r>
            <w:r>
              <w:rPr>
                <w:rFonts w:hint="eastAsia" w:ascii="宋体" w:hAnsi="宋体" w:cs="宋体"/>
                <w:bCs/>
                <w:kern w:val="0"/>
                <w:szCs w:val="21"/>
                <w:highlight w:val="none"/>
                <w:lang w:val="en-US" w:eastAsia="zh-CN" w:bidi="ar"/>
              </w:rPr>
              <w:t>7.5</w:t>
            </w:r>
            <w:r>
              <w:rPr>
                <w:rFonts w:hint="eastAsia" w:ascii="宋体" w:hAnsi="宋体" w:cs="宋体"/>
                <w:bCs/>
                <w:kern w:val="0"/>
                <w:szCs w:val="21"/>
                <w:highlight w:val="none"/>
                <w:lang w:bidi="ar"/>
              </w:rPr>
              <w:t>分）</w:t>
            </w:r>
          </w:p>
        </w:tc>
        <w:tc>
          <w:tcPr>
            <w:tcW w:w="7862" w:type="dxa"/>
            <w:noWrap w:val="0"/>
            <w:vAlign w:val="center"/>
          </w:tcPr>
          <w:p w14:paraId="5E3738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根据各供应商的服务响应时效进行综合评议：服务响应快的得</w:t>
            </w:r>
            <w:r>
              <w:rPr>
                <w:rFonts w:hint="eastAsia" w:ascii="宋体" w:hAnsi="宋体" w:cs="宋体"/>
                <w:bCs/>
                <w:kern w:val="0"/>
                <w:szCs w:val="21"/>
                <w:highlight w:val="none"/>
                <w:lang w:val="en-US" w:eastAsia="zh-CN" w:bidi="ar"/>
              </w:rPr>
              <w:t>7.5</w:t>
            </w:r>
            <w:r>
              <w:rPr>
                <w:rFonts w:hint="eastAsia" w:ascii="宋体" w:hAnsi="宋体" w:cs="宋体"/>
                <w:bCs/>
                <w:kern w:val="0"/>
                <w:szCs w:val="21"/>
                <w:highlight w:val="none"/>
                <w:lang w:bidi="ar"/>
              </w:rPr>
              <w:t>分；服务响应较快的得</w:t>
            </w:r>
            <w:r>
              <w:rPr>
                <w:rFonts w:hint="eastAsia" w:ascii="宋体" w:hAnsi="宋体" w:cs="宋体"/>
                <w:bCs/>
                <w:kern w:val="0"/>
                <w:szCs w:val="21"/>
                <w:highlight w:val="none"/>
                <w:lang w:val="en-US" w:eastAsia="zh-CN" w:bidi="ar"/>
              </w:rPr>
              <w:t>4.5</w:t>
            </w:r>
            <w:r>
              <w:rPr>
                <w:rFonts w:hint="eastAsia" w:ascii="宋体" w:hAnsi="宋体" w:cs="宋体"/>
                <w:bCs/>
                <w:kern w:val="0"/>
                <w:szCs w:val="21"/>
                <w:highlight w:val="none"/>
                <w:lang w:bidi="ar"/>
              </w:rPr>
              <w:t>分；服务响应较慢的得</w:t>
            </w:r>
            <w:r>
              <w:rPr>
                <w:rFonts w:hint="eastAsia" w:ascii="宋体" w:hAnsi="宋体" w:cs="宋体"/>
                <w:bCs/>
                <w:kern w:val="0"/>
                <w:szCs w:val="21"/>
                <w:highlight w:val="none"/>
                <w:lang w:val="en-US" w:eastAsia="zh-CN" w:bidi="ar"/>
              </w:rPr>
              <w:t>1.5</w:t>
            </w:r>
            <w:r>
              <w:rPr>
                <w:rFonts w:hint="eastAsia" w:ascii="宋体" w:hAnsi="宋体" w:cs="宋体"/>
                <w:bCs/>
                <w:kern w:val="0"/>
                <w:szCs w:val="21"/>
                <w:highlight w:val="none"/>
                <w:lang w:bidi="ar"/>
              </w:rPr>
              <w:t>分；无任何内容的得0分。</w:t>
            </w:r>
          </w:p>
        </w:tc>
        <w:tc>
          <w:tcPr>
            <w:tcW w:w="690" w:type="dxa"/>
            <w:noWrap w:val="0"/>
            <w:vAlign w:val="center"/>
          </w:tcPr>
          <w:p w14:paraId="4096D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kern w:val="2"/>
                <w:sz w:val="21"/>
                <w:szCs w:val="20"/>
                <w:highlight w:val="none"/>
                <w:vertAlign w:val="baseline"/>
                <w:lang w:val="en-US" w:eastAsia="zh-CN" w:bidi="ar-SA"/>
              </w:rPr>
            </w:pPr>
            <w:r>
              <w:rPr>
                <w:rFonts w:hint="eastAsia" w:ascii="宋体" w:hAnsi="宋体" w:eastAsia="宋体" w:cs="宋体"/>
                <w:kern w:val="2"/>
                <w:sz w:val="21"/>
                <w:szCs w:val="20"/>
                <w:highlight w:val="none"/>
                <w:vertAlign w:val="baseline"/>
                <w:lang w:val="en-US" w:eastAsia="zh-CN" w:bidi="ar-SA"/>
              </w:rPr>
              <w:t>7.5</w:t>
            </w:r>
          </w:p>
        </w:tc>
      </w:tr>
      <w:tr w14:paraId="30D8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64" w:type="dxa"/>
            <w:vMerge w:val="continue"/>
            <w:noWrap w:val="0"/>
            <w:vAlign w:val="center"/>
          </w:tcPr>
          <w:p w14:paraId="6ED8037C">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65F95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2"/>
                <w:sz w:val="21"/>
                <w:szCs w:val="21"/>
                <w:highlight w:val="none"/>
                <w:lang w:val="en-US" w:eastAsia="zh-CN" w:bidi="ar"/>
              </w:rPr>
            </w:pPr>
            <w:r>
              <w:rPr>
                <w:rFonts w:hint="eastAsia" w:ascii="宋体" w:hAnsi="宋体" w:cs="宋体"/>
                <w:bCs/>
                <w:kern w:val="0"/>
                <w:szCs w:val="21"/>
                <w:highlight w:val="none"/>
                <w:lang w:bidi="ar"/>
              </w:rPr>
              <w:t>特殊案件处理方案（8分）</w:t>
            </w:r>
          </w:p>
        </w:tc>
        <w:tc>
          <w:tcPr>
            <w:tcW w:w="7862" w:type="dxa"/>
            <w:noWrap w:val="0"/>
            <w:vAlign w:val="center"/>
          </w:tcPr>
          <w:p w14:paraId="4EB4E51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color w:val="auto"/>
                <w:kern w:val="2"/>
                <w:sz w:val="21"/>
                <w:szCs w:val="21"/>
                <w:highlight w:val="none"/>
                <w:lang w:val="en-US" w:eastAsia="zh-CN" w:bidi="ar"/>
              </w:rPr>
            </w:pPr>
            <w:r>
              <w:rPr>
                <w:rFonts w:hint="eastAsia" w:ascii="宋体" w:hAnsi="宋体" w:cs="宋体"/>
                <w:bCs/>
                <w:kern w:val="0"/>
                <w:szCs w:val="21"/>
                <w:highlight w:val="none"/>
                <w:lang w:bidi="ar"/>
              </w:rPr>
              <w:t>根据各供应商对特殊案件</w:t>
            </w:r>
            <w:r>
              <w:rPr>
                <w:rFonts w:hint="eastAsia" w:ascii="宋体" w:hAnsi="宋体" w:cs="宋体"/>
                <w:bCs/>
                <w:kern w:val="0"/>
                <w:szCs w:val="21"/>
                <w:highlight w:val="none"/>
                <w:lang w:eastAsia="zh-CN" w:bidi="ar"/>
              </w:rPr>
              <w:t>预案</w:t>
            </w:r>
            <w:r>
              <w:rPr>
                <w:rFonts w:hint="eastAsia" w:ascii="宋体" w:hAnsi="宋体" w:cs="宋体"/>
                <w:bCs/>
                <w:kern w:val="0"/>
                <w:szCs w:val="21"/>
                <w:highlight w:val="none"/>
                <w:lang w:bidi="ar"/>
              </w:rPr>
              <w:t>处理方案进行综合评议：对方案描述具体详细，与服务需求相符的得8分；对方案描述较为具体详细，较符合本项目服务需求的得5分；对方案描述笼统，未针对本项目服务需求的得2分；无任何内容的得0分。</w:t>
            </w:r>
          </w:p>
        </w:tc>
        <w:tc>
          <w:tcPr>
            <w:tcW w:w="690" w:type="dxa"/>
            <w:noWrap w:val="0"/>
            <w:vAlign w:val="center"/>
          </w:tcPr>
          <w:p w14:paraId="31E75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8</w:t>
            </w:r>
          </w:p>
        </w:tc>
      </w:tr>
      <w:tr w14:paraId="1EC1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64" w:type="dxa"/>
            <w:vMerge w:val="continue"/>
            <w:noWrap w:val="0"/>
            <w:vAlign w:val="center"/>
          </w:tcPr>
          <w:p w14:paraId="137987A8">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139D0469">
            <w:pPr>
              <w:keepNext w:val="0"/>
              <w:keepLines w:val="0"/>
              <w:widowControl/>
              <w:suppressLineNumbers w:val="0"/>
              <w:spacing w:before="0" w:beforeAutospacing="0" w:after="0" w:afterAutospacing="0"/>
              <w:ind w:left="0" w:right="0"/>
              <w:jc w:val="center"/>
              <w:textAlignment w:val="center"/>
              <w:rPr>
                <w:rFonts w:hint="eastAsia" w:ascii="宋体" w:hAnsi="宋体" w:cs="宋体"/>
                <w:bCs/>
                <w:kern w:val="0"/>
                <w:szCs w:val="21"/>
                <w:highlight w:val="none"/>
                <w:lang w:bidi="ar"/>
              </w:rPr>
            </w:pPr>
            <w:r>
              <w:rPr>
                <w:rFonts w:hint="eastAsia" w:ascii="宋体" w:hAnsi="宋体" w:cs="宋体"/>
                <w:bCs/>
                <w:kern w:val="0"/>
                <w:szCs w:val="21"/>
                <w:highlight w:val="none"/>
                <w:lang w:bidi="ar"/>
              </w:rPr>
              <w:t>服务团队</w:t>
            </w:r>
          </w:p>
          <w:p w14:paraId="31B0E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（8分）</w:t>
            </w:r>
          </w:p>
        </w:tc>
        <w:tc>
          <w:tcPr>
            <w:tcW w:w="7862" w:type="dxa"/>
            <w:noWrap w:val="0"/>
            <w:vAlign w:val="center"/>
          </w:tcPr>
          <w:p w14:paraId="1B1B32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根据各投标人拟组建的服务团队配置情况及服务人员（如专业客户服务专员、理赔专员）进行综合评议：团队配置合理、人员专业性强、经验丰富的得8分；团队配备较合理、人员专业性及经验一般的得5分；团队配备不够合理、人员专业性较差、经验少的得3分。</w:t>
            </w:r>
            <w:r>
              <w:rPr>
                <w:rFonts w:hint="eastAsia" w:ascii="宋体" w:hAnsi="宋体" w:cs="宋体"/>
                <w:bCs/>
                <w:kern w:val="0"/>
                <w:szCs w:val="21"/>
                <w:highlight w:val="none"/>
                <w:lang w:bidi="ar"/>
              </w:rPr>
              <w:br w:type="textWrapping"/>
            </w:r>
            <w:r>
              <w:rPr>
                <w:rFonts w:hint="eastAsia" w:ascii="宋体" w:hAnsi="宋体" w:cs="宋体"/>
                <w:bCs/>
                <w:kern w:val="0"/>
                <w:szCs w:val="21"/>
                <w:highlight w:val="none"/>
                <w:lang w:bidi="ar"/>
              </w:rPr>
              <w:t>注：响应文件中</w:t>
            </w:r>
            <w:r>
              <w:rPr>
                <w:rFonts w:hint="eastAsia" w:ascii="宋体" w:hAnsi="宋体" w:cs="宋体"/>
                <w:bCs/>
                <w:kern w:val="0"/>
                <w:szCs w:val="21"/>
                <w:highlight w:val="none"/>
                <w:lang w:eastAsia="zh-CN" w:bidi="ar"/>
              </w:rPr>
              <w:t>可</w:t>
            </w:r>
            <w:r>
              <w:rPr>
                <w:rFonts w:hint="eastAsia" w:ascii="宋体" w:hAnsi="宋体" w:cs="宋体"/>
                <w:bCs/>
                <w:kern w:val="0"/>
                <w:szCs w:val="21"/>
                <w:highlight w:val="none"/>
                <w:lang w:bidi="ar"/>
              </w:rPr>
              <w:t>提供人员证书扫描件</w:t>
            </w:r>
            <w:r>
              <w:rPr>
                <w:rFonts w:hint="eastAsia" w:ascii="宋体" w:hAnsi="宋体" w:cs="宋体"/>
                <w:bCs/>
                <w:kern w:val="0"/>
                <w:szCs w:val="21"/>
                <w:highlight w:val="none"/>
                <w:lang w:eastAsia="zh-CN" w:bidi="ar"/>
              </w:rPr>
              <w:t>予以证明</w:t>
            </w:r>
            <w:r>
              <w:rPr>
                <w:rFonts w:hint="eastAsia" w:ascii="宋体" w:hAnsi="宋体" w:cs="宋体"/>
                <w:bCs/>
                <w:kern w:val="0"/>
                <w:szCs w:val="21"/>
                <w:highlight w:val="none"/>
                <w:lang w:bidi="ar"/>
              </w:rPr>
              <w:t>。</w:t>
            </w:r>
          </w:p>
        </w:tc>
        <w:tc>
          <w:tcPr>
            <w:tcW w:w="690" w:type="dxa"/>
            <w:noWrap w:val="0"/>
            <w:vAlign w:val="center"/>
          </w:tcPr>
          <w:p w14:paraId="2BFC6E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kern w:val="2"/>
                <w:sz w:val="21"/>
                <w:szCs w:val="20"/>
                <w:highlight w:val="none"/>
                <w:vertAlign w:val="baseline"/>
                <w:lang w:val="en-US" w:eastAsia="zh-CN" w:bidi="ar-SA"/>
              </w:rPr>
            </w:pPr>
            <w:r>
              <w:rPr>
                <w:rFonts w:hint="eastAsia" w:ascii="宋体" w:hAnsi="宋体" w:eastAsia="宋体" w:cs="宋体"/>
                <w:kern w:val="2"/>
                <w:sz w:val="21"/>
                <w:szCs w:val="20"/>
                <w:highlight w:val="none"/>
                <w:vertAlign w:val="baseline"/>
                <w:lang w:val="en-US" w:eastAsia="zh-CN" w:bidi="ar-SA"/>
              </w:rPr>
              <w:t>8</w:t>
            </w:r>
          </w:p>
        </w:tc>
      </w:tr>
      <w:tr w14:paraId="5FC4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64" w:type="dxa"/>
            <w:vMerge w:val="continue"/>
            <w:noWrap w:val="0"/>
            <w:vAlign w:val="center"/>
          </w:tcPr>
          <w:p w14:paraId="1552CC1A">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vMerge w:val="restart"/>
            <w:noWrap w:val="0"/>
            <w:vAlign w:val="center"/>
          </w:tcPr>
          <w:p w14:paraId="3CEDD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kern w:val="0"/>
                <w:szCs w:val="21"/>
                <w:highlight w:val="none"/>
                <w:lang w:bidi="ar"/>
              </w:rPr>
              <w:t>服务便捷（</w:t>
            </w:r>
            <w:r>
              <w:rPr>
                <w:rFonts w:hint="eastAsia" w:ascii="宋体" w:hAnsi="宋体" w:cs="宋体"/>
                <w:bCs/>
                <w:kern w:val="0"/>
                <w:szCs w:val="21"/>
                <w:highlight w:val="none"/>
                <w:lang w:val="en-US" w:eastAsia="zh-CN" w:bidi="ar"/>
              </w:rPr>
              <w:t>20</w:t>
            </w:r>
            <w:r>
              <w:rPr>
                <w:rFonts w:hint="eastAsia" w:ascii="宋体" w:hAnsi="宋体" w:cs="宋体"/>
                <w:bCs/>
                <w:kern w:val="0"/>
                <w:szCs w:val="21"/>
                <w:highlight w:val="none"/>
                <w:lang w:bidi="ar"/>
              </w:rPr>
              <w:t>分）</w:t>
            </w:r>
          </w:p>
        </w:tc>
        <w:tc>
          <w:tcPr>
            <w:tcW w:w="7862" w:type="dxa"/>
            <w:noWrap w:val="0"/>
            <w:vAlign w:val="center"/>
          </w:tcPr>
          <w:p w14:paraId="1F093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kern w:val="0"/>
                <w:szCs w:val="21"/>
                <w:highlight w:val="none"/>
                <w:lang w:bidi="ar"/>
              </w:rPr>
              <w:t>根据各投标人开展手机理赔办理业务情况进行综合评议：内容齐全、完整，操作性强，科学、合理的得5分，内容基本完整、操作性及合理性较为一般的得3分，内容不齐全、混乱，不能很好符合项目实际开展的得1分。无任何内容的得0分。</w:t>
            </w:r>
          </w:p>
        </w:tc>
        <w:tc>
          <w:tcPr>
            <w:tcW w:w="690" w:type="dxa"/>
            <w:noWrap w:val="0"/>
            <w:vAlign w:val="center"/>
          </w:tcPr>
          <w:p w14:paraId="12DC9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w:t>
            </w:r>
          </w:p>
        </w:tc>
      </w:tr>
      <w:tr w14:paraId="5A4B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64" w:type="dxa"/>
            <w:vMerge w:val="continue"/>
            <w:noWrap w:val="0"/>
            <w:vAlign w:val="center"/>
          </w:tcPr>
          <w:p w14:paraId="5863F49F">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vMerge w:val="continue"/>
            <w:noWrap w:val="0"/>
            <w:vAlign w:val="center"/>
          </w:tcPr>
          <w:p w14:paraId="676B6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0"/>
                <w:highlight w:val="none"/>
                <w:vertAlign w:val="baseline"/>
                <w:lang w:val="en-US" w:eastAsia="zh-CN" w:bidi="ar-SA"/>
              </w:rPr>
            </w:pPr>
          </w:p>
        </w:tc>
        <w:tc>
          <w:tcPr>
            <w:tcW w:w="7862" w:type="dxa"/>
            <w:noWrap w:val="0"/>
            <w:vAlign w:val="center"/>
          </w:tcPr>
          <w:p w14:paraId="2B2F28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0"/>
                <w:highlight w:val="none"/>
                <w:vertAlign w:val="baseline"/>
                <w:lang w:val="en-US" w:eastAsia="zh-CN" w:bidi="ar-SA"/>
              </w:rPr>
            </w:pPr>
            <w:r>
              <w:rPr>
                <w:rFonts w:hint="eastAsia" w:ascii="宋体" w:hAnsi="宋体" w:cs="宋体"/>
                <w:bCs/>
                <w:kern w:val="0"/>
                <w:szCs w:val="21"/>
                <w:highlight w:val="none"/>
                <w:lang w:bidi="ar"/>
              </w:rPr>
              <w:t>根据各投标人提供上门理赔办理服务情况进行综合评议：内容齐全、完整，操作性强，科学、合理的得</w:t>
            </w:r>
            <w:r>
              <w:rPr>
                <w:rFonts w:hint="eastAsia" w:ascii="宋体" w:hAnsi="宋体" w:cs="宋体"/>
                <w:bCs/>
                <w:kern w:val="0"/>
                <w:szCs w:val="21"/>
                <w:highlight w:val="none"/>
                <w:lang w:val="en-US" w:eastAsia="zh-CN" w:bidi="ar"/>
              </w:rPr>
              <w:t>7</w:t>
            </w:r>
            <w:r>
              <w:rPr>
                <w:rFonts w:hint="eastAsia" w:ascii="宋体" w:hAnsi="宋体" w:cs="宋体"/>
                <w:bCs/>
                <w:kern w:val="0"/>
                <w:szCs w:val="21"/>
                <w:highlight w:val="none"/>
                <w:lang w:bidi="ar"/>
              </w:rPr>
              <w:t>分，内容基本完整、操作性及合理性较为一般的得</w:t>
            </w:r>
            <w:r>
              <w:rPr>
                <w:rFonts w:hint="eastAsia" w:ascii="宋体" w:hAnsi="宋体" w:cs="宋体"/>
                <w:bCs/>
                <w:kern w:val="0"/>
                <w:szCs w:val="21"/>
                <w:highlight w:val="none"/>
                <w:lang w:val="en-US" w:eastAsia="zh-CN" w:bidi="ar"/>
              </w:rPr>
              <w:t>5</w:t>
            </w:r>
            <w:r>
              <w:rPr>
                <w:rFonts w:hint="eastAsia" w:ascii="宋体" w:hAnsi="宋体" w:cs="宋体"/>
                <w:bCs/>
                <w:kern w:val="0"/>
                <w:szCs w:val="21"/>
                <w:highlight w:val="none"/>
                <w:lang w:bidi="ar"/>
              </w:rPr>
              <w:t>分，内容不齐全、混乱，不能很好符合项目实际开展的得</w:t>
            </w:r>
            <w:r>
              <w:rPr>
                <w:rFonts w:hint="eastAsia" w:ascii="宋体" w:hAnsi="宋体" w:cs="宋体"/>
                <w:bCs/>
                <w:kern w:val="0"/>
                <w:szCs w:val="21"/>
                <w:highlight w:val="none"/>
                <w:lang w:val="en-US" w:eastAsia="zh-CN" w:bidi="ar"/>
              </w:rPr>
              <w:t>3</w:t>
            </w:r>
            <w:r>
              <w:rPr>
                <w:rFonts w:hint="eastAsia" w:ascii="宋体" w:hAnsi="宋体" w:cs="宋体"/>
                <w:bCs/>
                <w:kern w:val="0"/>
                <w:szCs w:val="21"/>
                <w:highlight w:val="none"/>
                <w:lang w:bidi="ar"/>
              </w:rPr>
              <w:t>分。无任何内容的得0分。</w:t>
            </w:r>
          </w:p>
        </w:tc>
        <w:tc>
          <w:tcPr>
            <w:tcW w:w="690" w:type="dxa"/>
            <w:noWrap w:val="0"/>
            <w:vAlign w:val="center"/>
          </w:tcPr>
          <w:p w14:paraId="504BE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kern w:val="2"/>
                <w:sz w:val="21"/>
                <w:szCs w:val="20"/>
                <w:highlight w:val="none"/>
                <w:vertAlign w:val="baseline"/>
                <w:lang w:val="en-US" w:eastAsia="zh-CN" w:bidi="ar-SA"/>
              </w:rPr>
            </w:pPr>
            <w:r>
              <w:rPr>
                <w:rFonts w:hint="eastAsia" w:ascii="宋体" w:hAnsi="宋体" w:eastAsia="宋体" w:cs="宋体"/>
                <w:kern w:val="2"/>
                <w:sz w:val="21"/>
                <w:szCs w:val="20"/>
                <w:highlight w:val="none"/>
                <w:vertAlign w:val="baseline"/>
                <w:lang w:val="en-US" w:eastAsia="zh-CN" w:bidi="ar-SA"/>
              </w:rPr>
              <w:t>7</w:t>
            </w:r>
          </w:p>
        </w:tc>
      </w:tr>
      <w:tr w14:paraId="452E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64" w:type="dxa"/>
            <w:vMerge w:val="continue"/>
            <w:noWrap w:val="0"/>
            <w:vAlign w:val="center"/>
          </w:tcPr>
          <w:p w14:paraId="11F30381">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vMerge w:val="continue"/>
            <w:noWrap w:val="0"/>
            <w:vAlign w:val="center"/>
          </w:tcPr>
          <w:p w14:paraId="50EAB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eastAsia="zh-CN"/>
              </w:rPr>
            </w:pPr>
          </w:p>
        </w:tc>
        <w:tc>
          <w:tcPr>
            <w:tcW w:w="7862" w:type="dxa"/>
            <w:noWrap w:val="0"/>
            <w:vAlign w:val="center"/>
          </w:tcPr>
          <w:p w14:paraId="226484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val="en-US" w:eastAsia="zh-CN"/>
              </w:rPr>
            </w:pPr>
            <w:r>
              <w:rPr>
                <w:rFonts w:hint="eastAsia" w:ascii="宋体" w:hAnsi="宋体" w:cs="宋体"/>
                <w:bCs/>
                <w:kern w:val="0"/>
                <w:szCs w:val="21"/>
                <w:highlight w:val="none"/>
                <w:lang w:bidi="ar"/>
              </w:rPr>
              <w:t>根据各投标人</w:t>
            </w:r>
            <w:r>
              <w:rPr>
                <w:rFonts w:hint="eastAsia" w:ascii="宋体" w:hAnsi="宋体" w:cs="宋体"/>
                <w:bCs/>
                <w:kern w:val="0"/>
                <w:szCs w:val="21"/>
                <w:highlight w:val="none"/>
                <w:lang w:eastAsia="zh-CN" w:bidi="ar"/>
              </w:rPr>
              <w:t>服务便捷方案</w:t>
            </w:r>
            <w:r>
              <w:rPr>
                <w:rFonts w:hint="eastAsia" w:ascii="宋体" w:hAnsi="宋体" w:cs="宋体"/>
                <w:bCs/>
                <w:kern w:val="0"/>
                <w:szCs w:val="21"/>
                <w:highlight w:val="none"/>
                <w:lang w:bidi="ar"/>
              </w:rPr>
              <w:t>进行综合评议</w:t>
            </w:r>
            <w:r>
              <w:rPr>
                <w:rFonts w:hint="eastAsia" w:ascii="宋体" w:hAnsi="宋体" w:cs="宋体"/>
                <w:bCs/>
                <w:kern w:val="0"/>
                <w:szCs w:val="21"/>
                <w:highlight w:val="none"/>
                <w:lang w:eastAsia="zh-CN" w:bidi="ar"/>
              </w:rPr>
              <w:t>包括</w:t>
            </w:r>
            <w:r>
              <w:rPr>
                <w:rFonts w:hint="eastAsia" w:ascii="宋体" w:hAnsi="宋体" w:cs="宋体"/>
                <w:bCs/>
                <w:kern w:val="0"/>
                <w:szCs w:val="21"/>
                <w:highlight w:val="none"/>
                <w:lang w:bidi="ar"/>
              </w:rPr>
              <w:t>网点分布区域情况</w:t>
            </w:r>
            <w:r>
              <w:rPr>
                <w:rFonts w:hint="eastAsia" w:ascii="宋体" w:hAnsi="宋体" w:cs="宋体"/>
                <w:bCs/>
                <w:kern w:val="0"/>
                <w:szCs w:val="21"/>
                <w:highlight w:val="none"/>
                <w:lang w:eastAsia="zh-CN" w:bidi="ar"/>
              </w:rPr>
              <w:t>、</w:t>
            </w:r>
            <w:r>
              <w:rPr>
                <w:rFonts w:hint="eastAsia" w:ascii="宋体" w:hAnsi="宋体" w:cs="宋体"/>
                <w:bCs/>
                <w:kern w:val="0"/>
                <w:szCs w:val="21"/>
                <w:highlight w:val="none"/>
                <w:lang w:bidi="ar"/>
              </w:rPr>
              <w:t>网点数量情况：网点分布</w:t>
            </w:r>
            <w:r>
              <w:rPr>
                <w:rFonts w:hint="eastAsia" w:ascii="宋体" w:hAnsi="宋体" w:cs="宋体"/>
                <w:bCs/>
                <w:kern w:val="0"/>
                <w:szCs w:val="21"/>
                <w:highlight w:val="none"/>
                <w:lang w:eastAsia="zh-CN" w:bidi="ar"/>
              </w:rPr>
              <w:t>密集，范围广有利于项目开展</w:t>
            </w:r>
            <w:r>
              <w:rPr>
                <w:rFonts w:hint="eastAsia" w:ascii="宋体" w:hAnsi="宋体" w:cs="宋体"/>
                <w:bCs/>
                <w:kern w:val="0"/>
                <w:szCs w:val="21"/>
                <w:highlight w:val="none"/>
                <w:lang w:bidi="ar"/>
              </w:rPr>
              <w:t>的得</w:t>
            </w:r>
            <w:r>
              <w:rPr>
                <w:rFonts w:hint="eastAsia" w:ascii="宋体" w:hAnsi="宋体" w:cs="宋体"/>
                <w:bCs/>
                <w:kern w:val="0"/>
                <w:szCs w:val="21"/>
                <w:highlight w:val="none"/>
                <w:lang w:val="en-US" w:eastAsia="zh-CN" w:bidi="ar"/>
              </w:rPr>
              <w:t>8</w:t>
            </w:r>
            <w:r>
              <w:rPr>
                <w:rFonts w:hint="eastAsia" w:ascii="宋体" w:hAnsi="宋体" w:cs="宋体"/>
                <w:bCs/>
                <w:kern w:val="0"/>
                <w:szCs w:val="21"/>
                <w:highlight w:val="none"/>
                <w:lang w:bidi="ar"/>
              </w:rPr>
              <w:t>分，网点分布较广</w:t>
            </w:r>
            <w:r>
              <w:rPr>
                <w:rFonts w:hint="eastAsia" w:ascii="宋体" w:hAnsi="宋体" w:cs="宋体"/>
                <w:bCs/>
                <w:kern w:val="0"/>
                <w:szCs w:val="21"/>
                <w:highlight w:val="none"/>
                <w:lang w:eastAsia="zh-CN" w:bidi="ar"/>
              </w:rPr>
              <w:t>较多满足采购人办理理赔需求</w:t>
            </w:r>
            <w:r>
              <w:rPr>
                <w:rFonts w:hint="eastAsia" w:ascii="宋体" w:hAnsi="宋体" w:cs="宋体"/>
                <w:bCs/>
                <w:kern w:val="0"/>
                <w:szCs w:val="21"/>
                <w:highlight w:val="none"/>
                <w:lang w:bidi="ar"/>
              </w:rPr>
              <w:t>的得</w:t>
            </w:r>
            <w:r>
              <w:rPr>
                <w:rFonts w:hint="eastAsia" w:ascii="宋体" w:hAnsi="宋体" w:cs="宋体"/>
                <w:bCs/>
                <w:kern w:val="0"/>
                <w:szCs w:val="21"/>
                <w:highlight w:val="none"/>
                <w:lang w:val="en-US" w:eastAsia="zh-CN" w:bidi="ar"/>
              </w:rPr>
              <w:t>5</w:t>
            </w:r>
            <w:r>
              <w:rPr>
                <w:rFonts w:hint="eastAsia" w:ascii="宋体" w:hAnsi="宋体" w:cs="宋体"/>
                <w:bCs/>
                <w:kern w:val="0"/>
                <w:szCs w:val="21"/>
                <w:highlight w:val="none"/>
                <w:lang w:bidi="ar"/>
              </w:rPr>
              <w:t>分，网点分布</w:t>
            </w:r>
            <w:r>
              <w:rPr>
                <w:rFonts w:hint="eastAsia" w:ascii="宋体" w:hAnsi="宋体" w:cs="宋体"/>
                <w:bCs/>
                <w:kern w:val="0"/>
                <w:szCs w:val="21"/>
                <w:highlight w:val="none"/>
                <w:lang w:eastAsia="zh-CN" w:bidi="ar"/>
              </w:rPr>
              <w:t>较少，不便于采购人办理理赔</w:t>
            </w:r>
            <w:r>
              <w:rPr>
                <w:rFonts w:hint="eastAsia" w:ascii="宋体" w:hAnsi="宋体" w:cs="宋体"/>
                <w:bCs/>
                <w:kern w:val="0"/>
                <w:szCs w:val="21"/>
                <w:highlight w:val="none"/>
                <w:lang w:bidi="ar"/>
              </w:rPr>
              <w:t>的得</w:t>
            </w:r>
            <w:r>
              <w:rPr>
                <w:rFonts w:hint="eastAsia" w:ascii="宋体" w:hAnsi="宋体" w:cs="宋体"/>
                <w:bCs/>
                <w:kern w:val="0"/>
                <w:szCs w:val="21"/>
                <w:highlight w:val="none"/>
                <w:lang w:val="en-US" w:eastAsia="zh-CN" w:bidi="ar"/>
              </w:rPr>
              <w:t>3</w:t>
            </w:r>
            <w:r>
              <w:rPr>
                <w:rFonts w:hint="eastAsia" w:ascii="宋体" w:hAnsi="宋体" w:cs="宋体"/>
                <w:bCs/>
                <w:kern w:val="0"/>
                <w:szCs w:val="21"/>
                <w:highlight w:val="none"/>
                <w:lang w:bidi="ar"/>
              </w:rPr>
              <w:t>分。无任何内容的得0分。</w:t>
            </w:r>
          </w:p>
        </w:tc>
        <w:tc>
          <w:tcPr>
            <w:tcW w:w="690" w:type="dxa"/>
            <w:noWrap w:val="0"/>
            <w:vAlign w:val="center"/>
          </w:tcPr>
          <w:p w14:paraId="4C6E8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8</w:t>
            </w:r>
          </w:p>
        </w:tc>
      </w:tr>
      <w:tr w14:paraId="57B2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64" w:type="dxa"/>
            <w:vMerge w:val="continue"/>
            <w:noWrap w:val="0"/>
            <w:vAlign w:val="center"/>
          </w:tcPr>
          <w:p w14:paraId="7C9E181B">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0D0F5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bCs/>
                <w:kern w:val="0"/>
                <w:szCs w:val="21"/>
                <w:highlight w:val="none"/>
                <w:lang w:bidi="ar"/>
              </w:rPr>
              <w:t>服务承诺（8分）</w:t>
            </w:r>
          </w:p>
        </w:tc>
        <w:tc>
          <w:tcPr>
            <w:tcW w:w="7862" w:type="dxa"/>
            <w:noWrap w:val="0"/>
            <w:vAlign w:val="center"/>
          </w:tcPr>
          <w:p w14:paraId="760FED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eastAsia="zh-CN"/>
              </w:rPr>
            </w:pPr>
            <w:r>
              <w:rPr>
                <w:rFonts w:hint="eastAsia" w:ascii="宋体" w:hAnsi="宋体" w:cs="宋体"/>
                <w:bCs/>
                <w:kern w:val="0"/>
                <w:szCs w:val="21"/>
                <w:highlight w:val="none"/>
                <w:lang w:bidi="ar"/>
              </w:rPr>
              <w:t>根据各投标人提供的服务承诺内容、执行方式进行评审，承诺内容符合项目实际、执行方式操作性强的得8分，承诺内容较符合项目实际、执行方式操作性较强的得5分，承诺内容笼统、与实际有偏差的得3分，未提供服务承诺得0分。</w:t>
            </w:r>
          </w:p>
        </w:tc>
        <w:tc>
          <w:tcPr>
            <w:tcW w:w="690" w:type="dxa"/>
            <w:noWrap w:val="0"/>
            <w:vAlign w:val="center"/>
          </w:tcPr>
          <w:p w14:paraId="13D83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8</w:t>
            </w:r>
          </w:p>
        </w:tc>
      </w:tr>
      <w:tr w14:paraId="2ED7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64" w:type="dxa"/>
            <w:vMerge w:val="continue"/>
            <w:noWrap w:val="0"/>
            <w:vAlign w:val="center"/>
          </w:tcPr>
          <w:p w14:paraId="5E85FC11">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7CD252BA">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eastAsia="zh-CN"/>
              </w:rPr>
            </w:pPr>
            <w:r>
              <w:rPr>
                <w:rFonts w:hint="eastAsia" w:ascii="宋体" w:hAnsi="宋体" w:cs="宋体"/>
                <w:bCs/>
                <w:szCs w:val="21"/>
                <w:highlight w:val="none"/>
              </w:rPr>
              <w:t>承保经验  （</w:t>
            </w:r>
            <w:r>
              <w:rPr>
                <w:rFonts w:hint="eastAsia" w:ascii="宋体" w:hAnsi="宋体" w:cs="宋体"/>
                <w:bCs/>
                <w:szCs w:val="21"/>
                <w:highlight w:val="none"/>
                <w:lang w:val="en-US" w:eastAsia="zh-CN"/>
              </w:rPr>
              <w:t>1.5</w:t>
            </w:r>
            <w:r>
              <w:rPr>
                <w:rFonts w:hint="eastAsia" w:ascii="宋体" w:hAnsi="宋体" w:cs="宋体"/>
                <w:bCs/>
                <w:szCs w:val="21"/>
                <w:highlight w:val="none"/>
              </w:rPr>
              <w:t>分）</w:t>
            </w:r>
          </w:p>
        </w:tc>
        <w:tc>
          <w:tcPr>
            <w:tcW w:w="7862" w:type="dxa"/>
            <w:noWrap w:val="0"/>
            <w:vAlign w:val="center"/>
          </w:tcPr>
          <w:p w14:paraId="4F1A0533">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rPr>
              <w:t>投标人202</w:t>
            </w:r>
            <w:r>
              <w:rPr>
                <w:rFonts w:hint="eastAsia" w:ascii="宋体" w:hAnsi="宋体" w:cs="宋体"/>
                <w:bCs/>
                <w:szCs w:val="21"/>
                <w:highlight w:val="none"/>
                <w:lang w:val="en-US" w:eastAsia="zh-CN"/>
              </w:rPr>
              <w:t>2</w:t>
            </w:r>
            <w:r>
              <w:rPr>
                <w:rFonts w:hint="eastAsia" w:ascii="宋体" w:hAnsi="宋体" w:cs="宋体"/>
                <w:bCs/>
                <w:szCs w:val="21"/>
                <w:highlight w:val="none"/>
              </w:rPr>
              <w:t>年1月1日（含）以来具有</w:t>
            </w:r>
            <w:r>
              <w:rPr>
                <w:rFonts w:hint="eastAsia" w:ascii="宋体" w:hAnsi="宋体" w:cs="宋体"/>
                <w:bCs/>
                <w:szCs w:val="21"/>
                <w:highlight w:val="none"/>
                <w:lang w:val="en-US" w:eastAsia="zh-CN"/>
              </w:rPr>
              <w:t>救助类保险承保经验</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政府单位），得1.5分。</w:t>
            </w:r>
          </w:p>
          <w:p w14:paraId="156B334C">
            <w:pPr>
              <w:keepNext w:val="0"/>
              <w:keepLines w:val="0"/>
              <w:suppressLineNumbers w:val="0"/>
              <w:spacing w:before="0" w:beforeAutospacing="0" w:after="0" w:afterAutospacing="0" w:line="276" w:lineRule="auto"/>
              <w:ind w:left="0" w:right="0"/>
              <w:contextualSpacing/>
              <w:rPr>
                <w:rFonts w:hint="eastAsia" w:ascii="宋体" w:hAnsi="宋体" w:eastAsia="宋体" w:cs="宋体"/>
                <w:szCs w:val="20"/>
                <w:highlight w:val="none"/>
                <w:vertAlign w:val="baseline"/>
                <w:lang w:eastAsia="zh-CN"/>
              </w:rPr>
            </w:pPr>
            <w:r>
              <w:rPr>
                <w:rFonts w:hint="eastAsia" w:ascii="宋体" w:hAnsi="宋体" w:cs="宋体"/>
                <w:bCs/>
                <w:szCs w:val="21"/>
                <w:highlight w:val="none"/>
              </w:rPr>
              <w:t>注:</w:t>
            </w:r>
            <w:r>
              <w:rPr>
                <w:rFonts w:hint="eastAsia" w:ascii="宋体" w:hAnsi="宋体" w:cs="宋体"/>
                <w:bCs/>
                <w:szCs w:val="21"/>
                <w:highlight w:val="none"/>
                <w:lang w:eastAsia="zh-CN"/>
              </w:rPr>
              <w:t>投标</w:t>
            </w:r>
            <w:r>
              <w:rPr>
                <w:rFonts w:hint="eastAsia" w:ascii="宋体" w:hAnsi="宋体" w:cs="宋体"/>
                <w:bCs/>
                <w:szCs w:val="21"/>
                <w:highlight w:val="none"/>
              </w:rPr>
              <w:t>文件中提供合同扫描件。</w:t>
            </w:r>
          </w:p>
        </w:tc>
        <w:tc>
          <w:tcPr>
            <w:tcW w:w="690" w:type="dxa"/>
            <w:noWrap w:val="0"/>
            <w:vAlign w:val="center"/>
          </w:tcPr>
          <w:p w14:paraId="35F75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1.5</w:t>
            </w:r>
          </w:p>
        </w:tc>
      </w:tr>
      <w:tr w14:paraId="383B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864" w:type="dxa"/>
            <w:vMerge w:val="continue"/>
            <w:noWrap w:val="0"/>
            <w:vAlign w:val="center"/>
          </w:tcPr>
          <w:p w14:paraId="2C30E625">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009878E8">
            <w:pPr>
              <w:keepNext w:val="0"/>
              <w:keepLines w:val="0"/>
              <w:suppressLineNumbers w:val="0"/>
              <w:spacing w:before="0" w:beforeAutospacing="0" w:after="0" w:afterAutospacing="0"/>
              <w:ind w:left="0" w:right="0"/>
              <w:jc w:val="center"/>
              <w:rPr>
                <w:rFonts w:hint="eastAsia" w:ascii="宋体" w:hAnsi="宋体" w:cs="宋体"/>
                <w:bCs/>
                <w:szCs w:val="21"/>
                <w:highlight w:val="none"/>
              </w:rPr>
            </w:pPr>
            <w:r>
              <w:rPr>
                <w:rFonts w:hint="eastAsia" w:ascii="宋体" w:hAnsi="宋体" w:cs="宋体"/>
                <w:bCs/>
                <w:szCs w:val="21"/>
                <w:highlight w:val="none"/>
              </w:rPr>
              <w:t>偿付能力充足率情况（8分）</w:t>
            </w:r>
          </w:p>
        </w:tc>
        <w:tc>
          <w:tcPr>
            <w:tcW w:w="7862" w:type="dxa"/>
            <w:noWrap w:val="0"/>
            <w:vAlign w:val="center"/>
          </w:tcPr>
          <w:p w14:paraId="6B79384F">
            <w:pPr>
              <w:keepNext w:val="0"/>
              <w:keepLines w:val="0"/>
              <w:suppressLineNumbers w:val="0"/>
              <w:spacing w:before="0" w:beforeAutospacing="0" w:after="0" w:afterAutospacing="0" w:line="276" w:lineRule="auto"/>
              <w:ind w:left="0" w:right="0"/>
              <w:contextualSpacing/>
              <w:rPr>
                <w:rFonts w:hint="eastAsia" w:ascii="宋体" w:hAnsi="宋体" w:eastAsia="宋体" w:cs="宋体"/>
                <w:bCs/>
                <w:szCs w:val="21"/>
                <w:highlight w:val="none"/>
                <w:lang w:eastAsia="zh-CN"/>
              </w:rPr>
            </w:pPr>
            <w:r>
              <w:rPr>
                <w:rFonts w:hint="eastAsia" w:ascii="宋体" w:hAnsi="宋体" w:cs="宋体"/>
                <w:bCs/>
                <w:szCs w:val="21"/>
                <w:highlight w:val="none"/>
              </w:rPr>
              <w:t>根据中国保险行业协会网站公示的投标人所属总公司2024年</w:t>
            </w:r>
            <w:r>
              <w:rPr>
                <w:rFonts w:hint="eastAsia" w:ascii="宋体" w:hAnsi="宋体" w:cs="宋体"/>
                <w:bCs/>
                <w:szCs w:val="21"/>
                <w:highlight w:val="none"/>
                <w:lang w:val="en-US" w:eastAsia="zh-CN"/>
              </w:rPr>
              <w:t>末</w:t>
            </w:r>
            <w:r>
              <w:rPr>
                <w:rFonts w:hint="eastAsia" w:ascii="宋体" w:hAnsi="宋体" w:cs="宋体"/>
                <w:bCs/>
                <w:szCs w:val="21"/>
                <w:highlight w:val="none"/>
              </w:rPr>
              <w:t>核心偿付能力充足率进行评分</w:t>
            </w:r>
            <w:r>
              <w:rPr>
                <w:rFonts w:hint="eastAsia" w:ascii="宋体" w:hAnsi="宋体" w:cs="宋体"/>
                <w:bCs/>
                <w:szCs w:val="21"/>
                <w:highlight w:val="none"/>
                <w:lang w:eastAsia="zh-CN"/>
              </w:rPr>
              <w:t>：</w:t>
            </w:r>
          </w:p>
          <w:p w14:paraId="50A938FB">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lang w:val="en-US" w:eastAsia="zh-CN"/>
              </w:rPr>
              <w:t>核心</w:t>
            </w:r>
            <w:r>
              <w:rPr>
                <w:rFonts w:hint="eastAsia" w:ascii="宋体" w:hAnsi="宋体" w:cs="宋体"/>
                <w:bCs/>
                <w:szCs w:val="21"/>
                <w:highlight w:val="none"/>
              </w:rPr>
              <w:t>偿付能力充足率≥2</w:t>
            </w:r>
            <w:r>
              <w:rPr>
                <w:rFonts w:hint="eastAsia" w:ascii="宋体" w:hAnsi="宋体" w:cs="宋体"/>
                <w:bCs/>
                <w:szCs w:val="21"/>
                <w:highlight w:val="none"/>
                <w:lang w:val="en-US" w:eastAsia="zh-CN"/>
              </w:rPr>
              <w:t>0</w:t>
            </w:r>
            <w:r>
              <w:rPr>
                <w:rFonts w:hint="eastAsia" w:ascii="宋体" w:hAnsi="宋体" w:cs="宋体"/>
                <w:bCs/>
                <w:szCs w:val="21"/>
                <w:highlight w:val="none"/>
              </w:rPr>
              <w:t>0%得</w:t>
            </w:r>
            <w:r>
              <w:rPr>
                <w:rFonts w:hint="eastAsia" w:ascii="宋体" w:hAnsi="宋体" w:cs="宋体"/>
                <w:bCs/>
                <w:szCs w:val="21"/>
                <w:highlight w:val="none"/>
                <w:lang w:val="en-US" w:eastAsia="zh-CN"/>
              </w:rPr>
              <w:t>8</w:t>
            </w:r>
            <w:r>
              <w:rPr>
                <w:rFonts w:hint="eastAsia" w:ascii="宋体" w:hAnsi="宋体" w:cs="宋体"/>
                <w:bCs/>
                <w:szCs w:val="21"/>
                <w:highlight w:val="none"/>
              </w:rPr>
              <w:t>分；</w:t>
            </w:r>
          </w:p>
          <w:p w14:paraId="5B9655DE">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lang w:val="en-US" w:eastAsia="zh-CN"/>
              </w:rPr>
              <w:t>190</w:t>
            </w:r>
            <w:r>
              <w:rPr>
                <w:rFonts w:hint="eastAsia" w:ascii="宋体" w:hAnsi="宋体" w:cs="宋体"/>
                <w:bCs/>
                <w:szCs w:val="21"/>
                <w:highlight w:val="none"/>
              </w:rPr>
              <w:t>%≤</w:t>
            </w:r>
            <w:r>
              <w:rPr>
                <w:rFonts w:hint="eastAsia" w:ascii="宋体" w:hAnsi="宋体" w:cs="宋体"/>
                <w:bCs/>
                <w:szCs w:val="21"/>
                <w:highlight w:val="none"/>
                <w:lang w:val="en-US" w:eastAsia="zh-CN"/>
              </w:rPr>
              <w:t>核心</w:t>
            </w:r>
            <w:r>
              <w:rPr>
                <w:rFonts w:hint="eastAsia" w:ascii="宋体" w:hAnsi="宋体" w:cs="宋体"/>
                <w:bCs/>
                <w:szCs w:val="21"/>
                <w:highlight w:val="none"/>
              </w:rPr>
              <w:t>偿付能力充足率＜2</w:t>
            </w:r>
            <w:r>
              <w:rPr>
                <w:rFonts w:hint="eastAsia" w:ascii="宋体" w:hAnsi="宋体" w:cs="宋体"/>
                <w:bCs/>
                <w:szCs w:val="21"/>
                <w:highlight w:val="none"/>
                <w:lang w:val="en-US" w:eastAsia="zh-CN"/>
              </w:rPr>
              <w:t>0</w:t>
            </w:r>
            <w:r>
              <w:rPr>
                <w:rFonts w:hint="eastAsia" w:ascii="宋体" w:hAnsi="宋体" w:cs="宋体"/>
                <w:bCs/>
                <w:szCs w:val="21"/>
                <w:highlight w:val="none"/>
              </w:rPr>
              <w:t>0%的得</w:t>
            </w:r>
            <w:r>
              <w:rPr>
                <w:rFonts w:hint="eastAsia" w:ascii="宋体" w:hAnsi="宋体" w:cs="宋体"/>
                <w:bCs/>
                <w:szCs w:val="21"/>
                <w:highlight w:val="none"/>
                <w:lang w:val="en-US" w:eastAsia="zh-CN"/>
              </w:rPr>
              <w:t>5</w:t>
            </w:r>
            <w:r>
              <w:rPr>
                <w:rFonts w:hint="eastAsia" w:ascii="宋体" w:hAnsi="宋体" w:cs="宋体"/>
                <w:bCs/>
                <w:szCs w:val="21"/>
                <w:highlight w:val="none"/>
              </w:rPr>
              <w:t>分；</w:t>
            </w:r>
          </w:p>
          <w:p w14:paraId="5489535F">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lang w:val="en-US" w:eastAsia="zh-CN"/>
              </w:rPr>
              <w:t>180</w:t>
            </w:r>
            <w:r>
              <w:rPr>
                <w:rFonts w:hint="eastAsia" w:ascii="宋体" w:hAnsi="宋体" w:cs="宋体"/>
                <w:bCs/>
                <w:szCs w:val="21"/>
                <w:highlight w:val="none"/>
              </w:rPr>
              <w:t>%≤</w:t>
            </w:r>
            <w:r>
              <w:rPr>
                <w:rFonts w:hint="eastAsia" w:ascii="宋体" w:hAnsi="宋体" w:cs="宋体"/>
                <w:bCs/>
                <w:szCs w:val="21"/>
                <w:highlight w:val="none"/>
                <w:lang w:val="en-US" w:eastAsia="zh-CN"/>
              </w:rPr>
              <w:t>核心</w:t>
            </w:r>
            <w:r>
              <w:rPr>
                <w:rFonts w:hint="eastAsia" w:ascii="宋体" w:hAnsi="宋体" w:cs="宋体"/>
                <w:bCs/>
                <w:szCs w:val="21"/>
                <w:highlight w:val="none"/>
              </w:rPr>
              <w:t>偿付能力充足率＜</w:t>
            </w:r>
            <w:r>
              <w:rPr>
                <w:rFonts w:hint="eastAsia" w:ascii="宋体" w:hAnsi="宋体" w:cs="宋体"/>
                <w:bCs/>
                <w:szCs w:val="21"/>
                <w:highlight w:val="none"/>
                <w:lang w:val="en-US" w:eastAsia="zh-CN"/>
              </w:rPr>
              <w:t>190</w:t>
            </w:r>
            <w:r>
              <w:rPr>
                <w:rFonts w:hint="eastAsia" w:ascii="宋体" w:hAnsi="宋体" w:cs="宋体"/>
                <w:bCs/>
                <w:szCs w:val="21"/>
                <w:highlight w:val="none"/>
              </w:rPr>
              <w:t>%的得2分；</w:t>
            </w:r>
          </w:p>
          <w:p w14:paraId="646FCC57">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lang w:val="en-US" w:eastAsia="zh-CN"/>
              </w:rPr>
              <w:t>核心</w:t>
            </w:r>
            <w:r>
              <w:rPr>
                <w:rFonts w:hint="eastAsia" w:ascii="宋体" w:hAnsi="宋体" w:cs="宋体"/>
                <w:bCs/>
                <w:szCs w:val="21"/>
                <w:highlight w:val="none"/>
              </w:rPr>
              <w:t>偿付能力充足率1</w:t>
            </w:r>
            <w:r>
              <w:rPr>
                <w:rFonts w:hint="eastAsia" w:ascii="宋体" w:hAnsi="宋体" w:cs="宋体"/>
                <w:bCs/>
                <w:szCs w:val="21"/>
                <w:highlight w:val="none"/>
                <w:lang w:val="en-US" w:eastAsia="zh-CN"/>
              </w:rPr>
              <w:t>8</w:t>
            </w:r>
            <w:r>
              <w:rPr>
                <w:rFonts w:hint="eastAsia" w:ascii="宋体" w:hAnsi="宋体" w:cs="宋体"/>
                <w:bCs/>
                <w:szCs w:val="21"/>
                <w:highlight w:val="none"/>
              </w:rPr>
              <w:t>0%以下不得分。</w:t>
            </w:r>
          </w:p>
          <w:p w14:paraId="5665CEA3">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rPr>
              <w:t>注：提供供应商总公司202</w:t>
            </w:r>
            <w:r>
              <w:rPr>
                <w:rFonts w:hint="eastAsia" w:ascii="宋体" w:hAnsi="宋体" w:cs="宋体"/>
                <w:bCs/>
                <w:szCs w:val="21"/>
                <w:highlight w:val="none"/>
                <w:lang w:val="en-US" w:eastAsia="zh-CN"/>
              </w:rPr>
              <w:t>4</w:t>
            </w:r>
            <w:r>
              <w:rPr>
                <w:rFonts w:hint="eastAsia" w:ascii="宋体" w:hAnsi="宋体" w:cs="宋体"/>
                <w:bCs/>
                <w:szCs w:val="21"/>
                <w:highlight w:val="none"/>
              </w:rPr>
              <w:t>年末偿付能力报告复印件并加盖供应商公章，不提供不得分。</w:t>
            </w:r>
          </w:p>
        </w:tc>
        <w:tc>
          <w:tcPr>
            <w:tcW w:w="690" w:type="dxa"/>
            <w:noWrap w:val="0"/>
            <w:vAlign w:val="center"/>
          </w:tcPr>
          <w:p w14:paraId="52F79748">
            <w:pPr>
              <w:keepNext w:val="0"/>
              <w:keepLines w:val="0"/>
              <w:suppressLineNumbers w:val="0"/>
              <w:spacing w:before="0" w:beforeAutospacing="0" w:after="0" w:afterAutospacing="0" w:line="300" w:lineRule="exact"/>
              <w:ind w:left="0" w:right="0"/>
              <w:jc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8</w:t>
            </w:r>
          </w:p>
        </w:tc>
      </w:tr>
      <w:tr w14:paraId="391F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864" w:type="dxa"/>
            <w:vMerge w:val="continue"/>
            <w:noWrap w:val="0"/>
            <w:vAlign w:val="center"/>
          </w:tcPr>
          <w:p w14:paraId="23ABF2DD">
            <w:pPr>
              <w:pStyle w:val="2"/>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rightChars="0"/>
              <w:jc w:val="center"/>
              <w:textAlignment w:val="auto"/>
              <w:rPr>
                <w:rFonts w:hint="eastAsia" w:ascii="宋体" w:hAnsi="宋体" w:eastAsia="宋体" w:cs="宋体"/>
                <w:szCs w:val="20"/>
                <w:highlight w:val="none"/>
                <w:vertAlign w:val="baseline"/>
                <w:lang w:eastAsia="zh-CN"/>
              </w:rPr>
            </w:pPr>
          </w:p>
        </w:tc>
        <w:tc>
          <w:tcPr>
            <w:tcW w:w="1198" w:type="dxa"/>
            <w:noWrap w:val="0"/>
            <w:vAlign w:val="center"/>
          </w:tcPr>
          <w:p w14:paraId="31AEEB6F">
            <w:pPr>
              <w:keepNext w:val="0"/>
              <w:keepLines w:val="0"/>
              <w:suppressLineNumbers w:val="0"/>
              <w:spacing w:before="0" w:beforeAutospacing="0" w:after="0" w:afterAutospacing="0"/>
              <w:ind w:left="0" w:right="0"/>
              <w:jc w:val="center"/>
              <w:rPr>
                <w:rFonts w:hint="default" w:ascii="宋体" w:hAnsi="宋体" w:cs="宋体"/>
                <w:bCs/>
                <w:szCs w:val="21"/>
                <w:highlight w:val="none"/>
              </w:rPr>
            </w:pPr>
            <w:r>
              <w:rPr>
                <w:rFonts w:hint="eastAsia" w:ascii="宋体" w:hAnsi="宋体" w:cs="宋体"/>
                <w:bCs/>
                <w:szCs w:val="21"/>
                <w:highlight w:val="none"/>
              </w:rPr>
              <w:t>保险消费投诉指标</w:t>
            </w:r>
          </w:p>
          <w:p w14:paraId="47192911">
            <w:pPr>
              <w:keepNext w:val="0"/>
              <w:keepLines w:val="0"/>
              <w:suppressLineNumbers w:val="0"/>
              <w:spacing w:before="0" w:beforeAutospacing="0" w:after="0" w:afterAutospacing="0"/>
              <w:ind w:left="0" w:right="0"/>
              <w:jc w:val="center"/>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7862" w:type="dxa"/>
            <w:noWrap w:val="0"/>
            <w:vAlign w:val="center"/>
          </w:tcPr>
          <w:p w14:paraId="67CD2630">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rPr>
              <w:t>根据投标人所属总公司202</w:t>
            </w:r>
            <w:r>
              <w:rPr>
                <w:rFonts w:hint="eastAsia" w:ascii="宋体" w:hAnsi="宋体" w:cs="宋体"/>
                <w:bCs/>
                <w:szCs w:val="21"/>
                <w:highlight w:val="none"/>
                <w:lang w:val="en-US" w:eastAsia="zh-CN"/>
              </w:rPr>
              <w:t>4</w:t>
            </w:r>
            <w:r>
              <w:rPr>
                <w:rFonts w:hint="eastAsia" w:ascii="宋体" w:hAnsi="宋体" w:cs="宋体"/>
                <w:bCs/>
                <w:szCs w:val="21"/>
                <w:highlight w:val="none"/>
              </w:rPr>
              <w:t>年万张保单投诉量进行评审：</w:t>
            </w:r>
          </w:p>
          <w:p w14:paraId="39B32F92">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rPr>
              <w:t>① 0≤投诉量＜0.01的，得</w:t>
            </w:r>
            <w:r>
              <w:rPr>
                <w:rFonts w:hint="eastAsia" w:ascii="宋体" w:hAnsi="宋体" w:cs="宋体"/>
                <w:bCs/>
                <w:szCs w:val="21"/>
                <w:highlight w:val="none"/>
                <w:lang w:val="en-US" w:eastAsia="zh-CN"/>
              </w:rPr>
              <w:t>6</w:t>
            </w:r>
            <w:r>
              <w:rPr>
                <w:rFonts w:hint="eastAsia" w:ascii="宋体" w:hAnsi="宋体" w:cs="宋体"/>
                <w:bCs/>
                <w:szCs w:val="21"/>
                <w:highlight w:val="none"/>
              </w:rPr>
              <w:t>分；</w:t>
            </w:r>
          </w:p>
          <w:p w14:paraId="5D6CEEEB">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rPr>
              <w:t>② 0.01≤投诉量＜0.02的，得</w:t>
            </w:r>
            <w:r>
              <w:rPr>
                <w:rFonts w:hint="eastAsia" w:ascii="宋体" w:hAnsi="宋体" w:cs="宋体"/>
                <w:bCs/>
                <w:szCs w:val="21"/>
                <w:highlight w:val="none"/>
                <w:lang w:val="en-US" w:eastAsia="zh-CN"/>
              </w:rPr>
              <w:t>4</w:t>
            </w:r>
            <w:r>
              <w:rPr>
                <w:rFonts w:hint="eastAsia" w:ascii="宋体" w:hAnsi="宋体" w:cs="宋体"/>
                <w:bCs/>
                <w:szCs w:val="21"/>
                <w:highlight w:val="none"/>
              </w:rPr>
              <w:t>分；</w:t>
            </w:r>
          </w:p>
          <w:p w14:paraId="44DA9B08">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rPr>
              <w:t>③ 0.02≤投诉量＜0.03的，得</w:t>
            </w:r>
            <w:r>
              <w:rPr>
                <w:rFonts w:hint="eastAsia" w:ascii="宋体" w:hAnsi="宋体" w:cs="宋体"/>
                <w:bCs/>
                <w:szCs w:val="21"/>
                <w:highlight w:val="none"/>
                <w:lang w:val="en-US" w:eastAsia="zh-CN"/>
              </w:rPr>
              <w:t>2</w:t>
            </w:r>
            <w:r>
              <w:rPr>
                <w:rFonts w:hint="eastAsia" w:ascii="宋体" w:hAnsi="宋体" w:cs="宋体"/>
                <w:bCs/>
                <w:szCs w:val="21"/>
                <w:highlight w:val="none"/>
              </w:rPr>
              <w:t>分；</w:t>
            </w:r>
          </w:p>
          <w:p w14:paraId="65CDF70C">
            <w:pPr>
              <w:keepNext w:val="0"/>
              <w:keepLines w:val="0"/>
              <w:suppressLineNumbers w:val="0"/>
              <w:spacing w:before="0" w:beforeAutospacing="0" w:after="0" w:afterAutospacing="0" w:line="276" w:lineRule="auto"/>
              <w:ind w:left="0" w:right="0"/>
              <w:contextualSpacing/>
              <w:rPr>
                <w:rFonts w:hint="default" w:ascii="宋体" w:hAnsi="宋体" w:cs="宋体"/>
                <w:bCs/>
                <w:szCs w:val="21"/>
                <w:highlight w:val="none"/>
              </w:rPr>
            </w:pPr>
            <w:r>
              <w:rPr>
                <w:rFonts w:hint="eastAsia" w:ascii="宋体" w:hAnsi="宋体" w:cs="宋体"/>
                <w:bCs/>
                <w:szCs w:val="21"/>
                <w:highlight w:val="none"/>
              </w:rPr>
              <w:t>④ 投诉量≥0.0</w:t>
            </w:r>
            <w:r>
              <w:rPr>
                <w:rFonts w:hint="eastAsia" w:ascii="宋体" w:hAnsi="宋体" w:cs="宋体"/>
                <w:bCs/>
                <w:szCs w:val="21"/>
                <w:highlight w:val="none"/>
                <w:lang w:val="en-US" w:eastAsia="zh-CN"/>
              </w:rPr>
              <w:t>3</w:t>
            </w:r>
            <w:r>
              <w:rPr>
                <w:rFonts w:hint="eastAsia" w:ascii="宋体" w:hAnsi="宋体" w:cs="宋体"/>
                <w:bCs/>
                <w:szCs w:val="21"/>
                <w:highlight w:val="none"/>
              </w:rPr>
              <w:t>的，不得分。</w:t>
            </w:r>
          </w:p>
          <w:p w14:paraId="78E7EFBE">
            <w:pPr>
              <w:keepNext w:val="0"/>
              <w:keepLines w:val="0"/>
              <w:suppressLineNumbers w:val="0"/>
              <w:spacing w:before="0" w:beforeAutospacing="0" w:after="0" w:afterAutospacing="0" w:line="276" w:lineRule="auto"/>
              <w:ind w:left="0" w:right="0"/>
              <w:contextualSpacing/>
              <w:rPr>
                <w:rFonts w:hint="eastAsia" w:ascii="宋体" w:hAnsi="宋体" w:cs="宋体"/>
                <w:bCs/>
                <w:szCs w:val="21"/>
                <w:highlight w:val="none"/>
              </w:rPr>
            </w:pPr>
            <w:r>
              <w:rPr>
                <w:rFonts w:hint="eastAsia" w:ascii="宋体" w:hAnsi="宋体" w:cs="宋体"/>
                <w:bCs/>
                <w:szCs w:val="21"/>
                <w:highlight w:val="none"/>
              </w:rPr>
              <w:t>注：投标人应在投标文件中提供</w:t>
            </w:r>
            <w:r>
              <w:rPr>
                <w:rFonts w:hint="eastAsia" w:ascii="宋体" w:hAnsi="宋体" w:cs="宋体"/>
                <w:bCs/>
                <w:szCs w:val="21"/>
                <w:highlight w:val="none"/>
                <w:lang w:eastAsia="zh-CN"/>
              </w:rPr>
              <w:t>国家金融监督管理总局金融消保局的相关</w:t>
            </w:r>
            <w:r>
              <w:rPr>
                <w:rFonts w:hint="eastAsia" w:ascii="宋体" w:hAnsi="宋体" w:cs="宋体"/>
                <w:bCs/>
                <w:szCs w:val="21"/>
                <w:highlight w:val="none"/>
                <w:lang w:val="en-US" w:eastAsia="zh-CN"/>
              </w:rPr>
              <w:t>文件</w:t>
            </w:r>
            <w:r>
              <w:rPr>
                <w:rFonts w:hint="eastAsia" w:ascii="宋体" w:hAnsi="宋体" w:cs="宋体"/>
                <w:bCs/>
                <w:szCs w:val="21"/>
                <w:highlight w:val="none"/>
                <w:lang w:eastAsia="zh-CN"/>
              </w:rPr>
              <w:t>材料，</w:t>
            </w:r>
            <w:r>
              <w:rPr>
                <w:rFonts w:hint="eastAsia" w:ascii="宋体" w:hAnsi="宋体" w:cs="宋体"/>
                <w:bCs/>
                <w:szCs w:val="21"/>
                <w:highlight w:val="none"/>
              </w:rPr>
              <w:t>并加盖投标人公章。</w:t>
            </w:r>
          </w:p>
        </w:tc>
        <w:tc>
          <w:tcPr>
            <w:tcW w:w="690" w:type="dxa"/>
            <w:noWrap w:val="0"/>
            <w:vAlign w:val="center"/>
          </w:tcPr>
          <w:p w14:paraId="1877E27F">
            <w:pPr>
              <w:keepNext w:val="0"/>
              <w:keepLines w:val="0"/>
              <w:suppressLineNumbers w:val="0"/>
              <w:spacing w:before="0" w:beforeAutospacing="0" w:after="0" w:afterAutospacing="0" w:line="300" w:lineRule="exact"/>
              <w:ind w:left="0" w:right="0"/>
              <w:jc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6</w:t>
            </w:r>
          </w:p>
        </w:tc>
      </w:tr>
      <w:tr w14:paraId="6C70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924" w:type="dxa"/>
            <w:gridSpan w:val="3"/>
            <w:noWrap w:val="0"/>
            <w:vAlign w:val="center"/>
          </w:tcPr>
          <w:p w14:paraId="28E0EA4C">
            <w:pPr>
              <w:pStyle w:val="16"/>
              <w:keepNext w:val="0"/>
              <w:keepLines w:val="0"/>
              <w:pageBreakBefore w:val="0"/>
              <w:suppressLineNumbers w:val="0"/>
              <w:kinsoku/>
              <w:overflowPunct/>
              <w:topLinePunct w:val="0"/>
              <w:autoSpaceDE/>
              <w:autoSpaceDN/>
              <w:bidi w:val="0"/>
              <w:adjustRightInd/>
              <w:snapToGrid w:val="0"/>
              <w:spacing w:before="0" w:beforeAutospacing="0" w:after="0" w:afterAutospacing="0" w:line="360" w:lineRule="exact"/>
              <w:ind w:left="0" w:right="0" w:rightChars="0"/>
              <w:jc w:val="center"/>
              <w:textAlignment w:val="auto"/>
              <w:rPr>
                <w:rFonts w:hint="eastAsia" w:ascii="宋体" w:hAnsi="宋体" w:eastAsia="宋体" w:cs="宋体"/>
                <w:color w:val="auto"/>
                <w:szCs w:val="20"/>
                <w:highlight w:val="none"/>
                <w:lang w:val="en-US" w:eastAsia="zh-CN"/>
              </w:rPr>
            </w:pPr>
            <w:r>
              <w:rPr>
                <w:rFonts w:hint="eastAsia" w:ascii="宋体" w:hAnsi="宋体" w:eastAsia="宋体" w:cs="宋体"/>
                <w:b/>
                <w:bCs/>
                <w:color w:val="auto"/>
                <w:spacing w:val="-4"/>
                <w:szCs w:val="21"/>
                <w:highlight w:val="none"/>
              </w:rPr>
              <w:t>总得分</w:t>
            </w:r>
          </w:p>
        </w:tc>
        <w:tc>
          <w:tcPr>
            <w:tcW w:w="690" w:type="dxa"/>
            <w:noWrap w:val="0"/>
            <w:vAlign w:val="center"/>
          </w:tcPr>
          <w:p w14:paraId="31F0A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color w:val="auto"/>
                <w:szCs w:val="20"/>
                <w:highlight w:val="none"/>
                <w:lang w:val="en-US" w:eastAsia="zh-CN"/>
              </w:rPr>
            </w:pPr>
            <w:r>
              <w:rPr>
                <w:rFonts w:hint="eastAsia" w:ascii="宋体" w:hAnsi="宋体" w:eastAsia="宋体" w:cs="宋体"/>
                <w:color w:val="auto"/>
                <w:spacing w:val="-4"/>
                <w:szCs w:val="21"/>
                <w:highlight w:val="none"/>
                <w:lang w:val="en-US" w:eastAsia="zh-CN"/>
              </w:rPr>
              <w:t>85</w:t>
            </w:r>
          </w:p>
        </w:tc>
      </w:tr>
    </w:tbl>
    <w:p w14:paraId="0CDE696A">
      <w:pPr>
        <w:spacing w:line="360" w:lineRule="auto"/>
        <w:rPr>
          <w:rFonts w:hint="eastAsia" w:ascii="宋体" w:hAnsi="宋体" w:cs="宋体"/>
          <w:b/>
          <w:color w:val="auto"/>
          <w:szCs w:val="22"/>
          <w:highlight w:val="none"/>
          <w:lang w:bidi="ar"/>
        </w:rPr>
      </w:pPr>
      <w:r>
        <w:rPr>
          <w:rFonts w:hint="eastAsia" w:ascii="宋体" w:hAnsi="宋体" w:cs="宋体"/>
          <w:b/>
          <w:color w:val="auto"/>
          <w:szCs w:val="22"/>
          <w:highlight w:val="none"/>
          <w:lang w:bidi="ar"/>
        </w:rPr>
        <w:t>注：1、各评委成员自行按以上参考分值评分，小数点后保留一位数。</w:t>
      </w:r>
    </w:p>
    <w:p w14:paraId="0CC6C92E">
      <w:pPr>
        <w:spacing w:line="360" w:lineRule="auto"/>
        <w:jc w:val="both"/>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评委签名：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 xml:space="preserve">年  月   日  </w:t>
      </w:r>
    </w:p>
    <w:p w14:paraId="3AA5F52C">
      <w:pPr>
        <w:pStyle w:val="2"/>
        <w:ind w:left="0" w:leftChars="0" w:firstLine="0" w:firstLineChars="0"/>
        <w:rPr>
          <w:rFonts w:hint="eastAsia"/>
          <w:color w:val="auto"/>
          <w:highlight w:val="none"/>
        </w:rPr>
      </w:pPr>
    </w:p>
    <w:p w14:paraId="2CF94E0B">
      <w:pPr>
        <w:widowControl/>
        <w:spacing w:line="340" w:lineRule="exact"/>
        <w:rPr>
          <w:rFonts w:hint="eastAsia" w:ascii="宋体" w:hAnsi="宋体" w:cs="宋体"/>
          <w:color w:val="auto"/>
          <w:szCs w:val="21"/>
          <w:highlight w:val="none"/>
          <w:lang w:bidi="ar"/>
        </w:rPr>
      </w:pPr>
    </w:p>
    <w:p w14:paraId="15CCC257">
      <w:pPr>
        <w:widowControl/>
        <w:spacing w:line="340" w:lineRule="exact"/>
        <w:rPr>
          <w:rFonts w:hint="eastAsia" w:ascii="宋体" w:hAnsi="宋体" w:cs="宋体"/>
          <w:color w:val="auto"/>
          <w:szCs w:val="21"/>
          <w:highlight w:val="none"/>
          <w:lang w:bidi="ar"/>
        </w:rPr>
      </w:pPr>
    </w:p>
    <w:p w14:paraId="6ED1EDF4">
      <w:pPr>
        <w:widowControl/>
        <w:spacing w:line="340" w:lineRule="exact"/>
        <w:rPr>
          <w:rFonts w:hint="eastAsia" w:ascii="宋体" w:hAnsi="宋体" w:cs="宋体"/>
          <w:color w:val="auto"/>
          <w:szCs w:val="21"/>
          <w:highlight w:val="none"/>
          <w:lang w:bidi="ar"/>
        </w:rPr>
      </w:pPr>
    </w:p>
    <w:p w14:paraId="36148D99">
      <w:pPr>
        <w:widowControl/>
        <w:spacing w:line="340" w:lineRule="exact"/>
        <w:rPr>
          <w:rFonts w:hint="eastAsia" w:ascii="宋体" w:hAnsi="宋体" w:cs="宋体"/>
          <w:color w:val="auto"/>
          <w:szCs w:val="21"/>
          <w:highlight w:val="none"/>
          <w:lang w:bidi="ar"/>
        </w:rPr>
      </w:pPr>
    </w:p>
    <w:p w14:paraId="344BBB61">
      <w:pPr>
        <w:widowControl/>
        <w:spacing w:line="340" w:lineRule="exact"/>
        <w:rPr>
          <w:rFonts w:hint="eastAsia" w:ascii="宋体" w:hAnsi="宋体" w:cs="宋体"/>
          <w:color w:val="auto"/>
          <w:szCs w:val="21"/>
          <w:highlight w:val="none"/>
          <w:lang w:bidi="ar"/>
        </w:rPr>
      </w:pPr>
    </w:p>
    <w:p w14:paraId="44B3C5C7">
      <w:pPr>
        <w:pStyle w:val="24"/>
        <w:rPr>
          <w:rFonts w:hint="eastAsia" w:ascii="宋体" w:hAnsi="宋体" w:cs="宋体"/>
          <w:color w:val="auto"/>
          <w:szCs w:val="21"/>
          <w:highlight w:val="none"/>
          <w:lang w:bidi="ar"/>
        </w:rPr>
      </w:pPr>
    </w:p>
    <w:p w14:paraId="141D3EE4">
      <w:pPr>
        <w:pStyle w:val="24"/>
        <w:rPr>
          <w:rFonts w:hint="eastAsia" w:ascii="宋体" w:hAnsi="宋体" w:cs="宋体"/>
          <w:color w:val="auto"/>
          <w:szCs w:val="21"/>
          <w:highlight w:val="none"/>
          <w:lang w:bidi="ar"/>
        </w:rPr>
      </w:pPr>
    </w:p>
    <w:p w14:paraId="14B31F6B">
      <w:pPr>
        <w:widowControl/>
        <w:spacing w:line="340" w:lineRule="exact"/>
        <w:rPr>
          <w:rFonts w:hint="eastAsia" w:ascii="宋体" w:hAnsi="宋体" w:cs="宋体"/>
          <w:color w:val="auto"/>
          <w:szCs w:val="21"/>
          <w:highlight w:val="none"/>
          <w:lang w:bidi="ar"/>
        </w:rPr>
      </w:pPr>
    </w:p>
    <w:p w14:paraId="497F65F9">
      <w:pPr>
        <w:widowControl/>
        <w:spacing w:line="340" w:lineRule="exact"/>
        <w:rPr>
          <w:rFonts w:hint="eastAsia" w:ascii="宋体" w:hAnsi="宋体" w:cs="宋体"/>
          <w:color w:val="auto"/>
          <w:szCs w:val="21"/>
          <w:highlight w:val="none"/>
          <w:lang w:bidi="ar"/>
        </w:rPr>
      </w:pPr>
    </w:p>
    <w:p w14:paraId="04E44A4C">
      <w:pPr>
        <w:widowControl/>
        <w:spacing w:line="340" w:lineRule="exact"/>
        <w:rPr>
          <w:rFonts w:hint="eastAsia" w:ascii="宋体" w:hAnsi="宋体" w:cs="宋体"/>
          <w:color w:val="auto"/>
          <w:szCs w:val="21"/>
          <w:highlight w:val="none"/>
          <w:lang w:bidi="ar"/>
        </w:rPr>
      </w:pPr>
    </w:p>
    <w:p w14:paraId="33105F1E">
      <w:pPr>
        <w:widowControl/>
        <w:spacing w:line="340" w:lineRule="exact"/>
        <w:rPr>
          <w:rFonts w:hint="eastAsia" w:ascii="宋体" w:hAnsi="宋体" w:cs="宋体"/>
          <w:color w:val="auto"/>
          <w:szCs w:val="21"/>
          <w:highlight w:val="none"/>
          <w:lang w:bidi="ar"/>
        </w:rPr>
      </w:pPr>
    </w:p>
    <w:p w14:paraId="23EC1C4D">
      <w:pPr>
        <w:widowControl/>
        <w:spacing w:line="340" w:lineRule="exact"/>
        <w:rPr>
          <w:rFonts w:hint="eastAsia" w:ascii="宋体" w:hAnsi="宋体" w:cs="宋体"/>
          <w:color w:val="auto"/>
          <w:szCs w:val="21"/>
          <w:highlight w:val="none"/>
          <w:lang w:bidi="ar"/>
        </w:rPr>
      </w:pPr>
    </w:p>
    <w:p w14:paraId="643FFE46">
      <w:pPr>
        <w:pStyle w:val="24"/>
        <w:rPr>
          <w:rFonts w:hint="eastAsia" w:ascii="宋体" w:hAnsi="宋体" w:cs="宋体"/>
          <w:color w:val="auto"/>
          <w:szCs w:val="21"/>
          <w:highlight w:val="none"/>
          <w:lang w:bidi="ar"/>
        </w:rPr>
      </w:pPr>
    </w:p>
    <w:p w14:paraId="2DDD6E95">
      <w:pPr>
        <w:widowControl/>
        <w:spacing w:line="340" w:lineRule="exact"/>
        <w:rPr>
          <w:rFonts w:hint="eastAsia" w:ascii="宋体" w:hAnsi="宋体" w:cs="宋体"/>
          <w:color w:val="auto"/>
          <w:szCs w:val="21"/>
          <w:highlight w:val="none"/>
        </w:rPr>
      </w:pPr>
      <w:r>
        <w:rPr>
          <w:rFonts w:hint="eastAsia" w:ascii="宋体" w:hAnsi="宋体" w:cs="宋体"/>
          <w:color w:val="auto"/>
          <w:szCs w:val="21"/>
          <w:highlight w:val="none"/>
          <w:lang w:bidi="ar"/>
        </w:rPr>
        <w:t>附表4</w:t>
      </w:r>
    </w:p>
    <w:p w14:paraId="55923158">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报价文件符合性审查表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81"/>
        <w:gridCol w:w="6542"/>
      </w:tblGrid>
      <w:tr w14:paraId="01ED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top"/>
          </w:tcPr>
          <w:p w14:paraId="26283ED0">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序号</w:t>
            </w:r>
          </w:p>
        </w:tc>
        <w:tc>
          <w:tcPr>
            <w:tcW w:w="2581" w:type="dxa"/>
            <w:tcBorders>
              <w:top w:val="single" w:color="auto" w:sz="4" w:space="0"/>
              <w:left w:val="single" w:color="auto" w:sz="4" w:space="0"/>
              <w:bottom w:val="single" w:color="auto" w:sz="4" w:space="0"/>
              <w:right w:val="single" w:color="auto" w:sz="4" w:space="0"/>
            </w:tcBorders>
            <w:noWrap w:val="0"/>
            <w:vAlign w:val="top"/>
          </w:tcPr>
          <w:p w14:paraId="521CAE94">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要求</w:t>
            </w:r>
          </w:p>
        </w:tc>
        <w:tc>
          <w:tcPr>
            <w:tcW w:w="6542" w:type="dxa"/>
            <w:tcBorders>
              <w:top w:val="single" w:color="auto" w:sz="4" w:space="0"/>
              <w:left w:val="single" w:color="auto" w:sz="4" w:space="0"/>
              <w:bottom w:val="single" w:color="auto" w:sz="4" w:space="0"/>
              <w:right w:val="single" w:color="auto" w:sz="4" w:space="0"/>
            </w:tcBorders>
            <w:noWrap w:val="0"/>
            <w:vAlign w:val="top"/>
          </w:tcPr>
          <w:p w14:paraId="409BD1F6">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要求说明</w:t>
            </w:r>
          </w:p>
        </w:tc>
      </w:tr>
      <w:tr w14:paraId="2EC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F9309C5">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79DF217D">
            <w:pPr>
              <w:keepNext w:val="0"/>
              <w:keepLines w:val="0"/>
              <w:suppressLineNumbers w:val="0"/>
              <w:spacing w:before="0" w:beforeAutospacing="0" w:after="0" w:afterAutospacing="0" w:line="320" w:lineRule="exact"/>
              <w:ind w:left="0" w:right="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供应商名称与营业执照（或事业法人登记证或其他登记证明材料）或者电子营业执照一致</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2E94C775">
            <w:pPr>
              <w:keepNext w:val="0"/>
              <w:keepLines w:val="0"/>
              <w:suppressLineNumbers w:val="0"/>
              <w:spacing w:before="0" w:beforeAutospacing="0" w:after="0" w:afterAutospacing="0" w:line="320" w:lineRule="exact"/>
              <w:ind w:left="0" w:right="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供应商名称与营业执照（或事业法人登记证或其他登记证明材料）或者电子营业执照一致</w:t>
            </w:r>
          </w:p>
        </w:tc>
      </w:tr>
      <w:tr w14:paraId="4A9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4" w:type="dxa"/>
            <w:tcBorders>
              <w:top w:val="single" w:color="auto" w:sz="4" w:space="0"/>
              <w:left w:val="single" w:color="auto" w:sz="4" w:space="0"/>
              <w:right w:val="single" w:color="auto" w:sz="4" w:space="0"/>
            </w:tcBorders>
            <w:noWrap w:val="0"/>
            <w:vAlign w:val="center"/>
          </w:tcPr>
          <w:p w14:paraId="4D03945B">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p>
        </w:tc>
        <w:tc>
          <w:tcPr>
            <w:tcW w:w="2581" w:type="dxa"/>
            <w:tcBorders>
              <w:top w:val="single" w:color="auto" w:sz="4" w:space="0"/>
              <w:left w:val="single" w:color="auto" w:sz="4" w:space="0"/>
              <w:right w:val="single" w:color="auto" w:sz="4" w:space="0"/>
            </w:tcBorders>
            <w:noWrap w:val="0"/>
            <w:vAlign w:val="center"/>
          </w:tcPr>
          <w:p w14:paraId="7730A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投标总价超出预算价、最高限价的投标无效。</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5BC2B032">
            <w:pPr>
              <w:keepNext w:val="0"/>
              <w:keepLines w:val="0"/>
              <w:suppressLineNumbers w:val="0"/>
              <w:spacing w:before="0" w:beforeAutospacing="0" w:after="0" w:afterAutospacing="0" w:line="38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提供“开标一览表”。</w:t>
            </w:r>
          </w:p>
        </w:tc>
      </w:tr>
      <w:tr w14:paraId="33D8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217A6AFB">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85A9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投标文件的签署盖章符合第二章“投标须知”第</w:t>
            </w:r>
            <w:r>
              <w:rPr>
                <w:rFonts w:hint="eastAsia" w:ascii="宋体" w:hAnsi="宋体" w:cs="宋体"/>
                <w:color w:val="auto"/>
                <w:sz w:val="21"/>
                <w:szCs w:val="21"/>
                <w:highlight w:val="none"/>
                <w:lang w:eastAsia="zh-CN" w:bidi="ar"/>
              </w:rPr>
              <w:t>九</w:t>
            </w:r>
            <w:r>
              <w:rPr>
                <w:rFonts w:hint="eastAsia" w:ascii="宋体" w:hAnsi="宋体" w:cs="宋体"/>
                <w:color w:val="auto"/>
                <w:sz w:val="21"/>
                <w:szCs w:val="21"/>
                <w:highlight w:val="none"/>
                <w:lang w:bidi="ar"/>
              </w:rPr>
              <w:t>、2条的要求</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02143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bidi="ar"/>
              </w:rPr>
              <w:t>投</w:t>
            </w:r>
            <w:r>
              <w:rPr>
                <w:rFonts w:hint="eastAsia" w:ascii="宋体" w:hAnsi="宋体" w:cs="宋体"/>
                <w:color w:val="auto"/>
                <w:sz w:val="21"/>
                <w:szCs w:val="21"/>
                <w:highlight w:val="none"/>
                <w:lang w:bidi="ar"/>
              </w:rPr>
              <w:t>标文件的签署盖章符合第二章“投标须知”第</w:t>
            </w:r>
            <w:r>
              <w:rPr>
                <w:rFonts w:hint="eastAsia" w:ascii="宋体" w:hAnsi="宋体" w:cs="宋体"/>
                <w:color w:val="auto"/>
                <w:sz w:val="21"/>
                <w:szCs w:val="21"/>
                <w:highlight w:val="none"/>
                <w:lang w:eastAsia="zh-CN" w:bidi="ar"/>
              </w:rPr>
              <w:t>九</w:t>
            </w:r>
            <w:r>
              <w:rPr>
                <w:rFonts w:hint="eastAsia" w:ascii="宋体" w:hAnsi="宋体" w:cs="宋体"/>
                <w:color w:val="auto"/>
                <w:sz w:val="21"/>
                <w:szCs w:val="21"/>
                <w:highlight w:val="none"/>
                <w:lang w:bidi="ar"/>
              </w:rPr>
              <w:t>、2条的要求</w:t>
            </w:r>
          </w:p>
        </w:tc>
      </w:tr>
      <w:tr w14:paraId="314F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388D8A9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4</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D5ED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lang w:bidi="ar"/>
              </w:rPr>
            </w:pPr>
            <w:r>
              <w:rPr>
                <w:rFonts w:hint="eastAsia" w:ascii="宋体" w:hAnsi="宋体" w:eastAsia="宋体" w:cs="宋体"/>
                <w:color w:val="auto"/>
                <w:sz w:val="21"/>
                <w:szCs w:val="21"/>
                <w:highlight w:val="none"/>
              </w:rPr>
              <w:t>在同一合同项下的政府采购活动中，不存在单位负责人为同一人或者存在直接控股、管理关系</w:t>
            </w:r>
            <w:r>
              <w:rPr>
                <w:rFonts w:hint="eastAsia" w:ascii="宋体" w:hAnsi="宋体" w:eastAsia="宋体" w:cs="宋体"/>
                <w:b/>
                <w:bCs/>
                <w:color w:val="auto"/>
                <w:sz w:val="21"/>
                <w:szCs w:val="21"/>
                <w:highlight w:val="none"/>
              </w:rPr>
              <w:t>（本项无需上传对应资料）</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28F1F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lang w:bidi="ar"/>
              </w:rPr>
            </w:pPr>
            <w:r>
              <w:rPr>
                <w:rFonts w:hint="eastAsia" w:ascii="宋体" w:hAnsi="宋体" w:eastAsia="宋体" w:cs="宋体"/>
                <w:color w:val="auto"/>
                <w:sz w:val="21"/>
                <w:szCs w:val="21"/>
                <w:highlight w:val="none"/>
              </w:rPr>
              <w:t>采购人、采购代理机构将于开标当天通过“国家企业信用信息公示系统”等网站查询，若参加采购响应的供应商中，有两家或两家以上供应商的单位负责人为同一人或者存在直接控股、管理关系的，按一个供应商认定。评审时，取其中通过资格审查、符合性审查后的报价最低一家为有效供应商；当报价相同时，则以技术标最优一家为有效供应商；均相同时，由评审委员会集体决定，并以书面记录评审委员会的决定理由。</w:t>
            </w:r>
          </w:p>
        </w:tc>
      </w:tr>
      <w:tr w14:paraId="1100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5731320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5</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41065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eastAsia="宋体" w:cs="Times New Roman"/>
                <w:color w:val="auto"/>
                <w:sz w:val="21"/>
                <w:szCs w:val="21"/>
                <w:highlight w:val="none"/>
              </w:rPr>
              <w:t>报价合理性</w:t>
            </w:r>
            <w:r>
              <w:rPr>
                <w:rFonts w:hint="eastAsia" w:ascii="宋体" w:hAnsi="宋体" w:cs="宋体"/>
                <w:b/>
                <w:bCs/>
                <w:color w:val="auto"/>
                <w:sz w:val="21"/>
                <w:szCs w:val="21"/>
                <w:highlight w:val="none"/>
                <w:lang w:bidi="ar"/>
              </w:rPr>
              <w:t>（本项无需上传或关联资料）</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787DA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bidi="ar"/>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cs="宋体"/>
                <w:color w:val="auto"/>
                <w:sz w:val="21"/>
                <w:szCs w:val="21"/>
                <w:highlight w:val="none"/>
                <w:lang w:bidi="ar"/>
              </w:rPr>
              <w:t>。</w:t>
            </w:r>
          </w:p>
        </w:tc>
      </w:tr>
      <w:tr w14:paraId="27D4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5FAD9EB4">
            <w:pPr>
              <w:keepNext w:val="0"/>
              <w:keepLines w:val="0"/>
              <w:suppressLineNumbers w:val="0"/>
              <w:spacing w:before="0" w:beforeAutospacing="0" w:after="0" w:afterAutospacing="0" w:line="400" w:lineRule="exact"/>
              <w:ind w:left="0" w:right="0"/>
              <w:jc w:val="center"/>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6</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19F88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供应商编制的报价文件对</w:t>
            </w:r>
            <w:r>
              <w:rPr>
                <w:rFonts w:hint="eastAsia" w:ascii="宋体" w:hAnsi="宋体" w:cs="宋体"/>
                <w:color w:val="auto"/>
                <w:sz w:val="21"/>
                <w:szCs w:val="21"/>
                <w:highlight w:val="none"/>
                <w:lang w:eastAsia="zh-CN" w:bidi="ar"/>
              </w:rPr>
              <w:t>报价文件的</w:t>
            </w:r>
            <w:r>
              <w:rPr>
                <w:rFonts w:hint="eastAsia" w:ascii="宋体" w:hAnsi="宋体" w:cs="宋体"/>
                <w:color w:val="auto"/>
                <w:sz w:val="21"/>
                <w:szCs w:val="21"/>
                <w:highlight w:val="none"/>
                <w:lang w:bidi="ar"/>
              </w:rPr>
              <w:t>实质性要求完全响应（实质性要求招标文件中“▲”标记）</w:t>
            </w:r>
            <w:r>
              <w:rPr>
                <w:rFonts w:hint="eastAsia" w:ascii="宋体" w:hAnsi="宋体" w:eastAsia="宋体" w:cs="宋体"/>
                <w:color w:val="auto"/>
                <w:sz w:val="21"/>
                <w:szCs w:val="21"/>
                <w:highlight w:val="none"/>
              </w:rPr>
              <w:t>。</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132C9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供应商编制的报价文件对</w:t>
            </w:r>
            <w:r>
              <w:rPr>
                <w:rFonts w:hint="eastAsia" w:ascii="宋体" w:hAnsi="宋体" w:cs="宋体"/>
                <w:color w:val="auto"/>
                <w:sz w:val="21"/>
                <w:szCs w:val="21"/>
                <w:highlight w:val="none"/>
                <w:lang w:eastAsia="zh-CN" w:bidi="ar"/>
              </w:rPr>
              <w:t>报价文件的</w:t>
            </w:r>
            <w:r>
              <w:rPr>
                <w:rFonts w:hint="eastAsia" w:ascii="宋体" w:hAnsi="宋体" w:cs="宋体"/>
                <w:color w:val="auto"/>
                <w:sz w:val="21"/>
                <w:szCs w:val="21"/>
                <w:highlight w:val="none"/>
                <w:lang w:bidi="ar"/>
              </w:rPr>
              <w:t>实质性要求完全响应（实质性要求招标文件中“▲”标记）</w:t>
            </w:r>
            <w:r>
              <w:rPr>
                <w:rFonts w:hint="eastAsia" w:ascii="宋体" w:hAnsi="宋体" w:eastAsia="宋体" w:cs="宋体"/>
                <w:color w:val="auto"/>
                <w:sz w:val="21"/>
                <w:szCs w:val="21"/>
                <w:highlight w:val="none"/>
              </w:rPr>
              <w:t>。</w:t>
            </w:r>
          </w:p>
        </w:tc>
      </w:tr>
      <w:tr w14:paraId="7561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05" w:type="dxa"/>
            <w:gridSpan w:val="2"/>
            <w:tcBorders>
              <w:top w:val="single" w:color="auto" w:sz="4" w:space="0"/>
              <w:left w:val="single" w:color="auto" w:sz="4" w:space="0"/>
              <w:bottom w:val="single" w:color="auto" w:sz="4" w:space="0"/>
              <w:right w:val="single" w:color="auto" w:sz="4" w:space="0"/>
            </w:tcBorders>
            <w:noWrap w:val="0"/>
            <w:vAlign w:val="center"/>
          </w:tcPr>
          <w:p w14:paraId="450F9A8A">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b/>
                <w:color w:val="auto"/>
                <w:szCs w:val="21"/>
                <w:highlight w:val="none"/>
                <w:lang w:bidi="ar"/>
              </w:rPr>
              <w:t>初步审查结论</w:t>
            </w:r>
          </w:p>
        </w:tc>
        <w:tc>
          <w:tcPr>
            <w:tcW w:w="6542" w:type="dxa"/>
            <w:tcBorders>
              <w:top w:val="single" w:color="auto" w:sz="4" w:space="0"/>
              <w:left w:val="single" w:color="auto" w:sz="4" w:space="0"/>
              <w:bottom w:val="single" w:color="auto" w:sz="4" w:space="0"/>
              <w:right w:val="single" w:color="auto" w:sz="4" w:space="0"/>
            </w:tcBorders>
            <w:noWrap w:val="0"/>
            <w:vAlign w:val="center"/>
          </w:tcPr>
          <w:p w14:paraId="7EF75E09">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p>
        </w:tc>
      </w:tr>
    </w:tbl>
    <w:p w14:paraId="2BFE042F">
      <w:pPr>
        <w:spacing w:line="400" w:lineRule="exact"/>
        <w:rPr>
          <w:rFonts w:hint="eastAsia" w:ascii="宋体" w:hAnsi="宋体" w:cs="宋体"/>
          <w:color w:val="auto"/>
          <w:szCs w:val="21"/>
          <w:highlight w:val="none"/>
        </w:rPr>
      </w:pPr>
      <w:r>
        <w:rPr>
          <w:rFonts w:hint="eastAsia" w:ascii="宋体" w:hAnsi="宋体" w:cs="宋体"/>
          <w:b/>
          <w:color w:val="auto"/>
          <w:szCs w:val="22"/>
          <w:highlight w:val="none"/>
          <w:lang w:bidi="ar"/>
        </w:rPr>
        <w:t>注</w:t>
      </w:r>
      <w:r>
        <w:rPr>
          <w:rFonts w:hint="eastAsia" w:ascii="宋体" w:hAnsi="宋体" w:cs="宋体"/>
          <w:b/>
          <w:color w:val="auto"/>
          <w:highlight w:val="none"/>
        </w:rPr>
        <w:t>：1、上述审查项目中，任意一项不符合的，报价审查不合格。</w:t>
      </w:r>
    </w:p>
    <w:p w14:paraId="0353EFB3">
      <w:pPr>
        <w:spacing w:line="360" w:lineRule="exact"/>
        <w:ind w:right="-1226" w:rightChars="-584"/>
        <w:rPr>
          <w:rFonts w:hint="eastAsia" w:ascii="宋体" w:hAnsi="宋体" w:cs="宋体"/>
          <w:b/>
          <w:color w:val="auto"/>
          <w:szCs w:val="22"/>
          <w:highlight w:val="none"/>
          <w:lang w:bidi="ar"/>
        </w:rPr>
      </w:pPr>
      <w:r>
        <w:rPr>
          <w:rFonts w:hint="eastAsia" w:ascii="宋体" w:hAnsi="宋体" w:cs="宋体"/>
          <w:b/>
          <w:bCs/>
          <w:color w:val="auto"/>
          <w:szCs w:val="21"/>
          <w:highlight w:val="none"/>
        </w:rPr>
        <w:t>2、本项目实行网上电子投标，供应商在制作投标文件时须根据上表要求说明要求将资料逐一关联</w:t>
      </w:r>
      <w:r>
        <w:rPr>
          <w:rFonts w:hint="eastAsia" w:ascii="宋体" w:hAnsi="宋体" w:cs="宋体"/>
          <w:b/>
          <w:color w:val="auto"/>
          <w:szCs w:val="22"/>
          <w:highlight w:val="none"/>
          <w:lang w:bidi="ar"/>
        </w:rPr>
        <w:t>（若关</w:t>
      </w:r>
    </w:p>
    <w:p w14:paraId="1E0621B1">
      <w:pPr>
        <w:spacing w:line="360" w:lineRule="exact"/>
        <w:ind w:right="-1226" w:rightChars="-584"/>
        <w:rPr>
          <w:rFonts w:hint="eastAsia" w:ascii="宋体" w:hAnsi="宋体" w:cs="宋体"/>
          <w:b/>
          <w:color w:val="auto"/>
          <w:szCs w:val="22"/>
          <w:highlight w:val="none"/>
          <w:lang w:bidi="ar"/>
        </w:rPr>
      </w:pPr>
      <w:r>
        <w:rPr>
          <w:rFonts w:hint="eastAsia" w:ascii="宋体" w:hAnsi="宋体" w:cs="宋体"/>
          <w:b/>
          <w:color w:val="auto"/>
          <w:szCs w:val="22"/>
          <w:highlight w:val="none"/>
          <w:lang w:bidi="ar"/>
        </w:rPr>
        <w:t>联页码有多页而只能关联一页的，则关联相应页码的第一页）。</w:t>
      </w:r>
    </w:p>
    <w:p w14:paraId="57BE4616">
      <w:pPr>
        <w:spacing w:line="360" w:lineRule="auto"/>
        <w:rPr>
          <w:rFonts w:hint="eastAsia" w:ascii="宋体" w:hAnsi="宋体" w:cs="宋体"/>
          <w:color w:val="auto"/>
          <w:szCs w:val="21"/>
          <w:highlight w:val="none"/>
          <w:lang w:bidi="ar"/>
        </w:rPr>
      </w:pPr>
    </w:p>
    <w:p w14:paraId="324E6E01">
      <w:pPr>
        <w:pStyle w:val="18"/>
        <w:rPr>
          <w:rFonts w:hint="eastAsia" w:ascii="宋体" w:hAnsi="宋体" w:cs="宋体"/>
          <w:color w:val="auto"/>
          <w:szCs w:val="21"/>
          <w:highlight w:val="none"/>
          <w:lang w:bidi="ar"/>
        </w:rPr>
      </w:pPr>
    </w:p>
    <w:p w14:paraId="0CA4E277">
      <w:pPr>
        <w:pStyle w:val="19"/>
        <w:rPr>
          <w:rFonts w:hint="eastAsia" w:ascii="宋体" w:hAnsi="宋体" w:cs="宋体"/>
          <w:color w:val="auto"/>
          <w:szCs w:val="21"/>
          <w:highlight w:val="none"/>
          <w:lang w:bidi="ar"/>
        </w:rPr>
      </w:pPr>
    </w:p>
    <w:p w14:paraId="720306EB">
      <w:pPr>
        <w:spacing w:line="360" w:lineRule="auto"/>
        <w:rPr>
          <w:rFonts w:hint="eastAsia" w:ascii="宋体" w:hAnsi="宋体" w:cs="宋体"/>
          <w:color w:val="auto"/>
          <w:szCs w:val="21"/>
          <w:highlight w:val="none"/>
          <w:lang w:bidi="ar"/>
        </w:rPr>
      </w:pPr>
    </w:p>
    <w:p w14:paraId="06B7846D">
      <w:pPr>
        <w:pStyle w:val="24"/>
        <w:rPr>
          <w:rFonts w:hint="eastAsia"/>
        </w:rPr>
      </w:pPr>
    </w:p>
    <w:p w14:paraId="3B935F98">
      <w:pPr>
        <w:pStyle w:val="24"/>
        <w:rPr>
          <w:rFonts w:hint="eastAsia"/>
        </w:rPr>
      </w:pPr>
    </w:p>
    <w:p w14:paraId="5405F25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附表5</w:t>
      </w:r>
    </w:p>
    <w:p w14:paraId="756F870A">
      <w:pPr>
        <w:spacing w:line="360" w:lineRule="auto"/>
        <w:jc w:val="center"/>
        <w:rPr>
          <w:rFonts w:hint="eastAsia" w:ascii="宋体" w:hAnsi="宋体" w:cs="宋体"/>
          <w:b/>
          <w:bCs/>
          <w:color w:val="auto"/>
          <w:sz w:val="28"/>
          <w:szCs w:val="28"/>
          <w:highlight w:val="none"/>
          <w:lang w:bidi="ar"/>
        </w:rPr>
      </w:pPr>
      <w:r>
        <w:rPr>
          <w:rFonts w:hint="eastAsia" w:ascii="宋体" w:hAnsi="宋体" w:cs="宋体"/>
          <w:b/>
          <w:bCs/>
          <w:color w:val="auto"/>
          <w:sz w:val="28"/>
          <w:szCs w:val="28"/>
          <w:highlight w:val="none"/>
          <w:lang w:bidi="ar"/>
        </w:rPr>
        <w:t>价格评分表</w:t>
      </w:r>
    </w:p>
    <w:tbl>
      <w:tblPr>
        <w:tblStyle w:val="46"/>
        <w:tblpPr w:leftFromText="180" w:rightFromText="180" w:vertAnchor="text" w:horzAnchor="page" w:tblpX="1147"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252"/>
        <w:gridCol w:w="1153"/>
      </w:tblGrid>
      <w:tr w14:paraId="0ADC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612" w:type="dxa"/>
            <w:gridSpan w:val="2"/>
            <w:tcBorders>
              <w:top w:val="single" w:color="auto" w:sz="4" w:space="0"/>
              <w:left w:val="single" w:color="auto" w:sz="4" w:space="0"/>
              <w:right w:val="single" w:color="auto" w:sz="4" w:space="0"/>
              <w:tl2br w:val="single" w:color="000000" w:sz="4" w:space="0"/>
            </w:tcBorders>
            <w:noWrap w:val="0"/>
            <w:vAlign w:val="top"/>
          </w:tcPr>
          <w:p w14:paraId="450F9E68">
            <w:pPr>
              <w:keepNext w:val="0"/>
              <w:keepLines w:val="0"/>
              <w:suppressLineNumbers w:val="0"/>
              <w:spacing w:before="0" w:beforeAutospacing="0" w:after="0" w:afterAutospacing="0" w:line="320" w:lineRule="exact"/>
              <w:ind w:left="0" w:right="420"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 xml:space="preserve">                        供应商</w:t>
            </w:r>
          </w:p>
          <w:p w14:paraId="1516F9E9">
            <w:pPr>
              <w:keepNext w:val="0"/>
              <w:keepLines w:val="0"/>
              <w:suppressLineNumbers w:val="0"/>
              <w:spacing w:before="0" w:beforeAutospacing="0" w:after="0" w:afterAutospacing="0" w:line="320" w:lineRule="exact"/>
              <w:ind w:left="0" w:right="0" w:firstLine="945" w:firstLineChars="450"/>
              <w:rPr>
                <w:rFonts w:hint="eastAsia" w:ascii="宋体" w:hAnsi="宋体" w:cs="宋体"/>
                <w:color w:val="auto"/>
                <w:szCs w:val="21"/>
                <w:highlight w:val="none"/>
                <w:lang w:val="ru-RU"/>
              </w:rPr>
            </w:pPr>
            <w:r>
              <w:rPr>
                <w:rFonts w:hint="eastAsia" w:ascii="宋体" w:hAnsi="宋体" w:cs="宋体"/>
                <w:color w:val="auto"/>
                <w:szCs w:val="21"/>
                <w:highlight w:val="none"/>
              </w:rPr>
              <w:t>分值</w:t>
            </w:r>
          </w:p>
        </w:tc>
        <w:tc>
          <w:tcPr>
            <w:tcW w:w="1153" w:type="dxa"/>
            <w:tcBorders>
              <w:top w:val="single" w:color="auto" w:sz="4" w:space="0"/>
              <w:left w:val="single" w:color="auto" w:sz="4" w:space="0"/>
              <w:right w:val="single" w:color="auto" w:sz="4" w:space="0"/>
            </w:tcBorders>
            <w:noWrap w:val="0"/>
            <w:vAlign w:val="center"/>
          </w:tcPr>
          <w:p w14:paraId="7191F49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val="ru-RU" w:eastAsia="zh-CN"/>
              </w:rPr>
            </w:pPr>
            <w:r>
              <w:rPr>
                <w:rFonts w:hint="eastAsia" w:ascii="宋体" w:hAnsi="宋体" w:cs="宋体"/>
                <w:color w:val="auto"/>
                <w:szCs w:val="21"/>
                <w:highlight w:val="none"/>
                <w:lang w:val="ru-RU" w:eastAsia="zh-CN"/>
              </w:rPr>
              <w:t>分值</w:t>
            </w:r>
          </w:p>
        </w:tc>
      </w:tr>
      <w:tr w14:paraId="2E4D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360" w:type="dxa"/>
            <w:tcBorders>
              <w:left w:val="single" w:color="auto" w:sz="4" w:space="0"/>
              <w:right w:val="single" w:color="auto" w:sz="4" w:space="0"/>
            </w:tcBorders>
            <w:noWrap w:val="0"/>
            <w:vAlign w:val="center"/>
          </w:tcPr>
          <w:p w14:paraId="4E67CB4A">
            <w:pPr>
              <w:keepNext w:val="0"/>
              <w:keepLines w:val="0"/>
              <w:suppressLineNumbers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价格分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7252" w:type="dxa"/>
            <w:tcBorders>
              <w:left w:val="single" w:color="auto" w:sz="4" w:space="0"/>
            </w:tcBorders>
            <w:noWrap w:val="0"/>
            <w:vAlign w:val="center"/>
          </w:tcPr>
          <w:p w14:paraId="36142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参与评审的价格=评标价-小微企业（残疾人福利性单位、监狱企业（监狱和戒毒企业）视同小微企业）价格扣除优惠值10%</w:t>
            </w:r>
          </w:p>
          <w:p w14:paraId="0A0C4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评标基准价=满足招标文件要求且“参与评审的价格”中最低的价格</w:t>
            </w:r>
          </w:p>
          <w:p w14:paraId="52BA4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基准价得分为满分</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5分，其他投标报价得分计算公式如下：</w:t>
            </w:r>
          </w:p>
          <w:p w14:paraId="72CB1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投标报价得分=（评标基准价/参与评审的价格）×</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5%×100</w:t>
            </w:r>
          </w:p>
        </w:tc>
        <w:tc>
          <w:tcPr>
            <w:tcW w:w="1153" w:type="dxa"/>
            <w:tcBorders>
              <w:right w:val="single" w:color="auto" w:sz="4" w:space="0"/>
            </w:tcBorders>
            <w:noWrap w:val="0"/>
            <w:vAlign w:val="center"/>
          </w:tcPr>
          <w:p w14:paraId="41AEBC93">
            <w:pPr>
              <w:keepNext w:val="0"/>
              <w:keepLines w:val="0"/>
              <w:suppressLineNumbers w:val="0"/>
              <w:spacing w:before="0" w:beforeAutospacing="0" w:after="0" w:afterAutospacing="0" w:line="3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r>
      <w:tr w14:paraId="7EEB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612" w:type="dxa"/>
            <w:gridSpan w:val="2"/>
            <w:tcBorders>
              <w:left w:val="single" w:color="auto" w:sz="4" w:space="0"/>
              <w:bottom w:val="single" w:color="auto" w:sz="4" w:space="0"/>
            </w:tcBorders>
            <w:noWrap w:val="0"/>
            <w:vAlign w:val="center"/>
          </w:tcPr>
          <w:p w14:paraId="46849168">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b/>
                <w:color w:val="auto"/>
                <w:sz w:val="22"/>
                <w:szCs w:val="18"/>
                <w:highlight w:val="none"/>
              </w:rPr>
              <w:t>报价得分（</w:t>
            </w:r>
            <w:r>
              <w:rPr>
                <w:rFonts w:hint="eastAsia" w:ascii="宋体" w:hAnsi="宋体" w:cs="宋体"/>
                <w:b/>
                <w:bCs/>
                <w:color w:val="auto"/>
                <w:szCs w:val="21"/>
                <w:highlight w:val="none"/>
                <w:lang w:val="en-US" w:eastAsia="zh-CN"/>
              </w:rPr>
              <w:t>15</w:t>
            </w:r>
            <w:r>
              <w:rPr>
                <w:rFonts w:hint="eastAsia" w:ascii="宋体" w:hAnsi="宋体" w:cs="宋体"/>
                <w:b/>
                <w:color w:val="auto"/>
                <w:sz w:val="22"/>
                <w:szCs w:val="18"/>
                <w:highlight w:val="none"/>
              </w:rPr>
              <w:t>分）</w:t>
            </w:r>
          </w:p>
        </w:tc>
        <w:tc>
          <w:tcPr>
            <w:tcW w:w="1153" w:type="dxa"/>
            <w:tcBorders>
              <w:bottom w:val="single" w:color="auto" w:sz="4" w:space="0"/>
              <w:right w:val="single" w:color="auto" w:sz="4" w:space="0"/>
            </w:tcBorders>
            <w:noWrap w:val="0"/>
            <w:vAlign w:val="center"/>
          </w:tcPr>
          <w:p w14:paraId="0EF63772">
            <w:pPr>
              <w:keepNext w:val="0"/>
              <w:keepLines w:val="0"/>
              <w:suppressLineNumbers w:val="0"/>
              <w:spacing w:before="0" w:beforeAutospacing="0" w:after="0" w:afterAutospacing="0" w:line="3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r>
    </w:tbl>
    <w:p w14:paraId="5039DB59">
      <w:pPr>
        <w:spacing w:line="320" w:lineRule="exact"/>
        <w:ind w:firstLine="211" w:firstLineChars="100"/>
        <w:rPr>
          <w:rFonts w:hint="eastAsia" w:ascii="宋体" w:hAnsi="宋体" w:cs="宋体"/>
          <w:b/>
          <w:color w:val="auto"/>
          <w:szCs w:val="21"/>
          <w:highlight w:val="none"/>
          <w:lang w:bidi="ar"/>
        </w:rPr>
      </w:pPr>
      <w:r>
        <w:rPr>
          <w:rFonts w:hint="eastAsia" w:ascii="宋体" w:hAnsi="宋体" w:cs="宋体"/>
          <w:b/>
          <w:bCs/>
          <w:color w:val="auto"/>
          <w:szCs w:val="21"/>
          <w:highlight w:val="none"/>
          <w:lang w:bidi="ar"/>
        </w:rPr>
        <w:t xml:space="preserve">   </w:t>
      </w:r>
      <w:r>
        <w:rPr>
          <w:rFonts w:hint="eastAsia" w:ascii="宋体" w:hAnsi="宋体" w:cs="宋体"/>
          <w:b/>
          <w:color w:val="auto"/>
          <w:szCs w:val="21"/>
          <w:highlight w:val="none"/>
          <w:lang w:bidi="ar"/>
        </w:rPr>
        <w:t xml:space="preserve">   </w:t>
      </w:r>
    </w:p>
    <w:p w14:paraId="03D4CFE3">
      <w:pPr>
        <w:spacing w:line="320" w:lineRule="exact"/>
        <w:ind w:firstLine="211" w:firstLineChars="1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 xml:space="preserve">             </w:t>
      </w:r>
    </w:p>
    <w:p w14:paraId="712884A7">
      <w:pPr>
        <w:spacing w:line="320" w:lineRule="exact"/>
        <w:ind w:firstLine="211" w:firstLineChars="100"/>
        <w:rPr>
          <w:rFonts w:hint="eastAsia" w:ascii="宋体" w:hAnsi="宋体" w:cs="宋体"/>
          <w:b/>
          <w:color w:val="auto"/>
          <w:szCs w:val="21"/>
          <w:highlight w:val="none"/>
          <w:lang w:bidi="ar"/>
        </w:rPr>
      </w:pPr>
    </w:p>
    <w:p w14:paraId="7F2A07D5">
      <w:pPr>
        <w:pStyle w:val="2"/>
        <w:ind w:firstLine="422"/>
        <w:rPr>
          <w:rFonts w:hint="eastAsia" w:ascii="宋体" w:hAnsi="宋体" w:eastAsia="宋体" w:cs="宋体"/>
          <w:b/>
          <w:color w:val="auto"/>
          <w:sz w:val="21"/>
          <w:szCs w:val="21"/>
          <w:highlight w:val="none"/>
          <w:lang w:bidi="ar"/>
        </w:rPr>
      </w:pPr>
    </w:p>
    <w:p w14:paraId="224BAED5">
      <w:pPr>
        <w:pStyle w:val="2"/>
        <w:ind w:firstLine="422"/>
        <w:rPr>
          <w:rFonts w:hint="eastAsia" w:ascii="宋体" w:hAnsi="宋体" w:eastAsia="宋体" w:cs="宋体"/>
          <w:b/>
          <w:color w:val="auto"/>
          <w:sz w:val="21"/>
          <w:szCs w:val="21"/>
          <w:highlight w:val="none"/>
          <w:lang w:bidi="ar"/>
        </w:rPr>
      </w:pPr>
    </w:p>
    <w:p w14:paraId="7ABBE6A2">
      <w:pPr>
        <w:spacing w:line="320" w:lineRule="exact"/>
        <w:ind w:firstLine="211" w:firstLineChars="100"/>
        <w:rPr>
          <w:rFonts w:hint="eastAsia" w:ascii="宋体" w:hAnsi="宋体" w:cs="宋体"/>
          <w:color w:val="auto"/>
          <w:sz w:val="28"/>
          <w:szCs w:val="28"/>
          <w:highlight w:val="none"/>
          <w:lang w:bidi="ar"/>
        </w:rPr>
        <w:sectPr>
          <w:headerReference r:id="rId7" w:type="default"/>
          <w:footerReference r:id="rId8" w:type="default"/>
          <w:pgSz w:w="11915" w:h="16840"/>
          <w:pgMar w:top="1418" w:right="1135" w:bottom="1418" w:left="1135" w:header="285" w:footer="616" w:gutter="0"/>
          <w:pgBorders>
            <w:top w:val="none" w:sz="0" w:space="0"/>
            <w:left w:val="none" w:sz="0" w:space="0"/>
            <w:bottom w:val="none" w:sz="0" w:space="0"/>
            <w:right w:val="none" w:sz="0" w:space="0"/>
          </w:pgBorders>
          <w:pgNumType w:start="1"/>
          <w:cols w:space="720" w:num="1"/>
          <w:docGrid w:linePitch="285" w:charSpace="0"/>
        </w:sectPr>
      </w:pPr>
      <w:r>
        <w:rPr>
          <w:rFonts w:hint="eastAsia" w:ascii="宋体" w:hAnsi="宋体" w:cs="宋体"/>
          <w:b/>
          <w:color w:val="auto"/>
          <w:szCs w:val="21"/>
          <w:highlight w:val="none"/>
          <w:lang w:bidi="ar"/>
        </w:rPr>
        <w:t xml:space="preserve">                         </w:t>
      </w:r>
    </w:p>
    <w:p w14:paraId="633A04C8">
      <w:pPr>
        <w:pStyle w:val="5"/>
        <w:keepNext/>
        <w:keepLines/>
        <w:pageBreakBefore w:val="0"/>
        <w:widowControl w:val="0"/>
        <w:numPr>
          <w:ilvl w:val="0"/>
          <w:numId w:val="6"/>
        </w:numPr>
        <w:kinsoku/>
        <w:wordWrap/>
        <w:overflowPunct/>
        <w:topLinePunct w:val="0"/>
        <w:autoSpaceDE/>
        <w:autoSpaceDN/>
        <w:bidi w:val="0"/>
        <w:adjustRightInd/>
        <w:snapToGrid/>
        <w:spacing w:before="340" w:after="200" w:line="240" w:lineRule="auto"/>
        <w:textAlignment w:val="auto"/>
        <w:rPr>
          <w:rFonts w:hint="eastAsia" w:ascii="宋体" w:hAnsi="宋体"/>
          <w:color w:val="auto"/>
          <w:sz w:val="36"/>
          <w:szCs w:val="36"/>
          <w:highlight w:val="none"/>
        </w:rPr>
      </w:pPr>
      <w:bookmarkStart w:id="67" w:name="_Toc28857"/>
      <w:r>
        <w:rPr>
          <w:rFonts w:hint="eastAsia" w:ascii="宋体" w:hAnsi="宋体"/>
          <w:color w:val="auto"/>
          <w:sz w:val="36"/>
          <w:szCs w:val="36"/>
          <w:highlight w:val="none"/>
        </w:rPr>
        <w:t xml:space="preserve"> 采购合同样本</w:t>
      </w:r>
      <w:bookmarkEnd w:id="65"/>
      <w:bookmarkEnd w:id="67"/>
    </w:p>
    <w:p w14:paraId="08400D55">
      <w:pPr>
        <w:pStyle w:val="5"/>
        <w:keepLines/>
        <w:spacing w:before="340" w:after="330" w:line="240" w:lineRule="auto"/>
        <w:rPr>
          <w:rFonts w:hint="eastAsia"/>
          <w:color w:val="auto"/>
          <w:sz w:val="30"/>
          <w:szCs w:val="30"/>
          <w:highlight w:val="none"/>
        </w:rPr>
      </w:pPr>
      <w:r>
        <w:rPr>
          <w:rFonts w:hint="eastAsia"/>
          <w:color w:val="auto"/>
          <w:sz w:val="30"/>
          <w:szCs w:val="30"/>
          <w:highlight w:val="none"/>
        </w:rPr>
        <w:t>（本合同为合同样稿，最终稿由甲乙双方协商后确定）</w:t>
      </w:r>
    </w:p>
    <w:p w14:paraId="582031C4">
      <w:pPr>
        <w:pStyle w:val="196"/>
        <w:ind w:left="0" w:leftChars="0" w:firstLine="0" w:firstLineChars="0"/>
        <w:jc w:val="center"/>
        <w:rPr>
          <w:rFonts w:ascii="宋体" w:hAnsi="宋体" w:cs="宋体"/>
          <w:szCs w:val="24"/>
          <w:highlight w:val="none"/>
        </w:rPr>
      </w:pPr>
      <w:bookmarkStart w:id="68" w:name="_Toc23939"/>
      <w:r>
        <w:rPr>
          <w:rFonts w:hint="eastAsia" w:ascii="宋体" w:hAnsi="宋体" w:cs="宋体"/>
          <w:b/>
          <w:sz w:val="36"/>
          <w:szCs w:val="36"/>
          <w:highlight w:val="none"/>
          <w:lang w:eastAsia="zh-CN"/>
        </w:rPr>
        <w:t>采购项目</w:t>
      </w:r>
      <w:r>
        <w:rPr>
          <w:rFonts w:hint="eastAsia" w:ascii="宋体" w:hAnsi="宋体" w:cs="宋体"/>
          <w:b/>
          <w:sz w:val="36"/>
          <w:szCs w:val="36"/>
          <w:highlight w:val="none"/>
        </w:rPr>
        <w:t>合同</w:t>
      </w:r>
    </w:p>
    <w:p w14:paraId="2E3301DC">
      <w:pPr>
        <w:pStyle w:val="196"/>
        <w:jc w:val="center"/>
        <w:rPr>
          <w:rFonts w:ascii="宋体" w:hAnsi="宋体" w:cs="宋体"/>
          <w:szCs w:val="24"/>
          <w:highlight w:val="none"/>
        </w:rPr>
      </w:pPr>
    </w:p>
    <w:p w14:paraId="3E87C633">
      <w:pPr>
        <w:pStyle w:val="196"/>
        <w:rPr>
          <w:rFonts w:ascii="宋体" w:hAnsi="宋体" w:cs="宋体"/>
          <w:szCs w:val="24"/>
          <w:highlight w:val="none"/>
        </w:rPr>
      </w:pPr>
    </w:p>
    <w:p w14:paraId="0DB5EB3F">
      <w:pPr>
        <w:pStyle w:val="3"/>
      </w:pPr>
    </w:p>
    <w:p w14:paraId="5A8DD310">
      <w:pPr>
        <w:spacing w:before="120" w:line="22" w:lineRule="atLeast"/>
        <w:rPr>
          <w:rFonts w:ascii="宋体" w:hAnsi="宋体" w:cs="宋体"/>
          <w:sz w:val="24"/>
          <w:highlight w:val="none"/>
        </w:rPr>
      </w:pPr>
    </w:p>
    <w:p w14:paraId="7A9B64DA">
      <w:pPr>
        <w:pStyle w:val="197"/>
        <w:spacing w:before="120" w:line="22" w:lineRule="atLeast"/>
        <w:rPr>
          <w:rFonts w:ascii="宋体" w:hAnsi="宋体" w:eastAsia="宋体" w:cs="宋体"/>
          <w:szCs w:val="24"/>
          <w:highlight w:val="none"/>
        </w:rPr>
      </w:pPr>
    </w:p>
    <w:p w14:paraId="4DDF1778">
      <w:pPr>
        <w:pStyle w:val="197"/>
        <w:spacing w:before="120" w:line="22" w:lineRule="atLeast"/>
        <w:rPr>
          <w:rFonts w:ascii="宋体" w:hAnsi="宋体" w:eastAsia="宋体" w:cs="宋体"/>
          <w:szCs w:val="24"/>
          <w:highlight w:val="none"/>
        </w:rPr>
      </w:pPr>
    </w:p>
    <w:p w14:paraId="7EDD7E37">
      <w:pPr>
        <w:rPr>
          <w:rFonts w:ascii="宋体" w:hAnsi="宋体" w:cs="宋体"/>
          <w:sz w:val="24"/>
          <w:highlight w:val="none"/>
        </w:rPr>
      </w:pPr>
    </w:p>
    <w:p w14:paraId="0D788D0D">
      <w:pPr>
        <w:spacing w:before="120" w:line="22" w:lineRule="atLeast"/>
        <w:ind w:left="960" w:firstLine="720" w:firstLineChars="3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1B71FEBC">
      <w:pPr>
        <w:spacing w:before="120" w:line="22" w:lineRule="atLeast"/>
        <w:rPr>
          <w:rFonts w:ascii="宋体" w:hAnsi="宋体" w:cs="宋体"/>
          <w:sz w:val="24"/>
          <w:highlight w:val="none"/>
        </w:rPr>
      </w:pPr>
    </w:p>
    <w:p w14:paraId="2E1B0127">
      <w:pPr>
        <w:spacing w:before="120" w:line="22" w:lineRule="atLeast"/>
        <w:ind w:left="960" w:firstLine="720" w:firstLineChars="3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AAE84F9">
      <w:pPr>
        <w:spacing w:before="120" w:line="22" w:lineRule="atLeast"/>
        <w:rPr>
          <w:rFonts w:ascii="宋体" w:hAnsi="宋体" w:cs="宋体"/>
          <w:sz w:val="24"/>
          <w:highlight w:val="none"/>
        </w:rPr>
      </w:pPr>
    </w:p>
    <w:p w14:paraId="6404BB6F">
      <w:pPr>
        <w:spacing w:before="120" w:line="22" w:lineRule="atLeast"/>
        <w:ind w:firstLine="1680" w:firstLineChars="7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20303E21">
      <w:pPr>
        <w:spacing w:before="120" w:line="22" w:lineRule="atLeast"/>
        <w:rPr>
          <w:rFonts w:ascii="宋体" w:hAnsi="宋体" w:cs="宋体"/>
          <w:sz w:val="24"/>
          <w:highlight w:val="none"/>
        </w:rPr>
      </w:pPr>
    </w:p>
    <w:p w14:paraId="4669B55B">
      <w:pPr>
        <w:spacing w:before="120" w:line="22" w:lineRule="atLeast"/>
        <w:ind w:firstLine="1680" w:firstLineChars="7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50BD633">
      <w:pPr>
        <w:widowControl/>
        <w:jc w:val="left"/>
        <w:rPr>
          <w:rFonts w:ascii="宋体" w:hAnsi="宋体" w:cs="宋体"/>
          <w:kern w:val="0"/>
          <w:sz w:val="24"/>
          <w:highlight w:val="none"/>
        </w:rPr>
        <w:sectPr>
          <w:headerReference r:id="rId9" w:type="default"/>
          <w:footerReference r:id="rId10" w:type="default"/>
          <w:pgSz w:w="11907" w:h="16840"/>
          <w:pgMar w:top="1474" w:right="1134" w:bottom="1474" w:left="1134" w:header="851" w:footer="851" w:gutter="0"/>
          <w:pgBorders>
            <w:top w:val="none" w:sz="0" w:space="0"/>
            <w:left w:val="none" w:sz="0" w:space="0"/>
            <w:bottom w:val="none" w:sz="0" w:space="0"/>
            <w:right w:val="none" w:sz="0" w:space="0"/>
          </w:pgBorders>
          <w:cols w:space="720" w:num="1"/>
        </w:sectPr>
      </w:pPr>
    </w:p>
    <w:p w14:paraId="1C455989">
      <w:pPr>
        <w:keepNext w:val="0"/>
        <w:keepLines w:val="0"/>
        <w:pageBreakBefore w:val="0"/>
        <w:kinsoku/>
        <w:wordWrap/>
        <w:overflowPunct/>
        <w:topLinePunct w:val="0"/>
        <w:bidi w:val="0"/>
        <w:adjustRightInd/>
        <w:spacing w:line="440" w:lineRule="exact"/>
        <w:textAlignment w:val="auto"/>
        <w:rPr>
          <w:rFonts w:hint="eastAsia" w:ascii="宋体" w:eastAsia="宋体" w:cs="Times New Roman"/>
          <w:b w:val="0"/>
          <w:bCs w:val="0"/>
          <w:color w:val="auto"/>
          <w:sz w:val="22"/>
          <w:szCs w:val="22"/>
        </w:rPr>
      </w:pPr>
      <w:r>
        <w:rPr>
          <w:rFonts w:hint="eastAsia" w:ascii="宋体" w:eastAsia="宋体" w:cs="Times New Roman"/>
          <w:b/>
          <w:bCs/>
          <w:color w:val="auto"/>
          <w:sz w:val="22"/>
          <w:szCs w:val="22"/>
        </w:rPr>
        <w:t>项目名称</w:t>
      </w:r>
      <w:r>
        <w:rPr>
          <w:rFonts w:hint="eastAsia" w:ascii="宋体" w:eastAsia="宋体" w:cs="Times New Roman"/>
          <w:b w:val="0"/>
          <w:bCs w:val="0"/>
          <w:color w:val="auto"/>
          <w:sz w:val="22"/>
          <w:szCs w:val="22"/>
        </w:rPr>
        <w:t>：</w:t>
      </w:r>
      <w:r>
        <w:rPr>
          <w:rFonts w:hint="eastAsia" w:ascii="宋体" w:eastAsia="宋体" w:cs="Times New Roman"/>
          <w:b w:val="0"/>
          <w:bCs w:val="0"/>
          <w:color w:val="auto"/>
          <w:sz w:val="22"/>
          <w:szCs w:val="22"/>
          <w:u w:val="single"/>
          <w:lang w:val="en-US" w:eastAsia="zh-CN"/>
        </w:rPr>
        <w:t xml:space="preserve">                 </w:t>
      </w:r>
      <w:r>
        <w:rPr>
          <w:rFonts w:hint="eastAsia" w:ascii="宋体" w:eastAsia="宋体" w:cs="Times New Roman"/>
          <w:b w:val="0"/>
          <w:bCs w:val="0"/>
          <w:color w:val="auto"/>
          <w:sz w:val="22"/>
          <w:szCs w:val="22"/>
          <w:u w:val="single"/>
        </w:rPr>
        <w:t>保险采购项目</w:t>
      </w:r>
      <w:r>
        <w:rPr>
          <w:rFonts w:hint="eastAsia" w:ascii="宋体" w:eastAsia="宋体" w:cs="Times New Roman"/>
          <w:b w:val="0"/>
          <w:bCs w:val="0"/>
          <w:color w:val="auto"/>
          <w:sz w:val="22"/>
          <w:szCs w:val="22"/>
          <w:u w:val="single"/>
          <w:lang w:val="en-US" w:eastAsia="zh-CN"/>
        </w:rPr>
        <w:t xml:space="preserve"> </w:t>
      </w:r>
    </w:p>
    <w:p w14:paraId="3C5426EA">
      <w:pPr>
        <w:keepNext w:val="0"/>
        <w:keepLines w:val="0"/>
        <w:pageBreakBefore w:val="0"/>
        <w:kinsoku/>
        <w:wordWrap/>
        <w:overflowPunct/>
        <w:topLinePunct w:val="0"/>
        <w:bidi w:val="0"/>
        <w:adjustRightInd/>
        <w:spacing w:line="440" w:lineRule="exact"/>
        <w:textAlignment w:val="auto"/>
        <w:rPr>
          <w:rFonts w:hint="default" w:ascii="宋体" w:eastAsia="宋体"/>
          <w:b w:val="0"/>
          <w:color w:val="auto"/>
          <w:sz w:val="22"/>
          <w:szCs w:val="22"/>
          <w:highlight w:val="none"/>
          <w:u w:val="single"/>
          <w:lang w:val="en-US" w:eastAsia="zh-CN"/>
        </w:rPr>
      </w:pPr>
      <w:r>
        <w:rPr>
          <w:rFonts w:hint="eastAsia" w:ascii="宋体" w:eastAsia="宋体"/>
          <w:b/>
          <w:bCs/>
          <w:color w:val="auto"/>
          <w:sz w:val="22"/>
          <w:szCs w:val="22"/>
          <w:highlight w:val="none"/>
        </w:rPr>
        <w:t>甲方</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w:t>
      </w:r>
      <w:r>
        <w:rPr>
          <w:rFonts w:hint="eastAsia" w:ascii="宋体" w:eastAsia="宋体"/>
          <w:b w:val="0"/>
          <w:color w:val="auto"/>
          <w:sz w:val="22"/>
          <w:szCs w:val="22"/>
          <w:highlight w:val="none"/>
          <w:u w:val="single"/>
          <w:lang w:val="en-US" w:eastAsia="zh-CN"/>
        </w:rPr>
        <w:t xml:space="preserve">  </w:t>
      </w:r>
      <w:r>
        <w:rPr>
          <w:rFonts w:hint="eastAsia" w:ascii="宋体" w:eastAsia="宋体" w:cs="Times New Roman"/>
          <w:b w:val="0"/>
          <w:bCs w:val="0"/>
          <w:color w:val="auto"/>
          <w:sz w:val="22"/>
          <w:szCs w:val="22"/>
          <w:u w:val="single"/>
          <w:lang w:val="en-US" w:eastAsia="zh-CN"/>
        </w:rPr>
        <w:t xml:space="preserve">                      </w:t>
      </w:r>
    </w:p>
    <w:p w14:paraId="47026422">
      <w:pPr>
        <w:keepNext w:val="0"/>
        <w:keepLines w:val="0"/>
        <w:pageBreakBefore w:val="0"/>
        <w:kinsoku/>
        <w:wordWrap/>
        <w:overflowPunct/>
        <w:topLinePunct w:val="0"/>
        <w:bidi w:val="0"/>
        <w:adjustRightInd/>
        <w:spacing w:line="440" w:lineRule="exact"/>
        <w:textAlignment w:val="auto"/>
        <w:rPr>
          <w:rFonts w:hint="default" w:ascii="宋体" w:eastAsia="宋体"/>
          <w:b w:val="0"/>
          <w:color w:val="auto"/>
          <w:sz w:val="22"/>
          <w:szCs w:val="22"/>
          <w:highlight w:val="none"/>
          <w:lang w:val="en-US" w:eastAsia="zh-CN"/>
        </w:rPr>
      </w:pPr>
      <w:r>
        <w:rPr>
          <w:rFonts w:hint="eastAsia" w:ascii="宋体" w:eastAsia="宋体"/>
          <w:b/>
          <w:bCs/>
          <w:color w:val="auto"/>
          <w:sz w:val="22"/>
          <w:szCs w:val="22"/>
          <w:highlight w:val="none"/>
        </w:rPr>
        <w:t>乙方</w:t>
      </w:r>
      <w:r>
        <w:rPr>
          <w:rFonts w:hint="eastAsia" w:ascii="宋体" w:eastAsia="宋体"/>
          <w:b/>
          <w:bCs/>
          <w:color w:val="auto"/>
          <w:sz w:val="22"/>
          <w:szCs w:val="22"/>
          <w:highlight w:val="none"/>
          <w:lang w:val="en-US" w:eastAsia="zh-CN"/>
        </w:rPr>
        <w:t xml:space="preserve"> </w:t>
      </w:r>
      <w:r>
        <w:rPr>
          <w:rFonts w:hint="eastAsia" w:ascii="宋体" w:eastAsia="宋体"/>
          <w:b w:val="0"/>
          <w:color w:val="auto"/>
          <w:sz w:val="22"/>
          <w:szCs w:val="22"/>
          <w:highlight w:val="none"/>
        </w:rPr>
        <w:t>：</w:t>
      </w:r>
      <w:r>
        <w:rPr>
          <w:rFonts w:hint="eastAsia" w:ascii="宋体" w:eastAsia="宋体"/>
          <w:b w:val="0"/>
          <w:color w:val="auto"/>
          <w:sz w:val="22"/>
          <w:szCs w:val="22"/>
          <w:highlight w:val="none"/>
          <w:u w:val="single"/>
          <w:lang w:val="en-US" w:eastAsia="zh-CN"/>
        </w:rPr>
        <w:t xml:space="preserve">                        </w:t>
      </w:r>
    </w:p>
    <w:p w14:paraId="3993B353">
      <w:pPr>
        <w:keepNext w:val="0"/>
        <w:keepLines w:val="0"/>
        <w:pageBreakBefore w:val="0"/>
        <w:kinsoku/>
        <w:wordWrap/>
        <w:overflowPunct/>
        <w:topLinePunct w:val="0"/>
        <w:bidi w:val="0"/>
        <w:adjustRightInd/>
        <w:spacing w:line="440" w:lineRule="exact"/>
        <w:ind w:firstLine="420" w:firstLineChars="200"/>
        <w:textAlignment w:val="auto"/>
        <w:rPr>
          <w:rFonts w:hint="eastAsia" w:ascii="宋体" w:eastAsia="宋体"/>
          <w:b w:val="0"/>
          <w:color w:val="auto"/>
          <w:sz w:val="22"/>
          <w:szCs w:val="22"/>
        </w:rPr>
      </w:pPr>
      <w:r>
        <w:rPr>
          <w:rFonts w:hint="eastAsia" w:ascii="宋体" w:hAnsi="宋体" w:eastAsia="宋体" w:cs="宋体"/>
          <w:bCs/>
          <w:color w:val="auto"/>
          <w:sz w:val="21"/>
          <w:szCs w:val="21"/>
          <w:highlight w:val="none"/>
        </w:rPr>
        <w:t>根据《中华人民共和国民法典》、《中华人民共和国保险法》及其他相关法律、行政法规、规章的规定，遵循诚实信用和公平原则，甲乙双方经过友好协商，就</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保险采购</w:t>
      </w:r>
      <w:r>
        <w:rPr>
          <w:rFonts w:hint="eastAsia" w:ascii="宋体" w:hAnsi="宋体" w:eastAsia="宋体" w:cs="宋体"/>
          <w:bCs/>
          <w:color w:val="auto"/>
          <w:sz w:val="21"/>
          <w:szCs w:val="21"/>
          <w:highlight w:val="none"/>
        </w:rPr>
        <w:t>项目事宜达成如下协议，自愿签订本</w:t>
      </w:r>
      <w:r>
        <w:rPr>
          <w:rFonts w:hint="eastAsia" w:ascii="宋体" w:hAnsi="宋体" w:eastAsia="宋体" w:cs="宋体"/>
          <w:bCs/>
          <w:color w:val="auto"/>
          <w:sz w:val="21"/>
          <w:szCs w:val="21"/>
          <w:highlight w:val="none"/>
          <w:lang w:eastAsia="zh-CN"/>
        </w:rPr>
        <w:t>项目</w:t>
      </w:r>
      <w:r>
        <w:rPr>
          <w:rFonts w:hint="eastAsia" w:ascii="宋体" w:hAnsi="宋体" w:eastAsia="宋体" w:cs="宋体"/>
          <w:bCs/>
          <w:color w:val="auto"/>
          <w:sz w:val="21"/>
          <w:szCs w:val="21"/>
          <w:highlight w:val="none"/>
        </w:rPr>
        <w:t>的保险协议。</w:t>
      </w:r>
    </w:p>
    <w:p w14:paraId="5A84AE1C">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项目</w:t>
      </w:r>
      <w:r>
        <w:rPr>
          <w:rFonts w:hint="eastAsia" w:ascii="宋体" w:hAnsi="宋体" w:eastAsia="宋体" w:cs="宋体"/>
          <w:b/>
          <w:color w:val="auto"/>
          <w:sz w:val="21"/>
          <w:szCs w:val="21"/>
          <w:highlight w:val="none"/>
        </w:rPr>
        <w:t>事项</w:t>
      </w:r>
      <w:r>
        <w:rPr>
          <w:rFonts w:hint="eastAsia" w:ascii="宋体" w:hAnsi="宋体" w:cs="宋体"/>
          <w:b/>
          <w:color w:val="auto"/>
          <w:sz w:val="21"/>
          <w:szCs w:val="21"/>
          <w:highlight w:val="none"/>
          <w:lang w:eastAsia="zh-CN"/>
        </w:rPr>
        <w:t>及标准</w:t>
      </w:r>
    </w:p>
    <w:p w14:paraId="19BB706E">
      <w:pPr>
        <w:keepNext w:val="0"/>
        <w:keepLines w:val="0"/>
        <w:pageBreakBefore w:val="0"/>
        <w:kinsoku/>
        <w:wordWrap/>
        <w:overflowPunct/>
        <w:topLinePunct w:val="0"/>
        <w:autoSpaceDE w:val="0"/>
        <w:autoSpaceDN w:val="0"/>
        <w:bidi w:val="0"/>
        <w:adjustRightInd/>
        <w:spacing w:line="440" w:lineRule="exact"/>
        <w:ind w:firstLine="480" w:firstLineChars="200"/>
        <w:textAlignment w:val="auto"/>
        <w:rPr>
          <w:rFonts w:hint="eastAsia" w:ascii="宋体" w:hAnsi="宋体" w:eastAsia="宋体" w:cs="宋体"/>
          <w:b/>
          <w:bCs w:val="0"/>
          <w:color w:val="auto"/>
          <w:sz w:val="21"/>
          <w:szCs w:val="21"/>
          <w:highlight w:val="none"/>
          <w:lang w:eastAsia="zh-CN"/>
        </w:rPr>
      </w:pP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 xml:space="preserve">      </w:t>
      </w:r>
      <w:r>
        <w:rPr>
          <w:rFonts w:hint="eastAsia" w:ascii="Times New Roman" w:hAnsi="Times New Roman" w:eastAsia="宋体" w:cs="Times New Roman"/>
          <w:b w:val="0"/>
          <w:bCs w:val="0"/>
          <w:color w:val="auto"/>
          <w:sz w:val="24"/>
          <w:szCs w:val="24"/>
          <w:lang w:val="en-US" w:eastAsia="zh-CN"/>
        </w:rPr>
        <w:t>”保险。(详见内容与需求）</w:t>
      </w:r>
    </w:p>
    <w:p w14:paraId="53C234A8">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二</w:t>
      </w:r>
      <w:r>
        <w:rPr>
          <w:rFonts w:hint="eastAsia" w:ascii="宋体" w:hAnsi="宋体" w:eastAsia="宋体" w:cs="宋体"/>
          <w:b/>
          <w:color w:val="auto"/>
          <w:sz w:val="21"/>
          <w:szCs w:val="21"/>
          <w:highlight w:val="none"/>
        </w:rPr>
        <w:t>、合同金额</w:t>
      </w:r>
    </w:p>
    <w:p w14:paraId="26F51362">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本合同金额为人民币（大写）：</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w:t>
      </w:r>
    </w:p>
    <w:p w14:paraId="6DF7B52A">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合同金额中已包含乙方在服务期间的所有费用，在履行合同期间，甲方不接受任何增加费用的理由，风险均由乙方自行承担，本合同执行中相关的一切税费均由乙方负担。</w:t>
      </w:r>
    </w:p>
    <w:p w14:paraId="2788E456">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三</w:t>
      </w:r>
      <w:r>
        <w:rPr>
          <w:rFonts w:hint="eastAsia" w:ascii="宋体" w:hAnsi="宋体" w:eastAsia="宋体" w:cs="宋体"/>
          <w:b/>
          <w:color w:val="auto"/>
          <w:sz w:val="21"/>
          <w:szCs w:val="21"/>
          <w:highlight w:val="none"/>
        </w:rPr>
        <w:t>、履约期限、地点</w:t>
      </w:r>
    </w:p>
    <w:p w14:paraId="326844B9">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履约期限：自</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日起至</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日止</w:t>
      </w:r>
      <w:r>
        <w:rPr>
          <w:rFonts w:hint="eastAsia" w:ascii="宋体" w:hAnsi="宋体" w:cs="宋体"/>
          <w:bCs/>
          <w:color w:val="auto"/>
          <w:sz w:val="21"/>
          <w:szCs w:val="21"/>
          <w:highlight w:val="none"/>
          <w:lang w:val="en-US" w:eastAsia="zh-CN"/>
        </w:rPr>
        <w:t>(服务期一年（具体起保时间以采购人通知为准）</w:t>
      </w:r>
    </w:p>
    <w:p w14:paraId="6690C340">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eastAsia="宋体" w:cs="Times New Roman"/>
          <w:b w:val="0"/>
          <w:bCs w:val="0"/>
          <w:color w:val="auto"/>
          <w:sz w:val="22"/>
          <w:szCs w:val="22"/>
          <w:highlight w:val="none"/>
          <w:u w:val="single"/>
        </w:rPr>
      </w:pPr>
      <w:r>
        <w:rPr>
          <w:rFonts w:hint="eastAsia" w:ascii="宋体" w:hAnsi="宋体" w:eastAsia="宋体" w:cs="宋体"/>
          <w:bCs/>
          <w:color w:val="auto"/>
          <w:sz w:val="21"/>
          <w:szCs w:val="21"/>
          <w:highlight w:val="none"/>
        </w:rPr>
        <w:t>履约地点：慈溪市</w:t>
      </w:r>
      <w:r>
        <w:rPr>
          <w:rFonts w:hint="eastAsia" w:ascii="宋体" w:hAnsi="宋体" w:eastAsia="宋体" w:cs="宋体"/>
          <w:bCs/>
          <w:color w:val="auto"/>
          <w:sz w:val="21"/>
          <w:szCs w:val="21"/>
          <w:highlight w:val="none"/>
          <w:lang w:eastAsia="zh-CN"/>
        </w:rPr>
        <w:t>周巷</w:t>
      </w:r>
      <w:r>
        <w:rPr>
          <w:rFonts w:hint="eastAsia" w:ascii="宋体" w:hAnsi="宋体" w:eastAsia="宋体" w:cs="宋体"/>
          <w:bCs/>
          <w:color w:val="auto"/>
          <w:sz w:val="21"/>
          <w:szCs w:val="21"/>
          <w:highlight w:val="none"/>
        </w:rPr>
        <w:t>镇</w:t>
      </w:r>
    </w:p>
    <w:p w14:paraId="190234DF">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注：</w:t>
      </w:r>
      <w:r>
        <w:rPr>
          <w:rFonts w:hint="eastAsia" w:ascii="宋体" w:hAnsi="宋体" w:eastAsia="宋体" w:cs="宋体"/>
          <w:bCs/>
          <w:color w:val="auto"/>
          <w:sz w:val="21"/>
          <w:szCs w:val="21"/>
          <w:highlight w:val="none"/>
        </w:rPr>
        <w:t>乙方未能履行本协议及保单规定的义务，或损害本协议及保单规定的甲方应享受的权利，甲方有权单方面终止协议。</w:t>
      </w:r>
    </w:p>
    <w:p w14:paraId="13790739">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四</w:t>
      </w:r>
      <w:r>
        <w:rPr>
          <w:rFonts w:hint="eastAsia" w:ascii="宋体" w:hAnsi="宋体" w:eastAsia="宋体" w:cs="宋体"/>
          <w:b/>
          <w:color w:val="auto"/>
          <w:sz w:val="21"/>
          <w:szCs w:val="21"/>
          <w:highlight w:val="none"/>
        </w:rPr>
        <w:t>、验收要求</w:t>
      </w:r>
    </w:p>
    <w:p w14:paraId="10D0C0A7">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lang w:eastAsia="zh-CN"/>
        </w:rPr>
        <w:t>根据乙方出具的保单</w:t>
      </w:r>
      <w:r>
        <w:rPr>
          <w:rFonts w:hint="eastAsia" w:ascii="宋体" w:hAnsi="宋体" w:eastAsia="宋体" w:cs="宋体"/>
          <w:bCs/>
          <w:color w:val="auto"/>
          <w:sz w:val="21"/>
          <w:szCs w:val="21"/>
          <w:highlight w:val="none"/>
        </w:rPr>
        <w:t>按本合同的内容进行验收。</w:t>
      </w:r>
    </w:p>
    <w:p w14:paraId="6F020DFB">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五</w:t>
      </w:r>
      <w:r>
        <w:rPr>
          <w:rFonts w:hint="eastAsia" w:ascii="宋体" w:hAnsi="宋体" w:eastAsia="宋体" w:cs="宋体"/>
          <w:b/>
          <w:color w:val="auto"/>
          <w:sz w:val="21"/>
          <w:szCs w:val="21"/>
          <w:highlight w:val="none"/>
        </w:rPr>
        <w:t>、费用支付</w:t>
      </w:r>
    </w:p>
    <w:p w14:paraId="25540C1C">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在合同生效以及具备实施条件后7个工作日内</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支付合同总价的40%作为预付款，（</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根据项目特点、供应商诚信等因素，可以要求</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提交银行、保险公司等金融机构出具的预付款保函或其他担保措施。</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在签订合同时，表示无需预付款或者主动要求降低预付款比例的，可不适用本条款）。</w:t>
      </w:r>
    </w:p>
    <w:p w14:paraId="10214177">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于合同签订当年12月31日前支付至合同总价的100%。</w:t>
      </w:r>
    </w:p>
    <w:p w14:paraId="4F2AC4F7">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、支付账户信息如下：</w:t>
      </w:r>
    </w:p>
    <w:p w14:paraId="665E7536">
      <w:pPr>
        <w:pStyle w:val="2"/>
        <w:keepNext w:val="0"/>
        <w:keepLines w:val="0"/>
        <w:pageBreakBefore w:val="0"/>
        <w:kinsoku/>
        <w:wordWrap/>
        <w:overflowPunct/>
        <w:topLinePunct w:val="0"/>
        <w:bidi w:val="0"/>
        <w:adjustRightInd/>
        <w:spacing w:line="440" w:lineRule="exact"/>
        <w:textAlignment w:val="auto"/>
        <w:rPr>
          <w:rFonts w:hint="eastAsia"/>
        </w:rPr>
      </w:pPr>
    </w:p>
    <w:p w14:paraId="72C9D8CD">
      <w:pPr>
        <w:pStyle w:val="2"/>
        <w:keepNext w:val="0"/>
        <w:keepLines w:val="0"/>
        <w:pageBreakBefore w:val="0"/>
        <w:kinsoku/>
        <w:wordWrap/>
        <w:overflowPunct/>
        <w:topLinePunct w:val="0"/>
        <w:bidi w:val="0"/>
        <w:adjustRightInd/>
        <w:spacing w:line="440" w:lineRule="exact"/>
        <w:ind w:left="0" w:leftChars="0" w:firstLine="0" w:firstLineChars="0"/>
        <w:textAlignment w:val="auto"/>
        <w:rPr>
          <w:rFonts w:hint="eastAsia"/>
        </w:rPr>
      </w:pPr>
    </w:p>
    <w:p w14:paraId="24E2DB1B">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六</w:t>
      </w:r>
      <w:r>
        <w:rPr>
          <w:rFonts w:hint="eastAsia" w:ascii="宋体" w:hAnsi="宋体" w:eastAsia="宋体" w:cs="宋体"/>
          <w:b/>
          <w:color w:val="auto"/>
          <w:sz w:val="21"/>
          <w:szCs w:val="21"/>
          <w:highlight w:val="none"/>
        </w:rPr>
        <w:t>、合同文件组成及解释顺序</w:t>
      </w:r>
    </w:p>
    <w:p w14:paraId="65EB0A92">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（一）下列文件一起组成本合同文件：</w:t>
      </w:r>
    </w:p>
    <w:p w14:paraId="54075072">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1、本合同及双方签订的补充协议（如有）；</w:t>
      </w:r>
    </w:p>
    <w:p w14:paraId="4A019A67">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中包</w:t>
      </w:r>
      <w:r>
        <w:rPr>
          <w:rFonts w:hint="eastAsia" w:ascii="宋体" w:hAnsi="宋体" w:eastAsia="宋体" w:cs="宋体"/>
          <w:bCs/>
          <w:color w:val="auto"/>
          <w:sz w:val="21"/>
          <w:szCs w:val="21"/>
          <w:highlight w:val="none"/>
        </w:rPr>
        <w:t>通知书；</w:t>
      </w:r>
    </w:p>
    <w:p w14:paraId="737EB35B">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文件及其澄清、补充、修改（如有）；</w:t>
      </w:r>
    </w:p>
    <w:p w14:paraId="6F698D98">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竞包</w:t>
      </w:r>
      <w:r>
        <w:rPr>
          <w:rFonts w:hint="eastAsia" w:ascii="宋体" w:hAnsi="宋体" w:eastAsia="宋体" w:cs="宋体"/>
          <w:bCs/>
          <w:color w:val="auto"/>
          <w:sz w:val="21"/>
          <w:szCs w:val="21"/>
          <w:highlight w:val="none"/>
        </w:rPr>
        <w:t>文件及其补充、澄清、答疑文件（如有）；</w:t>
      </w:r>
    </w:p>
    <w:p w14:paraId="5D54526B">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5、双方来函（如有）。</w:t>
      </w:r>
    </w:p>
    <w:p w14:paraId="5B786C8E">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（二）合同文件组成的所有内容是构成合同不可分割的部分，与合同具有同等法律效力。上述文件相互补充和解释，如有不明确或不一致之处，以上述次序在先者为准。</w:t>
      </w:r>
    </w:p>
    <w:p w14:paraId="26C15584">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、知识产权</w:t>
      </w:r>
    </w:p>
    <w:p w14:paraId="2CDD2ECD">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应保证，甲方在中华人民共和国境内使用成交货物、资料、技术、服务或其任何一部分时，享有不受限制的无偿使用权，如有第三方向甲方提出侵犯其专利权、商标权或其它知识产权的主张，该责任应完全由乙方承担。</w:t>
      </w:r>
    </w:p>
    <w:p w14:paraId="0D77D3FB">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2、合同金额中应包含所有应向所有权人支付的专利权、商标权或其它知识产权的一切相关费用。</w:t>
      </w:r>
    </w:p>
    <w:p w14:paraId="035D3ADA">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、转包或分包</w:t>
      </w:r>
    </w:p>
    <w:p w14:paraId="0236C3A2">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本项目不允许转包或分包。</w:t>
      </w:r>
    </w:p>
    <w:p w14:paraId="39E386A9">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、违约责任</w:t>
      </w:r>
    </w:p>
    <w:p w14:paraId="4EE3DDE3">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（一）在项目实施过程中，甲方可视乙方违约，取消服务合同的情形：</w:t>
      </w:r>
    </w:p>
    <w:p w14:paraId="1065A801">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1、乙方有额外计取报酬或费用行为的。</w:t>
      </w:r>
    </w:p>
    <w:p w14:paraId="54F1F9C5">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2、乙方未按照有关规定和委托协议要求开展工作的。</w:t>
      </w:r>
    </w:p>
    <w:p w14:paraId="336D40F4">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3、乙方有转包、分包行为的。</w:t>
      </w:r>
    </w:p>
    <w:p w14:paraId="700C3678">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（二）在项目实施过程中，甲方可视乙方违约，拒付全部服务费用的情形：</w:t>
      </w:r>
    </w:p>
    <w:p w14:paraId="411C0AAA">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1、未按甲方要求进行整改的； </w:t>
      </w:r>
    </w:p>
    <w:p w14:paraId="422DEEBC">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（三）乙方应诚信履约，如发现实际履约情况与本合同不符的，或因乙方违约致使服务合同取消的，甲方将向监管部门反映。今后</w:t>
      </w:r>
      <w:r>
        <w:rPr>
          <w:rFonts w:hint="eastAsia" w:ascii="宋体" w:hAnsi="宋体" w:cs="宋体"/>
          <w:bCs/>
          <w:color w:val="auto"/>
          <w:sz w:val="21"/>
          <w:szCs w:val="21"/>
          <w:highlight w:val="none"/>
          <w:lang w:eastAsia="zh-CN"/>
        </w:rPr>
        <w:t>相关</w:t>
      </w:r>
      <w:r>
        <w:rPr>
          <w:rFonts w:hint="eastAsia" w:ascii="宋体" w:hAnsi="宋体" w:eastAsia="宋体" w:cs="宋体"/>
          <w:bCs/>
          <w:color w:val="auto"/>
          <w:sz w:val="21"/>
          <w:szCs w:val="21"/>
          <w:highlight w:val="none"/>
        </w:rPr>
        <w:t>部门对乙方如有处罚措施或乙方在参加</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rPr>
        <w:t>采购活动时所受到的限制，均由乙方自行承担所有责任，与甲方无涉</w:t>
      </w:r>
      <w:r>
        <w:rPr>
          <w:rFonts w:hint="eastAsia" w:ascii="宋体" w:hAnsi="宋体" w:eastAsia="宋体" w:cs="宋体"/>
          <w:b/>
          <w:color w:val="auto"/>
          <w:sz w:val="21"/>
          <w:szCs w:val="21"/>
          <w:highlight w:val="none"/>
        </w:rPr>
        <w:t>。</w:t>
      </w:r>
    </w:p>
    <w:p w14:paraId="56B05ED8">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十、不可抗力事件处理</w:t>
      </w:r>
    </w:p>
    <w:p w14:paraId="0F3B24FC">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14:paraId="50BFAB2E">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14:paraId="1D9F7BB1">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14:paraId="26235E69">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、争议</w:t>
      </w:r>
    </w:p>
    <w:p w14:paraId="17C30DAC">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双方在执行合同中所发生的一切争议，应通过友好协商解决。如协商不成，任何一方均可向甲方所在地仲裁机关仲裁。</w:t>
      </w:r>
    </w:p>
    <w:p w14:paraId="3440D10D">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、合同生效及其它</w:t>
      </w:r>
    </w:p>
    <w:p w14:paraId="1E3053D3">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1、本合同经双方法定代表人或授权代表人签字并加盖单位公章后生效。</w:t>
      </w:r>
    </w:p>
    <w:p w14:paraId="5BB34217">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2、本合同未尽事宜，遵照《中华人民共和国民法典》有关条文执行。</w:t>
      </w:r>
    </w:p>
    <w:p w14:paraId="46448CCC">
      <w:pPr>
        <w:keepNext w:val="0"/>
        <w:keepLines w:val="0"/>
        <w:pageBreakBefore w:val="0"/>
        <w:kinsoku/>
        <w:wordWrap/>
        <w:overflowPunct/>
        <w:topLinePunct w:val="0"/>
        <w:autoSpaceDE w:val="0"/>
        <w:autoSpaceDN w:val="0"/>
        <w:bidi w:val="0"/>
        <w:adjustRightIn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3．本合同正本一式四份，具有同等法律效力，甲方、乙方各保存</w:t>
      </w: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份。</w:t>
      </w:r>
    </w:p>
    <w:p w14:paraId="49C4582B">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35462E9B">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70D3403F">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2F784414">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5F692EC5">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55F67C8">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027E1030">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6B2E950C">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576F1D5">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0FCBEB1D">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0E67086">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3278EC63">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20CCC4F5">
      <w:pPr>
        <w:keepNext w:val="0"/>
        <w:keepLines w:val="0"/>
        <w:pageBreakBefore w:val="0"/>
        <w:kinsoku/>
        <w:wordWrap/>
        <w:overflowPunct/>
        <w:topLinePunct w:val="0"/>
        <w:autoSpaceDE w:val="0"/>
        <w:autoSpaceDN w:val="0"/>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开户账号：</w:t>
      </w:r>
    </w:p>
    <w:p w14:paraId="642C581E">
      <w:pPr>
        <w:pStyle w:val="24"/>
        <w:keepNext w:val="0"/>
        <w:keepLines w:val="0"/>
        <w:pageBreakBefore w:val="0"/>
        <w:kinsoku/>
        <w:wordWrap/>
        <w:overflowPunct/>
        <w:topLinePunct w:val="0"/>
        <w:bidi w:val="0"/>
        <w:adjustRightInd/>
        <w:snapToGrid w:val="0"/>
        <w:spacing w:before="120" w:after="120" w:line="440" w:lineRule="exact"/>
        <w:jc w:val="left"/>
        <w:textAlignment w:val="auto"/>
        <w:rPr>
          <w:rFonts w:hint="eastAsia"/>
          <w:color w:val="auto"/>
        </w:rPr>
      </w:pPr>
      <w:r>
        <w:rPr>
          <w:rFonts w:hint="eastAsia" w:ascii="宋体" w:hAnsi="宋体" w:eastAsia="宋体" w:cs="宋体"/>
          <w:color w:val="auto"/>
          <w:sz w:val="21"/>
          <w:szCs w:val="21"/>
          <w:highlight w:val="none"/>
          <w:u w:val="none"/>
          <w:lang w:eastAsia="zh-CN"/>
        </w:rPr>
        <w:t>附件</w:t>
      </w:r>
      <w:r>
        <w:rPr>
          <w:rFonts w:hint="eastAsia" w:ascii="宋体" w:hAnsi="宋体" w:eastAsia="宋体" w:cs="宋体"/>
          <w:color w:val="auto"/>
          <w:sz w:val="21"/>
          <w:szCs w:val="21"/>
          <w:highlight w:val="none"/>
          <w:u w:val="none"/>
          <w:lang w:val="en-US" w:eastAsia="zh-CN"/>
        </w:rPr>
        <w:t>1：清单</w:t>
      </w:r>
    </w:p>
    <w:p w14:paraId="43CC1A33">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716CDD95">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5DB16BEC">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0D8BD366">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textWrapping"/>
      </w:r>
    </w:p>
    <w:p w14:paraId="5BB4717A">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1567DC87">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5DC02F9A">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1E845279">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143629EC">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2B9D6A74">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0C0A5F1B">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58DADDF9">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28430E53">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64145851">
      <w:pPr>
        <w:keepNext w:val="0"/>
        <w:keepLines w:val="0"/>
        <w:pageBreakBefore w:val="0"/>
        <w:kinsoku/>
        <w:wordWrap/>
        <w:overflowPunct/>
        <w:topLinePunct w:val="0"/>
        <w:bidi w:val="0"/>
        <w:spacing w:line="400" w:lineRule="exact"/>
        <w:jc w:val="left"/>
        <w:rPr>
          <w:rFonts w:hint="eastAsia" w:ascii="宋体" w:hAnsi="宋体" w:cs="宋体"/>
          <w:color w:val="auto"/>
          <w:kern w:val="0"/>
          <w:sz w:val="24"/>
          <w:szCs w:val="24"/>
          <w:highlight w:val="none"/>
        </w:rPr>
      </w:pPr>
    </w:p>
    <w:p w14:paraId="5BCB42D8">
      <w:pPr>
        <w:pStyle w:val="5"/>
        <w:keepNext/>
        <w:keepLines/>
        <w:pageBreakBefore w:val="0"/>
        <w:widowControl w:val="0"/>
        <w:numPr>
          <w:ilvl w:val="0"/>
          <w:numId w:val="6"/>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ascii="Times New Roman" w:hAnsi="Times New Roman" w:eastAsia="宋体" w:cs="Times New Roman"/>
          <w:b/>
          <w:bCs/>
          <w:color w:val="auto"/>
          <w:kern w:val="44"/>
          <w:sz w:val="36"/>
          <w:szCs w:val="36"/>
          <w:highlight w:val="none"/>
          <w:lang w:val="en-US" w:eastAsia="zh-CN"/>
        </w:rPr>
      </w:pPr>
      <w:r>
        <w:rPr>
          <w:rFonts w:hint="eastAsia" w:ascii="Times New Roman" w:hAnsi="Times New Roman" w:eastAsia="宋体" w:cs="Times New Roman"/>
          <w:b/>
          <w:bCs/>
          <w:color w:val="auto"/>
          <w:kern w:val="44"/>
          <w:sz w:val="36"/>
          <w:szCs w:val="36"/>
          <w:highlight w:val="none"/>
          <w:lang w:eastAsia="zh-CN"/>
        </w:rPr>
        <w:t xml:space="preserve"> </w:t>
      </w:r>
      <w:bookmarkEnd w:id="68"/>
      <w:bookmarkStart w:id="69" w:name="_Toc15465"/>
      <w:r>
        <w:rPr>
          <w:rFonts w:hint="eastAsia" w:ascii="Times New Roman" w:hAnsi="Times New Roman" w:eastAsia="宋体" w:cs="Times New Roman"/>
          <w:b/>
          <w:bCs/>
          <w:color w:val="auto"/>
          <w:kern w:val="44"/>
          <w:sz w:val="36"/>
          <w:szCs w:val="36"/>
          <w:highlight w:val="none"/>
          <w:lang w:eastAsia="zh-CN"/>
        </w:rPr>
        <w:t>招标内容与技术需求</w:t>
      </w:r>
      <w:bookmarkEnd w:id="66"/>
      <w:bookmarkEnd w:id="69"/>
      <w:bookmarkStart w:id="70" w:name="_Toc536024508"/>
      <w:bookmarkStart w:id="71" w:name="_Toc1840"/>
      <w:bookmarkStart w:id="72" w:name="_Toc317685548"/>
      <w:bookmarkStart w:id="73" w:name="_Toc216662965"/>
    </w:p>
    <w:bookmarkEnd w:id="70"/>
    <w:p w14:paraId="218786D8">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Times New Roman" w:eastAsia="宋体" w:cs="Times New Roman"/>
          <w:b w:val="0"/>
          <w:bCs w:val="0"/>
          <w:color w:val="auto"/>
          <w:sz w:val="22"/>
          <w:szCs w:val="22"/>
          <w:highlight w:val="none"/>
          <w:lang w:val="en-US" w:eastAsia="zh-CN"/>
        </w:rPr>
      </w:pPr>
      <w:bookmarkStart w:id="74" w:name="_Toc22131"/>
      <w:r>
        <w:rPr>
          <w:rFonts w:hint="eastAsia" w:ascii="宋体" w:hAnsi="Times New Roman" w:eastAsia="宋体" w:cs="Times New Roman"/>
          <w:b/>
          <w:bCs/>
          <w:color w:val="auto"/>
          <w:sz w:val="22"/>
          <w:szCs w:val="22"/>
          <w:highlight w:val="none"/>
          <w:lang w:val="en-US" w:eastAsia="zh-CN"/>
        </w:rPr>
        <w:t>一、投/被保险人：</w:t>
      </w:r>
      <w:r>
        <w:rPr>
          <w:rFonts w:hint="eastAsia" w:ascii="宋体" w:hAnsi="Times New Roman" w:eastAsia="宋体" w:cs="Times New Roman"/>
          <w:b w:val="0"/>
          <w:bCs w:val="0"/>
          <w:color w:val="auto"/>
          <w:sz w:val="22"/>
          <w:szCs w:val="22"/>
          <w:highlight w:val="none"/>
          <w:lang w:val="en-US" w:eastAsia="zh-CN"/>
        </w:rPr>
        <w:t>慈溪市</w:t>
      </w:r>
      <w:r>
        <w:rPr>
          <w:rFonts w:hint="eastAsia" w:ascii="宋体" w:cs="Times New Roman"/>
          <w:b w:val="0"/>
          <w:bCs w:val="0"/>
          <w:color w:val="auto"/>
          <w:sz w:val="22"/>
          <w:szCs w:val="22"/>
          <w:highlight w:val="none"/>
          <w:lang w:val="en-US" w:eastAsia="zh-CN"/>
        </w:rPr>
        <w:t>周巷</w:t>
      </w:r>
      <w:r>
        <w:rPr>
          <w:rFonts w:hint="eastAsia" w:ascii="宋体" w:hAnsi="Times New Roman" w:eastAsia="宋体" w:cs="Times New Roman"/>
          <w:b w:val="0"/>
          <w:bCs w:val="0"/>
          <w:color w:val="auto"/>
          <w:sz w:val="22"/>
          <w:szCs w:val="22"/>
          <w:highlight w:val="none"/>
          <w:lang w:val="en-US" w:eastAsia="zh-CN"/>
        </w:rPr>
        <w:t>镇人民政府</w:t>
      </w:r>
    </w:p>
    <w:p w14:paraId="4BA93745">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Times New Roman" w:eastAsia="宋体" w:cs="Times New Roman"/>
          <w:b/>
          <w:bCs/>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二、保障内容及责任限额</w:t>
      </w:r>
    </w:p>
    <w:tbl>
      <w:tblPr>
        <w:tblStyle w:val="47"/>
        <w:tblpPr w:leftFromText="180" w:rightFromText="180" w:vertAnchor="text" w:horzAnchor="page" w:tblpX="1665" w:tblpY="180"/>
        <w:tblOverlap w:val="never"/>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63"/>
        <w:gridCol w:w="3450"/>
      </w:tblGrid>
      <w:tr w14:paraId="7159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413" w:type="dxa"/>
            <w:noWrap w:val="0"/>
            <w:vAlign w:val="center"/>
          </w:tcPr>
          <w:p w14:paraId="420BFF3E">
            <w:pPr>
              <w:keepNext w:val="0"/>
              <w:keepLines w:val="0"/>
              <w:widowControl/>
              <w:suppressLineNumbers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b/>
                <w:sz w:val="21"/>
                <w:szCs w:val="21"/>
              </w:rPr>
              <w:t>保障内容</w:t>
            </w:r>
          </w:p>
        </w:tc>
        <w:tc>
          <w:tcPr>
            <w:tcW w:w="4163" w:type="dxa"/>
            <w:noWrap w:val="0"/>
            <w:vAlign w:val="center"/>
          </w:tcPr>
          <w:p w14:paraId="342C77B4">
            <w:pPr>
              <w:keepNext w:val="0"/>
              <w:keepLines w:val="0"/>
              <w:widowControl/>
              <w:suppressLineNumbers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保险责任</w:t>
            </w:r>
          </w:p>
        </w:tc>
        <w:tc>
          <w:tcPr>
            <w:tcW w:w="3450" w:type="dxa"/>
            <w:noWrap w:val="0"/>
            <w:vAlign w:val="center"/>
          </w:tcPr>
          <w:p w14:paraId="359E2889">
            <w:pPr>
              <w:keepNext w:val="0"/>
              <w:keepLines w:val="0"/>
              <w:widowControl/>
              <w:suppressLineNumbers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责任限额</w:t>
            </w:r>
          </w:p>
        </w:tc>
      </w:tr>
      <w:tr w14:paraId="43AC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413" w:type="dxa"/>
            <w:noWrap w:val="0"/>
            <w:vAlign w:val="center"/>
          </w:tcPr>
          <w:p w14:paraId="698E7E9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乡村</w:t>
            </w:r>
            <w:r>
              <w:rPr>
                <w:rFonts w:hint="eastAsia" w:ascii="宋体" w:hAnsi="宋体" w:eastAsia="宋体" w:cs="宋体"/>
                <w:kern w:val="0"/>
                <w:sz w:val="21"/>
                <w:szCs w:val="21"/>
              </w:rPr>
              <w:t>居民</w:t>
            </w:r>
          </w:p>
          <w:p w14:paraId="06E6B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公共安全</w:t>
            </w:r>
          </w:p>
        </w:tc>
        <w:tc>
          <w:tcPr>
            <w:tcW w:w="4163" w:type="dxa"/>
            <w:noWrap w:val="0"/>
            <w:vAlign w:val="center"/>
          </w:tcPr>
          <w:p w14:paraId="4E1597A5">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 xml:space="preserve">火灾爆炸救助 </w:t>
            </w: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自然灾害救助</w:t>
            </w: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 xml:space="preserve">公共区域溺水事故救助 </w:t>
            </w: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 xml:space="preserve">精神病人伤人救助 </w:t>
            </w:r>
            <w:r>
              <w:rPr>
                <w:rFonts w:hint="eastAsia" w:ascii="宋体" w:hAnsi="宋体" w:eastAsia="宋体" w:cs="宋体"/>
                <w:kern w:val="0"/>
                <w:sz w:val="21"/>
                <w:szCs w:val="21"/>
              </w:rPr>
              <w:sym w:font="Wingdings 2" w:char="F0A2"/>
            </w:r>
            <w:r>
              <w:rPr>
                <w:rFonts w:hint="eastAsia" w:ascii="宋体" w:hAnsi="宋体" w:eastAsia="宋体" w:cs="宋体"/>
                <w:bCs/>
                <w:color w:val="auto"/>
                <w:sz w:val="21"/>
                <w:szCs w:val="21"/>
                <w:highlight w:val="none"/>
                <w:lang w:val="en-US" w:eastAsia="zh-CN"/>
              </w:rPr>
              <w:t>道路交通事故救助</w:t>
            </w:r>
          </w:p>
        </w:tc>
        <w:tc>
          <w:tcPr>
            <w:tcW w:w="3450" w:type="dxa"/>
            <w:noWrap w:val="0"/>
            <w:vAlign w:val="center"/>
          </w:tcPr>
          <w:p w14:paraId="2876A813">
            <w:pPr>
              <w:keepNext w:val="0"/>
              <w:keepLines w:val="0"/>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每人伤亡责任限额</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万元</w:t>
            </w:r>
          </w:p>
          <w:p w14:paraId="2BB05A61">
            <w:pPr>
              <w:keepNext w:val="0"/>
              <w:keepLines w:val="0"/>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每人医疗费用责任限额0.5万元</w:t>
            </w:r>
          </w:p>
          <w:p w14:paraId="46B604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累计责任限额</w:t>
            </w:r>
            <w:r>
              <w:rPr>
                <w:rFonts w:hint="eastAsia" w:ascii="宋体" w:hAnsi="宋体" w:eastAsia="宋体" w:cs="宋体"/>
                <w:kern w:val="0"/>
                <w:sz w:val="21"/>
                <w:szCs w:val="21"/>
                <w:lang w:val="en-US" w:eastAsia="zh-CN"/>
              </w:rPr>
              <w:t>260</w:t>
            </w:r>
            <w:r>
              <w:rPr>
                <w:rFonts w:hint="eastAsia" w:ascii="宋体" w:hAnsi="宋体" w:eastAsia="宋体" w:cs="宋体"/>
                <w:kern w:val="0"/>
                <w:sz w:val="21"/>
                <w:szCs w:val="21"/>
              </w:rPr>
              <w:t>万元</w:t>
            </w:r>
          </w:p>
        </w:tc>
      </w:tr>
      <w:tr w14:paraId="29F0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413" w:type="dxa"/>
            <w:noWrap w:val="0"/>
            <w:vAlign w:val="center"/>
          </w:tcPr>
          <w:p w14:paraId="5EA138B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困难群众</w:t>
            </w:r>
          </w:p>
          <w:p w14:paraId="529DBB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救助</w:t>
            </w:r>
          </w:p>
        </w:tc>
        <w:tc>
          <w:tcPr>
            <w:tcW w:w="4163" w:type="dxa"/>
            <w:noWrap w:val="0"/>
            <w:vAlign w:val="center"/>
          </w:tcPr>
          <w:p w14:paraId="649EC542">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低保人员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低保边缘</w:t>
            </w:r>
            <w:r>
              <w:rPr>
                <w:rFonts w:hint="eastAsia" w:ascii="宋体" w:hAnsi="宋体" w:eastAsia="宋体" w:cs="宋体"/>
                <w:kern w:val="0"/>
                <w:sz w:val="21"/>
                <w:szCs w:val="21"/>
                <w:lang w:eastAsia="zh-CN"/>
              </w:rPr>
              <w:t>人员</w:t>
            </w:r>
            <w:r>
              <w:rPr>
                <w:rFonts w:hint="eastAsia" w:ascii="宋体" w:hAnsi="宋体" w:eastAsia="宋体" w:cs="宋体"/>
                <w:kern w:val="0"/>
                <w:sz w:val="21"/>
                <w:szCs w:val="21"/>
              </w:rPr>
              <w:t>、特困供养人员、困难残疾人、孤寡老人、困境儿童等困难群体，人数不超过乡村居民总数的5%，因下列原因导致救助对象人身伤亡或基本生活困难，产生的医疗费用以及基本生活费用补贴：</w:t>
            </w:r>
          </w:p>
          <w:p w14:paraId="46E3C0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 xml:space="preserve">自然灾害 </w:t>
            </w: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 xml:space="preserve">意外事故 </w:t>
            </w:r>
            <w:r>
              <w:rPr>
                <w:rFonts w:hint="eastAsia" w:ascii="宋体" w:hAnsi="宋体" w:eastAsia="宋体" w:cs="宋体"/>
                <w:kern w:val="0"/>
                <w:sz w:val="21"/>
                <w:szCs w:val="21"/>
              </w:rPr>
              <w:sym w:font="Wingdings 2" w:char="F0A2"/>
            </w:r>
            <w:r>
              <w:rPr>
                <w:rFonts w:hint="eastAsia" w:ascii="宋体" w:hAnsi="宋体" w:eastAsia="宋体" w:cs="宋体"/>
                <w:kern w:val="0"/>
                <w:sz w:val="21"/>
                <w:szCs w:val="21"/>
              </w:rPr>
              <w:t>罹患疾病</w:t>
            </w:r>
          </w:p>
        </w:tc>
        <w:tc>
          <w:tcPr>
            <w:tcW w:w="3450" w:type="dxa"/>
            <w:noWrap w:val="0"/>
            <w:vAlign w:val="center"/>
          </w:tcPr>
          <w:p w14:paraId="13B3A527">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lang w:eastAsia="zh-CN"/>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每人基本生活费用补贴限额</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万元</w:t>
            </w:r>
          </w:p>
          <w:p w14:paraId="68A0F24D">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每人医疗救助限额</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万元</w:t>
            </w:r>
          </w:p>
          <w:p w14:paraId="655C1E75">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rPr>
              <w:t>累计责任限额</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万元</w:t>
            </w:r>
          </w:p>
        </w:tc>
      </w:tr>
      <w:tr w14:paraId="4D39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413" w:type="dxa"/>
            <w:noWrap w:val="0"/>
            <w:vAlign w:val="center"/>
          </w:tcPr>
          <w:p w14:paraId="09E7BFD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增值服务</w:t>
            </w:r>
          </w:p>
        </w:tc>
        <w:tc>
          <w:tcPr>
            <w:tcW w:w="4163" w:type="dxa"/>
            <w:noWrap w:val="0"/>
            <w:vAlign w:val="center"/>
          </w:tcPr>
          <w:p w14:paraId="1F17DF87">
            <w:pPr>
              <w:pStyle w:val="24"/>
              <w:keepNext w:val="0"/>
              <w:keepLines w:val="0"/>
              <w:suppressLineNumbers w:val="0"/>
              <w:ind w:left="0" w:right="0"/>
              <w:jc w:val="both"/>
              <w:rPr>
                <w:rFonts w:hint="eastAsia"/>
              </w:rPr>
            </w:pPr>
            <w:r>
              <w:rPr>
                <w:rFonts w:hint="eastAsia" w:ascii="Times New Roman" w:hAnsi="Times New Roman" w:eastAsia="宋体" w:cs="Times New Roman"/>
                <w:color w:val="auto"/>
                <w:kern w:val="2"/>
                <w:sz w:val="21"/>
                <w:szCs w:val="20"/>
                <w:lang w:val="en-US" w:eastAsia="zh-CN" w:bidi="ar-SA"/>
              </w:rPr>
              <w:t>根据被保险人对困难群众等特殊人群的慰问、救助等需要，提供相应的慰问服务。</w:t>
            </w:r>
          </w:p>
        </w:tc>
        <w:tc>
          <w:tcPr>
            <w:tcW w:w="3450" w:type="dxa"/>
            <w:noWrap w:val="0"/>
            <w:vAlign w:val="center"/>
          </w:tcPr>
          <w:p w14:paraId="4B310DC3">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sym w:font="Wingdings 2" w:char="F096"/>
            </w:r>
            <w:r>
              <w:rPr>
                <w:rFonts w:hint="eastAsia" w:ascii="宋体" w:hAnsi="宋体" w:eastAsia="宋体" w:cs="宋体"/>
                <w:kern w:val="0"/>
                <w:sz w:val="21"/>
                <w:szCs w:val="21"/>
                <w:lang w:val="en-US" w:eastAsia="zh-CN"/>
              </w:rPr>
              <w:t>最高</w:t>
            </w:r>
            <w:r>
              <w:rPr>
                <w:rFonts w:hint="eastAsia" w:ascii="宋体" w:hAnsi="宋体" w:eastAsia="宋体" w:cs="宋体"/>
                <w:kern w:val="0"/>
                <w:sz w:val="21"/>
                <w:szCs w:val="21"/>
              </w:rPr>
              <w:t>限额</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万元</w:t>
            </w:r>
          </w:p>
        </w:tc>
      </w:tr>
    </w:tbl>
    <w:p w14:paraId="4505FA5D">
      <w:pPr>
        <w:keepNext w:val="0"/>
        <w:keepLines w:val="0"/>
        <w:pageBreakBefore w:val="0"/>
        <w:widowControl w:val="0"/>
        <w:kinsoku/>
        <w:wordWrap/>
        <w:overflowPunct/>
        <w:topLinePunct w:val="0"/>
        <w:autoSpaceDE w:val="0"/>
        <w:autoSpaceDN w:val="0"/>
        <w:bidi w:val="0"/>
        <w:adjustRightInd/>
        <w:snapToGrid/>
        <w:spacing w:beforeAutospacing="0" w:afterAutospacing="0" w:line="500" w:lineRule="exact"/>
        <w:textAlignment w:val="auto"/>
        <w:rPr>
          <w:rFonts w:hint="eastAsia" w:ascii="宋体" w:hAnsi="Times New Roman" w:eastAsia="宋体" w:cs="Times New Roman"/>
          <w:b/>
          <w:bCs/>
          <w:color w:val="auto"/>
          <w:sz w:val="22"/>
          <w:szCs w:val="22"/>
          <w:highlight w:val="none"/>
          <w:lang w:val="en-US" w:eastAsia="zh-CN"/>
        </w:rPr>
      </w:pPr>
    </w:p>
    <w:p w14:paraId="325295A8">
      <w:pPr>
        <w:keepNext w:val="0"/>
        <w:keepLines w:val="0"/>
        <w:pageBreakBefore w:val="0"/>
        <w:widowControl w:val="0"/>
        <w:kinsoku/>
        <w:wordWrap/>
        <w:overflowPunct/>
        <w:topLinePunct w:val="0"/>
        <w:autoSpaceDE w:val="0"/>
        <w:autoSpaceDN w:val="0"/>
        <w:bidi w:val="0"/>
        <w:adjustRightInd/>
        <w:snapToGrid/>
        <w:spacing w:beforeAutospacing="0" w:afterAutospacing="0" w:line="500" w:lineRule="exact"/>
        <w:textAlignment w:val="auto"/>
        <w:rPr>
          <w:rFonts w:hint="default" w:ascii="宋体" w:hAnsi="Times New Roman" w:eastAsia="宋体" w:cs="Times New Roman"/>
          <w:b w:val="0"/>
          <w:bCs w:val="0"/>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三、保障</w:t>
      </w:r>
      <w:r>
        <w:rPr>
          <w:rFonts w:hint="default" w:ascii="宋体" w:hAnsi="Times New Roman" w:eastAsia="宋体" w:cs="Times New Roman"/>
          <w:b/>
          <w:bCs/>
          <w:color w:val="auto"/>
          <w:sz w:val="22"/>
          <w:szCs w:val="22"/>
          <w:highlight w:val="none"/>
          <w:lang w:val="en-US" w:eastAsia="zh-CN"/>
        </w:rPr>
        <w:t>区域：</w:t>
      </w:r>
      <w:r>
        <w:rPr>
          <w:rFonts w:hint="default" w:ascii="宋体" w:hAnsi="Times New Roman" w:eastAsia="宋体" w:cs="Times New Roman"/>
          <w:b w:val="0"/>
          <w:bCs w:val="0"/>
          <w:color w:val="auto"/>
          <w:sz w:val="22"/>
          <w:szCs w:val="22"/>
          <w:highlight w:val="none"/>
          <w:lang w:val="en-US" w:eastAsia="zh-CN"/>
        </w:rPr>
        <w:t>慈溪市</w:t>
      </w:r>
      <w:r>
        <w:rPr>
          <w:rFonts w:hint="eastAsia" w:ascii="宋体" w:cs="Times New Roman"/>
          <w:b w:val="0"/>
          <w:bCs w:val="0"/>
          <w:color w:val="auto"/>
          <w:sz w:val="22"/>
          <w:szCs w:val="22"/>
          <w:highlight w:val="none"/>
          <w:lang w:val="en-US" w:eastAsia="zh-CN"/>
        </w:rPr>
        <w:t>周巷</w:t>
      </w:r>
      <w:r>
        <w:rPr>
          <w:rFonts w:hint="default" w:ascii="宋体" w:hAnsi="Times New Roman" w:eastAsia="宋体" w:cs="Times New Roman"/>
          <w:b w:val="0"/>
          <w:bCs w:val="0"/>
          <w:color w:val="auto"/>
          <w:sz w:val="22"/>
          <w:szCs w:val="22"/>
          <w:highlight w:val="none"/>
          <w:lang w:val="en-US" w:eastAsia="zh-CN"/>
        </w:rPr>
        <w:t>镇人民政府行政区域</w:t>
      </w:r>
    </w:p>
    <w:p w14:paraId="786CE810">
      <w:pPr>
        <w:keepNext w:val="0"/>
        <w:keepLines w:val="0"/>
        <w:pageBreakBefore w:val="0"/>
        <w:widowControl w:val="0"/>
        <w:kinsoku/>
        <w:wordWrap/>
        <w:overflowPunct/>
        <w:topLinePunct w:val="0"/>
        <w:autoSpaceDE w:val="0"/>
        <w:autoSpaceDN w:val="0"/>
        <w:bidi w:val="0"/>
        <w:adjustRightInd/>
        <w:snapToGrid/>
        <w:spacing w:beforeAutospacing="0" w:afterAutospacing="0" w:line="500" w:lineRule="exact"/>
        <w:textAlignment w:val="auto"/>
        <w:rPr>
          <w:rFonts w:hint="eastAsia" w:ascii="宋体" w:hAnsi="Times New Roman" w:eastAsia="宋体" w:cs="Times New Roman"/>
          <w:b w:val="0"/>
          <w:bCs w:val="0"/>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四、保险期限：</w:t>
      </w:r>
      <w:r>
        <w:rPr>
          <w:rFonts w:hint="eastAsia" w:ascii="宋体" w:hAnsi="Times New Roman" w:eastAsia="宋体" w:cs="Times New Roman"/>
          <w:b w:val="0"/>
          <w:bCs w:val="0"/>
          <w:color w:val="auto"/>
          <w:sz w:val="22"/>
          <w:szCs w:val="22"/>
          <w:highlight w:val="none"/>
          <w:lang w:val="en-US" w:eastAsia="zh-CN"/>
        </w:rPr>
        <w:t>1年（具体起保时间以甲方通知为准）</w:t>
      </w:r>
    </w:p>
    <w:p w14:paraId="31FEEEDD">
      <w:pPr>
        <w:pStyle w:val="180"/>
        <w:keepNext w:val="0"/>
        <w:keepLines w:val="0"/>
        <w:pageBreakBefore w:val="0"/>
        <w:widowControl w:val="0"/>
        <w:kinsoku/>
        <w:wordWrap/>
        <w:overflowPunct/>
        <w:topLinePunct w:val="0"/>
        <w:bidi w:val="0"/>
        <w:adjustRightInd/>
        <w:snapToGrid/>
        <w:spacing w:beforeAutospacing="0" w:afterAutospacing="0" w:line="500" w:lineRule="exact"/>
        <w:ind w:left="0" w:leftChars="0" w:firstLine="0" w:firstLineChars="0"/>
        <w:textAlignment w:val="auto"/>
        <w:rPr>
          <w:rFonts w:hint="default" w:ascii="宋体" w:hAnsi="Times New Roman" w:eastAsia="宋体" w:cs="Times New Roman"/>
          <w:b/>
          <w:bCs/>
          <w:color w:val="auto"/>
          <w:kern w:val="2"/>
          <w:sz w:val="22"/>
          <w:szCs w:val="22"/>
          <w:highlight w:val="none"/>
          <w:lang w:val="en-US" w:eastAsia="zh-CN" w:bidi="ar-SA"/>
        </w:rPr>
      </w:pPr>
      <w:r>
        <w:rPr>
          <w:rFonts w:hint="eastAsia" w:ascii="宋体" w:hAnsi="Times New Roman" w:eastAsia="宋体" w:cs="Times New Roman"/>
          <w:b/>
          <w:bCs/>
          <w:color w:val="auto"/>
          <w:kern w:val="2"/>
          <w:sz w:val="22"/>
          <w:szCs w:val="22"/>
          <w:highlight w:val="none"/>
          <w:lang w:val="en-US" w:eastAsia="zh-CN" w:bidi="ar-SA"/>
        </w:rPr>
        <w:t>五、周巷人口：</w:t>
      </w:r>
      <w:r>
        <w:rPr>
          <w:rFonts w:hint="eastAsia" w:ascii="宋体" w:hAnsi="Times New Roman" w:cs="Times New Roman"/>
          <w:b w:val="0"/>
          <w:bCs w:val="0"/>
          <w:color w:val="auto"/>
          <w:kern w:val="2"/>
          <w:sz w:val="22"/>
          <w:szCs w:val="22"/>
          <w:highlight w:val="none"/>
          <w:lang w:val="en-US" w:eastAsia="zh-CN" w:bidi="ar-SA"/>
        </w:rPr>
        <w:t>17.92</w:t>
      </w:r>
      <w:r>
        <w:rPr>
          <w:rFonts w:hint="eastAsia" w:ascii="宋体" w:hAnsi="Times New Roman" w:eastAsia="宋体" w:cs="Times New Roman"/>
          <w:b w:val="0"/>
          <w:bCs w:val="0"/>
          <w:color w:val="auto"/>
          <w:kern w:val="2"/>
          <w:sz w:val="22"/>
          <w:szCs w:val="22"/>
          <w:highlight w:val="none"/>
          <w:lang w:val="en-US" w:eastAsia="zh-CN" w:bidi="ar-SA"/>
        </w:rPr>
        <w:t>万人</w:t>
      </w:r>
    </w:p>
    <w:p w14:paraId="537AC2E9">
      <w:pPr>
        <w:keepNext w:val="0"/>
        <w:keepLines w:val="0"/>
        <w:pageBreakBefore w:val="0"/>
        <w:widowControl w:val="0"/>
        <w:kinsoku/>
        <w:wordWrap/>
        <w:overflowPunct/>
        <w:topLinePunct w:val="0"/>
        <w:autoSpaceDE w:val="0"/>
        <w:autoSpaceDN w:val="0"/>
        <w:bidi w:val="0"/>
        <w:adjustRightInd/>
        <w:snapToGrid/>
        <w:spacing w:beforeAutospacing="0" w:afterAutospacing="0" w:line="500" w:lineRule="exact"/>
        <w:textAlignment w:val="auto"/>
        <w:rPr>
          <w:rFonts w:hint="default" w:ascii="宋体" w:hAnsi="Times New Roman" w:eastAsia="宋体" w:cs="Times New Roman"/>
          <w:b/>
          <w:bCs/>
          <w:color w:val="auto"/>
          <w:sz w:val="22"/>
          <w:szCs w:val="22"/>
          <w:highlight w:val="none"/>
          <w:lang w:val="en-US" w:eastAsia="zh-CN"/>
        </w:rPr>
      </w:pPr>
      <w:r>
        <w:rPr>
          <w:rFonts w:hint="eastAsia" w:ascii="宋体" w:hAnsi="Times New Roman" w:eastAsia="宋体" w:cs="Times New Roman"/>
          <w:b/>
          <w:bCs/>
          <w:color w:val="auto"/>
          <w:sz w:val="22"/>
          <w:szCs w:val="22"/>
          <w:highlight w:val="none"/>
          <w:lang w:val="en-US" w:eastAsia="zh-CN"/>
        </w:rPr>
        <w:t>六、特别约定：</w:t>
      </w:r>
    </w:p>
    <w:p w14:paraId="63AB2C29">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1、“无法找到责任人或者责任人无力赔偿”以周巷镇人民政府证明为准；</w:t>
      </w:r>
    </w:p>
    <w:p w14:paraId="7E2C5DED">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2、需要启动基本生活费用补贴的，由被保险人提出书面申请，根据实际需要进行适当补贴；</w:t>
      </w:r>
    </w:p>
    <w:p w14:paraId="7FC4546C">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乡村居民公共安全保障：被保险人对乡村居民因火灾爆炸、自然灾害、公共区域溺水事故、精神病人伤人、道路交通事故的救助责任。本保障累计责任限额260万元，每人伤亡责任限额5万元，每人医疗费用责任限额0.5万元。</w:t>
      </w:r>
    </w:p>
    <w:p w14:paraId="7941C494">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4、困难群众保障：被保险人对困难群众（应为</w:t>
      </w:r>
      <w:r>
        <w:rPr>
          <w:rFonts w:hint="eastAsia" w:ascii="宋体" w:hAnsi="宋体" w:eastAsia="宋体" w:cs="宋体"/>
          <w:kern w:val="0"/>
          <w:sz w:val="21"/>
          <w:szCs w:val="21"/>
        </w:rPr>
        <w:t>低保人员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低保边缘</w:t>
      </w:r>
      <w:r>
        <w:rPr>
          <w:rFonts w:hint="eastAsia" w:ascii="宋体" w:hAnsi="宋体" w:eastAsia="宋体" w:cs="宋体"/>
          <w:kern w:val="0"/>
          <w:sz w:val="21"/>
          <w:szCs w:val="21"/>
          <w:lang w:eastAsia="zh-CN"/>
        </w:rPr>
        <w:t>人员</w:t>
      </w:r>
      <w:r>
        <w:rPr>
          <w:rFonts w:hint="eastAsia" w:ascii="宋体" w:hAnsi="宋体" w:eastAsia="宋体" w:cs="宋体"/>
          <w:kern w:val="0"/>
          <w:sz w:val="21"/>
          <w:szCs w:val="21"/>
        </w:rPr>
        <w:t>、特困供养人员、困难残疾人、孤寡老人、困境儿童</w:t>
      </w:r>
      <w:r>
        <w:rPr>
          <w:rFonts w:hint="eastAsia" w:ascii="宋体" w:hAnsi="宋体" w:eastAsia="宋体" w:cs="宋体"/>
          <w:bCs/>
          <w:color w:val="auto"/>
          <w:sz w:val="21"/>
          <w:szCs w:val="21"/>
          <w:highlight w:val="none"/>
          <w:lang w:val="en-US" w:eastAsia="zh-CN"/>
        </w:rPr>
        <w:t>等易返贫致贫人口，人数不超过乡村居民总数的5%）因自然灾害、意外事故、罹患疾病导致的人身伤亡或基本生活困难，产生的医疗费用以及基本生活费用补贴。其中，对于持有低保低边证的困难人员，因意外伤害或疾病产生的医疗费用，根据被保险人提供的住院、门诊的医疗费发票（或医保系统的费用截图加盖民政章）、有医院处方单的药店发票，扣除基本医疗保险、城乡居民大病保险以及各类补充医疗保险、商业保险报销后，对个人自付、自费以及有医院处方单的外配用药进行赔付。本保障累计责任限额30万元，每人医疗救助限额5万元，每人基本生活费用补贴限额0.5万元，每人每天150元。 </w:t>
      </w:r>
    </w:p>
    <w:p w14:paraId="309D9210">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eastAsia="宋体"/>
          <w:sz w:val="21"/>
          <w:szCs w:val="21"/>
          <w:lang w:eastAsia="zh-CN"/>
        </w:rPr>
      </w:pPr>
      <w:r>
        <w:rPr>
          <w:rFonts w:hint="eastAsia" w:ascii="宋体" w:hAnsi="宋体" w:eastAsia="宋体" w:cs="宋体"/>
          <w:bCs/>
          <w:color w:val="auto"/>
          <w:sz w:val="21"/>
          <w:szCs w:val="21"/>
          <w:highlight w:val="none"/>
          <w:lang w:val="en-US" w:eastAsia="zh-CN"/>
        </w:rPr>
        <w:t xml:space="preserve">5、增值服务:根据被保险人对困难群众等特殊人群的慰问、救助等安排，提供慰问金、慰问物资或采购第三方慰问服务等，具体形式依据被保险人的实际需要确定。本增值服务累计限额10万元。              </w:t>
      </w:r>
      <w:r>
        <w:rPr>
          <w:rFonts w:hint="eastAsia" w:ascii="仿宋_GB2312" w:hAnsi="仿宋" w:eastAsia="仿宋_GB2312"/>
          <w:sz w:val="21"/>
          <w:szCs w:val="21"/>
          <w:highlight w:val="none"/>
          <w:lang w:val="en-US" w:eastAsia="zh-CN"/>
        </w:rPr>
        <w:t xml:space="preserve">                                                                                                                                                                                                                                                                                                                                                                                                                                              </w:t>
      </w:r>
    </w:p>
    <w:p w14:paraId="278CC69A">
      <w:pPr>
        <w:pStyle w:val="24"/>
        <w:keepNext w:val="0"/>
        <w:keepLines w:val="0"/>
        <w:pageBreakBefore w:val="0"/>
        <w:kinsoku/>
        <w:wordWrap/>
        <w:overflowPunct/>
        <w:topLinePunct w:val="0"/>
        <w:bidi w:val="0"/>
        <w:spacing w:before="0" w:beforeLines="0" w:beforeAutospacing="0" w:after="0" w:afterLines="0" w:afterAutospacing="0" w:line="500" w:lineRule="exact"/>
        <w:textAlignment w:val="auto"/>
        <w:rPr>
          <w:rFonts w:hint="default"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七、理赔服务</w:t>
      </w:r>
    </w:p>
    <w:p w14:paraId="7ED1CC3B">
      <w:pPr>
        <w:keepNext w:val="0"/>
        <w:keepLines w:val="0"/>
        <w:pageBreakBefore w:val="0"/>
        <w:kinsoku/>
        <w:wordWrap/>
        <w:overflowPunct/>
        <w:topLinePunct w:val="0"/>
        <w:autoSpaceDE w:val="0"/>
        <w:autoSpaceDN w:val="0"/>
        <w:bidi w:val="0"/>
        <w:spacing w:beforeAutospacing="0" w:afterAutospacing="0"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val="en-US" w:eastAsia="zh-CN"/>
        </w:rPr>
        <w:t>报案</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案情发生后，采购方及其工作人员或者被保险人第一时间通过本项目服务专员或保险公司服务电话等方式报案。</w:t>
      </w:r>
      <w:r>
        <w:rPr>
          <w:rFonts w:hint="eastAsia" w:ascii="宋体" w:hAnsi="宋体" w:eastAsia="宋体" w:cs="宋体"/>
          <w:bCs/>
          <w:color w:val="auto"/>
          <w:sz w:val="21"/>
          <w:szCs w:val="21"/>
          <w:highlight w:val="none"/>
          <w:lang w:val="en-US" w:eastAsia="zh-CN"/>
        </w:rPr>
        <w:br w:type="textWrapping"/>
      </w:r>
      <w:r>
        <w:rPr>
          <w:rFonts w:hint="eastAsia" w:ascii="宋体"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en-US" w:eastAsia="zh-CN"/>
        </w:rPr>
        <w:t>现场查勘</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接到报案通知，保险人依据案件情况，派现场查勘人员到达现场或医疗机构，进行保险事故损失查勘及收取相关资料。</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现场查勘人员到达事故现场后，开展以下工作：</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1.了解事故发生的经过、原因，拍照取证以及协助被保险人进行施救等；</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2.查勘人员现场查勘后应根据案件情况对责任进行初步判断，商定初步的后续处理方案，并以书面形式提出索赔所需单证列表。</w:t>
      </w:r>
      <w:r>
        <w:rPr>
          <w:rFonts w:hint="eastAsia" w:ascii="宋体" w:hAnsi="宋体" w:eastAsia="宋体" w:cs="宋体"/>
          <w:bCs/>
          <w:color w:val="auto"/>
          <w:sz w:val="21"/>
          <w:szCs w:val="21"/>
          <w:highlight w:val="none"/>
          <w:lang w:val="en-US" w:eastAsia="zh-CN"/>
        </w:rPr>
        <w:br w:type="textWrapping"/>
      </w:r>
      <w:r>
        <w:rPr>
          <w:rFonts w:hint="eastAsia" w:ascii="宋体"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en-US" w:eastAsia="zh-CN"/>
        </w:rPr>
        <w:t>理赔资料收集</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1）保险合同或保险单、批单的业务系统抄件；</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2）理赔单证（保险公司提供模板）；</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3）死亡证明、医疗费发票等能证明案件的相关资料；</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4）事故证明文件；</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5）其他必要的材料，视具体案件协商确定；</w:t>
      </w:r>
    </w:p>
    <w:p w14:paraId="580C395C">
      <w:pPr>
        <w:keepNext w:val="0"/>
        <w:keepLines w:val="0"/>
        <w:pageBreakBefore w:val="0"/>
        <w:widowControl w:val="0"/>
        <w:kinsoku/>
        <w:wordWrap/>
        <w:overflowPunct/>
        <w:topLinePunct w:val="0"/>
        <w:autoSpaceDE/>
        <w:autoSpaceDN/>
        <w:bidi w:val="0"/>
        <w:spacing w:beforeAutospacing="0" w:afterAutospacing="0" w:line="240" w:lineRule="auto"/>
        <w:jc w:val="left"/>
        <w:textAlignment w:val="auto"/>
        <w:rPr>
          <w:rFonts w:hint="eastAsia" w:ascii="宋体" w:hAnsi="宋体" w:eastAsia="宋体" w:cs="宋体"/>
          <w:b/>
          <w:bCs/>
          <w:sz w:val="21"/>
          <w:szCs w:val="21"/>
        </w:rPr>
      </w:pPr>
      <w:bookmarkStart w:id="75" w:name="_Toc527562010"/>
      <w:bookmarkStart w:id="76" w:name="_Toc5271"/>
      <w:r>
        <w:rPr>
          <w:rFonts w:hint="eastAsia"/>
          <w:sz w:val="21"/>
          <w:szCs w:val="21"/>
          <w:lang w:val="en-US" w:eastAsia="zh-CN"/>
        </w:rPr>
        <w:t>（四）</w:t>
      </w:r>
      <w:r>
        <w:rPr>
          <w:rFonts w:hint="eastAsia" w:ascii="宋体" w:hAnsi="宋体" w:eastAsia="宋体" w:cs="宋体"/>
          <w:b w:val="0"/>
          <w:bCs w:val="0"/>
          <w:sz w:val="21"/>
          <w:szCs w:val="21"/>
        </w:rPr>
        <w:t>理赔处理</w:t>
      </w:r>
      <w:bookmarkEnd w:id="75"/>
      <w:bookmarkEnd w:id="76"/>
    </w:p>
    <w:p w14:paraId="20427B3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对于索赔申请，我司在收到齐全的书面索赔申请和索赔单证后，立即核定损失项目和金额，并按照以下时限要求将赔付意见向采购人反馈：</w:t>
      </w:r>
    </w:p>
    <w:p w14:paraId="07ED9DB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30" w:firstLineChars="3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kern w:val="0"/>
          <w:sz w:val="21"/>
          <w:szCs w:val="21"/>
          <w:highlight w:val="none"/>
          <w:lang w:bidi="ar"/>
        </w:rPr>
        <w:t>估损金额在人民币</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万以下（含）时，不超过</w:t>
      </w:r>
      <w:r>
        <w:rPr>
          <w:rFonts w:hint="eastAsia" w:ascii="宋体" w:hAnsi="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个工作日；</w:t>
      </w:r>
    </w:p>
    <w:p w14:paraId="77AADDD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30" w:firstLineChars="300"/>
        <w:jc w:val="left"/>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kern w:val="0"/>
          <w:sz w:val="21"/>
          <w:szCs w:val="21"/>
          <w:highlight w:val="none"/>
          <w:lang w:bidi="ar"/>
        </w:rPr>
        <w:t>估损金额在人民币</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万元以上时，不超过</w:t>
      </w:r>
      <w:r>
        <w:rPr>
          <w:rFonts w:hint="eastAsia" w:ascii="宋体" w:hAnsi="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个工作日；</w:t>
      </w:r>
    </w:p>
    <w:p w14:paraId="47EAAE5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在双方达成赔偿协议后，中标人应按照以下时限将赔款支付给采购人：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4"/>
        <w:gridCol w:w="2355"/>
      </w:tblGrid>
      <w:tr w14:paraId="426F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4364" w:type="dxa"/>
            <w:tcBorders>
              <w:top w:val="single" w:color="auto" w:sz="4" w:space="0"/>
              <w:left w:val="single" w:color="auto" w:sz="4" w:space="0"/>
              <w:bottom w:val="single" w:color="auto" w:sz="4" w:space="0"/>
              <w:right w:val="single" w:color="auto" w:sz="4" w:space="0"/>
            </w:tcBorders>
            <w:noWrap w:val="0"/>
            <w:vAlign w:val="center"/>
          </w:tcPr>
          <w:p w14:paraId="00783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人民币</w:t>
            </w: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万元</w:t>
            </w:r>
            <w:r>
              <w:rPr>
                <w:rFonts w:hint="eastAsia" w:ascii="宋体" w:hAnsi="宋体" w:eastAsia="宋体" w:cs="宋体"/>
                <w:kern w:val="0"/>
                <w:sz w:val="21"/>
                <w:szCs w:val="21"/>
                <w:highlight w:val="none"/>
                <w:lang w:bidi="ar"/>
              </w:rPr>
              <w:t>（含）</w:t>
            </w:r>
            <w:r>
              <w:rPr>
                <w:rFonts w:hint="eastAsia" w:ascii="宋体" w:hAnsi="宋体" w:eastAsia="宋体" w:cs="宋体"/>
                <w:sz w:val="21"/>
                <w:szCs w:val="21"/>
                <w:highlight w:val="none"/>
                <w:lang w:bidi="ar"/>
              </w:rPr>
              <w:t>以内赔案</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3666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3</w:t>
            </w:r>
            <w:r>
              <w:rPr>
                <w:rFonts w:hint="eastAsia" w:ascii="宋体" w:hAnsi="宋体" w:eastAsia="宋体" w:cs="宋体"/>
                <w:sz w:val="21"/>
                <w:szCs w:val="21"/>
                <w:highlight w:val="none"/>
                <w:lang w:bidi="ar"/>
              </w:rPr>
              <w:t>个工作日内支付</w:t>
            </w:r>
          </w:p>
        </w:tc>
      </w:tr>
      <w:tr w14:paraId="4B32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364" w:type="dxa"/>
            <w:tcBorders>
              <w:top w:val="single" w:color="auto" w:sz="4" w:space="0"/>
              <w:left w:val="single" w:color="auto" w:sz="4" w:space="0"/>
              <w:bottom w:val="single" w:color="auto" w:sz="4" w:space="0"/>
              <w:right w:val="single" w:color="auto" w:sz="4" w:space="0"/>
            </w:tcBorders>
            <w:noWrap w:val="0"/>
            <w:vAlign w:val="center"/>
          </w:tcPr>
          <w:p w14:paraId="670425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人民币</w:t>
            </w: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万元至</w:t>
            </w: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bidi="ar"/>
              </w:rPr>
              <w:t>万元</w:t>
            </w:r>
            <w:r>
              <w:rPr>
                <w:rFonts w:hint="eastAsia" w:ascii="宋体" w:hAnsi="宋体" w:eastAsia="宋体" w:cs="宋体"/>
                <w:kern w:val="0"/>
                <w:sz w:val="21"/>
                <w:szCs w:val="21"/>
                <w:highlight w:val="none"/>
                <w:lang w:bidi="ar"/>
              </w:rPr>
              <w:t>（含）</w:t>
            </w:r>
            <w:r>
              <w:rPr>
                <w:rFonts w:hint="eastAsia" w:ascii="宋体" w:hAnsi="宋体" w:eastAsia="宋体" w:cs="宋体"/>
                <w:sz w:val="21"/>
                <w:szCs w:val="21"/>
                <w:highlight w:val="none"/>
                <w:lang w:val="en-US" w:eastAsia="zh-CN" w:bidi="ar"/>
              </w:rPr>
              <w:t>的</w:t>
            </w:r>
            <w:r>
              <w:rPr>
                <w:rFonts w:hint="eastAsia" w:ascii="宋体" w:hAnsi="宋体" w:eastAsia="宋体" w:cs="宋体"/>
                <w:sz w:val="21"/>
                <w:szCs w:val="21"/>
                <w:highlight w:val="none"/>
                <w:lang w:bidi="ar"/>
              </w:rPr>
              <w:t>赔案</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197B4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5</w:t>
            </w:r>
            <w:r>
              <w:rPr>
                <w:rFonts w:hint="eastAsia" w:ascii="宋体" w:hAnsi="宋体" w:eastAsia="宋体" w:cs="宋体"/>
                <w:sz w:val="21"/>
                <w:szCs w:val="21"/>
                <w:highlight w:val="none"/>
                <w:lang w:bidi="ar"/>
              </w:rPr>
              <w:t>个工作日内支付</w:t>
            </w:r>
          </w:p>
        </w:tc>
      </w:tr>
      <w:tr w14:paraId="6685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364" w:type="dxa"/>
            <w:tcBorders>
              <w:top w:val="single" w:color="auto" w:sz="4" w:space="0"/>
              <w:left w:val="single" w:color="auto" w:sz="4" w:space="0"/>
              <w:bottom w:val="single" w:color="auto" w:sz="4" w:space="0"/>
              <w:right w:val="single" w:color="auto" w:sz="4" w:space="0"/>
            </w:tcBorders>
            <w:noWrap w:val="0"/>
            <w:vAlign w:val="center"/>
          </w:tcPr>
          <w:p w14:paraId="60F8A0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人民币5万元以上赔案</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2972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8</w:t>
            </w:r>
            <w:r>
              <w:rPr>
                <w:rFonts w:hint="eastAsia" w:ascii="宋体" w:hAnsi="宋体" w:eastAsia="宋体" w:cs="宋体"/>
                <w:sz w:val="21"/>
                <w:szCs w:val="21"/>
                <w:highlight w:val="none"/>
                <w:lang w:bidi="ar"/>
              </w:rPr>
              <w:t>个工作日内支付</w:t>
            </w:r>
          </w:p>
        </w:tc>
      </w:tr>
    </w:tbl>
    <w:p w14:paraId="6D57E2AC">
      <w:pPr>
        <w:keepNext w:val="0"/>
        <w:keepLines w:val="0"/>
        <w:pageBreakBefore w:val="0"/>
        <w:widowControl w:val="0"/>
        <w:kinsoku/>
        <w:wordWrap/>
        <w:overflowPunct/>
        <w:topLinePunct w:val="0"/>
        <w:bidi w:val="0"/>
        <w:spacing w:line="400" w:lineRule="exact"/>
        <w:rPr>
          <w:rFonts w:hint="eastAsia" w:ascii="宋体" w:hAnsi="宋体" w:eastAsia="宋体" w:cs="宋体"/>
          <w:color w:val="auto"/>
          <w:sz w:val="21"/>
          <w:szCs w:val="21"/>
          <w:highlight w:val="none"/>
          <w:lang w:val="en-US" w:eastAsia="zh-CN"/>
        </w:rPr>
      </w:pPr>
    </w:p>
    <w:p w14:paraId="0BE3DC51">
      <w:pPr>
        <w:pStyle w:val="24"/>
        <w:keepNext w:val="0"/>
        <w:keepLines w:val="0"/>
        <w:pageBreakBefore w:val="0"/>
        <w:kinsoku/>
        <w:wordWrap/>
        <w:overflowPunct/>
        <w:topLinePunct w:val="0"/>
        <w:bidi w:val="0"/>
        <w:spacing w:before="0" w:beforeLines="0" w:beforeAutospacing="0" w:after="0" w:afterLines="0" w:afterAutospacing="0" w:line="500" w:lineRule="exact"/>
        <w:textAlignment w:val="auto"/>
        <w:rPr>
          <w:rFonts w:hint="eastAsia"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八、考核办法</w:t>
      </w:r>
    </w:p>
    <w:p w14:paraId="486A590F">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1.考核时间：</w:t>
      </w:r>
      <w:r>
        <w:rPr>
          <w:rFonts w:hint="eastAsia" w:ascii="宋体" w:hAnsi="宋体" w:eastAsia="宋体" w:cs="Times New Roman"/>
          <w:bCs/>
          <w:color w:val="auto"/>
          <w:szCs w:val="21"/>
          <w:highlight w:val="none"/>
          <w:lang w:eastAsia="zh-CN"/>
        </w:rPr>
        <w:t>年度</w:t>
      </w:r>
      <w:r>
        <w:rPr>
          <w:rFonts w:ascii="宋体" w:hAnsi="宋体" w:eastAsia="宋体" w:cs="Times New Roman"/>
          <w:bCs/>
          <w:color w:val="auto"/>
          <w:szCs w:val="21"/>
          <w:highlight w:val="none"/>
        </w:rPr>
        <w:t>不定期考核</w:t>
      </w:r>
      <w:r>
        <w:rPr>
          <w:rFonts w:hint="eastAsia" w:ascii="宋体" w:hAnsi="宋体" w:eastAsia="宋体" w:cs="Times New Roman"/>
          <w:bCs/>
          <w:color w:val="auto"/>
          <w:szCs w:val="21"/>
          <w:highlight w:val="none"/>
        </w:rPr>
        <w:t>。</w:t>
      </w:r>
    </w:p>
    <w:p w14:paraId="7B2EDD6F">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firstLineChars="200"/>
        <w:textAlignment w:val="bottom"/>
        <w:rPr>
          <w:rFonts w:ascii="宋体" w:hAnsi="宋体" w:eastAsia="宋体" w:cs="Times New Roman"/>
          <w:bCs/>
          <w:color w:val="auto"/>
          <w:szCs w:val="21"/>
          <w:highlight w:val="none"/>
        </w:rPr>
      </w:pPr>
      <w:r>
        <w:rPr>
          <w:rFonts w:ascii="宋体" w:hAnsi="宋体" w:eastAsia="宋体" w:cs="Times New Roman"/>
          <w:bCs/>
          <w:color w:val="auto"/>
          <w:szCs w:val="21"/>
          <w:highlight w:val="none"/>
        </w:rPr>
        <w:t>2.考核细则</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1"/>
        <w:gridCol w:w="1623"/>
      </w:tblGrid>
      <w:tr w14:paraId="7504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79BC5012">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考核内容</w:t>
            </w:r>
          </w:p>
        </w:tc>
        <w:tc>
          <w:tcPr>
            <w:tcW w:w="1623" w:type="dxa"/>
            <w:noWrap w:val="0"/>
            <w:vAlign w:val="top"/>
          </w:tcPr>
          <w:p w14:paraId="3C4BE7BC">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分值</w:t>
            </w:r>
          </w:p>
        </w:tc>
      </w:tr>
      <w:tr w14:paraId="02F2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02AC464C">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eastAsia" w:ascii="宋体" w:hAnsi="宋体" w:eastAsia="宋体" w:cs="Times New Roman"/>
                <w:bCs/>
                <w:color w:val="auto"/>
                <w:szCs w:val="21"/>
                <w:highlight w:val="none"/>
                <w:lang w:eastAsia="zh-CN"/>
              </w:rPr>
            </w:pPr>
            <w:r>
              <w:rPr>
                <w:rFonts w:hint="default"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成交方</w:t>
            </w:r>
            <w:r>
              <w:rPr>
                <w:rFonts w:hint="default" w:ascii="宋体" w:hAnsi="宋体" w:eastAsia="宋体" w:cs="Times New Roman"/>
                <w:bCs/>
                <w:color w:val="auto"/>
                <w:szCs w:val="21"/>
                <w:highlight w:val="none"/>
              </w:rPr>
              <w:t>未能</w:t>
            </w:r>
            <w:r>
              <w:rPr>
                <w:rFonts w:hint="eastAsia" w:ascii="宋体" w:hAnsi="宋体" w:eastAsia="宋体" w:cs="Times New Roman"/>
                <w:bCs/>
                <w:color w:val="auto"/>
                <w:szCs w:val="21"/>
                <w:highlight w:val="none"/>
                <w:lang w:eastAsia="zh-CN"/>
              </w:rPr>
              <w:t>按时反馈</w:t>
            </w:r>
          </w:p>
        </w:tc>
        <w:tc>
          <w:tcPr>
            <w:tcW w:w="1623" w:type="dxa"/>
            <w:noWrap w:val="0"/>
            <w:vAlign w:val="center"/>
          </w:tcPr>
          <w:p w14:paraId="0AEA524C">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szCs w:val="21"/>
                <w:highlight w:val="none"/>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w:t>
            </w:r>
            <w:r>
              <w:rPr>
                <w:rFonts w:hint="default" w:ascii="宋体" w:hAnsi="宋体" w:eastAsia="宋体" w:cs="Times New Roman"/>
                <w:bCs/>
                <w:color w:val="auto"/>
                <w:szCs w:val="21"/>
                <w:highlight w:val="none"/>
              </w:rPr>
              <w:t>分</w:t>
            </w:r>
          </w:p>
        </w:tc>
      </w:tr>
      <w:tr w14:paraId="05BE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215608EB">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lang w:eastAsia="zh-CN"/>
              </w:rPr>
              <w:t>成交方</w:t>
            </w:r>
            <w:r>
              <w:rPr>
                <w:rFonts w:hint="default" w:ascii="宋体" w:hAnsi="宋体" w:eastAsia="宋体" w:cs="Times New Roman"/>
                <w:bCs/>
                <w:color w:val="auto"/>
                <w:szCs w:val="21"/>
                <w:highlight w:val="none"/>
              </w:rPr>
              <w:t>未能</w:t>
            </w:r>
            <w:r>
              <w:rPr>
                <w:rFonts w:hint="eastAsia" w:ascii="宋体" w:hAnsi="宋体" w:eastAsia="宋体" w:cs="Times New Roman"/>
                <w:bCs/>
                <w:color w:val="auto"/>
                <w:szCs w:val="21"/>
                <w:highlight w:val="none"/>
                <w:lang w:eastAsia="zh-CN"/>
              </w:rPr>
              <w:t>按时赔付</w:t>
            </w:r>
          </w:p>
        </w:tc>
        <w:tc>
          <w:tcPr>
            <w:tcW w:w="1623" w:type="dxa"/>
            <w:noWrap w:val="0"/>
            <w:vAlign w:val="center"/>
          </w:tcPr>
          <w:p w14:paraId="57C507C4">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szCs w:val="21"/>
                <w:highlight w:val="none"/>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w:t>
            </w:r>
            <w:r>
              <w:rPr>
                <w:rFonts w:hint="default" w:ascii="宋体" w:hAnsi="宋体" w:eastAsia="宋体" w:cs="Times New Roman"/>
                <w:bCs/>
                <w:color w:val="auto"/>
                <w:szCs w:val="21"/>
                <w:highlight w:val="none"/>
              </w:rPr>
              <w:t>分</w:t>
            </w:r>
          </w:p>
        </w:tc>
      </w:tr>
      <w:tr w14:paraId="10BE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1" w:type="dxa"/>
            <w:noWrap w:val="0"/>
            <w:vAlign w:val="top"/>
          </w:tcPr>
          <w:p w14:paraId="3E5C12F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lang w:val="en-US" w:eastAsia="zh-CN"/>
              </w:rPr>
              <w:t>3</w:t>
            </w:r>
            <w:r>
              <w:rPr>
                <w:rFonts w:hint="default" w:ascii="宋体" w:hAnsi="宋体" w:eastAsia="宋体" w:cs="Times New Roman"/>
                <w:bCs/>
                <w:color w:val="auto"/>
                <w:szCs w:val="21"/>
                <w:highlight w:val="none"/>
              </w:rPr>
              <w:t>、</w:t>
            </w:r>
            <w:r>
              <w:rPr>
                <w:rFonts w:hint="eastAsia" w:ascii="宋体" w:hAnsi="宋体" w:eastAsia="宋体" w:cs="Times New Roman"/>
                <w:szCs w:val="21"/>
                <w:lang w:eastAsia="zh-CN"/>
              </w:rPr>
              <w:t>成交方</w:t>
            </w:r>
            <w:r>
              <w:rPr>
                <w:rFonts w:hint="eastAsia" w:ascii="宋体" w:hAnsi="宋体" w:eastAsia="宋体" w:cs="Times New Roman"/>
                <w:szCs w:val="21"/>
              </w:rPr>
              <w:t>工作人员不遵守相关管理规定、不配合相关检查的；</w:t>
            </w:r>
          </w:p>
        </w:tc>
        <w:tc>
          <w:tcPr>
            <w:tcW w:w="1623" w:type="dxa"/>
            <w:noWrap w:val="0"/>
            <w:vAlign w:val="center"/>
          </w:tcPr>
          <w:p w14:paraId="138CC1D6">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szCs w:val="21"/>
                <w:highlight w:val="none"/>
              </w:rPr>
            </w:pPr>
            <w:r>
              <w:rPr>
                <w:rFonts w:hint="eastAsia" w:ascii="宋体" w:hAnsi="宋体" w:eastAsia="宋体" w:cs="Times New Roman"/>
                <w:bCs/>
                <w:color w:val="auto"/>
                <w:szCs w:val="21"/>
                <w:highlight w:val="none"/>
              </w:rPr>
              <w:t>扣</w:t>
            </w:r>
            <w:r>
              <w:rPr>
                <w:rFonts w:hint="eastAsia" w:ascii="宋体" w:hAnsi="宋体" w:eastAsia="宋体" w:cs="Times New Roman"/>
                <w:bCs/>
                <w:color w:val="auto"/>
                <w:szCs w:val="21"/>
                <w:highlight w:val="none"/>
                <w:lang w:val="en-US" w:eastAsia="zh-CN"/>
              </w:rPr>
              <w:t>5</w:t>
            </w:r>
            <w:r>
              <w:rPr>
                <w:rFonts w:hint="default" w:ascii="宋体" w:hAnsi="宋体" w:eastAsia="宋体" w:cs="Times New Roman"/>
                <w:bCs/>
                <w:color w:val="auto"/>
                <w:szCs w:val="21"/>
                <w:highlight w:val="none"/>
              </w:rPr>
              <w:t>分</w:t>
            </w:r>
          </w:p>
        </w:tc>
      </w:tr>
      <w:tr w14:paraId="484F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1" w:type="dxa"/>
            <w:noWrap w:val="0"/>
            <w:vAlign w:val="top"/>
          </w:tcPr>
          <w:p w14:paraId="4379BB53">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szCs w:val="21"/>
                <w:highlight w:val="none"/>
                <w:lang w:val="en-US" w:eastAsia="zh-CN"/>
              </w:rPr>
              <w:t>4</w:t>
            </w:r>
            <w:r>
              <w:rPr>
                <w:rFonts w:hint="default" w:ascii="宋体" w:hAnsi="宋体" w:eastAsia="宋体" w:cs="Times New Roman"/>
                <w:bCs/>
                <w:color w:val="auto"/>
                <w:szCs w:val="21"/>
                <w:highlight w:val="none"/>
              </w:rPr>
              <w:t>、</w:t>
            </w:r>
            <w:r>
              <w:rPr>
                <w:rFonts w:hint="eastAsia" w:ascii="宋体" w:hAnsi="宋体" w:eastAsia="宋体" w:cs="Times New Roman"/>
                <w:szCs w:val="21"/>
                <w:lang w:eastAsia="zh-CN"/>
              </w:rPr>
              <w:t>成交方</w:t>
            </w:r>
            <w:r>
              <w:rPr>
                <w:rFonts w:hint="eastAsia" w:ascii="宋体" w:hAnsi="宋体" w:eastAsia="宋体" w:cs="Times New Roman"/>
                <w:szCs w:val="21"/>
              </w:rPr>
              <w:t>不得以礼金、礼卡、优惠券及其他任何不正当利益馈赠</w:t>
            </w:r>
            <w:r>
              <w:rPr>
                <w:rFonts w:hint="eastAsia" w:ascii="宋体" w:hAnsi="宋体" w:eastAsia="宋体" w:cs="Times New Roman"/>
                <w:szCs w:val="21"/>
                <w:lang w:eastAsia="zh-CN"/>
              </w:rPr>
              <w:t>采购人</w:t>
            </w:r>
            <w:r>
              <w:rPr>
                <w:rFonts w:hint="eastAsia" w:ascii="宋体" w:hAnsi="宋体" w:eastAsia="宋体" w:cs="Times New Roman"/>
                <w:szCs w:val="21"/>
              </w:rPr>
              <w:t>的任何工作人员等有违法廉政承诺规定的</w:t>
            </w:r>
          </w:p>
        </w:tc>
        <w:tc>
          <w:tcPr>
            <w:tcW w:w="1623" w:type="dxa"/>
            <w:noWrap w:val="0"/>
            <w:vAlign w:val="center"/>
          </w:tcPr>
          <w:p w14:paraId="6CC800BF">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5分</w:t>
            </w:r>
          </w:p>
        </w:tc>
      </w:tr>
      <w:tr w14:paraId="7157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3237885F">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lang w:val="en-US" w:eastAsia="zh-CN"/>
              </w:rPr>
              <w:t>5</w:t>
            </w:r>
            <w:r>
              <w:rPr>
                <w:rFonts w:hint="default" w:ascii="宋体" w:hAnsi="宋体" w:eastAsia="宋体" w:cs="Times New Roman"/>
                <w:bCs/>
                <w:color w:val="auto"/>
                <w:szCs w:val="21"/>
                <w:highlight w:val="none"/>
              </w:rPr>
              <w:t>、组织机构发生调整，或经营场所、联系人、联系方式变更，未及时通知</w:t>
            </w:r>
            <w:r>
              <w:rPr>
                <w:rFonts w:hint="eastAsia" w:ascii="宋体" w:hAnsi="宋体" w:eastAsia="宋体" w:cs="Times New Roman"/>
                <w:bCs/>
                <w:color w:val="auto"/>
                <w:szCs w:val="21"/>
                <w:highlight w:val="none"/>
                <w:lang w:eastAsia="zh-CN"/>
              </w:rPr>
              <w:t>采购人</w:t>
            </w:r>
            <w:r>
              <w:rPr>
                <w:rFonts w:hint="default" w:ascii="宋体" w:hAnsi="宋体" w:eastAsia="宋体" w:cs="Times New Roman"/>
                <w:bCs/>
                <w:color w:val="auto"/>
                <w:szCs w:val="21"/>
                <w:highlight w:val="none"/>
              </w:rPr>
              <w:t>，造成无法及时联系</w:t>
            </w:r>
          </w:p>
        </w:tc>
        <w:tc>
          <w:tcPr>
            <w:tcW w:w="1623" w:type="dxa"/>
            <w:noWrap w:val="0"/>
            <w:vAlign w:val="center"/>
          </w:tcPr>
          <w:p w14:paraId="764F3CC7">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5分</w:t>
            </w:r>
          </w:p>
        </w:tc>
      </w:tr>
      <w:tr w14:paraId="7295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29022FAC">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w:t>
            </w:r>
            <w:r>
              <w:rPr>
                <w:rFonts w:hint="eastAsia" w:ascii="宋体" w:hAnsi="宋体" w:cs="Times New Roman"/>
                <w:szCs w:val="21"/>
              </w:rPr>
              <w:t>未认真履行职责的</w:t>
            </w:r>
          </w:p>
        </w:tc>
        <w:tc>
          <w:tcPr>
            <w:tcW w:w="1623" w:type="dxa"/>
            <w:noWrap w:val="0"/>
            <w:vAlign w:val="center"/>
          </w:tcPr>
          <w:p w14:paraId="61B8968B">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5分</w:t>
            </w:r>
          </w:p>
        </w:tc>
      </w:tr>
      <w:tr w14:paraId="58D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48B5CCD0">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7、</w:t>
            </w:r>
            <w:r>
              <w:rPr>
                <w:rFonts w:hint="eastAsia" w:ascii="宋体" w:hAnsi="宋体" w:cs="Times New Roman"/>
                <w:szCs w:val="21"/>
              </w:rPr>
              <w:t>因工作失误业主投诉</w:t>
            </w:r>
          </w:p>
        </w:tc>
        <w:tc>
          <w:tcPr>
            <w:tcW w:w="1623" w:type="dxa"/>
            <w:noWrap w:val="0"/>
            <w:vAlign w:val="center"/>
          </w:tcPr>
          <w:p w14:paraId="0541BCDB">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5分</w:t>
            </w:r>
          </w:p>
        </w:tc>
      </w:tr>
      <w:tr w14:paraId="3F0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noWrap w:val="0"/>
            <w:vAlign w:val="top"/>
          </w:tcPr>
          <w:p w14:paraId="02174AE3">
            <w:pPr>
              <w:keepNext w:val="0"/>
              <w:keepLines w:val="0"/>
              <w:pageBreakBefore w:val="0"/>
              <w:widowControl w:val="0"/>
              <w:suppressLineNumbers w:val="0"/>
              <w:tabs>
                <w:tab w:val="left" w:pos="1243"/>
              </w:tabs>
              <w:kinsoku/>
              <w:wordWrap/>
              <w:overflowPunct/>
              <w:topLinePunct w:val="0"/>
              <w:autoSpaceDE w:val="0"/>
              <w:autoSpaceDN w:val="0"/>
              <w:bidi w:val="0"/>
              <w:adjustRightInd w:val="0"/>
              <w:snapToGrid w:val="0"/>
              <w:spacing w:before="0" w:beforeAutospacing="0" w:after="0" w:afterAutospacing="0" w:line="400" w:lineRule="exact"/>
              <w:ind w:left="0" w:right="0"/>
              <w:jc w:val="left"/>
              <w:textAlignment w:val="bottom"/>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8、服务态度较差的</w:t>
            </w:r>
          </w:p>
        </w:tc>
        <w:tc>
          <w:tcPr>
            <w:tcW w:w="1623" w:type="dxa"/>
            <w:noWrap w:val="0"/>
            <w:vAlign w:val="center"/>
          </w:tcPr>
          <w:p w14:paraId="6213B942">
            <w:pPr>
              <w:keepNext w:val="0"/>
              <w:keepLines w:val="0"/>
              <w:pageBreakBefore w:val="0"/>
              <w:suppressLineNumbers w:val="0"/>
              <w:tabs>
                <w:tab w:val="left" w:pos="1243"/>
              </w:tabs>
              <w:kinsoku/>
              <w:wordWrap/>
              <w:topLinePunct w:val="0"/>
              <w:autoSpaceDE w:val="0"/>
              <w:autoSpaceDN w:val="0"/>
              <w:bidi w:val="0"/>
              <w:adjustRightInd w:val="0"/>
              <w:snapToGrid w:val="0"/>
              <w:spacing w:before="0" w:beforeAutospacing="0" w:after="0" w:afterAutospacing="0" w:line="400" w:lineRule="exact"/>
              <w:ind w:left="0" w:right="0"/>
              <w:jc w:val="center"/>
              <w:textAlignment w:val="bottom"/>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szCs w:val="21"/>
                <w:highlight w:val="none"/>
              </w:rPr>
              <w:t>扣</w:t>
            </w:r>
            <w:r>
              <w:rPr>
                <w:rFonts w:hint="eastAsia" w:ascii="宋体" w:hAnsi="宋体" w:cs="Times New Roman"/>
                <w:bCs/>
                <w:color w:val="auto"/>
                <w:szCs w:val="21"/>
                <w:highlight w:val="none"/>
                <w:lang w:val="en-US" w:eastAsia="zh-CN"/>
              </w:rPr>
              <w:t>5分</w:t>
            </w:r>
          </w:p>
        </w:tc>
      </w:tr>
    </w:tbl>
    <w:p w14:paraId="21157975">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Times New Roman" w:eastAsia="宋体" w:cs="宋体"/>
          <w:color w:val="auto"/>
          <w:szCs w:val="21"/>
          <w:highlight w:val="none"/>
          <w:lang w:eastAsia="zh-CN"/>
        </w:rPr>
      </w:pPr>
      <w:r>
        <w:rPr>
          <w:rFonts w:hint="eastAsia" w:ascii="宋体" w:hAnsi="宋体" w:eastAsia="宋体" w:cs="Times New Roman"/>
          <w:bCs/>
          <w:color w:val="auto"/>
          <w:szCs w:val="21"/>
          <w:highlight w:val="none"/>
          <w:lang w:eastAsia="zh-CN"/>
        </w:rPr>
        <w:t>成交方</w:t>
      </w:r>
      <w:r>
        <w:rPr>
          <w:rFonts w:ascii="宋体" w:hAnsi="宋体" w:eastAsia="宋体" w:cs="Times New Roman"/>
          <w:bCs/>
          <w:color w:val="auto"/>
          <w:szCs w:val="21"/>
          <w:highlight w:val="none"/>
        </w:rPr>
        <w:t>要无条件接受</w:t>
      </w:r>
      <w:r>
        <w:rPr>
          <w:rFonts w:hint="eastAsia" w:ascii="宋体" w:hAnsi="宋体" w:eastAsia="宋体" w:cs="Times New Roman"/>
          <w:bCs/>
          <w:color w:val="auto"/>
          <w:szCs w:val="21"/>
          <w:highlight w:val="none"/>
          <w:lang w:eastAsia="zh-CN"/>
        </w:rPr>
        <w:t>采购人</w:t>
      </w:r>
      <w:r>
        <w:rPr>
          <w:rFonts w:ascii="宋体" w:hAnsi="宋体" w:eastAsia="宋体" w:cs="Times New Roman"/>
          <w:bCs/>
          <w:color w:val="auto"/>
          <w:szCs w:val="21"/>
          <w:highlight w:val="none"/>
        </w:rPr>
        <w:t>不定期检查监督，本考核细满分为100分。若考核总分高于</w:t>
      </w:r>
      <w:r>
        <w:rPr>
          <w:rFonts w:hint="eastAsia" w:ascii="宋体" w:hAnsi="宋体" w:eastAsia="宋体" w:cs="Times New Roman"/>
          <w:bCs/>
          <w:color w:val="auto"/>
          <w:szCs w:val="21"/>
          <w:highlight w:val="none"/>
          <w:lang w:val="en-US" w:eastAsia="zh-CN"/>
        </w:rPr>
        <w:t>85</w:t>
      </w:r>
      <w:r>
        <w:rPr>
          <w:rFonts w:ascii="宋体" w:hAnsi="宋体" w:eastAsia="宋体" w:cs="Times New Roman"/>
          <w:bCs/>
          <w:color w:val="auto"/>
          <w:szCs w:val="21"/>
          <w:highlight w:val="none"/>
        </w:rPr>
        <w:t>分，视为本</w:t>
      </w:r>
      <w:r>
        <w:rPr>
          <w:rFonts w:hint="eastAsia" w:ascii="宋体" w:hAnsi="宋体" w:eastAsia="宋体" w:cs="Times New Roman"/>
          <w:bCs/>
          <w:color w:val="auto"/>
          <w:szCs w:val="21"/>
          <w:highlight w:val="none"/>
          <w:lang w:eastAsia="zh-CN"/>
        </w:rPr>
        <w:t>年度</w:t>
      </w:r>
      <w:r>
        <w:rPr>
          <w:rFonts w:ascii="宋体" w:hAnsi="宋体" w:eastAsia="宋体" w:cs="Times New Roman"/>
          <w:bCs/>
          <w:color w:val="auto"/>
          <w:szCs w:val="21"/>
          <w:highlight w:val="none"/>
        </w:rPr>
        <w:t>考核合格；低于</w:t>
      </w:r>
      <w:r>
        <w:rPr>
          <w:rFonts w:hint="eastAsia" w:ascii="宋体" w:hAnsi="宋体" w:eastAsia="宋体" w:cs="Times New Roman"/>
          <w:bCs/>
          <w:color w:val="auto"/>
          <w:szCs w:val="21"/>
          <w:highlight w:val="none"/>
          <w:lang w:val="en-US" w:eastAsia="zh-CN"/>
        </w:rPr>
        <w:t>85</w:t>
      </w:r>
      <w:r>
        <w:rPr>
          <w:rFonts w:ascii="宋体" w:hAnsi="宋体" w:eastAsia="宋体" w:cs="Times New Roman"/>
          <w:bCs/>
          <w:color w:val="auto"/>
          <w:szCs w:val="21"/>
          <w:highlight w:val="none"/>
        </w:rPr>
        <w:t>分</w:t>
      </w:r>
      <w:r>
        <w:rPr>
          <w:rFonts w:ascii="宋体" w:hAnsi="宋体" w:eastAsia="宋体" w:cs="Times New Roman"/>
          <w:b/>
          <w:bCs w:val="0"/>
          <w:color w:val="auto"/>
          <w:szCs w:val="21"/>
          <w:highlight w:val="none"/>
        </w:rPr>
        <w:t>（含）</w:t>
      </w:r>
      <w:r>
        <w:rPr>
          <w:rFonts w:ascii="宋体" w:hAnsi="宋体" w:eastAsia="宋体" w:cs="Times New Roman"/>
          <w:bCs/>
          <w:color w:val="auto"/>
          <w:szCs w:val="21"/>
          <w:highlight w:val="none"/>
        </w:rPr>
        <w:t>为不合格</w:t>
      </w:r>
    </w:p>
    <w:p w14:paraId="015C382B">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宋体" w:eastAsia="宋体" w:cs="宋体"/>
          <w:color w:val="auto"/>
          <w:kern w:val="0"/>
          <w:szCs w:val="21"/>
          <w:highlight w:val="none"/>
        </w:rPr>
      </w:pPr>
      <w:r>
        <w:rPr>
          <w:rFonts w:hint="eastAsia" w:ascii="宋体" w:hAnsi="宋体" w:eastAsia="宋体" w:cs="Times New Roman"/>
          <w:bCs/>
          <w:color w:val="auto"/>
          <w:szCs w:val="21"/>
          <w:highlight w:val="none"/>
        </w:rPr>
        <w:t>年度考核中（合同签订之日起）年度考核合格，</w:t>
      </w:r>
      <w:r>
        <w:rPr>
          <w:rFonts w:hint="eastAsia" w:ascii="宋体" w:hAnsi="宋体" w:eastAsia="宋体" w:cs="宋体"/>
          <w:color w:val="auto"/>
          <w:kern w:val="0"/>
          <w:szCs w:val="21"/>
          <w:highlight w:val="none"/>
        </w:rPr>
        <w:t>经采购人确认</w:t>
      </w:r>
      <w:r>
        <w:rPr>
          <w:rFonts w:hint="eastAsia" w:ascii="宋体" w:hAnsi="宋体" w:cs="宋体"/>
          <w:color w:val="auto"/>
          <w:kern w:val="0"/>
          <w:szCs w:val="21"/>
          <w:highlight w:val="none"/>
        </w:rPr>
        <w:t>，可续签下一年度合同，最多可续签二次</w:t>
      </w:r>
      <w:r>
        <w:rPr>
          <w:rFonts w:hint="eastAsia" w:ascii="宋体" w:hAnsi="宋体" w:eastAsia="宋体" w:cs="宋体"/>
          <w:color w:val="auto"/>
          <w:kern w:val="0"/>
          <w:szCs w:val="21"/>
          <w:highlight w:val="none"/>
        </w:rPr>
        <w:t>。</w:t>
      </w:r>
    </w:p>
    <w:p w14:paraId="74BD6F13">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Times New Roman" w:eastAsia="宋体" w:cs="宋体"/>
          <w:color w:val="auto"/>
          <w:szCs w:val="21"/>
          <w:highlight w:val="none"/>
        </w:rPr>
      </w:pPr>
      <w:r>
        <w:rPr>
          <w:rFonts w:hint="eastAsia" w:ascii="宋体" w:hAnsi="宋体" w:eastAsia="宋体" w:cs="宋体"/>
          <w:color w:val="auto"/>
          <w:kern w:val="0"/>
          <w:szCs w:val="21"/>
          <w:highlight w:val="none"/>
          <w:lang w:eastAsia="zh-CN"/>
        </w:rPr>
        <w:t>因成交方原因导致解除合同的，由此造成的一切相关损失全部由成交方承担</w:t>
      </w:r>
    </w:p>
    <w:p w14:paraId="26E99815">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宋体" w:eastAsia="宋体" w:cs="宋体"/>
          <w:color w:val="auto"/>
          <w:kern w:val="0"/>
          <w:szCs w:val="21"/>
          <w:highlight w:val="none"/>
        </w:rPr>
      </w:pPr>
    </w:p>
    <w:p w14:paraId="68196B3E">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宋体" w:eastAsia="宋体" w:cs="宋体"/>
          <w:color w:val="auto"/>
          <w:kern w:val="0"/>
          <w:szCs w:val="21"/>
          <w:highlight w:val="none"/>
        </w:rPr>
      </w:pPr>
    </w:p>
    <w:p w14:paraId="22D8E50D">
      <w:pPr>
        <w:keepNext w:val="0"/>
        <w:keepLines w:val="0"/>
        <w:pageBreakBefore w:val="0"/>
        <w:widowControl w:val="0"/>
        <w:tabs>
          <w:tab w:val="left" w:pos="1243"/>
        </w:tabs>
        <w:kinsoku/>
        <w:wordWrap/>
        <w:overflowPunct/>
        <w:topLinePunct w:val="0"/>
        <w:autoSpaceDE w:val="0"/>
        <w:autoSpaceDN w:val="0"/>
        <w:bidi w:val="0"/>
        <w:adjustRightInd w:val="0"/>
        <w:snapToGrid w:val="0"/>
        <w:spacing w:line="400" w:lineRule="exact"/>
        <w:ind w:firstLine="420"/>
        <w:textAlignment w:val="bottom"/>
        <w:rPr>
          <w:rFonts w:hint="eastAsia" w:ascii="宋体" w:hAnsi="宋体" w:eastAsia="宋体" w:cs="宋体"/>
          <w:color w:val="auto"/>
          <w:kern w:val="0"/>
          <w:szCs w:val="21"/>
          <w:highlight w:val="none"/>
        </w:rPr>
      </w:pPr>
    </w:p>
    <w:p w14:paraId="2F12ECC2">
      <w:pPr>
        <w:pStyle w:val="24"/>
        <w:rPr>
          <w:rFonts w:hint="eastAsia" w:ascii="宋体" w:hAnsi="宋体" w:eastAsia="宋体" w:cs="宋体"/>
          <w:color w:val="auto"/>
          <w:kern w:val="0"/>
          <w:szCs w:val="21"/>
          <w:highlight w:val="none"/>
        </w:rPr>
      </w:pPr>
    </w:p>
    <w:p w14:paraId="3D90CBAD">
      <w:pPr>
        <w:pStyle w:val="24"/>
        <w:rPr>
          <w:rFonts w:hint="eastAsia" w:ascii="宋体" w:hAnsi="宋体" w:eastAsia="宋体" w:cs="宋体"/>
          <w:color w:val="auto"/>
          <w:kern w:val="0"/>
          <w:szCs w:val="21"/>
          <w:highlight w:val="none"/>
        </w:rPr>
      </w:pPr>
    </w:p>
    <w:p w14:paraId="367FE0D6">
      <w:pPr>
        <w:pStyle w:val="24"/>
        <w:rPr>
          <w:rFonts w:hint="eastAsia" w:ascii="宋体" w:hAnsi="宋体" w:eastAsia="宋体" w:cs="宋体"/>
          <w:color w:val="auto"/>
          <w:kern w:val="0"/>
          <w:szCs w:val="21"/>
          <w:highlight w:val="none"/>
        </w:rPr>
      </w:pPr>
    </w:p>
    <w:p w14:paraId="29EC2568">
      <w:pPr>
        <w:pStyle w:val="24"/>
        <w:rPr>
          <w:rFonts w:hint="eastAsia" w:ascii="宋体" w:hAnsi="宋体" w:eastAsia="宋体" w:cs="宋体"/>
          <w:color w:val="auto"/>
          <w:kern w:val="0"/>
          <w:szCs w:val="21"/>
          <w:highlight w:val="none"/>
        </w:rPr>
      </w:pPr>
    </w:p>
    <w:p w14:paraId="43956196">
      <w:pPr>
        <w:pStyle w:val="24"/>
        <w:rPr>
          <w:rFonts w:hint="eastAsia" w:ascii="宋体" w:hAnsi="宋体" w:eastAsia="宋体" w:cs="宋体"/>
          <w:color w:val="auto"/>
          <w:kern w:val="0"/>
          <w:szCs w:val="21"/>
          <w:highlight w:val="none"/>
        </w:rPr>
      </w:pPr>
    </w:p>
    <w:p w14:paraId="58C0CF5A">
      <w:pPr>
        <w:pStyle w:val="5"/>
        <w:keepLines/>
        <w:numPr>
          <w:ilvl w:val="0"/>
          <w:numId w:val="6"/>
        </w:numPr>
        <w:spacing w:before="340" w:after="330" w:line="240" w:lineRule="auto"/>
        <w:ind w:left="0" w:leftChars="0" w:firstLine="0" w:firstLineChars="0"/>
        <w:jc w:val="center"/>
        <w:rPr>
          <w:rFonts w:hint="eastAsia" w:ascii="宋体" w:hAnsi="宋体"/>
          <w:color w:val="auto"/>
          <w:sz w:val="36"/>
          <w:szCs w:val="36"/>
          <w:highlight w:val="none"/>
        </w:rPr>
      </w:pPr>
      <w:r>
        <w:rPr>
          <w:rFonts w:hint="eastAsia" w:ascii="宋体" w:hAnsi="宋体"/>
          <w:color w:val="auto"/>
          <w:sz w:val="36"/>
          <w:szCs w:val="36"/>
          <w:highlight w:val="none"/>
        </w:rPr>
        <w:t xml:space="preserve"> 商务条款</w:t>
      </w:r>
      <w:bookmarkEnd w:id="74"/>
    </w:p>
    <w:tbl>
      <w:tblPr>
        <w:tblStyle w:val="46"/>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564"/>
      </w:tblGrid>
      <w:tr w14:paraId="76A5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2F0090CB">
            <w:pPr>
              <w:keepNext w:val="0"/>
              <w:keepLines/>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imes New Roman" w:hAnsi="Times New Roman" w:cs="Times New Roman"/>
                <w:b/>
                <w:bCs/>
                <w:color w:val="auto"/>
                <w:sz w:val="21"/>
                <w:szCs w:val="20"/>
                <w:highlight w:val="none"/>
              </w:rPr>
            </w:pPr>
            <w:r>
              <w:rPr>
                <w:rFonts w:hint="eastAsia" w:ascii="Times New Roman" w:hAnsi="Times New Roman" w:cs="Times New Roman"/>
                <w:b/>
                <w:bCs/>
                <w:color w:val="auto"/>
                <w:sz w:val="21"/>
                <w:szCs w:val="20"/>
                <w:highlight w:val="none"/>
              </w:rPr>
              <w:t>序号</w:t>
            </w:r>
          </w:p>
        </w:tc>
        <w:tc>
          <w:tcPr>
            <w:tcW w:w="8564" w:type="dxa"/>
            <w:tcBorders>
              <w:top w:val="single" w:color="auto" w:sz="4" w:space="0"/>
              <w:left w:val="single" w:color="auto" w:sz="4" w:space="0"/>
              <w:bottom w:val="single" w:color="auto" w:sz="4" w:space="0"/>
              <w:right w:val="single" w:color="auto" w:sz="4" w:space="0"/>
            </w:tcBorders>
            <w:noWrap w:val="0"/>
            <w:vAlign w:val="center"/>
          </w:tcPr>
          <w:p w14:paraId="73CEC61C">
            <w:pPr>
              <w:keepNext w:val="0"/>
              <w:keepLines/>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imes New Roman" w:hAnsi="Times New Roman" w:cs="Times New Roman"/>
                <w:b/>
                <w:bCs/>
                <w:color w:val="auto"/>
                <w:sz w:val="21"/>
                <w:szCs w:val="20"/>
                <w:highlight w:val="none"/>
              </w:rPr>
            </w:pPr>
            <w:r>
              <w:rPr>
                <w:rFonts w:hint="eastAsia" w:ascii="Times New Roman" w:hAnsi="Times New Roman" w:cs="Times New Roman"/>
                <w:b/>
                <w:bCs/>
                <w:color w:val="auto"/>
                <w:sz w:val="21"/>
                <w:szCs w:val="20"/>
                <w:highlight w:val="none"/>
              </w:rPr>
              <w:t>招标要求条款</w:t>
            </w:r>
          </w:p>
        </w:tc>
      </w:tr>
      <w:tr w14:paraId="4F2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08A3E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宋体" w:cs="Times New Roman"/>
                <w:color w:val="auto"/>
                <w:sz w:val="21"/>
                <w:szCs w:val="20"/>
                <w:highlight w:val="none"/>
                <w:lang w:eastAsia="zh-CN"/>
              </w:rPr>
            </w:pPr>
            <w:r>
              <w:rPr>
                <w:rFonts w:hint="eastAsia" w:ascii="宋体" w:hAnsi="宋体" w:cs="宋体"/>
                <w:color w:val="auto"/>
                <w:szCs w:val="21"/>
                <w:highlight w:val="none"/>
              </w:rPr>
              <w:t>供货期/服务期</w:t>
            </w:r>
          </w:p>
        </w:tc>
        <w:tc>
          <w:tcPr>
            <w:tcW w:w="8564" w:type="dxa"/>
            <w:tcBorders>
              <w:top w:val="single" w:color="auto" w:sz="4" w:space="0"/>
              <w:left w:val="single" w:color="auto" w:sz="4" w:space="0"/>
              <w:bottom w:val="single" w:color="auto" w:sz="4" w:space="0"/>
              <w:right w:val="single" w:color="auto" w:sz="4" w:space="0"/>
            </w:tcBorders>
            <w:noWrap w:val="0"/>
            <w:vAlign w:val="center"/>
          </w:tcPr>
          <w:p w14:paraId="246BC4ED">
            <w:pPr>
              <w:keepNext w:val="0"/>
              <w:keepLines w:val="0"/>
              <w:pageBreakBefore w:val="0"/>
              <w:widowControl w:val="0"/>
              <w:suppressLineNumbers w:val="0"/>
              <w:kinsoku/>
              <w:wordWrap/>
              <w:overflowPunct/>
              <w:topLinePunct w:val="0"/>
              <w:autoSpaceDE/>
              <w:autoSpaceDN/>
              <w:bidi w:val="0"/>
              <w:adjustRightInd/>
              <w:snapToGrid/>
              <w:spacing w:before="42" w:beforeAutospacing="0" w:after="42" w:afterAutospacing="0" w:line="240" w:lineRule="auto"/>
              <w:ind w:left="0" w:right="0"/>
              <w:textAlignment w:val="auto"/>
              <w:rPr>
                <w:rFonts w:hint="default" w:ascii="Times New Roman" w:hAnsi="Times New Roman" w:eastAsia="宋体" w:cs="Times New Roman"/>
                <w:color w:val="auto"/>
                <w:sz w:val="21"/>
                <w:szCs w:val="20"/>
                <w:highlight w:val="none"/>
                <w:lang w:val="en-US" w:eastAsia="zh-CN"/>
              </w:rPr>
            </w:pPr>
            <w:r>
              <w:rPr>
                <w:rFonts w:hint="eastAsia" w:ascii="宋体" w:hAnsi="宋体" w:cs="宋体"/>
                <w:color w:val="auto"/>
                <w:kern w:val="0"/>
                <w:szCs w:val="21"/>
                <w:highlight w:val="none"/>
              </w:rPr>
              <w:t>服务期限三年，合同一年一签。第一年度合同期满后，经采购人考核合格，可续签下一年度合同，最多可续签二次。</w:t>
            </w:r>
          </w:p>
        </w:tc>
      </w:tr>
      <w:tr w14:paraId="6D4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1DA11D3">
            <w:pPr>
              <w:keepNext w:val="0"/>
              <w:keepLines/>
              <w:suppressLineNumbers w:val="0"/>
              <w:kinsoku w:val="0"/>
              <w:overflowPunct w:val="0"/>
              <w:autoSpaceDE w:val="0"/>
              <w:autoSpaceDN w:val="0"/>
              <w:spacing w:before="0" w:beforeAutospacing="0" w:after="0" w:afterAutospacing="0" w:line="400" w:lineRule="exact"/>
              <w:ind w:left="0" w:right="0"/>
              <w:jc w:val="center"/>
              <w:rPr>
                <w:rFonts w:hint="eastAsia" w:ascii="Times New Roman" w:hAnsi="Times New Roman" w:cs="Times New Roman"/>
                <w:color w:val="auto"/>
                <w:sz w:val="21"/>
                <w:szCs w:val="20"/>
                <w:highlight w:val="none"/>
              </w:rPr>
            </w:pPr>
            <w:r>
              <w:rPr>
                <w:rFonts w:hint="eastAsia" w:ascii="Times New Roman" w:hAnsi="Times New Roman" w:cs="Times New Roman"/>
                <w:color w:val="auto"/>
                <w:szCs w:val="20"/>
                <w:highlight w:val="none"/>
              </w:rPr>
              <w:t>合同签订</w:t>
            </w:r>
          </w:p>
        </w:tc>
        <w:tc>
          <w:tcPr>
            <w:tcW w:w="8564" w:type="dxa"/>
            <w:tcBorders>
              <w:top w:val="single" w:color="auto" w:sz="4" w:space="0"/>
              <w:left w:val="single" w:color="auto" w:sz="4" w:space="0"/>
              <w:bottom w:val="single" w:color="auto" w:sz="4" w:space="0"/>
              <w:right w:val="single" w:color="auto" w:sz="4" w:space="0"/>
            </w:tcBorders>
            <w:noWrap w:val="0"/>
            <w:vAlign w:val="center"/>
          </w:tcPr>
          <w:p w14:paraId="17E68D24">
            <w:pPr>
              <w:keepNext w:val="0"/>
              <w:keepLines/>
              <w:suppressLineNumbers w:val="0"/>
              <w:kinsoku w:val="0"/>
              <w:overflowPunct w:val="0"/>
              <w:autoSpaceDE w:val="0"/>
              <w:autoSpaceDN w:val="0"/>
              <w:spacing w:before="0" w:beforeAutospacing="0" w:after="0" w:afterAutospacing="0" w:line="400" w:lineRule="exact"/>
              <w:ind w:left="0" w:right="0"/>
              <w:rPr>
                <w:rFonts w:hint="eastAsia" w:ascii="Times New Roman" w:hAnsi="Times New Roman" w:cs="Times New Roman"/>
                <w:color w:val="auto"/>
                <w:sz w:val="21"/>
                <w:szCs w:val="20"/>
                <w:highlight w:val="none"/>
              </w:rPr>
            </w:pPr>
            <w:r>
              <w:rPr>
                <w:rFonts w:hint="eastAsia" w:ascii="Times New Roman" w:hAnsi="Times New Roman" w:cs="Times New Roman"/>
                <w:color w:val="auto"/>
                <w:szCs w:val="20"/>
                <w:highlight w:val="none"/>
              </w:rPr>
              <w:t>按照采购文件的规定、成交供应商的采购响应及中标通知书确定的金额签订合同。</w:t>
            </w:r>
          </w:p>
        </w:tc>
      </w:tr>
      <w:tr w14:paraId="58EF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354347F1">
            <w:pPr>
              <w:keepNext w:val="0"/>
              <w:keepLines/>
              <w:suppressLineNumbers w:val="0"/>
              <w:kinsoku w:val="0"/>
              <w:overflowPunct w:val="0"/>
              <w:autoSpaceDE w:val="0"/>
              <w:autoSpaceDN w:val="0"/>
              <w:spacing w:before="0" w:beforeAutospacing="0" w:after="0" w:afterAutospacing="0" w:line="400" w:lineRule="exact"/>
              <w:ind w:left="0" w:right="0"/>
              <w:jc w:val="center"/>
              <w:rPr>
                <w:rFonts w:hint="eastAsia" w:ascii="Times New Roman" w:hAnsi="Times New Roman" w:cs="Times New Roman"/>
                <w:color w:val="auto"/>
                <w:sz w:val="21"/>
                <w:szCs w:val="20"/>
                <w:highlight w:val="none"/>
              </w:rPr>
            </w:pPr>
            <w:r>
              <w:rPr>
                <w:rFonts w:hint="eastAsia" w:ascii="Times New Roman" w:hAnsi="Times New Roman" w:cs="Times New Roman"/>
                <w:color w:val="auto"/>
                <w:szCs w:val="20"/>
                <w:highlight w:val="none"/>
                <w:lang w:eastAsia="en-US"/>
              </w:rPr>
              <w:t>合同签订时间</w:t>
            </w:r>
          </w:p>
        </w:tc>
        <w:tc>
          <w:tcPr>
            <w:tcW w:w="8564" w:type="dxa"/>
            <w:tcBorders>
              <w:top w:val="single" w:color="auto" w:sz="4" w:space="0"/>
              <w:left w:val="single" w:color="auto" w:sz="4" w:space="0"/>
              <w:bottom w:val="single" w:color="auto" w:sz="4" w:space="0"/>
              <w:right w:val="single" w:color="auto" w:sz="4" w:space="0"/>
            </w:tcBorders>
            <w:noWrap w:val="0"/>
            <w:vAlign w:val="center"/>
          </w:tcPr>
          <w:p w14:paraId="495BF9FF">
            <w:pPr>
              <w:keepNext w:val="0"/>
              <w:keepLines/>
              <w:suppressLineNumbers w:val="0"/>
              <w:kinsoku w:val="0"/>
              <w:overflowPunct w:val="0"/>
              <w:autoSpaceDE w:val="0"/>
              <w:autoSpaceDN w:val="0"/>
              <w:spacing w:before="0" w:beforeAutospacing="0" w:after="0" w:afterAutospacing="0" w:line="400" w:lineRule="exact"/>
              <w:ind w:left="0" w:right="0"/>
              <w:rPr>
                <w:rFonts w:hint="eastAsia" w:ascii="Times New Roman" w:hAnsi="Times New Roman" w:cs="Times New Roman"/>
                <w:color w:val="auto"/>
                <w:sz w:val="21"/>
                <w:szCs w:val="20"/>
                <w:highlight w:val="none"/>
              </w:rPr>
            </w:pPr>
            <w:r>
              <w:rPr>
                <w:rFonts w:hint="eastAsia" w:ascii="Times New Roman" w:hAnsi="Times New Roman" w:cs="Times New Roman"/>
                <w:color w:val="auto"/>
                <w:szCs w:val="20"/>
                <w:highlight w:val="none"/>
              </w:rPr>
              <w:t>中标通知书发出后30天内签订合同。</w:t>
            </w:r>
          </w:p>
        </w:tc>
      </w:tr>
      <w:tr w14:paraId="644F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54BD4536">
            <w:pPr>
              <w:keepNext w:val="0"/>
              <w:keepLines/>
              <w:suppressLineNumbers w:val="0"/>
              <w:kinsoku w:val="0"/>
              <w:overflowPunct w:val="0"/>
              <w:autoSpaceDE w:val="0"/>
              <w:autoSpaceDN w:val="0"/>
              <w:spacing w:before="0" w:beforeAutospacing="0" w:after="0" w:afterAutospacing="0" w:line="400" w:lineRule="exact"/>
              <w:ind w:left="0" w:right="0"/>
              <w:jc w:val="center"/>
              <w:rPr>
                <w:rFonts w:hint="eastAsia" w:ascii="Times New Roman" w:hAnsi="Times New Roman" w:cs="Times New Roman"/>
                <w:color w:val="auto"/>
                <w:sz w:val="21"/>
                <w:szCs w:val="20"/>
                <w:highlight w:val="none"/>
                <w:lang w:val="en-US" w:eastAsia="en-US"/>
              </w:rPr>
            </w:pPr>
            <w:r>
              <w:rPr>
                <w:rFonts w:hint="eastAsia" w:ascii="Times New Roman" w:hAnsi="Times New Roman" w:cs="Times New Roman"/>
                <w:color w:val="auto"/>
                <w:szCs w:val="20"/>
                <w:highlight w:val="none"/>
                <w:lang w:eastAsia="en-US"/>
              </w:rPr>
              <w:t>付款方式</w:t>
            </w:r>
          </w:p>
        </w:tc>
        <w:tc>
          <w:tcPr>
            <w:tcW w:w="8564" w:type="dxa"/>
            <w:tcBorders>
              <w:top w:val="single" w:color="auto" w:sz="4" w:space="0"/>
              <w:left w:val="single" w:color="auto" w:sz="4" w:space="0"/>
              <w:bottom w:val="single" w:color="auto" w:sz="4" w:space="0"/>
              <w:right w:val="single" w:color="auto" w:sz="4" w:space="0"/>
            </w:tcBorders>
            <w:noWrap w:val="0"/>
            <w:vAlign w:val="center"/>
          </w:tcPr>
          <w:p w14:paraId="76F6BAE0">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bidi="ar"/>
              </w:rPr>
            </w:pPr>
            <w:r>
              <w:rPr>
                <w:rFonts w:hint="eastAsia"/>
                <w:szCs w:val="20"/>
                <w:highlight w:val="none"/>
              </w:rPr>
              <w:t>1在合同生效以及具备实施条件后7个工作日内采购人支付合同总价的40%作为预付款，</w:t>
            </w:r>
            <w:r>
              <w:rPr>
                <w:rFonts w:hint="default" w:ascii="宋体" w:hAnsi="宋体" w:cs="宋体"/>
                <w:szCs w:val="21"/>
                <w:highlight w:val="none"/>
                <w:lang w:bidi="ar"/>
              </w:rPr>
              <w:t>（</w:t>
            </w:r>
            <w:r>
              <w:rPr>
                <w:rFonts w:hint="eastAsia" w:ascii="宋体" w:hAnsi="宋体" w:cs="宋体"/>
                <w:szCs w:val="21"/>
                <w:highlight w:val="none"/>
                <w:lang w:bidi="ar"/>
              </w:rPr>
              <w:t>采购人</w:t>
            </w:r>
            <w:r>
              <w:rPr>
                <w:rFonts w:hint="default" w:ascii="宋体" w:hAnsi="宋体" w:cs="宋体"/>
                <w:szCs w:val="21"/>
                <w:highlight w:val="none"/>
                <w:lang w:bidi="ar"/>
              </w:rPr>
              <w:t>根据项目特点、供应商诚信等因素，可以要求</w:t>
            </w:r>
            <w:r>
              <w:rPr>
                <w:rFonts w:hint="eastAsia" w:ascii="宋体" w:hAnsi="宋体" w:cs="宋体"/>
                <w:szCs w:val="21"/>
                <w:highlight w:val="none"/>
                <w:lang w:bidi="ar"/>
              </w:rPr>
              <w:t>中标人</w:t>
            </w:r>
            <w:r>
              <w:rPr>
                <w:rFonts w:hint="default" w:ascii="宋体" w:hAnsi="宋体" w:cs="宋体"/>
                <w:szCs w:val="21"/>
                <w:highlight w:val="none"/>
                <w:lang w:bidi="ar"/>
              </w:rPr>
              <w:t>提交银行、保险公司等金融机构出具的预付款保函或其他担保措施。</w:t>
            </w:r>
            <w:r>
              <w:rPr>
                <w:rFonts w:hint="eastAsia" w:ascii="宋体" w:hAnsi="宋体" w:cs="宋体"/>
                <w:szCs w:val="21"/>
                <w:highlight w:val="none"/>
                <w:lang w:bidi="ar"/>
              </w:rPr>
              <w:t>中标人</w:t>
            </w:r>
            <w:r>
              <w:rPr>
                <w:rFonts w:hint="default" w:ascii="宋体" w:hAnsi="宋体" w:cs="宋体"/>
                <w:szCs w:val="21"/>
                <w:highlight w:val="none"/>
                <w:lang w:bidi="ar"/>
              </w:rPr>
              <w:t>在签订合同时，表示无需预付款或者主动要求降低预</w:t>
            </w:r>
            <w:r>
              <w:rPr>
                <w:rFonts w:hint="default" w:ascii="宋体" w:hAnsi="宋体" w:eastAsia="宋体" w:cs="宋体"/>
                <w:szCs w:val="21"/>
                <w:highlight w:val="none"/>
                <w:lang w:bidi="ar"/>
              </w:rPr>
              <w:t>付款比例的，可不适用本条款）。</w:t>
            </w:r>
          </w:p>
          <w:p w14:paraId="0A342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2采购人于合同签订当年12月31日前支付至合同总价的100%。</w:t>
            </w:r>
          </w:p>
        </w:tc>
      </w:tr>
    </w:tbl>
    <w:p w14:paraId="7D0F5D6B">
      <w:pPr>
        <w:pStyle w:val="142"/>
        <w:snapToGrid w:val="0"/>
        <w:spacing w:line="400" w:lineRule="exact"/>
        <w:ind w:left="210" w:leftChars="100" w:firstLine="0"/>
        <w:rPr>
          <w:rFonts w:ascii="宋体" w:hAnsi="宋体"/>
          <w:b/>
          <w:bCs/>
          <w:color w:val="auto"/>
          <w:kern w:val="44"/>
          <w:sz w:val="36"/>
          <w:szCs w:val="36"/>
          <w:highlight w:val="none"/>
        </w:rPr>
      </w:pPr>
    </w:p>
    <w:p w14:paraId="1A86687B">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1"/>
          <w:szCs w:val="21"/>
          <w:highlight w:val="none"/>
        </w:rPr>
      </w:pPr>
    </w:p>
    <w:p w14:paraId="27074672">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Style w:val="118"/>
          <w:rFonts w:hint="eastAsia" w:ascii="宋体" w:hAnsi="宋体" w:cs="宋体"/>
          <w:b/>
          <w:color w:val="auto"/>
          <w:sz w:val="21"/>
          <w:szCs w:val="21"/>
          <w:highlight w:val="none"/>
        </w:rPr>
      </w:pPr>
      <w:r>
        <w:rPr>
          <w:rFonts w:hint="eastAsia" w:ascii="宋体" w:hAnsi="宋体" w:cs="宋体"/>
          <w:b w:val="0"/>
          <w:bCs w:val="0"/>
          <w:color w:val="auto"/>
          <w:sz w:val="21"/>
          <w:szCs w:val="21"/>
          <w:highlight w:val="none"/>
        </w:rPr>
        <w:br w:type="page"/>
      </w:r>
      <w:bookmarkEnd w:id="71"/>
      <w:bookmarkEnd w:id="72"/>
      <w:bookmarkStart w:id="77" w:name="_Toc15382"/>
      <w:r>
        <w:rPr>
          <w:rFonts w:hint="eastAsia" w:ascii="宋体" w:hAnsi="宋体"/>
          <w:color w:val="auto"/>
          <w:sz w:val="36"/>
          <w:szCs w:val="36"/>
          <w:highlight w:val="none"/>
        </w:rPr>
        <w:t xml:space="preserve">第七章  </w:t>
      </w:r>
      <w:bookmarkEnd w:id="73"/>
      <w:r>
        <w:rPr>
          <w:rFonts w:hint="eastAsia" w:ascii="宋体" w:hAnsi="宋体"/>
          <w:color w:val="auto"/>
          <w:sz w:val="36"/>
          <w:szCs w:val="36"/>
          <w:highlight w:val="none"/>
        </w:rPr>
        <w:t>附件</w:t>
      </w:r>
      <w:bookmarkEnd w:id="77"/>
    </w:p>
    <w:p w14:paraId="50E3CD13">
      <w:pPr>
        <w:spacing w:line="400" w:lineRule="exact"/>
        <w:rPr>
          <w:rStyle w:val="118"/>
          <w:rFonts w:hint="eastAsia" w:ascii="宋体" w:hAnsi="宋体" w:cs="宋体"/>
          <w:b w:val="0"/>
          <w:color w:val="auto"/>
          <w:spacing w:val="0"/>
          <w:sz w:val="21"/>
          <w:szCs w:val="21"/>
          <w:highlight w:val="none"/>
        </w:rPr>
      </w:pPr>
      <w:r>
        <w:rPr>
          <w:rStyle w:val="118"/>
          <w:rFonts w:hint="eastAsia" w:ascii="宋体" w:hAnsi="宋体" w:cs="宋体"/>
          <w:color w:val="auto"/>
          <w:sz w:val="21"/>
          <w:szCs w:val="21"/>
          <w:highlight w:val="none"/>
        </w:rPr>
        <w:t>封面</w:t>
      </w:r>
    </w:p>
    <w:p w14:paraId="486CFA23">
      <w:pPr>
        <w:spacing w:line="360" w:lineRule="auto"/>
        <w:ind w:firstLine="1189" w:firstLineChars="400"/>
        <w:rPr>
          <w:rFonts w:hint="eastAsia" w:ascii="宋体" w:hAnsi="宋体" w:cs="宋体"/>
          <w:b/>
          <w:color w:val="auto"/>
          <w:sz w:val="32"/>
          <w:szCs w:val="32"/>
          <w:highlight w:val="none"/>
        </w:rPr>
      </w:pPr>
      <w:r>
        <w:rPr>
          <w:rStyle w:val="118"/>
          <w:rFonts w:hint="eastAsia" w:ascii="宋体" w:hAnsi="宋体" w:cs="宋体"/>
          <w:color w:val="auto"/>
          <w:sz w:val="30"/>
          <w:szCs w:val="30"/>
          <w:highlight w:val="none"/>
        </w:rPr>
        <w:t xml:space="preserve">   </w:t>
      </w:r>
      <w:r>
        <w:rPr>
          <w:rFonts w:hint="eastAsia" w:ascii="宋体" w:hAnsi="宋体" w:cs="宋体"/>
          <w:color w:val="auto"/>
          <w:sz w:val="28"/>
          <w:highlight w:val="none"/>
        </w:rPr>
        <w:t xml:space="preserve">                                         </w:t>
      </w:r>
    </w:p>
    <w:p w14:paraId="5F7A45BA">
      <w:pPr>
        <w:spacing w:line="360" w:lineRule="auto"/>
        <w:ind w:firstLine="1800" w:firstLineChars="500"/>
        <w:jc w:val="left"/>
        <w:rPr>
          <w:rFonts w:hint="eastAsia" w:ascii="宋体" w:hAnsi="宋体" w:cs="宋体"/>
          <w:color w:val="auto"/>
          <w:sz w:val="36"/>
          <w:szCs w:val="36"/>
          <w:highlight w:val="none"/>
        </w:rPr>
      </w:pPr>
      <w:r>
        <w:rPr>
          <w:rFonts w:hint="eastAsia" w:ascii="宋体" w:hAnsi="宋体" w:cs="宋体"/>
          <w:color w:val="auto"/>
          <w:sz w:val="36"/>
          <w:szCs w:val="36"/>
          <w:highlight w:val="none"/>
        </w:rPr>
        <w:t>项目名称：</w:t>
      </w:r>
    </w:p>
    <w:p w14:paraId="10A84A4B">
      <w:pPr>
        <w:spacing w:line="360" w:lineRule="auto"/>
        <w:ind w:firstLine="1800" w:firstLineChars="500"/>
        <w:jc w:val="left"/>
        <w:rPr>
          <w:rFonts w:hint="eastAsia" w:ascii="宋体" w:hAnsi="宋体" w:cs="宋体"/>
          <w:color w:val="auto"/>
          <w:sz w:val="36"/>
          <w:szCs w:val="36"/>
          <w:highlight w:val="none"/>
        </w:rPr>
      </w:pPr>
      <w:r>
        <w:rPr>
          <w:rFonts w:hint="eastAsia" w:ascii="宋体" w:hAnsi="宋体" w:cs="宋体"/>
          <w:color w:val="auto"/>
          <w:sz w:val="36"/>
          <w:szCs w:val="36"/>
          <w:highlight w:val="none"/>
        </w:rPr>
        <w:t>采购编号：</w:t>
      </w:r>
    </w:p>
    <w:p w14:paraId="399F2E66">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资格审查文件</w:t>
      </w:r>
    </w:p>
    <w:p w14:paraId="006EA844">
      <w:pPr>
        <w:pStyle w:val="18"/>
        <w:rPr>
          <w:rFonts w:hint="eastAsia"/>
          <w:color w:val="auto"/>
          <w:highlight w:val="none"/>
        </w:rPr>
      </w:pPr>
    </w:p>
    <w:p w14:paraId="06ED42E1">
      <w:pPr>
        <w:jc w:val="center"/>
        <w:rPr>
          <w:rFonts w:hint="eastAsia" w:ascii="宋体" w:hAnsi="宋体" w:cs="宋体"/>
          <w:color w:val="auto"/>
          <w:sz w:val="28"/>
          <w:szCs w:val="28"/>
          <w:highlight w:val="none"/>
        </w:rPr>
      </w:pPr>
    </w:p>
    <w:p w14:paraId="2C0E0CED">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w:t>
      </w:r>
    </w:p>
    <w:p w14:paraId="0F4D9971">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标</w:t>
      </w:r>
    </w:p>
    <w:p w14:paraId="6215557D">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58DBB9AB">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19BE3FD8">
      <w:pPr>
        <w:spacing w:line="360" w:lineRule="auto"/>
        <w:jc w:val="center"/>
        <w:rPr>
          <w:rFonts w:hint="eastAsia"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47166C22">
      <w:pPr>
        <w:pStyle w:val="26"/>
        <w:ind w:left="101" w:leftChars="48" w:firstLine="1920" w:firstLineChars="800"/>
        <w:jc w:val="left"/>
        <w:rPr>
          <w:rFonts w:hint="eastAsia" w:hAnsi="宋体" w:cs="宋体"/>
          <w:color w:val="auto"/>
          <w:szCs w:val="28"/>
          <w:highlight w:val="none"/>
          <w:u w:val="single"/>
        </w:rPr>
      </w:pPr>
    </w:p>
    <w:p w14:paraId="3C0DAF3D">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年   月   日</w:t>
      </w:r>
    </w:p>
    <w:p w14:paraId="11ECB0D6">
      <w:pPr>
        <w:spacing w:line="400" w:lineRule="exact"/>
        <w:jc w:val="left"/>
        <w:rPr>
          <w:rFonts w:hint="eastAsia" w:ascii="宋体" w:hAnsi="宋体" w:cs="宋体"/>
          <w:b/>
          <w:color w:val="auto"/>
          <w:szCs w:val="21"/>
          <w:highlight w:val="none"/>
        </w:rPr>
      </w:pPr>
      <w:r>
        <w:rPr>
          <w:rFonts w:hint="eastAsia" w:ascii="宋体" w:hAnsi="宋体" w:cs="宋体"/>
          <w:color w:val="auto"/>
          <w:sz w:val="36"/>
          <w:szCs w:val="36"/>
          <w:highlight w:val="none"/>
        </w:rPr>
        <w:br w:type="page"/>
      </w:r>
      <w:r>
        <w:rPr>
          <w:rStyle w:val="118"/>
          <w:rFonts w:hint="eastAsia" w:ascii="宋体" w:hAnsi="宋体" w:cs="宋体"/>
          <w:color w:val="auto"/>
          <w:kern w:val="2"/>
          <w:sz w:val="21"/>
          <w:szCs w:val="21"/>
          <w:highlight w:val="none"/>
        </w:rPr>
        <w:t>附件</w:t>
      </w:r>
    </w:p>
    <w:p w14:paraId="31BEAB56">
      <w:pPr>
        <w:spacing w:line="400" w:lineRule="exact"/>
        <w:jc w:val="left"/>
        <w:rPr>
          <w:rFonts w:hint="eastAsia" w:ascii="宋体" w:hAnsi="宋体" w:cs="宋体"/>
          <w:b/>
          <w:color w:val="auto"/>
          <w:szCs w:val="21"/>
          <w:highlight w:val="none"/>
        </w:rPr>
      </w:pPr>
    </w:p>
    <w:p w14:paraId="609B3DAC">
      <w:pPr>
        <w:jc w:val="center"/>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关于资格的声明函</w:t>
      </w:r>
    </w:p>
    <w:p w14:paraId="7F9B7D63">
      <w:pPr>
        <w:spacing w:line="400" w:lineRule="exact"/>
        <w:ind w:left="540" w:firstLine="30"/>
        <w:jc w:val="center"/>
        <w:rPr>
          <w:rFonts w:hint="eastAsia" w:ascii="宋体" w:hAnsi="宋体" w:cs="宋体"/>
          <w:b/>
          <w:color w:val="auto"/>
          <w:szCs w:val="21"/>
          <w:highlight w:val="none"/>
        </w:rPr>
      </w:pPr>
    </w:p>
    <w:p w14:paraId="3CAF1761">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致：采购人</w:t>
      </w:r>
    </w:p>
    <w:p w14:paraId="73F44BC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关于贵方对采购编号为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的</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（项目名称），本单位申明如下： </w:t>
      </w:r>
    </w:p>
    <w:p w14:paraId="56EC9EF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我单位符合《中华人民共和国政府采购法》第22条的一般资格条件的规定</w:t>
      </w:r>
      <w:r>
        <w:rPr>
          <w:rFonts w:hint="eastAsia" w:ascii="宋体" w:hAnsi="宋体" w:cs="宋体"/>
          <w:color w:val="auto"/>
          <w:szCs w:val="21"/>
          <w:highlight w:val="none"/>
          <w:lang w:eastAsia="zh-CN" w:bidi="ar"/>
        </w:rPr>
        <w:t>及其他招标文件的相关要求</w:t>
      </w:r>
      <w:r>
        <w:rPr>
          <w:rFonts w:hint="eastAsia" w:ascii="宋体" w:hAnsi="宋体" w:cs="宋体"/>
          <w:color w:val="auto"/>
          <w:szCs w:val="21"/>
          <w:highlight w:val="none"/>
          <w:lang w:bidi="ar"/>
        </w:rPr>
        <w:t>：</w:t>
      </w:r>
    </w:p>
    <w:p w14:paraId="682E4DD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1、具有独立承担民事责任的能力；</w:t>
      </w:r>
    </w:p>
    <w:p w14:paraId="3D3551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2、具有良好的商业信誉和健全的财务会计制度；</w:t>
      </w:r>
    </w:p>
    <w:p w14:paraId="4B7CEA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3、具有履行合同所必需的设备和专业技术能力；</w:t>
      </w:r>
    </w:p>
    <w:p w14:paraId="5829B8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4、有依法缴纳税收和社会保障资金的良好记录；</w:t>
      </w:r>
    </w:p>
    <w:p w14:paraId="1352F3F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5、参加政府采购活动前三年内，在经营活动中没有重大违法记录；</w:t>
      </w:r>
    </w:p>
    <w:p w14:paraId="0D306902">
      <w:pPr>
        <w:spacing w:line="400" w:lineRule="exact"/>
        <w:ind w:firstLine="420" w:firstLineChars="200"/>
        <w:rPr>
          <w:rFonts w:hint="eastAsia" w:ascii="宋体" w:hAnsi="宋体" w:cs="宋体"/>
          <w:color w:val="auto"/>
          <w:szCs w:val="21"/>
          <w:highlight w:val="none"/>
          <w:lang w:eastAsia="zh-CN" w:bidi="ar"/>
        </w:rPr>
      </w:pPr>
      <w:r>
        <w:rPr>
          <w:rFonts w:hint="eastAsia" w:ascii="宋体" w:hAnsi="宋体" w:cs="宋体"/>
          <w:color w:val="auto"/>
          <w:szCs w:val="21"/>
          <w:highlight w:val="none"/>
          <w:lang w:bidi="ar"/>
        </w:rPr>
        <w:t>6、法律、行政法规规定的其他条件</w:t>
      </w:r>
      <w:r>
        <w:rPr>
          <w:rFonts w:hint="eastAsia" w:ascii="宋体" w:hAnsi="宋体" w:cs="宋体"/>
          <w:color w:val="auto"/>
          <w:szCs w:val="21"/>
          <w:highlight w:val="none"/>
          <w:lang w:eastAsia="zh-CN" w:bidi="ar"/>
        </w:rPr>
        <w:t>；</w:t>
      </w:r>
    </w:p>
    <w:p w14:paraId="41A3532B">
      <w:pPr>
        <w:spacing w:line="40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7、我单位未为本项目提供整体设计、规范编制或者项目管理、监理、检测等服务。</w:t>
      </w:r>
    </w:p>
    <w:p w14:paraId="2EF02EAD">
      <w:pPr>
        <w:spacing w:line="400" w:lineRule="exact"/>
        <w:ind w:firstLine="420" w:firstLineChars="200"/>
        <w:rPr>
          <w:rFonts w:hint="eastAsia" w:ascii="宋体" w:hAnsi="宋体" w:cs="宋体"/>
          <w:color w:val="auto"/>
          <w:szCs w:val="21"/>
          <w:highlight w:val="none"/>
        </w:rPr>
      </w:pPr>
    </w:p>
    <w:p w14:paraId="17DC0462">
      <w:pPr>
        <w:spacing w:line="400" w:lineRule="exact"/>
        <w:ind w:firstLine="420" w:firstLineChars="200"/>
        <w:rPr>
          <w:rFonts w:hint="eastAsia" w:ascii="宋体" w:hAnsi="宋体" w:cs="宋体"/>
          <w:color w:val="auto"/>
          <w:szCs w:val="21"/>
          <w:highlight w:val="none"/>
        </w:rPr>
      </w:pPr>
    </w:p>
    <w:p w14:paraId="33215A80">
      <w:pPr>
        <w:spacing w:line="400" w:lineRule="exact"/>
        <w:ind w:firstLine="420" w:firstLineChars="200"/>
        <w:rPr>
          <w:rFonts w:hint="eastAsia" w:ascii="宋体" w:hAnsi="宋体" w:cs="宋体"/>
          <w:color w:val="auto"/>
          <w:szCs w:val="21"/>
          <w:highlight w:val="none"/>
        </w:rPr>
      </w:pPr>
    </w:p>
    <w:p w14:paraId="6DB508FB">
      <w:pPr>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lang w:bidi="ar"/>
        </w:rPr>
        <w:t>供应商（盖章）：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14:paraId="06C5F578">
      <w:pPr>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lang w:bidi="ar"/>
        </w:rPr>
        <w:t>法定代表人或授权代表（签字</w:t>
      </w:r>
      <w:r>
        <w:rPr>
          <w:rFonts w:hint="eastAsia" w:ascii="宋体" w:hAnsi="宋体" w:cs="宋体"/>
          <w:color w:val="auto"/>
          <w:szCs w:val="21"/>
          <w:highlight w:val="none"/>
          <w:lang w:eastAsia="zh-CN"/>
        </w:rPr>
        <w:t>或盖章</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p>
    <w:p w14:paraId="523E130E">
      <w:pPr>
        <w:spacing w:line="400" w:lineRule="atLeast"/>
        <w:rPr>
          <w:rFonts w:hint="eastAsia" w:ascii="宋体" w:hAnsi="宋体" w:cs="宋体"/>
          <w:color w:val="auto"/>
          <w:szCs w:val="21"/>
          <w:highlight w:val="none"/>
          <w:u w:val="single"/>
        </w:rPr>
      </w:pPr>
      <w:r>
        <w:rPr>
          <w:rFonts w:hint="eastAsia" w:ascii="宋体" w:hAnsi="宋体" w:cs="宋体"/>
          <w:color w:val="auto"/>
          <w:szCs w:val="21"/>
          <w:highlight w:val="none"/>
          <w:lang w:bidi="ar"/>
        </w:rPr>
        <w:t>日            期：</w:t>
      </w:r>
      <w:r>
        <w:rPr>
          <w:rFonts w:hint="eastAsia" w:ascii="宋体" w:hAnsi="宋体" w:cs="宋体"/>
          <w:color w:val="auto"/>
          <w:szCs w:val="21"/>
          <w:highlight w:val="none"/>
          <w:u w:val="single"/>
          <w:lang w:bidi="ar"/>
        </w:rPr>
        <w:t xml:space="preserve">                             </w:t>
      </w:r>
    </w:p>
    <w:p w14:paraId="6613ED07">
      <w:pPr>
        <w:spacing w:line="400" w:lineRule="exact"/>
        <w:ind w:firstLine="600" w:firstLineChars="250"/>
        <w:jc w:val="center"/>
        <w:rPr>
          <w:rFonts w:cs="宋体"/>
          <w:color w:val="auto"/>
          <w:sz w:val="24"/>
          <w:szCs w:val="21"/>
          <w:highlight w:val="none"/>
        </w:rPr>
      </w:pPr>
    </w:p>
    <w:p w14:paraId="11E1C5C3">
      <w:pPr>
        <w:spacing w:line="400" w:lineRule="exact"/>
        <w:rPr>
          <w:rStyle w:val="118"/>
          <w:rFonts w:hint="eastAsia" w:ascii="宋体" w:hAnsi="宋体" w:cs="宋体"/>
          <w:color w:val="auto"/>
          <w:sz w:val="21"/>
          <w:szCs w:val="21"/>
          <w:highlight w:val="none"/>
        </w:rPr>
      </w:pPr>
    </w:p>
    <w:p w14:paraId="0292B1E6">
      <w:pPr>
        <w:pStyle w:val="2"/>
        <w:rPr>
          <w:rStyle w:val="118"/>
          <w:rFonts w:hint="eastAsia" w:ascii="宋体" w:hAnsi="宋体" w:cs="宋体"/>
          <w:color w:val="auto"/>
          <w:sz w:val="21"/>
          <w:szCs w:val="21"/>
          <w:highlight w:val="none"/>
        </w:rPr>
      </w:pPr>
    </w:p>
    <w:p w14:paraId="674FE1B7">
      <w:pPr>
        <w:rPr>
          <w:rStyle w:val="118"/>
          <w:rFonts w:hint="eastAsia" w:ascii="宋体" w:hAnsi="宋体" w:cs="宋体"/>
          <w:color w:val="auto"/>
          <w:sz w:val="21"/>
          <w:szCs w:val="21"/>
          <w:highlight w:val="none"/>
        </w:rPr>
      </w:pPr>
    </w:p>
    <w:p w14:paraId="22B449AE">
      <w:pPr>
        <w:pStyle w:val="2"/>
        <w:rPr>
          <w:rStyle w:val="118"/>
          <w:rFonts w:hint="eastAsia" w:ascii="宋体" w:hAnsi="宋体" w:cs="宋体"/>
          <w:color w:val="auto"/>
          <w:sz w:val="21"/>
          <w:szCs w:val="21"/>
          <w:highlight w:val="none"/>
        </w:rPr>
      </w:pPr>
    </w:p>
    <w:p w14:paraId="651276CB">
      <w:pPr>
        <w:rPr>
          <w:rStyle w:val="118"/>
          <w:rFonts w:hint="eastAsia" w:ascii="宋体" w:hAnsi="宋体" w:cs="宋体"/>
          <w:color w:val="auto"/>
          <w:sz w:val="21"/>
          <w:szCs w:val="21"/>
          <w:highlight w:val="none"/>
        </w:rPr>
      </w:pPr>
    </w:p>
    <w:p w14:paraId="1372A5DA">
      <w:pPr>
        <w:pStyle w:val="2"/>
        <w:rPr>
          <w:rStyle w:val="118"/>
          <w:rFonts w:hint="eastAsia" w:ascii="宋体" w:hAnsi="宋体" w:cs="宋体"/>
          <w:color w:val="auto"/>
          <w:sz w:val="21"/>
          <w:szCs w:val="21"/>
          <w:highlight w:val="none"/>
        </w:rPr>
      </w:pPr>
    </w:p>
    <w:p w14:paraId="0C6E6E8A">
      <w:pPr>
        <w:rPr>
          <w:rStyle w:val="118"/>
          <w:rFonts w:hint="eastAsia" w:ascii="宋体" w:hAnsi="宋体" w:cs="宋体"/>
          <w:color w:val="auto"/>
          <w:sz w:val="21"/>
          <w:szCs w:val="21"/>
          <w:highlight w:val="none"/>
        </w:rPr>
      </w:pPr>
    </w:p>
    <w:p w14:paraId="71F2877F">
      <w:pPr>
        <w:pStyle w:val="2"/>
        <w:rPr>
          <w:rStyle w:val="118"/>
          <w:rFonts w:hint="eastAsia" w:ascii="宋体" w:hAnsi="宋体" w:cs="宋体"/>
          <w:color w:val="auto"/>
          <w:sz w:val="21"/>
          <w:szCs w:val="21"/>
          <w:highlight w:val="none"/>
        </w:rPr>
      </w:pPr>
    </w:p>
    <w:p w14:paraId="3201BEA9">
      <w:pPr>
        <w:rPr>
          <w:rStyle w:val="118"/>
          <w:rFonts w:hint="eastAsia" w:ascii="宋体" w:hAnsi="宋体" w:cs="宋体"/>
          <w:color w:val="auto"/>
          <w:sz w:val="21"/>
          <w:szCs w:val="21"/>
          <w:highlight w:val="none"/>
        </w:rPr>
      </w:pPr>
    </w:p>
    <w:p w14:paraId="3BE3BF9A">
      <w:pPr>
        <w:rPr>
          <w:rStyle w:val="118"/>
          <w:rFonts w:hint="eastAsia" w:ascii="宋体" w:hAnsi="宋体" w:cs="宋体"/>
          <w:color w:val="auto"/>
          <w:sz w:val="21"/>
          <w:szCs w:val="21"/>
          <w:highlight w:val="none"/>
        </w:rPr>
      </w:pPr>
    </w:p>
    <w:p w14:paraId="05F6443C">
      <w:pPr>
        <w:rPr>
          <w:rStyle w:val="118"/>
          <w:rFonts w:hint="eastAsia" w:ascii="宋体" w:hAnsi="宋体" w:cs="宋体"/>
          <w:color w:val="auto"/>
          <w:sz w:val="21"/>
          <w:szCs w:val="21"/>
          <w:highlight w:val="none"/>
        </w:rPr>
      </w:pPr>
    </w:p>
    <w:p w14:paraId="19A7236E">
      <w:pPr>
        <w:rPr>
          <w:rStyle w:val="118"/>
          <w:rFonts w:hint="eastAsia" w:ascii="宋体" w:hAnsi="宋体" w:cs="宋体"/>
          <w:color w:val="auto"/>
          <w:sz w:val="21"/>
          <w:szCs w:val="21"/>
          <w:highlight w:val="none"/>
        </w:rPr>
      </w:pPr>
    </w:p>
    <w:p w14:paraId="2BEF7E1A">
      <w:pPr>
        <w:rPr>
          <w:rStyle w:val="118"/>
          <w:rFonts w:hint="eastAsia" w:ascii="宋体" w:hAnsi="宋体" w:cs="宋体"/>
          <w:color w:val="auto"/>
          <w:sz w:val="21"/>
          <w:szCs w:val="21"/>
          <w:highlight w:val="none"/>
        </w:rPr>
      </w:pPr>
    </w:p>
    <w:p w14:paraId="4BE38F00">
      <w:pPr>
        <w:pStyle w:val="2"/>
        <w:rPr>
          <w:rStyle w:val="118"/>
          <w:rFonts w:hint="eastAsia" w:ascii="宋体" w:hAnsi="宋体" w:cs="宋体"/>
          <w:color w:val="auto"/>
          <w:sz w:val="21"/>
          <w:szCs w:val="21"/>
          <w:highlight w:val="none"/>
        </w:rPr>
      </w:pPr>
    </w:p>
    <w:p w14:paraId="1BE813A3">
      <w:pPr>
        <w:rPr>
          <w:rStyle w:val="118"/>
          <w:rFonts w:hint="eastAsia" w:ascii="宋体" w:hAnsi="宋体" w:cs="宋体"/>
          <w:color w:val="auto"/>
          <w:sz w:val="21"/>
          <w:szCs w:val="21"/>
          <w:highlight w:val="none"/>
        </w:rPr>
      </w:pPr>
    </w:p>
    <w:p w14:paraId="3B16FBB0">
      <w:pPr>
        <w:spacing w:line="400" w:lineRule="exact"/>
        <w:rPr>
          <w:rStyle w:val="118"/>
          <w:rFonts w:hint="eastAsia" w:ascii="宋体" w:hAnsi="宋体" w:cs="宋体"/>
          <w:color w:val="auto"/>
          <w:sz w:val="21"/>
          <w:szCs w:val="21"/>
          <w:highlight w:val="none"/>
        </w:rPr>
      </w:pPr>
    </w:p>
    <w:p w14:paraId="3F5D1070">
      <w:pPr>
        <w:spacing w:line="400" w:lineRule="exact"/>
        <w:rPr>
          <w:rStyle w:val="118"/>
          <w:rFonts w:hint="eastAsia" w:ascii="宋体" w:hAnsi="宋体" w:cs="宋体"/>
          <w:b w:val="0"/>
          <w:color w:val="auto"/>
          <w:spacing w:val="0"/>
          <w:sz w:val="21"/>
          <w:szCs w:val="21"/>
          <w:highlight w:val="none"/>
        </w:rPr>
      </w:pPr>
      <w:r>
        <w:rPr>
          <w:rStyle w:val="118"/>
          <w:rFonts w:hint="eastAsia" w:ascii="宋体" w:hAnsi="宋体" w:cs="宋体"/>
          <w:color w:val="auto"/>
          <w:sz w:val="21"/>
          <w:szCs w:val="21"/>
          <w:highlight w:val="none"/>
        </w:rPr>
        <w:t>封面</w:t>
      </w:r>
    </w:p>
    <w:p w14:paraId="14284605">
      <w:pPr>
        <w:spacing w:line="360" w:lineRule="auto"/>
        <w:ind w:firstLine="1189" w:firstLineChars="400"/>
        <w:rPr>
          <w:rFonts w:hint="eastAsia" w:ascii="宋体" w:hAnsi="宋体" w:cs="宋体"/>
          <w:b/>
          <w:color w:val="auto"/>
          <w:sz w:val="32"/>
          <w:szCs w:val="32"/>
          <w:highlight w:val="none"/>
        </w:rPr>
      </w:pPr>
      <w:r>
        <w:rPr>
          <w:rStyle w:val="118"/>
          <w:rFonts w:hint="eastAsia" w:ascii="宋体" w:hAnsi="宋体" w:cs="宋体"/>
          <w:color w:val="auto"/>
          <w:sz w:val="30"/>
          <w:szCs w:val="30"/>
          <w:highlight w:val="none"/>
        </w:rPr>
        <w:t xml:space="preserve">   </w:t>
      </w:r>
      <w:r>
        <w:rPr>
          <w:rFonts w:hint="eastAsia" w:ascii="宋体" w:hAnsi="宋体" w:cs="宋体"/>
          <w:color w:val="auto"/>
          <w:sz w:val="28"/>
          <w:highlight w:val="none"/>
        </w:rPr>
        <w:t xml:space="preserve">                                         </w:t>
      </w:r>
    </w:p>
    <w:p w14:paraId="05813192">
      <w:pPr>
        <w:spacing w:line="360" w:lineRule="auto"/>
        <w:ind w:firstLine="1800" w:firstLineChars="500"/>
        <w:jc w:val="left"/>
        <w:rPr>
          <w:rFonts w:hint="eastAsia" w:ascii="宋体" w:hAnsi="宋体" w:cs="宋体"/>
          <w:color w:val="auto"/>
          <w:sz w:val="36"/>
          <w:szCs w:val="36"/>
          <w:highlight w:val="none"/>
        </w:rPr>
      </w:pPr>
      <w:r>
        <w:rPr>
          <w:rFonts w:hint="eastAsia" w:ascii="宋体" w:hAnsi="宋体" w:cs="宋体"/>
          <w:color w:val="auto"/>
          <w:sz w:val="36"/>
          <w:szCs w:val="36"/>
          <w:highlight w:val="none"/>
        </w:rPr>
        <w:t>项目名称：</w:t>
      </w:r>
    </w:p>
    <w:p w14:paraId="1CCCA5CA">
      <w:pPr>
        <w:spacing w:line="360" w:lineRule="auto"/>
        <w:ind w:firstLine="1800" w:firstLineChars="500"/>
        <w:jc w:val="left"/>
        <w:rPr>
          <w:rFonts w:hint="eastAsia" w:ascii="宋体" w:hAnsi="宋体" w:cs="宋体"/>
          <w:color w:val="auto"/>
          <w:sz w:val="36"/>
          <w:szCs w:val="36"/>
          <w:highlight w:val="none"/>
        </w:rPr>
      </w:pPr>
      <w:r>
        <w:rPr>
          <w:rFonts w:hint="eastAsia" w:ascii="宋体" w:hAnsi="宋体" w:cs="宋体"/>
          <w:color w:val="auto"/>
          <w:sz w:val="36"/>
          <w:szCs w:val="36"/>
          <w:highlight w:val="none"/>
        </w:rPr>
        <w:t>采购编号：</w:t>
      </w:r>
    </w:p>
    <w:p w14:paraId="112CB78A">
      <w:pPr>
        <w:pStyle w:val="2"/>
        <w:rPr>
          <w:rFonts w:hint="eastAsia"/>
          <w:color w:val="auto"/>
          <w:highlight w:val="none"/>
        </w:rPr>
      </w:pPr>
    </w:p>
    <w:p w14:paraId="4191D04C">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商务技术文件</w:t>
      </w:r>
    </w:p>
    <w:p w14:paraId="6F249747">
      <w:pPr>
        <w:pStyle w:val="18"/>
        <w:rPr>
          <w:rFonts w:hint="eastAsia"/>
          <w:color w:val="auto"/>
          <w:highlight w:val="none"/>
        </w:rPr>
      </w:pPr>
    </w:p>
    <w:p w14:paraId="3BBF9281">
      <w:pPr>
        <w:jc w:val="center"/>
        <w:rPr>
          <w:rFonts w:hint="eastAsia" w:ascii="宋体" w:hAnsi="宋体" w:cs="宋体"/>
          <w:color w:val="auto"/>
          <w:sz w:val="28"/>
          <w:szCs w:val="28"/>
          <w:highlight w:val="none"/>
        </w:rPr>
      </w:pPr>
    </w:p>
    <w:p w14:paraId="5B9A5A38">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w:t>
      </w:r>
    </w:p>
    <w:p w14:paraId="440064D0">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标</w:t>
      </w:r>
    </w:p>
    <w:p w14:paraId="36392876">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7A174FE6">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191F2283">
      <w:pPr>
        <w:spacing w:line="360" w:lineRule="auto"/>
        <w:jc w:val="center"/>
        <w:rPr>
          <w:rFonts w:hint="eastAsia"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42E3E1FC">
      <w:pPr>
        <w:pStyle w:val="26"/>
        <w:ind w:left="101" w:leftChars="48" w:firstLine="1920" w:firstLineChars="800"/>
        <w:jc w:val="left"/>
        <w:rPr>
          <w:rFonts w:hint="eastAsia" w:hAnsi="宋体" w:cs="宋体"/>
          <w:color w:val="auto"/>
          <w:szCs w:val="28"/>
          <w:highlight w:val="none"/>
          <w:u w:val="single"/>
        </w:rPr>
      </w:pPr>
    </w:p>
    <w:p w14:paraId="1CE51F3F">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年   月   日</w:t>
      </w:r>
    </w:p>
    <w:p w14:paraId="6F8E2C07">
      <w:pPr>
        <w:pStyle w:val="18"/>
        <w:rPr>
          <w:rStyle w:val="118"/>
          <w:rFonts w:ascii="宋体" w:hAnsi="宋体" w:cs="仿宋_GB2312"/>
          <w:color w:val="auto"/>
          <w:sz w:val="30"/>
          <w:szCs w:val="30"/>
          <w:highlight w:val="none"/>
        </w:rPr>
      </w:pPr>
      <w:r>
        <w:rPr>
          <w:rFonts w:hint="eastAsia" w:ascii="宋体" w:hAnsi="宋体" w:cs="宋体"/>
          <w:color w:val="auto"/>
          <w:sz w:val="36"/>
          <w:szCs w:val="36"/>
          <w:highlight w:val="none"/>
        </w:rPr>
        <w:br w:type="page"/>
      </w:r>
      <w:r>
        <w:rPr>
          <w:rFonts w:hint="eastAsia" w:ascii="宋体" w:hAnsi="宋体" w:cs="宋体"/>
          <w:b/>
          <w:i w:val="0"/>
          <w:color w:val="auto"/>
          <w:kern w:val="2"/>
          <w:sz w:val="21"/>
          <w:szCs w:val="21"/>
          <w:highlight w:val="none"/>
          <w:lang w:val="en-US" w:eastAsia="zh-CN" w:bidi="ar-SA"/>
        </w:rPr>
        <w:t>附件</w:t>
      </w:r>
    </w:p>
    <w:p w14:paraId="381FF8FB">
      <w:pPr>
        <w:jc w:val="center"/>
        <w:rPr>
          <w:rFonts w:hint="eastAsia" w:ascii="宋体" w:hAnsi="宋体" w:eastAsia="宋体" w:cs="仿宋_GB2312"/>
          <w:b/>
          <w:color w:val="auto"/>
          <w:sz w:val="30"/>
          <w:szCs w:val="30"/>
          <w:highlight w:val="none"/>
          <w:lang w:eastAsia="zh-CN"/>
        </w:rPr>
      </w:pPr>
      <w:r>
        <w:rPr>
          <w:rFonts w:ascii="宋体" w:hAnsi="宋体" w:cs="仿宋_GB2312"/>
          <w:b/>
          <w:color w:val="auto"/>
          <w:sz w:val="30"/>
          <w:szCs w:val="30"/>
          <w:highlight w:val="none"/>
        </w:rPr>
        <w:t xml:space="preserve">投 标 </w:t>
      </w:r>
      <w:r>
        <w:rPr>
          <w:rFonts w:hint="eastAsia" w:ascii="宋体" w:hAnsi="宋体" w:cs="仿宋_GB2312"/>
          <w:b/>
          <w:color w:val="auto"/>
          <w:sz w:val="30"/>
          <w:szCs w:val="30"/>
          <w:highlight w:val="none"/>
          <w:lang w:eastAsia="zh-CN"/>
        </w:rPr>
        <w:t>书</w:t>
      </w:r>
    </w:p>
    <w:p w14:paraId="4AF27D2E">
      <w:pPr>
        <w:ind w:left="540" w:leftChars="257" w:firstLine="1703" w:firstLineChars="808"/>
        <w:rPr>
          <w:rFonts w:ascii="宋体" w:hAnsi="宋体" w:cs="仿宋_GB2312"/>
          <w:b/>
          <w:color w:val="auto"/>
          <w:szCs w:val="21"/>
          <w:highlight w:val="none"/>
        </w:rPr>
      </w:pPr>
    </w:p>
    <w:p w14:paraId="5CFCE830">
      <w:pPr>
        <w:spacing w:line="400" w:lineRule="exact"/>
        <w:ind w:firstLine="105" w:firstLineChars="50"/>
        <w:jc w:val="left"/>
        <w:rPr>
          <w:rFonts w:ascii="宋体" w:hAnsi="宋体" w:cs="仿宋_GB2312"/>
          <w:color w:val="auto"/>
          <w:szCs w:val="21"/>
          <w:highlight w:val="none"/>
        </w:rPr>
      </w:pPr>
      <w:r>
        <w:rPr>
          <w:rFonts w:ascii="宋体" w:hAnsi="宋体" w:cs="仿宋_GB2312"/>
          <w:color w:val="auto"/>
          <w:szCs w:val="21"/>
          <w:highlight w:val="none"/>
          <w:u w:val="single"/>
        </w:rPr>
        <w:t xml:space="preserve">                    </w:t>
      </w:r>
      <w:r>
        <w:rPr>
          <w:rFonts w:ascii="宋体" w:hAnsi="宋体" w:cs="仿宋_GB2312"/>
          <w:color w:val="auto"/>
          <w:szCs w:val="21"/>
          <w:highlight w:val="none"/>
        </w:rPr>
        <w:t>：</w:t>
      </w:r>
    </w:p>
    <w:p w14:paraId="4C6F9A1F">
      <w:pPr>
        <w:spacing w:line="400" w:lineRule="exact"/>
        <w:ind w:left="210" w:hanging="210" w:hangingChars="100"/>
        <w:rPr>
          <w:rFonts w:ascii="宋体" w:hAnsi="宋体" w:cs="仿宋_GB2312"/>
          <w:color w:val="auto"/>
          <w:szCs w:val="21"/>
          <w:highlight w:val="none"/>
        </w:rPr>
      </w:pPr>
      <w:r>
        <w:rPr>
          <w:rFonts w:ascii="宋体" w:hAnsi="宋体" w:cs="仿宋_GB2312"/>
          <w:color w:val="auto"/>
          <w:szCs w:val="21"/>
          <w:highlight w:val="none"/>
        </w:rPr>
        <w:t xml:space="preserve">   </w:t>
      </w:r>
      <w:r>
        <w:rPr>
          <w:rFonts w:ascii="宋体" w:hAnsi="宋体" w:cs="仿宋_GB2312"/>
          <w:color w:val="auto"/>
          <w:szCs w:val="21"/>
          <w:highlight w:val="none"/>
          <w:u w:val="single"/>
        </w:rPr>
        <w:t xml:space="preserve">                   </w:t>
      </w:r>
      <w:r>
        <w:rPr>
          <w:rFonts w:ascii="宋体" w:hAnsi="宋体" w:cs="仿宋_GB2312"/>
          <w:color w:val="auto"/>
          <w:szCs w:val="21"/>
          <w:highlight w:val="none"/>
        </w:rPr>
        <w:t>(</w:t>
      </w:r>
      <w:r>
        <w:rPr>
          <w:rFonts w:hint="eastAsia" w:ascii="宋体" w:hAnsi="宋体" w:cs="仿宋_GB2312"/>
          <w:color w:val="auto"/>
          <w:szCs w:val="21"/>
          <w:highlight w:val="none"/>
        </w:rPr>
        <w:t>供应商</w:t>
      </w:r>
      <w:r>
        <w:rPr>
          <w:rFonts w:ascii="宋体" w:hAnsi="宋体" w:cs="仿宋_GB2312"/>
          <w:color w:val="auto"/>
          <w:szCs w:val="21"/>
          <w:highlight w:val="none"/>
        </w:rPr>
        <w:t>全称)授权</w:t>
      </w:r>
      <w:r>
        <w:rPr>
          <w:rFonts w:ascii="宋体" w:hAnsi="宋体" w:cs="仿宋_GB2312"/>
          <w:color w:val="auto"/>
          <w:szCs w:val="21"/>
          <w:highlight w:val="none"/>
          <w:u w:val="single"/>
        </w:rPr>
        <w:t xml:space="preserve">       </w:t>
      </w:r>
      <w:r>
        <w:rPr>
          <w:rFonts w:ascii="宋体" w:hAnsi="宋体" w:cs="仿宋_GB2312"/>
          <w:color w:val="auto"/>
          <w:szCs w:val="21"/>
          <w:highlight w:val="none"/>
        </w:rPr>
        <w:t>（全名、职务）为全权代表，参加贵方组织的</w:t>
      </w:r>
      <w:r>
        <w:rPr>
          <w:rFonts w:ascii="宋体" w:hAnsi="宋体" w:cs="仿宋_GB2312"/>
          <w:color w:val="auto"/>
          <w:szCs w:val="21"/>
          <w:highlight w:val="none"/>
          <w:u w:val="single"/>
        </w:rPr>
        <w:t xml:space="preserve">               </w:t>
      </w:r>
      <w:r>
        <w:rPr>
          <w:rFonts w:ascii="宋体" w:hAnsi="宋体" w:cs="仿宋_GB2312"/>
          <w:color w:val="auto"/>
          <w:szCs w:val="21"/>
          <w:highlight w:val="none"/>
        </w:rPr>
        <w:t>（招标项目名称）（编号为</w:t>
      </w:r>
      <w:r>
        <w:rPr>
          <w:rFonts w:ascii="宋体" w:hAnsi="宋体" w:cs="仿宋_GB2312"/>
          <w:color w:val="auto"/>
          <w:szCs w:val="21"/>
          <w:highlight w:val="none"/>
          <w:u w:val="single"/>
        </w:rPr>
        <w:t xml:space="preserve">                </w:t>
      </w:r>
      <w:r>
        <w:rPr>
          <w:rFonts w:ascii="宋体" w:hAnsi="宋体" w:cs="仿宋_GB2312"/>
          <w:color w:val="auto"/>
          <w:szCs w:val="21"/>
          <w:highlight w:val="none"/>
        </w:rPr>
        <w:t>）招标活动并投标。为此：</w:t>
      </w:r>
    </w:p>
    <w:p w14:paraId="5D6BBE75">
      <w:pPr>
        <w:spacing w:line="400" w:lineRule="exact"/>
        <w:rPr>
          <w:rFonts w:ascii="宋体" w:hAnsi="宋体" w:cs="仿宋_GB2312"/>
          <w:color w:val="auto"/>
          <w:szCs w:val="21"/>
          <w:highlight w:val="none"/>
        </w:rPr>
      </w:pPr>
      <w:r>
        <w:rPr>
          <w:rFonts w:ascii="宋体" w:hAnsi="宋体" w:cs="仿宋_GB2312"/>
          <w:color w:val="auto"/>
          <w:szCs w:val="21"/>
          <w:highlight w:val="none"/>
        </w:rPr>
        <w:t>（1）、我方同意在</w:t>
      </w:r>
      <w:r>
        <w:rPr>
          <w:rFonts w:hint="eastAsia" w:ascii="宋体" w:hAnsi="宋体" w:cs="仿宋_GB2312"/>
          <w:color w:val="auto"/>
          <w:szCs w:val="21"/>
          <w:highlight w:val="none"/>
        </w:rPr>
        <w:t>供应商</w:t>
      </w:r>
      <w:r>
        <w:rPr>
          <w:rFonts w:ascii="宋体" w:hAnsi="宋体" w:cs="仿宋_GB2312"/>
          <w:color w:val="auto"/>
          <w:szCs w:val="21"/>
          <w:highlight w:val="none"/>
        </w:rPr>
        <w:t>须知规定的开标日期起遵守本投标函中的承诺且在投标有效期满之前均具有约束力。</w:t>
      </w:r>
    </w:p>
    <w:p w14:paraId="2A463F74">
      <w:pPr>
        <w:spacing w:line="400" w:lineRule="exact"/>
        <w:rPr>
          <w:rFonts w:ascii="宋体" w:hAnsi="宋体" w:cs="仿宋_GB2312"/>
          <w:color w:val="auto"/>
          <w:szCs w:val="21"/>
          <w:highlight w:val="none"/>
        </w:rPr>
      </w:pPr>
      <w:r>
        <w:rPr>
          <w:rFonts w:ascii="宋体" w:hAnsi="宋体" w:cs="仿宋_GB2312"/>
          <w:color w:val="auto"/>
          <w:szCs w:val="21"/>
          <w:highlight w:val="none"/>
        </w:rPr>
        <w:t>（2）、提供</w:t>
      </w:r>
      <w:r>
        <w:rPr>
          <w:rFonts w:hint="eastAsia" w:ascii="宋体" w:hAnsi="宋体" w:cs="仿宋_GB2312"/>
          <w:color w:val="auto"/>
          <w:szCs w:val="21"/>
          <w:highlight w:val="none"/>
        </w:rPr>
        <w:t>供应商</w:t>
      </w:r>
      <w:r>
        <w:rPr>
          <w:rFonts w:ascii="宋体" w:hAnsi="宋体" w:cs="仿宋_GB2312"/>
          <w:color w:val="auto"/>
          <w:szCs w:val="21"/>
          <w:highlight w:val="none"/>
        </w:rPr>
        <w:t>须知规定的全部投标文件。</w:t>
      </w:r>
    </w:p>
    <w:p w14:paraId="3EA1FF83">
      <w:pPr>
        <w:spacing w:line="400" w:lineRule="exact"/>
        <w:rPr>
          <w:rFonts w:ascii="宋体" w:hAnsi="宋体" w:cs="仿宋_GB2312"/>
          <w:color w:val="auto"/>
          <w:szCs w:val="21"/>
          <w:highlight w:val="none"/>
        </w:rPr>
      </w:pPr>
      <w:r>
        <w:rPr>
          <w:rFonts w:ascii="宋体" w:hAnsi="宋体" w:cs="仿宋_GB2312"/>
          <w:color w:val="auto"/>
          <w:szCs w:val="21"/>
          <w:highlight w:val="none"/>
        </w:rPr>
        <w:t>（3）、我方已详细阅读全部招标文件，包括招标文件修改书（如有的话）、参考资料及有关附件，确认无误。同意招标文件中的各项要求。</w:t>
      </w:r>
    </w:p>
    <w:p w14:paraId="73FB6B35">
      <w:pPr>
        <w:spacing w:line="400" w:lineRule="exact"/>
        <w:rPr>
          <w:rFonts w:ascii="宋体" w:hAnsi="宋体" w:cs="仿宋_GB2312"/>
          <w:color w:val="auto"/>
          <w:szCs w:val="21"/>
          <w:highlight w:val="none"/>
        </w:rPr>
      </w:pPr>
      <w:bookmarkStart w:id="78" w:name="_Toc437251189"/>
      <w:bookmarkStart w:id="79" w:name="_Toc231780372"/>
      <w:bookmarkStart w:id="80" w:name="_Toc360457891"/>
      <w:r>
        <w:rPr>
          <w:rFonts w:ascii="宋体" w:hAnsi="宋体" w:cs="仿宋_GB2312"/>
          <w:color w:val="auto"/>
          <w:szCs w:val="21"/>
          <w:highlight w:val="none"/>
        </w:rPr>
        <w:t>（4）、保证忠实地执行双方所签订的合同，并承担合同规定的责任和义务。</w:t>
      </w:r>
      <w:bookmarkEnd w:id="78"/>
      <w:bookmarkEnd w:id="79"/>
      <w:bookmarkEnd w:id="80"/>
    </w:p>
    <w:p w14:paraId="135F49DF">
      <w:pPr>
        <w:spacing w:line="400" w:lineRule="exact"/>
        <w:rPr>
          <w:rFonts w:ascii="宋体" w:hAnsi="宋体" w:cs="仿宋_GB2312"/>
          <w:color w:val="auto"/>
          <w:szCs w:val="21"/>
          <w:highlight w:val="none"/>
        </w:rPr>
      </w:pPr>
      <w:r>
        <w:rPr>
          <w:rFonts w:ascii="宋体" w:hAnsi="宋体" w:cs="仿宋_GB2312"/>
          <w:color w:val="auto"/>
          <w:szCs w:val="21"/>
          <w:highlight w:val="none"/>
        </w:rPr>
        <w:t>（5）、保证遵守招标文件中的其他有关规定。</w:t>
      </w:r>
    </w:p>
    <w:p w14:paraId="3DC616FC">
      <w:pPr>
        <w:spacing w:line="400" w:lineRule="exact"/>
        <w:rPr>
          <w:rFonts w:ascii="宋体" w:hAnsi="宋体" w:cs="仿宋_GB2312"/>
          <w:color w:val="auto"/>
          <w:szCs w:val="21"/>
          <w:highlight w:val="none"/>
        </w:rPr>
      </w:pPr>
      <w:r>
        <w:rPr>
          <w:rFonts w:ascii="宋体" w:hAnsi="宋体" w:cs="仿宋_GB2312"/>
          <w:color w:val="auto"/>
          <w:szCs w:val="21"/>
          <w:highlight w:val="none"/>
        </w:rPr>
        <w:t>（6）、如果在开标后的投标有效期内撤回投标，我方同意按招标人的规定进行处罚。</w:t>
      </w:r>
    </w:p>
    <w:p w14:paraId="4828486C">
      <w:pPr>
        <w:spacing w:line="400" w:lineRule="exact"/>
        <w:rPr>
          <w:rFonts w:ascii="宋体" w:hAnsi="宋体" w:cs="仿宋_GB2312"/>
          <w:color w:val="auto"/>
          <w:szCs w:val="21"/>
          <w:highlight w:val="none"/>
        </w:rPr>
      </w:pPr>
      <w:r>
        <w:rPr>
          <w:rFonts w:ascii="宋体" w:hAnsi="宋体" w:cs="仿宋_GB2312"/>
          <w:color w:val="auto"/>
          <w:szCs w:val="21"/>
          <w:highlight w:val="none"/>
        </w:rPr>
        <w:t>（7）、我方完全理解贵方不一定要接受最低价的投标或收到的任何投标。</w:t>
      </w:r>
    </w:p>
    <w:p w14:paraId="7A5E1226">
      <w:pPr>
        <w:spacing w:line="400" w:lineRule="exact"/>
        <w:rPr>
          <w:rFonts w:ascii="宋体" w:hAnsi="宋体" w:cs="仿宋_GB2312"/>
          <w:color w:val="auto"/>
          <w:szCs w:val="21"/>
          <w:highlight w:val="none"/>
        </w:rPr>
      </w:pPr>
      <w:r>
        <w:rPr>
          <w:rFonts w:ascii="宋体" w:hAnsi="宋体" w:cs="仿宋_GB2312"/>
          <w:color w:val="auto"/>
          <w:szCs w:val="21"/>
          <w:highlight w:val="none"/>
        </w:rPr>
        <w:t>（8）、我方同意提供按照贵方可能要求的与其投标有关的一切数据或资料，并保证其真实性、合法性。</w:t>
      </w:r>
    </w:p>
    <w:p w14:paraId="3F99A384">
      <w:pPr>
        <w:spacing w:line="400" w:lineRule="exact"/>
        <w:rPr>
          <w:rFonts w:ascii="宋体" w:hAnsi="宋体" w:cs="仿宋_GB2312"/>
          <w:color w:val="auto"/>
          <w:szCs w:val="21"/>
          <w:highlight w:val="none"/>
        </w:rPr>
      </w:pPr>
      <w:r>
        <w:rPr>
          <w:rFonts w:ascii="宋体" w:hAnsi="宋体" w:cs="仿宋_GB2312"/>
          <w:color w:val="auto"/>
          <w:szCs w:val="21"/>
          <w:highlight w:val="none"/>
        </w:rPr>
        <w:t>（9）、投标有效期为自开标日起</w:t>
      </w:r>
      <w:r>
        <w:rPr>
          <w:rFonts w:ascii="宋体" w:hAnsi="宋体" w:cs="仿宋_GB2312"/>
          <w:color w:val="auto"/>
          <w:szCs w:val="21"/>
          <w:highlight w:val="none"/>
          <w:u w:val="single"/>
        </w:rPr>
        <w:t xml:space="preserve"> 90 </w:t>
      </w:r>
      <w:r>
        <w:rPr>
          <w:rFonts w:hint="eastAsia" w:ascii="宋体" w:hAnsi="宋体" w:cs="仿宋_GB2312"/>
          <w:color w:val="auto"/>
          <w:szCs w:val="21"/>
          <w:highlight w:val="none"/>
        </w:rPr>
        <w:t>日历天</w:t>
      </w:r>
      <w:r>
        <w:rPr>
          <w:rFonts w:ascii="宋体" w:hAnsi="宋体" w:cs="仿宋_GB2312"/>
          <w:color w:val="auto"/>
          <w:szCs w:val="21"/>
          <w:highlight w:val="none"/>
        </w:rPr>
        <w:t>。</w:t>
      </w:r>
    </w:p>
    <w:p w14:paraId="33AC93C2">
      <w:pPr>
        <w:spacing w:line="400" w:lineRule="exact"/>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10</w:t>
      </w:r>
      <w:r>
        <w:rPr>
          <w:rFonts w:hint="eastAsia" w:ascii="宋体" w:hAnsi="宋体" w:cs="仿宋_GB2312"/>
          <w:color w:val="auto"/>
          <w:szCs w:val="21"/>
          <w:highlight w:val="none"/>
          <w:lang w:eastAsia="zh-CN"/>
        </w:rPr>
        <w:t>）、</w:t>
      </w:r>
      <w:r>
        <w:rPr>
          <w:rFonts w:hint="eastAsia" w:ascii="宋体"/>
          <w:color w:val="auto"/>
          <w:highlight w:val="none"/>
        </w:rPr>
        <w:t>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401753E2">
      <w:pPr>
        <w:spacing w:line="400" w:lineRule="exact"/>
        <w:rPr>
          <w:rFonts w:ascii="宋体" w:hAnsi="宋体" w:cs="仿宋_GB2312"/>
          <w:color w:val="auto"/>
          <w:szCs w:val="21"/>
          <w:highlight w:val="none"/>
        </w:rPr>
      </w:pPr>
      <w:r>
        <w:rPr>
          <w:rFonts w:ascii="宋体" w:hAnsi="宋体" w:cs="仿宋_GB2312"/>
          <w:color w:val="auto"/>
          <w:szCs w:val="21"/>
          <w:highlight w:val="none"/>
        </w:rPr>
        <w:t>与本投标有关的一切往来通讯请寄：</w:t>
      </w:r>
    </w:p>
    <w:p w14:paraId="0D2046B5">
      <w:pPr>
        <w:spacing w:line="400" w:lineRule="exact"/>
        <w:rPr>
          <w:rFonts w:ascii="宋体" w:hAnsi="宋体" w:cs="仿宋_GB2312"/>
          <w:color w:val="auto"/>
          <w:szCs w:val="21"/>
          <w:highlight w:val="none"/>
        </w:rPr>
      </w:pPr>
      <w:r>
        <w:rPr>
          <w:rFonts w:ascii="宋体" w:hAnsi="宋体" w:cs="仿宋_GB2312"/>
          <w:color w:val="auto"/>
          <w:szCs w:val="21"/>
          <w:highlight w:val="none"/>
        </w:rPr>
        <w:t xml:space="preserve">地址：_______________________    </w:t>
      </w:r>
    </w:p>
    <w:p w14:paraId="29558949">
      <w:pPr>
        <w:spacing w:line="400" w:lineRule="exact"/>
        <w:rPr>
          <w:rFonts w:ascii="宋体" w:hAnsi="宋体" w:cs="仿宋_GB2312"/>
          <w:color w:val="auto"/>
          <w:szCs w:val="21"/>
          <w:highlight w:val="none"/>
        </w:rPr>
      </w:pPr>
      <w:r>
        <w:rPr>
          <w:rFonts w:ascii="宋体" w:hAnsi="宋体" w:cs="仿宋_GB2312"/>
          <w:color w:val="auto"/>
          <w:szCs w:val="21"/>
          <w:highlight w:val="none"/>
        </w:rPr>
        <w:t>邮编：_______________________　</w:t>
      </w:r>
    </w:p>
    <w:p w14:paraId="1F9DB4AB">
      <w:pPr>
        <w:spacing w:line="400" w:lineRule="exact"/>
        <w:rPr>
          <w:rFonts w:ascii="宋体" w:hAnsi="宋体" w:cs="仿宋_GB2312"/>
          <w:color w:val="auto"/>
          <w:szCs w:val="21"/>
          <w:highlight w:val="none"/>
        </w:rPr>
      </w:pPr>
      <w:r>
        <w:rPr>
          <w:rFonts w:ascii="宋体" w:hAnsi="宋体" w:cs="仿宋_GB2312"/>
          <w:color w:val="auto"/>
          <w:szCs w:val="21"/>
          <w:highlight w:val="none"/>
        </w:rPr>
        <w:t>电话：_______________________　</w:t>
      </w:r>
    </w:p>
    <w:p w14:paraId="3B0D78D9">
      <w:pPr>
        <w:spacing w:line="400" w:lineRule="exact"/>
        <w:rPr>
          <w:rFonts w:ascii="宋体" w:hAnsi="宋体" w:cs="仿宋_GB2312"/>
          <w:color w:val="auto"/>
          <w:szCs w:val="21"/>
          <w:highlight w:val="none"/>
        </w:rPr>
      </w:pPr>
      <w:r>
        <w:rPr>
          <w:rFonts w:ascii="宋体" w:hAnsi="宋体" w:cs="仿宋_GB2312"/>
          <w:color w:val="auto"/>
          <w:szCs w:val="21"/>
          <w:highlight w:val="none"/>
        </w:rPr>
        <w:t>传真：_______________________</w:t>
      </w:r>
    </w:p>
    <w:p w14:paraId="26D4089E">
      <w:pPr>
        <w:adjustRightInd w:val="0"/>
        <w:snapToGrid w:val="0"/>
        <w:spacing w:after="120" w:afterLines="50" w:line="400" w:lineRule="exact"/>
        <w:rPr>
          <w:rFonts w:ascii="宋体" w:hAnsi="宋体" w:cs="仿宋_GB2312"/>
          <w:color w:val="auto"/>
          <w:kern w:val="0"/>
          <w:szCs w:val="21"/>
          <w:highlight w:val="none"/>
        </w:rPr>
      </w:pP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供应商</w:t>
      </w:r>
      <w:r>
        <w:rPr>
          <w:rFonts w:ascii="宋体" w:hAnsi="宋体" w:cs="仿宋_GB2312"/>
          <w:color w:val="auto"/>
          <w:kern w:val="0"/>
          <w:szCs w:val="21"/>
          <w:highlight w:val="none"/>
        </w:rPr>
        <w:t xml:space="preserve">名称（公章）：                               </w:t>
      </w:r>
    </w:p>
    <w:p w14:paraId="27D9AC32">
      <w:pPr>
        <w:adjustRightInd w:val="0"/>
        <w:snapToGrid w:val="0"/>
        <w:spacing w:after="120" w:afterLines="50" w:line="400" w:lineRule="exact"/>
        <w:rPr>
          <w:rFonts w:ascii="宋体" w:hAnsi="宋体" w:cs="仿宋_GB2312"/>
          <w:color w:val="auto"/>
          <w:kern w:val="0"/>
          <w:szCs w:val="21"/>
          <w:highlight w:val="none"/>
        </w:rPr>
      </w:pPr>
      <w:r>
        <w:rPr>
          <w:rFonts w:ascii="宋体" w:hAnsi="宋体" w:cs="仿宋_GB2312"/>
          <w:color w:val="auto"/>
          <w:kern w:val="0"/>
          <w:szCs w:val="21"/>
          <w:highlight w:val="none"/>
        </w:rPr>
        <w:t xml:space="preserve">                                    法定代表人或其授权代表签字</w:t>
      </w:r>
      <w:r>
        <w:rPr>
          <w:rFonts w:hint="eastAsia" w:ascii="宋体" w:hAnsi="宋体" w:cs="宋体"/>
          <w:color w:val="auto"/>
          <w:szCs w:val="21"/>
          <w:highlight w:val="none"/>
          <w:lang w:eastAsia="zh-CN"/>
        </w:rPr>
        <w:t>或盖章</w:t>
      </w:r>
      <w:r>
        <w:rPr>
          <w:rFonts w:ascii="宋体" w:hAnsi="宋体" w:cs="仿宋_GB2312"/>
          <w:color w:val="auto"/>
          <w:kern w:val="0"/>
          <w:szCs w:val="21"/>
          <w:highlight w:val="none"/>
        </w:rPr>
        <w:t xml:space="preserve">：                     </w:t>
      </w:r>
    </w:p>
    <w:p w14:paraId="2D4AB2E3">
      <w:pPr>
        <w:spacing w:line="400" w:lineRule="exact"/>
        <w:jc w:val="left"/>
        <w:rPr>
          <w:rFonts w:ascii="宋体" w:hAnsi="宋体" w:cs="仿宋_GB2312"/>
          <w:color w:val="auto"/>
          <w:kern w:val="0"/>
          <w:szCs w:val="21"/>
          <w:highlight w:val="none"/>
          <w:u w:val="single"/>
        </w:rPr>
      </w:pPr>
      <w:r>
        <w:rPr>
          <w:rFonts w:ascii="宋体" w:hAnsi="宋体" w:cs="仿宋_GB2312"/>
          <w:color w:val="auto"/>
          <w:kern w:val="0"/>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681CAD6">
      <w:pPr>
        <w:spacing w:line="400" w:lineRule="exact"/>
        <w:jc w:val="left"/>
        <w:rPr>
          <w:rFonts w:ascii="宋体" w:hAnsi="宋体" w:cs="仿宋_GB2312"/>
          <w:color w:val="auto"/>
          <w:kern w:val="0"/>
          <w:szCs w:val="21"/>
          <w:highlight w:val="none"/>
          <w:u w:val="single"/>
        </w:rPr>
      </w:pPr>
    </w:p>
    <w:p w14:paraId="38B5AC0A">
      <w:pPr>
        <w:spacing w:line="400" w:lineRule="exact"/>
        <w:jc w:val="left"/>
        <w:rPr>
          <w:rFonts w:ascii="宋体" w:hAnsi="宋体" w:cs="仿宋_GB2312"/>
          <w:color w:val="auto"/>
          <w:kern w:val="0"/>
          <w:szCs w:val="21"/>
          <w:highlight w:val="none"/>
          <w:u w:val="single"/>
        </w:rPr>
      </w:pPr>
    </w:p>
    <w:p w14:paraId="7DAFE4B4">
      <w:pPr>
        <w:spacing w:line="400" w:lineRule="exact"/>
        <w:jc w:val="left"/>
        <w:rPr>
          <w:rFonts w:ascii="宋体" w:hAnsi="宋体" w:cs="仿宋_GB2312"/>
          <w:color w:val="auto"/>
          <w:kern w:val="0"/>
          <w:szCs w:val="21"/>
          <w:highlight w:val="none"/>
          <w:u w:val="single"/>
        </w:rPr>
      </w:pPr>
    </w:p>
    <w:p w14:paraId="6988E8D1">
      <w:pPr>
        <w:spacing w:line="400" w:lineRule="exact"/>
        <w:jc w:val="left"/>
        <w:rPr>
          <w:rFonts w:ascii="宋体" w:hAnsi="宋体" w:cs="仿宋_GB2312"/>
          <w:color w:val="auto"/>
          <w:kern w:val="0"/>
          <w:szCs w:val="21"/>
          <w:highlight w:val="none"/>
          <w:u w:val="single"/>
        </w:rPr>
      </w:pPr>
    </w:p>
    <w:p w14:paraId="571559D7">
      <w:pPr>
        <w:spacing w:line="400" w:lineRule="exact"/>
        <w:jc w:val="left"/>
        <w:rPr>
          <w:rFonts w:hint="eastAsia" w:ascii="宋体" w:hAnsi="宋体" w:cs="宋体"/>
          <w:b/>
          <w:color w:val="auto"/>
          <w:szCs w:val="21"/>
          <w:highlight w:val="none"/>
        </w:rPr>
      </w:pPr>
      <w:r>
        <w:rPr>
          <w:rStyle w:val="118"/>
          <w:rFonts w:hint="eastAsia" w:ascii="宋体" w:hAnsi="宋体" w:cs="宋体"/>
          <w:color w:val="auto"/>
          <w:sz w:val="21"/>
          <w:szCs w:val="21"/>
          <w:highlight w:val="none"/>
        </w:rPr>
        <w:t>附件</w:t>
      </w:r>
    </w:p>
    <w:p w14:paraId="2ACCD8D4">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商务技术文件自评分表</w:t>
      </w:r>
    </w:p>
    <w:p w14:paraId="3C1C1EB6">
      <w:pPr>
        <w:spacing w:line="400" w:lineRule="exact"/>
        <w:jc w:val="left"/>
        <w:rPr>
          <w:rStyle w:val="118"/>
          <w:rFonts w:hint="eastAsia" w:ascii="宋体" w:hAnsi="宋体" w:cs="宋体"/>
          <w:color w:val="auto"/>
          <w:sz w:val="21"/>
          <w:szCs w:val="21"/>
          <w:highlight w:val="none"/>
        </w:rPr>
      </w:pPr>
    </w:p>
    <w:p w14:paraId="5CE1F6BD">
      <w:pPr>
        <w:rPr>
          <w:rFonts w:hint="eastAsia" w:ascii="宋体" w:hAnsi="宋体" w:cs="宋体"/>
          <w:color w:val="auto"/>
          <w:highlight w:val="none"/>
        </w:rPr>
      </w:pPr>
      <w:r>
        <w:rPr>
          <w:rFonts w:hint="eastAsia" w:ascii="宋体" w:hAnsi="宋体" w:cs="宋体"/>
          <w:color w:val="auto"/>
          <w:szCs w:val="24"/>
          <w:highlight w:val="none"/>
          <w:lang w:eastAsia="zh-CN" w:bidi="ar"/>
        </w:rPr>
        <w:t>采购编号</w:t>
      </w:r>
      <w:r>
        <w:rPr>
          <w:rFonts w:hint="eastAsia" w:ascii="宋体" w:hAnsi="宋体" w:cs="宋体"/>
          <w:color w:val="auto"/>
          <w:szCs w:val="24"/>
          <w:highlight w:val="none"/>
          <w:lang w:bidi="ar"/>
        </w:rPr>
        <w:t xml:space="preserve">：                      项目名称：                 </w:t>
      </w:r>
    </w:p>
    <w:tbl>
      <w:tblPr>
        <w:tblStyle w:val="46"/>
        <w:tblW w:w="10065" w:type="dxa"/>
        <w:tblInd w:w="-13" w:type="dxa"/>
        <w:tblLayout w:type="fixed"/>
        <w:tblCellMar>
          <w:top w:w="0" w:type="dxa"/>
          <w:left w:w="108" w:type="dxa"/>
          <w:bottom w:w="0" w:type="dxa"/>
          <w:right w:w="108" w:type="dxa"/>
        </w:tblCellMar>
      </w:tblPr>
      <w:tblGrid>
        <w:gridCol w:w="1065"/>
        <w:gridCol w:w="4258"/>
        <w:gridCol w:w="1372"/>
        <w:gridCol w:w="1356"/>
        <w:gridCol w:w="2014"/>
      </w:tblGrid>
      <w:tr w14:paraId="6E3F8A1E">
        <w:tblPrEx>
          <w:tblCellMar>
            <w:top w:w="0" w:type="dxa"/>
            <w:left w:w="108" w:type="dxa"/>
            <w:bottom w:w="0" w:type="dxa"/>
            <w:right w:w="108" w:type="dxa"/>
          </w:tblCellMar>
        </w:tblPrEx>
        <w:trPr>
          <w:trHeight w:val="606"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637B5FEA">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序号</w:t>
            </w:r>
          </w:p>
        </w:tc>
        <w:tc>
          <w:tcPr>
            <w:tcW w:w="4258" w:type="dxa"/>
            <w:tcBorders>
              <w:top w:val="single" w:color="auto" w:sz="4" w:space="0"/>
              <w:left w:val="single" w:color="auto" w:sz="4" w:space="0"/>
              <w:bottom w:val="single" w:color="auto" w:sz="4" w:space="0"/>
              <w:right w:val="single" w:color="auto" w:sz="4" w:space="0"/>
            </w:tcBorders>
            <w:noWrap w:val="0"/>
            <w:vAlign w:val="center"/>
          </w:tcPr>
          <w:p w14:paraId="194F49BC">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评审内容</w:t>
            </w:r>
          </w:p>
        </w:tc>
        <w:tc>
          <w:tcPr>
            <w:tcW w:w="1372" w:type="dxa"/>
            <w:tcBorders>
              <w:top w:val="single" w:color="auto" w:sz="4" w:space="0"/>
              <w:left w:val="nil"/>
              <w:bottom w:val="single" w:color="auto" w:sz="4" w:space="0"/>
              <w:right w:val="single" w:color="auto" w:sz="4" w:space="0"/>
            </w:tcBorders>
            <w:noWrap w:val="0"/>
            <w:vAlign w:val="center"/>
          </w:tcPr>
          <w:p w14:paraId="7C171D9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自评分</w:t>
            </w:r>
          </w:p>
        </w:tc>
        <w:tc>
          <w:tcPr>
            <w:tcW w:w="1356" w:type="dxa"/>
            <w:tcBorders>
              <w:top w:val="single" w:color="auto" w:sz="4" w:space="0"/>
              <w:left w:val="nil"/>
              <w:bottom w:val="single" w:color="auto" w:sz="4" w:space="0"/>
              <w:right w:val="single" w:color="auto" w:sz="4" w:space="0"/>
            </w:tcBorders>
            <w:noWrap w:val="0"/>
            <w:vAlign w:val="center"/>
          </w:tcPr>
          <w:p w14:paraId="3D17702F">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说明</w:t>
            </w:r>
          </w:p>
        </w:tc>
        <w:tc>
          <w:tcPr>
            <w:tcW w:w="2014" w:type="dxa"/>
            <w:tcBorders>
              <w:top w:val="single" w:color="auto" w:sz="4" w:space="0"/>
              <w:left w:val="nil"/>
              <w:bottom w:val="single" w:color="auto" w:sz="4" w:space="0"/>
              <w:right w:val="single" w:color="auto" w:sz="4" w:space="0"/>
            </w:tcBorders>
            <w:noWrap w:val="0"/>
            <w:vAlign w:val="center"/>
          </w:tcPr>
          <w:p w14:paraId="6714F37D">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证明文件</w:t>
            </w:r>
          </w:p>
        </w:tc>
      </w:tr>
      <w:tr w14:paraId="3E9D56DD">
        <w:tblPrEx>
          <w:tblCellMar>
            <w:top w:w="0" w:type="dxa"/>
            <w:left w:w="108" w:type="dxa"/>
            <w:bottom w:w="0" w:type="dxa"/>
            <w:right w:w="108" w:type="dxa"/>
          </w:tblCellMar>
        </w:tblPrEx>
        <w:trPr>
          <w:trHeight w:val="603" w:hRule="atLeast"/>
        </w:trPr>
        <w:tc>
          <w:tcPr>
            <w:tcW w:w="1065" w:type="dxa"/>
            <w:tcBorders>
              <w:top w:val="nil"/>
              <w:left w:val="single" w:color="auto" w:sz="4" w:space="0"/>
              <w:bottom w:val="single" w:color="auto" w:sz="4" w:space="0"/>
              <w:right w:val="single" w:color="auto" w:sz="4" w:space="0"/>
            </w:tcBorders>
            <w:noWrap w:val="0"/>
            <w:vAlign w:val="center"/>
          </w:tcPr>
          <w:p w14:paraId="25DB2B3C">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nil"/>
              <w:left w:val="single" w:color="auto" w:sz="4" w:space="0"/>
              <w:bottom w:val="single" w:color="auto" w:sz="4" w:space="0"/>
              <w:right w:val="single" w:color="auto" w:sz="4" w:space="0"/>
            </w:tcBorders>
            <w:noWrap w:val="0"/>
            <w:vAlign w:val="center"/>
          </w:tcPr>
          <w:p w14:paraId="5EA079D2">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nil"/>
              <w:left w:val="nil"/>
              <w:bottom w:val="single" w:color="auto" w:sz="4" w:space="0"/>
              <w:right w:val="single" w:color="auto" w:sz="4" w:space="0"/>
            </w:tcBorders>
            <w:noWrap w:val="0"/>
            <w:vAlign w:val="center"/>
          </w:tcPr>
          <w:p w14:paraId="7935816A">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nil"/>
              <w:left w:val="nil"/>
              <w:bottom w:val="single" w:color="auto" w:sz="4" w:space="0"/>
              <w:right w:val="single" w:color="auto" w:sz="4" w:space="0"/>
            </w:tcBorders>
            <w:noWrap w:val="0"/>
            <w:vAlign w:val="center"/>
          </w:tcPr>
          <w:p w14:paraId="19EFB824">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nil"/>
              <w:left w:val="nil"/>
              <w:bottom w:val="single" w:color="auto" w:sz="4" w:space="0"/>
              <w:right w:val="single" w:color="auto" w:sz="4" w:space="0"/>
            </w:tcBorders>
            <w:noWrap w:val="0"/>
            <w:vAlign w:val="center"/>
          </w:tcPr>
          <w:p w14:paraId="24390C6B">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65907188">
        <w:tblPrEx>
          <w:tblCellMar>
            <w:top w:w="0" w:type="dxa"/>
            <w:left w:w="108" w:type="dxa"/>
            <w:bottom w:w="0" w:type="dxa"/>
            <w:right w:w="108" w:type="dxa"/>
          </w:tblCellMar>
        </w:tblPrEx>
        <w:trPr>
          <w:trHeight w:val="622" w:hRule="atLeast"/>
        </w:trPr>
        <w:tc>
          <w:tcPr>
            <w:tcW w:w="1065" w:type="dxa"/>
            <w:tcBorders>
              <w:top w:val="nil"/>
              <w:left w:val="single" w:color="auto" w:sz="4" w:space="0"/>
              <w:bottom w:val="single" w:color="auto" w:sz="4" w:space="0"/>
              <w:right w:val="single" w:color="auto" w:sz="4" w:space="0"/>
            </w:tcBorders>
            <w:noWrap w:val="0"/>
            <w:vAlign w:val="center"/>
          </w:tcPr>
          <w:p w14:paraId="41AB95D8">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nil"/>
              <w:left w:val="single" w:color="auto" w:sz="4" w:space="0"/>
              <w:bottom w:val="single" w:color="auto" w:sz="4" w:space="0"/>
              <w:right w:val="single" w:color="auto" w:sz="4" w:space="0"/>
            </w:tcBorders>
            <w:noWrap w:val="0"/>
            <w:vAlign w:val="center"/>
          </w:tcPr>
          <w:p w14:paraId="5F87328F">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nil"/>
              <w:left w:val="nil"/>
              <w:bottom w:val="single" w:color="auto" w:sz="4" w:space="0"/>
              <w:right w:val="single" w:color="auto" w:sz="4" w:space="0"/>
            </w:tcBorders>
            <w:noWrap w:val="0"/>
            <w:vAlign w:val="center"/>
          </w:tcPr>
          <w:p w14:paraId="703DBE98">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nil"/>
              <w:left w:val="nil"/>
              <w:bottom w:val="single" w:color="auto" w:sz="4" w:space="0"/>
              <w:right w:val="single" w:color="auto" w:sz="4" w:space="0"/>
            </w:tcBorders>
            <w:noWrap w:val="0"/>
            <w:vAlign w:val="center"/>
          </w:tcPr>
          <w:p w14:paraId="02B1E0B9">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nil"/>
              <w:left w:val="nil"/>
              <w:bottom w:val="single" w:color="auto" w:sz="4" w:space="0"/>
              <w:right w:val="single" w:color="auto" w:sz="4" w:space="0"/>
            </w:tcBorders>
            <w:noWrap w:val="0"/>
            <w:vAlign w:val="center"/>
          </w:tcPr>
          <w:p w14:paraId="79210F7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78416BEC">
        <w:tblPrEx>
          <w:tblCellMar>
            <w:top w:w="0" w:type="dxa"/>
            <w:left w:w="108" w:type="dxa"/>
            <w:bottom w:w="0" w:type="dxa"/>
            <w:right w:w="108" w:type="dxa"/>
          </w:tblCellMar>
        </w:tblPrEx>
        <w:trPr>
          <w:trHeight w:val="530" w:hRule="atLeast"/>
        </w:trPr>
        <w:tc>
          <w:tcPr>
            <w:tcW w:w="1065" w:type="dxa"/>
            <w:tcBorders>
              <w:top w:val="nil"/>
              <w:left w:val="single" w:color="auto" w:sz="4" w:space="0"/>
              <w:bottom w:val="single" w:color="auto" w:sz="4" w:space="0"/>
              <w:right w:val="single" w:color="auto" w:sz="4" w:space="0"/>
            </w:tcBorders>
            <w:noWrap w:val="0"/>
            <w:vAlign w:val="center"/>
          </w:tcPr>
          <w:p w14:paraId="78452A03">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nil"/>
              <w:left w:val="single" w:color="auto" w:sz="4" w:space="0"/>
              <w:bottom w:val="single" w:color="auto" w:sz="4" w:space="0"/>
              <w:right w:val="single" w:color="auto" w:sz="4" w:space="0"/>
            </w:tcBorders>
            <w:noWrap w:val="0"/>
            <w:vAlign w:val="center"/>
          </w:tcPr>
          <w:p w14:paraId="375AC36B">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nil"/>
              <w:left w:val="nil"/>
              <w:bottom w:val="single" w:color="auto" w:sz="4" w:space="0"/>
              <w:right w:val="single" w:color="auto" w:sz="4" w:space="0"/>
            </w:tcBorders>
            <w:noWrap w:val="0"/>
            <w:vAlign w:val="center"/>
          </w:tcPr>
          <w:p w14:paraId="3C1263AA">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nil"/>
              <w:left w:val="nil"/>
              <w:bottom w:val="single" w:color="auto" w:sz="4" w:space="0"/>
              <w:right w:val="single" w:color="auto" w:sz="4" w:space="0"/>
            </w:tcBorders>
            <w:noWrap w:val="0"/>
            <w:vAlign w:val="center"/>
          </w:tcPr>
          <w:p w14:paraId="3331E9C5">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nil"/>
              <w:left w:val="nil"/>
              <w:bottom w:val="single" w:color="auto" w:sz="4" w:space="0"/>
              <w:right w:val="single" w:color="auto" w:sz="4" w:space="0"/>
            </w:tcBorders>
            <w:noWrap w:val="0"/>
            <w:vAlign w:val="center"/>
          </w:tcPr>
          <w:p w14:paraId="785838E9">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42BC45DD">
        <w:tblPrEx>
          <w:tblCellMar>
            <w:top w:w="0" w:type="dxa"/>
            <w:left w:w="108" w:type="dxa"/>
            <w:bottom w:w="0" w:type="dxa"/>
            <w:right w:w="108" w:type="dxa"/>
          </w:tblCellMar>
        </w:tblPrEx>
        <w:trPr>
          <w:trHeight w:val="541" w:hRule="atLeast"/>
        </w:trPr>
        <w:tc>
          <w:tcPr>
            <w:tcW w:w="1065" w:type="dxa"/>
            <w:tcBorders>
              <w:top w:val="nil"/>
              <w:left w:val="single" w:color="auto" w:sz="4" w:space="0"/>
              <w:bottom w:val="single" w:color="auto" w:sz="4" w:space="0"/>
              <w:right w:val="single" w:color="auto" w:sz="4" w:space="0"/>
            </w:tcBorders>
            <w:noWrap w:val="0"/>
            <w:vAlign w:val="center"/>
          </w:tcPr>
          <w:p w14:paraId="3AC30D9D">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nil"/>
              <w:left w:val="single" w:color="auto" w:sz="4" w:space="0"/>
              <w:bottom w:val="single" w:color="auto" w:sz="4" w:space="0"/>
              <w:right w:val="single" w:color="auto" w:sz="4" w:space="0"/>
            </w:tcBorders>
            <w:noWrap w:val="0"/>
            <w:vAlign w:val="center"/>
          </w:tcPr>
          <w:p w14:paraId="1C21EB21">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nil"/>
              <w:left w:val="nil"/>
              <w:bottom w:val="single" w:color="auto" w:sz="4" w:space="0"/>
              <w:right w:val="single" w:color="auto" w:sz="4" w:space="0"/>
            </w:tcBorders>
            <w:noWrap w:val="0"/>
            <w:vAlign w:val="center"/>
          </w:tcPr>
          <w:p w14:paraId="62767568">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nil"/>
              <w:left w:val="nil"/>
              <w:bottom w:val="single" w:color="auto" w:sz="4" w:space="0"/>
              <w:right w:val="single" w:color="auto" w:sz="4" w:space="0"/>
            </w:tcBorders>
            <w:noWrap w:val="0"/>
            <w:vAlign w:val="center"/>
          </w:tcPr>
          <w:p w14:paraId="00ACE47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nil"/>
              <w:left w:val="nil"/>
              <w:bottom w:val="single" w:color="auto" w:sz="4" w:space="0"/>
              <w:right w:val="single" w:color="auto" w:sz="4" w:space="0"/>
            </w:tcBorders>
            <w:noWrap w:val="0"/>
            <w:vAlign w:val="center"/>
          </w:tcPr>
          <w:p w14:paraId="21DE0CE4">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35974061">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72254065">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61706230">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0E0B6DC4">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5046CC2">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7D49AF76">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7F318114">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28AD218">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07556CCD">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424C48A2">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0CD681D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6D496C7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49AE6F98">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734177E5">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6C32E29B">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082F357B">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7681A0BA">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7BD20FB7">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4A691851">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64FD10E3">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799F8513">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5BC42F14">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4ED91C25">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3FA9682B">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0B2830BB">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E7D0A30">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31FC3D97">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506839A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7D77D1D5">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33A2A74D">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79309411">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D58AC87">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2BED576D">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04DEEFB7">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1B65A01C">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4971C25F">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72B12687">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7BBC4A6C">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09AD954D">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69FF6F36">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1328EB5F">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2FF216FE">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r w14:paraId="3D265522">
        <w:tblPrEx>
          <w:tblCellMar>
            <w:top w:w="0" w:type="dxa"/>
            <w:left w:w="108" w:type="dxa"/>
            <w:bottom w:w="0" w:type="dxa"/>
            <w:right w:w="108" w:type="dxa"/>
          </w:tblCellMar>
        </w:tblPrEx>
        <w:trPr>
          <w:trHeight w:val="769"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DC5EADD">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4258" w:type="dxa"/>
            <w:tcBorders>
              <w:top w:val="single" w:color="auto" w:sz="4" w:space="0"/>
              <w:left w:val="single" w:color="auto" w:sz="4" w:space="0"/>
              <w:bottom w:val="single" w:color="auto" w:sz="4" w:space="0"/>
              <w:right w:val="single" w:color="auto" w:sz="4" w:space="0"/>
            </w:tcBorders>
            <w:noWrap w:val="0"/>
            <w:vAlign w:val="center"/>
          </w:tcPr>
          <w:p w14:paraId="617ED923">
            <w:pPr>
              <w:keepNext w:val="0"/>
              <w:keepLines w:val="0"/>
              <w:suppressLineNumbers w:val="0"/>
              <w:spacing w:before="0" w:beforeAutospacing="0" w:after="0" w:afterAutospacing="0"/>
              <w:ind w:left="0" w:right="0"/>
              <w:rPr>
                <w:rFonts w:hint="eastAsia" w:ascii="宋体" w:hAnsi="宋体" w:cs="宋体"/>
                <w:color w:val="auto"/>
                <w:szCs w:val="20"/>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2B00395E">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274B790">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p>
        </w:tc>
        <w:tc>
          <w:tcPr>
            <w:tcW w:w="2014" w:type="dxa"/>
            <w:tcBorders>
              <w:top w:val="single" w:color="auto" w:sz="4" w:space="0"/>
              <w:left w:val="nil"/>
              <w:bottom w:val="single" w:color="auto" w:sz="4" w:space="0"/>
              <w:right w:val="single" w:color="auto" w:sz="4" w:space="0"/>
            </w:tcBorders>
            <w:noWrap w:val="0"/>
            <w:vAlign w:val="center"/>
          </w:tcPr>
          <w:p w14:paraId="7DBBB3D1">
            <w:pPr>
              <w:keepNext w:val="0"/>
              <w:keepLines w:val="0"/>
              <w:suppressLineNumbers w:val="0"/>
              <w:spacing w:before="0" w:beforeAutospacing="0" w:after="0" w:afterAutospacing="0"/>
              <w:ind w:left="0" w:right="0"/>
              <w:jc w:val="center"/>
              <w:rPr>
                <w:rFonts w:hint="eastAsia" w:ascii="宋体" w:hAnsi="宋体" w:cs="宋体"/>
                <w:color w:val="auto"/>
                <w:szCs w:val="20"/>
                <w:highlight w:val="none"/>
              </w:rPr>
            </w:pPr>
            <w:r>
              <w:rPr>
                <w:rFonts w:hint="eastAsia" w:ascii="宋体" w:hAnsi="宋体" w:cs="宋体"/>
                <w:color w:val="auto"/>
                <w:szCs w:val="24"/>
                <w:highlight w:val="none"/>
                <w:lang w:bidi="ar"/>
              </w:rPr>
              <w:t>见（  ）页</w:t>
            </w:r>
          </w:p>
        </w:tc>
      </w:tr>
    </w:tbl>
    <w:p w14:paraId="03A283C2">
      <w:pPr>
        <w:spacing w:line="400" w:lineRule="exact"/>
        <w:rPr>
          <w:rFonts w:hint="eastAsia" w:ascii="宋体" w:hAnsi="宋体" w:cs="宋体"/>
          <w:b/>
          <w:color w:val="auto"/>
          <w:highlight w:val="none"/>
        </w:rPr>
      </w:pPr>
      <w:r>
        <w:rPr>
          <w:rFonts w:hint="eastAsia" w:ascii="宋体" w:hAnsi="宋体" w:cs="宋体"/>
          <w:b/>
          <w:color w:val="auto"/>
          <w:szCs w:val="21"/>
          <w:highlight w:val="none"/>
          <w:lang w:bidi="ar"/>
        </w:rPr>
        <w:t>请各投标人根据评标细则，列出评分项对应的投标文件页码及自查情况（价格部分除外）</w:t>
      </w:r>
    </w:p>
    <w:p w14:paraId="652B8A96">
      <w:pPr>
        <w:spacing w:line="400" w:lineRule="exact"/>
        <w:rPr>
          <w:rFonts w:hint="eastAsia" w:ascii="宋体" w:hAnsi="宋体" w:cs="宋体"/>
          <w:b/>
          <w:color w:val="auto"/>
          <w:highlight w:val="none"/>
        </w:rPr>
      </w:pPr>
    </w:p>
    <w:p w14:paraId="5011120F">
      <w:pPr>
        <w:spacing w:line="400" w:lineRule="exact"/>
        <w:ind w:firstLine="3150" w:firstLineChars="1500"/>
        <w:jc w:val="right"/>
        <w:rPr>
          <w:rFonts w:hint="eastAsia" w:ascii="宋体" w:hAnsi="宋体" w:cs="宋体"/>
          <w:color w:val="auto"/>
          <w:szCs w:val="21"/>
          <w:highlight w:val="none"/>
        </w:rPr>
      </w:pPr>
      <w:r>
        <w:rPr>
          <w:rFonts w:hint="eastAsia" w:ascii="宋体" w:hAnsi="宋体" w:cs="宋体"/>
          <w:color w:val="auto"/>
          <w:szCs w:val="21"/>
          <w:highlight w:val="none"/>
          <w:lang w:bidi="ar"/>
        </w:rPr>
        <w:t xml:space="preserve">投标人盖章（公章）：             </w:t>
      </w:r>
    </w:p>
    <w:p w14:paraId="3D3FD2E7">
      <w:pPr>
        <w:spacing w:line="360" w:lineRule="auto"/>
        <w:rPr>
          <w:rFonts w:hint="eastAsia" w:ascii="宋体" w:hAnsi="宋体" w:cs="宋体"/>
          <w:color w:val="auto"/>
          <w:szCs w:val="21"/>
          <w:highlight w:val="none"/>
        </w:rPr>
      </w:pPr>
    </w:p>
    <w:p w14:paraId="57A3507B">
      <w:pPr>
        <w:spacing w:line="360" w:lineRule="auto"/>
        <w:ind w:firstLine="3255" w:firstLineChars="1550"/>
        <w:jc w:val="right"/>
        <w:rPr>
          <w:rFonts w:hint="eastAsia" w:ascii="宋体" w:hAnsi="宋体" w:cs="宋体"/>
          <w:color w:val="auto"/>
          <w:szCs w:val="21"/>
          <w:highlight w:val="none"/>
        </w:rPr>
      </w:pPr>
      <w:r>
        <w:rPr>
          <w:rFonts w:hint="eastAsia" w:ascii="宋体" w:hAnsi="宋体" w:cs="宋体"/>
          <w:color w:val="auto"/>
          <w:szCs w:val="21"/>
          <w:highlight w:val="none"/>
          <w:lang w:bidi="ar"/>
        </w:rPr>
        <w:t xml:space="preserve">           法定代表人或授权代表（签字或盖章）：</w:t>
      </w:r>
    </w:p>
    <w:p w14:paraId="61A8A29E">
      <w:pPr>
        <w:spacing w:line="400" w:lineRule="exact"/>
        <w:ind w:left="525" w:leftChars="250" w:firstLine="1470" w:firstLineChars="700"/>
        <w:rPr>
          <w:rFonts w:hint="eastAsia" w:ascii="宋体" w:hAnsi="宋体" w:cs="宋体"/>
          <w:color w:val="auto"/>
          <w:szCs w:val="21"/>
          <w:highlight w:val="none"/>
        </w:rPr>
      </w:pPr>
    </w:p>
    <w:p w14:paraId="134EB33A">
      <w:pPr>
        <w:spacing w:line="360" w:lineRule="auto"/>
        <w:jc w:val="righ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6E79836C">
      <w:pPr>
        <w:spacing w:line="400" w:lineRule="exact"/>
        <w:jc w:val="left"/>
        <w:rPr>
          <w:rStyle w:val="118"/>
          <w:rFonts w:hint="eastAsia" w:ascii="宋体" w:hAnsi="宋体" w:cs="宋体"/>
          <w:color w:val="auto"/>
          <w:sz w:val="21"/>
          <w:szCs w:val="21"/>
          <w:highlight w:val="none"/>
        </w:rPr>
      </w:pPr>
    </w:p>
    <w:p w14:paraId="5C67A3CC">
      <w:pPr>
        <w:spacing w:line="400" w:lineRule="exact"/>
        <w:jc w:val="left"/>
        <w:rPr>
          <w:rStyle w:val="118"/>
          <w:rFonts w:hint="eastAsia" w:ascii="宋体" w:hAnsi="宋体" w:cs="宋体"/>
          <w:color w:val="auto"/>
          <w:sz w:val="21"/>
          <w:szCs w:val="21"/>
          <w:highlight w:val="none"/>
        </w:rPr>
      </w:pPr>
    </w:p>
    <w:p w14:paraId="592266AF">
      <w:pPr>
        <w:spacing w:line="400" w:lineRule="exact"/>
        <w:jc w:val="left"/>
        <w:rPr>
          <w:rStyle w:val="118"/>
          <w:rFonts w:hint="eastAsia" w:ascii="宋体" w:hAnsi="宋体" w:cs="宋体"/>
          <w:color w:val="auto"/>
          <w:sz w:val="21"/>
          <w:szCs w:val="21"/>
          <w:highlight w:val="none"/>
        </w:rPr>
      </w:pPr>
    </w:p>
    <w:p w14:paraId="2E23C20D">
      <w:pPr>
        <w:spacing w:line="400" w:lineRule="exact"/>
        <w:jc w:val="left"/>
        <w:rPr>
          <w:rFonts w:hint="eastAsia" w:ascii="宋体" w:hAnsi="宋体" w:cs="宋体"/>
          <w:b/>
          <w:color w:val="auto"/>
          <w:szCs w:val="21"/>
          <w:highlight w:val="none"/>
        </w:rPr>
      </w:pPr>
      <w:r>
        <w:rPr>
          <w:rStyle w:val="118"/>
          <w:rFonts w:hint="eastAsia" w:ascii="宋体" w:hAnsi="宋体" w:cs="宋体"/>
          <w:color w:val="auto"/>
          <w:sz w:val="21"/>
          <w:szCs w:val="21"/>
          <w:highlight w:val="none"/>
        </w:rPr>
        <w:t>附件</w:t>
      </w:r>
    </w:p>
    <w:p w14:paraId="190A8F7A">
      <w:pPr>
        <w:spacing w:line="400" w:lineRule="exact"/>
        <w:rPr>
          <w:rFonts w:hint="eastAsia" w:ascii="宋体" w:hAnsi="宋体" w:cs="宋体"/>
          <w:b/>
          <w:color w:val="auto"/>
          <w:szCs w:val="21"/>
          <w:highlight w:val="none"/>
        </w:rPr>
      </w:pPr>
    </w:p>
    <w:p w14:paraId="09EADB17">
      <w:pPr>
        <w:spacing w:line="400" w:lineRule="exact"/>
        <w:ind w:firstLine="527" w:firstLineChars="250"/>
        <w:jc w:val="center"/>
        <w:rPr>
          <w:rFonts w:hint="eastAsia" w:ascii="宋体" w:hAnsi="宋体" w:cs="宋体"/>
          <w:b/>
          <w:color w:val="auto"/>
          <w:szCs w:val="21"/>
          <w:highlight w:val="none"/>
        </w:rPr>
      </w:pPr>
      <w:r>
        <w:rPr>
          <w:rFonts w:hint="eastAsia" w:ascii="宋体" w:hAnsi="宋体" w:cs="宋体"/>
          <w:b/>
          <w:color w:val="auto"/>
          <w:szCs w:val="21"/>
          <w:highlight w:val="none"/>
        </w:rPr>
        <w:t>供应商一般情况</w:t>
      </w:r>
    </w:p>
    <w:p w14:paraId="2FB3470B">
      <w:pPr>
        <w:pStyle w:val="18"/>
        <w:rPr>
          <w:rFonts w:hint="eastAsia"/>
          <w:color w:val="auto"/>
          <w:highlight w:val="none"/>
        </w:rPr>
      </w:pP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14:paraId="06E4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5343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0A806F0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r>
      <w:tr w14:paraId="7419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EA3B34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06FADF54">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总部地址：</w:t>
            </w:r>
          </w:p>
        </w:tc>
      </w:tr>
      <w:tr w14:paraId="4485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0BF0B3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09EFF9DA">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当地代表处地址：</w:t>
            </w:r>
          </w:p>
        </w:tc>
      </w:tr>
      <w:tr w14:paraId="7CDD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355897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698B2E84">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14:paraId="60F7C1FB">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r>
      <w:tr w14:paraId="6AD3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FAA1B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37FE888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14:paraId="12DC4AA6">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tc>
      </w:tr>
      <w:tr w14:paraId="762D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9A133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74655456">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14:paraId="0FCF0E8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注册年份：</w:t>
            </w:r>
          </w:p>
        </w:tc>
      </w:tr>
      <w:tr w14:paraId="37EF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2B6A8B8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792A097D">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公司的经营范围（请附上有关证书的</w:t>
            </w:r>
            <w:r>
              <w:rPr>
                <w:rFonts w:hint="eastAsia" w:ascii="宋体" w:hAnsi="宋体" w:eastAsia="宋体" w:cs="宋体"/>
                <w:color w:val="auto"/>
                <w:szCs w:val="21"/>
                <w:highlight w:val="none"/>
                <w:lang w:eastAsia="zh-CN"/>
              </w:rPr>
              <w:t>扫描件或影印件</w:t>
            </w:r>
            <w:r>
              <w:rPr>
                <w:rFonts w:hint="eastAsia" w:ascii="宋体" w:hAnsi="宋体" w:eastAsia="宋体" w:cs="宋体"/>
                <w:color w:val="auto"/>
                <w:szCs w:val="21"/>
                <w:highlight w:val="none"/>
              </w:rPr>
              <w:t>）</w:t>
            </w:r>
          </w:p>
        </w:tc>
      </w:tr>
      <w:tr w14:paraId="182B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9D698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14:paraId="1FB375C9">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从业人员数量</w:t>
            </w:r>
          </w:p>
        </w:tc>
        <w:tc>
          <w:tcPr>
            <w:tcW w:w="4743" w:type="dxa"/>
            <w:tcBorders>
              <w:top w:val="single" w:color="auto" w:sz="4" w:space="0"/>
              <w:left w:val="single" w:color="auto" w:sz="4" w:space="0"/>
              <w:bottom w:val="single" w:color="auto" w:sz="4" w:space="0"/>
              <w:right w:val="single" w:color="auto" w:sz="4" w:space="0"/>
            </w:tcBorders>
            <w:noWrap w:val="0"/>
            <w:vAlign w:val="center"/>
          </w:tcPr>
          <w:p w14:paraId="74FCFB03">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r w14:paraId="3E5E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60A3DD1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14:paraId="33116C55">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p>
        </w:tc>
        <w:tc>
          <w:tcPr>
            <w:tcW w:w="4743" w:type="dxa"/>
            <w:tcBorders>
              <w:top w:val="single" w:color="auto" w:sz="4" w:space="0"/>
              <w:left w:val="single" w:color="auto" w:sz="4" w:space="0"/>
              <w:bottom w:val="single" w:color="auto" w:sz="4" w:space="0"/>
              <w:right w:val="single" w:color="auto" w:sz="4" w:space="0"/>
            </w:tcBorders>
            <w:noWrap w:val="0"/>
            <w:vAlign w:val="center"/>
          </w:tcPr>
          <w:p w14:paraId="770798FC">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r w14:paraId="57EF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C87835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14:paraId="442E81B4">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其他需要说明的情况</w:t>
            </w:r>
          </w:p>
        </w:tc>
        <w:tc>
          <w:tcPr>
            <w:tcW w:w="4743" w:type="dxa"/>
            <w:tcBorders>
              <w:top w:val="single" w:color="auto" w:sz="4" w:space="0"/>
              <w:left w:val="single" w:color="auto" w:sz="4" w:space="0"/>
              <w:bottom w:val="single" w:color="auto" w:sz="4" w:space="0"/>
              <w:right w:val="single" w:color="auto" w:sz="4" w:space="0"/>
            </w:tcBorders>
            <w:noWrap w:val="0"/>
            <w:vAlign w:val="center"/>
          </w:tcPr>
          <w:p w14:paraId="24C95D7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bl>
    <w:p w14:paraId="38161648">
      <w:pPr>
        <w:spacing w:line="400" w:lineRule="exact"/>
        <w:jc w:val="center"/>
        <w:rPr>
          <w:rFonts w:hint="eastAsia" w:ascii="宋体" w:hAnsi="宋体" w:cs="宋体"/>
          <w:color w:val="auto"/>
          <w:szCs w:val="21"/>
          <w:highlight w:val="none"/>
        </w:rPr>
      </w:pPr>
    </w:p>
    <w:p w14:paraId="38CEDDD7">
      <w:pPr>
        <w:spacing w:line="400" w:lineRule="exact"/>
        <w:jc w:val="left"/>
        <w:rPr>
          <w:rFonts w:hint="eastAsia" w:ascii="宋体" w:hAnsi="宋体" w:cs="宋体"/>
          <w:color w:val="auto"/>
          <w:szCs w:val="21"/>
          <w:highlight w:val="none"/>
        </w:rPr>
      </w:pPr>
    </w:p>
    <w:p w14:paraId="4CD4E112">
      <w:pPr>
        <w:spacing w:line="400" w:lineRule="exact"/>
        <w:ind w:firstLine="4620" w:firstLineChars="2200"/>
        <w:jc w:val="left"/>
        <w:rPr>
          <w:rFonts w:hint="eastAsia"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0C9F73E">
      <w:pPr>
        <w:spacing w:line="400" w:lineRule="exact"/>
        <w:ind w:firstLine="4620" w:firstLineChars="2200"/>
        <w:jc w:val="left"/>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r>
        <w:rPr>
          <w:rFonts w:hint="eastAsia" w:ascii="宋体" w:hAnsi="宋体" w:cs="宋体"/>
          <w:color w:val="auto"/>
          <w:szCs w:val="21"/>
          <w:highlight w:val="none"/>
          <w:u w:val="single"/>
        </w:rPr>
        <w:t xml:space="preserve">            </w:t>
      </w:r>
    </w:p>
    <w:p w14:paraId="276CCB56">
      <w:pPr>
        <w:spacing w:line="400" w:lineRule="exact"/>
        <w:ind w:firstLine="4620" w:firstLineChars="2200"/>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0C34744A">
      <w:pPr>
        <w:spacing w:line="400" w:lineRule="exact"/>
        <w:jc w:val="left"/>
        <w:rPr>
          <w:rStyle w:val="118"/>
          <w:rFonts w:hint="eastAsia" w:ascii="宋体" w:hAnsi="宋体" w:cs="宋体"/>
          <w:color w:val="auto"/>
          <w:sz w:val="21"/>
          <w:szCs w:val="21"/>
          <w:highlight w:val="none"/>
        </w:rPr>
      </w:pPr>
    </w:p>
    <w:p w14:paraId="28E22BCF">
      <w:pPr>
        <w:spacing w:line="400" w:lineRule="exact"/>
        <w:jc w:val="left"/>
        <w:rPr>
          <w:rStyle w:val="118"/>
          <w:rFonts w:hint="eastAsia" w:ascii="宋体" w:hAnsi="宋体" w:cs="宋体"/>
          <w:color w:val="auto"/>
          <w:sz w:val="21"/>
          <w:szCs w:val="21"/>
          <w:highlight w:val="none"/>
        </w:rPr>
      </w:pPr>
    </w:p>
    <w:p w14:paraId="1C4DACDF">
      <w:pPr>
        <w:spacing w:line="400" w:lineRule="exact"/>
        <w:jc w:val="left"/>
        <w:rPr>
          <w:rStyle w:val="118"/>
          <w:rFonts w:hint="eastAsia" w:ascii="宋体" w:hAnsi="宋体" w:cs="宋体"/>
          <w:color w:val="auto"/>
          <w:sz w:val="21"/>
          <w:szCs w:val="21"/>
          <w:highlight w:val="none"/>
        </w:rPr>
      </w:pPr>
    </w:p>
    <w:p w14:paraId="3471EE14">
      <w:pPr>
        <w:spacing w:line="400" w:lineRule="exact"/>
        <w:jc w:val="left"/>
        <w:rPr>
          <w:rStyle w:val="118"/>
          <w:rFonts w:hint="eastAsia" w:ascii="宋体" w:hAnsi="宋体" w:cs="宋体"/>
          <w:color w:val="auto"/>
          <w:sz w:val="21"/>
          <w:szCs w:val="21"/>
          <w:highlight w:val="none"/>
        </w:rPr>
      </w:pPr>
    </w:p>
    <w:p w14:paraId="02A386B1">
      <w:pPr>
        <w:spacing w:line="400" w:lineRule="exact"/>
        <w:jc w:val="left"/>
        <w:rPr>
          <w:rStyle w:val="118"/>
          <w:rFonts w:hint="eastAsia" w:ascii="宋体" w:hAnsi="宋体" w:cs="宋体"/>
          <w:color w:val="auto"/>
          <w:sz w:val="21"/>
          <w:szCs w:val="21"/>
          <w:highlight w:val="none"/>
        </w:rPr>
      </w:pPr>
    </w:p>
    <w:p w14:paraId="71F113F3">
      <w:pPr>
        <w:spacing w:line="400" w:lineRule="exact"/>
        <w:jc w:val="left"/>
        <w:rPr>
          <w:rStyle w:val="118"/>
          <w:rFonts w:hint="eastAsia" w:ascii="宋体" w:hAnsi="宋体" w:cs="宋体"/>
          <w:color w:val="auto"/>
          <w:sz w:val="21"/>
          <w:szCs w:val="21"/>
          <w:highlight w:val="none"/>
        </w:rPr>
      </w:pPr>
    </w:p>
    <w:p w14:paraId="7CB1251D">
      <w:pPr>
        <w:spacing w:line="400" w:lineRule="exact"/>
        <w:jc w:val="left"/>
        <w:rPr>
          <w:rStyle w:val="118"/>
          <w:rFonts w:hint="eastAsia" w:ascii="宋体" w:hAnsi="宋体" w:cs="宋体"/>
          <w:color w:val="auto"/>
          <w:sz w:val="21"/>
          <w:szCs w:val="21"/>
          <w:highlight w:val="none"/>
        </w:rPr>
      </w:pPr>
    </w:p>
    <w:p w14:paraId="613E7AF0">
      <w:pPr>
        <w:spacing w:line="400" w:lineRule="exact"/>
        <w:jc w:val="left"/>
        <w:rPr>
          <w:rStyle w:val="118"/>
          <w:rFonts w:hint="eastAsia" w:ascii="宋体" w:hAnsi="宋体" w:cs="宋体"/>
          <w:color w:val="auto"/>
          <w:sz w:val="21"/>
          <w:szCs w:val="21"/>
          <w:highlight w:val="none"/>
        </w:rPr>
      </w:pPr>
    </w:p>
    <w:p w14:paraId="2BEE02F4">
      <w:pPr>
        <w:spacing w:line="400" w:lineRule="exact"/>
        <w:jc w:val="left"/>
        <w:rPr>
          <w:rStyle w:val="118"/>
          <w:rFonts w:hint="eastAsia" w:ascii="宋体" w:hAnsi="宋体" w:cs="宋体"/>
          <w:color w:val="auto"/>
          <w:sz w:val="21"/>
          <w:szCs w:val="21"/>
          <w:highlight w:val="none"/>
        </w:rPr>
      </w:pPr>
    </w:p>
    <w:p w14:paraId="12BE052E">
      <w:pPr>
        <w:spacing w:line="400" w:lineRule="exact"/>
        <w:jc w:val="left"/>
        <w:rPr>
          <w:rStyle w:val="118"/>
          <w:rFonts w:hint="eastAsia" w:ascii="宋体" w:hAnsi="宋体" w:cs="宋体"/>
          <w:color w:val="auto"/>
          <w:sz w:val="21"/>
          <w:szCs w:val="21"/>
          <w:highlight w:val="none"/>
        </w:rPr>
      </w:pPr>
    </w:p>
    <w:p w14:paraId="0C4BBCBF">
      <w:pPr>
        <w:pStyle w:val="24"/>
        <w:snapToGrid w:val="0"/>
        <w:spacing w:line="400" w:lineRule="exact"/>
        <w:rPr>
          <w:rFonts w:hint="eastAsia"/>
          <w:b/>
          <w:color w:val="auto"/>
          <w:sz w:val="21"/>
          <w:szCs w:val="21"/>
          <w:highlight w:val="none"/>
        </w:rPr>
      </w:pPr>
      <w:bookmarkStart w:id="81" w:name="_Toc470632932"/>
    </w:p>
    <w:p w14:paraId="4AF4E512">
      <w:pPr>
        <w:pStyle w:val="24"/>
        <w:snapToGrid w:val="0"/>
        <w:spacing w:line="400" w:lineRule="exact"/>
        <w:rPr>
          <w:rFonts w:hint="eastAsia" w:eastAsia="宋体"/>
          <w:b/>
          <w:color w:val="auto"/>
          <w:sz w:val="21"/>
          <w:szCs w:val="21"/>
          <w:highlight w:val="none"/>
          <w:lang w:eastAsia="zh-CN"/>
        </w:rPr>
      </w:pPr>
      <w:r>
        <w:rPr>
          <w:rFonts w:hint="eastAsia"/>
          <w:b/>
          <w:color w:val="auto"/>
          <w:sz w:val="21"/>
          <w:szCs w:val="21"/>
          <w:highlight w:val="none"/>
        </w:rPr>
        <w:t>附件</w:t>
      </w:r>
    </w:p>
    <w:p w14:paraId="5E19485A">
      <w:pPr>
        <w:spacing w:line="400" w:lineRule="exact"/>
        <w:jc w:val="center"/>
        <w:outlineLvl w:val="0"/>
        <w:rPr>
          <w:rFonts w:hint="eastAsia" w:ascii="宋体" w:hAnsi="宋体" w:cs="宋体"/>
          <w:b/>
          <w:color w:val="auto"/>
          <w:szCs w:val="21"/>
          <w:highlight w:val="none"/>
        </w:rPr>
      </w:pPr>
      <w:bookmarkStart w:id="82" w:name="_Toc26512"/>
      <w:bookmarkStart w:id="83" w:name="_Toc15106"/>
      <w:bookmarkStart w:id="84" w:name="_Toc10252"/>
      <w:r>
        <w:rPr>
          <w:rFonts w:hint="eastAsia" w:ascii="宋体" w:hAnsi="宋体" w:cs="宋体"/>
          <w:b/>
          <w:color w:val="auto"/>
          <w:szCs w:val="21"/>
          <w:highlight w:val="none"/>
        </w:rPr>
        <w:t>法定代表人身份证明</w:t>
      </w:r>
      <w:bookmarkEnd w:id="81"/>
      <w:bookmarkEnd w:id="82"/>
      <w:bookmarkEnd w:id="83"/>
      <w:bookmarkEnd w:id="84"/>
    </w:p>
    <w:p w14:paraId="6E6A96EF">
      <w:pPr>
        <w:spacing w:line="400" w:lineRule="exact"/>
        <w:jc w:val="center"/>
        <w:outlineLvl w:val="0"/>
        <w:rPr>
          <w:rFonts w:hint="eastAsia" w:ascii="宋体" w:hAnsi="宋体" w:cs="宋体"/>
          <w:b/>
          <w:color w:val="auto"/>
          <w:szCs w:val="21"/>
          <w:highlight w:val="none"/>
        </w:rPr>
      </w:pPr>
    </w:p>
    <w:p w14:paraId="3514F78C">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7444367B">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3FBFE55C">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37AAE14">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96E0284">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5BB42758">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color w:val="auto"/>
          <w:highlight w:val="none"/>
        </w:rPr>
        <w:t>职务：</w:t>
      </w:r>
      <w:r>
        <w:rPr>
          <w:rFonts w:hint="eastAsia"/>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F0B0F6D">
      <w:pPr>
        <w:spacing w:after="120" w:afterLines="50"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1BA4CA14">
      <w:pPr>
        <w:spacing w:line="400" w:lineRule="exact"/>
        <w:ind w:firstLine="560"/>
        <w:rPr>
          <w:rFonts w:hint="eastAsia" w:ascii="宋体" w:hAnsi="宋体" w:cs="宋体"/>
          <w:color w:val="auto"/>
          <w:szCs w:val="21"/>
          <w:highlight w:val="none"/>
        </w:rPr>
      </w:pPr>
    </w:p>
    <w:p w14:paraId="49E4955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14:paraId="33FA4800">
      <w:pPr>
        <w:spacing w:line="400" w:lineRule="exact"/>
        <w:ind w:firstLine="560"/>
        <w:rPr>
          <w:rFonts w:hint="eastAsia" w:ascii="宋体" w:hAnsi="宋体" w:cs="宋体"/>
          <w:color w:val="auto"/>
          <w:szCs w:val="21"/>
          <w:highlight w:val="none"/>
        </w:rPr>
      </w:pPr>
    </w:p>
    <w:p w14:paraId="52330AF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特此证明。</w:t>
      </w:r>
    </w:p>
    <w:p w14:paraId="123DECBC">
      <w:pPr>
        <w:spacing w:line="400" w:lineRule="exact"/>
        <w:rPr>
          <w:rFonts w:hint="eastAsia" w:ascii="宋体" w:hAnsi="宋体" w:cs="宋体"/>
          <w:color w:val="auto"/>
          <w:szCs w:val="21"/>
          <w:highlight w:val="none"/>
        </w:rPr>
      </w:pPr>
    </w:p>
    <w:p w14:paraId="512F741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11E1009C">
      <w:pPr>
        <w:spacing w:line="400" w:lineRule="exact"/>
        <w:ind w:right="56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9C525AE">
      <w:pPr>
        <w:spacing w:line="400" w:lineRule="exact"/>
        <w:ind w:right="560"/>
        <w:rPr>
          <w:rFonts w:hint="eastAsia" w:ascii="宋体" w:hAnsi="宋体" w:cs="宋体"/>
          <w:color w:val="auto"/>
          <w:szCs w:val="21"/>
          <w:highlight w:val="none"/>
        </w:rPr>
      </w:pPr>
    </w:p>
    <w:p w14:paraId="57558BFC">
      <w:pPr>
        <w:spacing w:line="400" w:lineRule="exact"/>
        <w:ind w:right="560"/>
        <w:rPr>
          <w:rFonts w:hint="eastAsia" w:ascii="宋体" w:hAnsi="宋体" w:cs="宋体"/>
          <w:color w:val="auto"/>
          <w:szCs w:val="21"/>
          <w:highlight w:val="none"/>
        </w:rPr>
      </w:pPr>
    </w:p>
    <w:p w14:paraId="268D7FD3">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附：法定代表人身份证</w:t>
      </w:r>
      <w:r>
        <w:rPr>
          <w:rFonts w:hint="eastAsia" w:ascii="宋体" w:hAnsi="宋体" w:cs="宋体"/>
          <w:color w:val="auto"/>
          <w:szCs w:val="21"/>
          <w:highlight w:val="none"/>
          <w:lang w:eastAsia="zh-CN"/>
        </w:rPr>
        <w:t>扫描件或影印件</w:t>
      </w:r>
      <w:r>
        <w:rPr>
          <w:rFonts w:hint="eastAsia" w:ascii="宋体" w:hAnsi="宋体"/>
          <w:color w:val="auto"/>
          <w:szCs w:val="21"/>
          <w:highlight w:val="none"/>
        </w:rPr>
        <w:t>（不同页的须加盖供应商公章）</w:t>
      </w:r>
    </w:p>
    <w:p w14:paraId="7D19FA99">
      <w:pPr>
        <w:spacing w:line="400" w:lineRule="exact"/>
        <w:jc w:val="left"/>
        <w:rPr>
          <w:rStyle w:val="118"/>
          <w:rFonts w:hint="eastAsia" w:ascii="宋体" w:hAnsi="宋体" w:cs="宋体"/>
          <w:color w:val="auto"/>
          <w:sz w:val="21"/>
          <w:szCs w:val="21"/>
          <w:highlight w:val="none"/>
        </w:rPr>
      </w:pPr>
    </w:p>
    <w:p w14:paraId="593AE028">
      <w:pPr>
        <w:spacing w:line="400" w:lineRule="exact"/>
        <w:jc w:val="left"/>
        <w:rPr>
          <w:rStyle w:val="118"/>
          <w:rFonts w:hint="eastAsia" w:ascii="宋体" w:hAnsi="宋体" w:cs="宋体"/>
          <w:color w:val="auto"/>
          <w:sz w:val="21"/>
          <w:szCs w:val="21"/>
          <w:highlight w:val="none"/>
        </w:rPr>
      </w:pPr>
    </w:p>
    <w:p w14:paraId="752B0E36">
      <w:pPr>
        <w:spacing w:line="400" w:lineRule="exact"/>
        <w:jc w:val="left"/>
        <w:rPr>
          <w:rStyle w:val="118"/>
          <w:rFonts w:hint="eastAsia" w:ascii="宋体" w:hAnsi="宋体" w:cs="宋体"/>
          <w:color w:val="auto"/>
          <w:sz w:val="21"/>
          <w:szCs w:val="21"/>
          <w:highlight w:val="none"/>
        </w:rPr>
      </w:pPr>
    </w:p>
    <w:p w14:paraId="1F1196EE">
      <w:pPr>
        <w:spacing w:line="400" w:lineRule="exact"/>
        <w:jc w:val="left"/>
        <w:rPr>
          <w:rFonts w:hint="eastAsia" w:ascii="宋体" w:hAnsi="宋体" w:cs="宋体"/>
          <w:b/>
          <w:color w:val="auto"/>
          <w:szCs w:val="21"/>
          <w:highlight w:val="none"/>
        </w:rPr>
      </w:pPr>
    </w:p>
    <w:p w14:paraId="4E05CABF">
      <w:pPr>
        <w:spacing w:line="400" w:lineRule="exact"/>
        <w:jc w:val="left"/>
        <w:rPr>
          <w:rFonts w:hint="eastAsia" w:ascii="宋体" w:hAnsi="宋体" w:cs="宋体"/>
          <w:b/>
          <w:color w:val="auto"/>
          <w:szCs w:val="21"/>
          <w:highlight w:val="none"/>
        </w:rPr>
      </w:pPr>
    </w:p>
    <w:p w14:paraId="216202F4">
      <w:pPr>
        <w:spacing w:line="400" w:lineRule="exact"/>
        <w:jc w:val="left"/>
        <w:rPr>
          <w:rFonts w:hint="eastAsia" w:ascii="宋体" w:hAnsi="宋体" w:cs="宋体"/>
          <w:b/>
          <w:color w:val="auto"/>
          <w:szCs w:val="21"/>
          <w:highlight w:val="none"/>
        </w:rPr>
      </w:pPr>
    </w:p>
    <w:p w14:paraId="36031D17">
      <w:pPr>
        <w:spacing w:line="400" w:lineRule="exact"/>
        <w:jc w:val="left"/>
        <w:rPr>
          <w:rFonts w:hint="eastAsia" w:ascii="宋体" w:hAnsi="宋体" w:cs="宋体"/>
          <w:b/>
          <w:color w:val="auto"/>
          <w:szCs w:val="21"/>
          <w:highlight w:val="none"/>
        </w:rPr>
      </w:pPr>
    </w:p>
    <w:p w14:paraId="37325384">
      <w:pPr>
        <w:spacing w:line="400" w:lineRule="exact"/>
        <w:jc w:val="left"/>
        <w:rPr>
          <w:rFonts w:hint="eastAsia" w:ascii="宋体" w:hAnsi="宋体" w:cs="宋体"/>
          <w:b/>
          <w:color w:val="auto"/>
          <w:szCs w:val="21"/>
          <w:highlight w:val="none"/>
        </w:rPr>
      </w:pPr>
    </w:p>
    <w:p w14:paraId="6914D591">
      <w:pPr>
        <w:spacing w:line="400" w:lineRule="exact"/>
        <w:jc w:val="left"/>
        <w:rPr>
          <w:rFonts w:hint="eastAsia" w:ascii="宋体" w:hAnsi="宋体" w:cs="宋体"/>
          <w:b/>
          <w:color w:val="auto"/>
          <w:szCs w:val="21"/>
          <w:highlight w:val="none"/>
        </w:rPr>
      </w:pPr>
    </w:p>
    <w:p w14:paraId="3D1460F4">
      <w:pPr>
        <w:spacing w:line="400" w:lineRule="exact"/>
        <w:jc w:val="left"/>
        <w:rPr>
          <w:rFonts w:hint="eastAsia" w:ascii="宋体" w:hAnsi="宋体" w:cs="宋体"/>
          <w:b/>
          <w:color w:val="auto"/>
          <w:szCs w:val="21"/>
          <w:highlight w:val="none"/>
        </w:rPr>
      </w:pPr>
    </w:p>
    <w:p w14:paraId="3FA6F8AB">
      <w:pPr>
        <w:spacing w:line="400" w:lineRule="exact"/>
        <w:jc w:val="left"/>
        <w:rPr>
          <w:rFonts w:hint="eastAsia" w:ascii="宋体" w:hAnsi="宋体" w:cs="宋体"/>
          <w:b/>
          <w:color w:val="auto"/>
          <w:szCs w:val="21"/>
          <w:highlight w:val="none"/>
        </w:rPr>
      </w:pPr>
    </w:p>
    <w:p w14:paraId="60CCE7AB">
      <w:pPr>
        <w:spacing w:line="400" w:lineRule="exact"/>
        <w:jc w:val="left"/>
        <w:rPr>
          <w:rFonts w:hint="eastAsia" w:ascii="宋体" w:hAnsi="宋体" w:cs="宋体"/>
          <w:b/>
          <w:color w:val="auto"/>
          <w:szCs w:val="21"/>
          <w:highlight w:val="none"/>
        </w:rPr>
      </w:pPr>
    </w:p>
    <w:p w14:paraId="7D6F04C5">
      <w:pPr>
        <w:spacing w:line="40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p>
    <w:p w14:paraId="68A5C12E">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法定代表人授权书</w:t>
      </w:r>
    </w:p>
    <w:p w14:paraId="205464A6">
      <w:pPr>
        <w:spacing w:line="40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（投标文件由授权代表签字的）</w:t>
      </w:r>
    </w:p>
    <w:p w14:paraId="6880ACE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致：采购人</w:t>
      </w:r>
    </w:p>
    <w:p w14:paraId="764AD9C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（供应商全称）</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（法定代表人姓名）</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（授权代表姓名）</w:t>
      </w:r>
      <w:r>
        <w:rPr>
          <w:rFonts w:hint="eastAsia" w:ascii="宋体" w:hAnsi="宋体" w:cs="宋体"/>
          <w:color w:val="auto"/>
          <w:szCs w:val="21"/>
          <w:highlight w:val="none"/>
        </w:rPr>
        <w:t>为授权代表，参加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（项目名称）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，其在招投标活动中的一切活动本公司均予承认。</w:t>
      </w:r>
    </w:p>
    <w:p w14:paraId="0496CC4E">
      <w:pPr>
        <w:spacing w:line="400" w:lineRule="exact"/>
        <w:jc w:val="left"/>
        <w:rPr>
          <w:rFonts w:hint="eastAsia" w:ascii="宋体" w:hAnsi="宋体" w:cs="宋体"/>
          <w:color w:val="auto"/>
          <w:szCs w:val="21"/>
          <w:highlight w:val="none"/>
        </w:rPr>
      </w:pPr>
    </w:p>
    <w:p w14:paraId="13D04ECA">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367A824">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5CB426C1">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58140954">
      <w:pPr>
        <w:spacing w:line="400" w:lineRule="exact"/>
        <w:rPr>
          <w:rFonts w:hint="eastAsia" w:ascii="宋体" w:hAnsi="宋体" w:cs="宋体"/>
          <w:color w:val="auto"/>
          <w:szCs w:val="21"/>
          <w:highlight w:val="none"/>
        </w:rPr>
      </w:pPr>
    </w:p>
    <w:p w14:paraId="2DA507DD">
      <w:pPr>
        <w:spacing w:line="400" w:lineRule="exact"/>
        <w:rPr>
          <w:rFonts w:hint="eastAsia" w:ascii="宋体" w:hAnsi="宋体" w:cs="宋体"/>
          <w:color w:val="auto"/>
          <w:szCs w:val="21"/>
          <w:highlight w:val="none"/>
        </w:rPr>
      </w:pPr>
    </w:p>
    <w:p w14:paraId="3FF41DA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附：</w:t>
      </w:r>
    </w:p>
    <w:p w14:paraId="110E9E45">
      <w:pPr>
        <w:spacing w:line="400" w:lineRule="exact"/>
        <w:ind w:firstLine="555"/>
        <w:rPr>
          <w:rFonts w:hint="eastAsia" w:ascii="宋体" w:hAnsi="宋体" w:cs="宋体"/>
          <w:color w:val="auto"/>
          <w:szCs w:val="21"/>
          <w:highlight w:val="none"/>
          <w:u w:val="single"/>
        </w:rPr>
      </w:pPr>
      <w:r>
        <w:rPr>
          <w:rFonts w:hint="eastAsia" w:ascii="宋体" w:hAnsi="宋体" w:cs="宋体"/>
          <w:color w:val="auto"/>
          <w:szCs w:val="21"/>
          <w:highlight w:val="none"/>
        </w:rPr>
        <w:t>授权代表姓名：</w:t>
      </w:r>
      <w:r>
        <w:rPr>
          <w:rFonts w:hint="eastAsia" w:ascii="宋体" w:hAnsi="宋体" w:cs="宋体"/>
          <w:color w:val="auto"/>
          <w:szCs w:val="21"/>
          <w:highlight w:val="none"/>
          <w:u w:val="single"/>
        </w:rPr>
        <w:t xml:space="preserve">                 </w:t>
      </w:r>
    </w:p>
    <w:p w14:paraId="226934D1">
      <w:pPr>
        <w:spacing w:line="400" w:lineRule="exact"/>
        <w:ind w:firstLine="555"/>
        <w:rPr>
          <w:rFonts w:hint="eastAsia" w:ascii="宋体" w:hAnsi="宋体" w:cs="宋体"/>
          <w:color w:val="auto"/>
          <w:szCs w:val="21"/>
          <w:highlight w:val="none"/>
          <w:u w:val="single"/>
        </w:rPr>
      </w:pPr>
      <w:r>
        <w:rPr>
          <w:rFonts w:hint="eastAsia" w:ascii="宋体" w:hAnsi="宋体" w:cs="宋体"/>
          <w:color w:val="auto"/>
          <w:szCs w:val="21"/>
          <w:highlight w:val="none"/>
        </w:rPr>
        <w:t>授权代表身份证号码：</w:t>
      </w:r>
      <w:r>
        <w:rPr>
          <w:rFonts w:hint="eastAsia" w:ascii="宋体" w:hAnsi="宋体" w:cs="宋体"/>
          <w:color w:val="auto"/>
          <w:szCs w:val="21"/>
          <w:highlight w:val="none"/>
          <w:u w:val="single"/>
        </w:rPr>
        <w:t xml:space="preserve">           </w:t>
      </w:r>
    </w:p>
    <w:p w14:paraId="708A6FFD">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646C91A8">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详细通讯地址：</w:t>
      </w:r>
      <w:r>
        <w:rPr>
          <w:rFonts w:hint="eastAsia" w:ascii="宋体" w:hAnsi="宋体" w:cs="宋体"/>
          <w:color w:val="auto"/>
          <w:szCs w:val="21"/>
          <w:highlight w:val="none"/>
          <w:u w:val="single"/>
        </w:rPr>
        <w:t xml:space="preserve">                                  </w:t>
      </w:r>
    </w:p>
    <w:p w14:paraId="1DD9A433">
      <w:pPr>
        <w:spacing w:line="40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p>
    <w:p w14:paraId="407E55B4">
      <w:pPr>
        <w:spacing w:line="400" w:lineRule="exact"/>
        <w:ind w:firstLine="517" w:firstLineChars="250"/>
        <w:jc w:val="center"/>
        <w:rPr>
          <w:rStyle w:val="118"/>
          <w:rFonts w:hint="eastAsia" w:ascii="宋体" w:hAnsi="宋体" w:cs="宋体"/>
          <w:color w:val="auto"/>
          <w:sz w:val="21"/>
          <w:szCs w:val="21"/>
          <w:highlight w:val="none"/>
        </w:rPr>
      </w:pPr>
    </w:p>
    <w:p w14:paraId="448D5ED9">
      <w:pPr>
        <w:spacing w:line="400" w:lineRule="exact"/>
        <w:ind w:firstLine="517" w:firstLineChars="250"/>
        <w:jc w:val="center"/>
        <w:rPr>
          <w:rStyle w:val="118"/>
          <w:rFonts w:hint="eastAsia" w:ascii="宋体" w:hAnsi="宋体" w:cs="宋体"/>
          <w:color w:val="auto"/>
          <w:sz w:val="21"/>
          <w:szCs w:val="21"/>
          <w:highlight w:val="none"/>
        </w:rPr>
      </w:pPr>
    </w:p>
    <w:p w14:paraId="736C1593">
      <w:pPr>
        <w:spacing w:line="400" w:lineRule="exact"/>
        <w:jc w:val="left"/>
        <w:rPr>
          <w:rFonts w:hint="eastAsia" w:ascii="宋体" w:hAnsi="宋体" w:cs="宋体"/>
          <w:color w:val="auto"/>
          <w:szCs w:val="21"/>
          <w:highlight w:val="none"/>
        </w:rPr>
      </w:pPr>
    </w:p>
    <w:p w14:paraId="1CB89238">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后附：授权代表身份证</w:t>
      </w:r>
      <w:r>
        <w:rPr>
          <w:rFonts w:hint="eastAsia" w:ascii="宋体" w:hAnsi="宋体" w:cs="宋体"/>
          <w:color w:val="auto"/>
          <w:szCs w:val="21"/>
          <w:highlight w:val="none"/>
          <w:lang w:eastAsia="zh-CN"/>
        </w:rPr>
        <w:t>扫描件或影印件</w:t>
      </w:r>
      <w:r>
        <w:rPr>
          <w:rFonts w:hint="eastAsia" w:ascii="宋体" w:hAnsi="宋体"/>
          <w:color w:val="auto"/>
          <w:szCs w:val="21"/>
          <w:highlight w:val="none"/>
        </w:rPr>
        <w:t>（不同页的须加盖供应商公章）</w:t>
      </w:r>
    </w:p>
    <w:p w14:paraId="39B309B5">
      <w:pPr>
        <w:spacing w:line="480" w:lineRule="auto"/>
        <w:jc w:val="left"/>
        <w:rPr>
          <w:rStyle w:val="118"/>
          <w:rFonts w:ascii="宋体" w:hAnsi="宋体" w:cs="仿宋_GB2312"/>
          <w:color w:val="auto"/>
          <w:szCs w:val="24"/>
          <w:highlight w:val="none"/>
        </w:rPr>
      </w:pPr>
      <w:r>
        <w:rPr>
          <w:rStyle w:val="118"/>
          <w:rFonts w:hint="eastAsia" w:ascii="宋体" w:hAnsi="宋体" w:cs="宋体"/>
          <w:color w:val="auto"/>
          <w:sz w:val="21"/>
          <w:szCs w:val="21"/>
          <w:highlight w:val="none"/>
        </w:rPr>
        <w:br w:type="page"/>
      </w:r>
      <w:r>
        <w:rPr>
          <w:rStyle w:val="118"/>
          <w:rFonts w:hint="eastAsia" w:ascii="宋体" w:hAnsi="宋体" w:cs="宋体"/>
          <w:color w:val="auto"/>
          <w:sz w:val="21"/>
          <w:szCs w:val="21"/>
          <w:highlight w:val="none"/>
        </w:rPr>
        <w:t>附件</w:t>
      </w:r>
    </w:p>
    <w:p w14:paraId="75C060BC">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商务条款响应表</w:t>
      </w:r>
    </w:p>
    <w:p w14:paraId="4C1EA7B6">
      <w:pPr>
        <w:spacing w:line="400" w:lineRule="exact"/>
        <w:ind w:left="540"/>
        <w:jc w:val="center"/>
        <w:rPr>
          <w:rFonts w:ascii="宋体" w:hAnsi="宋体"/>
          <w:b/>
          <w:color w:val="auto"/>
          <w:szCs w:val="21"/>
          <w:highlight w:val="none"/>
        </w:rPr>
      </w:pPr>
    </w:p>
    <w:p w14:paraId="2427176F">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采购编号：</w:t>
      </w:r>
      <w:r>
        <w:rPr>
          <w:rFonts w:ascii="宋体" w:hAnsi="宋体"/>
          <w:color w:val="auto"/>
          <w:szCs w:val="21"/>
          <w:highlight w:val="none"/>
          <w:u w:val="single"/>
        </w:rPr>
        <w:t xml:space="preserve">       </w:t>
      </w:r>
    </w:p>
    <w:p w14:paraId="4371D03C">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项目名称：</w:t>
      </w:r>
      <w:r>
        <w:rPr>
          <w:rFonts w:ascii="宋体" w:hAnsi="宋体"/>
          <w:color w:val="auto"/>
          <w:szCs w:val="21"/>
          <w:highlight w:val="none"/>
          <w:u w:val="single"/>
        </w:rPr>
        <w:t xml:space="preserve">      </w:t>
      </w:r>
    </w:p>
    <w:tbl>
      <w:tblPr>
        <w:tblStyle w:val="46"/>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893"/>
        <w:gridCol w:w="1945"/>
        <w:gridCol w:w="4696"/>
      </w:tblGrid>
      <w:tr w14:paraId="245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0F90387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序号</w:t>
            </w:r>
          </w:p>
        </w:tc>
        <w:tc>
          <w:tcPr>
            <w:tcW w:w="1893" w:type="dxa"/>
            <w:noWrap w:val="0"/>
            <w:vAlign w:val="center"/>
          </w:tcPr>
          <w:p w14:paraId="0547EB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招标要求</w:t>
            </w:r>
          </w:p>
        </w:tc>
        <w:tc>
          <w:tcPr>
            <w:tcW w:w="1945" w:type="dxa"/>
            <w:noWrap w:val="0"/>
            <w:vAlign w:val="center"/>
          </w:tcPr>
          <w:p w14:paraId="39E9001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投标响应</w:t>
            </w:r>
          </w:p>
        </w:tc>
        <w:tc>
          <w:tcPr>
            <w:tcW w:w="4696" w:type="dxa"/>
            <w:noWrap w:val="0"/>
            <w:vAlign w:val="center"/>
          </w:tcPr>
          <w:p w14:paraId="2167A3E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偏离说明</w:t>
            </w:r>
          </w:p>
        </w:tc>
      </w:tr>
      <w:tr w14:paraId="727F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0583930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893" w:type="dxa"/>
            <w:noWrap w:val="0"/>
            <w:vAlign w:val="center"/>
          </w:tcPr>
          <w:p w14:paraId="6BA967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945" w:type="dxa"/>
            <w:noWrap w:val="0"/>
            <w:vAlign w:val="center"/>
          </w:tcPr>
          <w:p w14:paraId="0951839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4696" w:type="dxa"/>
            <w:noWrap w:val="0"/>
            <w:vAlign w:val="center"/>
          </w:tcPr>
          <w:p w14:paraId="653D5FB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3371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4276433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893" w:type="dxa"/>
            <w:noWrap w:val="0"/>
            <w:vAlign w:val="center"/>
          </w:tcPr>
          <w:p w14:paraId="4CF0D7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945" w:type="dxa"/>
            <w:noWrap w:val="0"/>
            <w:vAlign w:val="center"/>
          </w:tcPr>
          <w:p w14:paraId="4D6387C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4696" w:type="dxa"/>
            <w:noWrap w:val="0"/>
            <w:vAlign w:val="center"/>
          </w:tcPr>
          <w:p w14:paraId="13BA22B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3E1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42A0C34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893" w:type="dxa"/>
            <w:noWrap w:val="0"/>
            <w:vAlign w:val="center"/>
          </w:tcPr>
          <w:p w14:paraId="4784D9A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945" w:type="dxa"/>
            <w:noWrap w:val="0"/>
            <w:vAlign w:val="center"/>
          </w:tcPr>
          <w:p w14:paraId="550EE8C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4696" w:type="dxa"/>
            <w:noWrap w:val="0"/>
            <w:vAlign w:val="center"/>
          </w:tcPr>
          <w:p w14:paraId="23302D6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52DA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5EE5E40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893" w:type="dxa"/>
            <w:noWrap w:val="0"/>
            <w:vAlign w:val="center"/>
          </w:tcPr>
          <w:p w14:paraId="65C40B2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945" w:type="dxa"/>
            <w:noWrap w:val="0"/>
            <w:vAlign w:val="center"/>
          </w:tcPr>
          <w:p w14:paraId="4F3AAC5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4696" w:type="dxa"/>
            <w:noWrap w:val="0"/>
            <w:vAlign w:val="center"/>
          </w:tcPr>
          <w:p w14:paraId="2CDB77D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1F95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1" w:type="dxa"/>
            <w:noWrap w:val="0"/>
            <w:vAlign w:val="center"/>
          </w:tcPr>
          <w:p w14:paraId="43128E1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893" w:type="dxa"/>
            <w:noWrap w:val="0"/>
            <w:vAlign w:val="center"/>
          </w:tcPr>
          <w:p w14:paraId="03FFEA2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1945" w:type="dxa"/>
            <w:noWrap w:val="0"/>
            <w:vAlign w:val="center"/>
          </w:tcPr>
          <w:p w14:paraId="4915A9E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4696" w:type="dxa"/>
            <w:noWrap w:val="0"/>
            <w:vAlign w:val="center"/>
          </w:tcPr>
          <w:p w14:paraId="3CF68DB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bl>
    <w:p w14:paraId="0CC8005F">
      <w:pPr>
        <w:adjustRightInd w:val="0"/>
        <w:snapToGrid w:val="0"/>
        <w:spacing w:line="400" w:lineRule="exact"/>
        <w:ind w:left="250" w:leftChars="119" w:firstLine="500" w:firstLineChars="200"/>
        <w:rPr>
          <w:rFonts w:hint="eastAsia" w:ascii="宋体" w:hAnsi="宋体" w:eastAsia="宋体"/>
          <w:color w:val="auto"/>
          <w:szCs w:val="21"/>
          <w:highlight w:val="none"/>
          <w:lang w:eastAsia="zh-CN"/>
        </w:rPr>
      </w:pPr>
      <w:r>
        <w:rPr>
          <w:rFonts w:hint="eastAsia" w:ascii="宋体" w:hAnsi="宋体" w:cs="宋体"/>
          <w:color w:val="auto"/>
          <w:spacing w:val="20"/>
          <w:szCs w:val="21"/>
          <w:highlight w:val="none"/>
        </w:rPr>
        <w:t>注：1、</w:t>
      </w:r>
      <w:r>
        <w:rPr>
          <w:rFonts w:hint="eastAsia" w:ascii="宋体" w:hAnsi="宋体" w:cs="宋体"/>
          <w:color w:val="auto"/>
          <w:szCs w:val="21"/>
          <w:highlight w:val="none"/>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hint="eastAsia" w:ascii="宋体" w:hAnsi="宋体"/>
          <w:color w:val="auto"/>
          <w:spacing w:val="20"/>
          <w:szCs w:val="21"/>
          <w:highlight w:val="none"/>
          <w:lang w:eastAsia="zh-CN"/>
        </w:rPr>
        <w:t>。</w:t>
      </w:r>
    </w:p>
    <w:p w14:paraId="2B748963">
      <w:pPr>
        <w:spacing w:line="400" w:lineRule="exact"/>
        <w:rPr>
          <w:rFonts w:ascii="宋体" w:hAnsi="宋体"/>
          <w:color w:val="auto"/>
          <w:szCs w:val="21"/>
          <w:highlight w:val="none"/>
        </w:rPr>
      </w:pPr>
    </w:p>
    <w:p w14:paraId="7735A182">
      <w:pPr>
        <w:spacing w:line="400" w:lineRule="exact"/>
        <w:rPr>
          <w:rFonts w:ascii="宋体" w:hAnsi="宋体"/>
          <w:color w:val="auto"/>
          <w:szCs w:val="21"/>
          <w:highlight w:val="none"/>
        </w:rPr>
      </w:pPr>
    </w:p>
    <w:p w14:paraId="56C7BCF7">
      <w:pPr>
        <w:spacing w:line="400" w:lineRule="exact"/>
        <w:rPr>
          <w:rFonts w:ascii="宋体" w:hAnsi="宋体"/>
          <w:color w:val="auto"/>
          <w:szCs w:val="21"/>
          <w:highlight w:val="none"/>
        </w:rPr>
      </w:pPr>
    </w:p>
    <w:p w14:paraId="253E662E">
      <w:pPr>
        <w:spacing w:line="400" w:lineRule="exact"/>
        <w:ind w:firstLine="3150" w:firstLineChars="150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盖章：</w:t>
      </w:r>
      <w:r>
        <w:rPr>
          <w:rFonts w:ascii="宋体" w:hAnsi="宋体"/>
          <w:color w:val="auto"/>
          <w:szCs w:val="21"/>
          <w:highlight w:val="none"/>
          <w:u w:val="single"/>
        </w:rPr>
        <w:t xml:space="preserve">   （公章）　</w:t>
      </w:r>
    </w:p>
    <w:p w14:paraId="6E9D6B54">
      <w:pPr>
        <w:snapToGrid w:val="0"/>
        <w:spacing w:line="400" w:lineRule="exact"/>
        <w:ind w:firstLine="3150" w:firstLineChars="1500"/>
        <w:rPr>
          <w:rFonts w:ascii="宋体" w:hAnsi="宋体"/>
          <w:color w:val="auto"/>
          <w:szCs w:val="21"/>
          <w:highlight w:val="none"/>
        </w:rPr>
      </w:pPr>
    </w:p>
    <w:p w14:paraId="224BE520">
      <w:pPr>
        <w:snapToGrid w:val="0"/>
        <w:spacing w:line="400" w:lineRule="exact"/>
        <w:ind w:firstLine="3150" w:firstLineChars="1500"/>
        <w:rPr>
          <w:rFonts w:ascii="宋体" w:hAnsi="宋体"/>
          <w:color w:val="auto"/>
          <w:szCs w:val="21"/>
          <w:highlight w:val="none"/>
        </w:rPr>
      </w:pPr>
      <w:r>
        <w:rPr>
          <w:rFonts w:ascii="宋体" w:hAnsi="宋体"/>
          <w:color w:val="auto"/>
          <w:szCs w:val="21"/>
          <w:highlight w:val="none"/>
        </w:rPr>
        <w:t>法定代表人或授权委托人（签字</w:t>
      </w:r>
      <w:r>
        <w:rPr>
          <w:rFonts w:hint="eastAsia" w:ascii="宋体" w:hAnsi="宋体" w:cs="宋体"/>
          <w:color w:val="auto"/>
          <w:szCs w:val="21"/>
          <w:highlight w:val="none"/>
          <w:lang w:eastAsia="zh-CN"/>
        </w:rPr>
        <w:t>或盖章</w:t>
      </w:r>
      <w:r>
        <w:rPr>
          <w:rFonts w:ascii="宋体" w:hAnsi="宋体"/>
          <w:color w:val="auto"/>
          <w:szCs w:val="21"/>
          <w:highlight w:val="none"/>
        </w:rPr>
        <w:t>）：</w:t>
      </w:r>
      <w:r>
        <w:rPr>
          <w:rFonts w:ascii="宋体" w:hAnsi="宋体"/>
          <w:color w:val="auto"/>
          <w:szCs w:val="21"/>
          <w:highlight w:val="none"/>
          <w:u w:val="single"/>
        </w:rPr>
        <w:t xml:space="preserve">             </w:t>
      </w:r>
    </w:p>
    <w:p w14:paraId="13F720EC">
      <w:pPr>
        <w:spacing w:line="400" w:lineRule="exact"/>
        <w:ind w:firstLine="210" w:firstLineChars="100"/>
        <w:rPr>
          <w:rFonts w:ascii="宋体" w:hAnsi="宋体"/>
          <w:color w:val="auto"/>
          <w:szCs w:val="21"/>
          <w:highlight w:val="none"/>
          <w:u w:val="single"/>
        </w:rPr>
      </w:pPr>
    </w:p>
    <w:p w14:paraId="5DF9F6C5">
      <w:pPr>
        <w:spacing w:line="400" w:lineRule="exact"/>
        <w:ind w:firstLine="5880" w:firstLineChars="28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0CB0147C">
      <w:pPr>
        <w:spacing w:line="400" w:lineRule="exact"/>
        <w:rPr>
          <w:rFonts w:ascii="宋体" w:hAnsi="宋体"/>
          <w:color w:val="auto"/>
          <w:szCs w:val="21"/>
          <w:highlight w:val="none"/>
        </w:rPr>
      </w:pPr>
    </w:p>
    <w:p w14:paraId="4BD3F63A">
      <w:pPr>
        <w:spacing w:line="400" w:lineRule="exact"/>
        <w:rPr>
          <w:rFonts w:ascii="宋体" w:hAnsi="宋体"/>
          <w:color w:val="auto"/>
          <w:szCs w:val="21"/>
          <w:highlight w:val="none"/>
        </w:rPr>
      </w:pPr>
    </w:p>
    <w:p w14:paraId="0EA90262">
      <w:pPr>
        <w:spacing w:line="400" w:lineRule="exact"/>
        <w:rPr>
          <w:rFonts w:ascii="宋体" w:hAnsi="宋体"/>
          <w:color w:val="auto"/>
          <w:szCs w:val="21"/>
          <w:highlight w:val="none"/>
        </w:rPr>
      </w:pPr>
    </w:p>
    <w:p w14:paraId="3105C0DD">
      <w:pPr>
        <w:spacing w:line="400" w:lineRule="exact"/>
        <w:rPr>
          <w:rFonts w:ascii="宋体" w:hAnsi="宋体"/>
          <w:color w:val="auto"/>
          <w:szCs w:val="21"/>
          <w:highlight w:val="none"/>
        </w:rPr>
      </w:pPr>
    </w:p>
    <w:p w14:paraId="410A47D6">
      <w:pPr>
        <w:spacing w:line="400" w:lineRule="exact"/>
        <w:rPr>
          <w:rFonts w:ascii="宋体" w:hAnsi="宋体"/>
          <w:color w:val="auto"/>
          <w:szCs w:val="21"/>
          <w:highlight w:val="none"/>
        </w:rPr>
      </w:pPr>
    </w:p>
    <w:p w14:paraId="45B4AFE9">
      <w:pPr>
        <w:spacing w:line="400" w:lineRule="exact"/>
        <w:rPr>
          <w:rFonts w:ascii="宋体" w:hAnsi="宋体"/>
          <w:color w:val="auto"/>
          <w:szCs w:val="21"/>
          <w:highlight w:val="none"/>
        </w:rPr>
      </w:pPr>
    </w:p>
    <w:p w14:paraId="75964B83">
      <w:pPr>
        <w:spacing w:line="400" w:lineRule="exact"/>
        <w:rPr>
          <w:rFonts w:ascii="宋体" w:hAnsi="宋体"/>
          <w:color w:val="auto"/>
          <w:szCs w:val="21"/>
          <w:highlight w:val="none"/>
        </w:rPr>
      </w:pPr>
    </w:p>
    <w:p w14:paraId="56C01F4A">
      <w:pPr>
        <w:spacing w:line="400" w:lineRule="exact"/>
        <w:rPr>
          <w:rFonts w:ascii="宋体" w:hAnsi="宋体"/>
          <w:color w:val="auto"/>
          <w:szCs w:val="21"/>
          <w:highlight w:val="none"/>
        </w:rPr>
      </w:pPr>
    </w:p>
    <w:p w14:paraId="5E9C7868">
      <w:pPr>
        <w:spacing w:line="400" w:lineRule="exact"/>
        <w:rPr>
          <w:rFonts w:ascii="宋体" w:hAnsi="宋体"/>
          <w:b/>
          <w:bCs/>
          <w:iCs/>
          <w:color w:val="auto"/>
          <w:spacing w:val="20"/>
          <w:szCs w:val="21"/>
          <w:highlight w:val="none"/>
        </w:rPr>
      </w:pPr>
      <w:r>
        <w:rPr>
          <w:rStyle w:val="118"/>
          <w:rFonts w:hint="eastAsia" w:ascii="宋体" w:hAnsi="宋体" w:cs="宋体"/>
          <w:color w:val="auto"/>
          <w:sz w:val="21"/>
          <w:szCs w:val="21"/>
          <w:highlight w:val="none"/>
        </w:rPr>
        <w:t>附件</w:t>
      </w:r>
      <w:r>
        <w:rPr>
          <w:rFonts w:ascii="宋体" w:hAnsi="宋体" w:cs="仿宋_GB2312"/>
          <w:color w:val="auto"/>
          <w:spacing w:val="20"/>
          <w:sz w:val="30"/>
          <w:szCs w:val="30"/>
          <w:highlight w:val="none"/>
        </w:rPr>
        <w:t xml:space="preserve"> </w:t>
      </w:r>
    </w:p>
    <w:p w14:paraId="74B57C23">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技术响应表</w:t>
      </w:r>
    </w:p>
    <w:p w14:paraId="4289E47E">
      <w:pPr>
        <w:adjustRightInd w:val="0"/>
        <w:snapToGrid w:val="0"/>
        <w:spacing w:line="400" w:lineRule="exact"/>
        <w:rPr>
          <w:rFonts w:ascii="宋体" w:hAnsi="宋体"/>
          <w:color w:val="auto"/>
          <w:szCs w:val="21"/>
          <w:highlight w:val="none"/>
        </w:rPr>
      </w:pPr>
    </w:p>
    <w:p w14:paraId="4CA3E31E">
      <w:pPr>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采购编号：</w:t>
      </w:r>
      <w:r>
        <w:rPr>
          <w:rFonts w:ascii="宋体" w:hAnsi="宋体"/>
          <w:color w:val="auto"/>
          <w:szCs w:val="21"/>
          <w:highlight w:val="none"/>
          <w:u w:val="single"/>
        </w:rPr>
        <w:t xml:space="preserve">      </w:t>
      </w:r>
    </w:p>
    <w:p w14:paraId="6BC9032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项目名称：</w:t>
      </w:r>
      <w:r>
        <w:rPr>
          <w:rFonts w:ascii="宋体" w:hAnsi="宋体"/>
          <w:color w:val="auto"/>
          <w:szCs w:val="21"/>
          <w:highlight w:val="none"/>
          <w:u w:val="single"/>
        </w:rPr>
        <w:t xml:space="preserve">      </w:t>
      </w:r>
      <w:r>
        <w:rPr>
          <w:rFonts w:ascii="宋体" w:hAnsi="宋体"/>
          <w:color w:val="auto"/>
          <w:szCs w:val="21"/>
          <w:highlight w:val="none"/>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195"/>
        <w:gridCol w:w="3135"/>
        <w:gridCol w:w="2113"/>
      </w:tblGrid>
      <w:tr w14:paraId="1257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5EC2B1D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序号</w:t>
            </w:r>
          </w:p>
        </w:tc>
        <w:tc>
          <w:tcPr>
            <w:tcW w:w="3195" w:type="dxa"/>
            <w:noWrap w:val="0"/>
            <w:vAlign w:val="center"/>
          </w:tcPr>
          <w:p w14:paraId="189082A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招标要求</w:t>
            </w:r>
          </w:p>
        </w:tc>
        <w:tc>
          <w:tcPr>
            <w:tcW w:w="3135" w:type="dxa"/>
            <w:noWrap w:val="0"/>
            <w:vAlign w:val="center"/>
          </w:tcPr>
          <w:p w14:paraId="52E20C4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投标响应</w:t>
            </w:r>
          </w:p>
        </w:tc>
        <w:tc>
          <w:tcPr>
            <w:tcW w:w="2113" w:type="dxa"/>
            <w:noWrap w:val="0"/>
            <w:vAlign w:val="center"/>
          </w:tcPr>
          <w:p w14:paraId="01FE9F0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偏离说明</w:t>
            </w:r>
          </w:p>
        </w:tc>
      </w:tr>
      <w:tr w14:paraId="0A30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3AD2616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95" w:type="dxa"/>
            <w:noWrap w:val="0"/>
            <w:vAlign w:val="center"/>
          </w:tcPr>
          <w:p w14:paraId="313736F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35" w:type="dxa"/>
            <w:noWrap w:val="0"/>
            <w:vAlign w:val="center"/>
          </w:tcPr>
          <w:p w14:paraId="70A0082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2113" w:type="dxa"/>
            <w:noWrap w:val="0"/>
            <w:vAlign w:val="center"/>
          </w:tcPr>
          <w:p w14:paraId="0BE5A5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1F23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56AE88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95" w:type="dxa"/>
            <w:noWrap w:val="0"/>
            <w:vAlign w:val="center"/>
          </w:tcPr>
          <w:p w14:paraId="3425FDB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35" w:type="dxa"/>
            <w:noWrap w:val="0"/>
            <w:vAlign w:val="center"/>
          </w:tcPr>
          <w:p w14:paraId="1CC4CF4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2113" w:type="dxa"/>
            <w:noWrap w:val="0"/>
            <w:vAlign w:val="center"/>
          </w:tcPr>
          <w:p w14:paraId="4014E74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r>
              <w:rPr>
                <w:rFonts w:hint="default" w:ascii="宋体" w:hAnsi="宋体" w:cs="Times New Roman"/>
                <w:color w:val="auto"/>
                <w:spacing w:val="20"/>
                <w:szCs w:val="21"/>
                <w:highlight w:val="none"/>
              </w:rPr>
              <w:t xml:space="preserve">  </w:t>
            </w:r>
          </w:p>
        </w:tc>
      </w:tr>
      <w:tr w14:paraId="16F4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5479900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95" w:type="dxa"/>
            <w:noWrap w:val="0"/>
            <w:vAlign w:val="center"/>
          </w:tcPr>
          <w:p w14:paraId="55AE593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35" w:type="dxa"/>
            <w:noWrap w:val="0"/>
            <w:vAlign w:val="center"/>
          </w:tcPr>
          <w:p w14:paraId="0722984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2113" w:type="dxa"/>
            <w:noWrap w:val="0"/>
            <w:vAlign w:val="center"/>
          </w:tcPr>
          <w:p w14:paraId="0CA1AFA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036F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7BF67EA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95" w:type="dxa"/>
            <w:noWrap w:val="0"/>
            <w:vAlign w:val="center"/>
          </w:tcPr>
          <w:p w14:paraId="6DC55B2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35" w:type="dxa"/>
            <w:noWrap w:val="0"/>
            <w:vAlign w:val="center"/>
          </w:tcPr>
          <w:p w14:paraId="39B91EE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2113" w:type="dxa"/>
            <w:noWrap w:val="0"/>
            <w:vAlign w:val="center"/>
          </w:tcPr>
          <w:p w14:paraId="09F074F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r w14:paraId="13E9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noWrap w:val="0"/>
            <w:vAlign w:val="center"/>
          </w:tcPr>
          <w:p w14:paraId="127E8B9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95" w:type="dxa"/>
            <w:noWrap w:val="0"/>
            <w:vAlign w:val="center"/>
          </w:tcPr>
          <w:p w14:paraId="028DD39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3135" w:type="dxa"/>
            <w:noWrap w:val="0"/>
            <w:vAlign w:val="center"/>
          </w:tcPr>
          <w:p w14:paraId="6166DCC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c>
          <w:tcPr>
            <w:tcW w:w="2113" w:type="dxa"/>
            <w:noWrap w:val="0"/>
            <w:vAlign w:val="center"/>
          </w:tcPr>
          <w:p w14:paraId="3EF2C51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pacing w:val="20"/>
                <w:szCs w:val="21"/>
                <w:highlight w:val="none"/>
              </w:rPr>
            </w:pPr>
          </w:p>
        </w:tc>
      </w:tr>
    </w:tbl>
    <w:p w14:paraId="2952F49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须与“第五章招标内容与技术需求”中的“技术参数”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61F9840C">
      <w:pPr>
        <w:adjustRightInd w:val="0"/>
        <w:snapToGrid w:val="0"/>
        <w:spacing w:line="400" w:lineRule="exact"/>
        <w:rPr>
          <w:rFonts w:hint="eastAsia" w:ascii="宋体" w:hAnsi="宋体" w:eastAsia="宋体"/>
          <w:color w:val="auto"/>
          <w:szCs w:val="21"/>
          <w:highlight w:val="none"/>
          <w:lang w:eastAsia="zh-CN"/>
        </w:rPr>
      </w:pPr>
    </w:p>
    <w:p w14:paraId="186FC823">
      <w:pPr>
        <w:adjustRightInd w:val="0"/>
        <w:snapToGrid w:val="0"/>
        <w:spacing w:line="400" w:lineRule="exact"/>
        <w:rPr>
          <w:rFonts w:ascii="宋体" w:hAnsi="宋体"/>
          <w:color w:val="auto"/>
          <w:spacing w:val="20"/>
          <w:szCs w:val="21"/>
          <w:highlight w:val="none"/>
        </w:rPr>
      </w:pPr>
    </w:p>
    <w:p w14:paraId="4AF1345A">
      <w:pPr>
        <w:adjustRightInd w:val="0"/>
        <w:snapToGrid w:val="0"/>
        <w:spacing w:line="400" w:lineRule="exact"/>
        <w:rPr>
          <w:rFonts w:ascii="宋体" w:hAnsi="宋体"/>
          <w:color w:val="auto"/>
          <w:spacing w:val="20"/>
          <w:szCs w:val="21"/>
          <w:highlight w:val="none"/>
        </w:rPr>
      </w:pPr>
    </w:p>
    <w:p w14:paraId="76339D49">
      <w:pPr>
        <w:spacing w:line="400" w:lineRule="exact"/>
        <w:ind w:firstLine="3150" w:firstLineChars="150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盖章：</w:t>
      </w:r>
      <w:r>
        <w:rPr>
          <w:rFonts w:ascii="宋体" w:hAnsi="宋体"/>
          <w:color w:val="auto"/>
          <w:szCs w:val="21"/>
          <w:highlight w:val="none"/>
          <w:u w:val="single"/>
        </w:rPr>
        <w:t xml:space="preserve">   （公章）　</w:t>
      </w:r>
    </w:p>
    <w:p w14:paraId="00B9C4A0">
      <w:pPr>
        <w:snapToGrid w:val="0"/>
        <w:spacing w:line="400" w:lineRule="exact"/>
        <w:ind w:firstLine="3150" w:firstLineChars="1500"/>
        <w:rPr>
          <w:rFonts w:ascii="宋体" w:hAnsi="宋体"/>
          <w:color w:val="auto"/>
          <w:szCs w:val="21"/>
          <w:highlight w:val="none"/>
        </w:rPr>
      </w:pPr>
    </w:p>
    <w:p w14:paraId="56DDFDBF">
      <w:pPr>
        <w:snapToGrid w:val="0"/>
        <w:spacing w:line="400" w:lineRule="exact"/>
        <w:ind w:firstLine="3150" w:firstLineChars="1500"/>
        <w:rPr>
          <w:rFonts w:ascii="宋体" w:hAnsi="宋体"/>
          <w:color w:val="auto"/>
          <w:szCs w:val="21"/>
          <w:highlight w:val="none"/>
        </w:rPr>
      </w:pPr>
      <w:r>
        <w:rPr>
          <w:rFonts w:ascii="宋体" w:hAnsi="宋体"/>
          <w:color w:val="auto"/>
          <w:szCs w:val="21"/>
          <w:highlight w:val="none"/>
        </w:rPr>
        <w:t>法定代表人或授权委托人（签字</w:t>
      </w:r>
      <w:r>
        <w:rPr>
          <w:rFonts w:hint="eastAsia" w:ascii="宋体" w:hAnsi="宋体" w:cs="宋体"/>
          <w:color w:val="auto"/>
          <w:szCs w:val="21"/>
          <w:highlight w:val="none"/>
          <w:lang w:eastAsia="zh-CN"/>
        </w:rPr>
        <w:t>或盖章</w:t>
      </w:r>
      <w:r>
        <w:rPr>
          <w:rFonts w:ascii="宋体" w:hAnsi="宋体"/>
          <w:color w:val="auto"/>
          <w:szCs w:val="21"/>
          <w:highlight w:val="none"/>
        </w:rPr>
        <w:t>）：</w:t>
      </w:r>
      <w:r>
        <w:rPr>
          <w:rFonts w:ascii="宋体" w:hAnsi="宋体"/>
          <w:color w:val="auto"/>
          <w:szCs w:val="21"/>
          <w:highlight w:val="none"/>
          <w:u w:val="single"/>
        </w:rPr>
        <w:t xml:space="preserve">             </w:t>
      </w:r>
    </w:p>
    <w:p w14:paraId="664384A0">
      <w:pPr>
        <w:spacing w:line="400" w:lineRule="exact"/>
        <w:ind w:firstLine="210" w:firstLineChars="100"/>
        <w:rPr>
          <w:rFonts w:ascii="宋体" w:hAnsi="宋体"/>
          <w:color w:val="auto"/>
          <w:szCs w:val="21"/>
          <w:highlight w:val="none"/>
          <w:u w:val="single"/>
        </w:rPr>
      </w:pPr>
    </w:p>
    <w:p w14:paraId="50B7DE0E">
      <w:pPr>
        <w:spacing w:line="400" w:lineRule="exact"/>
        <w:ind w:firstLine="5880" w:firstLineChars="28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3BB2EEB9">
      <w:pPr>
        <w:spacing w:line="400" w:lineRule="exact"/>
        <w:rPr>
          <w:rFonts w:ascii="宋体" w:hAnsi="宋体"/>
          <w:color w:val="auto"/>
          <w:szCs w:val="21"/>
          <w:highlight w:val="none"/>
        </w:rPr>
      </w:pPr>
    </w:p>
    <w:p w14:paraId="4FF1508E">
      <w:pPr>
        <w:spacing w:line="480" w:lineRule="auto"/>
        <w:jc w:val="left"/>
        <w:rPr>
          <w:rStyle w:val="118"/>
          <w:rFonts w:ascii="宋体" w:hAnsi="宋体" w:cs="仿宋_GB2312"/>
          <w:color w:val="auto"/>
          <w:sz w:val="30"/>
          <w:szCs w:val="30"/>
          <w:highlight w:val="none"/>
        </w:rPr>
      </w:pPr>
    </w:p>
    <w:p w14:paraId="24C4F4E0">
      <w:pPr>
        <w:spacing w:line="480" w:lineRule="auto"/>
        <w:jc w:val="left"/>
        <w:rPr>
          <w:rStyle w:val="118"/>
          <w:rFonts w:ascii="宋体" w:hAnsi="宋体" w:cs="仿宋_GB2312"/>
          <w:color w:val="auto"/>
          <w:sz w:val="30"/>
          <w:szCs w:val="30"/>
          <w:highlight w:val="none"/>
        </w:rPr>
      </w:pPr>
    </w:p>
    <w:p w14:paraId="43EBACD0">
      <w:pPr>
        <w:spacing w:line="480" w:lineRule="auto"/>
        <w:jc w:val="left"/>
        <w:rPr>
          <w:rStyle w:val="118"/>
          <w:rFonts w:ascii="宋体" w:hAnsi="宋体" w:cs="仿宋_GB2312"/>
          <w:color w:val="auto"/>
          <w:sz w:val="30"/>
          <w:szCs w:val="30"/>
          <w:highlight w:val="none"/>
        </w:rPr>
      </w:pPr>
    </w:p>
    <w:p w14:paraId="0CA81258">
      <w:pPr>
        <w:pStyle w:val="18"/>
        <w:rPr>
          <w:color w:val="auto"/>
          <w:highlight w:val="none"/>
        </w:rPr>
      </w:pPr>
    </w:p>
    <w:p w14:paraId="0798F042">
      <w:pPr>
        <w:pStyle w:val="19"/>
        <w:rPr>
          <w:color w:val="auto"/>
          <w:highlight w:val="none"/>
        </w:rPr>
      </w:pPr>
    </w:p>
    <w:p w14:paraId="5A918104">
      <w:pPr>
        <w:spacing w:line="400" w:lineRule="exact"/>
        <w:rPr>
          <w:rStyle w:val="118"/>
          <w:rFonts w:hint="eastAsia" w:ascii="宋体" w:hAnsi="宋体" w:cs="宋体"/>
          <w:color w:val="auto"/>
          <w:sz w:val="21"/>
          <w:szCs w:val="21"/>
          <w:highlight w:val="none"/>
        </w:rPr>
      </w:pPr>
    </w:p>
    <w:p w14:paraId="414ED489">
      <w:pPr>
        <w:spacing w:line="400" w:lineRule="exact"/>
        <w:rPr>
          <w:rStyle w:val="118"/>
          <w:rFonts w:hint="eastAsia" w:ascii="宋体" w:hAnsi="宋体" w:cs="宋体"/>
          <w:b w:val="0"/>
          <w:color w:val="auto"/>
          <w:spacing w:val="0"/>
          <w:sz w:val="21"/>
          <w:szCs w:val="21"/>
          <w:highlight w:val="none"/>
        </w:rPr>
      </w:pPr>
      <w:r>
        <w:rPr>
          <w:rStyle w:val="118"/>
          <w:rFonts w:hint="eastAsia" w:ascii="宋体" w:hAnsi="宋体" w:cs="宋体"/>
          <w:color w:val="auto"/>
          <w:sz w:val="21"/>
          <w:szCs w:val="21"/>
          <w:highlight w:val="none"/>
        </w:rPr>
        <w:t>封面</w:t>
      </w:r>
    </w:p>
    <w:p w14:paraId="7F43374B">
      <w:pPr>
        <w:spacing w:line="360" w:lineRule="auto"/>
        <w:ind w:firstLine="1486" w:firstLineChars="500"/>
        <w:jc w:val="left"/>
        <w:rPr>
          <w:rFonts w:hint="eastAsia" w:ascii="宋体" w:hAnsi="宋体" w:eastAsia="宋体" w:cs="宋体"/>
          <w:color w:val="auto"/>
          <w:sz w:val="36"/>
          <w:szCs w:val="36"/>
          <w:highlight w:val="none"/>
        </w:rPr>
      </w:pPr>
      <w:r>
        <w:rPr>
          <w:rStyle w:val="118"/>
          <w:rFonts w:hint="eastAsia" w:ascii="宋体" w:hAnsi="宋体" w:cs="宋体"/>
          <w:color w:val="auto"/>
          <w:sz w:val="30"/>
          <w:szCs w:val="30"/>
          <w:highlight w:val="none"/>
        </w:rPr>
        <w:t xml:space="preserve"> </w:t>
      </w:r>
      <w:r>
        <w:rPr>
          <w:rFonts w:hint="eastAsia" w:ascii="宋体" w:hAnsi="宋体" w:eastAsia="宋体" w:cs="宋体"/>
          <w:color w:val="auto"/>
          <w:sz w:val="36"/>
          <w:szCs w:val="36"/>
          <w:highlight w:val="none"/>
        </w:rPr>
        <w:t xml:space="preserve">                                           </w:t>
      </w:r>
    </w:p>
    <w:p w14:paraId="1C0B6DAB">
      <w:pPr>
        <w:spacing w:line="360" w:lineRule="auto"/>
        <w:ind w:firstLine="1800" w:firstLineChars="500"/>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p>
    <w:p w14:paraId="25EDE977">
      <w:pPr>
        <w:spacing w:line="360" w:lineRule="auto"/>
        <w:ind w:firstLine="1800" w:firstLineChars="500"/>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采购编号：</w:t>
      </w:r>
    </w:p>
    <w:p w14:paraId="0D35B35A">
      <w:pPr>
        <w:spacing w:line="360" w:lineRule="auto"/>
        <w:ind w:firstLine="1807" w:firstLineChars="500"/>
        <w:jc w:val="left"/>
        <w:rPr>
          <w:rFonts w:hint="eastAsia" w:ascii="宋体" w:hAnsi="宋体" w:cs="宋体"/>
          <w:b/>
          <w:bCs/>
          <w:color w:val="auto"/>
          <w:sz w:val="36"/>
          <w:szCs w:val="36"/>
          <w:highlight w:val="none"/>
        </w:rPr>
      </w:pPr>
    </w:p>
    <w:p w14:paraId="1958BA4D">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报价文件</w:t>
      </w:r>
    </w:p>
    <w:p w14:paraId="69FEDE1D">
      <w:pPr>
        <w:pStyle w:val="18"/>
        <w:rPr>
          <w:rFonts w:hint="eastAsia"/>
          <w:color w:val="auto"/>
          <w:highlight w:val="none"/>
        </w:rPr>
      </w:pPr>
    </w:p>
    <w:p w14:paraId="2506CE36">
      <w:pPr>
        <w:jc w:val="center"/>
        <w:rPr>
          <w:rFonts w:hint="eastAsia" w:ascii="宋体" w:hAnsi="宋体" w:cs="宋体"/>
          <w:color w:val="auto"/>
          <w:sz w:val="28"/>
          <w:szCs w:val="28"/>
          <w:highlight w:val="none"/>
        </w:rPr>
      </w:pPr>
    </w:p>
    <w:p w14:paraId="2F552F4C">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w:t>
      </w:r>
    </w:p>
    <w:p w14:paraId="4AE393DE">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标</w:t>
      </w:r>
    </w:p>
    <w:p w14:paraId="319D846A">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287DC7F8">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6C452577">
      <w:pPr>
        <w:spacing w:line="360" w:lineRule="auto"/>
        <w:jc w:val="center"/>
        <w:rPr>
          <w:rFonts w:hint="eastAsia"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14:paraId="6AD1DD50">
      <w:pPr>
        <w:pStyle w:val="26"/>
        <w:ind w:left="101" w:leftChars="48" w:firstLine="1920" w:firstLineChars="800"/>
        <w:jc w:val="left"/>
        <w:rPr>
          <w:rFonts w:hint="eastAsia" w:hAnsi="宋体" w:cs="宋体"/>
          <w:color w:val="auto"/>
          <w:szCs w:val="28"/>
          <w:highlight w:val="none"/>
          <w:u w:val="single"/>
        </w:rPr>
      </w:pPr>
    </w:p>
    <w:p w14:paraId="49E71C44">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年   月   日</w:t>
      </w:r>
    </w:p>
    <w:p w14:paraId="575AA6D0">
      <w:pPr>
        <w:spacing w:line="400" w:lineRule="exact"/>
        <w:rPr>
          <w:rFonts w:ascii="宋体" w:hAnsi="宋体" w:cs="仿宋_GB2312"/>
          <w:color w:val="auto"/>
          <w:kern w:val="0"/>
          <w:szCs w:val="21"/>
          <w:highlight w:val="none"/>
          <w:u w:val="single"/>
        </w:rPr>
      </w:pPr>
    </w:p>
    <w:p w14:paraId="5708C43D">
      <w:pPr>
        <w:pStyle w:val="18"/>
        <w:rPr>
          <w:rFonts w:hint="eastAsia" w:hAnsi="宋体" w:cs="宋体"/>
          <w:color w:val="auto"/>
          <w:szCs w:val="21"/>
          <w:highlight w:val="none"/>
          <w:lang w:bidi="ar"/>
        </w:rPr>
      </w:pPr>
    </w:p>
    <w:p w14:paraId="78F9EE05">
      <w:pPr>
        <w:pStyle w:val="18"/>
        <w:rPr>
          <w:rFonts w:hint="eastAsia" w:hAnsi="宋体" w:cs="宋体"/>
          <w:color w:val="auto"/>
          <w:szCs w:val="21"/>
          <w:highlight w:val="none"/>
          <w:lang w:bidi="ar"/>
        </w:rPr>
        <w:sectPr>
          <w:headerReference r:id="rId11" w:type="default"/>
          <w:footerReference r:id="rId12" w:type="default"/>
          <w:pgSz w:w="11907" w:h="16840"/>
          <w:pgMar w:top="1440" w:right="1080" w:bottom="1440" w:left="1080" w:header="284" w:footer="990" w:gutter="0"/>
          <w:pgBorders>
            <w:top w:val="none" w:sz="0" w:space="0"/>
            <w:left w:val="none" w:sz="0" w:space="0"/>
            <w:bottom w:val="none" w:sz="0" w:space="0"/>
            <w:right w:val="none" w:sz="0" w:space="0"/>
          </w:pgBorders>
          <w:cols w:space="720" w:num="1"/>
          <w:docGrid w:linePitch="285" w:charSpace="0"/>
        </w:sectPr>
      </w:pPr>
    </w:p>
    <w:p w14:paraId="350E9C21">
      <w:pPr>
        <w:spacing w:after="240" w:afterLines="100"/>
        <w:jc w:val="both"/>
        <w:rPr>
          <w:rFonts w:hint="eastAsia" w:ascii="宋体" w:hAnsi="宋体"/>
          <w:b/>
          <w:bCs w:val="0"/>
          <w:color w:val="auto"/>
          <w:sz w:val="24"/>
          <w:szCs w:val="24"/>
          <w:highlight w:val="none"/>
          <w:lang w:val="en-US" w:eastAsia="zh-CN"/>
        </w:rPr>
      </w:pPr>
      <w:r>
        <w:rPr>
          <w:rFonts w:hint="eastAsia" w:ascii="宋体" w:hAnsi="宋体" w:cs="宋体"/>
          <w:b/>
          <w:color w:val="auto"/>
          <w:szCs w:val="21"/>
          <w:highlight w:val="none"/>
          <w:lang w:eastAsia="zh-CN"/>
        </w:rPr>
        <w:t>附件</w:t>
      </w:r>
      <w:r>
        <w:rPr>
          <w:rFonts w:hint="eastAsia" w:ascii="宋体" w:hAnsi="宋体"/>
          <w:b/>
          <w:bCs w:val="0"/>
          <w:color w:val="auto"/>
          <w:sz w:val="24"/>
          <w:szCs w:val="24"/>
          <w:highlight w:val="none"/>
          <w:lang w:val="en-US" w:eastAsia="zh-CN"/>
        </w:rPr>
        <w:t xml:space="preserve">                                      </w:t>
      </w:r>
    </w:p>
    <w:p w14:paraId="0175433C">
      <w:pPr>
        <w:spacing w:after="240" w:afterLines="100"/>
        <w:jc w:val="both"/>
        <w:rPr>
          <w:rFonts w:hint="eastAsia" w:ascii="宋体" w:hAnsi="宋体"/>
          <w:b/>
          <w:bCs w:val="0"/>
          <w:color w:val="auto"/>
          <w:sz w:val="24"/>
          <w:szCs w:val="24"/>
          <w:highlight w:val="none"/>
          <w:lang w:val="en-US" w:eastAsia="zh-CN"/>
        </w:rPr>
      </w:pPr>
    </w:p>
    <w:p w14:paraId="5AAFDB8D">
      <w:pPr>
        <w:spacing w:after="240" w:afterLines="100"/>
        <w:jc w:val="center"/>
        <w:rPr>
          <w:rFonts w:hint="eastAsia" w:ascii="宋体" w:hAnsi="宋体"/>
          <w:b/>
          <w:color w:val="auto"/>
          <w:sz w:val="30"/>
          <w:szCs w:val="30"/>
          <w:highlight w:val="none"/>
        </w:rPr>
      </w:pPr>
      <w:r>
        <w:rPr>
          <w:rFonts w:hint="eastAsia" w:ascii="宋体" w:hAnsi="宋体"/>
          <w:b/>
          <w:color w:val="auto"/>
          <w:sz w:val="30"/>
          <w:szCs w:val="30"/>
          <w:highlight w:val="none"/>
        </w:rPr>
        <w:t>开标一览表</w:t>
      </w:r>
    </w:p>
    <w:p w14:paraId="3E4E3E4A">
      <w:pPr>
        <w:adjustRightInd w:val="0"/>
        <w:snapToGrid w:val="0"/>
        <w:spacing w:after="120" w:afterLines="50"/>
        <w:ind w:left="0" w:leftChars="0" w:firstLine="0" w:firstLineChars="0"/>
        <w:rPr>
          <w:rFonts w:ascii="宋体" w:hAnsi="宋体"/>
          <w:color w:val="auto"/>
          <w:szCs w:val="21"/>
          <w:highlight w:val="none"/>
          <w:u w:val="single"/>
        </w:rPr>
      </w:pPr>
      <w:r>
        <w:rPr>
          <w:rFonts w:hint="eastAsia" w:ascii="宋体" w:hAnsi="宋体" w:cs="仿宋_GB2312"/>
          <w:color w:val="auto"/>
          <w:kern w:val="0"/>
          <w:szCs w:val="21"/>
          <w:highlight w:val="none"/>
        </w:rPr>
        <w:t>项目</w:t>
      </w:r>
      <w:r>
        <w:rPr>
          <w:rFonts w:ascii="宋体" w:hAnsi="宋体" w:cs="仿宋_GB2312"/>
          <w:color w:val="auto"/>
          <w:kern w:val="0"/>
          <w:szCs w:val="21"/>
          <w:highlight w:val="none"/>
        </w:rPr>
        <w:t>名称：</w:t>
      </w:r>
    </w:p>
    <w:p w14:paraId="6AAE8F3E">
      <w:pPr>
        <w:adjustRightInd w:val="0"/>
        <w:snapToGrid w:val="0"/>
        <w:spacing w:after="120" w:afterLines="50"/>
        <w:ind w:left="0" w:leftChars="0" w:firstLine="0" w:firstLineChars="0"/>
        <w:rPr>
          <w:rFonts w:hint="eastAsia" w:ascii="宋体" w:hAnsi="宋体"/>
          <w:color w:val="auto"/>
          <w:szCs w:val="21"/>
          <w:highlight w:val="none"/>
        </w:rPr>
      </w:pPr>
      <w:r>
        <w:rPr>
          <w:rFonts w:hint="eastAsia" w:ascii="宋体" w:hAnsi="宋体" w:cs="仿宋_GB2312"/>
          <w:color w:val="auto"/>
          <w:kern w:val="0"/>
          <w:szCs w:val="21"/>
          <w:highlight w:val="none"/>
        </w:rPr>
        <w:t>项目编号：</w:t>
      </w:r>
      <w:r>
        <w:rPr>
          <w:rFonts w:hint="eastAsia" w:ascii="宋体" w:hAnsi="宋体"/>
          <w:color w:val="auto"/>
          <w:szCs w:val="21"/>
          <w:highlight w:val="none"/>
        </w:rPr>
        <w:t xml:space="preserve"> </w:t>
      </w:r>
    </w:p>
    <w:p w14:paraId="0225FB90">
      <w:pPr>
        <w:pStyle w:val="2"/>
        <w:ind w:left="0" w:leftChars="0" w:firstLine="0" w:firstLineChars="0"/>
        <w:rPr>
          <w:rFonts w:hint="eastAsia"/>
          <w:color w:val="auto"/>
          <w:highlight w:val="none"/>
        </w:rPr>
      </w:pPr>
      <w:r>
        <w:rPr>
          <w:color w:val="auto"/>
          <w:highlight w:val="none"/>
        </w:rPr>
        <w:t xml:space="preserve"> </w:t>
      </w:r>
    </w:p>
    <w:p w14:paraId="250EC43A">
      <w:pPr>
        <w:spacing w:line="460" w:lineRule="exact"/>
        <w:ind w:left="5250" w:hanging="5250" w:hangingChars="2500"/>
        <w:jc w:val="left"/>
        <w:rPr>
          <w:color w:val="auto"/>
          <w:highlight w:val="none"/>
        </w:rPr>
      </w:pPr>
      <w:r>
        <w:rPr>
          <w:color w:val="auto"/>
          <w:highlight w:val="none"/>
        </w:rPr>
        <w:t xml:space="preserve">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3643"/>
        <w:gridCol w:w="2750"/>
      </w:tblGrid>
      <w:tr w14:paraId="4B8F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3380" w:type="dxa"/>
            <w:noWrap w:val="0"/>
            <w:vAlign w:val="center"/>
          </w:tcPr>
          <w:p w14:paraId="248077DA">
            <w:pPr>
              <w:keepNext w:val="0"/>
              <w:keepLines w:val="0"/>
              <w:suppressLineNumbers w:val="0"/>
              <w:spacing w:before="0" w:beforeAutospacing="0" w:after="0" w:afterAutospacing="0" w:line="460" w:lineRule="exact"/>
              <w:ind w:left="0" w:right="0"/>
              <w:jc w:val="center"/>
              <w:rPr>
                <w:rFonts w:hint="eastAsia" w:ascii="宋体" w:hAnsi="宋体" w:cs="仿宋"/>
                <w:b w:val="0"/>
                <w:bCs w:val="0"/>
                <w:color w:val="auto"/>
                <w:szCs w:val="21"/>
                <w:highlight w:val="none"/>
              </w:rPr>
            </w:pPr>
            <w:r>
              <w:rPr>
                <w:rFonts w:hint="default" w:ascii="宋体" w:hAnsi="宋体" w:cs="Times New Roman"/>
                <w:b/>
                <w:color w:val="auto"/>
                <w:szCs w:val="20"/>
                <w:highlight w:val="none"/>
              </w:rPr>
              <w:t>项目名称</w:t>
            </w:r>
          </w:p>
        </w:tc>
        <w:tc>
          <w:tcPr>
            <w:tcW w:w="3643" w:type="dxa"/>
            <w:noWrap w:val="0"/>
            <w:vAlign w:val="center"/>
          </w:tcPr>
          <w:p w14:paraId="0C4E499E">
            <w:pPr>
              <w:keepNext w:val="0"/>
              <w:keepLines w:val="0"/>
              <w:suppressLineNumbers w:val="0"/>
              <w:spacing w:before="0" w:beforeAutospacing="0" w:after="0" w:afterAutospacing="0" w:line="460" w:lineRule="exact"/>
              <w:ind w:left="0" w:right="0"/>
              <w:jc w:val="center"/>
              <w:rPr>
                <w:rFonts w:hint="default" w:ascii="宋体" w:hAnsi="宋体" w:eastAsia="宋体" w:cs="仿宋"/>
                <w:b w:val="0"/>
                <w:bCs w:val="0"/>
                <w:color w:val="auto"/>
                <w:szCs w:val="21"/>
                <w:highlight w:val="none"/>
                <w:lang w:val="en-US" w:eastAsia="zh-CN"/>
              </w:rPr>
            </w:pPr>
            <w:r>
              <w:rPr>
                <w:rFonts w:hint="default" w:ascii="宋体" w:hAnsi="宋体" w:cs="Times New Roman"/>
                <w:b/>
                <w:color w:val="auto"/>
                <w:szCs w:val="20"/>
                <w:highlight w:val="none"/>
              </w:rPr>
              <w:t>投标</w:t>
            </w:r>
            <w:r>
              <w:rPr>
                <w:rFonts w:hint="eastAsia" w:ascii="宋体" w:hAnsi="宋体" w:cs="Times New Roman"/>
                <w:b/>
                <w:color w:val="auto"/>
                <w:szCs w:val="20"/>
                <w:highlight w:val="none"/>
              </w:rPr>
              <w:t>报价</w:t>
            </w:r>
            <w:r>
              <w:rPr>
                <w:rFonts w:hint="eastAsia" w:ascii="宋体" w:hAnsi="宋体" w:cs="Times New Roman"/>
                <w:b/>
                <w:color w:val="auto"/>
                <w:szCs w:val="20"/>
                <w:highlight w:val="none"/>
                <w:lang w:val="en-US" w:eastAsia="zh-CN"/>
              </w:rPr>
              <w:t>(元)</w:t>
            </w:r>
          </w:p>
        </w:tc>
        <w:tc>
          <w:tcPr>
            <w:tcW w:w="2750" w:type="dxa"/>
            <w:noWrap w:val="0"/>
            <w:vAlign w:val="center"/>
          </w:tcPr>
          <w:p w14:paraId="6ED6CE10">
            <w:pPr>
              <w:keepNext w:val="0"/>
              <w:keepLines w:val="0"/>
              <w:suppressLineNumbers w:val="0"/>
              <w:spacing w:before="0" w:beforeAutospacing="0" w:after="0" w:afterAutospacing="0" w:line="460" w:lineRule="exact"/>
              <w:ind w:left="0" w:right="0"/>
              <w:jc w:val="center"/>
              <w:rPr>
                <w:rFonts w:hint="eastAsia" w:ascii="宋体" w:hAnsi="宋体" w:eastAsia="宋体" w:cs="仿宋"/>
                <w:b w:val="0"/>
                <w:bCs w:val="0"/>
                <w:color w:val="auto"/>
                <w:szCs w:val="21"/>
                <w:highlight w:val="none"/>
                <w:lang w:val="en-US" w:eastAsia="zh-CN"/>
              </w:rPr>
            </w:pPr>
            <w:r>
              <w:rPr>
                <w:rFonts w:hint="eastAsia" w:ascii="宋体" w:hAnsi="宋体" w:cs="宋体"/>
                <w:b/>
                <w:color w:val="auto"/>
                <w:szCs w:val="21"/>
                <w:highlight w:val="none"/>
              </w:rPr>
              <w:t>服务期</w:t>
            </w:r>
          </w:p>
        </w:tc>
      </w:tr>
      <w:tr w14:paraId="28B8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3380" w:type="dxa"/>
            <w:noWrap w:val="0"/>
            <w:vAlign w:val="center"/>
          </w:tcPr>
          <w:p w14:paraId="62A40E4B">
            <w:pPr>
              <w:keepNext w:val="0"/>
              <w:keepLines w:val="0"/>
              <w:suppressLineNumbers w:val="0"/>
              <w:spacing w:before="0" w:beforeAutospacing="0" w:after="0" w:afterAutospacing="0" w:line="460" w:lineRule="exact"/>
              <w:ind w:left="0" w:right="0"/>
              <w:jc w:val="center"/>
              <w:rPr>
                <w:rFonts w:hint="eastAsia" w:ascii="宋体" w:hAnsi="宋体" w:eastAsia="宋体" w:cs="仿宋"/>
                <w:b w:val="0"/>
                <w:bCs w:val="0"/>
                <w:color w:val="auto"/>
                <w:szCs w:val="21"/>
                <w:highlight w:val="none"/>
                <w:lang w:eastAsia="zh-CN"/>
              </w:rPr>
            </w:pPr>
          </w:p>
        </w:tc>
        <w:tc>
          <w:tcPr>
            <w:tcW w:w="3643" w:type="dxa"/>
            <w:noWrap w:val="0"/>
            <w:vAlign w:val="center"/>
          </w:tcPr>
          <w:p w14:paraId="537D3D40">
            <w:pPr>
              <w:keepNext w:val="0"/>
              <w:keepLines w:val="0"/>
              <w:suppressLineNumbers w:val="0"/>
              <w:spacing w:before="0" w:beforeAutospacing="0" w:after="0" w:afterAutospacing="0" w:line="460" w:lineRule="exact"/>
              <w:ind w:left="0" w:right="0" w:firstLine="3570" w:firstLineChars="1700"/>
              <w:rPr>
                <w:rFonts w:hint="eastAsia" w:ascii="宋体" w:hAnsi="宋体" w:eastAsia="宋体" w:cs="仿宋"/>
                <w:b w:val="0"/>
                <w:bCs w:val="0"/>
                <w:color w:val="auto"/>
                <w:szCs w:val="21"/>
                <w:highlight w:val="none"/>
                <w:lang w:val="en-US" w:eastAsia="zh-CN"/>
              </w:rPr>
            </w:pPr>
            <w:r>
              <w:rPr>
                <w:rFonts w:hint="eastAsia" w:ascii="宋体" w:hAnsi="宋体" w:cs="仿宋"/>
                <w:b w:val="0"/>
                <w:bCs w:val="0"/>
                <w:color w:val="auto"/>
                <w:szCs w:val="21"/>
                <w:highlight w:val="none"/>
                <w:lang w:val="en-US" w:eastAsia="zh-CN"/>
              </w:rPr>
              <w:t>%</w:t>
            </w:r>
          </w:p>
        </w:tc>
        <w:tc>
          <w:tcPr>
            <w:tcW w:w="2750" w:type="dxa"/>
            <w:noWrap w:val="0"/>
            <w:vAlign w:val="center"/>
          </w:tcPr>
          <w:p w14:paraId="3E20CBDD">
            <w:pPr>
              <w:keepNext w:val="0"/>
              <w:keepLines w:val="0"/>
              <w:suppressLineNumbers w:val="0"/>
              <w:spacing w:before="0" w:beforeAutospacing="0" w:after="0" w:afterAutospacing="0" w:line="440" w:lineRule="exact"/>
              <w:ind w:left="0" w:right="0"/>
              <w:jc w:val="center"/>
              <w:rPr>
                <w:rFonts w:hint="eastAsia" w:ascii="宋体" w:hAnsi="宋体" w:eastAsia="宋体" w:cs="仿宋"/>
                <w:b w:val="0"/>
                <w:bCs w:val="0"/>
                <w:color w:val="auto"/>
                <w:szCs w:val="21"/>
                <w:highlight w:val="none"/>
                <w:lang w:eastAsia="zh-CN"/>
              </w:rPr>
            </w:pPr>
          </w:p>
        </w:tc>
      </w:tr>
    </w:tbl>
    <w:p w14:paraId="226AA99D">
      <w:pPr>
        <w:pStyle w:val="21"/>
        <w:ind w:left="0" w:leftChars="0" w:firstLine="0" w:firstLineChars="0"/>
        <w:rPr>
          <w:rFonts w:hint="eastAsia" w:ascii="宋体" w:hAnsi="宋体"/>
          <w:color w:val="auto"/>
          <w:szCs w:val="21"/>
          <w:highlight w:val="none"/>
        </w:rPr>
      </w:pPr>
    </w:p>
    <w:p w14:paraId="194C4995">
      <w:pPr>
        <w:rPr>
          <w:rFonts w:ascii="宋体" w:hAnsi="宋体"/>
          <w:color w:val="auto"/>
          <w:szCs w:val="21"/>
          <w:highlight w:val="none"/>
        </w:rPr>
      </w:pPr>
      <w:r>
        <w:rPr>
          <w:rFonts w:ascii="宋体" w:hAnsi="宋体"/>
          <w:color w:val="auto"/>
          <w:szCs w:val="21"/>
          <w:highlight w:val="none"/>
        </w:rPr>
        <w:t>备注：1、</w:t>
      </w:r>
      <w:r>
        <w:rPr>
          <w:rFonts w:hint="eastAsia" w:ascii="宋体" w:hAnsi="宋体"/>
          <w:color w:val="auto"/>
          <w:szCs w:val="21"/>
        </w:rPr>
        <w:t>投标报价金额必须与《分项报价表》投标报价中的合计金额一致</w:t>
      </w:r>
      <w:r>
        <w:rPr>
          <w:rFonts w:ascii="宋体" w:hAnsi="宋体"/>
          <w:color w:val="auto"/>
          <w:szCs w:val="21"/>
          <w:highlight w:val="none"/>
        </w:rPr>
        <w:t>。</w:t>
      </w:r>
    </w:p>
    <w:p w14:paraId="0060D9C4">
      <w:pPr>
        <w:rPr>
          <w:rFonts w:hint="eastAsia" w:ascii="宋体" w:hAnsi="宋体"/>
          <w:color w:val="auto"/>
          <w:highlight w:val="none"/>
          <w:lang w:val="en-US" w:eastAsia="zh-CN"/>
        </w:rPr>
      </w:pPr>
      <w:r>
        <w:rPr>
          <w:rFonts w:ascii="宋体" w:hAnsi="宋体"/>
          <w:color w:val="auto"/>
          <w:szCs w:val="21"/>
          <w:highlight w:val="none"/>
        </w:rPr>
        <w:t xml:space="preserve">   ▲ </w:t>
      </w:r>
      <w:r>
        <w:rPr>
          <w:rFonts w:hint="eastAsia" w:ascii="宋体" w:hAnsi="宋体"/>
          <w:color w:val="auto"/>
          <w:szCs w:val="21"/>
          <w:highlight w:val="none"/>
          <w:lang w:val="en-US" w:eastAsia="zh-CN"/>
        </w:rPr>
        <w:t>2</w:t>
      </w:r>
      <w:r>
        <w:rPr>
          <w:rFonts w:ascii="宋体" w:hAnsi="宋体"/>
          <w:color w:val="auto"/>
          <w:szCs w:val="21"/>
          <w:highlight w:val="none"/>
        </w:rPr>
        <w:t>、项目名称应按照招标文件相对应，否则以所投主体不明作无效投标处理。</w:t>
      </w:r>
    </w:p>
    <w:p w14:paraId="36119C23">
      <w:pPr>
        <w:ind w:firstLine="630" w:firstLineChars="300"/>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w:t>
      </w:r>
      <w:r>
        <w:rPr>
          <w:rFonts w:ascii="宋体" w:hAnsi="宋体"/>
          <w:color w:val="auto"/>
          <w:highlight w:val="none"/>
        </w:rPr>
        <w:t>公开招标实行一次性报价</w:t>
      </w:r>
      <w:r>
        <w:rPr>
          <w:rFonts w:hint="eastAsia" w:ascii="宋体" w:hAnsi="宋体"/>
          <w:color w:val="auto"/>
          <w:highlight w:val="none"/>
          <w:lang w:eastAsia="zh-CN"/>
        </w:rPr>
        <w:t>。</w:t>
      </w:r>
    </w:p>
    <w:p w14:paraId="76F82BD7">
      <w:pPr>
        <w:spacing w:line="400" w:lineRule="exact"/>
        <w:rPr>
          <w:rFonts w:hint="default" w:ascii="宋体" w:hAnsi="宋体" w:cs="宋体"/>
          <w:color w:val="auto"/>
          <w:szCs w:val="21"/>
          <w:highlight w:val="none"/>
          <w:lang w:val="en-US"/>
        </w:rPr>
      </w:pPr>
    </w:p>
    <w:p w14:paraId="7D1FD666">
      <w:pPr>
        <w:pStyle w:val="21"/>
        <w:rPr>
          <w:rFonts w:hint="eastAsia"/>
          <w:color w:val="auto"/>
          <w:highlight w:val="none"/>
        </w:rPr>
      </w:pPr>
    </w:p>
    <w:p w14:paraId="25C2A96A">
      <w:pPr>
        <w:pStyle w:val="18"/>
        <w:rPr>
          <w:rFonts w:hint="eastAsia" w:ascii="宋体" w:hAnsi="宋体"/>
          <w:color w:val="auto"/>
          <w:szCs w:val="21"/>
          <w:highlight w:val="none"/>
        </w:rPr>
      </w:pPr>
    </w:p>
    <w:p w14:paraId="2C5FBF19">
      <w:pPr>
        <w:pStyle w:val="19"/>
        <w:rPr>
          <w:rFonts w:hint="eastAsia"/>
          <w:color w:val="auto"/>
          <w:highlight w:val="none"/>
        </w:rPr>
      </w:pPr>
    </w:p>
    <w:p w14:paraId="483B0C2D">
      <w:pPr>
        <w:ind w:left="170" w:firstLine="1680" w:firstLineChars="800"/>
        <w:jc w:val="right"/>
        <w:rPr>
          <w:rFonts w:hint="eastAsia" w:ascii="宋体" w:hAnsi="宋体" w:cs="仿宋_GB2312"/>
          <w:color w:val="auto"/>
          <w:szCs w:val="21"/>
          <w:highlight w:val="none"/>
        </w:rPr>
      </w:pP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（公章）</w:t>
      </w:r>
    </w:p>
    <w:p w14:paraId="1113022B">
      <w:pPr>
        <w:pStyle w:val="18"/>
        <w:rPr>
          <w:rFonts w:hint="eastAsia"/>
          <w:color w:val="auto"/>
          <w:highlight w:val="none"/>
        </w:rPr>
      </w:pPr>
    </w:p>
    <w:p w14:paraId="38EAC3A6">
      <w:pPr>
        <w:ind w:firstLine="420"/>
        <w:jc w:val="right"/>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法定代表人或其授权代表签字</w:t>
      </w:r>
      <w:r>
        <w:rPr>
          <w:rFonts w:hint="eastAsia" w:ascii="宋体" w:hAnsi="宋体" w:cs="宋体"/>
          <w:color w:val="auto"/>
          <w:szCs w:val="21"/>
          <w:highlight w:val="none"/>
          <w:lang w:eastAsia="zh-CN"/>
        </w:rPr>
        <w:t>或盖</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（签字</w:t>
      </w:r>
      <w:r>
        <w:rPr>
          <w:rFonts w:hint="eastAsia" w:ascii="宋体" w:hAnsi="宋体" w:cs="宋体"/>
          <w:color w:val="auto"/>
          <w:szCs w:val="21"/>
          <w:highlight w:val="none"/>
          <w:lang w:eastAsia="zh-CN"/>
        </w:rPr>
        <w:t>或盖章</w:t>
      </w:r>
      <w:r>
        <w:rPr>
          <w:rFonts w:hint="eastAsia" w:ascii="宋体" w:hAnsi="宋体" w:cs="仿宋_GB2312"/>
          <w:color w:val="auto"/>
          <w:szCs w:val="21"/>
          <w:highlight w:val="none"/>
        </w:rPr>
        <w:t>）</w:t>
      </w:r>
    </w:p>
    <w:p w14:paraId="033AE10A">
      <w:pPr>
        <w:pStyle w:val="18"/>
        <w:rPr>
          <w:rFonts w:hint="eastAsia"/>
          <w:color w:val="auto"/>
          <w:highlight w:val="none"/>
        </w:rPr>
      </w:pPr>
    </w:p>
    <w:p w14:paraId="4BF04AC9">
      <w:pPr>
        <w:pStyle w:val="21"/>
        <w:rPr>
          <w:rFonts w:hint="eastAsia" w:ascii="宋体" w:hAnsi="宋体" w:cs="仿宋_GB2312"/>
          <w:color w:val="auto"/>
          <w:szCs w:val="21"/>
          <w:highlight w:val="none"/>
          <w:u w:val="single"/>
        </w:rPr>
      </w:pPr>
    </w:p>
    <w:p w14:paraId="0E1E8143">
      <w:pPr>
        <w:pStyle w:val="21"/>
        <w:rPr>
          <w:rFonts w:hint="eastAsia" w:ascii="宋体" w:hAnsi="宋体" w:cs="仿宋_GB2312"/>
          <w:color w:val="auto"/>
          <w:szCs w:val="21"/>
          <w:highlight w:val="none"/>
          <w:u w:val="single"/>
        </w:rPr>
      </w:pPr>
    </w:p>
    <w:p w14:paraId="512A3BD8">
      <w:pPr>
        <w:pStyle w:val="21"/>
        <w:rPr>
          <w:rFonts w:hint="eastAsia" w:ascii="宋体" w:hAnsi="宋体" w:cs="仿宋_GB2312"/>
          <w:color w:val="auto"/>
          <w:szCs w:val="21"/>
          <w:highlight w:val="none"/>
          <w:u w:val="single"/>
        </w:rPr>
      </w:pPr>
    </w:p>
    <w:p w14:paraId="37555B37">
      <w:pPr>
        <w:rPr>
          <w:rStyle w:val="118"/>
          <w:rFonts w:hint="eastAsia" w:ascii="宋体" w:hAnsi="宋体" w:cs="仿宋_GB2312"/>
          <w:color w:val="auto"/>
          <w:szCs w:val="24"/>
          <w:highlight w:val="none"/>
        </w:rPr>
      </w:pPr>
    </w:p>
    <w:p w14:paraId="06949DD0">
      <w:pPr>
        <w:rPr>
          <w:rStyle w:val="118"/>
          <w:rFonts w:hint="eastAsia" w:ascii="宋体" w:hAnsi="宋体" w:cs="仿宋_GB2312"/>
          <w:color w:val="auto"/>
          <w:szCs w:val="24"/>
          <w:highlight w:val="none"/>
        </w:rPr>
      </w:pPr>
    </w:p>
    <w:p w14:paraId="1E1A6AC8">
      <w:pPr>
        <w:rPr>
          <w:rStyle w:val="118"/>
          <w:rFonts w:hint="eastAsia" w:ascii="宋体" w:hAnsi="宋体" w:cs="仿宋_GB2312"/>
          <w:color w:val="auto"/>
          <w:szCs w:val="24"/>
          <w:highlight w:val="none"/>
        </w:rPr>
      </w:pPr>
    </w:p>
    <w:p w14:paraId="12868C87">
      <w:pPr>
        <w:rPr>
          <w:rStyle w:val="118"/>
          <w:rFonts w:hint="eastAsia" w:ascii="宋体" w:hAnsi="宋体" w:cs="仿宋_GB2312"/>
          <w:color w:val="auto"/>
          <w:szCs w:val="24"/>
          <w:highlight w:val="none"/>
        </w:rPr>
      </w:pPr>
    </w:p>
    <w:p w14:paraId="57403B3F">
      <w:pPr>
        <w:rPr>
          <w:rStyle w:val="118"/>
          <w:rFonts w:hint="eastAsia" w:ascii="宋体" w:hAnsi="宋体" w:cs="仿宋_GB2312"/>
          <w:color w:val="auto"/>
          <w:szCs w:val="24"/>
          <w:highlight w:val="none"/>
        </w:rPr>
      </w:pPr>
    </w:p>
    <w:p w14:paraId="777DC24A">
      <w:pPr>
        <w:rPr>
          <w:rStyle w:val="118"/>
          <w:rFonts w:hint="eastAsia" w:ascii="宋体" w:hAnsi="宋体" w:cs="仿宋_GB2312"/>
          <w:color w:val="auto"/>
          <w:szCs w:val="24"/>
          <w:highlight w:val="none"/>
        </w:rPr>
      </w:pPr>
    </w:p>
    <w:p w14:paraId="2AB5EA30">
      <w:pPr>
        <w:rPr>
          <w:rStyle w:val="118"/>
          <w:rFonts w:hint="eastAsia" w:ascii="宋体" w:hAnsi="宋体" w:cs="仿宋_GB2312"/>
          <w:color w:val="auto"/>
          <w:szCs w:val="24"/>
          <w:highlight w:val="none"/>
        </w:rPr>
      </w:pPr>
    </w:p>
    <w:p w14:paraId="448D09B4">
      <w:pPr>
        <w:pStyle w:val="24"/>
        <w:rPr>
          <w:rFonts w:hint="eastAsia"/>
        </w:rPr>
      </w:pPr>
    </w:p>
    <w:p w14:paraId="4594ACD9">
      <w:pPr>
        <w:rPr>
          <w:rStyle w:val="118"/>
          <w:rFonts w:hint="eastAsia" w:ascii="宋体" w:hAnsi="宋体" w:cs="仿宋_GB2312"/>
          <w:color w:val="auto"/>
          <w:szCs w:val="24"/>
          <w:highlight w:val="none"/>
        </w:rPr>
      </w:pPr>
    </w:p>
    <w:p w14:paraId="61EF5C0A">
      <w:pPr>
        <w:rPr>
          <w:rStyle w:val="118"/>
          <w:rFonts w:hint="eastAsia" w:ascii="宋体" w:hAnsi="宋体" w:cs="仿宋_GB2312"/>
          <w:color w:val="auto"/>
          <w:szCs w:val="24"/>
          <w:highlight w:val="none"/>
        </w:rPr>
      </w:pPr>
    </w:p>
    <w:p w14:paraId="604E7090">
      <w:pPr>
        <w:rPr>
          <w:rStyle w:val="118"/>
          <w:rFonts w:hint="eastAsia" w:ascii="宋体" w:hAnsi="宋体" w:cs="仿宋_GB2312"/>
          <w:color w:val="auto"/>
          <w:szCs w:val="24"/>
          <w:highlight w:val="none"/>
        </w:rPr>
      </w:pPr>
    </w:p>
    <w:p w14:paraId="3645E608">
      <w:pPr>
        <w:rPr>
          <w:rStyle w:val="118"/>
          <w:rFonts w:hint="eastAsia" w:ascii="宋体" w:hAnsi="宋体" w:cs="仿宋_GB2312"/>
          <w:color w:val="auto"/>
          <w:szCs w:val="24"/>
          <w:highlight w:val="none"/>
        </w:rPr>
      </w:pPr>
      <w:r>
        <w:rPr>
          <w:rStyle w:val="118"/>
          <w:rFonts w:hint="eastAsia" w:ascii="宋体" w:hAnsi="宋体" w:cs="仿宋_GB2312"/>
          <w:color w:val="auto"/>
          <w:szCs w:val="24"/>
          <w:highlight w:val="none"/>
        </w:rPr>
        <w:t>附件</w:t>
      </w:r>
    </w:p>
    <w:p w14:paraId="1F4DCECE">
      <w:pPr>
        <w:pStyle w:val="18"/>
        <w:rPr>
          <w:rFonts w:hint="eastAsia" w:ascii="宋体" w:hAnsi="宋体"/>
          <w:color w:val="auto"/>
          <w:highlight w:val="none"/>
        </w:rPr>
      </w:pPr>
    </w:p>
    <w:p w14:paraId="219EB756">
      <w:pPr>
        <w:pStyle w:val="18"/>
        <w:rPr>
          <w:rFonts w:hint="eastAsia" w:ascii="宋体" w:hAnsi="宋体"/>
          <w:color w:val="auto"/>
          <w:highlight w:val="none"/>
        </w:rPr>
      </w:pPr>
    </w:p>
    <w:p w14:paraId="2E6E0416">
      <w:pPr>
        <w:pStyle w:val="3"/>
        <w:ind w:firstLine="0"/>
        <w:jc w:val="center"/>
        <w:rPr>
          <w:b/>
          <w:color w:val="auto"/>
          <w:sz w:val="30"/>
          <w:szCs w:val="30"/>
          <w:highlight w:val="none"/>
        </w:rPr>
      </w:pPr>
      <w:r>
        <w:rPr>
          <w:b/>
          <w:color w:val="auto"/>
          <w:sz w:val="30"/>
          <w:szCs w:val="30"/>
          <w:highlight w:val="none"/>
        </w:rPr>
        <w:t>投标报价明细表</w:t>
      </w:r>
    </w:p>
    <w:p w14:paraId="33511F09">
      <w:pPr>
        <w:pStyle w:val="3"/>
        <w:ind w:firstLine="0"/>
        <w:jc w:val="center"/>
        <w:rPr>
          <w:b/>
          <w:color w:val="auto"/>
          <w:sz w:val="30"/>
          <w:szCs w:val="30"/>
          <w:highlight w:val="none"/>
        </w:rPr>
      </w:pPr>
    </w:p>
    <w:p w14:paraId="29B8017B">
      <w:pPr>
        <w:pStyle w:val="3"/>
        <w:ind w:firstLine="0"/>
        <w:rPr>
          <w:color w:val="auto"/>
          <w:sz w:val="21"/>
          <w:szCs w:val="21"/>
          <w:highlight w:val="none"/>
        </w:rPr>
      </w:pPr>
      <w:r>
        <w:rPr>
          <w:color w:val="auto"/>
          <w:sz w:val="21"/>
          <w:szCs w:val="21"/>
          <w:highlight w:val="none"/>
        </w:rPr>
        <w:t xml:space="preserve">                           </w:t>
      </w:r>
    </w:p>
    <w:p w14:paraId="0010F99F">
      <w:pPr>
        <w:pStyle w:val="3"/>
        <w:ind w:firstLine="0"/>
        <w:rPr>
          <w:color w:val="auto"/>
          <w:sz w:val="21"/>
          <w:szCs w:val="21"/>
          <w:highlight w:val="none"/>
        </w:rPr>
      </w:pPr>
      <w:r>
        <w:rPr>
          <w:color w:val="auto"/>
          <w:sz w:val="21"/>
          <w:szCs w:val="21"/>
          <w:highlight w:val="none"/>
        </w:rPr>
        <w:t>项目名称：</w:t>
      </w:r>
      <w:r>
        <w:rPr>
          <w:color w:val="auto"/>
          <w:sz w:val="21"/>
          <w:szCs w:val="21"/>
          <w:highlight w:val="none"/>
          <w:u w:val="single"/>
        </w:rPr>
        <w:t xml:space="preserve">                 </w:t>
      </w:r>
      <w:r>
        <w:rPr>
          <w:color w:val="auto"/>
          <w:sz w:val="21"/>
          <w:szCs w:val="21"/>
          <w:highlight w:val="none"/>
        </w:rPr>
        <w:t xml:space="preserve"> </w:t>
      </w:r>
    </w:p>
    <w:p w14:paraId="01B278E1">
      <w:pPr>
        <w:pStyle w:val="3"/>
        <w:ind w:firstLine="0"/>
        <w:rPr>
          <w:color w:val="auto"/>
          <w:sz w:val="21"/>
          <w:szCs w:val="21"/>
          <w:highlight w:val="none"/>
          <w:u w:val="single"/>
        </w:rPr>
      </w:pPr>
      <w:r>
        <w:rPr>
          <w:color w:val="auto"/>
          <w:sz w:val="21"/>
          <w:szCs w:val="21"/>
          <w:highlight w:val="none"/>
        </w:rPr>
        <w:t>采购编号：</w:t>
      </w:r>
      <w:r>
        <w:rPr>
          <w:color w:val="auto"/>
          <w:sz w:val="21"/>
          <w:szCs w:val="21"/>
          <w:highlight w:val="none"/>
          <w:u w:val="single"/>
        </w:rPr>
        <w:t xml:space="preserve">                 </w:t>
      </w:r>
    </w:p>
    <w:p w14:paraId="7C075093">
      <w:pPr>
        <w:pStyle w:val="3"/>
        <w:ind w:firstLine="0"/>
        <w:rPr>
          <w:color w:val="auto"/>
          <w:sz w:val="21"/>
          <w:szCs w:val="21"/>
          <w:highlight w:val="none"/>
        </w:rPr>
      </w:pPr>
      <w:r>
        <w:rPr>
          <w:color w:val="auto"/>
          <w:sz w:val="21"/>
          <w:szCs w:val="21"/>
          <w:highlight w:val="none"/>
        </w:rPr>
        <w:t xml:space="preserve">                          </w:t>
      </w:r>
    </w:p>
    <w:p w14:paraId="6F6A34B9">
      <w:pPr>
        <w:pStyle w:val="3"/>
        <w:ind w:firstLine="0"/>
        <w:jc w:val="right"/>
        <w:rPr>
          <w:color w:val="auto"/>
          <w:sz w:val="21"/>
          <w:szCs w:val="21"/>
          <w:highlight w:val="none"/>
        </w:rPr>
      </w:pPr>
      <w:r>
        <w:rPr>
          <w:color w:val="auto"/>
          <w:sz w:val="21"/>
          <w:szCs w:val="21"/>
          <w:highlight w:val="none"/>
        </w:rPr>
        <w:t xml:space="preserve"> </w:t>
      </w:r>
    </w:p>
    <w:tbl>
      <w:tblPr>
        <w:tblStyle w:val="46"/>
        <w:tblW w:w="9698" w:type="dxa"/>
        <w:tblInd w:w="-13" w:type="dxa"/>
        <w:tblLayout w:type="fixed"/>
        <w:tblCellMar>
          <w:top w:w="15" w:type="dxa"/>
          <w:left w:w="15" w:type="dxa"/>
          <w:bottom w:w="15" w:type="dxa"/>
          <w:right w:w="15" w:type="dxa"/>
        </w:tblCellMar>
      </w:tblPr>
      <w:tblGrid>
        <w:gridCol w:w="896"/>
        <w:gridCol w:w="1777"/>
        <w:gridCol w:w="3266"/>
        <w:gridCol w:w="2548"/>
        <w:gridCol w:w="1211"/>
      </w:tblGrid>
      <w:tr w14:paraId="0B83BFEC">
        <w:tblPrEx>
          <w:tblCellMar>
            <w:top w:w="15" w:type="dxa"/>
            <w:left w:w="15" w:type="dxa"/>
            <w:bottom w:w="15" w:type="dxa"/>
            <w:right w:w="15" w:type="dxa"/>
          </w:tblCellMar>
        </w:tblPrEx>
        <w:trPr>
          <w:trHeight w:val="705" w:hRule="atLeast"/>
        </w:trPr>
        <w:tc>
          <w:tcPr>
            <w:tcW w:w="896" w:type="dxa"/>
            <w:tcBorders>
              <w:top w:val="single" w:color="000000" w:sz="4" w:space="0"/>
              <w:left w:val="single" w:color="000000" w:sz="4" w:space="0"/>
              <w:bottom w:val="single" w:color="000000" w:sz="4" w:space="0"/>
              <w:right w:val="single" w:color="000000" w:sz="4" w:space="0"/>
            </w:tcBorders>
            <w:noWrap w:val="0"/>
            <w:vAlign w:val="center"/>
          </w:tcPr>
          <w:p w14:paraId="266F802C">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default" w:ascii="宋体" w:hAnsi="宋体" w:cs="宋体"/>
                <w:b/>
                <w:color w:val="auto"/>
                <w:kern w:val="0"/>
                <w:szCs w:val="21"/>
                <w:highlight w:val="none"/>
                <w:lang w:bidi="ar"/>
              </w:rPr>
              <w:t>序号</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42B31320">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default" w:ascii="宋体" w:hAnsi="宋体" w:cs="宋体"/>
                <w:b/>
                <w:color w:val="auto"/>
                <w:kern w:val="0"/>
                <w:szCs w:val="21"/>
                <w:highlight w:val="none"/>
                <w:lang w:bidi="ar"/>
              </w:rPr>
              <w:t>名称</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772F63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lang w:eastAsia="zh-CN"/>
              </w:rPr>
            </w:pPr>
            <w:r>
              <w:rPr>
                <w:rFonts w:hint="eastAsia" w:ascii="宋体" w:hAnsi="宋体" w:cs="仿宋_GB2312"/>
                <w:b/>
                <w:bCs/>
                <w:color w:val="auto"/>
                <w:kern w:val="0"/>
                <w:szCs w:val="21"/>
                <w:highlight w:val="none"/>
                <w:lang w:eastAsia="zh-CN"/>
              </w:rPr>
              <w:t>内容</w:t>
            </w:r>
          </w:p>
        </w:tc>
        <w:tc>
          <w:tcPr>
            <w:tcW w:w="2548" w:type="dxa"/>
            <w:tcBorders>
              <w:top w:val="single" w:color="000000" w:sz="4" w:space="0"/>
              <w:left w:val="single" w:color="000000" w:sz="4" w:space="0"/>
              <w:bottom w:val="single" w:color="000000" w:sz="4" w:space="0"/>
              <w:right w:val="single" w:color="000000" w:sz="4" w:space="0"/>
            </w:tcBorders>
            <w:noWrap w:val="0"/>
            <w:vAlign w:val="center"/>
          </w:tcPr>
          <w:p w14:paraId="0F1B7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Cs w:val="21"/>
                <w:highlight w:val="none"/>
                <w:lang w:eastAsia="zh-CN"/>
              </w:rPr>
            </w:pPr>
            <w:r>
              <w:rPr>
                <w:rFonts w:hint="default" w:ascii="宋体" w:hAnsi="宋体" w:cs="宋体"/>
                <w:b/>
                <w:color w:val="auto"/>
                <w:szCs w:val="21"/>
                <w:highlight w:val="none"/>
              </w:rPr>
              <w:t>投标</w:t>
            </w:r>
            <w:r>
              <w:rPr>
                <w:rFonts w:hint="eastAsia" w:ascii="宋体" w:hAnsi="宋体" w:cs="宋体"/>
                <w:b/>
                <w:color w:val="auto"/>
                <w:szCs w:val="21"/>
                <w:highlight w:val="none"/>
                <w:lang w:eastAsia="zh-CN"/>
              </w:rPr>
              <w:t>报价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8617895">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default" w:ascii="宋体" w:hAnsi="宋体" w:cs="仿宋_GB2312"/>
                <w:color w:val="auto"/>
                <w:kern w:val="0"/>
                <w:szCs w:val="21"/>
                <w:highlight w:val="none"/>
              </w:rPr>
              <w:t>备注</w:t>
            </w:r>
          </w:p>
        </w:tc>
      </w:tr>
      <w:tr w14:paraId="5D10280F">
        <w:tblPrEx>
          <w:tblCellMar>
            <w:top w:w="15" w:type="dxa"/>
            <w:left w:w="15" w:type="dxa"/>
            <w:bottom w:w="15" w:type="dxa"/>
            <w:right w:w="15" w:type="dxa"/>
          </w:tblCellMar>
        </w:tblPrEx>
        <w:trPr>
          <w:trHeight w:val="768" w:hRule="atLeast"/>
        </w:trPr>
        <w:tc>
          <w:tcPr>
            <w:tcW w:w="896" w:type="dxa"/>
            <w:tcBorders>
              <w:top w:val="single" w:color="000000" w:sz="4" w:space="0"/>
              <w:left w:val="single" w:color="000000" w:sz="4" w:space="0"/>
              <w:bottom w:val="single" w:color="auto" w:sz="4" w:space="0"/>
              <w:right w:val="single" w:color="000000" w:sz="4" w:space="0"/>
            </w:tcBorders>
            <w:noWrap w:val="0"/>
            <w:vAlign w:val="center"/>
          </w:tcPr>
          <w:p w14:paraId="1A4F9EC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1</w:t>
            </w:r>
          </w:p>
        </w:tc>
        <w:tc>
          <w:tcPr>
            <w:tcW w:w="1777" w:type="dxa"/>
            <w:tcBorders>
              <w:top w:val="single" w:color="000000" w:sz="4" w:space="0"/>
              <w:left w:val="single" w:color="000000" w:sz="4" w:space="0"/>
              <w:bottom w:val="single" w:color="auto" w:sz="4" w:space="0"/>
              <w:right w:val="single" w:color="000000" w:sz="4" w:space="0"/>
            </w:tcBorders>
            <w:noWrap w:val="0"/>
            <w:vAlign w:val="center"/>
          </w:tcPr>
          <w:p w14:paraId="4B95AB0C">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Cs w:val="21"/>
                <w:highlight w:val="none"/>
                <w:lang w:bidi="ar"/>
              </w:rPr>
            </w:pP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475A23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p>
        </w:tc>
        <w:tc>
          <w:tcPr>
            <w:tcW w:w="2548" w:type="dxa"/>
            <w:tcBorders>
              <w:top w:val="single" w:color="000000" w:sz="4" w:space="0"/>
              <w:left w:val="single" w:color="000000" w:sz="4" w:space="0"/>
              <w:bottom w:val="single" w:color="auto" w:sz="4" w:space="0"/>
              <w:right w:val="single" w:color="000000" w:sz="4" w:space="0"/>
            </w:tcBorders>
            <w:noWrap w:val="0"/>
            <w:vAlign w:val="center"/>
          </w:tcPr>
          <w:p w14:paraId="527056F3">
            <w:pPr>
              <w:keepNext w:val="0"/>
              <w:keepLines w:val="0"/>
              <w:suppressLineNumbers w:val="0"/>
              <w:spacing w:before="0" w:beforeAutospacing="0" w:after="0" w:afterAutospacing="0"/>
              <w:ind w:left="0" w:right="0"/>
              <w:jc w:val="center"/>
              <w:textAlignment w:val="center"/>
              <w:rPr>
                <w:rFonts w:hint="eastAsia" w:ascii="宋体" w:hAnsi="宋体" w:eastAsia="宋体" w:cs="宋体"/>
                <w:b/>
                <w:color w:val="auto"/>
                <w:kern w:val="0"/>
                <w:szCs w:val="21"/>
                <w:highlight w:val="none"/>
                <w:lang w:val="en-US" w:eastAsia="zh-CN" w:bidi="ar"/>
              </w:rPr>
            </w:pPr>
          </w:p>
        </w:tc>
        <w:tc>
          <w:tcPr>
            <w:tcW w:w="1211" w:type="dxa"/>
            <w:tcBorders>
              <w:top w:val="single" w:color="000000" w:sz="4" w:space="0"/>
              <w:left w:val="single" w:color="000000" w:sz="4" w:space="0"/>
              <w:bottom w:val="single" w:color="auto" w:sz="4" w:space="0"/>
              <w:right w:val="single" w:color="000000" w:sz="4" w:space="0"/>
            </w:tcBorders>
            <w:noWrap w:val="0"/>
            <w:vAlign w:val="center"/>
          </w:tcPr>
          <w:p w14:paraId="2B54ED40">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Cs w:val="21"/>
                <w:highlight w:val="none"/>
                <w:lang w:bidi="ar"/>
              </w:rPr>
            </w:pPr>
          </w:p>
        </w:tc>
      </w:tr>
      <w:tr w14:paraId="742BC871">
        <w:tblPrEx>
          <w:tblCellMar>
            <w:top w:w="15" w:type="dxa"/>
            <w:left w:w="15" w:type="dxa"/>
            <w:bottom w:w="15" w:type="dxa"/>
            <w:right w:w="15" w:type="dxa"/>
          </w:tblCellMar>
        </w:tblPrEx>
        <w:trPr>
          <w:trHeight w:val="772" w:hRule="atLeast"/>
        </w:trPr>
        <w:tc>
          <w:tcPr>
            <w:tcW w:w="896" w:type="dxa"/>
            <w:tcBorders>
              <w:top w:val="single" w:color="auto" w:sz="4" w:space="0"/>
              <w:left w:val="single" w:color="000000" w:sz="4" w:space="0"/>
              <w:bottom w:val="single" w:color="auto" w:sz="4" w:space="0"/>
              <w:right w:val="single" w:color="000000" w:sz="4" w:space="0"/>
            </w:tcBorders>
            <w:noWrap w:val="0"/>
            <w:vAlign w:val="center"/>
          </w:tcPr>
          <w:p w14:paraId="2990FC0C">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2</w:t>
            </w:r>
          </w:p>
        </w:tc>
        <w:tc>
          <w:tcPr>
            <w:tcW w:w="1777" w:type="dxa"/>
            <w:tcBorders>
              <w:top w:val="single" w:color="auto" w:sz="4" w:space="0"/>
              <w:left w:val="single" w:color="000000" w:sz="4" w:space="0"/>
              <w:bottom w:val="single" w:color="auto" w:sz="4" w:space="0"/>
              <w:right w:val="single" w:color="000000" w:sz="4" w:space="0"/>
            </w:tcBorders>
            <w:noWrap w:val="0"/>
            <w:vAlign w:val="center"/>
          </w:tcPr>
          <w:p w14:paraId="079D1064">
            <w:pPr>
              <w:keepNext w:val="0"/>
              <w:keepLines w:val="0"/>
              <w:suppressLineNumbers w:val="0"/>
              <w:spacing w:before="0" w:beforeAutospacing="0" w:after="0" w:afterAutospacing="0"/>
              <w:ind w:left="0" w:right="0"/>
              <w:jc w:val="center"/>
              <w:textAlignment w:val="center"/>
              <w:rPr>
                <w:rFonts w:hint="default" w:ascii="宋体" w:hAnsi="宋体" w:cs="宋体"/>
                <w:color w:val="auto"/>
                <w:szCs w:val="21"/>
                <w:highlight w:val="none"/>
              </w:rPr>
            </w:pPr>
          </w:p>
        </w:tc>
        <w:tc>
          <w:tcPr>
            <w:tcW w:w="3266" w:type="dxa"/>
            <w:tcBorders>
              <w:top w:val="single" w:color="auto" w:sz="4" w:space="0"/>
              <w:left w:val="single" w:color="000000" w:sz="4" w:space="0"/>
              <w:bottom w:val="single" w:color="auto" w:sz="4" w:space="0"/>
              <w:right w:val="single" w:color="000000" w:sz="4" w:space="0"/>
            </w:tcBorders>
            <w:noWrap w:val="0"/>
            <w:vAlign w:val="center"/>
          </w:tcPr>
          <w:p w14:paraId="6803D5D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c>
          <w:tcPr>
            <w:tcW w:w="2548" w:type="dxa"/>
            <w:tcBorders>
              <w:top w:val="single" w:color="auto" w:sz="4" w:space="0"/>
              <w:left w:val="single" w:color="000000" w:sz="4" w:space="0"/>
              <w:bottom w:val="single" w:color="auto" w:sz="4" w:space="0"/>
              <w:right w:val="single" w:color="000000" w:sz="4" w:space="0"/>
            </w:tcBorders>
            <w:noWrap w:val="0"/>
            <w:vAlign w:val="center"/>
          </w:tcPr>
          <w:p w14:paraId="0B51084E">
            <w:pPr>
              <w:keepNext w:val="0"/>
              <w:keepLines w:val="0"/>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p>
        </w:tc>
        <w:tc>
          <w:tcPr>
            <w:tcW w:w="1211" w:type="dxa"/>
            <w:tcBorders>
              <w:top w:val="single" w:color="auto" w:sz="4" w:space="0"/>
              <w:left w:val="single" w:color="000000" w:sz="4" w:space="0"/>
              <w:bottom w:val="single" w:color="auto" w:sz="4" w:space="0"/>
              <w:right w:val="single" w:color="000000" w:sz="4" w:space="0"/>
            </w:tcBorders>
            <w:noWrap w:val="0"/>
            <w:vAlign w:val="center"/>
          </w:tcPr>
          <w:p w14:paraId="1DE17931">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14:paraId="00C04EB8">
        <w:tblPrEx>
          <w:tblCellMar>
            <w:top w:w="15" w:type="dxa"/>
            <w:left w:w="15" w:type="dxa"/>
            <w:bottom w:w="15" w:type="dxa"/>
            <w:right w:w="15" w:type="dxa"/>
          </w:tblCellMar>
        </w:tblPrEx>
        <w:trPr>
          <w:trHeight w:val="772" w:hRule="atLeast"/>
        </w:trPr>
        <w:tc>
          <w:tcPr>
            <w:tcW w:w="896" w:type="dxa"/>
            <w:tcBorders>
              <w:top w:val="single" w:color="auto" w:sz="4" w:space="0"/>
              <w:left w:val="single" w:color="000000" w:sz="4" w:space="0"/>
              <w:bottom w:val="single" w:color="auto" w:sz="4" w:space="0"/>
              <w:right w:val="single" w:color="000000" w:sz="4" w:space="0"/>
            </w:tcBorders>
            <w:noWrap w:val="0"/>
            <w:vAlign w:val="center"/>
          </w:tcPr>
          <w:p w14:paraId="61FB9BC4">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1777" w:type="dxa"/>
            <w:tcBorders>
              <w:top w:val="single" w:color="auto" w:sz="4" w:space="0"/>
              <w:left w:val="single" w:color="000000" w:sz="4" w:space="0"/>
              <w:bottom w:val="single" w:color="auto" w:sz="4" w:space="0"/>
              <w:right w:val="single" w:color="000000" w:sz="4" w:space="0"/>
            </w:tcBorders>
            <w:noWrap w:val="0"/>
            <w:vAlign w:val="center"/>
          </w:tcPr>
          <w:p w14:paraId="44860D3C">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p>
        </w:tc>
        <w:tc>
          <w:tcPr>
            <w:tcW w:w="3266" w:type="dxa"/>
            <w:tcBorders>
              <w:top w:val="single" w:color="auto" w:sz="4" w:space="0"/>
              <w:left w:val="single" w:color="000000" w:sz="4" w:space="0"/>
              <w:bottom w:val="single" w:color="auto" w:sz="4" w:space="0"/>
              <w:right w:val="single" w:color="000000" w:sz="4" w:space="0"/>
            </w:tcBorders>
            <w:noWrap w:val="0"/>
            <w:vAlign w:val="center"/>
          </w:tcPr>
          <w:p w14:paraId="6B34265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c>
          <w:tcPr>
            <w:tcW w:w="2548" w:type="dxa"/>
            <w:tcBorders>
              <w:top w:val="single" w:color="auto" w:sz="4" w:space="0"/>
              <w:left w:val="single" w:color="000000" w:sz="4" w:space="0"/>
              <w:bottom w:val="single" w:color="auto" w:sz="4" w:space="0"/>
              <w:right w:val="single" w:color="000000" w:sz="4" w:space="0"/>
            </w:tcBorders>
            <w:noWrap w:val="0"/>
            <w:vAlign w:val="center"/>
          </w:tcPr>
          <w:p w14:paraId="2F328EA3">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p>
        </w:tc>
        <w:tc>
          <w:tcPr>
            <w:tcW w:w="1211" w:type="dxa"/>
            <w:tcBorders>
              <w:top w:val="single" w:color="auto" w:sz="4" w:space="0"/>
              <w:left w:val="single" w:color="000000" w:sz="4" w:space="0"/>
              <w:bottom w:val="single" w:color="auto" w:sz="4" w:space="0"/>
              <w:right w:val="single" w:color="000000" w:sz="4" w:space="0"/>
            </w:tcBorders>
            <w:noWrap w:val="0"/>
            <w:vAlign w:val="center"/>
          </w:tcPr>
          <w:p w14:paraId="68D23B2C">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14:paraId="404ABE32">
        <w:tblPrEx>
          <w:tblCellMar>
            <w:top w:w="15" w:type="dxa"/>
            <w:left w:w="15" w:type="dxa"/>
            <w:bottom w:w="15" w:type="dxa"/>
            <w:right w:w="15" w:type="dxa"/>
          </w:tblCellMar>
        </w:tblPrEx>
        <w:trPr>
          <w:trHeight w:val="782" w:hRule="atLeast"/>
        </w:trPr>
        <w:tc>
          <w:tcPr>
            <w:tcW w:w="896" w:type="dxa"/>
            <w:tcBorders>
              <w:top w:val="single" w:color="auto" w:sz="4" w:space="0"/>
              <w:left w:val="single" w:color="000000" w:sz="4" w:space="0"/>
              <w:bottom w:val="single" w:color="auto" w:sz="4" w:space="0"/>
              <w:right w:val="single" w:color="000000" w:sz="4" w:space="0"/>
            </w:tcBorders>
            <w:noWrap w:val="0"/>
            <w:vAlign w:val="center"/>
          </w:tcPr>
          <w:p w14:paraId="2ACFF5B8">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1777" w:type="dxa"/>
            <w:tcBorders>
              <w:top w:val="single" w:color="auto" w:sz="4" w:space="0"/>
              <w:left w:val="single" w:color="000000" w:sz="4" w:space="0"/>
              <w:bottom w:val="single" w:color="auto" w:sz="4" w:space="0"/>
              <w:right w:val="single" w:color="000000" w:sz="4" w:space="0"/>
            </w:tcBorders>
            <w:noWrap w:val="0"/>
            <w:vAlign w:val="center"/>
          </w:tcPr>
          <w:p w14:paraId="017638F0">
            <w:pPr>
              <w:keepNext w:val="0"/>
              <w:keepLines w:val="0"/>
              <w:suppressLineNumbers w:val="0"/>
              <w:spacing w:before="0" w:beforeAutospacing="0" w:after="0" w:afterAutospacing="0"/>
              <w:ind w:left="0" w:right="0"/>
              <w:jc w:val="center"/>
              <w:textAlignment w:val="center"/>
              <w:rPr>
                <w:rFonts w:hint="eastAsia" w:ascii="宋体" w:hAnsi="宋体" w:cs="宋体"/>
                <w:color w:val="auto"/>
                <w:szCs w:val="21"/>
                <w:highlight w:val="none"/>
                <w:lang w:eastAsia="zh-CN"/>
              </w:rPr>
            </w:pPr>
          </w:p>
        </w:tc>
        <w:tc>
          <w:tcPr>
            <w:tcW w:w="3266" w:type="dxa"/>
            <w:tcBorders>
              <w:top w:val="single" w:color="auto" w:sz="4" w:space="0"/>
              <w:left w:val="single" w:color="000000" w:sz="4" w:space="0"/>
              <w:bottom w:val="single" w:color="auto" w:sz="4" w:space="0"/>
              <w:right w:val="single" w:color="000000" w:sz="4" w:space="0"/>
            </w:tcBorders>
            <w:noWrap w:val="0"/>
            <w:vAlign w:val="center"/>
          </w:tcPr>
          <w:p w14:paraId="6BEB14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c>
          <w:tcPr>
            <w:tcW w:w="2548" w:type="dxa"/>
            <w:tcBorders>
              <w:top w:val="single" w:color="auto" w:sz="4" w:space="0"/>
              <w:left w:val="single" w:color="000000" w:sz="4" w:space="0"/>
              <w:bottom w:val="single" w:color="auto" w:sz="4" w:space="0"/>
              <w:right w:val="single" w:color="000000" w:sz="4" w:space="0"/>
            </w:tcBorders>
            <w:noWrap w:val="0"/>
            <w:vAlign w:val="center"/>
          </w:tcPr>
          <w:p w14:paraId="1F0DCCAA">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p>
        </w:tc>
        <w:tc>
          <w:tcPr>
            <w:tcW w:w="1211" w:type="dxa"/>
            <w:tcBorders>
              <w:top w:val="single" w:color="auto" w:sz="4" w:space="0"/>
              <w:left w:val="single" w:color="000000" w:sz="4" w:space="0"/>
              <w:bottom w:val="single" w:color="auto" w:sz="4" w:space="0"/>
              <w:right w:val="single" w:color="000000" w:sz="4" w:space="0"/>
            </w:tcBorders>
            <w:noWrap w:val="0"/>
            <w:vAlign w:val="center"/>
          </w:tcPr>
          <w:p w14:paraId="0C960044">
            <w:pPr>
              <w:keepNext w:val="0"/>
              <w:keepLines w:val="0"/>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bl>
    <w:p w14:paraId="6FC64526">
      <w:pPr>
        <w:pStyle w:val="41"/>
        <w:widowControl w:val="0"/>
        <w:spacing w:before="0" w:beforeAutospacing="0" w:after="0" w:afterAutospacing="0" w:line="360" w:lineRule="auto"/>
        <w:jc w:val="both"/>
        <w:rPr>
          <w:rFonts w:hint="eastAsia" w:ascii="宋体" w:hAnsi="宋体" w:eastAsia="宋体" w:cs="宋体"/>
          <w:color w:val="auto"/>
          <w:sz w:val="21"/>
          <w:szCs w:val="21"/>
          <w:highlight w:val="none"/>
        </w:rPr>
      </w:pPr>
    </w:p>
    <w:p w14:paraId="548B6A3D">
      <w:pPr>
        <w:pStyle w:val="41"/>
        <w:widowControl w:val="0"/>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本表计算结果与开标一览表不一致的，以开标一览表为准，并相应修改本表中的投标</w:t>
      </w:r>
      <w:r>
        <w:rPr>
          <w:rFonts w:hint="eastAsia" w:cs="宋体"/>
          <w:color w:val="auto"/>
          <w:sz w:val="21"/>
          <w:szCs w:val="21"/>
          <w:highlight w:val="none"/>
          <w:lang w:eastAsia="zh-CN"/>
        </w:rPr>
        <w:t>报价</w:t>
      </w:r>
      <w:r>
        <w:rPr>
          <w:rFonts w:hint="eastAsia" w:ascii="宋体" w:hAnsi="宋体" w:eastAsia="宋体" w:cs="宋体"/>
          <w:color w:val="auto"/>
          <w:sz w:val="21"/>
          <w:szCs w:val="21"/>
          <w:highlight w:val="none"/>
        </w:rPr>
        <w:t>。</w:t>
      </w:r>
    </w:p>
    <w:p w14:paraId="1680FC8A">
      <w:pPr>
        <w:pStyle w:val="3"/>
        <w:snapToGrid w:val="0"/>
        <w:spacing w:line="240" w:lineRule="auto"/>
        <w:ind w:firstLine="806" w:firstLineChars="384"/>
        <w:jc w:val="left"/>
        <w:rPr>
          <w:b/>
          <w:color w:val="auto"/>
          <w:sz w:val="21"/>
          <w:szCs w:val="21"/>
          <w:highlight w:val="none"/>
        </w:rPr>
      </w:pPr>
      <w:r>
        <w:rPr>
          <w:color w:val="auto"/>
          <w:sz w:val="21"/>
          <w:szCs w:val="21"/>
          <w:highlight w:val="none"/>
        </w:rPr>
        <w:t xml:space="preserve">                   </w:t>
      </w:r>
    </w:p>
    <w:p w14:paraId="67C3E7D5">
      <w:pPr>
        <w:snapToGrid w:val="0"/>
        <w:spacing w:line="360" w:lineRule="auto"/>
        <w:ind w:firstLine="2951" w:firstLineChars="1400"/>
        <w:rPr>
          <w:b/>
          <w:color w:val="auto"/>
          <w:szCs w:val="21"/>
          <w:highlight w:val="none"/>
        </w:rPr>
      </w:pPr>
    </w:p>
    <w:p w14:paraId="27E4FB65">
      <w:pPr>
        <w:widowControl/>
        <w:jc w:val="left"/>
        <w:rPr>
          <w:iCs/>
          <w:color w:val="auto"/>
          <w:szCs w:val="21"/>
          <w:highlight w:val="none"/>
        </w:rPr>
      </w:pPr>
      <w:r>
        <w:rPr>
          <w:color w:val="auto"/>
          <w:kern w:val="0"/>
          <w:szCs w:val="21"/>
          <w:highlight w:val="none"/>
        </w:rPr>
        <w:t xml:space="preserve">供应商盖章（公章）：  </w:t>
      </w:r>
      <w:r>
        <w:rPr>
          <w:iCs/>
          <w:color w:val="auto"/>
          <w:szCs w:val="21"/>
          <w:highlight w:val="none"/>
        </w:rPr>
        <w:t xml:space="preserve">                                </w:t>
      </w:r>
    </w:p>
    <w:p w14:paraId="4395FF69">
      <w:pPr>
        <w:widowControl/>
        <w:jc w:val="left"/>
        <w:rPr>
          <w:iCs/>
          <w:color w:val="auto"/>
          <w:szCs w:val="21"/>
          <w:highlight w:val="none"/>
        </w:rPr>
      </w:pPr>
    </w:p>
    <w:p w14:paraId="7EDAD95C">
      <w:pPr>
        <w:widowControl/>
        <w:jc w:val="left"/>
        <w:rPr>
          <w:rFonts w:hint="eastAsia"/>
          <w:iCs/>
          <w:color w:val="auto"/>
          <w:szCs w:val="21"/>
          <w:highlight w:val="none"/>
          <w:lang w:eastAsia="zh-CN"/>
        </w:rPr>
      </w:pPr>
      <w:r>
        <w:rPr>
          <w:color w:val="auto"/>
          <w:kern w:val="0"/>
          <w:szCs w:val="21"/>
          <w:highlight w:val="none"/>
        </w:rPr>
        <w:t>法定代表人或其授权代表</w:t>
      </w:r>
      <w:r>
        <w:rPr>
          <w:iCs/>
          <w:color w:val="auto"/>
          <w:szCs w:val="21"/>
          <w:highlight w:val="none"/>
        </w:rPr>
        <w:t>：（签字或盖章</w:t>
      </w:r>
      <w:r>
        <w:rPr>
          <w:rFonts w:hint="eastAsia"/>
          <w:iCs/>
          <w:color w:val="auto"/>
          <w:szCs w:val="21"/>
          <w:highlight w:val="none"/>
          <w:lang w:eastAsia="zh-CN"/>
        </w:rPr>
        <w:t>）</w:t>
      </w:r>
    </w:p>
    <w:p w14:paraId="611741BD">
      <w:pPr>
        <w:pStyle w:val="18"/>
        <w:rPr>
          <w:rFonts w:hint="eastAsia"/>
          <w:color w:val="auto"/>
          <w:highlight w:val="none"/>
        </w:rPr>
      </w:pPr>
    </w:p>
    <w:p w14:paraId="5CCD11F2">
      <w:pPr>
        <w:pStyle w:val="19"/>
        <w:rPr>
          <w:rFonts w:hint="eastAsia"/>
          <w:color w:val="auto"/>
          <w:highlight w:val="none"/>
        </w:rPr>
      </w:pPr>
    </w:p>
    <w:p w14:paraId="12F306CB">
      <w:pPr>
        <w:rPr>
          <w:rFonts w:hint="eastAsia"/>
          <w:color w:val="auto"/>
          <w:highlight w:val="none"/>
        </w:rPr>
      </w:pPr>
    </w:p>
    <w:p w14:paraId="75CB22F7">
      <w:pPr>
        <w:rPr>
          <w:rFonts w:hint="eastAsia"/>
          <w:color w:val="auto"/>
          <w:highlight w:val="none"/>
        </w:rPr>
      </w:pPr>
    </w:p>
    <w:p w14:paraId="43F57581">
      <w:pPr>
        <w:rPr>
          <w:rFonts w:hint="eastAsia"/>
          <w:color w:val="auto"/>
          <w:highlight w:val="none"/>
        </w:rPr>
      </w:pPr>
    </w:p>
    <w:p w14:paraId="1A3A133A">
      <w:pPr>
        <w:rPr>
          <w:rFonts w:hint="eastAsia"/>
          <w:color w:val="auto"/>
          <w:highlight w:val="none"/>
        </w:rPr>
      </w:pPr>
    </w:p>
    <w:p w14:paraId="6F64CEA9">
      <w:pPr>
        <w:rPr>
          <w:rFonts w:hint="eastAsia"/>
          <w:color w:val="auto"/>
          <w:highlight w:val="none"/>
        </w:rPr>
      </w:pPr>
    </w:p>
    <w:p w14:paraId="1D9136FC">
      <w:pPr>
        <w:rPr>
          <w:rFonts w:hint="eastAsia"/>
          <w:color w:val="auto"/>
          <w:highlight w:val="none"/>
        </w:rPr>
      </w:pPr>
    </w:p>
    <w:p w14:paraId="4C19CDD0">
      <w:pPr>
        <w:pStyle w:val="24"/>
        <w:rPr>
          <w:rFonts w:hint="eastAsia"/>
          <w:color w:val="auto"/>
          <w:highlight w:val="none"/>
        </w:rPr>
      </w:pPr>
    </w:p>
    <w:p w14:paraId="7B7E73B1">
      <w:pPr>
        <w:pStyle w:val="24"/>
        <w:rPr>
          <w:rFonts w:hint="eastAsia"/>
          <w:color w:val="auto"/>
          <w:highlight w:val="none"/>
        </w:rPr>
      </w:pPr>
    </w:p>
    <w:p w14:paraId="48415144">
      <w:pPr>
        <w:rPr>
          <w:rFonts w:hint="eastAsia"/>
          <w:color w:val="auto"/>
          <w:highlight w:val="none"/>
        </w:rPr>
      </w:pPr>
    </w:p>
    <w:p w14:paraId="2A77742A">
      <w:pPr>
        <w:rPr>
          <w:rFonts w:hint="eastAsia"/>
          <w:color w:val="auto"/>
          <w:highlight w:val="none"/>
        </w:rPr>
      </w:pPr>
    </w:p>
    <w:p w14:paraId="0C9CBFDC">
      <w:pPr>
        <w:rPr>
          <w:rFonts w:hint="eastAsia"/>
          <w:color w:val="auto"/>
          <w:highlight w:val="none"/>
        </w:rPr>
      </w:pPr>
    </w:p>
    <w:p w14:paraId="1128A63A">
      <w:pPr>
        <w:pStyle w:val="3"/>
        <w:spacing w:line="400" w:lineRule="exact"/>
        <w:ind w:left="0" w:leftChars="0" w:firstLine="0" w:firstLineChars="0"/>
        <w:rPr>
          <w:rFonts w:hint="eastAsia" w:ascii="宋体" w:hAnsi="宋体" w:cs="宋体"/>
          <w:color w:val="auto"/>
          <w:szCs w:val="21"/>
          <w:highlight w:val="none"/>
        </w:rPr>
      </w:pPr>
      <w:r>
        <w:rPr>
          <w:rFonts w:hint="eastAsia" w:ascii="宋体" w:hAnsi="宋体" w:eastAsia="宋体" w:cs="宋体"/>
          <w:color w:val="auto"/>
          <w:sz w:val="21"/>
          <w:szCs w:val="21"/>
          <w:highlight w:val="none"/>
        </w:rPr>
        <w:t xml:space="preserve">              </w:t>
      </w:r>
    </w:p>
    <w:p w14:paraId="255D38E4">
      <w:pPr>
        <w:pStyle w:val="18"/>
        <w:rPr>
          <w:rFonts w:hint="eastAsia" w:ascii="宋体" w:hAnsi="宋体"/>
          <w:color w:val="auto"/>
          <w:szCs w:val="21"/>
          <w:highlight w:val="none"/>
        </w:rPr>
      </w:pPr>
    </w:p>
    <w:p w14:paraId="571CD5FF">
      <w:pPr>
        <w:spacing w:line="440" w:lineRule="exact"/>
        <w:jc w:val="left"/>
        <w:rPr>
          <w:rFonts w:hint="eastAsia" w:ascii="宋体" w:hAnsi="宋体" w:eastAsia="宋体" w:cs="宋体"/>
          <w:b/>
          <w:color w:val="auto"/>
          <w:spacing w:val="-2"/>
          <w:sz w:val="24"/>
          <w:szCs w:val="21"/>
          <w:highlight w:val="none"/>
          <w:lang w:eastAsia="zh-CN" w:bidi="ar"/>
        </w:rPr>
      </w:pPr>
      <w:r>
        <w:rPr>
          <w:rFonts w:hint="eastAsia" w:ascii="宋体" w:hAnsi="宋体" w:cs="宋体"/>
          <w:b/>
          <w:color w:val="auto"/>
          <w:spacing w:val="-2"/>
          <w:sz w:val="24"/>
          <w:szCs w:val="21"/>
          <w:highlight w:val="none"/>
          <w:lang w:eastAsia="zh-CN" w:bidi="ar"/>
        </w:rPr>
        <w:t>附件</w:t>
      </w:r>
    </w:p>
    <w:p w14:paraId="39EEB93D">
      <w:pPr>
        <w:spacing w:line="440" w:lineRule="exact"/>
        <w:jc w:val="center"/>
        <w:rPr>
          <w:rFonts w:hint="eastAsia" w:ascii="宋体" w:hAnsi="宋体"/>
          <w:b/>
          <w:color w:val="auto"/>
          <w:szCs w:val="21"/>
          <w:highlight w:val="none"/>
        </w:rPr>
      </w:pPr>
      <w:r>
        <w:rPr>
          <w:rFonts w:hint="eastAsia" w:ascii="宋体" w:hAnsi="宋体"/>
          <w:b/>
          <w:color w:val="auto"/>
          <w:highlight w:val="none"/>
        </w:rPr>
        <w:t>中小企业声明函（工程、服务）</w:t>
      </w:r>
    </w:p>
    <w:p w14:paraId="22316679">
      <w:pPr>
        <w:spacing w:line="400" w:lineRule="exact"/>
        <w:rPr>
          <w:rFonts w:ascii="宋体" w:hAnsi="宋体"/>
          <w:b/>
          <w:color w:val="auto"/>
          <w:szCs w:val="21"/>
          <w:highlight w:val="none"/>
        </w:rPr>
      </w:pPr>
    </w:p>
    <w:p w14:paraId="1CC5E89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lang w:eastAsia="zh-CN"/>
        </w:rPr>
        <w:t>慈溪市周巷镇人民政府</w:t>
      </w:r>
      <w:r>
        <w:rPr>
          <w:rFonts w:hint="eastAsia" w:ascii="宋体" w:hAnsi="宋体" w:cs="宋体"/>
          <w:color w:val="auto"/>
          <w:highlight w:val="none"/>
        </w:rPr>
        <w:t>（单位名称）的</w:t>
      </w:r>
      <w:r>
        <w:rPr>
          <w:rFonts w:hint="eastAsia" w:ascii="宋体" w:hAnsi="宋体" w:cs="宋体"/>
          <w:color w:val="auto"/>
          <w:highlight w:val="none"/>
          <w:u w:val="single"/>
          <w:lang w:eastAsia="zh-CN"/>
        </w:rPr>
        <w:t>周巷镇“乡村振兴”保险服务采购项目</w:t>
      </w:r>
      <w:r>
        <w:rPr>
          <w:rFonts w:hint="eastAsia" w:ascii="宋体" w:hAnsi="宋体" w:cs="宋体"/>
          <w:color w:val="auto"/>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5B115AB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lang w:eastAsia="zh-CN"/>
        </w:rPr>
        <w:t>周巷镇“乡村振兴”保险服务采购项目</w:t>
      </w:r>
      <w:r>
        <w:rPr>
          <w:rFonts w:hint="eastAsia" w:ascii="宋体" w:hAnsi="宋体" w:cs="宋体"/>
          <w:color w:val="auto"/>
          <w:highlight w:val="none"/>
        </w:rPr>
        <w:t>（标项名称），属于</w:t>
      </w:r>
      <w:r>
        <w:rPr>
          <w:rFonts w:hint="eastAsia" w:ascii="宋体" w:hAnsi="宋体" w:cs="宋体"/>
          <w:color w:val="auto"/>
          <w:highlight w:val="none"/>
          <w:u w:val="single"/>
          <w:lang w:val="en-US" w:eastAsia="zh-CN"/>
        </w:rPr>
        <w:t xml:space="preserve"> 其他未列明行业 </w:t>
      </w:r>
      <w:r>
        <w:rPr>
          <w:rFonts w:hint="eastAsia" w:ascii="宋体" w:hAnsi="宋体"/>
          <w:color w:val="auto"/>
          <w:szCs w:val="21"/>
          <w:highlight w:val="none"/>
        </w:rPr>
        <w:t>行业</w:t>
      </w:r>
      <w:r>
        <w:rPr>
          <w:rFonts w:hint="eastAsia" w:ascii="宋体" w:hAnsi="宋体" w:cs="宋体"/>
          <w:color w:val="auto"/>
          <w:highlight w:val="none"/>
        </w:rPr>
        <w:t xml:space="preserve">；承建（承接）企业为_____________________________（企业名称），从业人员____人，营业收入为____万元，资产总额为____万元，属于____企业（中型企业、小型企业、微型企业）。 </w:t>
      </w:r>
    </w:p>
    <w:p w14:paraId="14D42E8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ED4E7F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B100E83">
      <w:pPr>
        <w:spacing w:line="400" w:lineRule="exact"/>
        <w:ind w:firstLine="420" w:firstLineChars="200"/>
        <w:rPr>
          <w:rFonts w:hint="eastAsia" w:ascii="宋体" w:hAnsi="宋体" w:cs="宋体"/>
          <w:color w:val="auto"/>
          <w:highlight w:val="none"/>
        </w:rPr>
      </w:pPr>
    </w:p>
    <w:p w14:paraId="67956DB5">
      <w:pPr>
        <w:spacing w:line="400" w:lineRule="exact"/>
        <w:ind w:firstLine="420" w:firstLineChars="200"/>
        <w:rPr>
          <w:rFonts w:hint="eastAsia" w:ascii="宋体" w:hAnsi="宋体" w:cs="宋体"/>
          <w:color w:val="auto"/>
          <w:highlight w:val="none"/>
        </w:rPr>
      </w:pPr>
    </w:p>
    <w:p w14:paraId="26E6F675">
      <w:pPr>
        <w:spacing w:line="400" w:lineRule="exact"/>
        <w:rPr>
          <w:rFonts w:hint="eastAsia" w:ascii="宋体" w:hAnsi="宋体" w:cs="宋体"/>
          <w:color w:val="auto"/>
          <w:highlight w:val="none"/>
        </w:rPr>
      </w:pPr>
      <w:r>
        <w:rPr>
          <w:rFonts w:hint="eastAsia" w:ascii="宋体" w:hAnsi="宋体" w:cs="宋体"/>
          <w:color w:val="auto"/>
          <w:highlight w:val="none"/>
        </w:rPr>
        <w:t>注：从业人员、营业收入、资产总额填报上一年度数据，无上一年度数据的新成立企业可不填报。</w:t>
      </w:r>
    </w:p>
    <w:p w14:paraId="3EB9202B">
      <w:pPr>
        <w:spacing w:line="400" w:lineRule="exact"/>
        <w:ind w:firstLine="420" w:firstLineChars="200"/>
        <w:rPr>
          <w:rFonts w:hint="eastAsia" w:ascii="宋体" w:hAnsi="宋体" w:cs="宋体"/>
          <w:color w:val="auto"/>
          <w:highlight w:val="none"/>
        </w:rPr>
      </w:pPr>
    </w:p>
    <w:p w14:paraId="23F65DD9">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06E08D65">
      <w:pPr>
        <w:spacing w:line="400" w:lineRule="atLeast"/>
        <w:jc w:val="lef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F7A1E1F">
      <w:pPr>
        <w:jc w:val="center"/>
        <w:rPr>
          <w:rFonts w:hint="eastAsia" w:ascii="宋体" w:hAnsi="宋体" w:cs="宋体"/>
          <w:b/>
          <w:color w:val="auto"/>
          <w:spacing w:val="-2"/>
          <w:sz w:val="24"/>
          <w:szCs w:val="21"/>
          <w:highlight w:val="none"/>
          <w:lang w:bidi="ar"/>
        </w:rPr>
      </w:pPr>
    </w:p>
    <w:p w14:paraId="116E3DBB">
      <w:pPr>
        <w:spacing w:line="400" w:lineRule="exact"/>
        <w:rPr>
          <w:rStyle w:val="118"/>
          <w:rFonts w:hint="eastAsia" w:ascii="宋体" w:hAnsi="宋体" w:cs="宋体"/>
          <w:color w:val="auto"/>
          <w:sz w:val="21"/>
          <w:szCs w:val="21"/>
          <w:highlight w:val="none"/>
        </w:rPr>
      </w:pPr>
    </w:p>
    <w:p w14:paraId="28C7DC98">
      <w:pPr>
        <w:spacing w:line="400" w:lineRule="exact"/>
        <w:rPr>
          <w:rStyle w:val="118"/>
          <w:rFonts w:hint="eastAsia" w:ascii="宋体" w:hAnsi="宋体" w:cs="宋体"/>
          <w:color w:val="auto"/>
          <w:sz w:val="21"/>
          <w:szCs w:val="21"/>
          <w:highlight w:val="none"/>
        </w:rPr>
      </w:pPr>
    </w:p>
    <w:p w14:paraId="09654502">
      <w:pPr>
        <w:spacing w:line="400" w:lineRule="exact"/>
        <w:rPr>
          <w:rStyle w:val="118"/>
          <w:rFonts w:hint="eastAsia" w:ascii="宋体" w:hAnsi="宋体" w:cs="宋体"/>
          <w:color w:val="auto"/>
          <w:sz w:val="21"/>
          <w:szCs w:val="21"/>
          <w:highlight w:val="none"/>
        </w:rPr>
      </w:pPr>
    </w:p>
    <w:p w14:paraId="712C1FB3">
      <w:pPr>
        <w:spacing w:line="400" w:lineRule="exact"/>
        <w:rPr>
          <w:rStyle w:val="118"/>
          <w:rFonts w:hint="eastAsia" w:ascii="宋体" w:hAnsi="宋体" w:cs="宋体"/>
          <w:color w:val="auto"/>
          <w:sz w:val="21"/>
          <w:szCs w:val="21"/>
          <w:highlight w:val="none"/>
        </w:rPr>
      </w:pPr>
    </w:p>
    <w:p w14:paraId="1F55DC29">
      <w:pPr>
        <w:spacing w:line="400" w:lineRule="exact"/>
        <w:rPr>
          <w:rStyle w:val="118"/>
          <w:rFonts w:hint="eastAsia" w:ascii="宋体" w:hAnsi="宋体" w:cs="宋体"/>
          <w:color w:val="auto"/>
          <w:sz w:val="21"/>
          <w:szCs w:val="21"/>
          <w:highlight w:val="none"/>
        </w:rPr>
      </w:pPr>
    </w:p>
    <w:p w14:paraId="4623200E">
      <w:pPr>
        <w:spacing w:line="400" w:lineRule="exact"/>
        <w:rPr>
          <w:rStyle w:val="118"/>
          <w:rFonts w:hint="eastAsia" w:ascii="宋体" w:hAnsi="宋体" w:cs="宋体"/>
          <w:color w:val="auto"/>
          <w:sz w:val="21"/>
          <w:szCs w:val="21"/>
          <w:highlight w:val="none"/>
        </w:rPr>
      </w:pPr>
    </w:p>
    <w:p w14:paraId="5271AD8A">
      <w:pPr>
        <w:spacing w:line="400" w:lineRule="exact"/>
        <w:rPr>
          <w:rStyle w:val="118"/>
          <w:rFonts w:hint="eastAsia" w:ascii="宋体" w:hAnsi="宋体" w:cs="宋体"/>
          <w:color w:val="auto"/>
          <w:sz w:val="21"/>
          <w:szCs w:val="21"/>
          <w:highlight w:val="none"/>
        </w:rPr>
      </w:pPr>
    </w:p>
    <w:p w14:paraId="23860916">
      <w:pPr>
        <w:spacing w:line="400" w:lineRule="exact"/>
        <w:rPr>
          <w:rStyle w:val="118"/>
          <w:rFonts w:hint="eastAsia" w:ascii="宋体" w:hAnsi="宋体" w:cs="宋体"/>
          <w:color w:val="auto"/>
          <w:sz w:val="21"/>
          <w:szCs w:val="21"/>
          <w:highlight w:val="none"/>
        </w:rPr>
      </w:pPr>
    </w:p>
    <w:p w14:paraId="6948D3C3">
      <w:pPr>
        <w:spacing w:line="400" w:lineRule="exact"/>
        <w:rPr>
          <w:rStyle w:val="118"/>
          <w:rFonts w:hint="eastAsia" w:ascii="宋体" w:hAnsi="宋体" w:cs="宋体"/>
          <w:color w:val="auto"/>
          <w:sz w:val="21"/>
          <w:szCs w:val="21"/>
          <w:highlight w:val="none"/>
        </w:rPr>
      </w:pPr>
    </w:p>
    <w:p w14:paraId="71196AA6">
      <w:pPr>
        <w:spacing w:line="400" w:lineRule="exact"/>
        <w:rPr>
          <w:rStyle w:val="118"/>
          <w:rFonts w:hint="eastAsia" w:ascii="宋体" w:hAnsi="宋体" w:cs="宋体"/>
          <w:color w:val="auto"/>
          <w:sz w:val="21"/>
          <w:szCs w:val="21"/>
          <w:highlight w:val="none"/>
        </w:rPr>
      </w:pPr>
    </w:p>
    <w:p w14:paraId="3042D9B9">
      <w:pPr>
        <w:spacing w:line="400" w:lineRule="exact"/>
        <w:rPr>
          <w:rStyle w:val="118"/>
          <w:rFonts w:hint="eastAsia" w:ascii="宋体" w:hAnsi="宋体" w:cs="宋体"/>
          <w:color w:val="auto"/>
          <w:sz w:val="21"/>
          <w:szCs w:val="21"/>
          <w:highlight w:val="none"/>
        </w:rPr>
      </w:pPr>
    </w:p>
    <w:p w14:paraId="4A2828E6">
      <w:pPr>
        <w:spacing w:line="400" w:lineRule="exact"/>
        <w:rPr>
          <w:rStyle w:val="118"/>
          <w:rFonts w:hint="eastAsia" w:ascii="宋体" w:hAnsi="宋体" w:cs="宋体"/>
          <w:color w:val="auto"/>
          <w:sz w:val="21"/>
          <w:szCs w:val="21"/>
          <w:highlight w:val="none"/>
        </w:rPr>
      </w:pPr>
    </w:p>
    <w:p w14:paraId="2DD04788">
      <w:pPr>
        <w:snapToGrid w:val="0"/>
        <w:spacing w:line="400" w:lineRule="exact"/>
        <w:rPr>
          <w:rFonts w:hint="eastAsia" w:ascii="宋体" w:hAnsi="宋体" w:cs="宋体"/>
          <w:b/>
          <w:color w:val="auto"/>
          <w:szCs w:val="21"/>
          <w:highlight w:val="none"/>
        </w:rPr>
      </w:pPr>
    </w:p>
    <w:p w14:paraId="12DC7F7D">
      <w:pPr>
        <w:pStyle w:val="2"/>
        <w:rPr>
          <w:rFonts w:hint="eastAsia" w:ascii="宋体" w:hAnsi="宋体" w:cs="宋体"/>
          <w:b/>
          <w:color w:val="auto"/>
          <w:szCs w:val="21"/>
          <w:highlight w:val="none"/>
        </w:rPr>
      </w:pPr>
    </w:p>
    <w:p w14:paraId="7972FD87">
      <w:pPr>
        <w:rPr>
          <w:rFonts w:hint="eastAsia"/>
          <w:color w:val="auto"/>
          <w:highlight w:val="none"/>
        </w:rPr>
      </w:pPr>
    </w:p>
    <w:p w14:paraId="34AB4500">
      <w:pPr>
        <w:snapToGrid w:val="0"/>
        <w:spacing w:line="40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p>
    <w:p w14:paraId="4587A97E">
      <w:pPr>
        <w:spacing w:line="588"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残疾人福利性单位声明函（如有需提供）</w:t>
      </w:r>
    </w:p>
    <w:p w14:paraId="0EA38A0E">
      <w:pPr>
        <w:spacing w:line="588"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A80FF4">
      <w:pPr>
        <w:spacing w:line="588"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681F981">
      <w:pPr>
        <w:spacing w:line="588" w:lineRule="exact"/>
        <w:ind w:firstLine="420" w:firstLineChars="200"/>
        <w:rPr>
          <w:rFonts w:hint="eastAsia" w:ascii="宋体" w:hAnsi="宋体" w:cs="宋体"/>
          <w:color w:val="auto"/>
          <w:szCs w:val="21"/>
          <w:highlight w:val="none"/>
        </w:rPr>
      </w:pPr>
    </w:p>
    <w:p w14:paraId="3BC27163">
      <w:pPr>
        <w:spacing w:line="588" w:lineRule="exact"/>
        <w:ind w:firstLine="420" w:firstLineChars="200"/>
        <w:rPr>
          <w:rFonts w:hint="eastAsia" w:ascii="宋体" w:hAnsi="宋体" w:cs="宋体"/>
          <w:color w:val="auto"/>
          <w:szCs w:val="21"/>
          <w:highlight w:val="none"/>
        </w:rPr>
      </w:pPr>
    </w:p>
    <w:p w14:paraId="08DC18D3">
      <w:pPr>
        <w:tabs>
          <w:tab w:val="left" w:pos="4860"/>
        </w:tabs>
        <w:spacing w:line="588" w:lineRule="exact"/>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单位名称（盖章）：</w:t>
      </w:r>
    </w:p>
    <w:p w14:paraId="1D78D350">
      <w:pPr>
        <w:tabs>
          <w:tab w:val="left" w:pos="4860"/>
        </w:tabs>
        <w:spacing w:line="588" w:lineRule="exact"/>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27539F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25123F9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享受政府采购支持政策的残疾人福利性单位应当同时满足以下条件：</w:t>
      </w:r>
    </w:p>
    <w:p w14:paraId="531336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（一）安置的残疾人占本单位在职职工人数的比例不低于25%（含25%），并且安置的残疾人人数不少于10人（含10人）；</w:t>
      </w:r>
    </w:p>
    <w:p w14:paraId="2B1F469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（二）依法与安置的每位残疾人签订了一年以上（含一年）的劳动合同或服务协议；</w:t>
      </w:r>
    </w:p>
    <w:p w14:paraId="4F7F474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（三）为安置的每位残疾人按月足额缴纳了基本养老保险、基本医疗保险、失业保险、工伤保险和生育保险等社会保险费；</w:t>
      </w:r>
    </w:p>
    <w:p w14:paraId="6752DDC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（四）通过银行等金融机构向安置的每位残疾人，按月支付了不低于单位所在区县适用的经省级人民政府批准的月最低工资标准的工资；</w:t>
      </w:r>
    </w:p>
    <w:p w14:paraId="7F412245">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1775771">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color w:val="auto"/>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218466">
      <w:pPr>
        <w:pStyle w:val="2"/>
        <w:rPr>
          <w:rStyle w:val="118"/>
          <w:rFonts w:hint="eastAsia" w:ascii="宋体" w:hAnsi="宋体" w:cs="宋体"/>
          <w:color w:val="auto"/>
          <w:sz w:val="21"/>
          <w:szCs w:val="21"/>
          <w:highlight w:val="none"/>
        </w:rPr>
      </w:pPr>
    </w:p>
    <w:p w14:paraId="328B8B97">
      <w:pPr>
        <w:pStyle w:val="2"/>
        <w:rPr>
          <w:rStyle w:val="118"/>
          <w:rFonts w:hint="eastAsia" w:ascii="宋体" w:hAnsi="宋体" w:cs="宋体"/>
          <w:color w:val="auto"/>
          <w:sz w:val="21"/>
          <w:szCs w:val="21"/>
          <w:highlight w:val="none"/>
        </w:rPr>
      </w:pPr>
    </w:p>
    <w:p w14:paraId="68B5B407">
      <w:pPr>
        <w:spacing w:line="440" w:lineRule="exact"/>
        <w:jc w:val="left"/>
        <w:rPr>
          <w:rFonts w:hint="eastAsia" w:ascii="宋体" w:hAnsi="宋体" w:cs="宋体"/>
          <w:b/>
          <w:color w:val="auto"/>
          <w:spacing w:val="-2"/>
          <w:sz w:val="24"/>
          <w:szCs w:val="21"/>
          <w:highlight w:val="none"/>
          <w:lang w:eastAsia="zh-CN" w:bidi="ar"/>
        </w:rPr>
      </w:pPr>
    </w:p>
    <w:p w14:paraId="26597C6B">
      <w:pPr>
        <w:pStyle w:val="18"/>
        <w:rPr>
          <w:rFonts w:hint="eastAsia" w:ascii="宋体" w:hAnsi="宋体"/>
          <w:color w:val="auto"/>
          <w:szCs w:val="21"/>
          <w:highlight w:val="none"/>
        </w:rPr>
        <w:sectPr>
          <w:headerReference r:id="rId13" w:type="default"/>
          <w:footerReference r:id="rId14" w:type="default"/>
          <w:pgSz w:w="11907" w:h="16840"/>
          <w:pgMar w:top="1077" w:right="1134" w:bottom="1077" w:left="1134" w:header="284" w:footer="992" w:gutter="0"/>
          <w:pgBorders>
            <w:top w:val="none" w:sz="0" w:space="0"/>
            <w:left w:val="none" w:sz="0" w:space="0"/>
            <w:bottom w:val="none" w:sz="0" w:space="0"/>
            <w:right w:val="none" w:sz="0" w:space="0"/>
          </w:pgBorders>
          <w:cols w:space="720" w:num="1"/>
          <w:docGrid w:linePitch="285" w:charSpace="0"/>
        </w:sectPr>
      </w:pPr>
    </w:p>
    <w:p w14:paraId="59AEF7F0">
      <w:pPr>
        <w:spacing w:line="400" w:lineRule="exact"/>
        <w:jc w:val="left"/>
        <w:outlineLvl w:val="0"/>
        <w:rPr>
          <w:rStyle w:val="118"/>
          <w:rFonts w:hint="eastAsia" w:ascii="宋体" w:hAnsi="宋体" w:cs="仿宋_GB2312"/>
          <w:color w:val="auto"/>
          <w:sz w:val="30"/>
          <w:szCs w:val="30"/>
          <w:highlight w:val="none"/>
        </w:rPr>
      </w:pPr>
      <w:bookmarkStart w:id="85" w:name="_Toc3382"/>
      <w:bookmarkStart w:id="86" w:name="_Toc29719"/>
      <w:bookmarkStart w:id="87" w:name="_Toc18815"/>
      <w:bookmarkStart w:id="88" w:name="_Toc11554"/>
      <w:r>
        <w:rPr>
          <w:rStyle w:val="118"/>
          <w:rFonts w:hint="eastAsia" w:ascii="宋体" w:hAnsi="宋体" w:cs="仿宋_GB2312"/>
          <w:color w:val="auto"/>
          <w:sz w:val="30"/>
          <w:szCs w:val="30"/>
          <w:highlight w:val="none"/>
        </w:rPr>
        <w:t>附件</w:t>
      </w:r>
      <w:bookmarkEnd w:id="85"/>
      <w:bookmarkEnd w:id="86"/>
      <w:bookmarkEnd w:id="87"/>
      <w:bookmarkEnd w:id="88"/>
    </w:p>
    <w:tbl>
      <w:tblPr>
        <w:tblStyle w:val="46"/>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7CC581F3">
        <w:tblPrEx>
          <w:tblCellMar>
            <w:top w:w="0" w:type="dxa"/>
            <w:left w:w="108" w:type="dxa"/>
            <w:bottom w:w="0" w:type="dxa"/>
            <w:right w:w="108" w:type="dxa"/>
          </w:tblCellMar>
        </w:tblPrEx>
        <w:trPr>
          <w:trHeight w:val="420" w:hRule="atLeast"/>
        </w:trPr>
        <w:tc>
          <w:tcPr>
            <w:tcW w:w="14927" w:type="dxa"/>
            <w:gridSpan w:val="10"/>
            <w:tcBorders>
              <w:top w:val="nil"/>
              <w:left w:val="nil"/>
              <w:bottom w:val="nil"/>
              <w:right w:val="nil"/>
            </w:tcBorders>
            <w:noWrap w:val="0"/>
            <w:vAlign w:val="bottom"/>
          </w:tcPr>
          <w:p w14:paraId="3BB20C96">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highlight w:val="none"/>
              </w:rPr>
            </w:pPr>
            <w:r>
              <w:rPr>
                <w:rFonts w:hint="eastAsia" w:ascii="宋体" w:hAnsi="宋体" w:cs="宋体"/>
                <w:b/>
                <w:bCs/>
                <w:color w:val="auto"/>
                <w:kern w:val="0"/>
                <w:sz w:val="24"/>
                <w:szCs w:val="20"/>
                <w:highlight w:val="none"/>
              </w:rPr>
              <w:t>中小微行业划型标准规定（根据工信部联企业〔2011〕300号制定）</w:t>
            </w:r>
          </w:p>
        </w:tc>
      </w:tr>
      <w:tr w14:paraId="40CE3365">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631E9EA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5F71AB75">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14:paraId="0EDB767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3721618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微型企业</w:t>
            </w:r>
          </w:p>
        </w:tc>
      </w:tr>
      <w:tr w14:paraId="1317C13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0508D1F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4"/>
                <w:szCs w:val="20"/>
                <w:highlight w:val="none"/>
              </w:rPr>
            </w:pPr>
          </w:p>
        </w:tc>
        <w:tc>
          <w:tcPr>
            <w:tcW w:w="1498" w:type="dxa"/>
            <w:tcBorders>
              <w:top w:val="nil"/>
              <w:left w:val="nil"/>
              <w:bottom w:val="single" w:color="auto" w:sz="4" w:space="0"/>
              <w:right w:val="single" w:color="auto" w:sz="4" w:space="0"/>
            </w:tcBorders>
            <w:noWrap w:val="0"/>
            <w:vAlign w:val="bottom"/>
          </w:tcPr>
          <w:p w14:paraId="1A353D5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23EE593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p w14:paraId="5E5307F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660" w:type="dxa"/>
            <w:tcBorders>
              <w:top w:val="nil"/>
              <w:left w:val="nil"/>
              <w:bottom w:val="single" w:color="auto" w:sz="4" w:space="0"/>
              <w:right w:val="single" w:color="auto" w:sz="8" w:space="0"/>
            </w:tcBorders>
            <w:noWrap w:val="0"/>
            <w:vAlign w:val="bottom"/>
          </w:tcPr>
          <w:p w14:paraId="7C5FC4A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p w14:paraId="08284EF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240" w:type="dxa"/>
            <w:tcBorders>
              <w:top w:val="nil"/>
              <w:left w:val="nil"/>
              <w:bottom w:val="single" w:color="auto" w:sz="4" w:space="0"/>
              <w:right w:val="single" w:color="auto" w:sz="4" w:space="0"/>
            </w:tcBorders>
            <w:noWrap w:val="0"/>
            <w:vAlign w:val="bottom"/>
          </w:tcPr>
          <w:p w14:paraId="5664097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从业人员X（人）</w:t>
            </w:r>
          </w:p>
        </w:tc>
        <w:tc>
          <w:tcPr>
            <w:tcW w:w="1480" w:type="dxa"/>
            <w:tcBorders>
              <w:top w:val="nil"/>
              <w:left w:val="nil"/>
              <w:bottom w:val="single" w:color="auto" w:sz="4" w:space="0"/>
              <w:right w:val="single" w:color="auto" w:sz="4" w:space="0"/>
            </w:tcBorders>
            <w:noWrap w:val="0"/>
            <w:vAlign w:val="bottom"/>
          </w:tcPr>
          <w:p w14:paraId="3561CA7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p w14:paraId="0919EF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520" w:type="dxa"/>
            <w:tcBorders>
              <w:top w:val="nil"/>
              <w:left w:val="nil"/>
              <w:bottom w:val="single" w:color="auto" w:sz="4" w:space="0"/>
              <w:right w:val="single" w:color="auto" w:sz="8" w:space="0"/>
            </w:tcBorders>
            <w:noWrap w:val="0"/>
            <w:vAlign w:val="bottom"/>
          </w:tcPr>
          <w:p w14:paraId="62DC044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p w14:paraId="019BE82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285" w:type="dxa"/>
            <w:tcBorders>
              <w:top w:val="nil"/>
              <w:left w:val="nil"/>
              <w:bottom w:val="single" w:color="auto" w:sz="4" w:space="0"/>
              <w:right w:val="single" w:color="auto" w:sz="4" w:space="0"/>
            </w:tcBorders>
            <w:noWrap w:val="0"/>
            <w:vAlign w:val="bottom"/>
          </w:tcPr>
          <w:p w14:paraId="3141467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6D1A12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2A7F3C8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资产总额Z（万元）</w:t>
            </w:r>
          </w:p>
        </w:tc>
      </w:tr>
      <w:tr w14:paraId="0C63229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9C23C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5AB02E9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3" w:type="dxa"/>
            <w:tcBorders>
              <w:top w:val="nil"/>
              <w:left w:val="nil"/>
              <w:bottom w:val="single" w:color="auto" w:sz="4" w:space="0"/>
              <w:right w:val="single" w:color="auto" w:sz="4" w:space="0"/>
            </w:tcBorders>
            <w:noWrap w:val="0"/>
            <w:vAlign w:val="bottom"/>
          </w:tcPr>
          <w:p w14:paraId="7BC7F49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0A06102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5C52982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80" w:type="dxa"/>
            <w:tcBorders>
              <w:top w:val="nil"/>
              <w:left w:val="nil"/>
              <w:bottom w:val="single" w:color="auto" w:sz="4" w:space="0"/>
              <w:right w:val="single" w:color="auto" w:sz="4" w:space="0"/>
            </w:tcBorders>
            <w:noWrap w:val="0"/>
            <w:vAlign w:val="bottom"/>
          </w:tcPr>
          <w:p w14:paraId="05BFD07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73F8A43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63D4CA5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75" w:type="dxa"/>
            <w:tcBorders>
              <w:top w:val="nil"/>
              <w:left w:val="nil"/>
              <w:bottom w:val="single" w:color="auto" w:sz="4" w:space="0"/>
              <w:right w:val="single" w:color="auto" w:sz="4" w:space="0"/>
            </w:tcBorders>
            <w:noWrap w:val="0"/>
            <w:vAlign w:val="bottom"/>
          </w:tcPr>
          <w:p w14:paraId="56E24F6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14:paraId="4777212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41FF50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26F018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1A09C8C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2CF4ED1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1660" w:type="dxa"/>
            <w:tcBorders>
              <w:top w:val="nil"/>
              <w:left w:val="nil"/>
              <w:bottom w:val="single" w:color="auto" w:sz="4" w:space="0"/>
              <w:right w:val="single" w:color="auto" w:sz="8" w:space="0"/>
            </w:tcBorders>
            <w:noWrap w:val="0"/>
            <w:vAlign w:val="bottom"/>
          </w:tcPr>
          <w:p w14:paraId="3808F68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1C088EA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480" w:type="dxa"/>
            <w:tcBorders>
              <w:top w:val="nil"/>
              <w:left w:val="nil"/>
              <w:bottom w:val="single" w:color="auto" w:sz="4" w:space="0"/>
              <w:right w:val="single" w:color="auto" w:sz="4" w:space="0"/>
            </w:tcBorders>
            <w:noWrap w:val="0"/>
            <w:vAlign w:val="bottom"/>
          </w:tcPr>
          <w:p w14:paraId="61C5AA2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1520" w:type="dxa"/>
            <w:tcBorders>
              <w:top w:val="nil"/>
              <w:left w:val="nil"/>
              <w:bottom w:val="single" w:color="auto" w:sz="4" w:space="0"/>
              <w:right w:val="single" w:color="auto" w:sz="8" w:space="0"/>
            </w:tcBorders>
            <w:noWrap w:val="0"/>
            <w:vAlign w:val="bottom"/>
          </w:tcPr>
          <w:p w14:paraId="02C7312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372ABD2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616D6A3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14:paraId="6C08034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BF0761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81D124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7946089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3" w:type="dxa"/>
            <w:tcBorders>
              <w:top w:val="nil"/>
              <w:left w:val="nil"/>
              <w:bottom w:val="single" w:color="auto" w:sz="4" w:space="0"/>
              <w:right w:val="single" w:color="auto" w:sz="4" w:space="0"/>
            </w:tcBorders>
            <w:noWrap w:val="0"/>
            <w:vAlign w:val="bottom"/>
          </w:tcPr>
          <w:p w14:paraId="7D9F778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1660" w:type="dxa"/>
            <w:tcBorders>
              <w:top w:val="nil"/>
              <w:left w:val="nil"/>
              <w:bottom w:val="single" w:color="auto" w:sz="4" w:space="0"/>
              <w:right w:val="single" w:color="auto" w:sz="8" w:space="0"/>
            </w:tcBorders>
            <w:noWrap w:val="0"/>
            <w:vAlign w:val="bottom"/>
          </w:tcPr>
          <w:p w14:paraId="56DF120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1240" w:type="dxa"/>
            <w:tcBorders>
              <w:top w:val="nil"/>
              <w:left w:val="nil"/>
              <w:bottom w:val="single" w:color="auto" w:sz="4" w:space="0"/>
              <w:right w:val="single" w:color="auto" w:sz="4" w:space="0"/>
            </w:tcBorders>
            <w:noWrap w:val="0"/>
            <w:vAlign w:val="bottom"/>
          </w:tcPr>
          <w:p w14:paraId="183F5F0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80" w:type="dxa"/>
            <w:tcBorders>
              <w:top w:val="nil"/>
              <w:left w:val="nil"/>
              <w:bottom w:val="single" w:color="auto" w:sz="4" w:space="0"/>
              <w:right w:val="single" w:color="auto" w:sz="4" w:space="0"/>
            </w:tcBorders>
            <w:noWrap w:val="0"/>
            <w:vAlign w:val="bottom"/>
          </w:tcPr>
          <w:p w14:paraId="6958AC6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1520" w:type="dxa"/>
            <w:tcBorders>
              <w:top w:val="nil"/>
              <w:left w:val="nil"/>
              <w:bottom w:val="single" w:color="auto" w:sz="4" w:space="0"/>
              <w:right w:val="single" w:color="auto" w:sz="8" w:space="0"/>
            </w:tcBorders>
            <w:noWrap w:val="0"/>
            <w:vAlign w:val="bottom"/>
          </w:tcPr>
          <w:p w14:paraId="081B414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5BCADB8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75" w:type="dxa"/>
            <w:tcBorders>
              <w:top w:val="nil"/>
              <w:left w:val="nil"/>
              <w:bottom w:val="single" w:color="auto" w:sz="4" w:space="0"/>
              <w:right w:val="single" w:color="auto" w:sz="4" w:space="0"/>
            </w:tcBorders>
            <w:noWrap w:val="0"/>
            <w:vAlign w:val="bottom"/>
          </w:tcPr>
          <w:p w14:paraId="25BA9D3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14:paraId="284DE60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133E7B0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1FC018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3D18DB2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70E19FB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1660" w:type="dxa"/>
            <w:tcBorders>
              <w:top w:val="nil"/>
              <w:left w:val="nil"/>
              <w:bottom w:val="single" w:color="auto" w:sz="4" w:space="0"/>
              <w:right w:val="single" w:color="auto" w:sz="8" w:space="0"/>
            </w:tcBorders>
            <w:noWrap w:val="0"/>
            <w:vAlign w:val="bottom"/>
          </w:tcPr>
          <w:p w14:paraId="430A78C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7E9CF78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5≤X＜20</w:t>
            </w:r>
          </w:p>
        </w:tc>
        <w:tc>
          <w:tcPr>
            <w:tcW w:w="1480" w:type="dxa"/>
            <w:tcBorders>
              <w:top w:val="nil"/>
              <w:left w:val="nil"/>
              <w:bottom w:val="single" w:color="auto" w:sz="4" w:space="0"/>
              <w:right w:val="single" w:color="auto" w:sz="4" w:space="0"/>
            </w:tcBorders>
            <w:noWrap w:val="0"/>
            <w:vAlign w:val="bottom"/>
          </w:tcPr>
          <w:p w14:paraId="3E4BC6E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520" w:type="dxa"/>
            <w:tcBorders>
              <w:top w:val="nil"/>
              <w:left w:val="nil"/>
              <w:bottom w:val="single" w:color="auto" w:sz="4" w:space="0"/>
              <w:right w:val="single" w:color="auto" w:sz="8" w:space="0"/>
            </w:tcBorders>
            <w:noWrap w:val="0"/>
            <w:vAlign w:val="bottom"/>
          </w:tcPr>
          <w:p w14:paraId="41543FB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51B8035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c>
          <w:tcPr>
            <w:tcW w:w="1275" w:type="dxa"/>
            <w:tcBorders>
              <w:top w:val="nil"/>
              <w:left w:val="nil"/>
              <w:bottom w:val="single" w:color="auto" w:sz="4" w:space="0"/>
              <w:right w:val="single" w:color="auto" w:sz="4" w:space="0"/>
            </w:tcBorders>
            <w:noWrap w:val="0"/>
            <w:vAlign w:val="bottom"/>
          </w:tcPr>
          <w:p w14:paraId="48303CB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c>
          <w:tcPr>
            <w:tcW w:w="1221" w:type="dxa"/>
            <w:tcBorders>
              <w:top w:val="nil"/>
              <w:left w:val="nil"/>
              <w:bottom w:val="single" w:color="auto" w:sz="4" w:space="0"/>
              <w:right w:val="single" w:color="auto" w:sz="8" w:space="0"/>
            </w:tcBorders>
            <w:noWrap w:val="0"/>
            <w:vAlign w:val="bottom"/>
          </w:tcPr>
          <w:p w14:paraId="4E87DC4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8BE783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CFABF5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28796C8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696A74D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600609C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496F012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1480" w:type="dxa"/>
            <w:tcBorders>
              <w:top w:val="nil"/>
              <w:left w:val="nil"/>
              <w:bottom w:val="single" w:color="auto" w:sz="4" w:space="0"/>
              <w:right w:val="single" w:color="auto" w:sz="4" w:space="0"/>
            </w:tcBorders>
            <w:noWrap w:val="0"/>
            <w:vAlign w:val="bottom"/>
          </w:tcPr>
          <w:p w14:paraId="25CDC6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1520" w:type="dxa"/>
            <w:tcBorders>
              <w:top w:val="nil"/>
              <w:left w:val="nil"/>
              <w:bottom w:val="single" w:color="auto" w:sz="4" w:space="0"/>
              <w:right w:val="single" w:color="auto" w:sz="8" w:space="0"/>
            </w:tcBorders>
            <w:noWrap w:val="0"/>
            <w:vAlign w:val="bottom"/>
          </w:tcPr>
          <w:p w14:paraId="00E3920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22E125B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08408DB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22B7FE7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0B16CD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9C8961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279A237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50BC141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1660" w:type="dxa"/>
            <w:tcBorders>
              <w:top w:val="nil"/>
              <w:left w:val="nil"/>
              <w:bottom w:val="single" w:color="auto" w:sz="4" w:space="0"/>
              <w:right w:val="single" w:color="auto" w:sz="8" w:space="0"/>
            </w:tcBorders>
            <w:noWrap w:val="0"/>
            <w:vAlign w:val="bottom"/>
          </w:tcPr>
          <w:p w14:paraId="58BD2F5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2DAF2BC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480" w:type="dxa"/>
            <w:tcBorders>
              <w:top w:val="nil"/>
              <w:left w:val="nil"/>
              <w:bottom w:val="single" w:color="auto" w:sz="4" w:space="0"/>
              <w:right w:val="single" w:color="auto" w:sz="4" w:space="0"/>
            </w:tcBorders>
            <w:noWrap w:val="0"/>
            <w:vAlign w:val="bottom"/>
          </w:tcPr>
          <w:p w14:paraId="44EE7C1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1520" w:type="dxa"/>
            <w:tcBorders>
              <w:top w:val="nil"/>
              <w:left w:val="nil"/>
              <w:bottom w:val="single" w:color="auto" w:sz="4" w:space="0"/>
              <w:right w:val="single" w:color="auto" w:sz="8" w:space="0"/>
            </w:tcBorders>
            <w:noWrap w:val="0"/>
            <w:vAlign w:val="bottom"/>
          </w:tcPr>
          <w:p w14:paraId="383E9C4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13A3106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5630340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V＜200</w:t>
            </w:r>
          </w:p>
        </w:tc>
        <w:tc>
          <w:tcPr>
            <w:tcW w:w="1221" w:type="dxa"/>
            <w:tcBorders>
              <w:top w:val="nil"/>
              <w:left w:val="nil"/>
              <w:bottom w:val="single" w:color="auto" w:sz="4" w:space="0"/>
              <w:right w:val="single" w:color="auto" w:sz="8" w:space="0"/>
            </w:tcBorders>
            <w:noWrap w:val="0"/>
            <w:vAlign w:val="bottom"/>
          </w:tcPr>
          <w:p w14:paraId="58D7D96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E6456E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EC442A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33035E7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1763" w:type="dxa"/>
            <w:tcBorders>
              <w:top w:val="nil"/>
              <w:left w:val="nil"/>
              <w:bottom w:val="single" w:color="auto" w:sz="4" w:space="0"/>
              <w:right w:val="single" w:color="auto" w:sz="4" w:space="0"/>
            </w:tcBorders>
            <w:noWrap w:val="0"/>
            <w:vAlign w:val="bottom"/>
          </w:tcPr>
          <w:p w14:paraId="4188EA0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1660" w:type="dxa"/>
            <w:tcBorders>
              <w:top w:val="nil"/>
              <w:left w:val="nil"/>
              <w:bottom w:val="single" w:color="auto" w:sz="4" w:space="0"/>
              <w:right w:val="single" w:color="auto" w:sz="8" w:space="0"/>
            </w:tcBorders>
            <w:noWrap w:val="0"/>
            <w:vAlign w:val="bottom"/>
          </w:tcPr>
          <w:p w14:paraId="7C4F8CF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4480BBC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1480" w:type="dxa"/>
            <w:tcBorders>
              <w:top w:val="nil"/>
              <w:left w:val="nil"/>
              <w:bottom w:val="single" w:color="auto" w:sz="4" w:space="0"/>
              <w:right w:val="single" w:color="auto" w:sz="4" w:space="0"/>
            </w:tcBorders>
            <w:noWrap w:val="0"/>
            <w:vAlign w:val="bottom"/>
          </w:tcPr>
          <w:p w14:paraId="4A10133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538870F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164C7F7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2529170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6D3C70E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69B26B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6EBA62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13F357D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1658ED5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1660" w:type="dxa"/>
            <w:tcBorders>
              <w:top w:val="nil"/>
              <w:left w:val="nil"/>
              <w:bottom w:val="single" w:color="auto" w:sz="4" w:space="0"/>
              <w:right w:val="single" w:color="auto" w:sz="8" w:space="0"/>
            </w:tcBorders>
            <w:noWrap w:val="0"/>
            <w:vAlign w:val="bottom"/>
          </w:tcPr>
          <w:p w14:paraId="19380D5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2F8098E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1480" w:type="dxa"/>
            <w:tcBorders>
              <w:top w:val="nil"/>
              <w:left w:val="nil"/>
              <w:bottom w:val="single" w:color="auto" w:sz="4" w:space="0"/>
              <w:right w:val="single" w:color="auto" w:sz="4" w:space="0"/>
            </w:tcBorders>
            <w:noWrap w:val="0"/>
            <w:vAlign w:val="bottom"/>
          </w:tcPr>
          <w:p w14:paraId="01347EC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50528FF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312AC85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2F660B6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6E7A6C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7D6337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F2F53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6AC7754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19CB934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14:paraId="7069932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4D692C9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4" w:space="0"/>
              <w:right w:val="single" w:color="auto" w:sz="4" w:space="0"/>
            </w:tcBorders>
            <w:noWrap w:val="0"/>
            <w:vAlign w:val="bottom"/>
          </w:tcPr>
          <w:p w14:paraId="54C58E8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6D0AAA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5D96E71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3ECE18C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7A85C63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06C3A6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B6654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10、餐饮业</w:t>
            </w:r>
          </w:p>
        </w:tc>
        <w:tc>
          <w:tcPr>
            <w:tcW w:w="1498" w:type="dxa"/>
            <w:tcBorders>
              <w:top w:val="nil"/>
              <w:left w:val="nil"/>
              <w:bottom w:val="single" w:color="auto" w:sz="4" w:space="0"/>
              <w:right w:val="single" w:color="auto" w:sz="4" w:space="0"/>
            </w:tcBorders>
            <w:noWrap w:val="0"/>
            <w:vAlign w:val="bottom"/>
          </w:tcPr>
          <w:p w14:paraId="2F6C585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4C036F1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14:paraId="1F27C5F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440E846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4" w:space="0"/>
              <w:right w:val="single" w:color="auto" w:sz="4" w:space="0"/>
            </w:tcBorders>
            <w:noWrap w:val="0"/>
            <w:vAlign w:val="bottom"/>
          </w:tcPr>
          <w:p w14:paraId="4E7F48D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4244C07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5DF3869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2194388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V＜100</w:t>
            </w:r>
          </w:p>
        </w:tc>
        <w:tc>
          <w:tcPr>
            <w:tcW w:w="1221" w:type="dxa"/>
            <w:tcBorders>
              <w:top w:val="nil"/>
              <w:left w:val="nil"/>
              <w:bottom w:val="single" w:color="auto" w:sz="4" w:space="0"/>
              <w:right w:val="single" w:color="auto" w:sz="8" w:space="0"/>
            </w:tcBorders>
            <w:noWrap w:val="0"/>
            <w:vAlign w:val="bottom"/>
          </w:tcPr>
          <w:p w14:paraId="2B24C41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3C394C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A94132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092D050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1763" w:type="dxa"/>
            <w:tcBorders>
              <w:top w:val="nil"/>
              <w:left w:val="nil"/>
              <w:bottom w:val="single" w:color="auto" w:sz="4" w:space="0"/>
              <w:right w:val="single" w:color="auto" w:sz="4" w:space="0"/>
            </w:tcBorders>
            <w:noWrap w:val="0"/>
            <w:vAlign w:val="bottom"/>
          </w:tcPr>
          <w:p w14:paraId="08AF116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1660" w:type="dxa"/>
            <w:tcBorders>
              <w:top w:val="nil"/>
              <w:left w:val="nil"/>
              <w:bottom w:val="single" w:color="auto" w:sz="4" w:space="0"/>
              <w:right w:val="single" w:color="auto" w:sz="8" w:space="0"/>
            </w:tcBorders>
            <w:noWrap w:val="0"/>
            <w:vAlign w:val="bottom"/>
          </w:tcPr>
          <w:p w14:paraId="72D4A80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569C5D9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4" w:space="0"/>
              <w:right w:val="single" w:color="auto" w:sz="4" w:space="0"/>
            </w:tcBorders>
            <w:noWrap w:val="0"/>
            <w:vAlign w:val="bottom"/>
          </w:tcPr>
          <w:p w14:paraId="66A3D32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2A44FE1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1248EE0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345F5D1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6D3488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BAF7C6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F08898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2C5868D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2A75CAF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1660" w:type="dxa"/>
            <w:tcBorders>
              <w:top w:val="nil"/>
              <w:left w:val="nil"/>
              <w:bottom w:val="single" w:color="auto" w:sz="4" w:space="0"/>
              <w:right w:val="single" w:color="auto" w:sz="8" w:space="0"/>
            </w:tcBorders>
            <w:noWrap w:val="0"/>
            <w:vAlign w:val="bottom"/>
          </w:tcPr>
          <w:p w14:paraId="3336741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05215BF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4" w:space="0"/>
              <w:right w:val="single" w:color="auto" w:sz="4" w:space="0"/>
            </w:tcBorders>
            <w:noWrap w:val="0"/>
            <w:vAlign w:val="bottom"/>
          </w:tcPr>
          <w:p w14:paraId="225D2B5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517011E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53DFEA3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0B847B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14:paraId="69F6FBD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526BE5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583091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3FAAF1A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3" w:type="dxa"/>
            <w:tcBorders>
              <w:top w:val="nil"/>
              <w:left w:val="nil"/>
              <w:bottom w:val="single" w:color="auto" w:sz="4" w:space="0"/>
              <w:right w:val="single" w:color="auto" w:sz="4" w:space="0"/>
            </w:tcBorders>
            <w:noWrap w:val="0"/>
            <w:vAlign w:val="bottom"/>
          </w:tcPr>
          <w:p w14:paraId="08D98AB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1660" w:type="dxa"/>
            <w:tcBorders>
              <w:top w:val="nil"/>
              <w:left w:val="nil"/>
              <w:bottom w:val="single" w:color="auto" w:sz="4" w:space="0"/>
              <w:right w:val="single" w:color="auto" w:sz="8" w:space="0"/>
            </w:tcBorders>
            <w:noWrap w:val="0"/>
            <w:vAlign w:val="bottom"/>
          </w:tcPr>
          <w:p w14:paraId="770CFA5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1240" w:type="dxa"/>
            <w:tcBorders>
              <w:top w:val="nil"/>
              <w:left w:val="nil"/>
              <w:bottom w:val="single" w:color="auto" w:sz="4" w:space="0"/>
              <w:right w:val="single" w:color="auto" w:sz="4" w:space="0"/>
            </w:tcBorders>
            <w:noWrap w:val="0"/>
            <w:vAlign w:val="bottom"/>
          </w:tcPr>
          <w:p w14:paraId="6DD6130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80" w:type="dxa"/>
            <w:tcBorders>
              <w:top w:val="nil"/>
              <w:left w:val="nil"/>
              <w:bottom w:val="single" w:color="auto" w:sz="4" w:space="0"/>
              <w:right w:val="single" w:color="auto" w:sz="4" w:space="0"/>
            </w:tcBorders>
            <w:noWrap w:val="0"/>
            <w:vAlign w:val="bottom"/>
          </w:tcPr>
          <w:p w14:paraId="3E3A0C6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13B5B19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2000≤Z＜5000</w:t>
            </w:r>
          </w:p>
        </w:tc>
        <w:tc>
          <w:tcPr>
            <w:tcW w:w="1285" w:type="dxa"/>
            <w:tcBorders>
              <w:top w:val="nil"/>
              <w:left w:val="nil"/>
              <w:bottom w:val="single" w:color="auto" w:sz="4" w:space="0"/>
              <w:right w:val="single" w:color="auto" w:sz="4" w:space="0"/>
            </w:tcBorders>
            <w:noWrap w:val="0"/>
            <w:vAlign w:val="bottom"/>
          </w:tcPr>
          <w:p w14:paraId="13BD7AC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75" w:type="dxa"/>
            <w:tcBorders>
              <w:top w:val="nil"/>
              <w:left w:val="nil"/>
              <w:bottom w:val="single" w:color="auto" w:sz="4" w:space="0"/>
              <w:right w:val="single" w:color="auto" w:sz="4" w:space="0"/>
            </w:tcBorders>
            <w:noWrap w:val="0"/>
            <w:vAlign w:val="bottom"/>
          </w:tcPr>
          <w:p w14:paraId="42A3F2A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24674C8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Z＜2000</w:t>
            </w:r>
          </w:p>
        </w:tc>
      </w:tr>
      <w:tr w14:paraId="3EEA893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4E77B5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14、物业管理</w:t>
            </w:r>
          </w:p>
        </w:tc>
        <w:tc>
          <w:tcPr>
            <w:tcW w:w="1498" w:type="dxa"/>
            <w:tcBorders>
              <w:top w:val="nil"/>
              <w:left w:val="nil"/>
              <w:bottom w:val="single" w:color="auto" w:sz="4" w:space="0"/>
              <w:right w:val="single" w:color="auto" w:sz="4" w:space="0"/>
            </w:tcBorders>
            <w:noWrap w:val="0"/>
            <w:vAlign w:val="bottom"/>
          </w:tcPr>
          <w:p w14:paraId="21D9978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487C76F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1660" w:type="dxa"/>
            <w:tcBorders>
              <w:top w:val="nil"/>
              <w:left w:val="nil"/>
              <w:bottom w:val="single" w:color="auto" w:sz="4" w:space="0"/>
              <w:right w:val="single" w:color="auto" w:sz="8" w:space="0"/>
            </w:tcBorders>
            <w:noWrap w:val="0"/>
            <w:vAlign w:val="bottom"/>
          </w:tcPr>
          <w:p w14:paraId="686111E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4" w:space="0"/>
              <w:right w:val="single" w:color="auto" w:sz="4" w:space="0"/>
            </w:tcBorders>
            <w:noWrap w:val="0"/>
            <w:vAlign w:val="bottom"/>
          </w:tcPr>
          <w:p w14:paraId="2355B32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480" w:type="dxa"/>
            <w:tcBorders>
              <w:top w:val="nil"/>
              <w:left w:val="nil"/>
              <w:bottom w:val="single" w:color="auto" w:sz="4" w:space="0"/>
              <w:right w:val="single" w:color="auto" w:sz="4" w:space="0"/>
            </w:tcBorders>
            <w:noWrap w:val="0"/>
            <w:vAlign w:val="bottom"/>
          </w:tcPr>
          <w:p w14:paraId="2FE6849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1520" w:type="dxa"/>
            <w:tcBorders>
              <w:top w:val="nil"/>
              <w:left w:val="nil"/>
              <w:bottom w:val="single" w:color="auto" w:sz="4" w:space="0"/>
              <w:right w:val="single" w:color="auto" w:sz="8" w:space="0"/>
            </w:tcBorders>
            <w:noWrap w:val="0"/>
            <w:vAlign w:val="bottom"/>
          </w:tcPr>
          <w:p w14:paraId="3529498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4" w:space="0"/>
              <w:right w:val="single" w:color="auto" w:sz="4" w:space="0"/>
            </w:tcBorders>
            <w:noWrap w:val="0"/>
            <w:vAlign w:val="bottom"/>
          </w:tcPr>
          <w:p w14:paraId="7647F82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c>
          <w:tcPr>
            <w:tcW w:w="1275" w:type="dxa"/>
            <w:tcBorders>
              <w:top w:val="nil"/>
              <w:left w:val="nil"/>
              <w:bottom w:val="single" w:color="auto" w:sz="4" w:space="0"/>
              <w:right w:val="single" w:color="auto" w:sz="4" w:space="0"/>
            </w:tcBorders>
            <w:noWrap w:val="0"/>
            <w:vAlign w:val="bottom"/>
          </w:tcPr>
          <w:p w14:paraId="6B31AA5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c>
          <w:tcPr>
            <w:tcW w:w="1221" w:type="dxa"/>
            <w:tcBorders>
              <w:top w:val="nil"/>
              <w:left w:val="nil"/>
              <w:bottom w:val="single" w:color="auto" w:sz="4" w:space="0"/>
              <w:right w:val="single" w:color="auto" w:sz="8" w:space="0"/>
            </w:tcBorders>
            <w:noWrap w:val="0"/>
            <w:vAlign w:val="bottom"/>
          </w:tcPr>
          <w:p w14:paraId="6A4AC00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3E896E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A7217D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152DD90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7C4DDE0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60" w:type="dxa"/>
            <w:tcBorders>
              <w:top w:val="nil"/>
              <w:left w:val="nil"/>
              <w:bottom w:val="single" w:color="auto" w:sz="4" w:space="0"/>
              <w:right w:val="single" w:color="auto" w:sz="8" w:space="0"/>
            </w:tcBorders>
            <w:noWrap w:val="0"/>
            <w:vAlign w:val="bottom"/>
          </w:tcPr>
          <w:p w14:paraId="0AA5F80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1240" w:type="dxa"/>
            <w:tcBorders>
              <w:top w:val="nil"/>
              <w:left w:val="nil"/>
              <w:bottom w:val="single" w:color="auto" w:sz="4" w:space="0"/>
              <w:right w:val="single" w:color="auto" w:sz="4" w:space="0"/>
            </w:tcBorders>
            <w:noWrap w:val="0"/>
            <w:vAlign w:val="bottom"/>
          </w:tcPr>
          <w:p w14:paraId="7B4E231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4" w:space="0"/>
              <w:right w:val="single" w:color="auto" w:sz="4" w:space="0"/>
            </w:tcBorders>
            <w:noWrap w:val="0"/>
            <w:vAlign w:val="bottom"/>
          </w:tcPr>
          <w:p w14:paraId="11C83F4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20" w:type="dxa"/>
            <w:tcBorders>
              <w:top w:val="nil"/>
              <w:left w:val="nil"/>
              <w:bottom w:val="single" w:color="auto" w:sz="4" w:space="0"/>
              <w:right w:val="single" w:color="auto" w:sz="8" w:space="0"/>
            </w:tcBorders>
            <w:noWrap w:val="0"/>
            <w:vAlign w:val="bottom"/>
          </w:tcPr>
          <w:p w14:paraId="0E77246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2076802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4578F53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21" w:type="dxa"/>
            <w:tcBorders>
              <w:top w:val="nil"/>
              <w:left w:val="nil"/>
              <w:bottom w:val="single" w:color="auto" w:sz="4" w:space="0"/>
              <w:right w:val="single" w:color="auto" w:sz="8" w:space="0"/>
            </w:tcBorders>
            <w:noWrap w:val="0"/>
            <w:vAlign w:val="bottom"/>
          </w:tcPr>
          <w:p w14:paraId="1BB2BCD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Z＜100</w:t>
            </w:r>
          </w:p>
        </w:tc>
      </w:tr>
      <w:tr w14:paraId="135B4B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18688DE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242D71E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1763" w:type="dxa"/>
            <w:tcBorders>
              <w:top w:val="nil"/>
              <w:left w:val="nil"/>
              <w:bottom w:val="single" w:color="auto" w:sz="8" w:space="0"/>
              <w:right w:val="single" w:color="auto" w:sz="4" w:space="0"/>
            </w:tcBorders>
            <w:noWrap w:val="0"/>
            <w:vAlign w:val="bottom"/>
          </w:tcPr>
          <w:p w14:paraId="7997E60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60" w:type="dxa"/>
            <w:tcBorders>
              <w:top w:val="nil"/>
              <w:left w:val="nil"/>
              <w:bottom w:val="single" w:color="auto" w:sz="8" w:space="0"/>
              <w:right w:val="single" w:color="auto" w:sz="8" w:space="0"/>
            </w:tcBorders>
            <w:noWrap w:val="0"/>
            <w:vAlign w:val="bottom"/>
          </w:tcPr>
          <w:p w14:paraId="796A29E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40" w:type="dxa"/>
            <w:tcBorders>
              <w:top w:val="nil"/>
              <w:left w:val="nil"/>
              <w:bottom w:val="single" w:color="auto" w:sz="8" w:space="0"/>
              <w:right w:val="single" w:color="auto" w:sz="4" w:space="0"/>
            </w:tcBorders>
            <w:noWrap w:val="0"/>
            <w:vAlign w:val="bottom"/>
          </w:tcPr>
          <w:p w14:paraId="4A6600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1480" w:type="dxa"/>
            <w:tcBorders>
              <w:top w:val="nil"/>
              <w:left w:val="nil"/>
              <w:bottom w:val="single" w:color="auto" w:sz="8" w:space="0"/>
              <w:right w:val="single" w:color="auto" w:sz="4" w:space="0"/>
            </w:tcBorders>
            <w:noWrap w:val="0"/>
            <w:vAlign w:val="bottom"/>
          </w:tcPr>
          <w:p w14:paraId="08F688B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20" w:type="dxa"/>
            <w:tcBorders>
              <w:top w:val="nil"/>
              <w:left w:val="nil"/>
              <w:bottom w:val="single" w:color="auto" w:sz="8" w:space="0"/>
              <w:right w:val="single" w:color="auto" w:sz="8" w:space="0"/>
            </w:tcBorders>
            <w:noWrap w:val="0"/>
            <w:vAlign w:val="bottom"/>
          </w:tcPr>
          <w:p w14:paraId="75A4F14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5" w:type="dxa"/>
            <w:tcBorders>
              <w:top w:val="nil"/>
              <w:left w:val="nil"/>
              <w:bottom w:val="single" w:color="auto" w:sz="8" w:space="0"/>
              <w:right w:val="single" w:color="auto" w:sz="4" w:space="0"/>
            </w:tcBorders>
            <w:noWrap w:val="0"/>
            <w:vAlign w:val="bottom"/>
          </w:tcPr>
          <w:p w14:paraId="28B3269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c>
          <w:tcPr>
            <w:tcW w:w="1275" w:type="dxa"/>
            <w:tcBorders>
              <w:top w:val="nil"/>
              <w:left w:val="nil"/>
              <w:bottom w:val="single" w:color="auto" w:sz="8" w:space="0"/>
              <w:right w:val="single" w:color="auto" w:sz="4" w:space="0"/>
            </w:tcBorders>
            <w:noWrap w:val="0"/>
            <w:vAlign w:val="bottom"/>
          </w:tcPr>
          <w:p w14:paraId="481F1B9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21" w:type="dxa"/>
            <w:tcBorders>
              <w:top w:val="nil"/>
              <w:left w:val="nil"/>
              <w:bottom w:val="single" w:color="auto" w:sz="8" w:space="0"/>
              <w:right w:val="single" w:color="auto" w:sz="8" w:space="0"/>
            </w:tcBorders>
            <w:noWrap w:val="0"/>
            <w:vAlign w:val="bottom"/>
          </w:tcPr>
          <w:p w14:paraId="2ECCAD0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39140D0">
        <w:tblPrEx>
          <w:tblCellMar>
            <w:top w:w="0" w:type="dxa"/>
            <w:left w:w="108" w:type="dxa"/>
            <w:bottom w:w="0" w:type="dxa"/>
            <w:right w:w="108" w:type="dxa"/>
          </w:tblCellMar>
        </w:tblPrEx>
        <w:trPr>
          <w:trHeight w:val="285" w:hRule="atLeast"/>
        </w:trPr>
        <w:tc>
          <w:tcPr>
            <w:tcW w:w="14927" w:type="dxa"/>
            <w:gridSpan w:val="10"/>
            <w:tcBorders>
              <w:top w:val="nil"/>
              <w:left w:val="nil"/>
              <w:bottom w:val="nil"/>
              <w:right w:val="nil"/>
            </w:tcBorders>
            <w:noWrap w:val="0"/>
            <w:vAlign w:val="bottom"/>
          </w:tcPr>
          <w:p w14:paraId="1092D99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说明　1、企业类型的划分以统计部门的统计数据为依据。</w:t>
            </w:r>
          </w:p>
          <w:p w14:paraId="11D8EE0A">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2、个体工商户和本规定以外的行业，参照本规定进行划型。</w:t>
            </w:r>
          </w:p>
          <w:p w14:paraId="4CF5DEDB">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3、本规定的中型企业标准上限即为大型企业标准的下限。</w:t>
            </w:r>
          </w:p>
        </w:tc>
      </w:tr>
    </w:tbl>
    <w:p w14:paraId="50558C6F">
      <w:pPr>
        <w:pStyle w:val="18"/>
        <w:rPr>
          <w:rFonts w:hint="eastAsia" w:ascii="宋体" w:hAnsi="宋体"/>
          <w:color w:val="auto"/>
          <w:szCs w:val="21"/>
          <w:highlight w:val="none"/>
        </w:rPr>
      </w:pPr>
    </w:p>
    <w:sectPr>
      <w:pgSz w:w="16840" w:h="11907" w:orient="landscape"/>
      <w:pgMar w:top="1080" w:right="1440" w:bottom="1080" w:left="1440" w:header="284" w:footer="990" w:gutter="0"/>
      <w:pgBorders>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D59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14:paraId="576F44C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988C">
    <w:pPr>
      <w:pStyle w:val="2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C3A5">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229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59A7308">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0">
                      <a:spAutoFit/>
                    </wps:bodyPr>
                  </wps:wsp>
                </a:graphicData>
              </a:graphic>
            </wp:anchor>
          </w:drawing>
        </mc:Choice>
        <mc:Fallback>
          <w:pict>
            <v:shape id="文本框 122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rkEs2gEAAKUDAAAOAAAAZHJzL2Uyb0RvYy54bWytU0tu2zAQ&#10;3RfoHQjua1mO3SSC5aCBkSBA0RZIewCaIi0C/IFDW/IF0ht01U33PZfP0SElO0W6yaIbajifN/Me&#10;R8ub3miyFwGUszUtJ1NKhOWuUXZb029f795dUQKR2YZpZ0VNDwLozertm2XnKzFzrdONCARBLFSd&#10;r2kbo6+KAngrDIOJ88JiULpgWMRr2BZNYB2iG13MptP3RedC44PjAgC96yFIR8TwGkAnpeJi7fjO&#10;CBsH1CA0i0gJWuWBrvK0UgoeP0sJIhJdU2Qa84lN0N6ks1gtWbUNzLeKjyOw14zwgpNhymLTM9Sa&#10;RUZ2Qf0DZRQPDpyME+5MMRDJiiCLcvpCm8eWeZG5oNTgz6LD/4Pln/ZfAlENbgIllhl88OOP78ef&#10;v4+/nkg5m11fJok6DxVmPnrMjf2t61P66Ad0Jua9DCZ9kRPBOAp8OAss+kh4Kirn1xcLSjiGyoty&#10;Pl8klOK52AeI98IZkoyaBny/LCvbf4Q4pJ5SUi/r7pTW6GeVtqRD0MXV5SJXnEOIri02SRyGWZMV&#10;+00/Eti45oC8OlyCmlrceUr0g0WN076cjHAyNidj54PatnmhUn/wH3YRx8lTpg4D7NgYXy/zHDct&#10;rcff95z1/He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DMeA1AAAAAMBAAAPAAAAAAAAAAEA&#10;IAAAACIAAABkcnMvZG93bnJldi54bWxQSwECFAAUAAAACACHTuJAbq5BLNoBAAClAwAADgAAAAAA&#10;AAABACAAAAAjAQAAZHJzL2Uyb0RvYy54bWxQSwUGAAAAAAYABgBZAQAAbwUAAAAA&#10;">
              <v:fill on="f" focussize="0,0"/>
              <v:stroke on="f" weight="1.25pt"/>
              <v:imagedata o:title=""/>
              <o:lock v:ext="edit" aspectratio="f"/>
              <v:textbox inset="0mm,0mm,0mm,0mm" style="mso-fit-shape-to-text:t;">
                <w:txbxContent>
                  <w:p w14:paraId="759A7308">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4988">
    <w:pPr>
      <w:pStyle w:val="29"/>
      <w:tabs>
        <w:tab w:val="center" w:pos="4819"/>
        <w:tab w:val="clear" w:pos="4153"/>
      </w:tabs>
      <w:jc w:val="both"/>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EA6E92">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1CEA6E92">
                    <w:pPr>
                      <w:pStyle w:val="29"/>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DB230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6CDB2302"/>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2840990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C856FF"/>
                      </w:txbxContent>
                    </wps:txbx>
                    <wps:bodyPr wrap="none" lIns="0" tIns="0" rIns="0" bIns="0" upright="0">
                      <a:spAutoFit/>
                    </wps:bodyPr>
                  </wps:wsp>
                </a:graphicData>
              </a:graphic>
            </wp:anchor>
          </w:drawing>
        </mc:Choice>
        <mc:Fallback>
          <w:pict>
            <v:shape id="_x0000_s1026" o:spid="_x0000_s1026" o:spt="202" type="#_x0000_t202" style="position:absolute;left:0pt;margin-left:223.7pt;margin-top:-0.75pt;height:144pt;width:144pt;mso-position-horizontal-relative:margin;mso-wrap-style:none;z-index:251661312;mso-width-relative:page;mso-height-relative:page;" filled="f" stroked="f" coordsize="21600,21600" o:gfxdata="UEsDBAoAAAAAAIdO4kAAAAAAAAAAAAAAAAAEAAAAZHJzL1BLAwQUAAAACACHTuJAeRYurdcAAAAK&#10;AQAADwAAAGRycy9kb3ducmV2LnhtbE2PsU7DMBCGdyTewTokttZJSZooxOlQiYWNgpDY3PgaR9jn&#10;yHbT5O0xE4x39+m/728PizVsRh9GRwLybQYMqXdqpEHAx/vLpgYWoiQljSMUsGKAQ3d/18pGuRu9&#10;4XyKA0shFBopQMc4NZyHXqOVYesmpHS7OG9lTKMfuPLylsKt4bss23MrR0oftJzwqLH/Pl2tgGr5&#10;dDgFPOLXZe69HtfavK5CPD7k2TOwiEv8g+FXP6lDl5zO7koqMCOgKKoioQI2eQksAdVTmRZnAbt6&#10;XwLvWv6/QvcDUEsDBBQAAAAIAIdO4kDVmsBLzQEAAKcDAAAOAAAAZHJzL2Uyb0RvYy54bWytU0tu&#10;2zAQ3RfoHQjuaykGUhiC5SCFkaJA0RZIewCaGlkE+AOHtuQLtDfoqpvuey6fo0NKctJ0k0U21Pz4&#10;Zt7jaH0zGM2OEFA5W/OrRckZWOkaZfc1//b17s2KM4zCNkI7CzU/AfKbzetX695XsHSd0w0ERiAW&#10;q97XvIvRV0WBsgMjcOE8WEq2LhgRyQ37ogmiJ3Sji2VZvi16FxofnAREim7HJJ8Qw3MAXdsqCVsn&#10;DwZsHFEDaBGJEnbKI9/kadsWZPzctgiR6ZoT05hPakL2Lp3FZi2qfRC+U3IaQTxnhCecjFCWml6g&#10;tiIKdgjqPyijZHDo2riQzhQjkawIsbgqn2hz3wkPmQtJjf4iOr4crPx0/BKYamp+zZkVhh78/PPH&#10;+def8+/v7DrJ03usqOreU10c3rmBlmaOIwUT66ENJn2JD6M8iXu6iAtDZDJdWi1Xq5JSknKzQ/jF&#10;w3UfML4HZ1gyah7o9bKo4vgR41g6l6Ru1t0prfMLavtPgDDHCOQVmG4nJuPEyYrDbpjo7VxzInY9&#10;rUHNLW09Z/qDJZXTxsxGmI3dbBx8UPsur1Tqjv72EGmkPGnqMMISw+TQ+2Wu066lBXns56qH/2v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kWLq3XAAAACgEAAA8AAAAAAAAAAQAgAAAAIgAAAGRy&#10;cy9kb3ducmV2LnhtbFBLAQIUABQAAAAIAIdO4kDVmsBLzQEAAKcDAAAOAAAAAAAAAAEAIAAAACYB&#10;AABkcnMvZTJvRG9jLnhtbFBLBQYAAAAABgAGAFkBAABlBQAAAAA=&#10;">
              <v:fill on="f" focussize="0,0"/>
              <v:stroke on="f"/>
              <v:imagedata o:title=""/>
              <o:lock v:ext="edit" aspectratio="f"/>
              <v:textbox inset="0mm,0mm,0mm,0mm" style="mso-fit-shape-to-text:t;">
                <w:txbxContent>
                  <w:p w14:paraId="3FC856FF"/>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84B46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7E84B467"/>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65D9">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8EF68">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文本框 1229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K4xc0BAACdAwAADgAAAGRycy9lMm9Eb2MueG1srVPNjtMwEL4j8Q6W&#10;79RpkFA3aroCVbtaCS1ICw/gOk5jyX/yuE36AssbcOLCnefqczB2ki4slz1wccYz42/m+2ayvh6M&#10;JkcZQDlb0+WioERa4Rpl9zX9+uXmzYoSiNw2XDsra3qSQK83r1+te1/J0nVONzIQBLFQ9b6mXYy+&#10;YgxEJw2HhfPSYrB1wfCI17BnTeA9ohvNyqJ4x3oXGh+ckADo3Y5BOiGGlwC6tlVCbp04GGnjiBqk&#10;5hEpQac80E3utm2liJ/aFmQkuqbINOYTi6C9SyfbrHm1D9x3Skwt8Je08IyT4cpi0QvUlkdODkH9&#10;A2WUCA5cGxfCGTYSyYogi2XxTJuHjnuZuaDU4C+iw/+DFffHz4GopqZvKbHc4MDP37+df/w6/3wk&#10;y7K8ukoS9R4qzHzwmBuHD27AxZn9gM7EfGiDSV/kRDCOAp8uAsshEpEercrVqsCQwNh8QXz29NwH&#10;iLfSGZKMmgacYBaWHz9CHFPnlFTNuhuldZ6itn85EDN5WOp97DFZcdgNE6Gda07Ip8fh19TirlOi&#10;7yxqm/ZkNsJs7Gbj4IPad3mRUj3w7w8Rm8i9pQoj7FQYp5bZTRuW1uLPe856+qs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K4xc0BAACdAwAADgAAAAAAAAABACAAAAAeAQAAZHJzL2Uy&#10;b0RvYy54bWxQSwUGAAAAAAYABgBZAQAAXQUAAAAA&#10;">
              <v:fill on="f" focussize="0,0"/>
              <v:stroke on="f"/>
              <v:imagedata o:title=""/>
              <o:lock v:ext="edit" aspectratio="f"/>
              <v:textbox inset="0mm,0mm,0mm,0mm" style="mso-fit-shape-to-text:t;">
                <w:txbxContent>
                  <w:p w14:paraId="4148EF68">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4BA9EF9A">
    <w:pPr>
      <w:rPr>
        <w:rFonts w:hint="eastAsia"/>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0E26">
    <w:pPr>
      <w:pStyle w:val="2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229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49BCC7B4">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文本框 1229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4uPsF2gEAAKUDAAAOAAAAZHJzL2Uyb0RvYy54bWytU82O0zAQ&#10;viPxDpbvNE22hW7UdAWqFiEhQFp4ANdxGkv+k8dt0heAN+DEhTvP1efYsZN00e5lD3txxp6Zb+b7&#10;ZrK+6bUiR+FBWlPRfDanRBhua2n2Ff3x/fbNihIIzNRMWSMqehJAbzavX607V4rCtlbVwhMEMVB2&#10;rqJtCK7MMuCt0Axm1gmDzsZ6zQJe/T6rPesQXausmM/fZp31tfOWCwB83Q5OOiL65wDappFcbC0/&#10;aGHCgOqFYgEpQSsd0E3qtmkED1+bBkQgqqLINKQTi6C9i2e2WbNy75lrJR9bYM9p4REnzaTBoheo&#10;LQuMHLx8AqUl9xZsE2bc6mwgkhRBFvn8kTZ3LXMicUGpwV1Eh5eD5V+O3zyRdUULSgzTOPDz71/n&#10;P//Of3+SvCiuV1GizkGJkXcOY0P/wfa4ONM74GNk3jdexy9yIuhHgU8XgUUfCI9J+eL6akkJR1d+&#10;lS8Wy4iSPSQ7D+GjsJpEo6Ie55dkZcfPEIbQKSTWMvZWKpVmqAzpEHS5erdMGRcXoiuDRSKHoddo&#10;hX7Xj8R2tj4hrw6XoKIGd54S9cmgxnFfJsNPxm4yDs7LfZsWKrYC7v0hYDupy1hhgB0L4/QSz3HT&#10;4nr8f09RD3/X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DMeA1AAAAAMBAAAPAAAAAAAAAAEA&#10;IAAAACIAAABkcnMvZG93bnJldi54bWxQSwECFAAUAAAACACHTuJAeLj7BdoBAAClAwAADgAAAAAA&#10;AAABACAAAAAjAQAAZHJzL2Uyb0RvYy54bWxQSwUGAAAAAAYABgBZAQAAbwUAAAAA&#10;">
              <v:fill on="f" focussize="0,0"/>
              <v:stroke on="f" weight="1.25pt"/>
              <v:imagedata o:title=""/>
              <o:lock v:ext="edit" aspectratio="f"/>
              <v:textbox inset="0mm,0mm,0mm,0mm" style="mso-fit-shape-to-text:t;">
                <w:txbxContent>
                  <w:p w14:paraId="49BCC7B4">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CC44">
    <w:pPr>
      <w:pStyle w:val="30"/>
      <w:pBdr>
        <w:bottom w:val="none" w:color="auto" w:sz="0" w:space="0"/>
      </w:pBdr>
      <w:jc w:val="both"/>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EC6D">
    <w:pPr>
      <w:pStyle w:val="30"/>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378B">
    <w:pPr>
      <w:pStyle w:val="30"/>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0A62">
    <w:pPr>
      <w:pStyle w:val="30"/>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A9">
    <w:pPr>
      <w:pStyle w:val="30"/>
      <w:pBdr>
        <w:bottom w:val="none" w:color="auto" w:sz="0" w:space="0"/>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5BC7">
    <w:pPr>
      <w:pStyle w:val="3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41075"/>
    <w:multiLevelType w:val="singleLevel"/>
    <w:tmpl w:val="B4841075"/>
    <w:lvl w:ilvl="0" w:tentative="0">
      <w:start w:val="4"/>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6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2">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3">
    <w:nsid w:val="0000000C"/>
    <w:multiLevelType w:val="singleLevel"/>
    <w:tmpl w:val="0000000C"/>
    <w:lvl w:ilvl="0" w:tentative="0">
      <w:start w:val="1"/>
      <w:numFmt w:val="decimal"/>
      <w:pStyle w:val="173"/>
      <w:lvlText w:val="(%1)"/>
      <w:lvlJc w:val="left"/>
      <w:pPr>
        <w:tabs>
          <w:tab w:val="left" w:pos="700"/>
        </w:tabs>
        <w:ind w:left="0" w:firstLine="340"/>
      </w:pPr>
      <w:rPr>
        <w:rFonts w:hint="eastAsia"/>
      </w:rPr>
    </w:lvl>
  </w:abstractNum>
  <w:abstractNum w:abstractNumId="4">
    <w:nsid w:val="0000000D"/>
    <w:multiLevelType w:val="multilevel"/>
    <w:tmpl w:val="0000000D"/>
    <w:lvl w:ilvl="0" w:tentative="0">
      <w:start w:val="5"/>
      <w:numFmt w:val="decimal"/>
      <w:pStyle w:val="169"/>
      <w:lvlText w:val="（%1）"/>
      <w:lvlJc w:val="left"/>
      <w:pPr>
        <w:tabs>
          <w:tab w:val="left" w:pos="1200"/>
        </w:tabs>
        <w:ind w:left="1200" w:hanging="720"/>
      </w:pPr>
      <w:rPr>
        <w:rFonts w:hint="default" w:ascii="宋体" w:eastAsia="宋体"/>
      </w:rPr>
    </w:lvl>
    <w:lvl w:ilvl="1" w:tentative="0">
      <w:start w:val="1"/>
      <w:numFmt w:val="lowerLetter"/>
      <w:pStyle w:val="141"/>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70A0D25"/>
    <w:multiLevelType w:val="singleLevel"/>
    <w:tmpl w:val="570A0D25"/>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3,4,5,6,7,8,9,10,11,12,13,1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zYzMjI5MTZkNzc2MDM3YjA5M2I3MmViYTQ4MTMifQ=="/>
    <w:docVar w:name="KSO_WPS_MARK_KEY" w:val="9d124b84-9daf-4893-a81d-383ccc095489"/>
  </w:docVars>
  <w:rsids>
    <w:rsidRoot w:val="00172A27"/>
    <w:rsid w:val="00002041"/>
    <w:rsid w:val="0000281B"/>
    <w:rsid w:val="0001198E"/>
    <w:rsid w:val="00012282"/>
    <w:rsid w:val="00014306"/>
    <w:rsid w:val="00014B21"/>
    <w:rsid w:val="00015B4F"/>
    <w:rsid w:val="0002015D"/>
    <w:rsid w:val="000207B5"/>
    <w:rsid w:val="00020916"/>
    <w:rsid w:val="00021546"/>
    <w:rsid w:val="00021E9D"/>
    <w:rsid w:val="000221FC"/>
    <w:rsid w:val="000223B5"/>
    <w:rsid w:val="00022F17"/>
    <w:rsid w:val="000240E1"/>
    <w:rsid w:val="00030FEB"/>
    <w:rsid w:val="0003313E"/>
    <w:rsid w:val="000343D6"/>
    <w:rsid w:val="000351AC"/>
    <w:rsid w:val="00036A88"/>
    <w:rsid w:val="00036EF8"/>
    <w:rsid w:val="000521C2"/>
    <w:rsid w:val="0005449F"/>
    <w:rsid w:val="00054D4E"/>
    <w:rsid w:val="00056F8B"/>
    <w:rsid w:val="000621FF"/>
    <w:rsid w:val="00070BF5"/>
    <w:rsid w:val="00071B3E"/>
    <w:rsid w:val="0007519E"/>
    <w:rsid w:val="00075EEA"/>
    <w:rsid w:val="00077B60"/>
    <w:rsid w:val="00085000"/>
    <w:rsid w:val="0009056C"/>
    <w:rsid w:val="000915E5"/>
    <w:rsid w:val="0009208A"/>
    <w:rsid w:val="000928A1"/>
    <w:rsid w:val="00093D10"/>
    <w:rsid w:val="000954C9"/>
    <w:rsid w:val="000A0CB8"/>
    <w:rsid w:val="000A4267"/>
    <w:rsid w:val="000A5914"/>
    <w:rsid w:val="000B07FC"/>
    <w:rsid w:val="000B3B94"/>
    <w:rsid w:val="000B4E5A"/>
    <w:rsid w:val="000B6396"/>
    <w:rsid w:val="000B7EBF"/>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5B3A"/>
    <w:rsid w:val="000F67AA"/>
    <w:rsid w:val="00101C62"/>
    <w:rsid w:val="001031A0"/>
    <w:rsid w:val="00110F5A"/>
    <w:rsid w:val="00111766"/>
    <w:rsid w:val="00111B68"/>
    <w:rsid w:val="00112F54"/>
    <w:rsid w:val="00116F92"/>
    <w:rsid w:val="00120543"/>
    <w:rsid w:val="00122B59"/>
    <w:rsid w:val="00122D43"/>
    <w:rsid w:val="00126C91"/>
    <w:rsid w:val="00127DA0"/>
    <w:rsid w:val="00127E8B"/>
    <w:rsid w:val="00127EF6"/>
    <w:rsid w:val="00127FD4"/>
    <w:rsid w:val="0013004E"/>
    <w:rsid w:val="00130076"/>
    <w:rsid w:val="00131035"/>
    <w:rsid w:val="00131556"/>
    <w:rsid w:val="00132F22"/>
    <w:rsid w:val="00133302"/>
    <w:rsid w:val="001353CC"/>
    <w:rsid w:val="00135491"/>
    <w:rsid w:val="0013598F"/>
    <w:rsid w:val="00137D4C"/>
    <w:rsid w:val="00140618"/>
    <w:rsid w:val="00140665"/>
    <w:rsid w:val="00140E23"/>
    <w:rsid w:val="00142212"/>
    <w:rsid w:val="00142775"/>
    <w:rsid w:val="001464DA"/>
    <w:rsid w:val="001472AA"/>
    <w:rsid w:val="00147B6D"/>
    <w:rsid w:val="00150CE3"/>
    <w:rsid w:val="00150DDD"/>
    <w:rsid w:val="00151C2C"/>
    <w:rsid w:val="001556EB"/>
    <w:rsid w:val="00160F4C"/>
    <w:rsid w:val="00161947"/>
    <w:rsid w:val="00167371"/>
    <w:rsid w:val="001703B1"/>
    <w:rsid w:val="00171219"/>
    <w:rsid w:val="00171A2B"/>
    <w:rsid w:val="00173E91"/>
    <w:rsid w:val="001748D5"/>
    <w:rsid w:val="00175E7B"/>
    <w:rsid w:val="00176DD9"/>
    <w:rsid w:val="00183DD9"/>
    <w:rsid w:val="00185B4A"/>
    <w:rsid w:val="00190070"/>
    <w:rsid w:val="00191453"/>
    <w:rsid w:val="00194048"/>
    <w:rsid w:val="00194833"/>
    <w:rsid w:val="00195303"/>
    <w:rsid w:val="00195F27"/>
    <w:rsid w:val="001A106F"/>
    <w:rsid w:val="001A21BF"/>
    <w:rsid w:val="001A4DAA"/>
    <w:rsid w:val="001B0CDB"/>
    <w:rsid w:val="001B295B"/>
    <w:rsid w:val="001B2CC2"/>
    <w:rsid w:val="001B4951"/>
    <w:rsid w:val="001B6629"/>
    <w:rsid w:val="001B67C8"/>
    <w:rsid w:val="001B736B"/>
    <w:rsid w:val="001B7C36"/>
    <w:rsid w:val="001C08F2"/>
    <w:rsid w:val="001C0C0C"/>
    <w:rsid w:val="001C2752"/>
    <w:rsid w:val="001C3A1F"/>
    <w:rsid w:val="001D0DE3"/>
    <w:rsid w:val="001D51EC"/>
    <w:rsid w:val="001D533F"/>
    <w:rsid w:val="001D5A63"/>
    <w:rsid w:val="001D7C78"/>
    <w:rsid w:val="001E07A4"/>
    <w:rsid w:val="001E278F"/>
    <w:rsid w:val="001E29DC"/>
    <w:rsid w:val="001E3842"/>
    <w:rsid w:val="001E5140"/>
    <w:rsid w:val="001F1439"/>
    <w:rsid w:val="001F4ECD"/>
    <w:rsid w:val="00200897"/>
    <w:rsid w:val="002015C0"/>
    <w:rsid w:val="00202333"/>
    <w:rsid w:val="002051F3"/>
    <w:rsid w:val="00206A68"/>
    <w:rsid w:val="00210552"/>
    <w:rsid w:val="00210D57"/>
    <w:rsid w:val="00211CAF"/>
    <w:rsid w:val="0021263F"/>
    <w:rsid w:val="00213A40"/>
    <w:rsid w:val="00215757"/>
    <w:rsid w:val="00216127"/>
    <w:rsid w:val="00222142"/>
    <w:rsid w:val="0022373A"/>
    <w:rsid w:val="002241AF"/>
    <w:rsid w:val="00226AF8"/>
    <w:rsid w:val="00226E47"/>
    <w:rsid w:val="002307EC"/>
    <w:rsid w:val="00232341"/>
    <w:rsid w:val="002360B1"/>
    <w:rsid w:val="002367F7"/>
    <w:rsid w:val="00242599"/>
    <w:rsid w:val="002428E7"/>
    <w:rsid w:val="00242AD7"/>
    <w:rsid w:val="0024708E"/>
    <w:rsid w:val="00250F06"/>
    <w:rsid w:val="00254A46"/>
    <w:rsid w:val="00256FC7"/>
    <w:rsid w:val="00266139"/>
    <w:rsid w:val="00267455"/>
    <w:rsid w:val="002720FE"/>
    <w:rsid w:val="00273B78"/>
    <w:rsid w:val="00274CD3"/>
    <w:rsid w:val="002760B7"/>
    <w:rsid w:val="00276B2A"/>
    <w:rsid w:val="00283DDE"/>
    <w:rsid w:val="002845EF"/>
    <w:rsid w:val="0028736D"/>
    <w:rsid w:val="0029012A"/>
    <w:rsid w:val="00292BA0"/>
    <w:rsid w:val="00296472"/>
    <w:rsid w:val="002967B4"/>
    <w:rsid w:val="002A1407"/>
    <w:rsid w:val="002A2136"/>
    <w:rsid w:val="002A27FA"/>
    <w:rsid w:val="002A4F69"/>
    <w:rsid w:val="002A52C8"/>
    <w:rsid w:val="002A74FF"/>
    <w:rsid w:val="002A7D29"/>
    <w:rsid w:val="002B0C0A"/>
    <w:rsid w:val="002B109F"/>
    <w:rsid w:val="002B195C"/>
    <w:rsid w:val="002B54EA"/>
    <w:rsid w:val="002B5B9F"/>
    <w:rsid w:val="002B6762"/>
    <w:rsid w:val="002C0AC6"/>
    <w:rsid w:val="002C1772"/>
    <w:rsid w:val="002C2C35"/>
    <w:rsid w:val="002C5EEF"/>
    <w:rsid w:val="002C6119"/>
    <w:rsid w:val="002D17A3"/>
    <w:rsid w:val="002D1956"/>
    <w:rsid w:val="002D1964"/>
    <w:rsid w:val="002D41B3"/>
    <w:rsid w:val="002D4BE1"/>
    <w:rsid w:val="002D4D18"/>
    <w:rsid w:val="002D523A"/>
    <w:rsid w:val="002D69A7"/>
    <w:rsid w:val="002D74C4"/>
    <w:rsid w:val="002E00FB"/>
    <w:rsid w:val="002F05C7"/>
    <w:rsid w:val="002F0AE3"/>
    <w:rsid w:val="002F0E06"/>
    <w:rsid w:val="002F18D6"/>
    <w:rsid w:val="002F1EBE"/>
    <w:rsid w:val="002F2EB5"/>
    <w:rsid w:val="002F4C4C"/>
    <w:rsid w:val="002F6C6B"/>
    <w:rsid w:val="002F7927"/>
    <w:rsid w:val="002F7DB3"/>
    <w:rsid w:val="00301C51"/>
    <w:rsid w:val="00302C94"/>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69F6"/>
    <w:rsid w:val="003371D3"/>
    <w:rsid w:val="00337B11"/>
    <w:rsid w:val="00337F31"/>
    <w:rsid w:val="003426F6"/>
    <w:rsid w:val="003519EF"/>
    <w:rsid w:val="00353BB9"/>
    <w:rsid w:val="00354D64"/>
    <w:rsid w:val="00354EED"/>
    <w:rsid w:val="00356A4C"/>
    <w:rsid w:val="00357FE3"/>
    <w:rsid w:val="0036012B"/>
    <w:rsid w:val="00361ABF"/>
    <w:rsid w:val="00362BEE"/>
    <w:rsid w:val="00363090"/>
    <w:rsid w:val="0036423F"/>
    <w:rsid w:val="0036539D"/>
    <w:rsid w:val="00365893"/>
    <w:rsid w:val="0037065F"/>
    <w:rsid w:val="00370D54"/>
    <w:rsid w:val="00375548"/>
    <w:rsid w:val="003759EE"/>
    <w:rsid w:val="00375B77"/>
    <w:rsid w:val="00375F51"/>
    <w:rsid w:val="0037630E"/>
    <w:rsid w:val="0038083E"/>
    <w:rsid w:val="00381359"/>
    <w:rsid w:val="003819FF"/>
    <w:rsid w:val="0038204D"/>
    <w:rsid w:val="003878B9"/>
    <w:rsid w:val="00390BFF"/>
    <w:rsid w:val="00391F38"/>
    <w:rsid w:val="003939F9"/>
    <w:rsid w:val="0039477D"/>
    <w:rsid w:val="00394943"/>
    <w:rsid w:val="00397EDE"/>
    <w:rsid w:val="003A1300"/>
    <w:rsid w:val="003A3771"/>
    <w:rsid w:val="003A38B9"/>
    <w:rsid w:val="003A4B34"/>
    <w:rsid w:val="003A4C6A"/>
    <w:rsid w:val="003A707F"/>
    <w:rsid w:val="003A7507"/>
    <w:rsid w:val="003A77B8"/>
    <w:rsid w:val="003B1369"/>
    <w:rsid w:val="003B3D81"/>
    <w:rsid w:val="003B4701"/>
    <w:rsid w:val="003B5AE4"/>
    <w:rsid w:val="003B7D85"/>
    <w:rsid w:val="003C1F08"/>
    <w:rsid w:val="003C4C84"/>
    <w:rsid w:val="003C59F1"/>
    <w:rsid w:val="003C6793"/>
    <w:rsid w:val="003C7D18"/>
    <w:rsid w:val="003D1469"/>
    <w:rsid w:val="003D1CF1"/>
    <w:rsid w:val="003D391D"/>
    <w:rsid w:val="003E233F"/>
    <w:rsid w:val="003E55EB"/>
    <w:rsid w:val="003E626F"/>
    <w:rsid w:val="003F2CA7"/>
    <w:rsid w:val="003F3527"/>
    <w:rsid w:val="00400697"/>
    <w:rsid w:val="00402577"/>
    <w:rsid w:val="0040775D"/>
    <w:rsid w:val="004159F2"/>
    <w:rsid w:val="00416872"/>
    <w:rsid w:val="00417D17"/>
    <w:rsid w:val="00417E7B"/>
    <w:rsid w:val="004213AE"/>
    <w:rsid w:val="0042216A"/>
    <w:rsid w:val="00425D1A"/>
    <w:rsid w:val="00435E96"/>
    <w:rsid w:val="0044071E"/>
    <w:rsid w:val="004415A2"/>
    <w:rsid w:val="0044228C"/>
    <w:rsid w:val="004466B1"/>
    <w:rsid w:val="0045000E"/>
    <w:rsid w:val="00456CFA"/>
    <w:rsid w:val="00463384"/>
    <w:rsid w:val="004710C3"/>
    <w:rsid w:val="00475EB6"/>
    <w:rsid w:val="00477CDE"/>
    <w:rsid w:val="00481B77"/>
    <w:rsid w:val="00481D95"/>
    <w:rsid w:val="00482190"/>
    <w:rsid w:val="004868E3"/>
    <w:rsid w:val="004868E4"/>
    <w:rsid w:val="00486D55"/>
    <w:rsid w:val="00491498"/>
    <w:rsid w:val="00491E83"/>
    <w:rsid w:val="0049342E"/>
    <w:rsid w:val="00496333"/>
    <w:rsid w:val="004977B9"/>
    <w:rsid w:val="004A462B"/>
    <w:rsid w:val="004A52FF"/>
    <w:rsid w:val="004A7882"/>
    <w:rsid w:val="004B05C7"/>
    <w:rsid w:val="004B3886"/>
    <w:rsid w:val="004B4D89"/>
    <w:rsid w:val="004B4FBF"/>
    <w:rsid w:val="004B54FE"/>
    <w:rsid w:val="004C23C1"/>
    <w:rsid w:val="004C43CA"/>
    <w:rsid w:val="004C4D51"/>
    <w:rsid w:val="004D46D4"/>
    <w:rsid w:val="004D55E1"/>
    <w:rsid w:val="004D620E"/>
    <w:rsid w:val="004E1064"/>
    <w:rsid w:val="004E402F"/>
    <w:rsid w:val="004E62D3"/>
    <w:rsid w:val="004E7F4B"/>
    <w:rsid w:val="004F1086"/>
    <w:rsid w:val="004F1B44"/>
    <w:rsid w:val="004F2925"/>
    <w:rsid w:val="004F3A37"/>
    <w:rsid w:val="00501034"/>
    <w:rsid w:val="0050211B"/>
    <w:rsid w:val="00502B75"/>
    <w:rsid w:val="00503043"/>
    <w:rsid w:val="00504D9D"/>
    <w:rsid w:val="005058FB"/>
    <w:rsid w:val="00507712"/>
    <w:rsid w:val="00507728"/>
    <w:rsid w:val="00511996"/>
    <w:rsid w:val="00511BBC"/>
    <w:rsid w:val="0051391B"/>
    <w:rsid w:val="00520148"/>
    <w:rsid w:val="0052145E"/>
    <w:rsid w:val="00521944"/>
    <w:rsid w:val="00521F57"/>
    <w:rsid w:val="005223C0"/>
    <w:rsid w:val="00522D0C"/>
    <w:rsid w:val="005305AA"/>
    <w:rsid w:val="00532157"/>
    <w:rsid w:val="00532403"/>
    <w:rsid w:val="00534DD9"/>
    <w:rsid w:val="005365D0"/>
    <w:rsid w:val="00537917"/>
    <w:rsid w:val="00537C5E"/>
    <w:rsid w:val="00543A46"/>
    <w:rsid w:val="0054639C"/>
    <w:rsid w:val="00546723"/>
    <w:rsid w:val="00552EA0"/>
    <w:rsid w:val="005562E5"/>
    <w:rsid w:val="00560382"/>
    <w:rsid w:val="0056620C"/>
    <w:rsid w:val="00566843"/>
    <w:rsid w:val="005678DA"/>
    <w:rsid w:val="00570F11"/>
    <w:rsid w:val="00571226"/>
    <w:rsid w:val="005730CE"/>
    <w:rsid w:val="0057655B"/>
    <w:rsid w:val="00576FE4"/>
    <w:rsid w:val="00577842"/>
    <w:rsid w:val="00581341"/>
    <w:rsid w:val="00583780"/>
    <w:rsid w:val="00584EC7"/>
    <w:rsid w:val="00585719"/>
    <w:rsid w:val="00592CF4"/>
    <w:rsid w:val="005A0CCD"/>
    <w:rsid w:val="005A48C1"/>
    <w:rsid w:val="005A4B88"/>
    <w:rsid w:val="005B05F9"/>
    <w:rsid w:val="005B174B"/>
    <w:rsid w:val="005B21B4"/>
    <w:rsid w:val="005B2C5A"/>
    <w:rsid w:val="005B437F"/>
    <w:rsid w:val="005B4968"/>
    <w:rsid w:val="005B55BC"/>
    <w:rsid w:val="005B6077"/>
    <w:rsid w:val="005B6A48"/>
    <w:rsid w:val="005C3B02"/>
    <w:rsid w:val="005C3B65"/>
    <w:rsid w:val="005C43A5"/>
    <w:rsid w:val="005C6578"/>
    <w:rsid w:val="005D0146"/>
    <w:rsid w:val="005D180F"/>
    <w:rsid w:val="005D3D23"/>
    <w:rsid w:val="005D4971"/>
    <w:rsid w:val="005D597C"/>
    <w:rsid w:val="005D5E97"/>
    <w:rsid w:val="005D645B"/>
    <w:rsid w:val="005E1933"/>
    <w:rsid w:val="005E26CA"/>
    <w:rsid w:val="005F2228"/>
    <w:rsid w:val="005F4180"/>
    <w:rsid w:val="00600AA9"/>
    <w:rsid w:val="00601B32"/>
    <w:rsid w:val="00602E92"/>
    <w:rsid w:val="00604108"/>
    <w:rsid w:val="00604D8E"/>
    <w:rsid w:val="00606147"/>
    <w:rsid w:val="00606740"/>
    <w:rsid w:val="00612100"/>
    <w:rsid w:val="00614BCF"/>
    <w:rsid w:val="0061621E"/>
    <w:rsid w:val="0061748D"/>
    <w:rsid w:val="00620D4A"/>
    <w:rsid w:val="00621ED7"/>
    <w:rsid w:val="0062366D"/>
    <w:rsid w:val="00624FCB"/>
    <w:rsid w:val="006325C1"/>
    <w:rsid w:val="006346E9"/>
    <w:rsid w:val="00641BC4"/>
    <w:rsid w:val="006452C1"/>
    <w:rsid w:val="00645326"/>
    <w:rsid w:val="00654149"/>
    <w:rsid w:val="00657929"/>
    <w:rsid w:val="006610F1"/>
    <w:rsid w:val="0066264D"/>
    <w:rsid w:val="00663D09"/>
    <w:rsid w:val="00665CD7"/>
    <w:rsid w:val="00666C9E"/>
    <w:rsid w:val="00666D7E"/>
    <w:rsid w:val="00670576"/>
    <w:rsid w:val="00671264"/>
    <w:rsid w:val="00671FB5"/>
    <w:rsid w:val="006758D3"/>
    <w:rsid w:val="00676C88"/>
    <w:rsid w:val="00680374"/>
    <w:rsid w:val="0068299E"/>
    <w:rsid w:val="0068377E"/>
    <w:rsid w:val="006839DB"/>
    <w:rsid w:val="006848B5"/>
    <w:rsid w:val="00684979"/>
    <w:rsid w:val="00684F61"/>
    <w:rsid w:val="0068682D"/>
    <w:rsid w:val="006868B0"/>
    <w:rsid w:val="00690497"/>
    <w:rsid w:val="006A0267"/>
    <w:rsid w:val="006B2201"/>
    <w:rsid w:val="006B7B97"/>
    <w:rsid w:val="006C0C5C"/>
    <w:rsid w:val="006C4D5A"/>
    <w:rsid w:val="006C64B4"/>
    <w:rsid w:val="006C6695"/>
    <w:rsid w:val="006C717F"/>
    <w:rsid w:val="006D1624"/>
    <w:rsid w:val="006E1C1B"/>
    <w:rsid w:val="006E3AFD"/>
    <w:rsid w:val="006E4358"/>
    <w:rsid w:val="006E78E8"/>
    <w:rsid w:val="006E7FD6"/>
    <w:rsid w:val="006F186C"/>
    <w:rsid w:val="006F4218"/>
    <w:rsid w:val="0070518B"/>
    <w:rsid w:val="00710136"/>
    <w:rsid w:val="00710B01"/>
    <w:rsid w:val="007116A7"/>
    <w:rsid w:val="00712115"/>
    <w:rsid w:val="0071386D"/>
    <w:rsid w:val="00713A48"/>
    <w:rsid w:val="00713D0F"/>
    <w:rsid w:val="007207CC"/>
    <w:rsid w:val="00721BEA"/>
    <w:rsid w:val="007228E2"/>
    <w:rsid w:val="007240D5"/>
    <w:rsid w:val="007318EC"/>
    <w:rsid w:val="007328CD"/>
    <w:rsid w:val="00732900"/>
    <w:rsid w:val="00733F7C"/>
    <w:rsid w:val="0073448B"/>
    <w:rsid w:val="007359FA"/>
    <w:rsid w:val="007364BD"/>
    <w:rsid w:val="007412B0"/>
    <w:rsid w:val="0074513C"/>
    <w:rsid w:val="00750722"/>
    <w:rsid w:val="00753290"/>
    <w:rsid w:val="00754DB3"/>
    <w:rsid w:val="00761CB3"/>
    <w:rsid w:val="00765784"/>
    <w:rsid w:val="00766A24"/>
    <w:rsid w:val="00767C55"/>
    <w:rsid w:val="00771382"/>
    <w:rsid w:val="0077496A"/>
    <w:rsid w:val="007808E7"/>
    <w:rsid w:val="0078427F"/>
    <w:rsid w:val="00784289"/>
    <w:rsid w:val="007842C3"/>
    <w:rsid w:val="007854CC"/>
    <w:rsid w:val="00785BE7"/>
    <w:rsid w:val="00790EE0"/>
    <w:rsid w:val="00796648"/>
    <w:rsid w:val="00796A5F"/>
    <w:rsid w:val="007A105F"/>
    <w:rsid w:val="007A47DC"/>
    <w:rsid w:val="007A7567"/>
    <w:rsid w:val="007B2860"/>
    <w:rsid w:val="007B29FF"/>
    <w:rsid w:val="007B2C24"/>
    <w:rsid w:val="007B2CE4"/>
    <w:rsid w:val="007B594A"/>
    <w:rsid w:val="007B66E7"/>
    <w:rsid w:val="007B6CBE"/>
    <w:rsid w:val="007C038F"/>
    <w:rsid w:val="007C4893"/>
    <w:rsid w:val="007D173A"/>
    <w:rsid w:val="007D479B"/>
    <w:rsid w:val="007E0805"/>
    <w:rsid w:val="007E12E3"/>
    <w:rsid w:val="007E20CF"/>
    <w:rsid w:val="007E260E"/>
    <w:rsid w:val="007E290A"/>
    <w:rsid w:val="007E36F9"/>
    <w:rsid w:val="007E4F4D"/>
    <w:rsid w:val="007E6FB6"/>
    <w:rsid w:val="007E73EF"/>
    <w:rsid w:val="007E7BF9"/>
    <w:rsid w:val="007F0D3E"/>
    <w:rsid w:val="007F266B"/>
    <w:rsid w:val="007F7DFE"/>
    <w:rsid w:val="0080586B"/>
    <w:rsid w:val="00810DAB"/>
    <w:rsid w:val="00812938"/>
    <w:rsid w:val="00817080"/>
    <w:rsid w:val="00817712"/>
    <w:rsid w:val="00822709"/>
    <w:rsid w:val="00822729"/>
    <w:rsid w:val="00824019"/>
    <w:rsid w:val="008302B3"/>
    <w:rsid w:val="0083066D"/>
    <w:rsid w:val="0083069F"/>
    <w:rsid w:val="00835932"/>
    <w:rsid w:val="00836A13"/>
    <w:rsid w:val="00841D5F"/>
    <w:rsid w:val="00843688"/>
    <w:rsid w:val="0084605D"/>
    <w:rsid w:val="00847581"/>
    <w:rsid w:val="0085251B"/>
    <w:rsid w:val="00852C61"/>
    <w:rsid w:val="00854002"/>
    <w:rsid w:val="00855FB8"/>
    <w:rsid w:val="00856130"/>
    <w:rsid w:val="00865787"/>
    <w:rsid w:val="00870D75"/>
    <w:rsid w:val="008733DA"/>
    <w:rsid w:val="00877CBE"/>
    <w:rsid w:val="00881CF0"/>
    <w:rsid w:val="00891077"/>
    <w:rsid w:val="00891DFD"/>
    <w:rsid w:val="008937D7"/>
    <w:rsid w:val="00893E12"/>
    <w:rsid w:val="00896D4A"/>
    <w:rsid w:val="008A307A"/>
    <w:rsid w:val="008A41BC"/>
    <w:rsid w:val="008B0878"/>
    <w:rsid w:val="008B4B6B"/>
    <w:rsid w:val="008B6956"/>
    <w:rsid w:val="008C452F"/>
    <w:rsid w:val="008C7280"/>
    <w:rsid w:val="008C7E0E"/>
    <w:rsid w:val="008D0BA0"/>
    <w:rsid w:val="008D1293"/>
    <w:rsid w:val="008D1A0A"/>
    <w:rsid w:val="008D28DA"/>
    <w:rsid w:val="008E28DF"/>
    <w:rsid w:val="008E29AC"/>
    <w:rsid w:val="008E30AC"/>
    <w:rsid w:val="008F30B7"/>
    <w:rsid w:val="008F6978"/>
    <w:rsid w:val="009005EF"/>
    <w:rsid w:val="0090072C"/>
    <w:rsid w:val="0090081E"/>
    <w:rsid w:val="00900858"/>
    <w:rsid w:val="0090572C"/>
    <w:rsid w:val="0090688B"/>
    <w:rsid w:val="009069FD"/>
    <w:rsid w:val="009075B0"/>
    <w:rsid w:val="0090773E"/>
    <w:rsid w:val="00907C35"/>
    <w:rsid w:val="009117D9"/>
    <w:rsid w:val="00912D67"/>
    <w:rsid w:val="00913833"/>
    <w:rsid w:val="00921297"/>
    <w:rsid w:val="00923D1D"/>
    <w:rsid w:val="00924DA3"/>
    <w:rsid w:val="0092525F"/>
    <w:rsid w:val="00930E0C"/>
    <w:rsid w:val="009321BA"/>
    <w:rsid w:val="00934EE1"/>
    <w:rsid w:val="009372C4"/>
    <w:rsid w:val="0093747F"/>
    <w:rsid w:val="00937912"/>
    <w:rsid w:val="009432AA"/>
    <w:rsid w:val="009503A5"/>
    <w:rsid w:val="009514BB"/>
    <w:rsid w:val="0095245C"/>
    <w:rsid w:val="00952AC1"/>
    <w:rsid w:val="00952C7E"/>
    <w:rsid w:val="00952EA8"/>
    <w:rsid w:val="00954B07"/>
    <w:rsid w:val="00960E0C"/>
    <w:rsid w:val="00960EC5"/>
    <w:rsid w:val="00961460"/>
    <w:rsid w:val="00963A3B"/>
    <w:rsid w:val="00966711"/>
    <w:rsid w:val="009671F5"/>
    <w:rsid w:val="00971898"/>
    <w:rsid w:val="009738CD"/>
    <w:rsid w:val="00974A1F"/>
    <w:rsid w:val="00980077"/>
    <w:rsid w:val="00982F7C"/>
    <w:rsid w:val="009836BC"/>
    <w:rsid w:val="00983995"/>
    <w:rsid w:val="009850F0"/>
    <w:rsid w:val="009854F9"/>
    <w:rsid w:val="00987A9B"/>
    <w:rsid w:val="00990482"/>
    <w:rsid w:val="00992F10"/>
    <w:rsid w:val="009A750E"/>
    <w:rsid w:val="009B1DB1"/>
    <w:rsid w:val="009B25E0"/>
    <w:rsid w:val="009B4E0B"/>
    <w:rsid w:val="009B5CCF"/>
    <w:rsid w:val="009B604F"/>
    <w:rsid w:val="009C0321"/>
    <w:rsid w:val="009C0A0E"/>
    <w:rsid w:val="009C2459"/>
    <w:rsid w:val="009C366C"/>
    <w:rsid w:val="009C463F"/>
    <w:rsid w:val="009C7480"/>
    <w:rsid w:val="009C7499"/>
    <w:rsid w:val="009D014B"/>
    <w:rsid w:val="009D2C96"/>
    <w:rsid w:val="009D4B6E"/>
    <w:rsid w:val="009D7466"/>
    <w:rsid w:val="009E047C"/>
    <w:rsid w:val="009E24A4"/>
    <w:rsid w:val="009E487E"/>
    <w:rsid w:val="009E4DE8"/>
    <w:rsid w:val="009F20DA"/>
    <w:rsid w:val="009F66D2"/>
    <w:rsid w:val="009F69A8"/>
    <w:rsid w:val="00A03ED5"/>
    <w:rsid w:val="00A06555"/>
    <w:rsid w:val="00A06649"/>
    <w:rsid w:val="00A10A2D"/>
    <w:rsid w:val="00A14F74"/>
    <w:rsid w:val="00A20CC2"/>
    <w:rsid w:val="00A25CF0"/>
    <w:rsid w:val="00A26EB8"/>
    <w:rsid w:val="00A30176"/>
    <w:rsid w:val="00A339DA"/>
    <w:rsid w:val="00A33FB5"/>
    <w:rsid w:val="00A35638"/>
    <w:rsid w:val="00A36EE2"/>
    <w:rsid w:val="00A4282C"/>
    <w:rsid w:val="00A53A8A"/>
    <w:rsid w:val="00A5419E"/>
    <w:rsid w:val="00A5505A"/>
    <w:rsid w:val="00A57A47"/>
    <w:rsid w:val="00A60450"/>
    <w:rsid w:val="00A61019"/>
    <w:rsid w:val="00A616B4"/>
    <w:rsid w:val="00A6173D"/>
    <w:rsid w:val="00A61C57"/>
    <w:rsid w:val="00A65390"/>
    <w:rsid w:val="00A710AF"/>
    <w:rsid w:val="00A77991"/>
    <w:rsid w:val="00A8025B"/>
    <w:rsid w:val="00A80856"/>
    <w:rsid w:val="00A82B67"/>
    <w:rsid w:val="00A853D2"/>
    <w:rsid w:val="00A9042E"/>
    <w:rsid w:val="00A9062C"/>
    <w:rsid w:val="00A91852"/>
    <w:rsid w:val="00A920A2"/>
    <w:rsid w:val="00A924D7"/>
    <w:rsid w:val="00A95295"/>
    <w:rsid w:val="00A9561D"/>
    <w:rsid w:val="00A95B7B"/>
    <w:rsid w:val="00A96497"/>
    <w:rsid w:val="00A97A61"/>
    <w:rsid w:val="00A97AE9"/>
    <w:rsid w:val="00AA12E7"/>
    <w:rsid w:val="00AA2FC0"/>
    <w:rsid w:val="00AA37C9"/>
    <w:rsid w:val="00AA3A90"/>
    <w:rsid w:val="00AA4741"/>
    <w:rsid w:val="00AB01B6"/>
    <w:rsid w:val="00AB07A4"/>
    <w:rsid w:val="00AB1C58"/>
    <w:rsid w:val="00AB657E"/>
    <w:rsid w:val="00AC26E1"/>
    <w:rsid w:val="00AC6903"/>
    <w:rsid w:val="00AD2D41"/>
    <w:rsid w:val="00AD4F0F"/>
    <w:rsid w:val="00AE3456"/>
    <w:rsid w:val="00AE435E"/>
    <w:rsid w:val="00AE44C8"/>
    <w:rsid w:val="00AE4675"/>
    <w:rsid w:val="00AE4BE4"/>
    <w:rsid w:val="00AE53A9"/>
    <w:rsid w:val="00AF0B12"/>
    <w:rsid w:val="00AF0C95"/>
    <w:rsid w:val="00AF0D9D"/>
    <w:rsid w:val="00AF29CF"/>
    <w:rsid w:val="00AF6C2C"/>
    <w:rsid w:val="00AF6CD7"/>
    <w:rsid w:val="00B01ED9"/>
    <w:rsid w:val="00B0389D"/>
    <w:rsid w:val="00B04F8B"/>
    <w:rsid w:val="00B06820"/>
    <w:rsid w:val="00B07DE6"/>
    <w:rsid w:val="00B10770"/>
    <w:rsid w:val="00B15347"/>
    <w:rsid w:val="00B21D35"/>
    <w:rsid w:val="00B23699"/>
    <w:rsid w:val="00B31F42"/>
    <w:rsid w:val="00B35D92"/>
    <w:rsid w:val="00B371FA"/>
    <w:rsid w:val="00B40644"/>
    <w:rsid w:val="00B43B19"/>
    <w:rsid w:val="00B45F6A"/>
    <w:rsid w:val="00B45F7F"/>
    <w:rsid w:val="00B46391"/>
    <w:rsid w:val="00B47F8B"/>
    <w:rsid w:val="00B522D8"/>
    <w:rsid w:val="00B53174"/>
    <w:rsid w:val="00B53F12"/>
    <w:rsid w:val="00B54E07"/>
    <w:rsid w:val="00B562B6"/>
    <w:rsid w:val="00B578B0"/>
    <w:rsid w:val="00B62968"/>
    <w:rsid w:val="00B70C44"/>
    <w:rsid w:val="00B72869"/>
    <w:rsid w:val="00B75BD6"/>
    <w:rsid w:val="00B762EA"/>
    <w:rsid w:val="00B76870"/>
    <w:rsid w:val="00B76C5F"/>
    <w:rsid w:val="00B774C1"/>
    <w:rsid w:val="00B77D0E"/>
    <w:rsid w:val="00B80495"/>
    <w:rsid w:val="00B81009"/>
    <w:rsid w:val="00B851C3"/>
    <w:rsid w:val="00B90793"/>
    <w:rsid w:val="00B90D95"/>
    <w:rsid w:val="00B924B8"/>
    <w:rsid w:val="00B97EBF"/>
    <w:rsid w:val="00BA5F6E"/>
    <w:rsid w:val="00BA6FC8"/>
    <w:rsid w:val="00BA7EC1"/>
    <w:rsid w:val="00BB3971"/>
    <w:rsid w:val="00BB628D"/>
    <w:rsid w:val="00BB6319"/>
    <w:rsid w:val="00BC740B"/>
    <w:rsid w:val="00BD04BB"/>
    <w:rsid w:val="00BD2B25"/>
    <w:rsid w:val="00BD30ED"/>
    <w:rsid w:val="00BE0BEB"/>
    <w:rsid w:val="00BE0FF0"/>
    <w:rsid w:val="00BE3F99"/>
    <w:rsid w:val="00BE5E33"/>
    <w:rsid w:val="00BE6F36"/>
    <w:rsid w:val="00BE79A8"/>
    <w:rsid w:val="00BF1224"/>
    <w:rsid w:val="00BF1713"/>
    <w:rsid w:val="00BF2291"/>
    <w:rsid w:val="00BF3C11"/>
    <w:rsid w:val="00BF49B0"/>
    <w:rsid w:val="00BF7DDF"/>
    <w:rsid w:val="00C037EA"/>
    <w:rsid w:val="00C10599"/>
    <w:rsid w:val="00C109B6"/>
    <w:rsid w:val="00C1107D"/>
    <w:rsid w:val="00C11430"/>
    <w:rsid w:val="00C13DCC"/>
    <w:rsid w:val="00C2086E"/>
    <w:rsid w:val="00C2214C"/>
    <w:rsid w:val="00C25349"/>
    <w:rsid w:val="00C266A1"/>
    <w:rsid w:val="00C27ADA"/>
    <w:rsid w:val="00C30DD0"/>
    <w:rsid w:val="00C32DBC"/>
    <w:rsid w:val="00C3408E"/>
    <w:rsid w:val="00C35095"/>
    <w:rsid w:val="00C351E0"/>
    <w:rsid w:val="00C3757C"/>
    <w:rsid w:val="00C40530"/>
    <w:rsid w:val="00C40C67"/>
    <w:rsid w:val="00C43107"/>
    <w:rsid w:val="00C45C8D"/>
    <w:rsid w:val="00C46CB3"/>
    <w:rsid w:val="00C52883"/>
    <w:rsid w:val="00C61FC6"/>
    <w:rsid w:val="00C621A8"/>
    <w:rsid w:val="00C63720"/>
    <w:rsid w:val="00C65508"/>
    <w:rsid w:val="00C66397"/>
    <w:rsid w:val="00C6668F"/>
    <w:rsid w:val="00C7475C"/>
    <w:rsid w:val="00C76674"/>
    <w:rsid w:val="00C804C7"/>
    <w:rsid w:val="00C82AA2"/>
    <w:rsid w:val="00C86D19"/>
    <w:rsid w:val="00C90B2A"/>
    <w:rsid w:val="00C92838"/>
    <w:rsid w:val="00C93B5B"/>
    <w:rsid w:val="00C9529D"/>
    <w:rsid w:val="00C95D04"/>
    <w:rsid w:val="00C97823"/>
    <w:rsid w:val="00CA2492"/>
    <w:rsid w:val="00CA72F2"/>
    <w:rsid w:val="00CA7C0B"/>
    <w:rsid w:val="00CB05F3"/>
    <w:rsid w:val="00CB5336"/>
    <w:rsid w:val="00CB5B1F"/>
    <w:rsid w:val="00CC582A"/>
    <w:rsid w:val="00CC6438"/>
    <w:rsid w:val="00CD3880"/>
    <w:rsid w:val="00CD3968"/>
    <w:rsid w:val="00CD4A05"/>
    <w:rsid w:val="00CD4F4F"/>
    <w:rsid w:val="00CD5245"/>
    <w:rsid w:val="00CD566E"/>
    <w:rsid w:val="00CD6AF1"/>
    <w:rsid w:val="00CE0EA5"/>
    <w:rsid w:val="00CE2279"/>
    <w:rsid w:val="00CE2A12"/>
    <w:rsid w:val="00CE3464"/>
    <w:rsid w:val="00CE6A01"/>
    <w:rsid w:val="00CE7E7A"/>
    <w:rsid w:val="00CF51E9"/>
    <w:rsid w:val="00D03026"/>
    <w:rsid w:val="00D03C88"/>
    <w:rsid w:val="00D0470E"/>
    <w:rsid w:val="00D04ABC"/>
    <w:rsid w:val="00D07CB9"/>
    <w:rsid w:val="00D1069F"/>
    <w:rsid w:val="00D117EB"/>
    <w:rsid w:val="00D14EF3"/>
    <w:rsid w:val="00D15F77"/>
    <w:rsid w:val="00D16160"/>
    <w:rsid w:val="00D17339"/>
    <w:rsid w:val="00D20297"/>
    <w:rsid w:val="00D2336B"/>
    <w:rsid w:val="00D2617C"/>
    <w:rsid w:val="00D2709B"/>
    <w:rsid w:val="00D3047B"/>
    <w:rsid w:val="00D31BF8"/>
    <w:rsid w:val="00D34EA5"/>
    <w:rsid w:val="00D401C1"/>
    <w:rsid w:val="00D4272A"/>
    <w:rsid w:val="00D432BC"/>
    <w:rsid w:val="00D439A8"/>
    <w:rsid w:val="00D4423D"/>
    <w:rsid w:val="00D44685"/>
    <w:rsid w:val="00D4574A"/>
    <w:rsid w:val="00D45D9E"/>
    <w:rsid w:val="00D54889"/>
    <w:rsid w:val="00D56421"/>
    <w:rsid w:val="00D57A3D"/>
    <w:rsid w:val="00D60185"/>
    <w:rsid w:val="00D6330C"/>
    <w:rsid w:val="00D647DB"/>
    <w:rsid w:val="00D65C66"/>
    <w:rsid w:val="00D65F72"/>
    <w:rsid w:val="00D6628F"/>
    <w:rsid w:val="00D7260B"/>
    <w:rsid w:val="00D73BB3"/>
    <w:rsid w:val="00D74333"/>
    <w:rsid w:val="00D74512"/>
    <w:rsid w:val="00D762CA"/>
    <w:rsid w:val="00D76A26"/>
    <w:rsid w:val="00D858E8"/>
    <w:rsid w:val="00D90224"/>
    <w:rsid w:val="00D91884"/>
    <w:rsid w:val="00D918C0"/>
    <w:rsid w:val="00D933B5"/>
    <w:rsid w:val="00D95887"/>
    <w:rsid w:val="00D96349"/>
    <w:rsid w:val="00D968E2"/>
    <w:rsid w:val="00DA6DE6"/>
    <w:rsid w:val="00DB0DBD"/>
    <w:rsid w:val="00DB282B"/>
    <w:rsid w:val="00DB5C11"/>
    <w:rsid w:val="00DB74DB"/>
    <w:rsid w:val="00DB7837"/>
    <w:rsid w:val="00DC0F46"/>
    <w:rsid w:val="00DC1313"/>
    <w:rsid w:val="00DC1A79"/>
    <w:rsid w:val="00DC4B82"/>
    <w:rsid w:val="00DD2AA4"/>
    <w:rsid w:val="00DD34D3"/>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10946"/>
    <w:rsid w:val="00E112DF"/>
    <w:rsid w:val="00E12F34"/>
    <w:rsid w:val="00E1393D"/>
    <w:rsid w:val="00E2688F"/>
    <w:rsid w:val="00E2691D"/>
    <w:rsid w:val="00E2708A"/>
    <w:rsid w:val="00E31D03"/>
    <w:rsid w:val="00E32895"/>
    <w:rsid w:val="00E35A19"/>
    <w:rsid w:val="00E418D7"/>
    <w:rsid w:val="00E42B63"/>
    <w:rsid w:val="00E449F2"/>
    <w:rsid w:val="00E47CA9"/>
    <w:rsid w:val="00E5099E"/>
    <w:rsid w:val="00E50CCC"/>
    <w:rsid w:val="00E51FF9"/>
    <w:rsid w:val="00E5503D"/>
    <w:rsid w:val="00E5559D"/>
    <w:rsid w:val="00E55670"/>
    <w:rsid w:val="00E6283A"/>
    <w:rsid w:val="00E702E5"/>
    <w:rsid w:val="00E716C8"/>
    <w:rsid w:val="00E751EE"/>
    <w:rsid w:val="00E76C31"/>
    <w:rsid w:val="00E81E8D"/>
    <w:rsid w:val="00E82EC6"/>
    <w:rsid w:val="00E9530C"/>
    <w:rsid w:val="00E956A7"/>
    <w:rsid w:val="00E9584A"/>
    <w:rsid w:val="00E95E5B"/>
    <w:rsid w:val="00EA1AD2"/>
    <w:rsid w:val="00EA44EB"/>
    <w:rsid w:val="00EA5087"/>
    <w:rsid w:val="00EA78FC"/>
    <w:rsid w:val="00EB30D8"/>
    <w:rsid w:val="00EB71C7"/>
    <w:rsid w:val="00EB7A22"/>
    <w:rsid w:val="00EC2EE1"/>
    <w:rsid w:val="00EC37DB"/>
    <w:rsid w:val="00EC503E"/>
    <w:rsid w:val="00EC5581"/>
    <w:rsid w:val="00EC766F"/>
    <w:rsid w:val="00EC7B36"/>
    <w:rsid w:val="00ED18CF"/>
    <w:rsid w:val="00ED458D"/>
    <w:rsid w:val="00ED7A86"/>
    <w:rsid w:val="00ED7C00"/>
    <w:rsid w:val="00EE2BD8"/>
    <w:rsid w:val="00EF4BD9"/>
    <w:rsid w:val="00F02612"/>
    <w:rsid w:val="00F0535E"/>
    <w:rsid w:val="00F14C8A"/>
    <w:rsid w:val="00F17F47"/>
    <w:rsid w:val="00F24D06"/>
    <w:rsid w:val="00F24F14"/>
    <w:rsid w:val="00F2743D"/>
    <w:rsid w:val="00F27A9D"/>
    <w:rsid w:val="00F30063"/>
    <w:rsid w:val="00F30ADC"/>
    <w:rsid w:val="00F317DB"/>
    <w:rsid w:val="00F345A8"/>
    <w:rsid w:val="00F372F6"/>
    <w:rsid w:val="00F40767"/>
    <w:rsid w:val="00F4150B"/>
    <w:rsid w:val="00F42E55"/>
    <w:rsid w:val="00F42F62"/>
    <w:rsid w:val="00F43890"/>
    <w:rsid w:val="00F43E62"/>
    <w:rsid w:val="00F460A0"/>
    <w:rsid w:val="00F460D4"/>
    <w:rsid w:val="00F535E5"/>
    <w:rsid w:val="00F63F07"/>
    <w:rsid w:val="00F71A52"/>
    <w:rsid w:val="00F73046"/>
    <w:rsid w:val="00F7502C"/>
    <w:rsid w:val="00F76888"/>
    <w:rsid w:val="00F81859"/>
    <w:rsid w:val="00F83602"/>
    <w:rsid w:val="00F83FE6"/>
    <w:rsid w:val="00F86131"/>
    <w:rsid w:val="00F8654D"/>
    <w:rsid w:val="00F869F7"/>
    <w:rsid w:val="00F92CA0"/>
    <w:rsid w:val="00F94364"/>
    <w:rsid w:val="00F95C18"/>
    <w:rsid w:val="00F9698F"/>
    <w:rsid w:val="00FA218E"/>
    <w:rsid w:val="00FA3E2F"/>
    <w:rsid w:val="00FA4BD7"/>
    <w:rsid w:val="00FB1885"/>
    <w:rsid w:val="00FB6B96"/>
    <w:rsid w:val="00FB6C52"/>
    <w:rsid w:val="00FB7F86"/>
    <w:rsid w:val="00FC32A5"/>
    <w:rsid w:val="00FD0CE6"/>
    <w:rsid w:val="00FD3588"/>
    <w:rsid w:val="00FE47C9"/>
    <w:rsid w:val="00FE54A6"/>
    <w:rsid w:val="00FE6036"/>
    <w:rsid w:val="00FE7EC9"/>
    <w:rsid w:val="00FF00CB"/>
    <w:rsid w:val="00FF3EE9"/>
    <w:rsid w:val="00FF6CEF"/>
    <w:rsid w:val="00FF6D6F"/>
    <w:rsid w:val="01050D9B"/>
    <w:rsid w:val="01341807"/>
    <w:rsid w:val="013E65DE"/>
    <w:rsid w:val="014903A9"/>
    <w:rsid w:val="015D0D5E"/>
    <w:rsid w:val="016B5BD6"/>
    <w:rsid w:val="017B08B4"/>
    <w:rsid w:val="01A412FE"/>
    <w:rsid w:val="01B81585"/>
    <w:rsid w:val="01CB629E"/>
    <w:rsid w:val="01CC0983"/>
    <w:rsid w:val="01D807EF"/>
    <w:rsid w:val="01D86994"/>
    <w:rsid w:val="01E16896"/>
    <w:rsid w:val="01F61E10"/>
    <w:rsid w:val="02021905"/>
    <w:rsid w:val="02050EE0"/>
    <w:rsid w:val="021153DC"/>
    <w:rsid w:val="02116B41"/>
    <w:rsid w:val="0241788C"/>
    <w:rsid w:val="02486737"/>
    <w:rsid w:val="024B6CD3"/>
    <w:rsid w:val="025D1870"/>
    <w:rsid w:val="02677296"/>
    <w:rsid w:val="026929FF"/>
    <w:rsid w:val="02733BEB"/>
    <w:rsid w:val="02783AA8"/>
    <w:rsid w:val="0285763E"/>
    <w:rsid w:val="02895B83"/>
    <w:rsid w:val="028F3A76"/>
    <w:rsid w:val="02913E59"/>
    <w:rsid w:val="029A7A3D"/>
    <w:rsid w:val="02C064DC"/>
    <w:rsid w:val="02C15350"/>
    <w:rsid w:val="02D0085D"/>
    <w:rsid w:val="02D15B17"/>
    <w:rsid w:val="02D2242F"/>
    <w:rsid w:val="03041DF9"/>
    <w:rsid w:val="03094B07"/>
    <w:rsid w:val="031540D7"/>
    <w:rsid w:val="031A183A"/>
    <w:rsid w:val="03285A20"/>
    <w:rsid w:val="032C4E8C"/>
    <w:rsid w:val="03390100"/>
    <w:rsid w:val="0341020B"/>
    <w:rsid w:val="03451AAA"/>
    <w:rsid w:val="035C08A0"/>
    <w:rsid w:val="03623366"/>
    <w:rsid w:val="036A0377"/>
    <w:rsid w:val="036E6A20"/>
    <w:rsid w:val="03716AB5"/>
    <w:rsid w:val="03832252"/>
    <w:rsid w:val="03892478"/>
    <w:rsid w:val="03957F6E"/>
    <w:rsid w:val="03B37294"/>
    <w:rsid w:val="03B65F25"/>
    <w:rsid w:val="03F049A4"/>
    <w:rsid w:val="03F85E06"/>
    <w:rsid w:val="03FB0ABE"/>
    <w:rsid w:val="03FE1578"/>
    <w:rsid w:val="0403171A"/>
    <w:rsid w:val="04074CDB"/>
    <w:rsid w:val="04202E63"/>
    <w:rsid w:val="04212609"/>
    <w:rsid w:val="0423571E"/>
    <w:rsid w:val="043B10FF"/>
    <w:rsid w:val="04450781"/>
    <w:rsid w:val="044858F1"/>
    <w:rsid w:val="047771FD"/>
    <w:rsid w:val="049C36F7"/>
    <w:rsid w:val="04A67DC8"/>
    <w:rsid w:val="04BC2E83"/>
    <w:rsid w:val="04C46227"/>
    <w:rsid w:val="04DB0895"/>
    <w:rsid w:val="04E4262B"/>
    <w:rsid w:val="04E92477"/>
    <w:rsid w:val="04F56C7F"/>
    <w:rsid w:val="04F61336"/>
    <w:rsid w:val="04F675FD"/>
    <w:rsid w:val="05165505"/>
    <w:rsid w:val="051C1073"/>
    <w:rsid w:val="051E53B0"/>
    <w:rsid w:val="052E650D"/>
    <w:rsid w:val="053E2C54"/>
    <w:rsid w:val="05766CA8"/>
    <w:rsid w:val="057F0C42"/>
    <w:rsid w:val="058F3CAF"/>
    <w:rsid w:val="05A014DC"/>
    <w:rsid w:val="05A342AA"/>
    <w:rsid w:val="05A36B78"/>
    <w:rsid w:val="05AE3AF8"/>
    <w:rsid w:val="05AF3B52"/>
    <w:rsid w:val="05C707DD"/>
    <w:rsid w:val="05CD4878"/>
    <w:rsid w:val="05D13F09"/>
    <w:rsid w:val="05D53C72"/>
    <w:rsid w:val="05D85241"/>
    <w:rsid w:val="05EA0443"/>
    <w:rsid w:val="05ED793B"/>
    <w:rsid w:val="061F7B22"/>
    <w:rsid w:val="062621C6"/>
    <w:rsid w:val="06264A24"/>
    <w:rsid w:val="062E2288"/>
    <w:rsid w:val="06450159"/>
    <w:rsid w:val="065A786A"/>
    <w:rsid w:val="066237FE"/>
    <w:rsid w:val="06863B44"/>
    <w:rsid w:val="06872B81"/>
    <w:rsid w:val="068C4D3B"/>
    <w:rsid w:val="069D55F1"/>
    <w:rsid w:val="069E6A40"/>
    <w:rsid w:val="06A21191"/>
    <w:rsid w:val="06B91D03"/>
    <w:rsid w:val="06C8202F"/>
    <w:rsid w:val="06D013F6"/>
    <w:rsid w:val="06D73539"/>
    <w:rsid w:val="06E10C33"/>
    <w:rsid w:val="06E43847"/>
    <w:rsid w:val="06E46126"/>
    <w:rsid w:val="06EB4FC7"/>
    <w:rsid w:val="06EB5A67"/>
    <w:rsid w:val="071567F8"/>
    <w:rsid w:val="072160A2"/>
    <w:rsid w:val="07267612"/>
    <w:rsid w:val="07391585"/>
    <w:rsid w:val="07636E2E"/>
    <w:rsid w:val="076D4D3B"/>
    <w:rsid w:val="07A22BA6"/>
    <w:rsid w:val="07AC0E7B"/>
    <w:rsid w:val="07AF486E"/>
    <w:rsid w:val="07B42D8D"/>
    <w:rsid w:val="07B75D67"/>
    <w:rsid w:val="07CB6B56"/>
    <w:rsid w:val="07D102E3"/>
    <w:rsid w:val="07D85AF7"/>
    <w:rsid w:val="07DF007E"/>
    <w:rsid w:val="07E20CC9"/>
    <w:rsid w:val="07E2277C"/>
    <w:rsid w:val="07ED0B7A"/>
    <w:rsid w:val="07FC6DAF"/>
    <w:rsid w:val="080877C0"/>
    <w:rsid w:val="080C2EE8"/>
    <w:rsid w:val="0815178F"/>
    <w:rsid w:val="081E2A2C"/>
    <w:rsid w:val="0831084F"/>
    <w:rsid w:val="083F0C59"/>
    <w:rsid w:val="08687D5D"/>
    <w:rsid w:val="0879722E"/>
    <w:rsid w:val="087F559D"/>
    <w:rsid w:val="08822685"/>
    <w:rsid w:val="089303A1"/>
    <w:rsid w:val="089F2E02"/>
    <w:rsid w:val="08AA78BB"/>
    <w:rsid w:val="08BC61E9"/>
    <w:rsid w:val="08BE0D2A"/>
    <w:rsid w:val="08E519FE"/>
    <w:rsid w:val="08EC0525"/>
    <w:rsid w:val="08F51DA2"/>
    <w:rsid w:val="08FF4A94"/>
    <w:rsid w:val="0911242E"/>
    <w:rsid w:val="09277590"/>
    <w:rsid w:val="093C35B9"/>
    <w:rsid w:val="093E3336"/>
    <w:rsid w:val="09514A2B"/>
    <w:rsid w:val="0961379F"/>
    <w:rsid w:val="097176E8"/>
    <w:rsid w:val="09731772"/>
    <w:rsid w:val="0974005E"/>
    <w:rsid w:val="09792264"/>
    <w:rsid w:val="09AF4FA1"/>
    <w:rsid w:val="09B174F4"/>
    <w:rsid w:val="09B7260C"/>
    <w:rsid w:val="09B96A96"/>
    <w:rsid w:val="09C35A5D"/>
    <w:rsid w:val="09CF2327"/>
    <w:rsid w:val="09D73678"/>
    <w:rsid w:val="09EE0BA1"/>
    <w:rsid w:val="0A101B47"/>
    <w:rsid w:val="0A145522"/>
    <w:rsid w:val="0A181D87"/>
    <w:rsid w:val="0A196A7C"/>
    <w:rsid w:val="0A1A3968"/>
    <w:rsid w:val="0A1B4E05"/>
    <w:rsid w:val="0A200E2D"/>
    <w:rsid w:val="0A244B13"/>
    <w:rsid w:val="0A2C0D02"/>
    <w:rsid w:val="0A4827C4"/>
    <w:rsid w:val="0A59385F"/>
    <w:rsid w:val="0A5F366C"/>
    <w:rsid w:val="0A883CB2"/>
    <w:rsid w:val="0A8B04DC"/>
    <w:rsid w:val="0A94661B"/>
    <w:rsid w:val="0A954F47"/>
    <w:rsid w:val="0A96406B"/>
    <w:rsid w:val="0A9668F8"/>
    <w:rsid w:val="0A9D6070"/>
    <w:rsid w:val="0AA93DA7"/>
    <w:rsid w:val="0AA97A8C"/>
    <w:rsid w:val="0AB04E98"/>
    <w:rsid w:val="0AB76E5B"/>
    <w:rsid w:val="0AB9739E"/>
    <w:rsid w:val="0AC83C4F"/>
    <w:rsid w:val="0AC86CBC"/>
    <w:rsid w:val="0ACC6A1D"/>
    <w:rsid w:val="0AEC39F9"/>
    <w:rsid w:val="0B037C97"/>
    <w:rsid w:val="0B064109"/>
    <w:rsid w:val="0B160E23"/>
    <w:rsid w:val="0B175B88"/>
    <w:rsid w:val="0B3430B8"/>
    <w:rsid w:val="0B507CCA"/>
    <w:rsid w:val="0B6017B9"/>
    <w:rsid w:val="0B621DF5"/>
    <w:rsid w:val="0B6B55CC"/>
    <w:rsid w:val="0B7C40CC"/>
    <w:rsid w:val="0B872C7C"/>
    <w:rsid w:val="0B8A331A"/>
    <w:rsid w:val="0B9E129E"/>
    <w:rsid w:val="0BB1600D"/>
    <w:rsid w:val="0BB346A7"/>
    <w:rsid w:val="0BBD03F5"/>
    <w:rsid w:val="0BD51E39"/>
    <w:rsid w:val="0BD60A60"/>
    <w:rsid w:val="0BE3647D"/>
    <w:rsid w:val="0C0301BA"/>
    <w:rsid w:val="0C0B4BEE"/>
    <w:rsid w:val="0C1328F4"/>
    <w:rsid w:val="0C2D2DB2"/>
    <w:rsid w:val="0C487B26"/>
    <w:rsid w:val="0C4D4C03"/>
    <w:rsid w:val="0C5A6DA7"/>
    <w:rsid w:val="0C697E40"/>
    <w:rsid w:val="0C97749C"/>
    <w:rsid w:val="0CA6204D"/>
    <w:rsid w:val="0CAF3CFB"/>
    <w:rsid w:val="0CCB7156"/>
    <w:rsid w:val="0CCD628F"/>
    <w:rsid w:val="0CD52CD6"/>
    <w:rsid w:val="0CDB5456"/>
    <w:rsid w:val="0CDD3A8E"/>
    <w:rsid w:val="0CDF6A7D"/>
    <w:rsid w:val="0CE6340C"/>
    <w:rsid w:val="0CE769E6"/>
    <w:rsid w:val="0CF166CC"/>
    <w:rsid w:val="0D2E7A52"/>
    <w:rsid w:val="0D343DF1"/>
    <w:rsid w:val="0D3D15E3"/>
    <w:rsid w:val="0D3E7426"/>
    <w:rsid w:val="0D48607B"/>
    <w:rsid w:val="0D7D41AB"/>
    <w:rsid w:val="0D8256A8"/>
    <w:rsid w:val="0DA27AF9"/>
    <w:rsid w:val="0DAB28C3"/>
    <w:rsid w:val="0DB94E10"/>
    <w:rsid w:val="0DCC09DB"/>
    <w:rsid w:val="0DCE5755"/>
    <w:rsid w:val="0DCF4774"/>
    <w:rsid w:val="0DD81AC7"/>
    <w:rsid w:val="0DD87AC5"/>
    <w:rsid w:val="0DDB782B"/>
    <w:rsid w:val="0DDF4E34"/>
    <w:rsid w:val="0DE264AE"/>
    <w:rsid w:val="0DE545B5"/>
    <w:rsid w:val="0E023228"/>
    <w:rsid w:val="0E02439C"/>
    <w:rsid w:val="0E2741F3"/>
    <w:rsid w:val="0E2E5C83"/>
    <w:rsid w:val="0E5E16F3"/>
    <w:rsid w:val="0E5F3AEF"/>
    <w:rsid w:val="0E6E08DE"/>
    <w:rsid w:val="0E6E2C58"/>
    <w:rsid w:val="0E8A7C53"/>
    <w:rsid w:val="0E8B09EC"/>
    <w:rsid w:val="0E8F3EB9"/>
    <w:rsid w:val="0EC40A79"/>
    <w:rsid w:val="0ED93B9D"/>
    <w:rsid w:val="0EE15F8E"/>
    <w:rsid w:val="0EE30683"/>
    <w:rsid w:val="0EF13522"/>
    <w:rsid w:val="0F0604E0"/>
    <w:rsid w:val="0F1D40EC"/>
    <w:rsid w:val="0F2E67B6"/>
    <w:rsid w:val="0F30117A"/>
    <w:rsid w:val="0F322AAC"/>
    <w:rsid w:val="0F344C8E"/>
    <w:rsid w:val="0F6A005A"/>
    <w:rsid w:val="0FE5185A"/>
    <w:rsid w:val="0FFD434A"/>
    <w:rsid w:val="10202B26"/>
    <w:rsid w:val="10304806"/>
    <w:rsid w:val="10311C84"/>
    <w:rsid w:val="103312C7"/>
    <w:rsid w:val="105307C8"/>
    <w:rsid w:val="1058198A"/>
    <w:rsid w:val="107514F4"/>
    <w:rsid w:val="107C0574"/>
    <w:rsid w:val="10806817"/>
    <w:rsid w:val="108230FE"/>
    <w:rsid w:val="10953A45"/>
    <w:rsid w:val="10A32AF4"/>
    <w:rsid w:val="10A656DA"/>
    <w:rsid w:val="10AA2927"/>
    <w:rsid w:val="10C94183"/>
    <w:rsid w:val="10D238D2"/>
    <w:rsid w:val="10EC71CD"/>
    <w:rsid w:val="11026B16"/>
    <w:rsid w:val="111968AC"/>
    <w:rsid w:val="11243029"/>
    <w:rsid w:val="11312D0E"/>
    <w:rsid w:val="11400D9A"/>
    <w:rsid w:val="114155BB"/>
    <w:rsid w:val="11437122"/>
    <w:rsid w:val="11517B4B"/>
    <w:rsid w:val="118E1E74"/>
    <w:rsid w:val="11A16A7F"/>
    <w:rsid w:val="11A942D0"/>
    <w:rsid w:val="11AA3420"/>
    <w:rsid w:val="11AA75C3"/>
    <w:rsid w:val="11B86BCD"/>
    <w:rsid w:val="11BA2DA2"/>
    <w:rsid w:val="11D22F88"/>
    <w:rsid w:val="11E12C61"/>
    <w:rsid w:val="11E87D0F"/>
    <w:rsid w:val="11EC7E09"/>
    <w:rsid w:val="11EE1F77"/>
    <w:rsid w:val="11F02D04"/>
    <w:rsid w:val="11F347F3"/>
    <w:rsid w:val="11FB1EA3"/>
    <w:rsid w:val="121C30ED"/>
    <w:rsid w:val="12266F4A"/>
    <w:rsid w:val="12297E4D"/>
    <w:rsid w:val="122E2EBF"/>
    <w:rsid w:val="12324728"/>
    <w:rsid w:val="124455B9"/>
    <w:rsid w:val="12476AD8"/>
    <w:rsid w:val="12515FE5"/>
    <w:rsid w:val="12521AED"/>
    <w:rsid w:val="12525F91"/>
    <w:rsid w:val="126D4B79"/>
    <w:rsid w:val="12951F09"/>
    <w:rsid w:val="1298026D"/>
    <w:rsid w:val="129D2BB4"/>
    <w:rsid w:val="12A8130D"/>
    <w:rsid w:val="12AC36BB"/>
    <w:rsid w:val="12B42D57"/>
    <w:rsid w:val="12B45D2C"/>
    <w:rsid w:val="12CC6240"/>
    <w:rsid w:val="12D673A1"/>
    <w:rsid w:val="12D93B40"/>
    <w:rsid w:val="12DD62D4"/>
    <w:rsid w:val="12E01BD4"/>
    <w:rsid w:val="12E34E3B"/>
    <w:rsid w:val="12E63EDB"/>
    <w:rsid w:val="12ED63FC"/>
    <w:rsid w:val="1300693C"/>
    <w:rsid w:val="13210D28"/>
    <w:rsid w:val="13673996"/>
    <w:rsid w:val="136B1B36"/>
    <w:rsid w:val="139B5672"/>
    <w:rsid w:val="13A831D2"/>
    <w:rsid w:val="13AF7A30"/>
    <w:rsid w:val="13BF2BB6"/>
    <w:rsid w:val="13D52145"/>
    <w:rsid w:val="13E2777C"/>
    <w:rsid w:val="13EB653A"/>
    <w:rsid w:val="13EC4BB1"/>
    <w:rsid w:val="142602DA"/>
    <w:rsid w:val="14270D58"/>
    <w:rsid w:val="14301170"/>
    <w:rsid w:val="14522A66"/>
    <w:rsid w:val="145C06AD"/>
    <w:rsid w:val="145D66D4"/>
    <w:rsid w:val="146B08C6"/>
    <w:rsid w:val="14790D0E"/>
    <w:rsid w:val="147B03A7"/>
    <w:rsid w:val="147F1E85"/>
    <w:rsid w:val="148C3FA1"/>
    <w:rsid w:val="148C7156"/>
    <w:rsid w:val="14902B20"/>
    <w:rsid w:val="14926AEC"/>
    <w:rsid w:val="14A66C6D"/>
    <w:rsid w:val="14A7428C"/>
    <w:rsid w:val="14C15298"/>
    <w:rsid w:val="14D6663D"/>
    <w:rsid w:val="14E156DB"/>
    <w:rsid w:val="14E74988"/>
    <w:rsid w:val="14EC2BF5"/>
    <w:rsid w:val="14F4278B"/>
    <w:rsid w:val="15030825"/>
    <w:rsid w:val="152D0EF1"/>
    <w:rsid w:val="154E1A04"/>
    <w:rsid w:val="15585C1E"/>
    <w:rsid w:val="155A7A15"/>
    <w:rsid w:val="15832797"/>
    <w:rsid w:val="159F1653"/>
    <w:rsid w:val="15BB45B7"/>
    <w:rsid w:val="15C61A8F"/>
    <w:rsid w:val="15C731EB"/>
    <w:rsid w:val="15D04CD7"/>
    <w:rsid w:val="15D629FB"/>
    <w:rsid w:val="15E302D1"/>
    <w:rsid w:val="15F0262C"/>
    <w:rsid w:val="15FB3497"/>
    <w:rsid w:val="16064DC1"/>
    <w:rsid w:val="160E4981"/>
    <w:rsid w:val="162A0190"/>
    <w:rsid w:val="16505643"/>
    <w:rsid w:val="16521914"/>
    <w:rsid w:val="16615161"/>
    <w:rsid w:val="16696B63"/>
    <w:rsid w:val="167B0575"/>
    <w:rsid w:val="16924448"/>
    <w:rsid w:val="16943135"/>
    <w:rsid w:val="16A94F58"/>
    <w:rsid w:val="16BA1356"/>
    <w:rsid w:val="16CE3CD0"/>
    <w:rsid w:val="16E704A1"/>
    <w:rsid w:val="16E96D3D"/>
    <w:rsid w:val="16EB2510"/>
    <w:rsid w:val="16EC54CF"/>
    <w:rsid w:val="16EF768A"/>
    <w:rsid w:val="16F4200F"/>
    <w:rsid w:val="16F87B89"/>
    <w:rsid w:val="170C6758"/>
    <w:rsid w:val="17141A67"/>
    <w:rsid w:val="17265F53"/>
    <w:rsid w:val="1739714A"/>
    <w:rsid w:val="174263A9"/>
    <w:rsid w:val="175C56A1"/>
    <w:rsid w:val="175D20B0"/>
    <w:rsid w:val="17835EC5"/>
    <w:rsid w:val="178A3837"/>
    <w:rsid w:val="17920BDE"/>
    <w:rsid w:val="17B01267"/>
    <w:rsid w:val="17B346F1"/>
    <w:rsid w:val="17BD52BE"/>
    <w:rsid w:val="17CF264C"/>
    <w:rsid w:val="17D64B12"/>
    <w:rsid w:val="181B2B48"/>
    <w:rsid w:val="18250E82"/>
    <w:rsid w:val="18280263"/>
    <w:rsid w:val="183C1919"/>
    <w:rsid w:val="18451B22"/>
    <w:rsid w:val="18492C9F"/>
    <w:rsid w:val="185922CA"/>
    <w:rsid w:val="186A38D7"/>
    <w:rsid w:val="187D763D"/>
    <w:rsid w:val="188017FD"/>
    <w:rsid w:val="18864F04"/>
    <w:rsid w:val="18874E40"/>
    <w:rsid w:val="188D2958"/>
    <w:rsid w:val="188D75CF"/>
    <w:rsid w:val="18965615"/>
    <w:rsid w:val="189A50AD"/>
    <w:rsid w:val="189E338B"/>
    <w:rsid w:val="18A11996"/>
    <w:rsid w:val="18AB2587"/>
    <w:rsid w:val="18B3383A"/>
    <w:rsid w:val="18B372A5"/>
    <w:rsid w:val="18B41D16"/>
    <w:rsid w:val="18B47407"/>
    <w:rsid w:val="18B5674D"/>
    <w:rsid w:val="18E54857"/>
    <w:rsid w:val="19092C60"/>
    <w:rsid w:val="191241AF"/>
    <w:rsid w:val="19143034"/>
    <w:rsid w:val="19167532"/>
    <w:rsid w:val="191A5A9D"/>
    <w:rsid w:val="192C3AF3"/>
    <w:rsid w:val="193F4A76"/>
    <w:rsid w:val="19434930"/>
    <w:rsid w:val="1959612E"/>
    <w:rsid w:val="195E172D"/>
    <w:rsid w:val="196911C0"/>
    <w:rsid w:val="199E7D0E"/>
    <w:rsid w:val="19A04F9C"/>
    <w:rsid w:val="19A5777C"/>
    <w:rsid w:val="19BB4AC7"/>
    <w:rsid w:val="19C56EB8"/>
    <w:rsid w:val="19D72A94"/>
    <w:rsid w:val="19E91FC6"/>
    <w:rsid w:val="1A000666"/>
    <w:rsid w:val="1A0D22BB"/>
    <w:rsid w:val="1A210342"/>
    <w:rsid w:val="1A2C607F"/>
    <w:rsid w:val="1A342E5F"/>
    <w:rsid w:val="1A377A0D"/>
    <w:rsid w:val="1A702D22"/>
    <w:rsid w:val="1A725B45"/>
    <w:rsid w:val="1A95222B"/>
    <w:rsid w:val="1A97783C"/>
    <w:rsid w:val="1AA96A6C"/>
    <w:rsid w:val="1AAA2E06"/>
    <w:rsid w:val="1AC31A76"/>
    <w:rsid w:val="1AC74732"/>
    <w:rsid w:val="1AC74A03"/>
    <w:rsid w:val="1AD5073D"/>
    <w:rsid w:val="1AD802D7"/>
    <w:rsid w:val="1ADA7AD6"/>
    <w:rsid w:val="1AE8420C"/>
    <w:rsid w:val="1AFB60D4"/>
    <w:rsid w:val="1B012DFF"/>
    <w:rsid w:val="1B246F05"/>
    <w:rsid w:val="1B285A99"/>
    <w:rsid w:val="1B491608"/>
    <w:rsid w:val="1B560317"/>
    <w:rsid w:val="1BB92BDD"/>
    <w:rsid w:val="1BB93830"/>
    <w:rsid w:val="1BCA4827"/>
    <w:rsid w:val="1BCB4342"/>
    <w:rsid w:val="1BD52E34"/>
    <w:rsid w:val="1C104EF0"/>
    <w:rsid w:val="1C137F0A"/>
    <w:rsid w:val="1C1A3B1D"/>
    <w:rsid w:val="1C2766EF"/>
    <w:rsid w:val="1C372854"/>
    <w:rsid w:val="1C3C1069"/>
    <w:rsid w:val="1C4F496F"/>
    <w:rsid w:val="1C53643F"/>
    <w:rsid w:val="1C5D1817"/>
    <w:rsid w:val="1C6646A5"/>
    <w:rsid w:val="1C883DA6"/>
    <w:rsid w:val="1C8A62BF"/>
    <w:rsid w:val="1C975CFC"/>
    <w:rsid w:val="1C9A3055"/>
    <w:rsid w:val="1CA87967"/>
    <w:rsid w:val="1CB033D3"/>
    <w:rsid w:val="1CC03ABA"/>
    <w:rsid w:val="1CC80FF4"/>
    <w:rsid w:val="1CC933AA"/>
    <w:rsid w:val="1CCE26B8"/>
    <w:rsid w:val="1CD23A1D"/>
    <w:rsid w:val="1CE91227"/>
    <w:rsid w:val="1D083E28"/>
    <w:rsid w:val="1D0C499E"/>
    <w:rsid w:val="1D201555"/>
    <w:rsid w:val="1D2D4A96"/>
    <w:rsid w:val="1D310042"/>
    <w:rsid w:val="1D3F4CBF"/>
    <w:rsid w:val="1D517770"/>
    <w:rsid w:val="1D530615"/>
    <w:rsid w:val="1D6A6EED"/>
    <w:rsid w:val="1D7B7AB7"/>
    <w:rsid w:val="1D8D1AF4"/>
    <w:rsid w:val="1DA03128"/>
    <w:rsid w:val="1DB06977"/>
    <w:rsid w:val="1DCF0496"/>
    <w:rsid w:val="1DD67A76"/>
    <w:rsid w:val="1DE37094"/>
    <w:rsid w:val="1DFA1472"/>
    <w:rsid w:val="1E0006D9"/>
    <w:rsid w:val="1E1E1BF4"/>
    <w:rsid w:val="1E1F6CB8"/>
    <w:rsid w:val="1E2078CE"/>
    <w:rsid w:val="1E230BDE"/>
    <w:rsid w:val="1E247634"/>
    <w:rsid w:val="1E302A17"/>
    <w:rsid w:val="1E30601E"/>
    <w:rsid w:val="1E436DB2"/>
    <w:rsid w:val="1E731B28"/>
    <w:rsid w:val="1E746983"/>
    <w:rsid w:val="1E79661C"/>
    <w:rsid w:val="1E8A455B"/>
    <w:rsid w:val="1E950147"/>
    <w:rsid w:val="1EAC5531"/>
    <w:rsid w:val="1EAF485F"/>
    <w:rsid w:val="1EB11053"/>
    <w:rsid w:val="1EC27FFB"/>
    <w:rsid w:val="1ECA5B8E"/>
    <w:rsid w:val="1EDA5318"/>
    <w:rsid w:val="1EDB762C"/>
    <w:rsid w:val="1EDF18B6"/>
    <w:rsid w:val="1F0E4757"/>
    <w:rsid w:val="1F1567E0"/>
    <w:rsid w:val="1F28719D"/>
    <w:rsid w:val="1F4B0F1C"/>
    <w:rsid w:val="1F5E5F75"/>
    <w:rsid w:val="1F62668D"/>
    <w:rsid w:val="1F63408D"/>
    <w:rsid w:val="1F65194D"/>
    <w:rsid w:val="1F8E36CF"/>
    <w:rsid w:val="1FB6524A"/>
    <w:rsid w:val="1FC87EB7"/>
    <w:rsid w:val="1FCF4B0D"/>
    <w:rsid w:val="1FE516CD"/>
    <w:rsid w:val="1FE75612"/>
    <w:rsid w:val="1FE842E7"/>
    <w:rsid w:val="1FFC60C0"/>
    <w:rsid w:val="1FFD4E88"/>
    <w:rsid w:val="1FFD539C"/>
    <w:rsid w:val="2012512B"/>
    <w:rsid w:val="20136430"/>
    <w:rsid w:val="203E3791"/>
    <w:rsid w:val="204E4DDD"/>
    <w:rsid w:val="205212EA"/>
    <w:rsid w:val="20580C17"/>
    <w:rsid w:val="20607263"/>
    <w:rsid w:val="2069194E"/>
    <w:rsid w:val="206A35BB"/>
    <w:rsid w:val="206D4753"/>
    <w:rsid w:val="208863EE"/>
    <w:rsid w:val="20936033"/>
    <w:rsid w:val="20971F13"/>
    <w:rsid w:val="209D454A"/>
    <w:rsid w:val="20A71DBE"/>
    <w:rsid w:val="20B8621B"/>
    <w:rsid w:val="20EC58DA"/>
    <w:rsid w:val="21021984"/>
    <w:rsid w:val="210B645A"/>
    <w:rsid w:val="211E5D7D"/>
    <w:rsid w:val="21535882"/>
    <w:rsid w:val="21565A2C"/>
    <w:rsid w:val="216B6466"/>
    <w:rsid w:val="216D3D5E"/>
    <w:rsid w:val="21722AD1"/>
    <w:rsid w:val="217648CA"/>
    <w:rsid w:val="217C3A90"/>
    <w:rsid w:val="219A5304"/>
    <w:rsid w:val="219C68C6"/>
    <w:rsid w:val="21AD32B9"/>
    <w:rsid w:val="21B1732D"/>
    <w:rsid w:val="21B26DD5"/>
    <w:rsid w:val="21B44156"/>
    <w:rsid w:val="21B67D2D"/>
    <w:rsid w:val="21C21ABD"/>
    <w:rsid w:val="21EF50E1"/>
    <w:rsid w:val="22203108"/>
    <w:rsid w:val="22330B20"/>
    <w:rsid w:val="224F21FC"/>
    <w:rsid w:val="22520116"/>
    <w:rsid w:val="225C2230"/>
    <w:rsid w:val="22621865"/>
    <w:rsid w:val="22716DA9"/>
    <w:rsid w:val="227A1769"/>
    <w:rsid w:val="228174F2"/>
    <w:rsid w:val="228F60A9"/>
    <w:rsid w:val="229B7004"/>
    <w:rsid w:val="22A20197"/>
    <w:rsid w:val="22B061B6"/>
    <w:rsid w:val="22B36277"/>
    <w:rsid w:val="22E36E10"/>
    <w:rsid w:val="23187E18"/>
    <w:rsid w:val="233D6FAB"/>
    <w:rsid w:val="234834E5"/>
    <w:rsid w:val="2349430D"/>
    <w:rsid w:val="234F3CB0"/>
    <w:rsid w:val="235C3954"/>
    <w:rsid w:val="23630F44"/>
    <w:rsid w:val="23687AFD"/>
    <w:rsid w:val="236965E6"/>
    <w:rsid w:val="236C34CF"/>
    <w:rsid w:val="238207AD"/>
    <w:rsid w:val="23843FB0"/>
    <w:rsid w:val="23A04402"/>
    <w:rsid w:val="23A44DBB"/>
    <w:rsid w:val="23A5398E"/>
    <w:rsid w:val="23A604FB"/>
    <w:rsid w:val="23AB63B9"/>
    <w:rsid w:val="23C9355E"/>
    <w:rsid w:val="23D97A5F"/>
    <w:rsid w:val="23DF47EF"/>
    <w:rsid w:val="23E07A29"/>
    <w:rsid w:val="23EC544F"/>
    <w:rsid w:val="23F0072D"/>
    <w:rsid w:val="24057FC8"/>
    <w:rsid w:val="24285180"/>
    <w:rsid w:val="243A29BC"/>
    <w:rsid w:val="244A225F"/>
    <w:rsid w:val="245D0E0D"/>
    <w:rsid w:val="24610C3D"/>
    <w:rsid w:val="246D35EF"/>
    <w:rsid w:val="248A14E7"/>
    <w:rsid w:val="248B39FC"/>
    <w:rsid w:val="248B73B3"/>
    <w:rsid w:val="24A0419E"/>
    <w:rsid w:val="24B8535B"/>
    <w:rsid w:val="24CC0649"/>
    <w:rsid w:val="24CE042C"/>
    <w:rsid w:val="24D91C17"/>
    <w:rsid w:val="24F414B1"/>
    <w:rsid w:val="251C1370"/>
    <w:rsid w:val="25326629"/>
    <w:rsid w:val="25396722"/>
    <w:rsid w:val="253B4951"/>
    <w:rsid w:val="25415037"/>
    <w:rsid w:val="254A1CFB"/>
    <w:rsid w:val="254F24A2"/>
    <w:rsid w:val="25564A7F"/>
    <w:rsid w:val="2565411E"/>
    <w:rsid w:val="256B3439"/>
    <w:rsid w:val="25937642"/>
    <w:rsid w:val="25987501"/>
    <w:rsid w:val="25B520C7"/>
    <w:rsid w:val="25B553B9"/>
    <w:rsid w:val="25BB4979"/>
    <w:rsid w:val="25C363F1"/>
    <w:rsid w:val="25C92AE1"/>
    <w:rsid w:val="25DA16DD"/>
    <w:rsid w:val="25E87891"/>
    <w:rsid w:val="25F03408"/>
    <w:rsid w:val="26013CBF"/>
    <w:rsid w:val="26036512"/>
    <w:rsid w:val="261372DA"/>
    <w:rsid w:val="261D2218"/>
    <w:rsid w:val="26333950"/>
    <w:rsid w:val="263758F0"/>
    <w:rsid w:val="263A2982"/>
    <w:rsid w:val="26450CB7"/>
    <w:rsid w:val="264777D9"/>
    <w:rsid w:val="264F0351"/>
    <w:rsid w:val="265E0559"/>
    <w:rsid w:val="26795443"/>
    <w:rsid w:val="267D744D"/>
    <w:rsid w:val="268E6F79"/>
    <w:rsid w:val="26967E82"/>
    <w:rsid w:val="269876D3"/>
    <w:rsid w:val="26A60936"/>
    <w:rsid w:val="26B77EE0"/>
    <w:rsid w:val="26C6392A"/>
    <w:rsid w:val="26CD0049"/>
    <w:rsid w:val="26E4040B"/>
    <w:rsid w:val="27052155"/>
    <w:rsid w:val="27095F71"/>
    <w:rsid w:val="270F224B"/>
    <w:rsid w:val="271414AB"/>
    <w:rsid w:val="27726E84"/>
    <w:rsid w:val="27825FCA"/>
    <w:rsid w:val="27893DAB"/>
    <w:rsid w:val="27A44EC3"/>
    <w:rsid w:val="27AD3D9F"/>
    <w:rsid w:val="27AE5470"/>
    <w:rsid w:val="27F361B5"/>
    <w:rsid w:val="280C55A0"/>
    <w:rsid w:val="28103A79"/>
    <w:rsid w:val="281201EF"/>
    <w:rsid w:val="281217F5"/>
    <w:rsid w:val="281F2C62"/>
    <w:rsid w:val="282966B1"/>
    <w:rsid w:val="282F0B85"/>
    <w:rsid w:val="284A4177"/>
    <w:rsid w:val="2859473E"/>
    <w:rsid w:val="28691DDD"/>
    <w:rsid w:val="288D75BC"/>
    <w:rsid w:val="28C15112"/>
    <w:rsid w:val="28C70A77"/>
    <w:rsid w:val="28C745E9"/>
    <w:rsid w:val="28D02A64"/>
    <w:rsid w:val="28DD4269"/>
    <w:rsid w:val="28EF60D1"/>
    <w:rsid w:val="28F7386B"/>
    <w:rsid w:val="28FB2A87"/>
    <w:rsid w:val="28FD0B30"/>
    <w:rsid w:val="29047C62"/>
    <w:rsid w:val="29054FB3"/>
    <w:rsid w:val="291538E3"/>
    <w:rsid w:val="29192499"/>
    <w:rsid w:val="292337E5"/>
    <w:rsid w:val="293556BF"/>
    <w:rsid w:val="29380A65"/>
    <w:rsid w:val="296D7429"/>
    <w:rsid w:val="29713987"/>
    <w:rsid w:val="29796457"/>
    <w:rsid w:val="298C5842"/>
    <w:rsid w:val="29955CC7"/>
    <w:rsid w:val="29BB0302"/>
    <w:rsid w:val="29CE1B76"/>
    <w:rsid w:val="29DB582C"/>
    <w:rsid w:val="29ED0ECC"/>
    <w:rsid w:val="2A1502C9"/>
    <w:rsid w:val="2A151C5C"/>
    <w:rsid w:val="2A1568E4"/>
    <w:rsid w:val="2A1C1189"/>
    <w:rsid w:val="2A2040D2"/>
    <w:rsid w:val="2A24600D"/>
    <w:rsid w:val="2A2F2642"/>
    <w:rsid w:val="2A344D94"/>
    <w:rsid w:val="2A357DCE"/>
    <w:rsid w:val="2A4C2C3D"/>
    <w:rsid w:val="2A583955"/>
    <w:rsid w:val="2A77438F"/>
    <w:rsid w:val="2A7800B7"/>
    <w:rsid w:val="2A7A5EBF"/>
    <w:rsid w:val="2A863051"/>
    <w:rsid w:val="2A873EDF"/>
    <w:rsid w:val="2A9345BD"/>
    <w:rsid w:val="2A9C5B30"/>
    <w:rsid w:val="2AAD0E5E"/>
    <w:rsid w:val="2AAD1AC7"/>
    <w:rsid w:val="2AB4026D"/>
    <w:rsid w:val="2AC3303F"/>
    <w:rsid w:val="2AC37859"/>
    <w:rsid w:val="2AD82E5B"/>
    <w:rsid w:val="2ADB00D0"/>
    <w:rsid w:val="2AE76459"/>
    <w:rsid w:val="2AED3CFA"/>
    <w:rsid w:val="2AED757D"/>
    <w:rsid w:val="2AEE177B"/>
    <w:rsid w:val="2AF33F9D"/>
    <w:rsid w:val="2AFA7C6E"/>
    <w:rsid w:val="2AFD3F94"/>
    <w:rsid w:val="2B03308E"/>
    <w:rsid w:val="2B0425EF"/>
    <w:rsid w:val="2B2217ED"/>
    <w:rsid w:val="2B441C3C"/>
    <w:rsid w:val="2B484656"/>
    <w:rsid w:val="2B5531E7"/>
    <w:rsid w:val="2B79793F"/>
    <w:rsid w:val="2B7B67CF"/>
    <w:rsid w:val="2B8E02DB"/>
    <w:rsid w:val="2B9B7D8D"/>
    <w:rsid w:val="2B9F159F"/>
    <w:rsid w:val="2BB60B91"/>
    <w:rsid w:val="2BCC2C8F"/>
    <w:rsid w:val="2BCC3EF6"/>
    <w:rsid w:val="2BE0744F"/>
    <w:rsid w:val="2C0702A5"/>
    <w:rsid w:val="2C0A6A50"/>
    <w:rsid w:val="2C4B05A4"/>
    <w:rsid w:val="2C556A1B"/>
    <w:rsid w:val="2C8B12B1"/>
    <w:rsid w:val="2C952DB1"/>
    <w:rsid w:val="2C9C3418"/>
    <w:rsid w:val="2CAC29D6"/>
    <w:rsid w:val="2CAC6FC5"/>
    <w:rsid w:val="2CB957BB"/>
    <w:rsid w:val="2CDD64C3"/>
    <w:rsid w:val="2CF0733B"/>
    <w:rsid w:val="2D1623D7"/>
    <w:rsid w:val="2D2B45A9"/>
    <w:rsid w:val="2D3124F3"/>
    <w:rsid w:val="2D8825E8"/>
    <w:rsid w:val="2D8C29C0"/>
    <w:rsid w:val="2D924BA0"/>
    <w:rsid w:val="2D946260"/>
    <w:rsid w:val="2DA74612"/>
    <w:rsid w:val="2DA76D39"/>
    <w:rsid w:val="2DB55761"/>
    <w:rsid w:val="2DB9365A"/>
    <w:rsid w:val="2DEA7B0C"/>
    <w:rsid w:val="2DFC224F"/>
    <w:rsid w:val="2E020E22"/>
    <w:rsid w:val="2E093F97"/>
    <w:rsid w:val="2E0F6725"/>
    <w:rsid w:val="2E371402"/>
    <w:rsid w:val="2E4F2027"/>
    <w:rsid w:val="2E50181A"/>
    <w:rsid w:val="2E5141E3"/>
    <w:rsid w:val="2E6B04F6"/>
    <w:rsid w:val="2E793EC5"/>
    <w:rsid w:val="2E894442"/>
    <w:rsid w:val="2E8C5D75"/>
    <w:rsid w:val="2E965E1A"/>
    <w:rsid w:val="2E9E470A"/>
    <w:rsid w:val="2ECC0DCF"/>
    <w:rsid w:val="2EE57852"/>
    <w:rsid w:val="2EEB4239"/>
    <w:rsid w:val="2EED0F1A"/>
    <w:rsid w:val="2EF44F09"/>
    <w:rsid w:val="2EFA733D"/>
    <w:rsid w:val="2F005A6B"/>
    <w:rsid w:val="2F050AB9"/>
    <w:rsid w:val="2F0C6C10"/>
    <w:rsid w:val="2F12101B"/>
    <w:rsid w:val="2F260A8B"/>
    <w:rsid w:val="2F465FD4"/>
    <w:rsid w:val="2F596B17"/>
    <w:rsid w:val="2F5E21F8"/>
    <w:rsid w:val="2F6B56CF"/>
    <w:rsid w:val="2F77098D"/>
    <w:rsid w:val="2F781BEF"/>
    <w:rsid w:val="2FA026BE"/>
    <w:rsid w:val="2FB27BEF"/>
    <w:rsid w:val="2FC15DE7"/>
    <w:rsid w:val="2FC2261D"/>
    <w:rsid w:val="2FCC5607"/>
    <w:rsid w:val="2FD005A7"/>
    <w:rsid w:val="2FD31004"/>
    <w:rsid w:val="2FE7726A"/>
    <w:rsid w:val="2FEF38D2"/>
    <w:rsid w:val="2FFE5750"/>
    <w:rsid w:val="30133FEC"/>
    <w:rsid w:val="30171721"/>
    <w:rsid w:val="301B4CBA"/>
    <w:rsid w:val="302A3F8C"/>
    <w:rsid w:val="302E0FC2"/>
    <w:rsid w:val="303A6A53"/>
    <w:rsid w:val="30534F57"/>
    <w:rsid w:val="308415B4"/>
    <w:rsid w:val="3099322C"/>
    <w:rsid w:val="30A34250"/>
    <w:rsid w:val="30A954C6"/>
    <w:rsid w:val="30B926F0"/>
    <w:rsid w:val="30BE5ADD"/>
    <w:rsid w:val="30CF1847"/>
    <w:rsid w:val="30D92EC8"/>
    <w:rsid w:val="30D93A3C"/>
    <w:rsid w:val="30E63698"/>
    <w:rsid w:val="30E9359A"/>
    <w:rsid w:val="30FA3624"/>
    <w:rsid w:val="3107208D"/>
    <w:rsid w:val="31170BA2"/>
    <w:rsid w:val="311D7237"/>
    <w:rsid w:val="311E37B6"/>
    <w:rsid w:val="312106D4"/>
    <w:rsid w:val="31367793"/>
    <w:rsid w:val="314F6109"/>
    <w:rsid w:val="319412B0"/>
    <w:rsid w:val="31970A82"/>
    <w:rsid w:val="31984C7C"/>
    <w:rsid w:val="31A50089"/>
    <w:rsid w:val="31A737AC"/>
    <w:rsid w:val="31AA2E09"/>
    <w:rsid w:val="31AE180F"/>
    <w:rsid w:val="31B1512E"/>
    <w:rsid w:val="31B6389F"/>
    <w:rsid w:val="31CA2CA7"/>
    <w:rsid w:val="31DE235E"/>
    <w:rsid w:val="31F664E1"/>
    <w:rsid w:val="31FB70AF"/>
    <w:rsid w:val="31FE7CFD"/>
    <w:rsid w:val="32140399"/>
    <w:rsid w:val="32291C1E"/>
    <w:rsid w:val="32306778"/>
    <w:rsid w:val="323D6C3E"/>
    <w:rsid w:val="32410290"/>
    <w:rsid w:val="32423CFA"/>
    <w:rsid w:val="324701F0"/>
    <w:rsid w:val="3259416D"/>
    <w:rsid w:val="328B38E5"/>
    <w:rsid w:val="32D22AAA"/>
    <w:rsid w:val="32D7726D"/>
    <w:rsid w:val="32E70187"/>
    <w:rsid w:val="32F26657"/>
    <w:rsid w:val="3304573D"/>
    <w:rsid w:val="331722CF"/>
    <w:rsid w:val="33173BEF"/>
    <w:rsid w:val="331A3C93"/>
    <w:rsid w:val="33294694"/>
    <w:rsid w:val="332E5807"/>
    <w:rsid w:val="33301D0B"/>
    <w:rsid w:val="33453BD9"/>
    <w:rsid w:val="33547F3B"/>
    <w:rsid w:val="33647904"/>
    <w:rsid w:val="337378E0"/>
    <w:rsid w:val="33775020"/>
    <w:rsid w:val="337B0DB2"/>
    <w:rsid w:val="338C49AF"/>
    <w:rsid w:val="33B81CF4"/>
    <w:rsid w:val="33C2127A"/>
    <w:rsid w:val="33D421CD"/>
    <w:rsid w:val="33E40CA2"/>
    <w:rsid w:val="33EC2D9B"/>
    <w:rsid w:val="33EE2C3E"/>
    <w:rsid w:val="33F20882"/>
    <w:rsid w:val="33FB2829"/>
    <w:rsid w:val="342663B4"/>
    <w:rsid w:val="342C7029"/>
    <w:rsid w:val="3447735E"/>
    <w:rsid w:val="345D0E42"/>
    <w:rsid w:val="346D70E3"/>
    <w:rsid w:val="34770AC9"/>
    <w:rsid w:val="34821B53"/>
    <w:rsid w:val="348670BC"/>
    <w:rsid w:val="34A14AE4"/>
    <w:rsid w:val="34A20801"/>
    <w:rsid w:val="34A41415"/>
    <w:rsid w:val="34AB1110"/>
    <w:rsid w:val="34BF2BBB"/>
    <w:rsid w:val="34D13489"/>
    <w:rsid w:val="34DA3E98"/>
    <w:rsid w:val="34E41CFD"/>
    <w:rsid w:val="34EB7A27"/>
    <w:rsid w:val="35134ED1"/>
    <w:rsid w:val="351F6164"/>
    <w:rsid w:val="35223149"/>
    <w:rsid w:val="352944D8"/>
    <w:rsid w:val="352B27FB"/>
    <w:rsid w:val="35324F1A"/>
    <w:rsid w:val="3535115B"/>
    <w:rsid w:val="35420E90"/>
    <w:rsid w:val="355F3DEC"/>
    <w:rsid w:val="35615559"/>
    <w:rsid w:val="357D5B28"/>
    <w:rsid w:val="3586192A"/>
    <w:rsid w:val="358942E4"/>
    <w:rsid w:val="358C41D7"/>
    <w:rsid w:val="358D4A67"/>
    <w:rsid w:val="359A307E"/>
    <w:rsid w:val="359F4304"/>
    <w:rsid w:val="35AB5616"/>
    <w:rsid w:val="35B00AA5"/>
    <w:rsid w:val="35C51944"/>
    <w:rsid w:val="35C538AF"/>
    <w:rsid w:val="35F76481"/>
    <w:rsid w:val="35FA7C22"/>
    <w:rsid w:val="35FD7A5D"/>
    <w:rsid w:val="35FE0BA4"/>
    <w:rsid w:val="36044CAC"/>
    <w:rsid w:val="361F09E6"/>
    <w:rsid w:val="362B4B6B"/>
    <w:rsid w:val="362C28CF"/>
    <w:rsid w:val="363D7BCF"/>
    <w:rsid w:val="3640708F"/>
    <w:rsid w:val="365F40C1"/>
    <w:rsid w:val="366208C9"/>
    <w:rsid w:val="36675A35"/>
    <w:rsid w:val="366C1BB2"/>
    <w:rsid w:val="3676742A"/>
    <w:rsid w:val="36822E1D"/>
    <w:rsid w:val="368340BC"/>
    <w:rsid w:val="369C526F"/>
    <w:rsid w:val="36B3701A"/>
    <w:rsid w:val="36BC2CFF"/>
    <w:rsid w:val="36C572CB"/>
    <w:rsid w:val="36D56D85"/>
    <w:rsid w:val="36D77448"/>
    <w:rsid w:val="36F54FB9"/>
    <w:rsid w:val="36F71BC2"/>
    <w:rsid w:val="36F90C15"/>
    <w:rsid w:val="36F9217D"/>
    <w:rsid w:val="37006263"/>
    <w:rsid w:val="37022D72"/>
    <w:rsid w:val="372A73A8"/>
    <w:rsid w:val="37307F67"/>
    <w:rsid w:val="374D3B84"/>
    <w:rsid w:val="374E22D5"/>
    <w:rsid w:val="374E6BDB"/>
    <w:rsid w:val="37612DC0"/>
    <w:rsid w:val="37725826"/>
    <w:rsid w:val="377A61BA"/>
    <w:rsid w:val="377B3686"/>
    <w:rsid w:val="378036F3"/>
    <w:rsid w:val="378E069A"/>
    <w:rsid w:val="37A44758"/>
    <w:rsid w:val="37A778DB"/>
    <w:rsid w:val="37AB4D31"/>
    <w:rsid w:val="37E92A47"/>
    <w:rsid w:val="381C4712"/>
    <w:rsid w:val="382227F2"/>
    <w:rsid w:val="382561D2"/>
    <w:rsid w:val="382B67B9"/>
    <w:rsid w:val="382D342C"/>
    <w:rsid w:val="384A2968"/>
    <w:rsid w:val="385002DB"/>
    <w:rsid w:val="386A0D95"/>
    <w:rsid w:val="387138E4"/>
    <w:rsid w:val="387519F3"/>
    <w:rsid w:val="387A58E0"/>
    <w:rsid w:val="387E5876"/>
    <w:rsid w:val="38946EF3"/>
    <w:rsid w:val="38AD1D36"/>
    <w:rsid w:val="38BB7C06"/>
    <w:rsid w:val="38FA0565"/>
    <w:rsid w:val="39063827"/>
    <w:rsid w:val="3916072B"/>
    <w:rsid w:val="391D00FB"/>
    <w:rsid w:val="39216B45"/>
    <w:rsid w:val="39371EBF"/>
    <w:rsid w:val="393A2270"/>
    <w:rsid w:val="39460A3B"/>
    <w:rsid w:val="394D6D52"/>
    <w:rsid w:val="395C3D4C"/>
    <w:rsid w:val="39624CBD"/>
    <w:rsid w:val="396B645B"/>
    <w:rsid w:val="396C570C"/>
    <w:rsid w:val="396F11F6"/>
    <w:rsid w:val="399336CD"/>
    <w:rsid w:val="39997BA6"/>
    <w:rsid w:val="399C0107"/>
    <w:rsid w:val="39A07084"/>
    <w:rsid w:val="39AB69F6"/>
    <w:rsid w:val="39AE1224"/>
    <w:rsid w:val="39AE3277"/>
    <w:rsid w:val="39B91F2C"/>
    <w:rsid w:val="39BB33C8"/>
    <w:rsid w:val="39EE39D7"/>
    <w:rsid w:val="39F31751"/>
    <w:rsid w:val="39FA12BA"/>
    <w:rsid w:val="39FD3633"/>
    <w:rsid w:val="3A210DEE"/>
    <w:rsid w:val="3A382CD3"/>
    <w:rsid w:val="3A3E03BF"/>
    <w:rsid w:val="3A4D11BD"/>
    <w:rsid w:val="3A5626EB"/>
    <w:rsid w:val="3A567C79"/>
    <w:rsid w:val="3A5A260E"/>
    <w:rsid w:val="3A6B16E8"/>
    <w:rsid w:val="3A6F5D60"/>
    <w:rsid w:val="3A946F4F"/>
    <w:rsid w:val="3AB66EE8"/>
    <w:rsid w:val="3ABC356A"/>
    <w:rsid w:val="3ABD0BC7"/>
    <w:rsid w:val="3ABD5CA2"/>
    <w:rsid w:val="3AC0178A"/>
    <w:rsid w:val="3AC31B87"/>
    <w:rsid w:val="3AC468C8"/>
    <w:rsid w:val="3AC5283A"/>
    <w:rsid w:val="3AC67791"/>
    <w:rsid w:val="3AED6BD3"/>
    <w:rsid w:val="3B0A513C"/>
    <w:rsid w:val="3B28255A"/>
    <w:rsid w:val="3B2E0CDB"/>
    <w:rsid w:val="3B3B6D13"/>
    <w:rsid w:val="3B4C36AF"/>
    <w:rsid w:val="3B6416BF"/>
    <w:rsid w:val="3B716D4B"/>
    <w:rsid w:val="3B744385"/>
    <w:rsid w:val="3B793D1A"/>
    <w:rsid w:val="3BA136C8"/>
    <w:rsid w:val="3BB63F97"/>
    <w:rsid w:val="3BC2055C"/>
    <w:rsid w:val="3BE612DE"/>
    <w:rsid w:val="3BEF2626"/>
    <w:rsid w:val="3C0935E5"/>
    <w:rsid w:val="3C123E33"/>
    <w:rsid w:val="3C165EA1"/>
    <w:rsid w:val="3C2025E5"/>
    <w:rsid w:val="3C22457B"/>
    <w:rsid w:val="3C242FBF"/>
    <w:rsid w:val="3C2564BB"/>
    <w:rsid w:val="3C355759"/>
    <w:rsid w:val="3C40046F"/>
    <w:rsid w:val="3C4A69C1"/>
    <w:rsid w:val="3C5B4265"/>
    <w:rsid w:val="3C76082F"/>
    <w:rsid w:val="3C7F3A5E"/>
    <w:rsid w:val="3C8E2010"/>
    <w:rsid w:val="3C8F4478"/>
    <w:rsid w:val="3C9425E8"/>
    <w:rsid w:val="3CA82D41"/>
    <w:rsid w:val="3CB83385"/>
    <w:rsid w:val="3CC03974"/>
    <w:rsid w:val="3CC51BC2"/>
    <w:rsid w:val="3CCF12B7"/>
    <w:rsid w:val="3CDB46AD"/>
    <w:rsid w:val="3CDE621C"/>
    <w:rsid w:val="3CE64664"/>
    <w:rsid w:val="3CEC7BD4"/>
    <w:rsid w:val="3CF65028"/>
    <w:rsid w:val="3CF92564"/>
    <w:rsid w:val="3CFB2C9B"/>
    <w:rsid w:val="3D0051DC"/>
    <w:rsid w:val="3D005F6C"/>
    <w:rsid w:val="3D381F88"/>
    <w:rsid w:val="3D493A44"/>
    <w:rsid w:val="3D4F4DA8"/>
    <w:rsid w:val="3D532A3A"/>
    <w:rsid w:val="3D664B8A"/>
    <w:rsid w:val="3D6B4BC4"/>
    <w:rsid w:val="3D74475E"/>
    <w:rsid w:val="3D7D1865"/>
    <w:rsid w:val="3D8C0F55"/>
    <w:rsid w:val="3D8C713C"/>
    <w:rsid w:val="3D8E75CE"/>
    <w:rsid w:val="3D9306B3"/>
    <w:rsid w:val="3D94180F"/>
    <w:rsid w:val="3DA81BD2"/>
    <w:rsid w:val="3DAA673E"/>
    <w:rsid w:val="3DC96858"/>
    <w:rsid w:val="3DCB0822"/>
    <w:rsid w:val="3DD41223"/>
    <w:rsid w:val="3DDC4A36"/>
    <w:rsid w:val="3DF11BC3"/>
    <w:rsid w:val="3E067A87"/>
    <w:rsid w:val="3E091C79"/>
    <w:rsid w:val="3E1748CE"/>
    <w:rsid w:val="3E1E276F"/>
    <w:rsid w:val="3E242A1A"/>
    <w:rsid w:val="3E2D4F0B"/>
    <w:rsid w:val="3E2D72C1"/>
    <w:rsid w:val="3E2F1D93"/>
    <w:rsid w:val="3E55075E"/>
    <w:rsid w:val="3E550A84"/>
    <w:rsid w:val="3E5C73DF"/>
    <w:rsid w:val="3E617B62"/>
    <w:rsid w:val="3E681345"/>
    <w:rsid w:val="3E772B6A"/>
    <w:rsid w:val="3E7F5EFF"/>
    <w:rsid w:val="3E985119"/>
    <w:rsid w:val="3E9E2047"/>
    <w:rsid w:val="3E9F4BFC"/>
    <w:rsid w:val="3EBC47F8"/>
    <w:rsid w:val="3EE93E04"/>
    <w:rsid w:val="3EEF6A46"/>
    <w:rsid w:val="3EF278C0"/>
    <w:rsid w:val="3F1A051E"/>
    <w:rsid w:val="3F1C3119"/>
    <w:rsid w:val="3F233925"/>
    <w:rsid w:val="3F49778D"/>
    <w:rsid w:val="3F4C6CE8"/>
    <w:rsid w:val="3F503C1B"/>
    <w:rsid w:val="3F5A2215"/>
    <w:rsid w:val="3F724CCD"/>
    <w:rsid w:val="3F834764"/>
    <w:rsid w:val="3F881E55"/>
    <w:rsid w:val="3F8F0D7E"/>
    <w:rsid w:val="3F941F4C"/>
    <w:rsid w:val="3F94295F"/>
    <w:rsid w:val="3F9B0D9F"/>
    <w:rsid w:val="3F9F5A84"/>
    <w:rsid w:val="3FA55464"/>
    <w:rsid w:val="3FA851D5"/>
    <w:rsid w:val="3FAB60B0"/>
    <w:rsid w:val="3FB13A48"/>
    <w:rsid w:val="3FB60937"/>
    <w:rsid w:val="3FBD3A8A"/>
    <w:rsid w:val="3FC369A0"/>
    <w:rsid w:val="3FC419CD"/>
    <w:rsid w:val="3FD93CF2"/>
    <w:rsid w:val="3FE146DD"/>
    <w:rsid w:val="3FE9325F"/>
    <w:rsid w:val="3FF250A7"/>
    <w:rsid w:val="3FF720A3"/>
    <w:rsid w:val="3FF97AF3"/>
    <w:rsid w:val="4013200C"/>
    <w:rsid w:val="403B3537"/>
    <w:rsid w:val="40434307"/>
    <w:rsid w:val="406E7B8B"/>
    <w:rsid w:val="40795E02"/>
    <w:rsid w:val="4081166C"/>
    <w:rsid w:val="40854466"/>
    <w:rsid w:val="408E3D89"/>
    <w:rsid w:val="409F3387"/>
    <w:rsid w:val="40A05445"/>
    <w:rsid w:val="40A50651"/>
    <w:rsid w:val="40AC7BA9"/>
    <w:rsid w:val="40BB3E59"/>
    <w:rsid w:val="40D76677"/>
    <w:rsid w:val="40F64FBA"/>
    <w:rsid w:val="41003DB0"/>
    <w:rsid w:val="4102683A"/>
    <w:rsid w:val="412D686F"/>
    <w:rsid w:val="41336B88"/>
    <w:rsid w:val="413B0D91"/>
    <w:rsid w:val="41422A70"/>
    <w:rsid w:val="41470330"/>
    <w:rsid w:val="414803DC"/>
    <w:rsid w:val="417A1ED2"/>
    <w:rsid w:val="418F600A"/>
    <w:rsid w:val="41AA03F8"/>
    <w:rsid w:val="41B94493"/>
    <w:rsid w:val="41CD3503"/>
    <w:rsid w:val="41DD015C"/>
    <w:rsid w:val="41DD5957"/>
    <w:rsid w:val="41E25B70"/>
    <w:rsid w:val="41F856DF"/>
    <w:rsid w:val="422E4822"/>
    <w:rsid w:val="4250145A"/>
    <w:rsid w:val="425D2BEB"/>
    <w:rsid w:val="426A084C"/>
    <w:rsid w:val="42754789"/>
    <w:rsid w:val="428827CD"/>
    <w:rsid w:val="429B34DC"/>
    <w:rsid w:val="42A7795B"/>
    <w:rsid w:val="42BE69D7"/>
    <w:rsid w:val="42D17AB2"/>
    <w:rsid w:val="42EE427E"/>
    <w:rsid w:val="42F25864"/>
    <w:rsid w:val="42F41924"/>
    <w:rsid w:val="42F43161"/>
    <w:rsid w:val="43064F71"/>
    <w:rsid w:val="430E4C3F"/>
    <w:rsid w:val="4335365D"/>
    <w:rsid w:val="43395FD9"/>
    <w:rsid w:val="43404B34"/>
    <w:rsid w:val="434114E0"/>
    <w:rsid w:val="4355648A"/>
    <w:rsid w:val="435A4110"/>
    <w:rsid w:val="435C1379"/>
    <w:rsid w:val="43633801"/>
    <w:rsid w:val="43680F83"/>
    <w:rsid w:val="437F778B"/>
    <w:rsid w:val="438C142F"/>
    <w:rsid w:val="43A97E5E"/>
    <w:rsid w:val="43BB2531"/>
    <w:rsid w:val="43D7749F"/>
    <w:rsid w:val="43E23B3B"/>
    <w:rsid w:val="43E540D6"/>
    <w:rsid w:val="43E669BC"/>
    <w:rsid w:val="43EE3D70"/>
    <w:rsid w:val="43FB34E3"/>
    <w:rsid w:val="43FC31C6"/>
    <w:rsid w:val="443963F9"/>
    <w:rsid w:val="444A0B38"/>
    <w:rsid w:val="445A645C"/>
    <w:rsid w:val="445E033A"/>
    <w:rsid w:val="446F0254"/>
    <w:rsid w:val="447476FD"/>
    <w:rsid w:val="448C7B84"/>
    <w:rsid w:val="449E7A38"/>
    <w:rsid w:val="44A37A63"/>
    <w:rsid w:val="44A52FE9"/>
    <w:rsid w:val="44A70903"/>
    <w:rsid w:val="44AB056A"/>
    <w:rsid w:val="44B14540"/>
    <w:rsid w:val="44B36270"/>
    <w:rsid w:val="44B43A2E"/>
    <w:rsid w:val="44B93160"/>
    <w:rsid w:val="44D7561F"/>
    <w:rsid w:val="44EA3717"/>
    <w:rsid w:val="44F72820"/>
    <w:rsid w:val="45016F5E"/>
    <w:rsid w:val="45146552"/>
    <w:rsid w:val="45194177"/>
    <w:rsid w:val="452B0965"/>
    <w:rsid w:val="45396915"/>
    <w:rsid w:val="453A50F2"/>
    <w:rsid w:val="4566342B"/>
    <w:rsid w:val="45674BC3"/>
    <w:rsid w:val="456831BA"/>
    <w:rsid w:val="456D462C"/>
    <w:rsid w:val="45717543"/>
    <w:rsid w:val="4572600D"/>
    <w:rsid w:val="457E2217"/>
    <w:rsid w:val="45817197"/>
    <w:rsid w:val="458379D6"/>
    <w:rsid w:val="458601DF"/>
    <w:rsid w:val="458614D2"/>
    <w:rsid w:val="45897FC6"/>
    <w:rsid w:val="45961D7E"/>
    <w:rsid w:val="45AB6A82"/>
    <w:rsid w:val="45B62F75"/>
    <w:rsid w:val="45B805DC"/>
    <w:rsid w:val="45DA0529"/>
    <w:rsid w:val="45E226B4"/>
    <w:rsid w:val="45EF2C7D"/>
    <w:rsid w:val="45FE0A0E"/>
    <w:rsid w:val="46063208"/>
    <w:rsid w:val="46095DF7"/>
    <w:rsid w:val="46160835"/>
    <w:rsid w:val="46184904"/>
    <w:rsid w:val="46210826"/>
    <w:rsid w:val="462966C8"/>
    <w:rsid w:val="462A3356"/>
    <w:rsid w:val="462D7B6B"/>
    <w:rsid w:val="4638737B"/>
    <w:rsid w:val="46396240"/>
    <w:rsid w:val="463C17F6"/>
    <w:rsid w:val="465E42BC"/>
    <w:rsid w:val="46642291"/>
    <w:rsid w:val="46655DD3"/>
    <w:rsid w:val="4670321D"/>
    <w:rsid w:val="46A90001"/>
    <w:rsid w:val="46D17DBE"/>
    <w:rsid w:val="4710222D"/>
    <w:rsid w:val="47105324"/>
    <w:rsid w:val="47135D7F"/>
    <w:rsid w:val="471400C6"/>
    <w:rsid w:val="471C5A1A"/>
    <w:rsid w:val="47236799"/>
    <w:rsid w:val="472D6E53"/>
    <w:rsid w:val="4732587D"/>
    <w:rsid w:val="474712B5"/>
    <w:rsid w:val="47573472"/>
    <w:rsid w:val="476D6D18"/>
    <w:rsid w:val="4783151D"/>
    <w:rsid w:val="47847314"/>
    <w:rsid w:val="47912074"/>
    <w:rsid w:val="47973751"/>
    <w:rsid w:val="47B67A44"/>
    <w:rsid w:val="47BA38BA"/>
    <w:rsid w:val="47D47AAE"/>
    <w:rsid w:val="47DD57F4"/>
    <w:rsid w:val="47F32896"/>
    <w:rsid w:val="482C47F7"/>
    <w:rsid w:val="482D67AB"/>
    <w:rsid w:val="483C7010"/>
    <w:rsid w:val="48482E27"/>
    <w:rsid w:val="4852631D"/>
    <w:rsid w:val="48632753"/>
    <w:rsid w:val="48710218"/>
    <w:rsid w:val="48717B26"/>
    <w:rsid w:val="487C1B1D"/>
    <w:rsid w:val="489A5B99"/>
    <w:rsid w:val="48A52D94"/>
    <w:rsid w:val="48B0551E"/>
    <w:rsid w:val="48B126EF"/>
    <w:rsid w:val="48C23D0D"/>
    <w:rsid w:val="48CF5619"/>
    <w:rsid w:val="48E20E54"/>
    <w:rsid w:val="48E938EC"/>
    <w:rsid w:val="48EB19BF"/>
    <w:rsid w:val="48EE1749"/>
    <w:rsid w:val="48FC627F"/>
    <w:rsid w:val="48FE7FF8"/>
    <w:rsid w:val="490B7CAB"/>
    <w:rsid w:val="49232C71"/>
    <w:rsid w:val="49274285"/>
    <w:rsid w:val="49303C2F"/>
    <w:rsid w:val="494055BD"/>
    <w:rsid w:val="494773BD"/>
    <w:rsid w:val="494E5DE3"/>
    <w:rsid w:val="49562FE0"/>
    <w:rsid w:val="495849AF"/>
    <w:rsid w:val="496069B4"/>
    <w:rsid w:val="496E42C5"/>
    <w:rsid w:val="49781622"/>
    <w:rsid w:val="4981225C"/>
    <w:rsid w:val="49B40FF1"/>
    <w:rsid w:val="49CB4087"/>
    <w:rsid w:val="49D617AF"/>
    <w:rsid w:val="4A0D55D8"/>
    <w:rsid w:val="4A1D3AD3"/>
    <w:rsid w:val="4A2B453A"/>
    <w:rsid w:val="4A3D37D2"/>
    <w:rsid w:val="4A4554B8"/>
    <w:rsid w:val="4A477C68"/>
    <w:rsid w:val="4A54092D"/>
    <w:rsid w:val="4A5B288E"/>
    <w:rsid w:val="4A623FA8"/>
    <w:rsid w:val="4A6F21D0"/>
    <w:rsid w:val="4A786D0F"/>
    <w:rsid w:val="4A7929D0"/>
    <w:rsid w:val="4A7B31F9"/>
    <w:rsid w:val="4A8B4F84"/>
    <w:rsid w:val="4A9216E3"/>
    <w:rsid w:val="4A99460D"/>
    <w:rsid w:val="4A9B7DF4"/>
    <w:rsid w:val="4AAB6A4B"/>
    <w:rsid w:val="4ABA0D1E"/>
    <w:rsid w:val="4AC61807"/>
    <w:rsid w:val="4ACA1898"/>
    <w:rsid w:val="4ACA372F"/>
    <w:rsid w:val="4AD3346E"/>
    <w:rsid w:val="4AD45988"/>
    <w:rsid w:val="4AF20AAA"/>
    <w:rsid w:val="4AFC7E8E"/>
    <w:rsid w:val="4AFD7B6C"/>
    <w:rsid w:val="4B01301B"/>
    <w:rsid w:val="4B1D5DC5"/>
    <w:rsid w:val="4B1F070F"/>
    <w:rsid w:val="4B2C7BD5"/>
    <w:rsid w:val="4B2F1615"/>
    <w:rsid w:val="4B340D2A"/>
    <w:rsid w:val="4B492A00"/>
    <w:rsid w:val="4B53170B"/>
    <w:rsid w:val="4B71056A"/>
    <w:rsid w:val="4B736FEC"/>
    <w:rsid w:val="4B80697B"/>
    <w:rsid w:val="4B9D44F4"/>
    <w:rsid w:val="4BA10E14"/>
    <w:rsid w:val="4BB71A2F"/>
    <w:rsid w:val="4BBC2038"/>
    <w:rsid w:val="4BBE43E4"/>
    <w:rsid w:val="4BC0573E"/>
    <w:rsid w:val="4BD509F4"/>
    <w:rsid w:val="4BE90E98"/>
    <w:rsid w:val="4BEC6CA7"/>
    <w:rsid w:val="4BF316AA"/>
    <w:rsid w:val="4C0B6D51"/>
    <w:rsid w:val="4C1E287B"/>
    <w:rsid w:val="4C2817F3"/>
    <w:rsid w:val="4C3D187C"/>
    <w:rsid w:val="4C6B501B"/>
    <w:rsid w:val="4C733602"/>
    <w:rsid w:val="4C7F32A8"/>
    <w:rsid w:val="4C972AB6"/>
    <w:rsid w:val="4C9B659F"/>
    <w:rsid w:val="4CBB3FB0"/>
    <w:rsid w:val="4CC364FF"/>
    <w:rsid w:val="4CD049E1"/>
    <w:rsid w:val="4CD71626"/>
    <w:rsid w:val="4D077ECA"/>
    <w:rsid w:val="4D0E24D9"/>
    <w:rsid w:val="4D123444"/>
    <w:rsid w:val="4D1F0B2D"/>
    <w:rsid w:val="4D2346DA"/>
    <w:rsid w:val="4D3C337B"/>
    <w:rsid w:val="4D54749D"/>
    <w:rsid w:val="4D555A6E"/>
    <w:rsid w:val="4D623103"/>
    <w:rsid w:val="4D68094D"/>
    <w:rsid w:val="4D684F6E"/>
    <w:rsid w:val="4D6F5B0A"/>
    <w:rsid w:val="4D7814A6"/>
    <w:rsid w:val="4D803AFA"/>
    <w:rsid w:val="4D961C68"/>
    <w:rsid w:val="4D987C65"/>
    <w:rsid w:val="4D9F5C59"/>
    <w:rsid w:val="4DB87D11"/>
    <w:rsid w:val="4DD3309B"/>
    <w:rsid w:val="4DD541C0"/>
    <w:rsid w:val="4DFB2D5D"/>
    <w:rsid w:val="4DFB7B78"/>
    <w:rsid w:val="4DFD3576"/>
    <w:rsid w:val="4E0E2C9E"/>
    <w:rsid w:val="4E18412D"/>
    <w:rsid w:val="4E1B63C8"/>
    <w:rsid w:val="4E1C456A"/>
    <w:rsid w:val="4E2021D5"/>
    <w:rsid w:val="4E2111DA"/>
    <w:rsid w:val="4E21506C"/>
    <w:rsid w:val="4E2355F3"/>
    <w:rsid w:val="4E412BD4"/>
    <w:rsid w:val="4E4A7540"/>
    <w:rsid w:val="4E676BB0"/>
    <w:rsid w:val="4E7C381A"/>
    <w:rsid w:val="4E8A3DE2"/>
    <w:rsid w:val="4E9155A7"/>
    <w:rsid w:val="4EA529C9"/>
    <w:rsid w:val="4EB432F8"/>
    <w:rsid w:val="4EC744EC"/>
    <w:rsid w:val="4ED35547"/>
    <w:rsid w:val="4EE63455"/>
    <w:rsid w:val="4EE8763A"/>
    <w:rsid w:val="4EFB78F8"/>
    <w:rsid w:val="4F14717A"/>
    <w:rsid w:val="4F147580"/>
    <w:rsid w:val="4F1B0F1F"/>
    <w:rsid w:val="4F250268"/>
    <w:rsid w:val="4F252B31"/>
    <w:rsid w:val="4F496D42"/>
    <w:rsid w:val="4F501631"/>
    <w:rsid w:val="4F61484A"/>
    <w:rsid w:val="4F6D2DFE"/>
    <w:rsid w:val="4F7F08EE"/>
    <w:rsid w:val="4F876C88"/>
    <w:rsid w:val="4F8813BD"/>
    <w:rsid w:val="4F976980"/>
    <w:rsid w:val="4FAC7EDB"/>
    <w:rsid w:val="4FAE60B5"/>
    <w:rsid w:val="4FB52383"/>
    <w:rsid w:val="4FC43323"/>
    <w:rsid w:val="4FDB7008"/>
    <w:rsid w:val="4FDC1578"/>
    <w:rsid w:val="4FE44E23"/>
    <w:rsid w:val="4FE55C0A"/>
    <w:rsid w:val="4FE912AB"/>
    <w:rsid w:val="4FF77255"/>
    <w:rsid w:val="4FF83D56"/>
    <w:rsid w:val="4FFE66B7"/>
    <w:rsid w:val="50034A1D"/>
    <w:rsid w:val="50062E89"/>
    <w:rsid w:val="500D4E90"/>
    <w:rsid w:val="500E4A66"/>
    <w:rsid w:val="501511D4"/>
    <w:rsid w:val="50396747"/>
    <w:rsid w:val="5042705C"/>
    <w:rsid w:val="50451150"/>
    <w:rsid w:val="504B5BCC"/>
    <w:rsid w:val="507D17EC"/>
    <w:rsid w:val="50843D18"/>
    <w:rsid w:val="50860445"/>
    <w:rsid w:val="509437B7"/>
    <w:rsid w:val="509E2EDD"/>
    <w:rsid w:val="50AB2007"/>
    <w:rsid w:val="50AD5F80"/>
    <w:rsid w:val="50B72BFD"/>
    <w:rsid w:val="50C83927"/>
    <w:rsid w:val="50D701EA"/>
    <w:rsid w:val="50DC0111"/>
    <w:rsid w:val="50E90E4D"/>
    <w:rsid w:val="50F2381B"/>
    <w:rsid w:val="50F34FAA"/>
    <w:rsid w:val="51073612"/>
    <w:rsid w:val="5108042F"/>
    <w:rsid w:val="51206DA9"/>
    <w:rsid w:val="513A4184"/>
    <w:rsid w:val="514A436A"/>
    <w:rsid w:val="515A6661"/>
    <w:rsid w:val="5170754D"/>
    <w:rsid w:val="51766E00"/>
    <w:rsid w:val="51842345"/>
    <w:rsid w:val="518B5123"/>
    <w:rsid w:val="518C01F6"/>
    <w:rsid w:val="51AB21A9"/>
    <w:rsid w:val="51BA17FB"/>
    <w:rsid w:val="51CC5C45"/>
    <w:rsid w:val="51E03964"/>
    <w:rsid w:val="51E51B83"/>
    <w:rsid w:val="51E57DEC"/>
    <w:rsid w:val="51FB1F8F"/>
    <w:rsid w:val="52052528"/>
    <w:rsid w:val="52056221"/>
    <w:rsid w:val="522F3A85"/>
    <w:rsid w:val="522F5AA1"/>
    <w:rsid w:val="524351EC"/>
    <w:rsid w:val="524A79AD"/>
    <w:rsid w:val="525548DD"/>
    <w:rsid w:val="5259680F"/>
    <w:rsid w:val="525C0B36"/>
    <w:rsid w:val="5264613C"/>
    <w:rsid w:val="526A7A81"/>
    <w:rsid w:val="5270402A"/>
    <w:rsid w:val="527E070A"/>
    <w:rsid w:val="527E5A0B"/>
    <w:rsid w:val="52822AE0"/>
    <w:rsid w:val="528817F3"/>
    <w:rsid w:val="528832AE"/>
    <w:rsid w:val="52892AF8"/>
    <w:rsid w:val="528C60BE"/>
    <w:rsid w:val="529C4874"/>
    <w:rsid w:val="52B934BF"/>
    <w:rsid w:val="52BE7ACF"/>
    <w:rsid w:val="52C13001"/>
    <w:rsid w:val="52D16BEE"/>
    <w:rsid w:val="52D82633"/>
    <w:rsid w:val="52F2525A"/>
    <w:rsid w:val="530779AC"/>
    <w:rsid w:val="53101AD7"/>
    <w:rsid w:val="531829E5"/>
    <w:rsid w:val="531A54B7"/>
    <w:rsid w:val="532C7D00"/>
    <w:rsid w:val="532E7E4E"/>
    <w:rsid w:val="53342F91"/>
    <w:rsid w:val="53547B65"/>
    <w:rsid w:val="53574DDD"/>
    <w:rsid w:val="535A43C8"/>
    <w:rsid w:val="535D6353"/>
    <w:rsid w:val="53766ABA"/>
    <w:rsid w:val="53783C70"/>
    <w:rsid w:val="53801D8B"/>
    <w:rsid w:val="53993D24"/>
    <w:rsid w:val="539A32D1"/>
    <w:rsid w:val="539C3FDD"/>
    <w:rsid w:val="53DA2785"/>
    <w:rsid w:val="53E143AE"/>
    <w:rsid w:val="54027A7C"/>
    <w:rsid w:val="54083463"/>
    <w:rsid w:val="540F0A9B"/>
    <w:rsid w:val="54107E68"/>
    <w:rsid w:val="54247C4A"/>
    <w:rsid w:val="542E67C3"/>
    <w:rsid w:val="543C1DA1"/>
    <w:rsid w:val="544C6C18"/>
    <w:rsid w:val="54716A78"/>
    <w:rsid w:val="54740905"/>
    <w:rsid w:val="547C4D2C"/>
    <w:rsid w:val="54845952"/>
    <w:rsid w:val="54A8734F"/>
    <w:rsid w:val="54AC034D"/>
    <w:rsid w:val="54C42FFC"/>
    <w:rsid w:val="54D16E54"/>
    <w:rsid w:val="54DD38A2"/>
    <w:rsid w:val="54E6738C"/>
    <w:rsid w:val="55045E52"/>
    <w:rsid w:val="550A1002"/>
    <w:rsid w:val="551C34A4"/>
    <w:rsid w:val="5534565B"/>
    <w:rsid w:val="554064E9"/>
    <w:rsid w:val="554A4CAF"/>
    <w:rsid w:val="55513B61"/>
    <w:rsid w:val="5558499C"/>
    <w:rsid w:val="555D1316"/>
    <w:rsid w:val="55641740"/>
    <w:rsid w:val="557E04FA"/>
    <w:rsid w:val="55853556"/>
    <w:rsid w:val="55854A5F"/>
    <w:rsid w:val="55BC34F3"/>
    <w:rsid w:val="55BC3B9A"/>
    <w:rsid w:val="55C50B3C"/>
    <w:rsid w:val="55CE362F"/>
    <w:rsid w:val="55D01225"/>
    <w:rsid w:val="55DB7630"/>
    <w:rsid w:val="55DC43AB"/>
    <w:rsid w:val="55EA4AF5"/>
    <w:rsid w:val="55F54D13"/>
    <w:rsid w:val="55FA4C45"/>
    <w:rsid w:val="56172444"/>
    <w:rsid w:val="561C32BA"/>
    <w:rsid w:val="56412C14"/>
    <w:rsid w:val="56576C9F"/>
    <w:rsid w:val="56582227"/>
    <w:rsid w:val="56582839"/>
    <w:rsid w:val="56585F35"/>
    <w:rsid w:val="565F6940"/>
    <w:rsid w:val="566A004E"/>
    <w:rsid w:val="568770B1"/>
    <w:rsid w:val="568E2F73"/>
    <w:rsid w:val="56930ED2"/>
    <w:rsid w:val="56945BA4"/>
    <w:rsid w:val="56994D2A"/>
    <w:rsid w:val="56A075AF"/>
    <w:rsid w:val="56AA5ACE"/>
    <w:rsid w:val="56E86972"/>
    <w:rsid w:val="5701736E"/>
    <w:rsid w:val="570B2ADF"/>
    <w:rsid w:val="57256A9A"/>
    <w:rsid w:val="57316C99"/>
    <w:rsid w:val="575B5B7D"/>
    <w:rsid w:val="57634913"/>
    <w:rsid w:val="577D746C"/>
    <w:rsid w:val="57833E3A"/>
    <w:rsid w:val="57932BF7"/>
    <w:rsid w:val="57957A26"/>
    <w:rsid w:val="579B0E0D"/>
    <w:rsid w:val="57A005D2"/>
    <w:rsid w:val="57A023AC"/>
    <w:rsid w:val="57A306A5"/>
    <w:rsid w:val="57A57C2B"/>
    <w:rsid w:val="57BD5B0E"/>
    <w:rsid w:val="57CD1CE9"/>
    <w:rsid w:val="57F93FAA"/>
    <w:rsid w:val="5825702F"/>
    <w:rsid w:val="58381411"/>
    <w:rsid w:val="58495DD0"/>
    <w:rsid w:val="584C2F03"/>
    <w:rsid w:val="585D4586"/>
    <w:rsid w:val="58657C6A"/>
    <w:rsid w:val="58776152"/>
    <w:rsid w:val="58801227"/>
    <w:rsid w:val="58840844"/>
    <w:rsid w:val="588668DD"/>
    <w:rsid w:val="588E0674"/>
    <w:rsid w:val="58B218E6"/>
    <w:rsid w:val="58B53E81"/>
    <w:rsid w:val="58B56F89"/>
    <w:rsid w:val="58C969FF"/>
    <w:rsid w:val="58CA1176"/>
    <w:rsid w:val="58D52007"/>
    <w:rsid w:val="58D81ECB"/>
    <w:rsid w:val="58F27415"/>
    <w:rsid w:val="58FD4DB4"/>
    <w:rsid w:val="590109B0"/>
    <w:rsid w:val="591652BC"/>
    <w:rsid w:val="591C4295"/>
    <w:rsid w:val="591D6844"/>
    <w:rsid w:val="59235FA8"/>
    <w:rsid w:val="59251282"/>
    <w:rsid w:val="592D69BE"/>
    <w:rsid w:val="592F1E8B"/>
    <w:rsid w:val="59432C16"/>
    <w:rsid w:val="5947609B"/>
    <w:rsid w:val="5949360B"/>
    <w:rsid w:val="594A2445"/>
    <w:rsid w:val="5952374E"/>
    <w:rsid w:val="59567206"/>
    <w:rsid w:val="596802BA"/>
    <w:rsid w:val="598474ED"/>
    <w:rsid w:val="599942E2"/>
    <w:rsid w:val="599A3B6B"/>
    <w:rsid w:val="59A500BD"/>
    <w:rsid w:val="59A51311"/>
    <w:rsid w:val="59B5223B"/>
    <w:rsid w:val="59C44088"/>
    <w:rsid w:val="59C80D33"/>
    <w:rsid w:val="59DA247B"/>
    <w:rsid w:val="59EB2FC9"/>
    <w:rsid w:val="59F141D8"/>
    <w:rsid w:val="59F213FC"/>
    <w:rsid w:val="5A0662C4"/>
    <w:rsid w:val="5A097062"/>
    <w:rsid w:val="5A0A463B"/>
    <w:rsid w:val="5A267160"/>
    <w:rsid w:val="5A290D29"/>
    <w:rsid w:val="5A320F3D"/>
    <w:rsid w:val="5A400A14"/>
    <w:rsid w:val="5A417068"/>
    <w:rsid w:val="5A5B1025"/>
    <w:rsid w:val="5A5C174F"/>
    <w:rsid w:val="5A6F2C36"/>
    <w:rsid w:val="5A7617CD"/>
    <w:rsid w:val="5A877923"/>
    <w:rsid w:val="5A8B69F3"/>
    <w:rsid w:val="5A8E7298"/>
    <w:rsid w:val="5A936EB9"/>
    <w:rsid w:val="5AAB4F40"/>
    <w:rsid w:val="5AAB7DC4"/>
    <w:rsid w:val="5AC06316"/>
    <w:rsid w:val="5AD23F97"/>
    <w:rsid w:val="5AE83D9D"/>
    <w:rsid w:val="5AEA0E5D"/>
    <w:rsid w:val="5AF854CA"/>
    <w:rsid w:val="5B1967F0"/>
    <w:rsid w:val="5B240102"/>
    <w:rsid w:val="5B2458D8"/>
    <w:rsid w:val="5B2C1F42"/>
    <w:rsid w:val="5B3004E8"/>
    <w:rsid w:val="5B3375BD"/>
    <w:rsid w:val="5B4341CA"/>
    <w:rsid w:val="5B506443"/>
    <w:rsid w:val="5B566F83"/>
    <w:rsid w:val="5B5E699A"/>
    <w:rsid w:val="5B8312C0"/>
    <w:rsid w:val="5B867180"/>
    <w:rsid w:val="5B885C23"/>
    <w:rsid w:val="5B956ECD"/>
    <w:rsid w:val="5B9700F2"/>
    <w:rsid w:val="5BA37C13"/>
    <w:rsid w:val="5BA93D28"/>
    <w:rsid w:val="5BAD213A"/>
    <w:rsid w:val="5BB601E7"/>
    <w:rsid w:val="5BB826E4"/>
    <w:rsid w:val="5BE33F13"/>
    <w:rsid w:val="5BF23922"/>
    <w:rsid w:val="5C1438D5"/>
    <w:rsid w:val="5C440AE1"/>
    <w:rsid w:val="5C451348"/>
    <w:rsid w:val="5C4E356F"/>
    <w:rsid w:val="5C7D40B3"/>
    <w:rsid w:val="5C836B56"/>
    <w:rsid w:val="5C961BA3"/>
    <w:rsid w:val="5C973198"/>
    <w:rsid w:val="5C976CBD"/>
    <w:rsid w:val="5CAC586B"/>
    <w:rsid w:val="5CB567AA"/>
    <w:rsid w:val="5CB952F0"/>
    <w:rsid w:val="5CC76BF9"/>
    <w:rsid w:val="5CE56DD6"/>
    <w:rsid w:val="5D042FB1"/>
    <w:rsid w:val="5D2F02F0"/>
    <w:rsid w:val="5D314138"/>
    <w:rsid w:val="5D4300EB"/>
    <w:rsid w:val="5D43731E"/>
    <w:rsid w:val="5D5F5CD8"/>
    <w:rsid w:val="5D870BED"/>
    <w:rsid w:val="5D8C2491"/>
    <w:rsid w:val="5DB16193"/>
    <w:rsid w:val="5DBA54FC"/>
    <w:rsid w:val="5DCB727F"/>
    <w:rsid w:val="5DEF1B01"/>
    <w:rsid w:val="5DF0194A"/>
    <w:rsid w:val="5DFD3C6A"/>
    <w:rsid w:val="5E072497"/>
    <w:rsid w:val="5E2A0F36"/>
    <w:rsid w:val="5E32559D"/>
    <w:rsid w:val="5E431827"/>
    <w:rsid w:val="5E450824"/>
    <w:rsid w:val="5E461336"/>
    <w:rsid w:val="5E516F24"/>
    <w:rsid w:val="5E6D1513"/>
    <w:rsid w:val="5E997F4D"/>
    <w:rsid w:val="5E9E6B0B"/>
    <w:rsid w:val="5E9F64F6"/>
    <w:rsid w:val="5EA24952"/>
    <w:rsid w:val="5EA43832"/>
    <w:rsid w:val="5EB24BEC"/>
    <w:rsid w:val="5EBA601D"/>
    <w:rsid w:val="5EC05607"/>
    <w:rsid w:val="5EC9531D"/>
    <w:rsid w:val="5ECF1B1B"/>
    <w:rsid w:val="5EDD615C"/>
    <w:rsid w:val="5EDF7332"/>
    <w:rsid w:val="5EF515AC"/>
    <w:rsid w:val="5EF90594"/>
    <w:rsid w:val="5EFF66B0"/>
    <w:rsid w:val="5F130109"/>
    <w:rsid w:val="5F1A3EB5"/>
    <w:rsid w:val="5F270E0F"/>
    <w:rsid w:val="5F2E1FB7"/>
    <w:rsid w:val="5F3D7FD2"/>
    <w:rsid w:val="5F54034C"/>
    <w:rsid w:val="5F5622D7"/>
    <w:rsid w:val="5F640305"/>
    <w:rsid w:val="5F654690"/>
    <w:rsid w:val="5F731260"/>
    <w:rsid w:val="5FCA1E36"/>
    <w:rsid w:val="5FD4394E"/>
    <w:rsid w:val="5FE40B47"/>
    <w:rsid w:val="6014175D"/>
    <w:rsid w:val="601F7341"/>
    <w:rsid w:val="603A4179"/>
    <w:rsid w:val="604D08D6"/>
    <w:rsid w:val="604D2E01"/>
    <w:rsid w:val="60576922"/>
    <w:rsid w:val="605D2361"/>
    <w:rsid w:val="6093083D"/>
    <w:rsid w:val="6094352D"/>
    <w:rsid w:val="60950480"/>
    <w:rsid w:val="60A4759A"/>
    <w:rsid w:val="60AF1486"/>
    <w:rsid w:val="60BF1449"/>
    <w:rsid w:val="610B47F5"/>
    <w:rsid w:val="61161505"/>
    <w:rsid w:val="611637D9"/>
    <w:rsid w:val="611C3068"/>
    <w:rsid w:val="6120329E"/>
    <w:rsid w:val="612A324E"/>
    <w:rsid w:val="613772F1"/>
    <w:rsid w:val="6151138F"/>
    <w:rsid w:val="61622F34"/>
    <w:rsid w:val="6163428F"/>
    <w:rsid w:val="616D4A65"/>
    <w:rsid w:val="616E19D7"/>
    <w:rsid w:val="616E2598"/>
    <w:rsid w:val="61742CCB"/>
    <w:rsid w:val="617F7613"/>
    <w:rsid w:val="618B78F9"/>
    <w:rsid w:val="618D3E89"/>
    <w:rsid w:val="61917D21"/>
    <w:rsid w:val="61A11716"/>
    <w:rsid w:val="61E26EA2"/>
    <w:rsid w:val="61F12AC0"/>
    <w:rsid w:val="61F21203"/>
    <w:rsid w:val="61F42ABC"/>
    <w:rsid w:val="61F77B9F"/>
    <w:rsid w:val="61FC58AC"/>
    <w:rsid w:val="62087D51"/>
    <w:rsid w:val="62121D21"/>
    <w:rsid w:val="62124F8E"/>
    <w:rsid w:val="62261C95"/>
    <w:rsid w:val="622B61D1"/>
    <w:rsid w:val="624E0D10"/>
    <w:rsid w:val="624F3ADB"/>
    <w:rsid w:val="625E72EF"/>
    <w:rsid w:val="625F3C26"/>
    <w:rsid w:val="626243C2"/>
    <w:rsid w:val="62827E83"/>
    <w:rsid w:val="62846650"/>
    <w:rsid w:val="6286069D"/>
    <w:rsid w:val="62881D01"/>
    <w:rsid w:val="628A127B"/>
    <w:rsid w:val="62993AFF"/>
    <w:rsid w:val="62BF5B81"/>
    <w:rsid w:val="62FB4DCB"/>
    <w:rsid w:val="62FC79F2"/>
    <w:rsid w:val="63000D3C"/>
    <w:rsid w:val="6316159D"/>
    <w:rsid w:val="63284403"/>
    <w:rsid w:val="63296040"/>
    <w:rsid w:val="63402F56"/>
    <w:rsid w:val="634D466B"/>
    <w:rsid w:val="6351456C"/>
    <w:rsid w:val="63595796"/>
    <w:rsid w:val="636C7152"/>
    <w:rsid w:val="63824FDA"/>
    <w:rsid w:val="63992CA8"/>
    <w:rsid w:val="63A5437A"/>
    <w:rsid w:val="63BD2C7C"/>
    <w:rsid w:val="63BE6A67"/>
    <w:rsid w:val="63F33528"/>
    <w:rsid w:val="640606B6"/>
    <w:rsid w:val="640A35A3"/>
    <w:rsid w:val="640F4799"/>
    <w:rsid w:val="64210A5D"/>
    <w:rsid w:val="6426421A"/>
    <w:rsid w:val="64277020"/>
    <w:rsid w:val="642F4ABD"/>
    <w:rsid w:val="64783763"/>
    <w:rsid w:val="647A5AE9"/>
    <w:rsid w:val="64831D76"/>
    <w:rsid w:val="64C60DD7"/>
    <w:rsid w:val="64C625C3"/>
    <w:rsid w:val="64CE747F"/>
    <w:rsid w:val="64E4636F"/>
    <w:rsid w:val="64F25E9B"/>
    <w:rsid w:val="650520CD"/>
    <w:rsid w:val="65105FC1"/>
    <w:rsid w:val="65167A44"/>
    <w:rsid w:val="652B3618"/>
    <w:rsid w:val="653E4943"/>
    <w:rsid w:val="653E7901"/>
    <w:rsid w:val="656F340D"/>
    <w:rsid w:val="657809E0"/>
    <w:rsid w:val="65896749"/>
    <w:rsid w:val="659724FF"/>
    <w:rsid w:val="65AC0293"/>
    <w:rsid w:val="65B514C0"/>
    <w:rsid w:val="65CE6293"/>
    <w:rsid w:val="65D3665A"/>
    <w:rsid w:val="65F23743"/>
    <w:rsid w:val="65F67D40"/>
    <w:rsid w:val="660B5015"/>
    <w:rsid w:val="66123504"/>
    <w:rsid w:val="66240220"/>
    <w:rsid w:val="663A573D"/>
    <w:rsid w:val="66444780"/>
    <w:rsid w:val="66491460"/>
    <w:rsid w:val="664A3B89"/>
    <w:rsid w:val="664E307C"/>
    <w:rsid w:val="665737F6"/>
    <w:rsid w:val="665E49BF"/>
    <w:rsid w:val="66695347"/>
    <w:rsid w:val="667F6F8D"/>
    <w:rsid w:val="66AD520C"/>
    <w:rsid w:val="66C814F3"/>
    <w:rsid w:val="66DB09CF"/>
    <w:rsid w:val="66E03D24"/>
    <w:rsid w:val="66E100B3"/>
    <w:rsid w:val="66F77F99"/>
    <w:rsid w:val="67025FEC"/>
    <w:rsid w:val="671B0E29"/>
    <w:rsid w:val="671D1FA4"/>
    <w:rsid w:val="671E7B24"/>
    <w:rsid w:val="672114F8"/>
    <w:rsid w:val="67290989"/>
    <w:rsid w:val="67515434"/>
    <w:rsid w:val="676166A9"/>
    <w:rsid w:val="678C29FF"/>
    <w:rsid w:val="67974BB8"/>
    <w:rsid w:val="67A15655"/>
    <w:rsid w:val="67A916F8"/>
    <w:rsid w:val="67AB6E4B"/>
    <w:rsid w:val="67B1280F"/>
    <w:rsid w:val="67B16DDD"/>
    <w:rsid w:val="67D87514"/>
    <w:rsid w:val="67E56C2F"/>
    <w:rsid w:val="6807735B"/>
    <w:rsid w:val="680E1B3B"/>
    <w:rsid w:val="6814671F"/>
    <w:rsid w:val="68300DE4"/>
    <w:rsid w:val="68327A64"/>
    <w:rsid w:val="683C1890"/>
    <w:rsid w:val="68430F44"/>
    <w:rsid w:val="684D5814"/>
    <w:rsid w:val="6850541F"/>
    <w:rsid w:val="685F7E19"/>
    <w:rsid w:val="68654C52"/>
    <w:rsid w:val="68694610"/>
    <w:rsid w:val="6870195B"/>
    <w:rsid w:val="687142E8"/>
    <w:rsid w:val="68756FA4"/>
    <w:rsid w:val="687C5929"/>
    <w:rsid w:val="68817277"/>
    <w:rsid w:val="6882347F"/>
    <w:rsid w:val="68961353"/>
    <w:rsid w:val="68A314D7"/>
    <w:rsid w:val="68A550E9"/>
    <w:rsid w:val="68DF3A1A"/>
    <w:rsid w:val="68E8522C"/>
    <w:rsid w:val="69015937"/>
    <w:rsid w:val="69020D5D"/>
    <w:rsid w:val="69185D7B"/>
    <w:rsid w:val="692F5EC2"/>
    <w:rsid w:val="69366CDB"/>
    <w:rsid w:val="693E01B9"/>
    <w:rsid w:val="694C1134"/>
    <w:rsid w:val="6951621B"/>
    <w:rsid w:val="696864EA"/>
    <w:rsid w:val="69696A7E"/>
    <w:rsid w:val="696A3077"/>
    <w:rsid w:val="696C3486"/>
    <w:rsid w:val="696D6C33"/>
    <w:rsid w:val="6978630F"/>
    <w:rsid w:val="698474B1"/>
    <w:rsid w:val="698507CB"/>
    <w:rsid w:val="698665FE"/>
    <w:rsid w:val="69963735"/>
    <w:rsid w:val="699B70EA"/>
    <w:rsid w:val="69BB7763"/>
    <w:rsid w:val="69C11856"/>
    <w:rsid w:val="69C123FA"/>
    <w:rsid w:val="69CD24E0"/>
    <w:rsid w:val="69CE67A3"/>
    <w:rsid w:val="69EC7418"/>
    <w:rsid w:val="69EF6B1E"/>
    <w:rsid w:val="6A00309E"/>
    <w:rsid w:val="6A0154E3"/>
    <w:rsid w:val="6A017EF7"/>
    <w:rsid w:val="6A103912"/>
    <w:rsid w:val="6A1D2707"/>
    <w:rsid w:val="6A212DB5"/>
    <w:rsid w:val="6A386990"/>
    <w:rsid w:val="6A4E6A59"/>
    <w:rsid w:val="6A5565F1"/>
    <w:rsid w:val="6A7A510F"/>
    <w:rsid w:val="6A7D43A3"/>
    <w:rsid w:val="6A837988"/>
    <w:rsid w:val="6A8F63BD"/>
    <w:rsid w:val="6A953FED"/>
    <w:rsid w:val="6A9763A2"/>
    <w:rsid w:val="6AA63099"/>
    <w:rsid w:val="6AC74ADE"/>
    <w:rsid w:val="6ADF5D08"/>
    <w:rsid w:val="6AE04751"/>
    <w:rsid w:val="6AED1528"/>
    <w:rsid w:val="6AF03003"/>
    <w:rsid w:val="6AF2000D"/>
    <w:rsid w:val="6B13604D"/>
    <w:rsid w:val="6B154B23"/>
    <w:rsid w:val="6B347C68"/>
    <w:rsid w:val="6B396C50"/>
    <w:rsid w:val="6B655ED9"/>
    <w:rsid w:val="6B7D67A0"/>
    <w:rsid w:val="6B880FF7"/>
    <w:rsid w:val="6BB6074A"/>
    <w:rsid w:val="6BBA2ACB"/>
    <w:rsid w:val="6BBC3E23"/>
    <w:rsid w:val="6BCC4622"/>
    <w:rsid w:val="6BE671E7"/>
    <w:rsid w:val="6BEF550F"/>
    <w:rsid w:val="6BFA2792"/>
    <w:rsid w:val="6BFE44B9"/>
    <w:rsid w:val="6C070F90"/>
    <w:rsid w:val="6C27504A"/>
    <w:rsid w:val="6C2A72B4"/>
    <w:rsid w:val="6C390058"/>
    <w:rsid w:val="6C3C1D73"/>
    <w:rsid w:val="6C544BCA"/>
    <w:rsid w:val="6C54675A"/>
    <w:rsid w:val="6C5555D7"/>
    <w:rsid w:val="6C8978EB"/>
    <w:rsid w:val="6C8F55F0"/>
    <w:rsid w:val="6C9D4F10"/>
    <w:rsid w:val="6CA6557F"/>
    <w:rsid w:val="6CC62031"/>
    <w:rsid w:val="6CCD4360"/>
    <w:rsid w:val="6CCE5EEC"/>
    <w:rsid w:val="6CD45662"/>
    <w:rsid w:val="6CF327DB"/>
    <w:rsid w:val="6D0D7EFA"/>
    <w:rsid w:val="6D1A4CDB"/>
    <w:rsid w:val="6D205F0C"/>
    <w:rsid w:val="6D285940"/>
    <w:rsid w:val="6D2C16A8"/>
    <w:rsid w:val="6D336D2C"/>
    <w:rsid w:val="6D365A3E"/>
    <w:rsid w:val="6D3B1165"/>
    <w:rsid w:val="6D470569"/>
    <w:rsid w:val="6D6340A4"/>
    <w:rsid w:val="6D7A00B0"/>
    <w:rsid w:val="6D97455D"/>
    <w:rsid w:val="6D9805CA"/>
    <w:rsid w:val="6DAF0FB1"/>
    <w:rsid w:val="6DB65D1D"/>
    <w:rsid w:val="6DD4443F"/>
    <w:rsid w:val="6DDB28EE"/>
    <w:rsid w:val="6E0B59D4"/>
    <w:rsid w:val="6E0C2DDD"/>
    <w:rsid w:val="6E123F24"/>
    <w:rsid w:val="6E2529D4"/>
    <w:rsid w:val="6E414A73"/>
    <w:rsid w:val="6E5C4289"/>
    <w:rsid w:val="6E6B58BE"/>
    <w:rsid w:val="6E74389D"/>
    <w:rsid w:val="6E882D2E"/>
    <w:rsid w:val="6E934195"/>
    <w:rsid w:val="6E9830C3"/>
    <w:rsid w:val="6E9A629C"/>
    <w:rsid w:val="6EAD6321"/>
    <w:rsid w:val="6EBD17C6"/>
    <w:rsid w:val="6ECF576B"/>
    <w:rsid w:val="6ECF7B5A"/>
    <w:rsid w:val="6ED31EE6"/>
    <w:rsid w:val="6EE733F5"/>
    <w:rsid w:val="6EFE3613"/>
    <w:rsid w:val="6F0019EE"/>
    <w:rsid w:val="6F02143C"/>
    <w:rsid w:val="6F0E7B12"/>
    <w:rsid w:val="6F0F0944"/>
    <w:rsid w:val="6F216B26"/>
    <w:rsid w:val="6F2229E8"/>
    <w:rsid w:val="6F3C51E1"/>
    <w:rsid w:val="6F486B0B"/>
    <w:rsid w:val="6F58216E"/>
    <w:rsid w:val="6F5E1F51"/>
    <w:rsid w:val="6F7C535D"/>
    <w:rsid w:val="6F825B2F"/>
    <w:rsid w:val="6F873A86"/>
    <w:rsid w:val="6F8B32CA"/>
    <w:rsid w:val="6F9527A8"/>
    <w:rsid w:val="6F9838A8"/>
    <w:rsid w:val="6FAA0E99"/>
    <w:rsid w:val="6FB30FF1"/>
    <w:rsid w:val="6FB70357"/>
    <w:rsid w:val="6FB71857"/>
    <w:rsid w:val="6FC9635B"/>
    <w:rsid w:val="6FCF2737"/>
    <w:rsid w:val="6FDA1902"/>
    <w:rsid w:val="6FDF2BF2"/>
    <w:rsid w:val="6FDF6DC3"/>
    <w:rsid w:val="6FE12E9B"/>
    <w:rsid w:val="6FE667DA"/>
    <w:rsid w:val="6FF45107"/>
    <w:rsid w:val="6FFD592E"/>
    <w:rsid w:val="700734D1"/>
    <w:rsid w:val="702D243E"/>
    <w:rsid w:val="70300741"/>
    <w:rsid w:val="703B0373"/>
    <w:rsid w:val="703C1FE6"/>
    <w:rsid w:val="703F7221"/>
    <w:rsid w:val="7051439E"/>
    <w:rsid w:val="70531251"/>
    <w:rsid w:val="70744A3C"/>
    <w:rsid w:val="70756377"/>
    <w:rsid w:val="70D612AF"/>
    <w:rsid w:val="70D67F96"/>
    <w:rsid w:val="70EF7BD0"/>
    <w:rsid w:val="70F24D0B"/>
    <w:rsid w:val="70FF7F40"/>
    <w:rsid w:val="710B168F"/>
    <w:rsid w:val="710E6738"/>
    <w:rsid w:val="7114196D"/>
    <w:rsid w:val="711D2C22"/>
    <w:rsid w:val="71290DE0"/>
    <w:rsid w:val="713D2445"/>
    <w:rsid w:val="71512240"/>
    <w:rsid w:val="71601ABC"/>
    <w:rsid w:val="716B123A"/>
    <w:rsid w:val="717254E1"/>
    <w:rsid w:val="717F37BF"/>
    <w:rsid w:val="71AA5D09"/>
    <w:rsid w:val="71B6611C"/>
    <w:rsid w:val="71B71371"/>
    <w:rsid w:val="71E919CE"/>
    <w:rsid w:val="71EB7866"/>
    <w:rsid w:val="71EF701F"/>
    <w:rsid w:val="720B2A01"/>
    <w:rsid w:val="721F5CC8"/>
    <w:rsid w:val="722851A2"/>
    <w:rsid w:val="722E77D4"/>
    <w:rsid w:val="723B2C8B"/>
    <w:rsid w:val="727347B6"/>
    <w:rsid w:val="727453D2"/>
    <w:rsid w:val="728A4C81"/>
    <w:rsid w:val="728E7512"/>
    <w:rsid w:val="7296707E"/>
    <w:rsid w:val="729B5298"/>
    <w:rsid w:val="72CC3862"/>
    <w:rsid w:val="72F70459"/>
    <w:rsid w:val="72F76444"/>
    <w:rsid w:val="72F9221C"/>
    <w:rsid w:val="72FD2B23"/>
    <w:rsid w:val="73001C9F"/>
    <w:rsid w:val="73166B5B"/>
    <w:rsid w:val="73192325"/>
    <w:rsid w:val="7322737A"/>
    <w:rsid w:val="732B4F74"/>
    <w:rsid w:val="73315694"/>
    <w:rsid w:val="733E7F13"/>
    <w:rsid w:val="73501961"/>
    <w:rsid w:val="73626904"/>
    <w:rsid w:val="73672791"/>
    <w:rsid w:val="73674D66"/>
    <w:rsid w:val="737E1C56"/>
    <w:rsid w:val="738A5B9F"/>
    <w:rsid w:val="73A25E44"/>
    <w:rsid w:val="74064AA8"/>
    <w:rsid w:val="74074DE9"/>
    <w:rsid w:val="741F6196"/>
    <w:rsid w:val="74310D75"/>
    <w:rsid w:val="74317C0A"/>
    <w:rsid w:val="7434045D"/>
    <w:rsid w:val="743824DE"/>
    <w:rsid w:val="743B20E3"/>
    <w:rsid w:val="743C25EB"/>
    <w:rsid w:val="74454BA2"/>
    <w:rsid w:val="74562301"/>
    <w:rsid w:val="745B39A7"/>
    <w:rsid w:val="74630481"/>
    <w:rsid w:val="746E2977"/>
    <w:rsid w:val="74740E95"/>
    <w:rsid w:val="747A6FF8"/>
    <w:rsid w:val="74876231"/>
    <w:rsid w:val="74913FF1"/>
    <w:rsid w:val="74942A15"/>
    <w:rsid w:val="74966E43"/>
    <w:rsid w:val="749B1FF5"/>
    <w:rsid w:val="749D1EC7"/>
    <w:rsid w:val="74AB40F8"/>
    <w:rsid w:val="74B24C8B"/>
    <w:rsid w:val="74D00AB5"/>
    <w:rsid w:val="74D315AA"/>
    <w:rsid w:val="74DA48CB"/>
    <w:rsid w:val="74E03BDA"/>
    <w:rsid w:val="74E536CC"/>
    <w:rsid w:val="75082832"/>
    <w:rsid w:val="750C18FD"/>
    <w:rsid w:val="75286F45"/>
    <w:rsid w:val="75300A33"/>
    <w:rsid w:val="753E219A"/>
    <w:rsid w:val="757537C1"/>
    <w:rsid w:val="757F36C5"/>
    <w:rsid w:val="75873D07"/>
    <w:rsid w:val="75956274"/>
    <w:rsid w:val="759F32FB"/>
    <w:rsid w:val="75A4026E"/>
    <w:rsid w:val="75B61311"/>
    <w:rsid w:val="75C54845"/>
    <w:rsid w:val="75C55FD3"/>
    <w:rsid w:val="75DB69E8"/>
    <w:rsid w:val="75DD2F4D"/>
    <w:rsid w:val="75DD635F"/>
    <w:rsid w:val="75E0718C"/>
    <w:rsid w:val="75E33DF5"/>
    <w:rsid w:val="75F87F5A"/>
    <w:rsid w:val="75FA0854"/>
    <w:rsid w:val="75FA729D"/>
    <w:rsid w:val="76007611"/>
    <w:rsid w:val="76013866"/>
    <w:rsid w:val="76041DAB"/>
    <w:rsid w:val="760A5684"/>
    <w:rsid w:val="761C7333"/>
    <w:rsid w:val="7659106E"/>
    <w:rsid w:val="76943AF0"/>
    <w:rsid w:val="76A9033B"/>
    <w:rsid w:val="76B03756"/>
    <w:rsid w:val="76B26A4C"/>
    <w:rsid w:val="76C74875"/>
    <w:rsid w:val="76D65213"/>
    <w:rsid w:val="76DB5CE6"/>
    <w:rsid w:val="76DD08B2"/>
    <w:rsid w:val="76DF1591"/>
    <w:rsid w:val="76F011C7"/>
    <w:rsid w:val="770167CB"/>
    <w:rsid w:val="771B2036"/>
    <w:rsid w:val="771B52BB"/>
    <w:rsid w:val="77295F2B"/>
    <w:rsid w:val="77571AFE"/>
    <w:rsid w:val="775E49A0"/>
    <w:rsid w:val="77651D73"/>
    <w:rsid w:val="77703DF1"/>
    <w:rsid w:val="777358EC"/>
    <w:rsid w:val="779E46B3"/>
    <w:rsid w:val="77A83A62"/>
    <w:rsid w:val="77AC3B93"/>
    <w:rsid w:val="77B338FB"/>
    <w:rsid w:val="77BC5DCE"/>
    <w:rsid w:val="77D8448B"/>
    <w:rsid w:val="77DB5CCD"/>
    <w:rsid w:val="77DB77B3"/>
    <w:rsid w:val="77DC2FAD"/>
    <w:rsid w:val="77DC540B"/>
    <w:rsid w:val="77DD4138"/>
    <w:rsid w:val="77E45A61"/>
    <w:rsid w:val="77E52E15"/>
    <w:rsid w:val="77E945BA"/>
    <w:rsid w:val="7821391D"/>
    <w:rsid w:val="782A5B6A"/>
    <w:rsid w:val="782A6046"/>
    <w:rsid w:val="78382394"/>
    <w:rsid w:val="78421F10"/>
    <w:rsid w:val="784E3085"/>
    <w:rsid w:val="7851667F"/>
    <w:rsid w:val="78681528"/>
    <w:rsid w:val="786B1A9B"/>
    <w:rsid w:val="786D7255"/>
    <w:rsid w:val="787A7A37"/>
    <w:rsid w:val="78801C2E"/>
    <w:rsid w:val="788A6993"/>
    <w:rsid w:val="78A748EC"/>
    <w:rsid w:val="78AD6005"/>
    <w:rsid w:val="78AF37F7"/>
    <w:rsid w:val="78D070B0"/>
    <w:rsid w:val="78E96530"/>
    <w:rsid w:val="79052140"/>
    <w:rsid w:val="79105E36"/>
    <w:rsid w:val="7921588F"/>
    <w:rsid w:val="794C6C16"/>
    <w:rsid w:val="79B07635"/>
    <w:rsid w:val="79B96927"/>
    <w:rsid w:val="79BC010D"/>
    <w:rsid w:val="79E07A49"/>
    <w:rsid w:val="79EB12CA"/>
    <w:rsid w:val="7A0E5337"/>
    <w:rsid w:val="7A102B3D"/>
    <w:rsid w:val="7A174331"/>
    <w:rsid w:val="7A27104E"/>
    <w:rsid w:val="7A4033DA"/>
    <w:rsid w:val="7A543372"/>
    <w:rsid w:val="7A6659F0"/>
    <w:rsid w:val="7A8A6CD2"/>
    <w:rsid w:val="7A8B79B1"/>
    <w:rsid w:val="7A9D283A"/>
    <w:rsid w:val="7AA00035"/>
    <w:rsid w:val="7ABA3C6D"/>
    <w:rsid w:val="7AC2525C"/>
    <w:rsid w:val="7AC861E3"/>
    <w:rsid w:val="7AE451AC"/>
    <w:rsid w:val="7B001702"/>
    <w:rsid w:val="7B0C3CCE"/>
    <w:rsid w:val="7B170932"/>
    <w:rsid w:val="7B3C363D"/>
    <w:rsid w:val="7B3E05DD"/>
    <w:rsid w:val="7B4574CB"/>
    <w:rsid w:val="7B4C057D"/>
    <w:rsid w:val="7B5A51BC"/>
    <w:rsid w:val="7B6C1A2D"/>
    <w:rsid w:val="7B82052E"/>
    <w:rsid w:val="7B9E73FC"/>
    <w:rsid w:val="7BBF06D2"/>
    <w:rsid w:val="7BBF1589"/>
    <w:rsid w:val="7C1C6ADF"/>
    <w:rsid w:val="7C1D14B5"/>
    <w:rsid w:val="7C201231"/>
    <w:rsid w:val="7C225E6B"/>
    <w:rsid w:val="7C296138"/>
    <w:rsid w:val="7C2A2C41"/>
    <w:rsid w:val="7C3A6C56"/>
    <w:rsid w:val="7C460935"/>
    <w:rsid w:val="7C48259B"/>
    <w:rsid w:val="7C482875"/>
    <w:rsid w:val="7C5B0211"/>
    <w:rsid w:val="7C7A0ECE"/>
    <w:rsid w:val="7C7B6746"/>
    <w:rsid w:val="7C7E12E1"/>
    <w:rsid w:val="7CAA0A9E"/>
    <w:rsid w:val="7CAB23AE"/>
    <w:rsid w:val="7CBF3358"/>
    <w:rsid w:val="7CC425FD"/>
    <w:rsid w:val="7CC940C8"/>
    <w:rsid w:val="7CCF5939"/>
    <w:rsid w:val="7CD67EEB"/>
    <w:rsid w:val="7CDA3A4F"/>
    <w:rsid w:val="7CFE1D15"/>
    <w:rsid w:val="7D0D1339"/>
    <w:rsid w:val="7D1C6B13"/>
    <w:rsid w:val="7D653F46"/>
    <w:rsid w:val="7D6879AE"/>
    <w:rsid w:val="7D8775BA"/>
    <w:rsid w:val="7D8A3C95"/>
    <w:rsid w:val="7D9C06EE"/>
    <w:rsid w:val="7DB14637"/>
    <w:rsid w:val="7DD84285"/>
    <w:rsid w:val="7DF12B16"/>
    <w:rsid w:val="7DF4187F"/>
    <w:rsid w:val="7E074257"/>
    <w:rsid w:val="7E2A080C"/>
    <w:rsid w:val="7E32222B"/>
    <w:rsid w:val="7E4234E1"/>
    <w:rsid w:val="7E467CE8"/>
    <w:rsid w:val="7E576027"/>
    <w:rsid w:val="7E7028CC"/>
    <w:rsid w:val="7E750DA1"/>
    <w:rsid w:val="7E850DA6"/>
    <w:rsid w:val="7E9E2C12"/>
    <w:rsid w:val="7EA74017"/>
    <w:rsid w:val="7EB70405"/>
    <w:rsid w:val="7ECC2B2B"/>
    <w:rsid w:val="7ED85023"/>
    <w:rsid w:val="7EE03866"/>
    <w:rsid w:val="7EE90C02"/>
    <w:rsid w:val="7EEE50C1"/>
    <w:rsid w:val="7EFD4F92"/>
    <w:rsid w:val="7EFE212A"/>
    <w:rsid w:val="7F017048"/>
    <w:rsid w:val="7F1D5EBF"/>
    <w:rsid w:val="7F280929"/>
    <w:rsid w:val="7F2F76C8"/>
    <w:rsid w:val="7F4A4435"/>
    <w:rsid w:val="7F4F4532"/>
    <w:rsid w:val="7F541762"/>
    <w:rsid w:val="7F7F41D7"/>
    <w:rsid w:val="7FC17266"/>
    <w:rsid w:val="7FC97A74"/>
    <w:rsid w:val="7FCC75F7"/>
    <w:rsid w:val="7FD75F49"/>
    <w:rsid w:val="7FFE1A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7"/>
    <w:qFormat/>
    <w:uiPriority w:val="0"/>
    <w:pPr>
      <w:keepNext/>
      <w:spacing w:line="380" w:lineRule="exact"/>
      <w:jc w:val="center"/>
      <w:outlineLvl w:val="0"/>
    </w:pPr>
    <w:rPr>
      <w:b/>
      <w:bCs/>
      <w:kern w:val="44"/>
      <w:sz w:val="44"/>
      <w:szCs w:val="44"/>
    </w:rPr>
  </w:style>
  <w:style w:type="paragraph" w:styleId="6">
    <w:name w:val="heading 2"/>
    <w:basedOn w:val="1"/>
    <w:next w:val="4"/>
    <w:link w:val="58"/>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7">
    <w:name w:val="heading 3"/>
    <w:basedOn w:val="1"/>
    <w:next w:val="1"/>
    <w:link w:val="61"/>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8">
    <w:name w:val="heading 4"/>
    <w:basedOn w:val="1"/>
    <w:next w:val="1"/>
    <w:link w:val="62"/>
    <w:qFormat/>
    <w:uiPriority w:val="0"/>
    <w:pPr>
      <w:keepNext/>
      <w:keepLines/>
      <w:tabs>
        <w:tab w:val="left" w:pos="864"/>
      </w:tabs>
      <w:spacing w:before="280" w:beforeLines="0" w:after="290" w:afterLines="0" w:line="376" w:lineRule="auto"/>
      <w:ind w:left="864" w:hanging="864"/>
      <w:outlineLvl w:val="3"/>
    </w:pPr>
    <w:rPr>
      <w:rFonts w:ascii="Arial" w:hAnsi="Arial" w:eastAsia="黑体"/>
      <w:b/>
      <w:bCs/>
      <w:sz w:val="28"/>
      <w:szCs w:val="28"/>
    </w:rPr>
  </w:style>
  <w:style w:type="paragraph" w:styleId="9">
    <w:name w:val="heading 5"/>
    <w:basedOn w:val="1"/>
    <w:next w:val="1"/>
    <w:link w:val="63"/>
    <w:qFormat/>
    <w:uiPriority w:val="0"/>
    <w:pPr>
      <w:keepNext/>
      <w:keepLines/>
      <w:tabs>
        <w:tab w:val="left" w:pos="1548"/>
      </w:tabs>
      <w:spacing w:before="280" w:beforeLines="0" w:after="290" w:afterLines="0" w:line="376" w:lineRule="auto"/>
      <w:ind w:left="1548" w:hanging="1548"/>
      <w:outlineLvl w:val="4"/>
    </w:pPr>
    <w:rPr>
      <w:b/>
      <w:bCs/>
      <w:sz w:val="28"/>
      <w:szCs w:val="28"/>
    </w:rPr>
  </w:style>
  <w:style w:type="paragraph" w:styleId="10">
    <w:name w:val="heading 6"/>
    <w:basedOn w:val="1"/>
    <w:next w:val="1"/>
    <w:link w:val="64"/>
    <w:qFormat/>
    <w:uiPriority w:val="0"/>
    <w:pPr>
      <w:keepNext/>
      <w:keepLines/>
      <w:spacing w:before="240" w:beforeLines="0" w:after="64" w:afterLines="0" w:line="320" w:lineRule="auto"/>
      <w:outlineLvl w:val="5"/>
    </w:pPr>
    <w:rPr>
      <w:rFonts w:ascii="Cambria" w:hAnsi="Cambria"/>
      <w:b/>
      <w:bCs/>
      <w:sz w:val="24"/>
      <w:szCs w:val="24"/>
    </w:rPr>
  </w:style>
  <w:style w:type="paragraph" w:styleId="11">
    <w:name w:val="heading 7"/>
    <w:basedOn w:val="1"/>
    <w:next w:val="1"/>
    <w:link w:val="65"/>
    <w:qFormat/>
    <w:uiPriority w:val="0"/>
    <w:pPr>
      <w:keepNext/>
      <w:keepLines/>
      <w:numPr>
        <w:ilvl w:val="6"/>
        <w:numId w:val="1"/>
      </w:numPr>
      <w:tabs>
        <w:tab w:val="left" w:pos="1296"/>
        <w:tab w:val="clear" w:pos="2940"/>
      </w:tabs>
      <w:spacing w:before="240" w:beforeLines="0" w:after="64" w:afterLines="0" w:line="317" w:lineRule="auto"/>
      <w:outlineLvl w:val="6"/>
    </w:pPr>
    <w:rPr>
      <w:b/>
      <w:bCs/>
      <w:sz w:val="24"/>
      <w:szCs w:val="24"/>
    </w:rPr>
  </w:style>
  <w:style w:type="paragraph" w:styleId="12">
    <w:name w:val="heading 8"/>
    <w:basedOn w:val="1"/>
    <w:next w:val="1"/>
    <w:link w:val="66"/>
    <w:qFormat/>
    <w:uiPriority w:val="0"/>
    <w:pPr>
      <w:keepNext/>
      <w:keepLines/>
      <w:numPr>
        <w:ilvl w:val="7"/>
        <w:numId w:val="1"/>
      </w:numPr>
      <w:tabs>
        <w:tab w:val="left" w:pos="1440"/>
        <w:tab w:val="clear" w:pos="3360"/>
      </w:tabs>
      <w:spacing w:before="240" w:beforeLines="0" w:after="64" w:afterLines="0" w:line="317" w:lineRule="auto"/>
      <w:outlineLvl w:val="7"/>
    </w:pPr>
    <w:rPr>
      <w:rFonts w:ascii="Arial" w:hAnsi="Arial" w:eastAsia="黑体"/>
      <w:sz w:val="24"/>
      <w:szCs w:val="24"/>
    </w:rPr>
  </w:style>
  <w:style w:type="paragraph" w:styleId="13">
    <w:name w:val="heading 9"/>
    <w:basedOn w:val="1"/>
    <w:next w:val="1"/>
    <w:link w:val="67"/>
    <w:qFormat/>
    <w:uiPriority w:val="0"/>
    <w:pPr>
      <w:keepNext/>
      <w:keepLines/>
      <w:numPr>
        <w:ilvl w:val="8"/>
        <w:numId w:val="1"/>
      </w:numPr>
      <w:tabs>
        <w:tab w:val="left" w:pos="1584"/>
        <w:tab w:val="clear" w:pos="3780"/>
      </w:tabs>
      <w:spacing w:before="240" w:beforeLines="0" w:after="64" w:afterLines="0" w:line="317" w:lineRule="auto"/>
      <w:outlineLvl w:val="8"/>
    </w:pPr>
    <w:rPr>
      <w:rFonts w:ascii="Arial" w:hAnsi="Arial" w:eastAsia="黑体"/>
      <w:szCs w:val="21"/>
    </w:rPr>
  </w:style>
  <w:style w:type="character" w:default="1" w:styleId="48">
    <w:name w:val="Default Paragraph Font"/>
    <w:link w:val="49"/>
    <w:qFormat/>
    <w:uiPriority w:val="0"/>
    <w:rPr>
      <w:rFonts w:hint="default" w:ascii="Verdana" w:hAnsi="Verdana"/>
      <w:kern w:val="0"/>
      <w:sz w:val="20"/>
      <w:szCs w:val="20"/>
      <w:lang w:eastAsia="en-US"/>
    </w:rPr>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60"/>
    <w:qFormat/>
    <w:uiPriority w:val="0"/>
    <w:pPr>
      <w:spacing w:line="380" w:lineRule="exact"/>
      <w:ind w:firstLine="480"/>
    </w:pPr>
    <w:rPr>
      <w:rFonts w:eastAsia="方正书宋简体"/>
      <w:sz w:val="24"/>
    </w:rPr>
  </w:style>
  <w:style w:type="paragraph" w:styleId="4">
    <w:name w:val="Normal Indent"/>
    <w:basedOn w:val="1"/>
    <w:next w:val="3"/>
    <w:link w:val="59"/>
    <w:qFormat/>
    <w:uiPriority w:val="0"/>
    <w:pPr>
      <w:ind w:firstLine="420" w:firstLineChars="200"/>
    </w:pPr>
    <w:rPr>
      <w:szCs w:val="24"/>
    </w:rPr>
  </w:style>
  <w:style w:type="paragraph" w:styleId="14">
    <w:name w:val="toc 7"/>
    <w:basedOn w:val="1"/>
    <w:next w:val="1"/>
    <w:qFormat/>
    <w:uiPriority w:val="0"/>
    <w:pPr>
      <w:ind w:left="1260"/>
      <w:jc w:val="left"/>
    </w:pPr>
    <w:rPr>
      <w:sz w:val="18"/>
      <w:szCs w:val="18"/>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0"/>
    <w:pPr>
      <w:jc w:val="left"/>
    </w:pPr>
  </w:style>
  <w:style w:type="paragraph" w:styleId="17">
    <w:name w:val="Body Text 3"/>
    <w:basedOn w:val="1"/>
    <w:link w:val="70"/>
    <w:qFormat/>
    <w:uiPriority w:val="0"/>
    <w:pPr>
      <w:spacing w:after="120" w:afterLines="0" w:line="360" w:lineRule="auto"/>
    </w:pPr>
    <w:rPr>
      <w:kern w:val="0"/>
      <w:sz w:val="16"/>
      <w:szCs w:val="16"/>
    </w:rPr>
  </w:style>
  <w:style w:type="paragraph" w:styleId="18">
    <w:name w:val="Body Text"/>
    <w:basedOn w:val="1"/>
    <w:next w:val="19"/>
    <w:link w:val="71"/>
    <w:qFormat/>
    <w:uiPriority w:val="0"/>
    <w:rPr>
      <w:i/>
      <w:sz w:val="18"/>
    </w:rPr>
  </w:style>
  <w:style w:type="paragraph" w:styleId="19">
    <w:name w:val="toc 2"/>
    <w:basedOn w:val="1"/>
    <w:next w:val="1"/>
    <w:qFormat/>
    <w:uiPriority w:val="0"/>
    <w:pPr>
      <w:ind w:left="210"/>
      <w:jc w:val="left"/>
    </w:pPr>
    <w:rPr>
      <w:smallCaps/>
      <w:sz w:val="20"/>
    </w:rPr>
  </w:style>
  <w:style w:type="paragraph" w:styleId="20">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1">
    <w:name w:val="Block Text"/>
    <w:basedOn w:val="1"/>
    <w:unhideWhenUsed/>
    <w:qFormat/>
    <w:uiPriority w:val="99"/>
    <w:pPr>
      <w:adjustRightInd w:val="0"/>
      <w:spacing w:line="300" w:lineRule="auto"/>
      <w:ind w:left="958" w:rightChars="-120"/>
      <w:jc w:val="left"/>
    </w:pPr>
    <w:rPr>
      <w:rFonts w:ascii="宋体" w:hAnsi="宋体"/>
      <w:sz w:val="28"/>
    </w:rPr>
  </w:style>
  <w:style w:type="paragraph" w:styleId="22">
    <w:name w:val="toc 5"/>
    <w:basedOn w:val="1"/>
    <w:next w:val="1"/>
    <w:qFormat/>
    <w:uiPriority w:val="0"/>
    <w:pPr>
      <w:ind w:left="840"/>
      <w:jc w:val="left"/>
    </w:pPr>
    <w:rPr>
      <w:sz w:val="18"/>
      <w:szCs w:val="18"/>
    </w:rPr>
  </w:style>
  <w:style w:type="paragraph" w:styleId="23">
    <w:name w:val="toc 3"/>
    <w:basedOn w:val="1"/>
    <w:qFormat/>
    <w:uiPriority w:val="0"/>
    <w:pPr>
      <w:ind w:left="420"/>
      <w:jc w:val="left"/>
    </w:pPr>
    <w:rPr>
      <w:i/>
      <w:iCs/>
      <w:sz w:val="20"/>
    </w:rPr>
  </w:style>
  <w:style w:type="paragraph" w:styleId="24">
    <w:name w:val="Plain Text"/>
    <w:basedOn w:val="1"/>
    <w:link w:val="72"/>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3"/>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74"/>
    <w:qFormat/>
    <w:uiPriority w:val="0"/>
    <w:pPr>
      <w:spacing w:line="380" w:lineRule="exact"/>
      <w:ind w:left="840" w:hanging="45"/>
    </w:pPr>
    <w:rPr>
      <w:rFonts w:ascii="宋体"/>
      <w:sz w:val="24"/>
    </w:rPr>
  </w:style>
  <w:style w:type="paragraph" w:styleId="28">
    <w:name w:val="Balloon Text"/>
    <w:basedOn w:val="1"/>
    <w:link w:val="75"/>
    <w:qFormat/>
    <w:uiPriority w:val="0"/>
    <w:rPr>
      <w:sz w:val="18"/>
      <w:szCs w:val="18"/>
    </w:rPr>
  </w:style>
  <w:style w:type="paragraph" w:styleId="29">
    <w:name w:val="footer"/>
    <w:basedOn w:val="1"/>
    <w:link w:val="76"/>
    <w:qFormat/>
    <w:uiPriority w:val="0"/>
    <w:pPr>
      <w:tabs>
        <w:tab w:val="center" w:pos="4153"/>
        <w:tab w:val="right" w:pos="8306"/>
      </w:tabs>
      <w:snapToGrid w:val="0"/>
      <w:jc w:val="left"/>
    </w:pPr>
    <w:rPr>
      <w:sz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0"/>
    <w:pPr>
      <w:ind w:left="630"/>
      <w:jc w:val="left"/>
    </w:pPr>
    <w:rPr>
      <w:sz w:val="18"/>
      <w:szCs w:val="18"/>
    </w:rPr>
  </w:style>
  <w:style w:type="paragraph" w:styleId="33">
    <w:name w:val="List Number 5"/>
    <w:basedOn w:val="1"/>
    <w:qFormat/>
    <w:uiPriority w:val="0"/>
    <w:pPr>
      <w:numPr>
        <w:ilvl w:val="0"/>
        <w:numId w:val="2"/>
      </w:numPr>
      <w:tabs>
        <w:tab w:val="left" w:pos="2608"/>
        <w:tab w:val="clear" w:pos="840"/>
      </w:tabs>
      <w:spacing w:line="360" w:lineRule="auto"/>
    </w:pPr>
    <w:rPr>
      <w:sz w:val="24"/>
      <w:szCs w:val="24"/>
    </w:rPr>
  </w:style>
  <w:style w:type="paragraph" w:styleId="34">
    <w:name w:val="footnote text"/>
    <w:basedOn w:val="1"/>
    <w:unhideWhenUsed/>
    <w:qFormat/>
    <w:uiPriority w:val="99"/>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78"/>
    <w:qFormat/>
    <w:uiPriority w:val="0"/>
    <w:pPr>
      <w:spacing w:line="380" w:lineRule="exact"/>
      <w:ind w:left="525"/>
    </w:pPr>
    <w:rPr>
      <w:rFonts w:ascii="宋体"/>
      <w:sz w:val="24"/>
    </w:rPr>
  </w:style>
  <w:style w:type="paragraph" w:styleId="37">
    <w:name w:val="table of figures"/>
    <w:basedOn w:val="1"/>
    <w:next w:val="1"/>
    <w:qFormat/>
    <w:uiPriority w:val="0"/>
    <w:pPr>
      <w:ind w:left="420" w:hanging="420"/>
      <w:jc w:val="left"/>
    </w:pPr>
    <w:rPr>
      <w:smallCaps/>
      <w:sz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79"/>
    <w:qFormat/>
    <w:uiPriority w:val="0"/>
    <w:pPr>
      <w:spacing w:after="120" w:afterLines="0" w:line="480" w:lineRule="auto"/>
    </w:pPr>
    <w:rPr>
      <w:kern w:val="0"/>
      <w:sz w:val="24"/>
      <w:szCs w:val="24"/>
    </w:rPr>
  </w:style>
  <w:style w:type="paragraph" w:styleId="40">
    <w:name w:val="HTML Preformatted"/>
    <w:basedOn w:val="1"/>
    <w:qFormat/>
    <w:uiPriority w:val="0"/>
    <w:rPr>
      <w:rFonts w:ascii="Courier New" w:hAnsi="Courier New" w:cs="Courier New"/>
      <w:sz w:val="20"/>
    </w:rPr>
  </w:style>
  <w:style w:type="paragraph" w:styleId="41">
    <w:name w:val="Normal (Web)"/>
    <w:basedOn w:val="1"/>
    <w:qFormat/>
    <w:uiPriority w:val="0"/>
    <w:pPr>
      <w:widowControl/>
      <w:spacing w:before="100" w:beforeLines="0" w:beforeAutospacing="1" w:after="100" w:afterLines="0" w:afterAutospacing="1" w:line="300" w:lineRule="atLeast"/>
      <w:jc w:val="left"/>
    </w:pPr>
    <w:rPr>
      <w:rFonts w:ascii="宋体" w:hAnsi="宋体" w:cs="宋体"/>
      <w:kern w:val="0"/>
      <w:sz w:val="24"/>
      <w:szCs w:val="24"/>
    </w:rPr>
  </w:style>
  <w:style w:type="paragraph" w:styleId="42">
    <w:name w:val="index 1"/>
    <w:basedOn w:val="1"/>
    <w:next w:val="1"/>
    <w:qFormat/>
    <w:uiPriority w:val="0"/>
  </w:style>
  <w:style w:type="paragraph" w:styleId="43">
    <w:name w:val="Title"/>
    <w:basedOn w:val="1"/>
    <w:next w:val="1"/>
    <w:link w:val="80"/>
    <w:qFormat/>
    <w:uiPriority w:val="0"/>
    <w:pPr>
      <w:spacing w:before="240" w:after="60"/>
      <w:jc w:val="center"/>
      <w:outlineLvl w:val="0"/>
    </w:pPr>
    <w:rPr>
      <w:rFonts w:ascii="Cambria" w:hAnsi="Cambria"/>
      <w:b/>
      <w:bCs/>
      <w:sz w:val="32"/>
      <w:szCs w:val="32"/>
    </w:rPr>
  </w:style>
  <w:style w:type="paragraph" w:styleId="44">
    <w:name w:val="annotation subject"/>
    <w:basedOn w:val="16"/>
    <w:next w:val="16"/>
    <w:qFormat/>
    <w:uiPriority w:val="0"/>
    <w:rPr>
      <w:b/>
      <w:bCs/>
    </w:rPr>
  </w:style>
  <w:style w:type="paragraph" w:styleId="45">
    <w:name w:val="Body Text First Indent"/>
    <w:basedOn w:val="18"/>
    <w:next w:val="1"/>
    <w:link w:val="81"/>
    <w:qFormat/>
    <w:uiPriority w:val="0"/>
    <w:pPr>
      <w:spacing w:after="120" w:afterLines="0"/>
      <w:ind w:firstLine="420" w:firstLineChars="100"/>
    </w:pPr>
    <w:rPr>
      <w:sz w:val="21"/>
      <w:szCs w:val="24"/>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Char Char Char Char"/>
    <w:basedOn w:val="1"/>
    <w:link w:val="48"/>
    <w:qFormat/>
    <w:uiPriority w:val="0"/>
    <w:pPr>
      <w:widowControl/>
      <w:spacing w:after="160" w:line="240" w:lineRule="exact"/>
      <w:jc w:val="left"/>
    </w:pPr>
    <w:rPr>
      <w:rFonts w:hint="default" w:ascii="Verdana" w:hAnsi="Verdana"/>
      <w:kern w:val="0"/>
      <w:sz w:val="20"/>
      <w:szCs w:val="20"/>
      <w:lang w:eastAsia="en-US"/>
    </w:rPr>
  </w:style>
  <w:style w:type="character" w:styleId="50">
    <w:name w:val="Strong"/>
    <w:qFormat/>
    <w:uiPriority w:val="0"/>
    <w:rPr>
      <w:b/>
      <w:bCs/>
    </w:rPr>
  </w:style>
  <w:style w:type="character" w:styleId="51">
    <w:name w:val="page number"/>
    <w:basedOn w:val="48"/>
    <w:qFormat/>
    <w:uiPriority w:val="0"/>
  </w:style>
  <w:style w:type="character" w:styleId="52">
    <w:name w:val="FollowedHyperlink"/>
    <w:qFormat/>
    <w:uiPriority w:val="0"/>
    <w:rPr>
      <w:color w:val="800080"/>
      <w:u w:val="none"/>
    </w:rPr>
  </w:style>
  <w:style w:type="character" w:styleId="53">
    <w:name w:val="Emphasis"/>
    <w:basedOn w:val="48"/>
    <w:qFormat/>
    <w:uiPriority w:val="0"/>
    <w:rPr>
      <w:i/>
    </w:rPr>
  </w:style>
  <w:style w:type="character" w:styleId="54">
    <w:name w:val="HTML Typewriter"/>
    <w:qFormat/>
    <w:uiPriority w:val="0"/>
    <w:rPr>
      <w:rFonts w:ascii="Courier New" w:hAnsi="Courier New" w:cs="Courier New"/>
      <w:sz w:val="20"/>
      <w:szCs w:val="20"/>
    </w:rPr>
  </w:style>
  <w:style w:type="character" w:styleId="55">
    <w:name w:val="Hyperlink"/>
    <w:basedOn w:val="48"/>
    <w:qFormat/>
    <w:uiPriority w:val="0"/>
    <w:rPr>
      <w:color w:val="0000FF"/>
      <w:u w:val="none"/>
    </w:rPr>
  </w:style>
  <w:style w:type="character" w:styleId="56">
    <w:name w:val="annotation reference"/>
    <w:qFormat/>
    <w:uiPriority w:val="0"/>
    <w:rPr>
      <w:sz w:val="21"/>
      <w:szCs w:val="21"/>
    </w:rPr>
  </w:style>
  <w:style w:type="character" w:customStyle="1" w:styleId="57">
    <w:name w:val="标题 1 Char"/>
    <w:link w:val="5"/>
    <w:qFormat/>
    <w:uiPriority w:val="0"/>
    <w:rPr>
      <w:rFonts w:eastAsia="宋体"/>
      <w:b/>
      <w:bCs/>
      <w:kern w:val="44"/>
      <w:sz w:val="44"/>
      <w:szCs w:val="44"/>
      <w:lang w:val="en-US" w:eastAsia="zh-CN" w:bidi="ar-SA"/>
    </w:rPr>
  </w:style>
  <w:style w:type="character" w:customStyle="1" w:styleId="58">
    <w:name w:val="标题 2 Char"/>
    <w:link w:val="6"/>
    <w:qFormat/>
    <w:uiPriority w:val="0"/>
    <w:rPr>
      <w:rFonts w:ascii="Arial" w:hAnsi="Arial" w:eastAsia="黑体"/>
      <w:b/>
      <w:bCs/>
      <w:kern w:val="2"/>
      <w:sz w:val="32"/>
      <w:szCs w:val="32"/>
      <w:lang w:val="en-US" w:eastAsia="zh-CN" w:bidi="ar-SA"/>
    </w:rPr>
  </w:style>
  <w:style w:type="character" w:customStyle="1" w:styleId="59">
    <w:name w:val="正文缩进 Char"/>
    <w:link w:val="4"/>
    <w:qFormat/>
    <w:uiPriority w:val="0"/>
    <w:rPr>
      <w:rFonts w:eastAsia="宋体"/>
      <w:kern w:val="2"/>
      <w:sz w:val="21"/>
      <w:szCs w:val="24"/>
      <w:lang w:val="en-US" w:eastAsia="zh-CN" w:bidi="ar-SA"/>
    </w:rPr>
  </w:style>
  <w:style w:type="character" w:customStyle="1" w:styleId="60">
    <w:name w:val=" Char Char32"/>
    <w:basedOn w:val="48"/>
    <w:link w:val="3"/>
    <w:qFormat/>
    <w:uiPriority w:val="0"/>
    <w:rPr>
      <w:rFonts w:hint="eastAsia" w:ascii="方正书宋简体" w:hAnsi="方正书宋简体" w:eastAsia="方正书宋简体" w:cs="方正书宋简体"/>
      <w:kern w:val="2"/>
      <w:sz w:val="24"/>
      <w:lang w:val="en-US" w:eastAsia="zh-CN" w:bidi="ar"/>
    </w:rPr>
  </w:style>
  <w:style w:type="character" w:customStyle="1" w:styleId="61">
    <w:name w:val="标题 3 Char"/>
    <w:link w:val="7"/>
    <w:qFormat/>
    <w:uiPriority w:val="0"/>
    <w:rPr>
      <w:rFonts w:ascii="Arial" w:hAnsi="Arial" w:eastAsia="黑体" w:cs="Arial"/>
      <w:b/>
      <w:bCs/>
      <w:kern w:val="2"/>
      <w:sz w:val="30"/>
      <w:szCs w:val="32"/>
      <w:lang w:val="en-US" w:eastAsia="zh-CN" w:bidi="ar-SA"/>
    </w:rPr>
  </w:style>
  <w:style w:type="character" w:customStyle="1" w:styleId="62">
    <w:name w:val="标题 4 Char"/>
    <w:link w:val="8"/>
    <w:qFormat/>
    <w:uiPriority w:val="0"/>
    <w:rPr>
      <w:rFonts w:ascii="Arial" w:hAnsi="Arial" w:eastAsia="黑体"/>
      <w:b/>
      <w:bCs/>
      <w:kern w:val="2"/>
      <w:sz w:val="28"/>
      <w:szCs w:val="28"/>
      <w:lang w:val="en-US" w:eastAsia="zh-CN" w:bidi="ar-SA"/>
    </w:rPr>
  </w:style>
  <w:style w:type="character" w:customStyle="1" w:styleId="63">
    <w:name w:val="标题 5 Char"/>
    <w:link w:val="9"/>
    <w:qFormat/>
    <w:uiPriority w:val="0"/>
    <w:rPr>
      <w:rFonts w:eastAsia="宋体"/>
      <w:b/>
      <w:bCs/>
      <w:kern w:val="2"/>
      <w:sz w:val="28"/>
      <w:szCs w:val="28"/>
      <w:lang w:val="en-US" w:eastAsia="zh-CN" w:bidi="ar-SA"/>
    </w:rPr>
  </w:style>
  <w:style w:type="character" w:customStyle="1" w:styleId="64">
    <w:name w:val="标题 6 Char"/>
    <w:link w:val="10"/>
    <w:qFormat/>
    <w:uiPriority w:val="0"/>
    <w:rPr>
      <w:rFonts w:ascii="Cambria" w:hAnsi="Cambria" w:eastAsia="宋体"/>
      <w:b/>
      <w:bCs/>
      <w:kern w:val="2"/>
      <w:sz w:val="24"/>
      <w:szCs w:val="24"/>
      <w:lang w:val="en-US" w:eastAsia="zh-CN" w:bidi="ar-SA"/>
    </w:rPr>
  </w:style>
  <w:style w:type="character" w:customStyle="1" w:styleId="65">
    <w:name w:val="标题 7 Char"/>
    <w:link w:val="11"/>
    <w:qFormat/>
    <w:uiPriority w:val="0"/>
    <w:rPr>
      <w:rFonts w:eastAsia="宋体"/>
      <w:b/>
      <w:bCs/>
      <w:kern w:val="2"/>
      <w:sz w:val="24"/>
      <w:szCs w:val="24"/>
      <w:lang w:val="en-US" w:eastAsia="zh-CN" w:bidi="ar-SA"/>
    </w:rPr>
  </w:style>
  <w:style w:type="character" w:customStyle="1" w:styleId="66">
    <w:name w:val="标题 8 Char"/>
    <w:link w:val="12"/>
    <w:qFormat/>
    <w:uiPriority w:val="0"/>
    <w:rPr>
      <w:rFonts w:ascii="Arial" w:hAnsi="Arial" w:eastAsia="黑体"/>
      <w:kern w:val="2"/>
      <w:sz w:val="24"/>
      <w:szCs w:val="24"/>
      <w:lang w:val="en-US" w:eastAsia="zh-CN" w:bidi="ar-SA"/>
    </w:rPr>
  </w:style>
  <w:style w:type="character" w:customStyle="1" w:styleId="67">
    <w:name w:val="标题 9 Char"/>
    <w:link w:val="13"/>
    <w:qFormat/>
    <w:uiPriority w:val="0"/>
    <w:rPr>
      <w:rFonts w:ascii="Arial" w:hAnsi="Arial" w:eastAsia="黑体"/>
      <w:kern w:val="2"/>
      <w:sz w:val="21"/>
      <w:szCs w:val="21"/>
      <w:lang w:val="en-US" w:eastAsia="zh-CN" w:bidi="ar-SA"/>
    </w:rPr>
  </w:style>
  <w:style w:type="character" w:customStyle="1" w:styleId="68">
    <w:name w:val="文档结构图 Char"/>
    <w:link w:val="15"/>
    <w:qFormat/>
    <w:uiPriority w:val="0"/>
    <w:rPr>
      <w:rFonts w:eastAsia="宋体"/>
      <w:kern w:val="2"/>
      <w:sz w:val="21"/>
      <w:lang w:val="en-US" w:eastAsia="zh-CN" w:bidi="ar-SA"/>
    </w:rPr>
  </w:style>
  <w:style w:type="character" w:customStyle="1" w:styleId="69">
    <w:name w:val="批注文字 Char"/>
    <w:link w:val="16"/>
    <w:qFormat/>
    <w:uiPriority w:val="0"/>
    <w:rPr>
      <w:rFonts w:eastAsia="宋体"/>
      <w:kern w:val="2"/>
      <w:sz w:val="21"/>
      <w:lang w:val="en-US" w:eastAsia="zh-CN" w:bidi="ar-SA"/>
    </w:rPr>
  </w:style>
  <w:style w:type="character" w:customStyle="1" w:styleId="70">
    <w:name w:val="正文文本 3 Char"/>
    <w:link w:val="17"/>
    <w:qFormat/>
    <w:uiPriority w:val="0"/>
    <w:rPr>
      <w:rFonts w:eastAsia="宋体"/>
      <w:sz w:val="16"/>
      <w:szCs w:val="16"/>
      <w:lang w:bidi="ar-SA"/>
    </w:rPr>
  </w:style>
  <w:style w:type="character" w:customStyle="1" w:styleId="71">
    <w:name w:val="正文文本 Char"/>
    <w:link w:val="18"/>
    <w:qFormat/>
    <w:uiPriority w:val="0"/>
    <w:rPr>
      <w:rFonts w:eastAsia="宋体"/>
      <w:i/>
      <w:kern w:val="2"/>
      <w:sz w:val="18"/>
      <w:lang w:val="en-US" w:eastAsia="zh-CN" w:bidi="ar-SA"/>
    </w:rPr>
  </w:style>
  <w:style w:type="character" w:customStyle="1" w:styleId="72">
    <w:name w:val="纯文本 Char"/>
    <w:link w:val="24"/>
    <w:qFormat/>
    <w:uiPriority w:val="0"/>
    <w:rPr>
      <w:rFonts w:ascii="宋体" w:hAnsi="宋体" w:eastAsia="宋体" w:cs="宋体"/>
      <w:color w:val="000000"/>
      <w:sz w:val="24"/>
      <w:szCs w:val="24"/>
      <w:lang w:val="en-US" w:eastAsia="zh-CN" w:bidi="ar-SA"/>
    </w:rPr>
  </w:style>
  <w:style w:type="character" w:customStyle="1" w:styleId="73">
    <w:name w:val=" Char Char"/>
    <w:basedOn w:val="48"/>
    <w:link w:val="26"/>
    <w:qFormat/>
    <w:uiPriority w:val="0"/>
    <w:rPr>
      <w:rFonts w:ascii="宋体" w:eastAsia="宋体"/>
      <w:sz w:val="24"/>
      <w:lang w:val="en-US" w:eastAsia="zh-CN" w:bidi="ar-SA"/>
    </w:rPr>
  </w:style>
  <w:style w:type="character" w:customStyle="1" w:styleId="74">
    <w:name w:val="正文文本缩进 2 Char"/>
    <w:link w:val="27"/>
    <w:qFormat/>
    <w:uiPriority w:val="0"/>
    <w:rPr>
      <w:rFonts w:ascii="宋体" w:eastAsia="宋体"/>
      <w:kern w:val="2"/>
      <w:sz w:val="24"/>
      <w:lang w:val="en-US" w:eastAsia="zh-CN" w:bidi="ar-SA"/>
    </w:rPr>
  </w:style>
  <w:style w:type="character" w:customStyle="1" w:styleId="75">
    <w:name w:val=" Char Char2"/>
    <w:basedOn w:val="48"/>
    <w:link w:val="28"/>
    <w:qFormat/>
    <w:uiPriority w:val="0"/>
    <w:rPr>
      <w:rFonts w:eastAsia="宋体"/>
      <w:kern w:val="2"/>
      <w:sz w:val="18"/>
      <w:szCs w:val="18"/>
      <w:lang w:val="en-US" w:eastAsia="zh-CN" w:bidi="ar-SA"/>
    </w:rPr>
  </w:style>
  <w:style w:type="character" w:customStyle="1" w:styleId="76">
    <w:name w:val=" Char Char27"/>
    <w:basedOn w:val="48"/>
    <w:link w:val="29"/>
    <w:qFormat/>
    <w:uiPriority w:val="0"/>
    <w:rPr>
      <w:rFonts w:hint="eastAsia" w:ascii="宋体" w:hAnsi="宋体" w:eastAsia="宋体" w:cs="宋体"/>
      <w:kern w:val="2"/>
      <w:sz w:val="18"/>
      <w:lang w:val="en-US" w:eastAsia="zh-CN" w:bidi="ar"/>
    </w:rPr>
  </w:style>
  <w:style w:type="character" w:customStyle="1" w:styleId="77">
    <w:name w:val=" Char Char30"/>
    <w:basedOn w:val="48"/>
    <w:link w:val="30"/>
    <w:qFormat/>
    <w:uiPriority w:val="0"/>
    <w:rPr>
      <w:rFonts w:hint="eastAsia" w:ascii="宋体" w:hAnsi="宋体" w:eastAsia="宋体" w:cs="宋体"/>
      <w:kern w:val="2"/>
      <w:sz w:val="18"/>
      <w:lang w:val="en-US" w:eastAsia="zh-CN" w:bidi="ar"/>
    </w:rPr>
  </w:style>
  <w:style w:type="character" w:customStyle="1" w:styleId="78">
    <w:name w:val="正文文本缩进 3 Char"/>
    <w:link w:val="36"/>
    <w:qFormat/>
    <w:uiPriority w:val="0"/>
    <w:rPr>
      <w:rFonts w:ascii="宋体" w:eastAsia="宋体"/>
      <w:kern w:val="2"/>
      <w:sz w:val="24"/>
      <w:lang w:val="en-US" w:eastAsia="zh-CN" w:bidi="ar-SA"/>
    </w:rPr>
  </w:style>
  <w:style w:type="character" w:customStyle="1" w:styleId="79">
    <w:name w:val="正文文本 2 Char"/>
    <w:link w:val="39"/>
    <w:qFormat/>
    <w:uiPriority w:val="0"/>
    <w:rPr>
      <w:rFonts w:eastAsia="宋体"/>
      <w:sz w:val="24"/>
      <w:szCs w:val="24"/>
      <w:lang w:bidi="ar-SA"/>
    </w:rPr>
  </w:style>
  <w:style w:type="character" w:customStyle="1" w:styleId="80">
    <w:name w:val="标题 Char"/>
    <w:link w:val="43"/>
    <w:qFormat/>
    <w:uiPriority w:val="0"/>
    <w:rPr>
      <w:rFonts w:ascii="Cambria" w:hAnsi="Cambria" w:cs="Times New Roman"/>
      <w:b/>
      <w:bCs/>
      <w:kern w:val="2"/>
      <w:sz w:val="32"/>
      <w:szCs w:val="32"/>
    </w:rPr>
  </w:style>
  <w:style w:type="character" w:customStyle="1" w:styleId="81">
    <w:name w:val="正文首行缩进 Char"/>
    <w:link w:val="45"/>
    <w:qFormat/>
    <w:uiPriority w:val="0"/>
    <w:rPr>
      <w:rFonts w:eastAsia="宋体"/>
      <w:i/>
      <w:kern w:val="2"/>
      <w:sz w:val="21"/>
      <w:szCs w:val="24"/>
      <w:lang w:val="en-US" w:eastAsia="zh-CN" w:bidi="ar-SA"/>
    </w:rPr>
  </w:style>
  <w:style w:type="paragraph" w:customStyle="1" w:styleId="82">
    <w:name w:val="_Style 3"/>
    <w:basedOn w:val="1"/>
    <w:qFormat/>
    <w:uiPriority w:val="1"/>
    <w:pPr>
      <w:adjustRightInd/>
      <w:ind w:firstLine="420" w:firstLineChars="200"/>
    </w:pPr>
    <w:rPr>
      <w:rFonts w:eastAsia="仿宋_GB2312"/>
      <w:sz w:val="28"/>
    </w:rPr>
  </w:style>
  <w:style w:type="character" w:customStyle="1" w:styleId="83">
    <w:name w:val="页脚 Char"/>
    <w:qFormat/>
    <w:uiPriority w:val="0"/>
    <w:rPr>
      <w:rFonts w:eastAsia="宋体"/>
      <w:kern w:val="2"/>
      <w:sz w:val="18"/>
      <w:lang w:val="en-US" w:eastAsia="zh-CN" w:bidi="ar-SA"/>
    </w:rPr>
  </w:style>
  <w:style w:type="character" w:customStyle="1" w:styleId="84">
    <w:name w:val="hui3"/>
    <w:qFormat/>
    <w:uiPriority w:val="0"/>
    <w:rPr>
      <w:color w:val="333333"/>
    </w:rPr>
  </w:style>
  <w:style w:type="character" w:customStyle="1" w:styleId="85">
    <w:name w:val="页脚 Char1"/>
    <w:qFormat/>
    <w:uiPriority w:val="0"/>
    <w:rPr>
      <w:rFonts w:eastAsia="宋体"/>
      <w:kern w:val="2"/>
      <w:sz w:val="18"/>
      <w:lang w:val="en-US" w:eastAsia="zh-CN" w:bidi="ar-SA"/>
    </w:rPr>
  </w:style>
  <w:style w:type="character" w:customStyle="1" w:styleId="86">
    <w:name w:val="apple-style-span"/>
    <w:basedOn w:val="48"/>
    <w:qFormat/>
    <w:uiPriority w:val="0"/>
  </w:style>
  <w:style w:type="character" w:customStyle="1" w:styleId="87">
    <w:name w:val=" Char Char9"/>
    <w:basedOn w:val="48"/>
    <w:qFormat/>
    <w:uiPriority w:val="0"/>
    <w:rPr>
      <w:rFonts w:ascii="Arial" w:hAnsi="Arial" w:eastAsia="黑体"/>
      <w:b/>
      <w:bCs/>
      <w:kern w:val="2"/>
      <w:sz w:val="24"/>
      <w:szCs w:val="24"/>
    </w:rPr>
  </w:style>
  <w:style w:type="character" w:customStyle="1" w:styleId="88">
    <w:name w:val=" Char Char4"/>
    <w:basedOn w:val="48"/>
    <w:qFormat/>
    <w:uiPriority w:val="0"/>
    <w:rPr>
      <w:kern w:val="2"/>
      <w:sz w:val="18"/>
      <w:szCs w:val="18"/>
    </w:rPr>
  </w:style>
  <w:style w:type="character" w:customStyle="1" w:styleId="89">
    <w:name w:val="正文文本缩进 Char"/>
    <w:basedOn w:val="48"/>
    <w:qFormat/>
    <w:uiPriority w:val="0"/>
    <w:rPr>
      <w:rFonts w:hint="default" w:ascii="Verdana" w:hAnsi="Verdana" w:cs="Verdana"/>
      <w:kern w:val="2"/>
      <w:sz w:val="28"/>
      <w:lang w:eastAsia="en-US" w:bidi="ar"/>
    </w:rPr>
  </w:style>
  <w:style w:type="character" w:customStyle="1" w:styleId="90">
    <w:name w:val="哈哈正文 Char Char"/>
    <w:link w:val="91"/>
    <w:qFormat/>
    <w:uiPriority w:val="0"/>
    <w:rPr>
      <w:rFonts w:ascii="宋体" w:hAnsi="宋体" w:eastAsia="宋体" w:cs="宋体"/>
      <w:kern w:val="2"/>
      <w:sz w:val="24"/>
      <w:lang w:val="en-US" w:eastAsia="zh-CN" w:bidi="ar-SA"/>
    </w:rPr>
  </w:style>
  <w:style w:type="paragraph" w:customStyle="1" w:styleId="91">
    <w:name w:val="哈哈正文"/>
    <w:basedOn w:val="1"/>
    <w:link w:val="90"/>
    <w:qFormat/>
    <w:uiPriority w:val="0"/>
    <w:pPr>
      <w:spacing w:line="360" w:lineRule="auto"/>
      <w:ind w:firstLine="200" w:firstLineChars="200"/>
    </w:pPr>
    <w:rPr>
      <w:rFonts w:ascii="宋体" w:hAnsi="宋体" w:cs="宋体"/>
      <w:sz w:val="24"/>
    </w:rPr>
  </w:style>
  <w:style w:type="character" w:customStyle="1" w:styleId="92">
    <w:name w:val=" Char Char12"/>
    <w:basedOn w:val="48"/>
    <w:qFormat/>
    <w:uiPriority w:val="0"/>
    <w:rPr>
      <w:b/>
      <w:bCs/>
      <w:kern w:val="2"/>
      <w:sz w:val="32"/>
      <w:szCs w:val="32"/>
    </w:rPr>
  </w:style>
  <w:style w:type="character" w:customStyle="1" w:styleId="93">
    <w:name w:val="页眉 Char"/>
    <w:qFormat/>
    <w:uiPriority w:val="0"/>
    <w:rPr>
      <w:rFonts w:eastAsia="宋体"/>
      <w:kern w:val="2"/>
      <w:sz w:val="18"/>
      <w:lang w:val="en-US" w:eastAsia="zh-CN" w:bidi="ar-SA"/>
    </w:rPr>
  </w:style>
  <w:style w:type="character" w:customStyle="1" w:styleId="94">
    <w:name w:val=" Char Char1"/>
    <w:qFormat/>
    <w:uiPriority w:val="0"/>
    <w:rPr>
      <w:rFonts w:ascii="Arial" w:hAnsi="Arial" w:cs="Arial"/>
      <w:b/>
      <w:bCs/>
      <w:kern w:val="2"/>
      <w:sz w:val="32"/>
      <w:szCs w:val="32"/>
    </w:rPr>
  </w:style>
  <w:style w:type="character" w:customStyle="1" w:styleId="95">
    <w:name w:val="样式5 Char Char"/>
    <w:link w:val="96"/>
    <w:qFormat/>
    <w:uiPriority w:val="0"/>
    <w:rPr>
      <w:rFonts w:eastAsia="宋体"/>
      <w:b/>
      <w:bCs/>
      <w:kern w:val="2"/>
      <w:sz w:val="28"/>
      <w:szCs w:val="28"/>
      <w:lang w:val="en-US" w:eastAsia="zh-CN" w:bidi="ar-SA"/>
    </w:rPr>
  </w:style>
  <w:style w:type="paragraph" w:customStyle="1" w:styleId="96">
    <w:name w:val="样式5"/>
    <w:basedOn w:val="1"/>
    <w:link w:val="95"/>
    <w:qFormat/>
    <w:uiPriority w:val="0"/>
    <w:pPr>
      <w:keepNext/>
      <w:keepLines/>
      <w:spacing w:before="280" w:beforeLines="0" w:after="290" w:afterLines="0" w:line="376" w:lineRule="auto"/>
      <w:ind w:left="210" w:leftChars="100" w:right="210" w:rightChars="100"/>
      <w:outlineLvl w:val="4"/>
    </w:pPr>
    <w:rPr>
      <w:b/>
      <w:bCs/>
      <w:sz w:val="28"/>
      <w:szCs w:val="28"/>
    </w:rPr>
  </w:style>
  <w:style w:type="character" w:customStyle="1" w:styleId="97">
    <w:name w:val="标题 2 Char1"/>
    <w:qFormat/>
    <w:uiPriority w:val="0"/>
    <w:rPr>
      <w:rFonts w:ascii="Arial" w:hAnsi="Arial" w:eastAsia="黑体"/>
      <w:b/>
      <w:bCs/>
      <w:kern w:val="2"/>
      <w:sz w:val="32"/>
      <w:szCs w:val="32"/>
      <w:lang w:val="en-US" w:eastAsia="zh-CN" w:bidi="ar-SA"/>
    </w:rPr>
  </w:style>
  <w:style w:type="character" w:customStyle="1" w:styleId="98">
    <w:name w:val=" Char Char11"/>
    <w:basedOn w:val="48"/>
    <w:qFormat/>
    <w:uiPriority w:val="0"/>
    <w:rPr>
      <w:rFonts w:ascii="Arial" w:hAnsi="Arial" w:eastAsia="黑体"/>
      <w:b/>
      <w:bCs/>
      <w:kern w:val="2"/>
      <w:sz w:val="28"/>
      <w:szCs w:val="28"/>
    </w:rPr>
  </w:style>
  <w:style w:type="character" w:customStyle="1" w:styleId="99">
    <w:name w:val="样式4 Char Char"/>
    <w:link w:val="100"/>
    <w:qFormat/>
    <w:uiPriority w:val="0"/>
    <w:rPr>
      <w:rFonts w:ascii="黑体" w:hAnsi="黑体" w:eastAsia="黑体"/>
      <w:bCs/>
      <w:kern w:val="44"/>
      <w:sz w:val="44"/>
      <w:szCs w:val="44"/>
      <w:lang w:val="en-US" w:eastAsia="zh-CN" w:bidi="ar-SA"/>
    </w:rPr>
  </w:style>
  <w:style w:type="paragraph" w:customStyle="1" w:styleId="100">
    <w:name w:val="样式4"/>
    <w:basedOn w:val="5"/>
    <w:link w:val="99"/>
    <w:qFormat/>
    <w:uiPriority w:val="0"/>
    <w:pPr>
      <w:keepLines/>
      <w:spacing w:line="360" w:lineRule="auto"/>
    </w:pPr>
    <w:rPr>
      <w:rFonts w:ascii="黑体" w:hAnsi="黑体" w:eastAsia="黑体"/>
      <w:b w:val="0"/>
    </w:rPr>
  </w:style>
  <w:style w:type="character" w:customStyle="1" w:styleId="101">
    <w:name w:val=" Char Char5"/>
    <w:basedOn w:val="48"/>
    <w:qFormat/>
    <w:uiPriority w:val="0"/>
    <w:rPr>
      <w:kern w:val="2"/>
      <w:sz w:val="18"/>
      <w:szCs w:val="18"/>
    </w:rPr>
  </w:style>
  <w:style w:type="character" w:customStyle="1" w:styleId="102">
    <w:name w:val=" Char Char13"/>
    <w:basedOn w:val="48"/>
    <w:qFormat/>
    <w:uiPriority w:val="0"/>
    <w:rPr>
      <w:rFonts w:ascii="Arial" w:hAnsi="Arial" w:eastAsia="黑体"/>
      <w:b/>
      <w:bCs/>
      <w:kern w:val="2"/>
      <w:sz w:val="32"/>
      <w:szCs w:val="32"/>
    </w:rPr>
  </w:style>
  <w:style w:type="character" w:customStyle="1" w:styleId="103">
    <w:name w:val="标题 Char1"/>
    <w:basedOn w:val="48"/>
    <w:qFormat/>
    <w:uiPriority w:val="0"/>
    <w:rPr>
      <w:rFonts w:ascii="Cambria" w:hAnsi="Cambria" w:cs="Times New Roman"/>
      <w:b/>
      <w:bCs/>
      <w:kern w:val="2"/>
      <w:sz w:val="32"/>
      <w:szCs w:val="32"/>
    </w:rPr>
  </w:style>
  <w:style w:type="character" w:customStyle="1" w:styleId="104">
    <w:name w:val="纯文本 Char2"/>
    <w:qFormat/>
    <w:uiPriority w:val="0"/>
    <w:rPr>
      <w:rFonts w:hint="eastAsia" w:ascii="宋体" w:hAnsi="Courier New" w:eastAsia="宋体" w:cs="Courier New"/>
      <w:kern w:val="2"/>
      <w:sz w:val="21"/>
      <w:szCs w:val="21"/>
      <w:lang w:eastAsia="en-US"/>
    </w:rPr>
  </w:style>
  <w:style w:type="character" w:customStyle="1" w:styleId="105">
    <w:name w:val=" Char Char7"/>
    <w:basedOn w:val="48"/>
    <w:qFormat/>
    <w:uiPriority w:val="0"/>
    <w:rPr>
      <w:rFonts w:ascii="Cambria" w:hAnsi="Cambria"/>
      <w:kern w:val="2"/>
      <w:sz w:val="24"/>
      <w:szCs w:val="24"/>
    </w:rPr>
  </w:style>
  <w:style w:type="character" w:customStyle="1" w:styleId="106">
    <w:name w:val="样式1 Char Char"/>
    <w:link w:val="107"/>
    <w:qFormat/>
    <w:uiPriority w:val="0"/>
    <w:rPr>
      <w:rFonts w:ascii="黑体" w:hAnsi="黑体" w:eastAsia="黑体"/>
      <w:b/>
      <w:bCs/>
      <w:kern w:val="2"/>
      <w:sz w:val="32"/>
      <w:szCs w:val="32"/>
      <w:lang w:bidi="ar-SA"/>
    </w:rPr>
  </w:style>
  <w:style w:type="paragraph" w:customStyle="1" w:styleId="107">
    <w:name w:val="样式1"/>
    <w:basedOn w:val="6"/>
    <w:link w:val="106"/>
    <w:qFormat/>
    <w:uiPriority w:val="0"/>
    <w:pPr>
      <w:tabs>
        <w:tab w:val="clear" w:pos="578"/>
      </w:tabs>
      <w:spacing w:before="0" w:beforeLines="0" w:after="0" w:afterLines="0"/>
      <w:ind w:left="0" w:firstLine="0"/>
    </w:pPr>
    <w:rPr>
      <w:rFonts w:ascii="黑体" w:hAnsi="黑体"/>
    </w:rPr>
  </w:style>
  <w:style w:type="character" w:customStyle="1" w:styleId="108">
    <w:name w:val=" Char Char21"/>
    <w:qFormat/>
    <w:uiPriority w:val="0"/>
    <w:rPr>
      <w:rFonts w:ascii="宋体" w:eastAsia="宋体"/>
      <w:b/>
      <w:bCs/>
      <w:kern w:val="2"/>
      <w:sz w:val="28"/>
      <w:lang w:val="en-US" w:eastAsia="zh-CN" w:bidi="ar-SA"/>
    </w:rPr>
  </w:style>
  <w:style w:type="character" w:customStyle="1" w:styleId="109">
    <w:name w:val="ca-8"/>
    <w:basedOn w:val="48"/>
    <w:qFormat/>
    <w:uiPriority w:val="0"/>
  </w:style>
  <w:style w:type="character" w:customStyle="1" w:styleId="110">
    <w:name w:val=" Char Char8"/>
    <w:basedOn w:val="48"/>
    <w:qFormat/>
    <w:uiPriority w:val="0"/>
    <w:rPr>
      <w:b/>
      <w:bCs/>
      <w:kern w:val="2"/>
      <w:sz w:val="24"/>
      <w:szCs w:val="24"/>
    </w:rPr>
  </w:style>
  <w:style w:type="character" w:customStyle="1" w:styleId="111">
    <w:name w:val="h6 Char"/>
    <w:qFormat/>
    <w:uiPriority w:val="0"/>
    <w:rPr>
      <w:rFonts w:ascii="Arial" w:hAnsi="Arial" w:eastAsia="宋体"/>
      <w:b/>
      <w:bCs/>
      <w:kern w:val="2"/>
      <w:sz w:val="24"/>
      <w:szCs w:val="24"/>
      <w:lang w:val="en-US" w:eastAsia="zh-CN" w:bidi="ar-SA"/>
    </w:rPr>
  </w:style>
  <w:style w:type="character" w:customStyle="1" w:styleId="112">
    <w:name w:val=" Char Char10"/>
    <w:basedOn w:val="48"/>
    <w:qFormat/>
    <w:uiPriority w:val="0"/>
    <w:rPr>
      <w:b/>
      <w:bCs/>
      <w:kern w:val="2"/>
      <w:sz w:val="28"/>
      <w:szCs w:val="28"/>
      <w:lang w:val="zh-CN"/>
    </w:rPr>
  </w:style>
  <w:style w:type="character" w:customStyle="1" w:styleId="113">
    <w:name w:val=" Char Char24"/>
    <w:qFormat/>
    <w:uiPriority w:val="0"/>
    <w:rPr>
      <w:rFonts w:eastAsia="宋体"/>
      <w:b/>
      <w:bCs/>
      <w:kern w:val="44"/>
      <w:sz w:val="44"/>
      <w:szCs w:val="44"/>
      <w:lang w:val="en-US" w:eastAsia="zh-CN" w:bidi="ar-SA"/>
    </w:rPr>
  </w:style>
  <w:style w:type="character" w:customStyle="1" w:styleId="114">
    <w:name w:val=" Char Char6"/>
    <w:qFormat/>
    <w:uiPriority w:val="0"/>
    <w:rPr>
      <w:rFonts w:eastAsia="方正书宋简体"/>
      <w:kern w:val="2"/>
      <w:sz w:val="24"/>
      <w:lang w:val="en-US" w:eastAsia="zh-CN" w:bidi="ar-SA"/>
    </w:rPr>
  </w:style>
  <w:style w:type="character" w:customStyle="1" w:styleId="115">
    <w:name w:val=" Char Char14"/>
    <w:basedOn w:val="48"/>
    <w:qFormat/>
    <w:uiPriority w:val="0"/>
    <w:rPr>
      <w:b/>
      <w:bCs/>
      <w:kern w:val="44"/>
      <w:sz w:val="44"/>
      <w:szCs w:val="44"/>
    </w:rPr>
  </w:style>
  <w:style w:type="character" w:customStyle="1" w:styleId="116">
    <w:name w:val="标题2正文 Char Char Char"/>
    <w:link w:val="117"/>
    <w:qFormat/>
    <w:uiPriority w:val="0"/>
    <w:rPr>
      <w:rFonts w:eastAsia="宋体"/>
      <w:sz w:val="24"/>
      <w:szCs w:val="24"/>
      <w:lang w:bidi="ar-SA"/>
    </w:rPr>
  </w:style>
  <w:style w:type="paragraph" w:customStyle="1" w:styleId="117">
    <w:name w:val="标题2正文 Char"/>
    <w:basedOn w:val="1"/>
    <w:link w:val="116"/>
    <w:qFormat/>
    <w:uiPriority w:val="0"/>
    <w:pPr>
      <w:spacing w:before="156" w:beforeLines="50" w:after="156" w:afterLines="50"/>
      <w:ind w:right="38" w:rightChars="18" w:firstLine="420"/>
    </w:pPr>
    <w:rPr>
      <w:kern w:val="0"/>
      <w:sz w:val="24"/>
      <w:szCs w:val="24"/>
    </w:rPr>
  </w:style>
  <w:style w:type="character" w:customStyle="1" w:styleId="118">
    <w:name w:val="标题 1 Char Char"/>
    <w:qFormat/>
    <w:uiPriority w:val="0"/>
    <w:rPr>
      <w:rFonts w:eastAsia="宋体"/>
      <w:b/>
      <w:spacing w:val="-2"/>
      <w:sz w:val="24"/>
      <w:lang w:val="en-US" w:eastAsia="zh-CN" w:bidi="ar-SA"/>
    </w:rPr>
  </w:style>
  <w:style w:type="character" w:customStyle="1" w:styleId="119">
    <w:name w:val="方案－正文 Char Char"/>
    <w:link w:val="120"/>
    <w:qFormat/>
    <w:uiPriority w:val="0"/>
    <w:rPr>
      <w:rFonts w:ascii="仿宋_GB2312" w:hAnsi="宋体"/>
      <w:sz w:val="24"/>
      <w:lang w:bidi="ar-SA"/>
    </w:rPr>
  </w:style>
  <w:style w:type="paragraph" w:customStyle="1" w:styleId="120">
    <w:name w:val="方案－正文"/>
    <w:basedOn w:val="1"/>
    <w:link w:val="119"/>
    <w:qFormat/>
    <w:uiPriority w:val="0"/>
    <w:pPr>
      <w:spacing w:line="360" w:lineRule="auto"/>
      <w:ind w:firstLine="480" w:firstLineChars="200"/>
    </w:pPr>
    <w:rPr>
      <w:rFonts w:ascii="仿宋_GB2312" w:hAnsi="宋体"/>
      <w:kern w:val="0"/>
      <w:sz w:val="24"/>
    </w:rPr>
  </w:style>
  <w:style w:type="character" w:customStyle="1" w:styleId="121">
    <w:name w:val=" Char Char3"/>
    <w:basedOn w:val="48"/>
    <w:qFormat/>
    <w:uiPriority w:val="0"/>
    <w:rPr>
      <w:kern w:val="2"/>
      <w:sz w:val="21"/>
      <w:szCs w:val="22"/>
    </w:rPr>
  </w:style>
  <w:style w:type="character" w:customStyle="1" w:styleId="122">
    <w:name w:val="样式2 Char Char"/>
    <w:link w:val="123"/>
    <w:qFormat/>
    <w:uiPriority w:val="0"/>
    <w:rPr>
      <w:rFonts w:ascii="黑体" w:hAnsi="黑体" w:eastAsia="黑体"/>
      <w:bCs/>
      <w:color w:val="FF0000"/>
      <w:kern w:val="2"/>
      <w:sz w:val="28"/>
      <w:szCs w:val="32"/>
      <w:lang w:val="en-US" w:eastAsia="zh-CN" w:bidi="ar-SA"/>
    </w:rPr>
  </w:style>
  <w:style w:type="paragraph" w:customStyle="1" w:styleId="123">
    <w:name w:val="样式2"/>
    <w:basedOn w:val="7"/>
    <w:link w:val="122"/>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paragraph" w:customStyle="1" w:styleId="12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0"/>
      <w:sz w:val="20"/>
      <w:szCs w:val="20"/>
      <w:lang w:val="en-US" w:eastAsia="zh-CN" w:bidi="ar"/>
    </w:rPr>
  </w:style>
  <w:style w:type="paragraph" w:customStyle="1" w:styleId="125">
    <w:name w:val="默认段落字体 Para Char Char Char Char Char Char Char Char Char1 Char Char Char Char"/>
    <w:basedOn w:val="1"/>
    <w:qFormat/>
    <w:uiPriority w:val="0"/>
    <w:rPr>
      <w:rFonts w:ascii="Tahoma" w:hAnsi="Tahoma"/>
      <w:sz w:val="24"/>
    </w:rPr>
  </w:style>
  <w:style w:type="paragraph" w:customStyle="1" w:styleId="126">
    <w:name w:val="tabletext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7">
    <w:name w:val="列出段落"/>
    <w:basedOn w:val="1"/>
    <w:qFormat/>
    <w:uiPriority w:val="0"/>
    <w:pPr>
      <w:spacing w:line="360" w:lineRule="auto"/>
      <w:ind w:firstLine="420" w:firstLineChars="200"/>
    </w:pPr>
    <w:rPr>
      <w:sz w:val="24"/>
      <w:szCs w:val="24"/>
    </w:rPr>
  </w:style>
  <w:style w:type="paragraph" w:customStyle="1" w:styleId="128">
    <w:name w:val=" Char"/>
    <w:basedOn w:val="1"/>
    <w:qFormat/>
    <w:uiPriority w:val="0"/>
    <w:pPr>
      <w:widowControl/>
      <w:spacing w:after="160" w:afterLines="0" w:line="240" w:lineRule="exact"/>
      <w:ind w:left="-62" w:right="36" w:rightChars="15"/>
      <w:jc w:val="left"/>
    </w:pPr>
    <w:rPr>
      <w:rFonts w:ascii="Arial" w:hAnsi="Arial" w:eastAsia="Times New Roman"/>
      <w:kern w:val="0"/>
      <w:sz w:val="20"/>
      <w:lang w:eastAsia="en-US"/>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符号 1"/>
    <w:basedOn w:val="3"/>
    <w:qFormat/>
    <w:uiPriority w:val="0"/>
    <w:pPr>
      <w:numPr>
        <w:ilvl w:val="0"/>
        <w:numId w:val="3"/>
      </w:numPr>
      <w:tabs>
        <w:tab w:val="left" w:pos="900"/>
        <w:tab w:val="clear" w:pos="1200"/>
      </w:tabs>
      <w:spacing w:line="360" w:lineRule="auto"/>
    </w:pPr>
    <w:rPr>
      <w:rFonts w:eastAsia="宋体"/>
      <w:kern w:val="28"/>
      <w:szCs w:val="24"/>
    </w:rPr>
  </w:style>
  <w:style w:type="paragraph" w:customStyle="1" w:styleId="131">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132">
    <w:name w:val="1 正文"/>
    <w:basedOn w:val="1"/>
    <w:qFormat/>
    <w:uiPriority w:val="0"/>
    <w:pPr>
      <w:adjustRightInd w:val="0"/>
      <w:snapToGrid w:val="0"/>
      <w:spacing w:line="360" w:lineRule="auto"/>
      <w:ind w:firstLine="200" w:firstLineChars="200"/>
      <w:jc w:val="left"/>
    </w:pPr>
    <w:rPr>
      <w:sz w:val="24"/>
    </w:rPr>
  </w:style>
  <w:style w:type="paragraph" w:customStyle="1" w:styleId="133">
    <w:name w:val="正文编码"/>
    <w:basedOn w:val="45"/>
    <w:qFormat/>
    <w:uiPriority w:val="0"/>
    <w:pPr>
      <w:numPr>
        <w:ilvl w:val="0"/>
        <w:numId w:val="3"/>
      </w:numPr>
      <w:tabs>
        <w:tab w:val="center" w:pos="2185"/>
        <w:tab w:val="clear" w:pos="1200"/>
      </w:tabs>
      <w:spacing w:after="0" w:afterLines="0" w:line="360" w:lineRule="auto"/>
      <w:ind w:firstLineChars="0"/>
    </w:pPr>
    <w:rPr>
      <w:rFonts w:ascii="仿宋_GB2312" w:hAnsi="宋体" w:eastAsia="仿宋_GB2312"/>
      <w:kern w:val="0"/>
      <w:sz w:val="24"/>
      <w:szCs w:val="20"/>
    </w:rPr>
  </w:style>
  <w:style w:type="paragraph" w:customStyle="1" w:styleId="134">
    <w:name w:val="2 标题2"/>
    <w:basedOn w:val="132"/>
    <w:next w:val="132"/>
    <w:qFormat/>
    <w:uiPriority w:val="0"/>
    <w:pPr>
      <w:ind w:firstLine="0" w:firstLineChars="0"/>
      <w:outlineLvl w:val="1"/>
    </w:pPr>
    <w:rPr>
      <w:b/>
      <w:sz w:val="30"/>
    </w:rPr>
  </w:style>
  <w:style w:type="paragraph" w:customStyle="1" w:styleId="135">
    <w:name w:val="普通正文"/>
    <w:basedOn w:val="1"/>
    <w:qFormat/>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38">
    <w:name w:val="正文 居中"/>
    <w:basedOn w:val="1"/>
    <w:qFormat/>
    <w:uiPriority w:val="0"/>
    <w:pPr>
      <w:spacing w:line="360" w:lineRule="auto"/>
      <w:jc w:val="center"/>
    </w:pPr>
    <w:rPr>
      <w:rFonts w:cs="宋体"/>
      <w:sz w:val="24"/>
    </w:rPr>
  </w:style>
  <w:style w:type="paragraph" w:customStyle="1" w:styleId="13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0">
    <w:name w:val="tabletextchar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1">
    <w:name w:val="符号 2"/>
    <w:basedOn w:val="130"/>
    <w:qFormat/>
    <w:uiPriority w:val="0"/>
    <w:pPr>
      <w:numPr>
        <w:ilvl w:val="1"/>
        <w:numId w:val="3"/>
      </w:numPr>
      <w:tabs>
        <w:tab w:val="clear" w:pos="900"/>
      </w:tabs>
    </w:pPr>
  </w:style>
  <w:style w:type="paragraph" w:customStyle="1" w:styleId="142">
    <w:name w:val="*正文"/>
    <w:basedOn w:val="4"/>
    <w:qFormat/>
    <w:uiPriority w:val="0"/>
    <w:pPr>
      <w:ind w:firstLine="567" w:firstLineChars="0"/>
    </w:pPr>
    <w:rPr>
      <w:rFonts w:ascii="Calibri" w:hAnsi="Calibri"/>
      <w:kern w:val="0"/>
      <w:szCs w:val="22"/>
    </w:rPr>
  </w:style>
  <w:style w:type="paragraph" w:customStyle="1" w:styleId="143">
    <w:name w:val="Char Char Char Char1"/>
    <w:basedOn w:val="1"/>
    <w:qFormat/>
    <w:uiPriority w:val="0"/>
    <w:rPr>
      <w:rFonts w:ascii="Tahoma" w:hAnsi="Tahoma"/>
      <w:sz w:val="24"/>
    </w:rPr>
  </w:style>
  <w:style w:type="paragraph" w:customStyle="1" w:styleId="144">
    <w:name w:val="xl25"/>
    <w:basedOn w:val="1"/>
    <w:qFormat/>
    <w:uiPriority w:val="0"/>
    <w:pPr>
      <w:widowControl/>
      <w:spacing w:before="100" w:beforeLines="0" w:beforeAutospacing="1" w:after="100" w:afterLines="0" w:afterAutospacing="1"/>
      <w:jc w:val="center"/>
      <w:textAlignment w:val="center"/>
    </w:pPr>
    <w:rPr>
      <w:rFonts w:ascii="宋体" w:hAnsi="宋体"/>
      <w:kern w:val="0"/>
      <w:sz w:val="20"/>
    </w:rPr>
  </w:style>
  <w:style w:type="paragraph" w:customStyle="1" w:styleId="145">
    <w:name w:val="itemlistintable"/>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48">
    <w:name w:val=" 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49">
    <w:name w:val="WPSOffice手动目录 1"/>
    <w:qFormat/>
    <w:uiPriority w:val="0"/>
    <w:rPr>
      <w:rFonts w:ascii="Times New Roman" w:hAnsi="Times New Roman" w:eastAsia="宋体" w:cs="Times New Roman"/>
      <w:lang w:val="en-US" w:eastAsia="zh-CN" w:bidi="ar-SA"/>
    </w:rPr>
  </w:style>
  <w:style w:type="paragraph" w:customStyle="1" w:styleId="150">
    <w:name w:val="p0"/>
    <w:basedOn w:val="1"/>
    <w:qFormat/>
    <w:uiPriority w:val="0"/>
    <w:pPr>
      <w:widowControl/>
    </w:pPr>
    <w:rPr>
      <w:kern w:val="0"/>
      <w:szCs w:val="21"/>
    </w:rPr>
  </w:style>
  <w:style w:type="paragraph" w:customStyle="1" w:styleId="151">
    <w:name w:val="标准小四"/>
    <w:basedOn w:val="1"/>
    <w:qFormat/>
    <w:uiPriority w:val="0"/>
    <w:pPr>
      <w:spacing w:line="360" w:lineRule="auto"/>
      <w:ind w:firstLine="480" w:firstLineChars="200"/>
    </w:pPr>
    <w:rPr>
      <w:rFonts w:ascii="Arial" w:hAnsi="Arial"/>
      <w:sz w:val="24"/>
      <w:szCs w:val="21"/>
    </w:rPr>
  </w:style>
  <w:style w:type="paragraph" w:customStyle="1" w:styleId="152">
    <w:name w:val="大标题"/>
    <w:basedOn w:val="1"/>
    <w:qFormat/>
    <w:uiPriority w:val="0"/>
    <w:pPr>
      <w:autoSpaceDE w:val="0"/>
      <w:autoSpaceDN w:val="0"/>
      <w:adjustRightInd w:val="0"/>
      <w:spacing w:after="560" w:afterLines="0"/>
      <w:jc w:val="center"/>
    </w:pPr>
    <w:rPr>
      <w:rFonts w:ascii="Arial Black" w:hAnsi="Arial Black"/>
      <w:b/>
      <w:kern w:val="0"/>
      <w:sz w:val="56"/>
    </w:rPr>
  </w:style>
  <w:style w:type="paragraph" w:customStyle="1" w:styleId="153">
    <w:name w:val=" Char Char Char Char Char Char Char"/>
    <w:basedOn w:val="1"/>
    <w:qFormat/>
    <w:uiPriority w:val="0"/>
    <w:pPr>
      <w:tabs>
        <w:tab w:val="left" w:pos="432"/>
      </w:tabs>
      <w:ind w:left="432" w:hanging="432"/>
    </w:pPr>
    <w:rPr>
      <w:rFonts w:ascii="Tahoma" w:hAnsi="Tahoma"/>
      <w:sz w:val="24"/>
    </w:rPr>
  </w:style>
  <w:style w:type="paragraph" w:customStyle="1" w:styleId="154">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56">
    <w:name w:val="1"/>
    <w:basedOn w:val="1"/>
    <w:next w:val="127"/>
    <w:qFormat/>
    <w:uiPriority w:val="0"/>
    <w:pPr>
      <w:ind w:firstLine="420" w:firstLineChars="200"/>
    </w:pPr>
    <w:rPr>
      <w:szCs w:val="24"/>
    </w:rPr>
  </w:style>
  <w:style w:type="paragraph" w:customStyle="1" w:styleId="157">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xl24"/>
    <w:basedOn w:val="1"/>
    <w:qFormat/>
    <w:uiPriority w:val="0"/>
    <w:pPr>
      <w:widowControl/>
      <w:spacing w:before="100" w:beforeLines="0" w:beforeAutospacing="1" w:after="100" w:afterLines="0" w:afterAutospacing="1"/>
      <w:jc w:val="center"/>
    </w:pPr>
    <w:rPr>
      <w:rFonts w:ascii="仿宋_GB2312" w:hAnsi="宋体" w:eastAsia="仿宋_GB2312"/>
      <w:kern w:val="0"/>
      <w:sz w:val="24"/>
      <w:szCs w:val="24"/>
    </w:rPr>
  </w:style>
  <w:style w:type="paragraph" w:customStyle="1" w:styleId="159">
    <w:name w:val="Normal 2"/>
    <w:basedOn w:val="1"/>
    <w:qFormat/>
    <w:uiPriority w:val="0"/>
    <w:pPr>
      <w:keepLines/>
      <w:widowControl/>
      <w:autoSpaceDE w:val="0"/>
      <w:autoSpaceDN w:val="0"/>
      <w:adjustRightInd w:val="0"/>
      <w:spacing w:before="240" w:beforeLines="0"/>
      <w:ind w:left="360" w:right="900"/>
      <w:jc w:val="left"/>
    </w:pPr>
    <w:rPr>
      <w:rFonts w:ascii="Arial" w:hAnsi="Arial"/>
      <w:kern w:val="0"/>
      <w:sz w:val="22"/>
      <w:lang w:eastAsia="en-US"/>
    </w:rPr>
  </w:style>
  <w:style w:type="paragraph" w:customStyle="1" w:styleId="160">
    <w:name w:val=" Char Char1 Char Char Char Char"/>
    <w:basedOn w:val="1"/>
    <w:qFormat/>
    <w:uiPriority w:val="0"/>
    <w:rPr>
      <w:rFonts w:ascii="Tahoma" w:hAnsi="Tahoma"/>
      <w:sz w:val="24"/>
    </w:rPr>
  </w:style>
  <w:style w:type="paragraph" w:customStyle="1" w:styleId="161">
    <w:name w:val="默认段落字体 Para Char Char Char Char Char Char Char Char Char Char"/>
    <w:basedOn w:val="1"/>
    <w:qFormat/>
    <w:uiPriority w:val="0"/>
    <w:rPr>
      <w:rFonts w:ascii="Tahoma" w:hAnsi="Tahoma"/>
      <w:sz w:val="24"/>
    </w:rPr>
  </w:style>
  <w:style w:type="paragraph" w:customStyle="1" w:styleId="162">
    <w:name w:val="A正文小四"/>
    <w:basedOn w:val="1"/>
    <w:qFormat/>
    <w:uiPriority w:val="0"/>
    <w:pPr>
      <w:spacing w:line="360" w:lineRule="auto"/>
      <w:ind w:firstLine="600" w:firstLineChars="200"/>
      <w:jc w:val="left"/>
    </w:pPr>
    <w:rPr>
      <w:color w:val="000000"/>
      <w:szCs w:val="24"/>
    </w:rPr>
  </w:style>
  <w:style w:type="paragraph" w:customStyle="1" w:styleId="163">
    <w:name w:val=" Char1"/>
    <w:basedOn w:val="1"/>
    <w:qFormat/>
    <w:uiPriority w:val="0"/>
    <w:rPr>
      <w:rFonts w:ascii="仿宋_GB2312" w:eastAsia="仿宋_GB2312"/>
      <w:b/>
      <w:sz w:val="32"/>
      <w:szCs w:val="32"/>
    </w:rPr>
  </w:style>
  <w:style w:type="paragraph" w:customStyle="1" w:styleId="164">
    <w:name w:val="标题3"/>
    <w:basedOn w:val="7"/>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65">
    <w:name w:val="正文段"/>
    <w:basedOn w:val="1"/>
    <w:qFormat/>
    <w:uiPriority w:val="0"/>
    <w:pPr>
      <w:widowControl/>
      <w:snapToGrid w:val="0"/>
      <w:spacing w:after="156" w:afterLines="50"/>
      <w:ind w:firstLine="200" w:firstLineChars="200"/>
    </w:pPr>
    <w:rPr>
      <w:kern w:val="0"/>
      <w:sz w:val="24"/>
    </w:rPr>
  </w:style>
  <w:style w:type="paragraph" w:customStyle="1" w:styleId="166">
    <w:name w:val=" Char Char Char1 Char"/>
    <w:basedOn w:val="1"/>
    <w:qFormat/>
    <w:uiPriority w:val="0"/>
    <w:pPr>
      <w:spacing w:line="360" w:lineRule="auto"/>
      <w:ind w:firstLine="200" w:firstLineChars="200"/>
    </w:pPr>
  </w:style>
  <w:style w:type="paragraph" w:customStyle="1" w:styleId="167">
    <w:name w:val="xl33"/>
    <w:basedOn w:val="1"/>
    <w:qFormat/>
    <w:uiPriority w:val="0"/>
    <w:pPr>
      <w:widowControl/>
      <w:spacing w:before="100" w:beforeLines="0" w:beforeAutospacing="1" w:after="100" w:afterLines="0" w:afterAutospacing="1"/>
      <w:jc w:val="center"/>
    </w:pPr>
    <w:rPr>
      <w:rFonts w:ascii="华文中宋" w:hAnsi="华文中宋" w:eastAsia="华文中宋"/>
      <w:b/>
      <w:bCs/>
      <w:kern w:val="0"/>
      <w:sz w:val="36"/>
      <w:szCs w:val="36"/>
    </w:rPr>
  </w:style>
  <w:style w:type="paragraph" w:customStyle="1" w:styleId="168">
    <w:name w:val="Char Char Char"/>
    <w:basedOn w:val="1"/>
    <w:qFormat/>
    <w:uiPriority w:val="0"/>
    <w:pPr>
      <w:spacing w:before="120" w:beforeLines="0" w:after="120" w:afterLines="0" w:line="360" w:lineRule="auto"/>
      <w:ind w:firstLine="200" w:firstLineChars="200"/>
    </w:pPr>
    <w:rPr>
      <w:rFonts w:ascii="Tahoma" w:hAnsi="Tahoma"/>
      <w:sz w:val="24"/>
    </w:rPr>
  </w:style>
  <w:style w:type="paragraph" w:customStyle="1" w:styleId="169">
    <w:name w:val="Char"/>
    <w:basedOn w:val="1"/>
    <w:qFormat/>
    <w:uiPriority w:val="0"/>
    <w:pPr>
      <w:numPr>
        <w:ilvl w:val="0"/>
        <w:numId w:val="3"/>
      </w:numPr>
    </w:pPr>
    <w:rPr>
      <w:sz w:val="24"/>
      <w:szCs w:val="24"/>
    </w:rPr>
  </w:style>
  <w:style w:type="paragraph" w:customStyle="1" w:styleId="170">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7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72">
    <w:name w:val=" Char Char Char Char"/>
    <w:basedOn w:val="1"/>
    <w:qFormat/>
    <w:uiPriority w:val="0"/>
    <w:pPr>
      <w:widowControl/>
      <w:spacing w:line="400" w:lineRule="exact"/>
      <w:jc w:val="center"/>
    </w:pPr>
    <w:rPr>
      <w:rFonts w:ascii="Verdana" w:hAnsi="Verdana"/>
      <w:kern w:val="0"/>
      <w:lang w:eastAsia="en-US"/>
    </w:rPr>
  </w:style>
  <w:style w:type="paragraph" w:customStyle="1" w:styleId="173">
    <w:name w:val="标题1"/>
    <w:basedOn w:val="5"/>
    <w:qFormat/>
    <w:uiPriority w:val="0"/>
    <w:pPr>
      <w:keepLines/>
      <w:numPr>
        <w:ilvl w:val="0"/>
        <w:numId w:val="4"/>
      </w:numPr>
      <w:tabs>
        <w:tab w:val="left" w:pos="397"/>
        <w:tab w:val="clear" w:pos="700"/>
      </w:tabs>
      <w:spacing w:before="120" w:beforeLines="0" w:after="120" w:afterLines="0" w:line="300" w:lineRule="auto"/>
    </w:pPr>
    <w:rPr>
      <w:rFonts w:ascii="黑体" w:hAnsi="宋体" w:eastAsia="黑体"/>
      <w:b w:val="0"/>
      <w:bCs w:val="0"/>
      <w:spacing w:val="6"/>
      <w:kern w:val="44"/>
      <w:sz w:val="36"/>
    </w:rPr>
  </w:style>
  <w:style w:type="paragraph" w:customStyle="1" w:styleId="174">
    <w:name w:val="Plain Text"/>
    <w:basedOn w:val="1"/>
    <w:qFormat/>
    <w:uiPriority w:val="0"/>
    <w:rPr>
      <w:rFonts w:ascii="宋体" w:hAnsi="Courier New"/>
      <w:szCs w:val="20"/>
    </w:rPr>
  </w:style>
  <w:style w:type="paragraph" w:customStyle="1" w:styleId="175">
    <w:name w:val="标准正文"/>
    <w:basedOn w:val="1"/>
    <w:qFormat/>
    <w:uiPriority w:val="0"/>
    <w:pPr>
      <w:adjustRightInd w:val="0"/>
      <w:spacing w:line="360" w:lineRule="auto"/>
      <w:ind w:firstLine="480" w:firstLineChars="200"/>
    </w:pPr>
    <w:rPr>
      <w:kern w:val="0"/>
      <w:sz w:val="24"/>
    </w:rPr>
  </w:style>
  <w:style w:type="character" w:customStyle="1" w:styleId="176">
    <w:name w:val="font21"/>
    <w:basedOn w:val="48"/>
    <w:qFormat/>
    <w:uiPriority w:val="0"/>
    <w:rPr>
      <w:rFonts w:hint="eastAsia" w:ascii="宋体" w:hAnsi="宋体" w:eastAsia="宋体" w:cs="宋体"/>
      <w:color w:val="000000"/>
      <w:sz w:val="24"/>
      <w:szCs w:val="24"/>
      <w:u w:val="none"/>
    </w:rPr>
  </w:style>
  <w:style w:type="character" w:customStyle="1" w:styleId="177">
    <w:name w:val="15"/>
    <w:qFormat/>
    <w:uiPriority w:val="0"/>
    <w:rPr>
      <w:rFonts w:hint="default" w:ascii="Calibri" w:hAnsi="Calibri"/>
    </w:rPr>
  </w:style>
  <w:style w:type="character" w:customStyle="1" w:styleId="178">
    <w:name w:val="font11"/>
    <w:basedOn w:val="48"/>
    <w:qFormat/>
    <w:uiPriority w:val="0"/>
    <w:rPr>
      <w:rFonts w:hint="eastAsia" w:ascii="宋体" w:hAnsi="宋体" w:eastAsia="宋体" w:cs="宋体"/>
      <w:color w:val="000000"/>
      <w:sz w:val="24"/>
      <w:szCs w:val="24"/>
      <w:u w:val="none"/>
    </w:rPr>
  </w:style>
  <w:style w:type="paragraph" w:customStyle="1" w:styleId="179">
    <w:name w:val="列出段落1"/>
    <w:basedOn w:val="1"/>
    <w:qFormat/>
    <w:uiPriority w:val="0"/>
    <w:pPr>
      <w:ind w:firstLine="420" w:firstLineChars="200"/>
    </w:pPr>
    <w:rPr>
      <w:rFonts w:ascii="Calibri" w:hAnsi="Calibri" w:cs="Times New Roman"/>
      <w:kern w:val="2"/>
      <w:sz w:val="21"/>
      <w:szCs w:val="21"/>
    </w:rPr>
  </w:style>
  <w:style w:type="paragraph" w:styleId="180">
    <w:name w:val="List Paragraph"/>
    <w:basedOn w:val="1"/>
    <w:unhideWhenUsed/>
    <w:qFormat/>
    <w:uiPriority w:val="34"/>
    <w:pPr>
      <w:ind w:firstLine="420" w:firstLineChars="200"/>
    </w:pPr>
  </w:style>
  <w:style w:type="paragraph" w:customStyle="1" w:styleId="181">
    <w:name w:val="！正文"/>
    <w:basedOn w:val="1"/>
    <w:qFormat/>
    <w:uiPriority w:val="0"/>
    <w:rPr>
      <w:rFonts w:ascii="宋体" w:hAnsi="Arial" w:eastAsia="宋体" w:cs="Times New Roman"/>
      <w:sz w:val="28"/>
      <w:szCs w:val="28"/>
    </w:rPr>
  </w:style>
  <w:style w:type="paragraph" w:customStyle="1" w:styleId="18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83">
    <w:name w:val="A正文"/>
    <w:basedOn w:val="4"/>
    <w:qFormat/>
    <w:uiPriority w:val="0"/>
    <w:pPr>
      <w:widowControl/>
      <w:tabs>
        <w:tab w:val="left" w:pos="567"/>
        <w:tab w:val="left" w:pos="1134"/>
      </w:tabs>
      <w:snapToGrid w:val="0"/>
      <w:ind w:firstLine="200"/>
    </w:pPr>
    <w:rPr>
      <w:rFonts w:ascii="Calibri" w:hAnsi="Calibri" w:eastAsia="仿宋_GB2312" w:cs="Tahoma"/>
      <w:color w:val="000000"/>
      <w:sz w:val="28"/>
      <w:szCs w:val="24"/>
    </w:rPr>
  </w:style>
  <w:style w:type="character" w:customStyle="1" w:styleId="184">
    <w:name w:val="font61"/>
    <w:basedOn w:val="48"/>
    <w:qFormat/>
    <w:uiPriority w:val="0"/>
    <w:rPr>
      <w:rFonts w:hint="eastAsia" w:ascii="宋体" w:hAnsi="宋体" w:eastAsia="宋体" w:cs="宋体"/>
      <w:color w:val="000000"/>
      <w:sz w:val="24"/>
      <w:szCs w:val="24"/>
      <w:u w:val="none"/>
    </w:rPr>
  </w:style>
  <w:style w:type="character" w:customStyle="1" w:styleId="185">
    <w:name w:val="font31"/>
    <w:basedOn w:val="48"/>
    <w:qFormat/>
    <w:uiPriority w:val="0"/>
    <w:rPr>
      <w:rFonts w:hint="default" w:ascii="Times New Roman" w:hAnsi="Times New Roman" w:cs="Times New Roman"/>
      <w:color w:val="000000"/>
      <w:sz w:val="24"/>
      <w:szCs w:val="24"/>
      <w:u w:val="none"/>
    </w:rPr>
  </w:style>
  <w:style w:type="character" w:customStyle="1" w:styleId="186">
    <w:name w:val="font41"/>
    <w:basedOn w:val="48"/>
    <w:qFormat/>
    <w:uiPriority w:val="0"/>
    <w:rPr>
      <w:rFonts w:hint="eastAsia" w:ascii="宋体" w:hAnsi="宋体" w:eastAsia="宋体" w:cs="宋体"/>
      <w:b/>
      <w:bCs/>
      <w:color w:val="000000"/>
      <w:sz w:val="24"/>
      <w:szCs w:val="24"/>
      <w:u w:val="none"/>
    </w:rPr>
  </w:style>
  <w:style w:type="paragraph" w:customStyle="1" w:styleId="187">
    <w:name w:val="样式3"/>
    <w:basedOn w:val="24"/>
    <w:next w:val="1"/>
    <w:qFormat/>
    <w:uiPriority w:val="99"/>
    <w:pPr>
      <w:spacing w:line="0" w:lineRule="atLeast"/>
      <w:outlineLvl w:val="0"/>
    </w:pPr>
    <w:rPr>
      <w:rFonts w:ascii="宋体" w:hAnsi="Courier New" w:eastAsia="宋体" w:cs="Times New Roman"/>
      <w:kern w:val="2"/>
      <w:sz w:val="28"/>
      <w:lang w:val="en-US" w:eastAsia="zh-CN" w:bidi="ar-SA"/>
    </w:rPr>
  </w:style>
  <w:style w:type="paragraph" w:customStyle="1" w:styleId="188">
    <w:name w:val="缩进_正文"/>
    <w:basedOn w:val="1"/>
    <w:qFormat/>
    <w:uiPriority w:val="0"/>
    <w:pPr>
      <w:widowControl w:val="0"/>
      <w:spacing w:line="360" w:lineRule="auto"/>
      <w:ind w:firstLine="560" w:firstLineChars="200"/>
      <w:jc w:val="both"/>
    </w:pPr>
    <w:rPr>
      <w:rFonts w:ascii="Times New Roman" w:hAnsi="Times New Roman" w:eastAsia="仿宋" w:cs="Times New Roman"/>
      <w:kern w:val="2"/>
      <w:sz w:val="28"/>
      <w:szCs w:val="22"/>
    </w:rPr>
  </w:style>
  <w:style w:type="paragraph" w:customStyle="1" w:styleId="189">
    <w:name w:val="d正文"/>
    <w:basedOn w:val="1"/>
    <w:qFormat/>
    <w:uiPriority w:val="0"/>
    <w:pPr>
      <w:widowControl w:val="0"/>
      <w:adjustRightInd w:val="0"/>
      <w:snapToGrid w:val="0"/>
      <w:spacing w:line="360" w:lineRule="auto"/>
      <w:ind w:firstLine="480" w:firstLineChars="200"/>
      <w:jc w:val="both"/>
    </w:pPr>
    <w:rPr>
      <w:rFonts w:ascii="仿宋_GB2312" w:hAnsi="仿宋_GB2312" w:eastAsia="宋体" w:cs="Times New Roman"/>
      <w:bCs/>
    </w:rPr>
  </w:style>
  <w:style w:type="table" w:customStyle="1" w:styleId="190">
    <w:name w:val="网格型11"/>
    <w:basedOn w:val="46"/>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首行缩进"/>
    <w:basedOn w:val="1"/>
    <w:qFormat/>
    <w:uiPriority w:val="0"/>
    <w:pPr>
      <w:spacing w:line="360" w:lineRule="auto"/>
      <w:ind w:firstLine="420" w:firstLineChars="200"/>
    </w:pPr>
    <w:rPr>
      <w:rFonts w:ascii="宋体" w:hAnsi="宋体"/>
      <w:szCs w:val="24"/>
    </w:rPr>
  </w:style>
  <w:style w:type="paragraph" w:customStyle="1" w:styleId="192">
    <w:name w:val="纯文本1"/>
    <w:basedOn w:val="1"/>
    <w:qFormat/>
    <w:uiPriority w:val="0"/>
    <w:pPr>
      <w:adjustRightInd/>
    </w:pPr>
    <w:rPr>
      <w:rFonts w:ascii="宋体" w:hAnsi="Courier New"/>
      <w:kern w:val="0"/>
      <w:sz w:val="20"/>
      <w:szCs w:val="20"/>
    </w:rPr>
  </w:style>
  <w:style w:type="paragraph" w:customStyle="1" w:styleId="193">
    <w:name w:val="Body text|1"/>
    <w:basedOn w:val="1"/>
    <w:qFormat/>
    <w:uiPriority w:val="0"/>
    <w:pPr>
      <w:widowControl w:val="0"/>
      <w:shd w:val="clear" w:color="auto" w:fill="auto"/>
      <w:spacing w:line="432" w:lineRule="auto"/>
    </w:pPr>
    <w:rPr>
      <w:rFonts w:ascii="宋体" w:hAnsi="宋体" w:eastAsia="宋体" w:cs="宋体"/>
      <w:sz w:val="22"/>
      <w:szCs w:val="22"/>
      <w:u w:val="none"/>
      <w:shd w:val="clear" w:color="auto" w:fill="auto"/>
      <w:lang w:val="zh-TW" w:eastAsia="zh-TW" w:bidi="zh-TW"/>
    </w:rPr>
  </w:style>
  <w:style w:type="paragraph" w:customStyle="1" w:styleId="194">
    <w:name w:val="文字"/>
    <w:basedOn w:val="1"/>
    <w:qFormat/>
    <w:uiPriority w:val="0"/>
    <w:pPr>
      <w:widowControl/>
      <w:spacing w:line="360" w:lineRule="auto"/>
      <w:ind w:firstLine="420"/>
    </w:pPr>
    <w:rPr>
      <w:rFonts w:ascii="Calibri" w:hAnsi="Calibri"/>
      <w:kern w:val="0"/>
      <w:sz w:val="24"/>
    </w:rPr>
  </w:style>
  <w:style w:type="table" w:customStyle="1" w:styleId="195">
    <w:name w:val="Table Normal"/>
    <w:unhideWhenUsed/>
    <w:qFormat/>
    <w:uiPriority w:val="0"/>
    <w:tblPr>
      <w:tblCellMar>
        <w:top w:w="0" w:type="dxa"/>
        <w:left w:w="0" w:type="dxa"/>
        <w:bottom w:w="0" w:type="dxa"/>
        <w:right w:w="0" w:type="dxa"/>
      </w:tblCellMar>
    </w:tblPr>
  </w:style>
  <w:style w:type="paragraph" w:customStyle="1" w:styleId="196">
    <w:name w:val="正文缩进1"/>
    <w:basedOn w:val="1"/>
    <w:next w:val="3"/>
    <w:qFormat/>
    <w:uiPriority w:val="99"/>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197">
    <w:name w:val="索引 11"/>
    <w:basedOn w:val="1"/>
    <w:next w:val="1"/>
    <w:qFormat/>
    <w:uiPriority w:val="0"/>
    <w:pPr>
      <w:adjustRightInd/>
      <w:spacing w:line="360" w:lineRule="auto"/>
    </w:pPr>
    <w:rPr>
      <w:rFonts w:ascii="仿宋_GB2312" w:eastAsia="仿宋_GB2312"/>
      <w:sz w:val="24"/>
      <w:szCs w:val="20"/>
    </w:rPr>
  </w:style>
  <w:style w:type="paragraph" w:customStyle="1" w:styleId="198">
    <w:name w:val="无间隔1"/>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15670</Words>
  <Characters>16851</Characters>
  <Lines>292</Lines>
  <Paragraphs>82</Paragraphs>
  <TotalTime>540</TotalTime>
  <ScaleCrop>false</ScaleCrop>
  <LinksUpToDate>false</LinksUpToDate>
  <CharactersWithSpaces>17163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2018-10-30T02:41:00Z</dcterms:created>
  <dc:creator>dyp</dc:creator>
  <cp:lastModifiedBy>则咩</cp:lastModifiedBy>
  <cp:lastPrinted>2025-04-27T05:48:00Z</cp:lastPrinted>
  <dcterms:modified xsi:type="dcterms:W3CDTF">2025-07-11T07:22:22Z</dcterms:modified>
  <dc:title>第一部分  投标方须知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04A2635E25FE49F2BC2D5EA5A2A191D8_13</vt:lpwstr>
  </property>
  <property fmtid="{D5CDD505-2E9C-101B-9397-08002B2CF9AE}" pid="4" name="KSOTemplateDocerSaveRecord">
    <vt:lpwstr>eyJoZGlkIjoiNjQxYzYzMjI5MTZkNzc2MDM3YjA5M2I3MmViYTQ4MTMiLCJ1c2VySWQiOiIxMDM3MDcxMDM1In0=</vt:lpwstr>
  </property>
</Properties>
</file>