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right"/>
        <w:rPr>
          <w:rFonts w:ascii="宋体" w:hAnsi="宋体" w:cs="宋体"/>
          <w:b/>
          <w:color w:val="auto"/>
          <w:sz w:val="24"/>
        </w:rPr>
      </w:pPr>
      <w:r>
        <w:rPr>
          <w:rFonts w:hint="eastAsia" w:ascii="宋体" w:hAnsi="宋体" w:cs="宋体"/>
          <w:b/>
          <w:color w:val="auto"/>
          <w:szCs w:val="21"/>
        </w:rPr>
        <w:t xml:space="preserve">                    </w:t>
      </w:r>
    </w:p>
    <w:p>
      <w:pPr>
        <w:pStyle w:val="2"/>
        <w:jc w:val="right"/>
        <w:rPr>
          <w:rFonts w:ascii="宋体" w:hAnsi="宋体" w:cs="宋体"/>
          <w:b/>
          <w:color w:val="auto"/>
          <w:sz w:val="21"/>
          <w:szCs w:val="21"/>
        </w:rPr>
      </w:pPr>
    </w:p>
    <w:p>
      <w:pPr>
        <w:pStyle w:val="3"/>
        <w:ind w:firstLine="280"/>
        <w:rPr>
          <w:color w:val="auto"/>
        </w:rPr>
      </w:pPr>
    </w:p>
    <w:p>
      <w:pPr>
        <w:spacing w:beforeLines="50"/>
        <w:jc w:val="center"/>
        <w:rPr>
          <w:rFonts w:ascii="宋体" w:hAnsi="宋体" w:cs="宋体"/>
          <w:b/>
          <w:color w:val="auto"/>
          <w:sz w:val="72"/>
          <w:szCs w:val="72"/>
        </w:rPr>
      </w:pPr>
      <w:r>
        <w:rPr>
          <w:rFonts w:hint="eastAsia" w:ascii="宋体" w:hAnsi="宋体" w:cs="宋体"/>
          <w:b/>
          <w:color w:val="auto"/>
          <w:sz w:val="72"/>
          <w:szCs w:val="72"/>
        </w:rPr>
        <w:t>公 开 招 标 文 件</w:t>
      </w:r>
    </w:p>
    <w:p>
      <w:pPr>
        <w:pStyle w:val="74"/>
        <w:rPr>
          <w:rFonts w:ascii="宋体" w:hAnsi="宋体" w:cs="宋体"/>
          <w:color w:val="auto"/>
        </w:rPr>
      </w:pPr>
    </w:p>
    <w:p>
      <w:pPr>
        <w:widowControl/>
        <w:jc w:val="center"/>
        <w:rPr>
          <w:rFonts w:ascii="宋体" w:hAnsi="宋体" w:cs="宋体"/>
          <w:color w:val="auto"/>
          <w:kern w:val="0"/>
          <w:sz w:val="31"/>
          <w:szCs w:val="31"/>
        </w:rPr>
      </w:pPr>
    </w:p>
    <w:p>
      <w:pPr>
        <w:widowControl/>
        <w:jc w:val="center"/>
        <w:rPr>
          <w:rFonts w:ascii="宋体" w:hAnsi="宋体" w:cs="宋体"/>
          <w:color w:val="auto"/>
        </w:rPr>
      </w:pPr>
      <w:r>
        <w:rPr>
          <w:rFonts w:hint="eastAsia" w:ascii="宋体" w:hAnsi="宋体" w:cs="宋体"/>
          <w:color w:val="auto"/>
          <w:kern w:val="0"/>
          <w:sz w:val="31"/>
          <w:szCs w:val="31"/>
        </w:rPr>
        <w:t>（政府采购电子交易项目）</w:t>
      </w:r>
    </w:p>
    <w:p>
      <w:pPr>
        <w:snapToGrid w:val="0"/>
        <w:spacing w:beforeLines="50" w:line="360" w:lineRule="auto"/>
        <w:rPr>
          <w:rFonts w:ascii="宋体" w:hAnsi="宋体" w:cs="宋体"/>
          <w:color w:val="auto"/>
          <w:sz w:val="30"/>
          <w:szCs w:val="72"/>
        </w:rPr>
      </w:pPr>
    </w:p>
    <w:p>
      <w:pPr>
        <w:snapToGrid w:val="0"/>
        <w:spacing w:beforeLines="50" w:line="360" w:lineRule="auto"/>
        <w:rPr>
          <w:rFonts w:ascii="宋体" w:hAnsi="宋体" w:cs="宋体"/>
          <w:color w:val="auto"/>
          <w:sz w:val="30"/>
          <w:szCs w:val="72"/>
        </w:rPr>
      </w:pPr>
    </w:p>
    <w:p>
      <w:pPr>
        <w:snapToGrid w:val="0"/>
        <w:spacing w:beforeLines="50" w:line="360" w:lineRule="auto"/>
        <w:rPr>
          <w:rFonts w:ascii="宋体" w:hAnsi="宋体" w:cs="宋体"/>
          <w:color w:val="auto"/>
          <w:sz w:val="30"/>
          <w:szCs w:val="72"/>
        </w:rPr>
      </w:pPr>
    </w:p>
    <w:p>
      <w:pPr>
        <w:snapToGrid w:val="0"/>
        <w:spacing w:beforeLines="50" w:line="360" w:lineRule="auto"/>
        <w:rPr>
          <w:rFonts w:ascii="宋体" w:hAnsi="宋体" w:cs="宋体"/>
          <w:color w:val="auto"/>
          <w:sz w:val="30"/>
          <w:szCs w:val="72"/>
        </w:rPr>
      </w:pPr>
    </w:p>
    <w:tbl>
      <w:tblPr>
        <w:tblStyle w:val="39"/>
        <w:tblW w:w="8360" w:type="dxa"/>
        <w:jc w:val="center"/>
        <w:tblLayout w:type="fixed"/>
        <w:tblCellMar>
          <w:top w:w="0" w:type="dxa"/>
          <w:left w:w="108" w:type="dxa"/>
          <w:bottom w:w="0" w:type="dxa"/>
          <w:right w:w="108" w:type="dxa"/>
        </w:tblCellMar>
      </w:tblPr>
      <w:tblGrid>
        <w:gridCol w:w="1800"/>
        <w:gridCol w:w="6560"/>
      </w:tblGrid>
      <w:tr>
        <w:tblPrEx>
          <w:tblCellMar>
            <w:top w:w="0" w:type="dxa"/>
            <w:left w:w="108" w:type="dxa"/>
            <w:bottom w:w="0" w:type="dxa"/>
            <w:right w:w="108" w:type="dxa"/>
          </w:tblCellMar>
        </w:tblPrEx>
        <w:trPr>
          <w:trHeight w:val="1155" w:hRule="atLeast"/>
          <w:jc w:val="center"/>
        </w:trPr>
        <w:tc>
          <w:tcPr>
            <w:tcW w:w="1800" w:type="dxa"/>
            <w:tcBorders>
              <w:top w:val="nil"/>
              <w:left w:val="nil"/>
              <w:bottom w:val="nil"/>
              <w:right w:val="nil"/>
            </w:tcBorders>
            <w:vAlign w:val="center"/>
          </w:tcPr>
          <w:p>
            <w:pPr>
              <w:snapToGrid w:val="0"/>
              <w:jc w:val="center"/>
              <w:rPr>
                <w:rFonts w:ascii="宋体" w:hAnsi="宋体" w:cs="宋体"/>
                <w:b/>
                <w:color w:val="auto"/>
                <w:sz w:val="34"/>
                <w:szCs w:val="32"/>
              </w:rPr>
            </w:pPr>
            <w:r>
              <w:rPr>
                <w:rFonts w:hint="eastAsia" w:ascii="宋体" w:hAnsi="宋体" w:cs="宋体"/>
                <w:b/>
                <w:color w:val="auto"/>
                <w:sz w:val="34"/>
                <w:szCs w:val="32"/>
              </w:rPr>
              <w:t>项目编号：</w:t>
            </w:r>
          </w:p>
        </w:tc>
        <w:tc>
          <w:tcPr>
            <w:tcW w:w="6560" w:type="dxa"/>
            <w:tcBorders>
              <w:top w:val="nil"/>
              <w:left w:val="nil"/>
              <w:bottom w:val="nil"/>
              <w:right w:val="nil"/>
            </w:tcBorders>
            <w:vAlign w:val="center"/>
          </w:tcPr>
          <w:p>
            <w:pPr>
              <w:pStyle w:val="21"/>
              <w:snapToGrid w:val="0"/>
              <w:spacing w:beforeLines="0" w:afterLines="0" w:line="240" w:lineRule="auto"/>
              <w:rPr>
                <w:rFonts w:hAnsi="宋体" w:cs="宋体"/>
                <w:b/>
                <w:color w:val="auto"/>
                <w:kern w:val="2"/>
                <w:sz w:val="28"/>
                <w:szCs w:val="28"/>
                <w:u w:val="single"/>
              </w:rPr>
            </w:pPr>
            <w:r>
              <w:rPr>
                <w:rFonts w:hint="eastAsia" w:hAnsi="宋体" w:cs="宋体"/>
                <w:b/>
                <w:color w:val="auto"/>
                <w:kern w:val="2"/>
                <w:sz w:val="34"/>
                <w:szCs w:val="32"/>
              </w:rPr>
              <w:t>2023GCZB0328G</w:t>
            </w:r>
          </w:p>
        </w:tc>
      </w:tr>
      <w:tr>
        <w:trPr>
          <w:trHeight w:val="1435" w:hRule="atLeast"/>
          <w:jc w:val="center"/>
        </w:trPr>
        <w:tc>
          <w:tcPr>
            <w:tcW w:w="1800" w:type="dxa"/>
            <w:tcBorders>
              <w:top w:val="nil"/>
              <w:left w:val="nil"/>
              <w:bottom w:val="nil"/>
              <w:right w:val="nil"/>
            </w:tcBorders>
            <w:vAlign w:val="center"/>
          </w:tcPr>
          <w:p>
            <w:pPr>
              <w:snapToGrid w:val="0"/>
              <w:jc w:val="center"/>
              <w:rPr>
                <w:rFonts w:ascii="宋体" w:hAnsi="宋体" w:cs="宋体"/>
                <w:b/>
                <w:color w:val="auto"/>
                <w:sz w:val="34"/>
                <w:szCs w:val="32"/>
              </w:rPr>
            </w:pPr>
            <w:r>
              <w:rPr>
                <w:rFonts w:hint="eastAsia" w:ascii="宋体" w:hAnsi="宋体" w:cs="宋体"/>
                <w:b/>
                <w:color w:val="auto"/>
                <w:sz w:val="34"/>
                <w:szCs w:val="32"/>
              </w:rPr>
              <w:t>项目名称：</w:t>
            </w:r>
          </w:p>
        </w:tc>
        <w:tc>
          <w:tcPr>
            <w:tcW w:w="6560" w:type="dxa"/>
            <w:tcBorders>
              <w:top w:val="nil"/>
              <w:left w:val="nil"/>
              <w:bottom w:val="nil"/>
              <w:right w:val="nil"/>
            </w:tcBorders>
            <w:vAlign w:val="center"/>
          </w:tcPr>
          <w:p>
            <w:pPr>
              <w:snapToGrid w:val="0"/>
              <w:jc w:val="left"/>
              <w:rPr>
                <w:rFonts w:ascii="宋体" w:hAnsi="宋体" w:cs="宋体"/>
                <w:b/>
                <w:color w:val="auto"/>
                <w:sz w:val="28"/>
                <w:szCs w:val="28"/>
                <w:u w:val="single"/>
              </w:rPr>
            </w:pPr>
            <w:r>
              <w:rPr>
                <w:rFonts w:hint="eastAsia" w:ascii="宋体" w:hAnsi="宋体" w:cs="宋体"/>
                <w:b/>
                <w:color w:val="auto"/>
                <w:sz w:val="34"/>
                <w:szCs w:val="32"/>
              </w:rPr>
              <w:t>宁波市第三次全国土壤普查剖面样点调查采集</w:t>
            </w:r>
          </w:p>
        </w:tc>
      </w:tr>
      <w:tr>
        <w:tblPrEx>
          <w:tblCellMar>
            <w:top w:w="0" w:type="dxa"/>
            <w:left w:w="108" w:type="dxa"/>
            <w:bottom w:w="0" w:type="dxa"/>
            <w:right w:w="108" w:type="dxa"/>
          </w:tblCellMar>
        </w:tblPrEx>
        <w:trPr>
          <w:trHeight w:val="1215" w:hRule="atLeast"/>
          <w:jc w:val="center"/>
        </w:trPr>
        <w:tc>
          <w:tcPr>
            <w:tcW w:w="1800" w:type="dxa"/>
            <w:tcBorders>
              <w:top w:val="nil"/>
              <w:left w:val="nil"/>
              <w:bottom w:val="nil"/>
              <w:right w:val="nil"/>
            </w:tcBorders>
            <w:vAlign w:val="center"/>
          </w:tcPr>
          <w:p>
            <w:pPr>
              <w:snapToGrid w:val="0"/>
              <w:jc w:val="center"/>
              <w:rPr>
                <w:rFonts w:ascii="宋体" w:hAnsi="宋体" w:cs="宋体"/>
                <w:b/>
                <w:color w:val="auto"/>
                <w:sz w:val="34"/>
                <w:szCs w:val="32"/>
              </w:rPr>
            </w:pPr>
            <w:r>
              <w:rPr>
                <w:rFonts w:hint="eastAsia" w:ascii="宋体" w:hAnsi="宋体" w:cs="宋体"/>
                <w:b/>
                <w:color w:val="auto"/>
                <w:sz w:val="34"/>
                <w:szCs w:val="32"/>
              </w:rPr>
              <w:t>采 购 人：</w:t>
            </w:r>
          </w:p>
        </w:tc>
        <w:tc>
          <w:tcPr>
            <w:tcW w:w="6560" w:type="dxa"/>
            <w:tcBorders>
              <w:top w:val="nil"/>
              <w:left w:val="nil"/>
              <w:bottom w:val="nil"/>
              <w:right w:val="nil"/>
            </w:tcBorders>
            <w:vAlign w:val="center"/>
          </w:tcPr>
          <w:p>
            <w:pPr>
              <w:snapToGrid w:val="0"/>
              <w:jc w:val="left"/>
              <w:rPr>
                <w:rFonts w:ascii="宋体" w:hAnsi="宋体" w:cs="宋体"/>
                <w:b/>
                <w:color w:val="auto"/>
                <w:sz w:val="34"/>
                <w:szCs w:val="32"/>
              </w:rPr>
            </w:pPr>
            <w:r>
              <w:rPr>
                <w:rFonts w:hint="eastAsia" w:ascii="宋体" w:hAnsi="宋体" w:cs="宋体"/>
                <w:b/>
                <w:color w:val="auto"/>
                <w:sz w:val="34"/>
                <w:szCs w:val="32"/>
              </w:rPr>
              <w:t>宁波市农业农村局</w:t>
            </w:r>
          </w:p>
        </w:tc>
      </w:tr>
    </w:tbl>
    <w:p>
      <w:pPr>
        <w:spacing w:beforeLines="50"/>
        <w:rPr>
          <w:rFonts w:ascii="宋体" w:hAnsi="宋体" w:cs="宋体"/>
          <w:b/>
          <w:color w:val="auto"/>
          <w:sz w:val="30"/>
          <w:szCs w:val="72"/>
        </w:rPr>
      </w:pPr>
    </w:p>
    <w:p>
      <w:pPr>
        <w:pStyle w:val="21"/>
        <w:snapToGrid w:val="0"/>
        <w:spacing w:beforeLines="0" w:afterLines="0" w:line="360" w:lineRule="auto"/>
        <w:rPr>
          <w:rFonts w:hAnsi="宋体" w:cs="宋体"/>
          <w:b/>
          <w:color w:val="auto"/>
          <w:sz w:val="30"/>
          <w:szCs w:val="72"/>
        </w:rPr>
      </w:pPr>
    </w:p>
    <w:p>
      <w:pPr>
        <w:pStyle w:val="21"/>
        <w:snapToGrid w:val="0"/>
        <w:spacing w:beforeLines="0" w:afterLines="0" w:line="360" w:lineRule="auto"/>
        <w:rPr>
          <w:rFonts w:hAnsi="宋体" w:cs="宋体"/>
          <w:b/>
          <w:color w:val="auto"/>
          <w:sz w:val="30"/>
          <w:szCs w:val="72"/>
        </w:rPr>
      </w:pPr>
    </w:p>
    <w:p>
      <w:pPr>
        <w:snapToGrid w:val="0"/>
        <w:spacing w:beforeLines="50" w:line="360" w:lineRule="auto"/>
        <w:jc w:val="center"/>
        <w:rPr>
          <w:rFonts w:ascii="宋体" w:hAnsi="宋体" w:cs="宋体"/>
          <w:b/>
          <w:color w:val="auto"/>
          <w:sz w:val="34"/>
          <w:szCs w:val="32"/>
        </w:rPr>
      </w:pPr>
    </w:p>
    <w:p>
      <w:pPr>
        <w:jc w:val="center"/>
        <w:rPr>
          <w:rFonts w:ascii="宋体" w:hAnsi="宋体" w:cs="宋体"/>
          <w:b/>
          <w:color w:val="auto"/>
          <w:sz w:val="34"/>
          <w:szCs w:val="32"/>
        </w:rPr>
      </w:pPr>
      <w:bookmarkStart w:id="0" w:name="_Toc23073"/>
      <w:r>
        <w:rPr>
          <w:rFonts w:hint="eastAsia" w:ascii="宋体" w:hAnsi="宋体" w:cs="宋体"/>
          <w:b/>
          <w:color w:val="auto"/>
          <w:sz w:val="34"/>
          <w:szCs w:val="32"/>
        </w:rPr>
        <w:t>宁波国采招标咨询有限公司</w:t>
      </w:r>
      <w:bookmarkEnd w:id="0"/>
    </w:p>
    <w:p>
      <w:pPr>
        <w:snapToGrid w:val="0"/>
        <w:spacing w:beforeLines="50" w:line="360" w:lineRule="auto"/>
        <w:jc w:val="center"/>
        <w:rPr>
          <w:rFonts w:ascii="宋体" w:hAnsi="宋体" w:cs="宋体"/>
          <w:b/>
          <w:bCs/>
          <w:color w:val="auto"/>
          <w:sz w:val="30"/>
          <w:szCs w:val="30"/>
        </w:rPr>
        <w:sectPr>
          <w:footerReference r:id="rId5" w:type="first"/>
          <w:headerReference r:id="rId3" w:type="default"/>
          <w:footerReference r:id="rId4" w:type="default"/>
          <w:pgSz w:w="11907" w:h="16840"/>
          <w:pgMar w:top="1276" w:right="1474" w:bottom="1276" w:left="1474" w:header="720" w:footer="720" w:gutter="0"/>
          <w:cols w:space="720" w:num="1"/>
          <w:docGrid w:linePitch="285" w:charSpace="0"/>
        </w:sectPr>
      </w:pPr>
      <w:r>
        <w:rPr>
          <w:rFonts w:hint="eastAsia" w:ascii="宋体" w:hAnsi="宋体" w:cs="宋体"/>
          <w:b/>
          <w:bCs/>
          <w:color w:val="auto"/>
          <w:sz w:val="30"/>
          <w:szCs w:val="30"/>
        </w:rPr>
        <w:t>二〇二三年</w:t>
      </w:r>
      <w:r>
        <w:rPr>
          <w:rFonts w:hint="eastAsia" w:ascii="宋体" w:hAnsi="宋体" w:cs="宋体"/>
          <w:b/>
          <w:bCs/>
          <w:color w:val="auto"/>
          <w:sz w:val="30"/>
          <w:szCs w:val="30"/>
          <w:lang w:val="en-US" w:eastAsia="zh-CN"/>
        </w:rPr>
        <w:t>七</w:t>
      </w:r>
      <w:r>
        <w:rPr>
          <w:rFonts w:hint="eastAsia" w:ascii="宋体" w:hAnsi="宋体" w:cs="宋体"/>
          <w:b/>
          <w:bCs/>
          <w:color w:val="auto"/>
          <w:sz w:val="30"/>
          <w:szCs w:val="30"/>
        </w:rPr>
        <w:t>月</w:t>
      </w:r>
    </w:p>
    <w:p>
      <w:pPr>
        <w:pStyle w:val="27"/>
        <w:tabs>
          <w:tab w:val="right" w:leader="dot" w:pos="8311"/>
        </w:tabs>
        <w:spacing w:line="700" w:lineRule="exact"/>
        <w:jc w:val="center"/>
        <w:rPr>
          <w:b/>
          <w:bCs/>
          <w:color w:val="auto"/>
          <w:sz w:val="36"/>
          <w:szCs w:val="36"/>
        </w:rPr>
      </w:pPr>
      <w:bookmarkStart w:id="1" w:name="_Toc32597"/>
      <w:bookmarkStart w:id="2" w:name="_Toc3692"/>
      <w:bookmarkStart w:id="3" w:name="_Toc20590"/>
    </w:p>
    <w:p>
      <w:pPr>
        <w:tabs>
          <w:tab w:val="right" w:leader="dot" w:pos="8311"/>
        </w:tabs>
        <w:spacing w:line="700" w:lineRule="exact"/>
        <w:jc w:val="center"/>
        <w:rPr>
          <w:b/>
          <w:bCs/>
          <w:color w:val="auto"/>
          <w:sz w:val="36"/>
          <w:szCs w:val="36"/>
        </w:rPr>
      </w:pPr>
      <w:r>
        <w:rPr>
          <w:rFonts w:hint="eastAsia"/>
          <w:b/>
          <w:bCs/>
          <w:color w:val="auto"/>
          <w:sz w:val="36"/>
          <w:szCs w:val="36"/>
        </w:rPr>
        <w:t>目  录</w:t>
      </w:r>
      <w:bookmarkEnd w:id="1"/>
      <w:bookmarkEnd w:id="2"/>
      <w:bookmarkEnd w:id="3"/>
    </w:p>
    <w:p>
      <w:pPr>
        <w:tabs>
          <w:tab w:val="right" w:leader="dot" w:pos="8311"/>
        </w:tabs>
        <w:spacing w:line="700" w:lineRule="exact"/>
        <w:jc w:val="center"/>
        <w:rPr>
          <w:rFonts w:ascii="宋体" w:hAnsi="宋体" w:cs="宋体"/>
          <w:color w:val="auto"/>
          <w:sz w:val="28"/>
          <w:szCs w:val="28"/>
        </w:rPr>
      </w:pPr>
      <w:r>
        <w:rPr>
          <w:rFonts w:hint="eastAsia" w:ascii="宋体" w:hAnsi="宋体" w:cs="宋体"/>
          <w:b/>
          <w:color w:val="auto"/>
          <w:sz w:val="28"/>
          <w:szCs w:val="28"/>
        </w:rPr>
        <w:fldChar w:fldCharType="begin"/>
      </w:r>
      <w:r>
        <w:rPr>
          <w:rFonts w:hint="eastAsia" w:ascii="宋体" w:hAnsi="宋体" w:cs="宋体"/>
          <w:b/>
          <w:color w:val="auto"/>
          <w:sz w:val="28"/>
          <w:szCs w:val="28"/>
        </w:rPr>
        <w:instrText xml:space="preserve">TOC \o "1-2" \h \u </w:instrText>
      </w:r>
      <w:r>
        <w:rPr>
          <w:rFonts w:hint="eastAsia" w:ascii="宋体" w:hAnsi="宋体" w:cs="宋体"/>
          <w:b/>
          <w:color w:val="auto"/>
          <w:sz w:val="28"/>
          <w:szCs w:val="28"/>
        </w:rPr>
        <w:fldChar w:fldCharType="separate"/>
      </w:r>
    </w:p>
    <w:p>
      <w:pPr>
        <w:pStyle w:val="27"/>
        <w:tabs>
          <w:tab w:val="right" w:leader="dot" w:pos="8307"/>
        </w:tabs>
        <w:spacing w:line="700" w:lineRule="exact"/>
        <w:rPr>
          <w:rFonts w:ascii="宋体" w:hAnsi="宋体" w:cs="宋体"/>
          <w:color w:val="auto"/>
          <w:sz w:val="28"/>
          <w:szCs w:val="28"/>
        </w:rPr>
      </w:pPr>
      <w:r>
        <w:rPr>
          <w:color w:val="auto"/>
        </w:rPr>
        <w:fldChar w:fldCharType="begin"/>
      </w:r>
      <w:r>
        <w:rPr>
          <w:color w:val="auto"/>
        </w:rPr>
        <w:instrText xml:space="preserve"> HYPERLINK \l "_Toc1327" </w:instrText>
      </w:r>
      <w:r>
        <w:rPr>
          <w:color w:val="auto"/>
        </w:rPr>
        <w:fldChar w:fldCharType="separate"/>
      </w:r>
      <w:r>
        <w:rPr>
          <w:rFonts w:hint="eastAsia" w:ascii="宋体" w:hAnsi="宋体" w:cs="宋体"/>
          <w:color w:val="auto"/>
          <w:sz w:val="28"/>
          <w:szCs w:val="28"/>
        </w:rPr>
        <w:t>第一章  公开招标采购公告</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_Toc1327 \h </w:instrText>
      </w:r>
      <w:r>
        <w:rPr>
          <w:rFonts w:hint="eastAsia" w:ascii="宋体" w:hAnsi="宋体" w:cs="宋体"/>
          <w:color w:val="auto"/>
          <w:sz w:val="28"/>
          <w:szCs w:val="28"/>
        </w:rPr>
        <w:fldChar w:fldCharType="separate"/>
      </w:r>
      <w:r>
        <w:rPr>
          <w:rFonts w:hint="eastAsia" w:ascii="宋体" w:hAnsi="宋体" w:cs="宋体"/>
          <w:color w:val="auto"/>
          <w:sz w:val="28"/>
          <w:szCs w:val="28"/>
        </w:rPr>
        <w:t>2</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27"/>
        <w:tabs>
          <w:tab w:val="right" w:leader="dot" w:pos="8307"/>
        </w:tabs>
        <w:spacing w:line="700" w:lineRule="exact"/>
        <w:rPr>
          <w:rFonts w:ascii="宋体" w:hAnsi="宋体" w:cs="宋体"/>
          <w:color w:val="auto"/>
          <w:sz w:val="28"/>
          <w:szCs w:val="28"/>
        </w:rPr>
      </w:pPr>
      <w:r>
        <w:rPr>
          <w:color w:val="auto"/>
        </w:rPr>
        <w:fldChar w:fldCharType="begin"/>
      </w:r>
      <w:r>
        <w:rPr>
          <w:color w:val="auto"/>
        </w:rPr>
        <w:instrText xml:space="preserve"> HYPERLINK \l "_Toc14757" </w:instrText>
      </w:r>
      <w:r>
        <w:rPr>
          <w:color w:val="auto"/>
        </w:rPr>
        <w:fldChar w:fldCharType="separate"/>
      </w:r>
      <w:r>
        <w:rPr>
          <w:rFonts w:hint="eastAsia" w:ascii="宋体" w:hAnsi="宋体" w:cs="宋体"/>
          <w:color w:val="auto"/>
          <w:sz w:val="28"/>
          <w:szCs w:val="28"/>
        </w:rPr>
        <w:t>第二章  采购需求</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_Toc14757 \h </w:instrText>
      </w:r>
      <w:r>
        <w:rPr>
          <w:rFonts w:hint="eastAsia" w:ascii="宋体" w:hAnsi="宋体" w:cs="宋体"/>
          <w:color w:val="auto"/>
          <w:sz w:val="28"/>
          <w:szCs w:val="28"/>
        </w:rPr>
        <w:fldChar w:fldCharType="separate"/>
      </w:r>
      <w:r>
        <w:rPr>
          <w:rFonts w:hint="eastAsia" w:ascii="宋体" w:hAnsi="宋体" w:cs="宋体"/>
          <w:color w:val="auto"/>
          <w:sz w:val="28"/>
          <w:szCs w:val="28"/>
        </w:rPr>
        <w:t>5</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27"/>
        <w:tabs>
          <w:tab w:val="right" w:leader="dot" w:pos="8307"/>
        </w:tabs>
        <w:spacing w:line="700" w:lineRule="exact"/>
        <w:rPr>
          <w:rFonts w:ascii="宋体" w:hAnsi="宋体" w:cs="宋体"/>
          <w:color w:val="auto"/>
          <w:sz w:val="28"/>
          <w:szCs w:val="28"/>
        </w:rPr>
      </w:pPr>
      <w:r>
        <w:rPr>
          <w:color w:val="auto"/>
        </w:rPr>
        <w:fldChar w:fldCharType="begin"/>
      </w:r>
      <w:r>
        <w:rPr>
          <w:color w:val="auto"/>
        </w:rPr>
        <w:instrText xml:space="preserve"> HYPERLINK \l "_Toc20162" </w:instrText>
      </w:r>
      <w:r>
        <w:rPr>
          <w:color w:val="auto"/>
        </w:rPr>
        <w:fldChar w:fldCharType="separate"/>
      </w:r>
      <w:r>
        <w:rPr>
          <w:rFonts w:hint="eastAsia" w:ascii="宋体" w:hAnsi="宋体" w:cs="宋体"/>
          <w:bCs/>
          <w:color w:val="auto"/>
          <w:kern w:val="44"/>
          <w:sz w:val="28"/>
          <w:szCs w:val="28"/>
        </w:rPr>
        <w:t>第三章  投标人须知</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_Toc20162 \h </w:instrText>
      </w:r>
      <w:r>
        <w:rPr>
          <w:rFonts w:hint="eastAsia" w:ascii="宋体" w:hAnsi="宋体" w:cs="宋体"/>
          <w:color w:val="auto"/>
          <w:sz w:val="28"/>
          <w:szCs w:val="28"/>
        </w:rPr>
        <w:fldChar w:fldCharType="separate"/>
      </w:r>
      <w:r>
        <w:rPr>
          <w:rFonts w:hint="eastAsia" w:ascii="宋体" w:hAnsi="宋体" w:cs="宋体"/>
          <w:color w:val="auto"/>
          <w:sz w:val="28"/>
          <w:szCs w:val="28"/>
        </w:rPr>
        <w:t>8</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27"/>
        <w:tabs>
          <w:tab w:val="right" w:leader="dot" w:pos="8307"/>
        </w:tabs>
        <w:spacing w:line="700" w:lineRule="exact"/>
        <w:rPr>
          <w:rFonts w:ascii="宋体" w:hAnsi="宋体" w:cs="宋体"/>
          <w:color w:val="auto"/>
          <w:sz w:val="28"/>
          <w:szCs w:val="28"/>
        </w:rPr>
      </w:pPr>
      <w:r>
        <w:rPr>
          <w:color w:val="auto"/>
        </w:rPr>
        <w:fldChar w:fldCharType="begin"/>
      </w:r>
      <w:r>
        <w:rPr>
          <w:color w:val="auto"/>
        </w:rPr>
        <w:instrText xml:space="preserve"> HYPERLINK \l "_Toc7981" </w:instrText>
      </w:r>
      <w:r>
        <w:rPr>
          <w:color w:val="auto"/>
        </w:rPr>
        <w:fldChar w:fldCharType="separate"/>
      </w:r>
      <w:r>
        <w:rPr>
          <w:rFonts w:hint="eastAsia" w:ascii="宋体" w:hAnsi="宋体" w:cs="宋体"/>
          <w:color w:val="auto"/>
          <w:sz w:val="28"/>
          <w:szCs w:val="28"/>
        </w:rPr>
        <w:t>第四章  评标办法及评分标准</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_Toc7981 \h </w:instrText>
      </w:r>
      <w:r>
        <w:rPr>
          <w:rFonts w:hint="eastAsia" w:ascii="宋体" w:hAnsi="宋体" w:cs="宋体"/>
          <w:color w:val="auto"/>
          <w:sz w:val="28"/>
          <w:szCs w:val="28"/>
        </w:rPr>
        <w:fldChar w:fldCharType="separate"/>
      </w:r>
      <w:r>
        <w:rPr>
          <w:rFonts w:hint="eastAsia" w:ascii="宋体" w:hAnsi="宋体" w:cs="宋体"/>
          <w:color w:val="auto"/>
          <w:sz w:val="28"/>
          <w:szCs w:val="28"/>
        </w:rPr>
        <w:t>18</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27"/>
        <w:tabs>
          <w:tab w:val="right" w:leader="dot" w:pos="8307"/>
        </w:tabs>
        <w:spacing w:line="700" w:lineRule="exact"/>
        <w:rPr>
          <w:rFonts w:ascii="宋体" w:hAnsi="宋体" w:cs="宋体"/>
          <w:color w:val="auto"/>
          <w:sz w:val="28"/>
          <w:szCs w:val="28"/>
        </w:rPr>
      </w:pPr>
      <w:r>
        <w:rPr>
          <w:color w:val="auto"/>
        </w:rPr>
        <w:fldChar w:fldCharType="begin"/>
      </w:r>
      <w:r>
        <w:rPr>
          <w:color w:val="auto"/>
        </w:rPr>
        <w:instrText xml:space="preserve"> HYPERLINK \l "_Toc21628" </w:instrText>
      </w:r>
      <w:r>
        <w:rPr>
          <w:color w:val="auto"/>
        </w:rPr>
        <w:fldChar w:fldCharType="separate"/>
      </w:r>
      <w:r>
        <w:rPr>
          <w:rFonts w:hint="eastAsia" w:ascii="宋体" w:hAnsi="宋体" w:cs="宋体"/>
          <w:color w:val="auto"/>
          <w:sz w:val="28"/>
          <w:szCs w:val="28"/>
        </w:rPr>
        <w:t>第五章  采购合同主要条款（样本）</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_Toc21628 \h </w:instrText>
      </w:r>
      <w:r>
        <w:rPr>
          <w:rFonts w:hint="eastAsia" w:ascii="宋体" w:hAnsi="宋体" w:cs="宋体"/>
          <w:color w:val="auto"/>
          <w:sz w:val="28"/>
          <w:szCs w:val="28"/>
        </w:rPr>
        <w:fldChar w:fldCharType="separate"/>
      </w:r>
      <w:r>
        <w:rPr>
          <w:rFonts w:hint="eastAsia" w:ascii="宋体" w:hAnsi="宋体" w:cs="宋体"/>
          <w:color w:val="auto"/>
          <w:sz w:val="28"/>
          <w:szCs w:val="28"/>
        </w:rPr>
        <w:t>27</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27"/>
        <w:tabs>
          <w:tab w:val="right" w:leader="dot" w:pos="8307"/>
        </w:tabs>
        <w:spacing w:line="700" w:lineRule="exact"/>
        <w:rPr>
          <w:rFonts w:ascii="宋体" w:hAnsi="宋体" w:cs="宋体"/>
          <w:color w:val="auto"/>
          <w:sz w:val="28"/>
          <w:szCs w:val="28"/>
        </w:rPr>
      </w:pPr>
      <w:r>
        <w:rPr>
          <w:color w:val="auto"/>
        </w:rPr>
        <w:fldChar w:fldCharType="begin"/>
      </w:r>
      <w:r>
        <w:rPr>
          <w:color w:val="auto"/>
        </w:rPr>
        <w:instrText xml:space="preserve"> HYPERLINK \l "_Toc5581" </w:instrText>
      </w:r>
      <w:r>
        <w:rPr>
          <w:color w:val="auto"/>
        </w:rPr>
        <w:fldChar w:fldCharType="separate"/>
      </w:r>
      <w:r>
        <w:rPr>
          <w:rFonts w:hint="eastAsia" w:ascii="宋体" w:hAnsi="宋体" w:cs="宋体"/>
          <w:color w:val="auto"/>
          <w:sz w:val="28"/>
          <w:szCs w:val="28"/>
        </w:rPr>
        <w:t>第六章 投标文件格式及附件</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_Toc5581 \h </w:instrText>
      </w:r>
      <w:r>
        <w:rPr>
          <w:rFonts w:hint="eastAsia" w:ascii="宋体" w:hAnsi="宋体" w:cs="宋体"/>
          <w:color w:val="auto"/>
          <w:sz w:val="28"/>
          <w:szCs w:val="28"/>
        </w:rPr>
        <w:fldChar w:fldCharType="separate"/>
      </w:r>
      <w:r>
        <w:rPr>
          <w:rFonts w:hint="eastAsia" w:ascii="宋体" w:hAnsi="宋体" w:cs="宋体"/>
          <w:color w:val="auto"/>
          <w:sz w:val="28"/>
          <w:szCs w:val="28"/>
        </w:rPr>
        <w:t>31</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27"/>
        <w:tabs>
          <w:tab w:val="right" w:leader="dot" w:pos="8311"/>
        </w:tabs>
        <w:spacing w:line="700" w:lineRule="exact"/>
        <w:jc w:val="center"/>
        <w:rPr>
          <w:rFonts w:ascii="宋体" w:hAnsi="宋体" w:cs="宋体"/>
          <w:b/>
          <w:color w:val="auto"/>
          <w:szCs w:val="21"/>
        </w:rPr>
      </w:pPr>
      <w:r>
        <w:rPr>
          <w:rFonts w:hint="eastAsia" w:ascii="宋体" w:hAnsi="宋体" w:cs="宋体"/>
          <w:color w:val="auto"/>
          <w:sz w:val="28"/>
          <w:szCs w:val="28"/>
        </w:rPr>
        <w:fldChar w:fldCharType="end"/>
      </w:r>
    </w:p>
    <w:p>
      <w:pPr>
        <w:pStyle w:val="4"/>
        <w:spacing w:before="0" w:after="0" w:line="480" w:lineRule="auto"/>
        <w:jc w:val="center"/>
        <w:rPr>
          <w:rFonts w:ascii="宋体" w:hAnsi="宋体" w:cs="宋体"/>
          <w:color w:val="auto"/>
          <w:sz w:val="30"/>
        </w:rPr>
        <w:sectPr>
          <w:footerReference r:id="rId6" w:type="default"/>
          <w:pgSz w:w="11907" w:h="16840"/>
          <w:pgMar w:top="1440" w:right="1800" w:bottom="1440" w:left="1800" w:header="720" w:footer="720" w:gutter="0"/>
          <w:pgNumType w:start="1"/>
          <w:cols w:space="720" w:num="1"/>
          <w:docGrid w:linePitch="285" w:charSpace="0"/>
        </w:sectPr>
      </w:pPr>
      <w:bookmarkStart w:id="4" w:name="_Toc17057"/>
      <w:bookmarkStart w:id="5" w:name="_Toc573"/>
      <w:bookmarkStart w:id="6" w:name="_Toc460857890"/>
      <w:bookmarkStart w:id="7" w:name="_Toc13450"/>
      <w:bookmarkStart w:id="8" w:name="_Toc79395432"/>
    </w:p>
    <w:p>
      <w:pPr>
        <w:pStyle w:val="4"/>
        <w:spacing w:before="0" w:after="0" w:line="360" w:lineRule="auto"/>
        <w:jc w:val="center"/>
        <w:rPr>
          <w:rFonts w:ascii="宋体" w:hAnsi="宋体" w:cs="宋体"/>
          <w:color w:val="auto"/>
          <w:sz w:val="30"/>
        </w:rPr>
      </w:pPr>
      <w:bookmarkStart w:id="9" w:name="_Toc23235"/>
      <w:bookmarkStart w:id="10" w:name="_Toc1327"/>
      <w:bookmarkStart w:id="11" w:name="_Toc4485"/>
      <w:r>
        <w:rPr>
          <w:rFonts w:hint="eastAsia" w:ascii="宋体" w:hAnsi="宋体" w:cs="宋体"/>
          <w:color w:val="auto"/>
          <w:sz w:val="30"/>
        </w:rPr>
        <w:t>第一章  公开招标采购公告</w:t>
      </w:r>
      <w:bookmarkEnd w:id="4"/>
      <w:bookmarkEnd w:id="5"/>
      <w:bookmarkEnd w:id="6"/>
      <w:bookmarkEnd w:id="7"/>
      <w:bookmarkEnd w:id="8"/>
      <w:bookmarkEnd w:id="9"/>
      <w:bookmarkEnd w:id="10"/>
      <w:bookmarkEnd w:id="11"/>
    </w:p>
    <w:p>
      <w:pPr>
        <w:widowControl/>
        <w:pBdr>
          <w:top w:val="single" w:color="auto" w:sz="4" w:space="1"/>
          <w:left w:val="single" w:color="auto" w:sz="4" w:space="4"/>
          <w:bottom w:val="single" w:color="auto" w:sz="4" w:space="1"/>
          <w:right w:val="single" w:color="auto" w:sz="4" w:space="4"/>
        </w:pBdr>
        <w:spacing w:before="75" w:after="75"/>
        <w:jc w:val="left"/>
        <w:rPr>
          <w:rFonts w:ascii="宋体" w:hAnsi="宋体" w:cs="宋体"/>
          <w:color w:val="auto"/>
          <w:kern w:val="0"/>
          <w:szCs w:val="21"/>
        </w:rPr>
      </w:pPr>
      <w:r>
        <w:rPr>
          <w:rFonts w:hint="eastAsia" w:ascii="宋体" w:hAnsi="宋体" w:cs="宋体"/>
          <w:color w:val="auto"/>
          <w:kern w:val="0"/>
          <w:szCs w:val="21"/>
        </w:rPr>
        <w:t>项目概况</w:t>
      </w:r>
    </w:p>
    <w:p>
      <w:pPr>
        <w:widowControl/>
        <w:pBdr>
          <w:top w:val="single" w:color="auto" w:sz="4" w:space="1"/>
          <w:left w:val="single" w:color="auto" w:sz="4" w:space="4"/>
          <w:bottom w:val="single" w:color="auto" w:sz="4" w:space="1"/>
          <w:right w:val="single" w:color="auto" w:sz="4" w:space="4"/>
        </w:pBdr>
        <w:spacing w:before="75" w:after="75"/>
        <w:ind w:firstLine="420" w:firstLineChars="200"/>
        <w:jc w:val="left"/>
        <w:rPr>
          <w:rFonts w:ascii="宋体" w:hAnsi="宋体" w:cs="宋体"/>
          <w:color w:val="auto"/>
          <w:szCs w:val="21"/>
        </w:rPr>
      </w:pPr>
      <w:r>
        <w:rPr>
          <w:rFonts w:hint="eastAsia" w:ascii="宋体" w:hAnsi="宋体" w:cs="宋体"/>
          <w:color w:val="auto"/>
          <w:kern w:val="0"/>
          <w:szCs w:val="21"/>
        </w:rPr>
        <w:t>宁波市第三次全国土壤普查剖面样点调查采集的潜在投标人应在浙江政府采购网政采云平台注册登记（http：//zfcg.czt.zj.gov.cn），获取（下载）招标文件，</w:t>
      </w:r>
      <w:r>
        <w:rPr>
          <w:rFonts w:hint="eastAsia" w:ascii="宋体" w:hAnsi="宋体" w:cs="宋体"/>
          <w:color w:val="auto"/>
          <w:szCs w:val="21"/>
        </w:rPr>
        <w:t>并于2023年</w:t>
      </w:r>
      <w:r>
        <w:rPr>
          <w:rFonts w:hint="eastAsia" w:ascii="宋体" w:hAnsi="宋体" w:cs="宋体"/>
          <w:color w:val="auto"/>
          <w:szCs w:val="21"/>
          <w:lang w:val="en-US" w:eastAsia="zh-CN"/>
        </w:rPr>
        <w:t>8</w:t>
      </w:r>
      <w:r>
        <w:rPr>
          <w:rFonts w:hint="eastAsia" w:ascii="宋体" w:hAnsi="宋体" w:cs="宋体"/>
          <w:color w:val="auto"/>
          <w:szCs w:val="21"/>
        </w:rPr>
        <w:t>月</w:t>
      </w:r>
      <w:r>
        <w:rPr>
          <w:rFonts w:hint="eastAsia" w:ascii="宋体" w:hAnsi="宋体" w:cs="宋体"/>
          <w:color w:val="auto"/>
          <w:szCs w:val="21"/>
          <w:lang w:val="en-US" w:eastAsia="zh-CN"/>
        </w:rPr>
        <w:t>3</w:t>
      </w:r>
      <w:r>
        <w:rPr>
          <w:rFonts w:hint="eastAsia" w:ascii="宋体" w:hAnsi="宋体" w:cs="宋体"/>
          <w:color w:val="auto"/>
          <w:szCs w:val="21"/>
        </w:rPr>
        <w:t>日</w:t>
      </w:r>
      <w:r>
        <w:rPr>
          <w:rFonts w:hint="eastAsia" w:ascii="宋体" w:hAnsi="宋体" w:cs="宋体"/>
          <w:color w:val="auto"/>
          <w:szCs w:val="21"/>
          <w:lang w:val="en-US" w:eastAsia="zh-CN"/>
        </w:rPr>
        <w:t>9</w:t>
      </w:r>
      <w:r>
        <w:rPr>
          <w:rFonts w:hint="eastAsia" w:ascii="宋体" w:hAnsi="宋体" w:cs="宋体"/>
          <w:color w:val="auto"/>
          <w:szCs w:val="21"/>
        </w:rPr>
        <w:t>:</w:t>
      </w:r>
      <w:r>
        <w:rPr>
          <w:rFonts w:hint="eastAsia" w:ascii="宋体" w:hAnsi="宋体" w:cs="宋体"/>
          <w:color w:val="auto"/>
          <w:szCs w:val="21"/>
          <w:lang w:val="en-US" w:eastAsia="zh-CN"/>
        </w:rPr>
        <w:t>00</w:t>
      </w:r>
      <w:r>
        <w:rPr>
          <w:rFonts w:hint="eastAsia" w:ascii="宋体" w:hAnsi="宋体" w:cs="宋体"/>
          <w:color w:val="auto"/>
          <w:szCs w:val="21"/>
        </w:rPr>
        <w:t>（北京时间）前递交（上传）投标文件。</w:t>
      </w:r>
    </w:p>
    <w:p>
      <w:pPr>
        <w:widowControl/>
        <w:numPr>
          <w:ilvl w:val="0"/>
          <w:numId w:val="1"/>
        </w:numPr>
        <w:spacing w:before="255" w:after="255" w:line="300" w:lineRule="atLeast"/>
        <w:rPr>
          <w:rFonts w:ascii="宋体" w:hAnsi="宋体" w:cs="宋体"/>
          <w:color w:val="auto"/>
          <w:kern w:val="0"/>
          <w:szCs w:val="21"/>
        </w:rPr>
      </w:pPr>
      <w:r>
        <w:rPr>
          <w:rFonts w:hint="eastAsia" w:ascii="宋体" w:hAnsi="宋体" w:cs="宋体"/>
          <w:b/>
          <w:bCs/>
          <w:color w:val="auto"/>
          <w:kern w:val="0"/>
          <w:szCs w:val="21"/>
        </w:rPr>
        <w:t>项目基本情况</w:t>
      </w:r>
    </w:p>
    <w:p>
      <w:pPr>
        <w:widowControl/>
        <w:numPr>
          <w:ilvl w:val="0"/>
          <w:numId w:val="2"/>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项目编号：2023GCZB0328G</w:t>
      </w:r>
    </w:p>
    <w:p>
      <w:pPr>
        <w:widowControl/>
        <w:numPr>
          <w:ilvl w:val="0"/>
          <w:numId w:val="2"/>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项目名称：宁波市第三次全国土壤普查剖面样点调查采集</w:t>
      </w:r>
    </w:p>
    <w:p>
      <w:pPr>
        <w:widowControl/>
        <w:numPr>
          <w:ilvl w:val="0"/>
          <w:numId w:val="2"/>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预算金额：687.372万元</w:t>
      </w:r>
    </w:p>
    <w:p>
      <w:pPr>
        <w:numPr>
          <w:ilvl w:val="0"/>
          <w:numId w:val="2"/>
        </w:numPr>
        <w:spacing w:line="360" w:lineRule="auto"/>
        <w:jc w:val="left"/>
        <w:rPr>
          <w:rFonts w:ascii="宋体" w:hAnsi="宋体" w:cs="宋体"/>
          <w:color w:val="auto"/>
          <w:kern w:val="0"/>
          <w:szCs w:val="21"/>
        </w:rPr>
      </w:pPr>
      <w:r>
        <w:rPr>
          <w:rFonts w:hint="eastAsia" w:ascii="宋体" w:hAnsi="宋体" w:cs="宋体"/>
          <w:color w:val="auto"/>
          <w:kern w:val="0"/>
          <w:szCs w:val="21"/>
        </w:rPr>
        <w:t>最高限价：687.372万元</w:t>
      </w:r>
    </w:p>
    <w:p>
      <w:pPr>
        <w:numPr>
          <w:ilvl w:val="0"/>
          <w:numId w:val="2"/>
        </w:numPr>
        <w:spacing w:line="360" w:lineRule="auto"/>
        <w:rPr>
          <w:rFonts w:ascii="仿宋" w:hAnsi="仿宋" w:cs="宋体"/>
          <w:color w:val="auto"/>
          <w:kern w:val="0"/>
          <w:szCs w:val="21"/>
        </w:rPr>
      </w:pPr>
      <w:r>
        <w:rPr>
          <w:rFonts w:ascii="仿宋" w:hAnsi="仿宋" w:cs="宋体"/>
          <w:color w:val="auto"/>
          <w:kern w:val="0"/>
          <w:szCs w:val="21"/>
        </w:rPr>
        <w:t>采购需求：</w:t>
      </w:r>
    </w:p>
    <w:p>
      <w:pPr>
        <w:spacing w:line="360" w:lineRule="auto"/>
        <w:ind w:left="1260" w:leftChars="200" w:hanging="840" w:hangingChars="400"/>
        <w:rPr>
          <w:rFonts w:ascii="宋体" w:hAnsi="宋体" w:cs="宋体"/>
          <w:color w:val="auto"/>
          <w:kern w:val="0"/>
          <w:szCs w:val="21"/>
        </w:rPr>
      </w:pPr>
      <w:r>
        <w:rPr>
          <w:rFonts w:hint="eastAsia" w:ascii="宋体" w:hAnsi="宋体" w:cs="宋体"/>
          <w:color w:val="auto"/>
          <w:kern w:val="0"/>
          <w:szCs w:val="21"/>
        </w:rPr>
        <w:t>标项名称：宁波市第三次全国土壤普查剖面样点调查采集</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数量：1项</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项目基本概况介绍：组织开展宁波市第三次全国土壤普查剖面样点调查采集工作，具体内容见采购需求。</w:t>
      </w:r>
    </w:p>
    <w:p>
      <w:pPr>
        <w:numPr>
          <w:ilvl w:val="0"/>
          <w:numId w:val="2"/>
        </w:numPr>
        <w:spacing w:line="360" w:lineRule="auto"/>
        <w:rPr>
          <w:rFonts w:ascii="宋体" w:hAnsi="宋体" w:cs="宋体"/>
          <w:color w:val="auto"/>
          <w:kern w:val="0"/>
          <w:szCs w:val="21"/>
        </w:rPr>
      </w:pPr>
      <w:r>
        <w:rPr>
          <w:rFonts w:hint="eastAsia" w:ascii="仿宋" w:hAnsi="仿宋" w:cs="宋体"/>
          <w:color w:val="auto"/>
          <w:kern w:val="0"/>
          <w:szCs w:val="21"/>
        </w:rPr>
        <w:t>合同履约期限：自合同签订之日起至</w:t>
      </w:r>
      <w:r>
        <w:rPr>
          <w:rFonts w:hint="eastAsia" w:ascii="宋体" w:hAnsi="宋体" w:cs="宋体"/>
          <w:color w:val="auto"/>
          <w:kern w:val="0"/>
          <w:szCs w:val="21"/>
        </w:rPr>
        <w:t>2023年12月31日前完成服务。</w:t>
      </w:r>
    </w:p>
    <w:p>
      <w:pPr>
        <w:widowControl/>
        <w:numPr>
          <w:ilvl w:val="0"/>
          <w:numId w:val="1"/>
        </w:numPr>
        <w:spacing w:before="225" w:after="225" w:line="300" w:lineRule="atLeast"/>
        <w:jc w:val="left"/>
        <w:rPr>
          <w:rFonts w:ascii="宋体" w:hAnsi="宋体" w:cs="宋体"/>
          <w:color w:val="auto"/>
          <w:kern w:val="0"/>
          <w:szCs w:val="21"/>
        </w:rPr>
      </w:pPr>
      <w:r>
        <w:rPr>
          <w:rFonts w:hint="eastAsia" w:ascii="宋体" w:hAnsi="宋体" w:cs="宋体"/>
          <w:b/>
          <w:bCs/>
          <w:color w:val="auto"/>
          <w:kern w:val="0"/>
          <w:szCs w:val="21"/>
        </w:rPr>
        <w:t>申请人的资格要求</w:t>
      </w:r>
    </w:p>
    <w:p>
      <w:pPr>
        <w:widowControl/>
        <w:numPr>
          <w:ilvl w:val="0"/>
          <w:numId w:val="3"/>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满足《中华人民共和国政府采购法》第二十二条规定；未被（www.creditchina.gov.cn)“信用中国”、（www.ccgp.gov.cn）中国政府采购网列入失信被执行人、重大税收违法案件当事人名单、政府采购严重违法失信行为记录名单。</w:t>
      </w:r>
    </w:p>
    <w:p>
      <w:pPr>
        <w:widowControl/>
        <w:numPr>
          <w:ilvl w:val="0"/>
          <w:numId w:val="3"/>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落实政府采购政策需满足的资格要求：无</w:t>
      </w:r>
      <w:r>
        <w:rPr>
          <w:rFonts w:hint="eastAsia" w:ascii="宋体" w:hAnsi="宋体" w:cs="宋体"/>
          <w:color w:val="auto"/>
        </w:rPr>
        <w:t>。</w:t>
      </w:r>
    </w:p>
    <w:p>
      <w:pPr>
        <w:widowControl/>
        <w:numPr>
          <w:ilvl w:val="0"/>
          <w:numId w:val="3"/>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本项目的特定资格要求：无。</w:t>
      </w:r>
    </w:p>
    <w:p>
      <w:pPr>
        <w:widowControl/>
        <w:numPr>
          <w:ilvl w:val="0"/>
          <w:numId w:val="3"/>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本项目不接受联合体投标。</w:t>
      </w:r>
    </w:p>
    <w:p>
      <w:pPr>
        <w:widowControl/>
        <w:numPr>
          <w:ilvl w:val="0"/>
          <w:numId w:val="1"/>
        </w:numPr>
        <w:spacing w:before="225" w:after="225" w:line="300" w:lineRule="atLeast"/>
        <w:jc w:val="left"/>
        <w:rPr>
          <w:rFonts w:ascii="宋体" w:hAnsi="宋体" w:cs="宋体"/>
          <w:b/>
          <w:bCs/>
          <w:color w:val="auto"/>
          <w:kern w:val="0"/>
          <w:szCs w:val="21"/>
        </w:rPr>
      </w:pPr>
      <w:r>
        <w:rPr>
          <w:rFonts w:hint="eastAsia" w:ascii="宋体" w:hAnsi="宋体" w:cs="宋体"/>
          <w:b/>
          <w:bCs/>
          <w:color w:val="auto"/>
          <w:kern w:val="0"/>
          <w:szCs w:val="21"/>
        </w:rPr>
        <w:t>获取招标文件</w:t>
      </w:r>
    </w:p>
    <w:p>
      <w:pPr>
        <w:widowControl/>
        <w:numPr>
          <w:ilvl w:val="0"/>
          <w:numId w:val="4"/>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时间：公告发布之日起至2023年7月</w:t>
      </w:r>
      <w:r>
        <w:rPr>
          <w:rFonts w:hint="eastAsia" w:ascii="宋体" w:hAnsi="宋体" w:cs="宋体"/>
          <w:color w:val="auto"/>
          <w:kern w:val="0"/>
          <w:szCs w:val="21"/>
          <w:lang w:val="en-US" w:eastAsia="zh-CN"/>
        </w:rPr>
        <w:t>21</w:t>
      </w:r>
      <w:r>
        <w:rPr>
          <w:rFonts w:hint="eastAsia" w:ascii="宋体" w:hAnsi="宋体" w:cs="宋体"/>
          <w:color w:val="auto"/>
          <w:kern w:val="0"/>
          <w:szCs w:val="21"/>
        </w:rPr>
        <w:t>日，每天上午00：00至12：00，下午12：00至23：59（北京时间，线上获取法定节假日均可，线下获取文件法定节假日除外）。</w:t>
      </w:r>
    </w:p>
    <w:p>
      <w:pPr>
        <w:widowControl/>
        <w:numPr>
          <w:ilvl w:val="0"/>
          <w:numId w:val="4"/>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地点（网址）：浙江政府采购云平台（www.zcygov.cn）。</w:t>
      </w:r>
    </w:p>
    <w:p>
      <w:pPr>
        <w:widowControl/>
        <w:numPr>
          <w:ilvl w:val="0"/>
          <w:numId w:val="4"/>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方式：潜在投标人需在政采云平台注册登记，登录政采云平台www.zcygov.cn/在线申请获取采购文件（进入“项目采购”应用，在获取采购文件菜单中选择项目，申请获取采购文件）。</w:t>
      </w:r>
    </w:p>
    <w:p>
      <w:pPr>
        <w:widowControl/>
        <w:numPr>
          <w:ilvl w:val="0"/>
          <w:numId w:val="4"/>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售价（元）：0</w:t>
      </w:r>
    </w:p>
    <w:p>
      <w:pPr>
        <w:widowControl/>
        <w:numPr>
          <w:ilvl w:val="0"/>
          <w:numId w:val="1"/>
        </w:numPr>
        <w:spacing w:before="225" w:after="225" w:line="300" w:lineRule="atLeast"/>
        <w:jc w:val="left"/>
        <w:rPr>
          <w:rFonts w:ascii="宋体" w:hAnsi="宋体" w:cs="宋体"/>
          <w:b/>
          <w:bCs/>
          <w:color w:val="auto"/>
          <w:kern w:val="0"/>
          <w:szCs w:val="21"/>
        </w:rPr>
      </w:pPr>
      <w:r>
        <w:rPr>
          <w:rFonts w:hint="eastAsia" w:ascii="宋体" w:hAnsi="宋体" w:cs="宋体"/>
          <w:b/>
          <w:bCs/>
          <w:color w:val="auto"/>
          <w:kern w:val="0"/>
          <w:szCs w:val="21"/>
        </w:rPr>
        <w:t>提交投标文件截止时间、开标时间和地点</w:t>
      </w:r>
    </w:p>
    <w:p>
      <w:pPr>
        <w:widowControl/>
        <w:numPr>
          <w:ilvl w:val="0"/>
          <w:numId w:val="5"/>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提交投标文件截止时间：2023年</w:t>
      </w:r>
      <w:r>
        <w:rPr>
          <w:rFonts w:hint="eastAsia" w:ascii="宋体" w:hAnsi="宋体" w:cs="宋体"/>
          <w:color w:val="auto"/>
          <w:kern w:val="0"/>
          <w:szCs w:val="21"/>
          <w:lang w:val="en-US" w:eastAsia="zh-CN"/>
        </w:rPr>
        <w:t>8</w:t>
      </w:r>
      <w:r>
        <w:rPr>
          <w:rFonts w:hint="eastAsia" w:ascii="宋体" w:hAnsi="宋体" w:cs="宋体"/>
          <w:color w:val="auto"/>
          <w:kern w:val="0"/>
          <w:szCs w:val="21"/>
        </w:rPr>
        <w:t>月</w:t>
      </w:r>
      <w:r>
        <w:rPr>
          <w:rFonts w:hint="eastAsia" w:ascii="宋体" w:hAnsi="宋体" w:cs="宋体"/>
          <w:color w:val="auto"/>
          <w:kern w:val="0"/>
          <w:szCs w:val="21"/>
          <w:lang w:val="en-US" w:eastAsia="zh-CN"/>
        </w:rPr>
        <w:t>3</w:t>
      </w:r>
      <w:r>
        <w:rPr>
          <w:rFonts w:hint="eastAsia" w:ascii="宋体" w:hAnsi="宋体" w:cs="宋体"/>
          <w:color w:val="auto"/>
          <w:kern w:val="0"/>
          <w:szCs w:val="21"/>
        </w:rPr>
        <w:t>日</w:t>
      </w:r>
      <w:r>
        <w:rPr>
          <w:rFonts w:hint="eastAsia" w:ascii="宋体" w:hAnsi="宋体" w:cs="宋体"/>
          <w:color w:val="auto"/>
          <w:kern w:val="0"/>
          <w:szCs w:val="21"/>
          <w:lang w:val="en-US" w:eastAsia="zh-CN"/>
        </w:rPr>
        <w:t>9</w:t>
      </w:r>
      <w:r>
        <w:rPr>
          <w:rFonts w:hint="eastAsia" w:ascii="宋体" w:hAnsi="宋体" w:cs="宋体"/>
          <w:color w:val="auto"/>
          <w:kern w:val="0"/>
          <w:szCs w:val="21"/>
        </w:rPr>
        <w:t>:</w:t>
      </w:r>
      <w:r>
        <w:rPr>
          <w:rFonts w:hint="eastAsia" w:ascii="宋体" w:hAnsi="宋体" w:cs="宋体"/>
          <w:color w:val="auto"/>
          <w:kern w:val="0"/>
          <w:szCs w:val="21"/>
          <w:lang w:val="en-US" w:eastAsia="zh-CN"/>
        </w:rPr>
        <w:t>0</w:t>
      </w:r>
      <w:r>
        <w:rPr>
          <w:rFonts w:hint="eastAsia" w:ascii="宋体" w:hAnsi="宋体" w:cs="宋体"/>
          <w:color w:val="auto"/>
          <w:kern w:val="0"/>
          <w:szCs w:val="21"/>
        </w:rPr>
        <w:t>0（北京时间）。</w:t>
      </w:r>
    </w:p>
    <w:p>
      <w:pPr>
        <w:widowControl/>
        <w:numPr>
          <w:ilvl w:val="0"/>
          <w:numId w:val="5"/>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投标地点（网址）：</w:t>
      </w:r>
      <w:r>
        <w:rPr>
          <w:rFonts w:hint="eastAsia" w:ascii="宋体" w:hAnsi="宋体" w:cs="宋体"/>
          <w:color w:val="auto"/>
          <w:szCs w:val="21"/>
        </w:rPr>
        <w:t>登录政府采购云平台（www.zcygov.cn）在线投标，并进行解密（解密时间为提交投标文件截止时间后30分钟内）。</w:t>
      </w:r>
    </w:p>
    <w:p>
      <w:pPr>
        <w:widowControl/>
        <w:numPr>
          <w:ilvl w:val="0"/>
          <w:numId w:val="5"/>
        </w:numPr>
        <w:spacing w:before="75" w:after="75" w:line="300" w:lineRule="atLeast"/>
        <w:jc w:val="left"/>
        <w:rPr>
          <w:rFonts w:ascii="宋体" w:hAnsi="宋体" w:cs="宋体"/>
          <w:color w:val="auto"/>
          <w:kern w:val="0"/>
          <w:szCs w:val="21"/>
        </w:rPr>
      </w:pPr>
      <w:r>
        <w:rPr>
          <w:rFonts w:hint="eastAsia" w:ascii="宋体" w:hAnsi="宋体" w:cs="宋体"/>
          <w:color w:val="auto"/>
          <w:kern w:val="0"/>
          <w:szCs w:val="21"/>
        </w:rPr>
        <w:t>开标时间：2023年</w:t>
      </w:r>
      <w:r>
        <w:rPr>
          <w:rFonts w:hint="eastAsia" w:ascii="宋体" w:hAnsi="宋体" w:cs="宋体"/>
          <w:color w:val="auto"/>
          <w:kern w:val="0"/>
          <w:szCs w:val="21"/>
          <w:lang w:val="en-US" w:eastAsia="zh-CN"/>
        </w:rPr>
        <w:t>8</w:t>
      </w:r>
      <w:r>
        <w:rPr>
          <w:rFonts w:hint="eastAsia" w:ascii="宋体" w:hAnsi="宋体" w:cs="宋体"/>
          <w:color w:val="auto"/>
          <w:kern w:val="0"/>
          <w:szCs w:val="21"/>
        </w:rPr>
        <w:t>月</w:t>
      </w:r>
      <w:r>
        <w:rPr>
          <w:rFonts w:hint="eastAsia" w:ascii="宋体" w:hAnsi="宋体" w:cs="宋体"/>
          <w:color w:val="auto"/>
          <w:kern w:val="0"/>
          <w:szCs w:val="21"/>
          <w:lang w:val="en-US" w:eastAsia="zh-CN"/>
        </w:rPr>
        <w:t>3</w:t>
      </w:r>
      <w:r>
        <w:rPr>
          <w:rFonts w:hint="eastAsia" w:ascii="宋体" w:hAnsi="宋体" w:cs="宋体"/>
          <w:color w:val="auto"/>
          <w:kern w:val="0"/>
          <w:szCs w:val="21"/>
        </w:rPr>
        <w:t>日</w:t>
      </w:r>
      <w:r>
        <w:rPr>
          <w:rFonts w:hint="eastAsia" w:ascii="宋体" w:hAnsi="宋体" w:cs="宋体"/>
          <w:color w:val="auto"/>
          <w:kern w:val="0"/>
          <w:szCs w:val="21"/>
          <w:lang w:val="en-US" w:eastAsia="zh-CN"/>
        </w:rPr>
        <w:t>9</w:t>
      </w:r>
      <w:r>
        <w:rPr>
          <w:rFonts w:hint="eastAsia" w:ascii="宋体" w:hAnsi="宋体" w:cs="宋体"/>
          <w:color w:val="auto"/>
          <w:kern w:val="0"/>
          <w:szCs w:val="21"/>
        </w:rPr>
        <w:t>:</w:t>
      </w:r>
      <w:r>
        <w:rPr>
          <w:rFonts w:hint="eastAsia" w:ascii="宋体" w:hAnsi="宋体" w:cs="宋体"/>
          <w:color w:val="auto"/>
          <w:kern w:val="0"/>
          <w:szCs w:val="21"/>
          <w:lang w:val="en-US" w:eastAsia="zh-CN"/>
        </w:rPr>
        <w:t>00</w:t>
      </w:r>
      <w:r>
        <w:rPr>
          <w:rFonts w:hint="eastAsia" w:ascii="宋体" w:hAnsi="宋体" w:cs="宋体"/>
          <w:color w:val="auto"/>
          <w:kern w:val="0"/>
          <w:szCs w:val="21"/>
        </w:rPr>
        <w:t>（北京时间）。</w:t>
      </w:r>
    </w:p>
    <w:p>
      <w:pPr>
        <w:numPr>
          <w:ilvl w:val="0"/>
          <w:numId w:val="5"/>
        </w:numPr>
        <w:spacing w:line="360" w:lineRule="auto"/>
        <w:rPr>
          <w:rFonts w:ascii="宋体" w:hAnsi="宋体" w:cs="宋体"/>
          <w:color w:val="auto"/>
          <w:szCs w:val="21"/>
        </w:rPr>
      </w:pPr>
      <w:r>
        <w:rPr>
          <w:rFonts w:hint="eastAsia" w:ascii="宋体" w:hAnsi="宋体" w:cs="宋体"/>
          <w:color w:val="auto"/>
          <w:kern w:val="0"/>
          <w:szCs w:val="21"/>
        </w:rPr>
        <w:t>开标地点（网址）：宁波市鄞州区宁东路901号（宁波报业传媒大厦A座北楼5F南5-2）。</w:t>
      </w:r>
      <w:r>
        <w:rPr>
          <w:rFonts w:hint="eastAsia" w:ascii="宋体" w:hAnsi="宋体" w:cs="宋体"/>
          <w:color w:val="auto"/>
          <w:szCs w:val="21"/>
        </w:rPr>
        <w:t>本项目通过“政府采购云平台</w:t>
      </w:r>
      <w:r>
        <w:rPr>
          <w:rFonts w:hint="eastAsia" w:ascii="宋体" w:hAnsi="宋体" w:cs="宋体"/>
          <w:color w:val="auto"/>
          <w:kern w:val="0"/>
          <w:szCs w:val="21"/>
        </w:rPr>
        <w:t>（http：//www.zcygov.cn/）</w:t>
      </w:r>
      <w:r>
        <w:rPr>
          <w:rFonts w:hint="eastAsia" w:ascii="宋体" w:hAnsi="宋体" w:cs="宋体"/>
          <w:color w:val="auto"/>
          <w:szCs w:val="21"/>
        </w:rPr>
        <w:t>”实行在线电子投标，投标人应在线参加开标。</w:t>
      </w:r>
    </w:p>
    <w:p>
      <w:pPr>
        <w:widowControl/>
        <w:numPr>
          <w:ilvl w:val="0"/>
          <w:numId w:val="1"/>
        </w:numPr>
        <w:spacing w:before="225" w:after="225" w:line="300" w:lineRule="atLeast"/>
        <w:jc w:val="left"/>
        <w:rPr>
          <w:rFonts w:ascii="宋体" w:hAnsi="宋体" w:cs="宋体"/>
          <w:b/>
          <w:bCs/>
          <w:color w:val="auto"/>
          <w:kern w:val="0"/>
          <w:szCs w:val="21"/>
        </w:rPr>
      </w:pPr>
      <w:r>
        <w:rPr>
          <w:rFonts w:hint="eastAsia" w:ascii="宋体" w:hAnsi="宋体" w:cs="宋体"/>
          <w:b/>
          <w:bCs/>
          <w:color w:val="auto"/>
          <w:kern w:val="0"/>
          <w:szCs w:val="21"/>
        </w:rPr>
        <w:t>公告期限</w:t>
      </w:r>
    </w:p>
    <w:p>
      <w:pPr>
        <w:widowControl/>
        <w:spacing w:before="75" w:after="75"/>
        <w:ind w:firstLine="420" w:firstLineChars="200"/>
        <w:jc w:val="left"/>
        <w:rPr>
          <w:rFonts w:ascii="宋体" w:hAnsi="宋体" w:cs="宋体"/>
          <w:color w:val="auto"/>
          <w:kern w:val="0"/>
          <w:szCs w:val="21"/>
        </w:rPr>
      </w:pPr>
      <w:r>
        <w:rPr>
          <w:rFonts w:hint="eastAsia" w:ascii="宋体" w:hAnsi="宋体" w:cs="宋体"/>
          <w:color w:val="auto"/>
          <w:kern w:val="0"/>
          <w:szCs w:val="21"/>
        </w:rPr>
        <w:t>自本公告发布之日起5个工作日。</w:t>
      </w:r>
    </w:p>
    <w:p>
      <w:pPr>
        <w:widowControl/>
        <w:numPr>
          <w:ilvl w:val="0"/>
          <w:numId w:val="1"/>
        </w:numPr>
        <w:spacing w:before="225" w:after="225" w:line="300" w:lineRule="atLeast"/>
        <w:jc w:val="left"/>
        <w:rPr>
          <w:rFonts w:ascii="宋体" w:hAnsi="宋体" w:cs="宋体"/>
          <w:b/>
          <w:bCs/>
          <w:color w:val="auto"/>
          <w:kern w:val="0"/>
          <w:szCs w:val="21"/>
        </w:rPr>
      </w:pPr>
      <w:r>
        <w:rPr>
          <w:rFonts w:hint="eastAsia" w:ascii="宋体" w:hAnsi="宋体" w:cs="宋体"/>
          <w:b/>
          <w:bCs/>
          <w:color w:val="auto"/>
          <w:kern w:val="0"/>
          <w:szCs w:val="21"/>
        </w:rPr>
        <w:t>其他补充事宜</w:t>
      </w:r>
    </w:p>
    <w:p>
      <w:pPr>
        <w:widowControl/>
        <w:numPr>
          <w:ilvl w:val="0"/>
          <w:numId w:val="6"/>
        </w:numPr>
        <w:spacing w:before="75" w:after="75" w:line="360" w:lineRule="atLeast"/>
        <w:jc w:val="left"/>
        <w:rPr>
          <w:rFonts w:ascii="宋体" w:hAnsi="宋体" w:cs="宋体"/>
          <w:color w:val="auto"/>
          <w:kern w:val="0"/>
          <w:szCs w:val="21"/>
        </w:rPr>
      </w:pPr>
      <w:r>
        <w:rPr>
          <w:rFonts w:hint="eastAsia" w:ascii="宋体" w:hAnsi="宋体" w:cs="宋体"/>
          <w:color w:val="auto"/>
          <w:kern w:val="0"/>
          <w:szCs w:val="21"/>
        </w:rPr>
        <w:t>投标人认为采购文件使自己的权益受到损害的，可以自获取采购文件之日或者采购文件公告期限届满之日起7个工作日内，对采购文件需求的以书面形式向采购人提出质疑，对其他内容的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numPr>
          <w:ilvl w:val="0"/>
          <w:numId w:val="6"/>
        </w:numPr>
        <w:spacing w:before="75" w:after="75" w:line="360" w:lineRule="atLeast"/>
        <w:jc w:val="left"/>
        <w:rPr>
          <w:rFonts w:ascii="宋体" w:hAnsi="宋体" w:cs="宋体"/>
          <w:color w:val="auto"/>
          <w:kern w:val="0"/>
          <w:szCs w:val="21"/>
        </w:rPr>
      </w:pPr>
      <w:r>
        <w:rPr>
          <w:rFonts w:hint="eastAsia" w:ascii="宋体" w:hAnsi="宋体" w:cs="宋体"/>
          <w:color w:val="auto"/>
          <w:kern w:val="0"/>
          <w:szCs w:val="21"/>
        </w:rPr>
        <w:t>落实的政策：《关于促进残疾人就业政府采购政策的通知》（财库[2017]141号）、《政府采购促进中小企业发展管理办法》（财库〔2020〕46号）、《关于政府采购支持监狱企业发展有关问题的通知》(财库[2014]68号)、《浙江省财政厅关于进一步加大政府采购支持中小企业力度助力扎实稳住经济的通知》（浙财采监〔2022〕8号）。</w:t>
      </w:r>
    </w:p>
    <w:p>
      <w:pPr>
        <w:widowControl/>
        <w:numPr>
          <w:ilvl w:val="0"/>
          <w:numId w:val="6"/>
        </w:numPr>
        <w:spacing w:line="336" w:lineRule="auto"/>
        <w:rPr>
          <w:rFonts w:ascii="宋体" w:hAnsi="宋体" w:cs="宋体"/>
          <w:color w:val="auto"/>
          <w:kern w:val="0"/>
          <w:szCs w:val="21"/>
        </w:rPr>
      </w:pPr>
      <w:r>
        <w:rPr>
          <w:rFonts w:hint="eastAsia" w:ascii="宋体" w:hAnsi="宋体" w:cs="宋体"/>
          <w:color w:val="auto"/>
          <w:kern w:val="0"/>
          <w:szCs w:val="21"/>
        </w:rPr>
        <w:t>投标与开标注意事项：</w:t>
      </w:r>
    </w:p>
    <w:p>
      <w:pPr>
        <w:numPr>
          <w:ilvl w:val="0"/>
          <w:numId w:val="7"/>
        </w:numPr>
        <w:spacing w:line="360" w:lineRule="auto"/>
        <w:rPr>
          <w:rFonts w:ascii="宋体" w:hAnsi="宋体" w:cs="宋体"/>
          <w:color w:val="auto"/>
          <w:kern w:val="0"/>
          <w:szCs w:val="21"/>
        </w:rPr>
      </w:pPr>
      <w:r>
        <w:rPr>
          <w:rFonts w:hint="eastAsia" w:ascii="宋体" w:hAnsi="宋体" w:cs="宋体"/>
          <w:color w:val="auto"/>
          <w:kern w:val="0"/>
          <w:szCs w:val="21"/>
        </w:rPr>
        <w:t>投标人需按照《浙江省政府采购投标人注册及诚信管理暂行办法》（浙财采监字{2009}28号）的规定在“浙江政府采购网”政采云平台注册登记的，成为浙江省政府采购注册投标人。并完成CA数字证书办理。因未注册入库、未办理CA数字证书等原因造成无法投标或投标失败等后果由投标人自行承担。</w:t>
      </w:r>
    </w:p>
    <w:p>
      <w:pPr>
        <w:numPr>
          <w:ilvl w:val="0"/>
          <w:numId w:val="7"/>
        </w:numPr>
        <w:spacing w:line="360" w:lineRule="auto"/>
        <w:rPr>
          <w:rFonts w:ascii="宋体" w:hAnsi="宋体" w:cs="宋体"/>
          <w:color w:val="auto"/>
          <w:szCs w:val="21"/>
        </w:rPr>
      </w:pPr>
      <w:r>
        <w:rPr>
          <w:rFonts w:hint="eastAsia" w:ascii="宋体" w:hAnsi="宋体" w:cs="宋体"/>
          <w:color w:val="auto"/>
          <w:szCs w:val="21"/>
        </w:rPr>
        <w:t>单位负责人为同一人或者存在直接控股、管理关系的不同投标人，不得参加同一标项的投标。除单一来源采购项目外，为本项目提供整体设计、规范编制或者项目管理、监理、检测等服务的投标人，不得再参加本项目的投标；投标人不得为该整体项目或其中分项目前期工作提供过设计、编制、管理等服务的法人及附属单位。</w:t>
      </w:r>
    </w:p>
    <w:p>
      <w:pPr>
        <w:widowControl/>
        <w:numPr>
          <w:ilvl w:val="0"/>
          <w:numId w:val="7"/>
        </w:numPr>
        <w:spacing w:line="336" w:lineRule="auto"/>
        <w:rPr>
          <w:rFonts w:ascii="宋体" w:hAnsi="宋体" w:cs="宋体"/>
          <w:color w:val="auto"/>
          <w:kern w:val="0"/>
          <w:szCs w:val="21"/>
        </w:rPr>
      </w:pPr>
      <w:r>
        <w:rPr>
          <w:rFonts w:hint="eastAsia" w:ascii="宋体" w:hAnsi="宋体" w:cs="宋体"/>
          <w:color w:val="auto"/>
          <w:kern w:val="0"/>
          <w:szCs w:val="21"/>
        </w:rPr>
        <w:t>不同投标文件上传的为同一网卡地址，或同一IP地址的为无效投标文件，并作为投标人之间串通响应处理。</w:t>
      </w:r>
    </w:p>
    <w:p>
      <w:pPr>
        <w:widowControl/>
        <w:numPr>
          <w:ilvl w:val="0"/>
          <w:numId w:val="7"/>
        </w:numPr>
        <w:spacing w:before="75" w:after="75" w:line="360" w:lineRule="atLeast"/>
        <w:jc w:val="left"/>
        <w:rPr>
          <w:rFonts w:ascii="宋体" w:hAnsi="宋体" w:cs="宋体"/>
          <w:color w:val="auto"/>
          <w:kern w:val="0"/>
          <w:szCs w:val="21"/>
        </w:rPr>
      </w:pPr>
      <w:r>
        <w:rPr>
          <w:rFonts w:hint="eastAsia" w:ascii="宋体" w:hAnsi="宋体" w:cs="宋体"/>
          <w:color w:val="auto"/>
          <w:kern w:val="0"/>
          <w:szCs w:val="21"/>
        </w:rPr>
        <w:t>投标人上传平台的是后缀为.jmbs的加密文件，递交给招标代理公司的是后缀为.bfbs的备份文件，未及时解密的责任自负。</w:t>
      </w:r>
    </w:p>
    <w:p>
      <w:pPr>
        <w:widowControl/>
        <w:numPr>
          <w:ilvl w:val="0"/>
          <w:numId w:val="7"/>
        </w:numPr>
        <w:spacing w:before="75" w:after="75" w:line="360" w:lineRule="atLeast"/>
        <w:jc w:val="left"/>
        <w:rPr>
          <w:rFonts w:ascii="宋体" w:hAnsi="宋体" w:cs="宋体"/>
          <w:color w:val="auto"/>
          <w:kern w:val="0"/>
          <w:szCs w:val="21"/>
        </w:rPr>
      </w:pPr>
      <w:r>
        <w:rPr>
          <w:rFonts w:hint="eastAsia" w:ascii="宋体" w:hAnsi="宋体" w:cs="宋体"/>
          <w:color w:val="auto"/>
          <w:kern w:val="0"/>
          <w:szCs w:val="21"/>
        </w:rPr>
        <w:t>本项目实行网上投标，采用电子投标文件。若投标人参与投标，自行承担投保过程中的一切费用。</w:t>
      </w:r>
    </w:p>
    <w:p>
      <w:pPr>
        <w:widowControl/>
        <w:numPr>
          <w:ilvl w:val="0"/>
          <w:numId w:val="1"/>
        </w:numPr>
        <w:spacing w:before="225" w:after="225" w:line="300" w:lineRule="atLeast"/>
        <w:jc w:val="left"/>
        <w:rPr>
          <w:rFonts w:ascii="宋体" w:hAnsi="宋体" w:cs="宋体"/>
          <w:b/>
          <w:bCs/>
          <w:color w:val="auto"/>
          <w:kern w:val="0"/>
          <w:szCs w:val="21"/>
        </w:rPr>
      </w:pPr>
      <w:r>
        <w:rPr>
          <w:rFonts w:hint="eastAsia" w:ascii="宋体" w:hAnsi="宋体" w:cs="宋体"/>
          <w:b/>
          <w:bCs/>
          <w:color w:val="auto"/>
          <w:kern w:val="0"/>
          <w:szCs w:val="21"/>
        </w:rPr>
        <w:t>对本次采购提出询问、质疑、投诉，请按以下方式联系</w:t>
      </w:r>
    </w:p>
    <w:p>
      <w:pPr>
        <w:numPr>
          <w:ilvl w:val="0"/>
          <w:numId w:val="8"/>
        </w:numPr>
        <w:spacing w:line="336" w:lineRule="auto"/>
        <w:rPr>
          <w:rFonts w:ascii="宋体" w:hAnsi="宋体" w:cs="宋体"/>
          <w:color w:val="auto"/>
        </w:rPr>
      </w:pPr>
      <w:r>
        <w:rPr>
          <w:rFonts w:hint="eastAsia" w:ascii="宋体" w:hAnsi="宋体" w:cs="宋体"/>
          <w:color w:val="auto"/>
        </w:rPr>
        <w:t>采购人信息</w:t>
      </w:r>
    </w:p>
    <w:p>
      <w:pPr>
        <w:spacing w:line="336" w:lineRule="auto"/>
        <w:ind w:firstLine="420" w:firstLineChars="200"/>
        <w:rPr>
          <w:rFonts w:hAnsi="宋体" w:cs="宋体"/>
          <w:color w:val="auto"/>
        </w:rPr>
      </w:pPr>
      <w:r>
        <w:rPr>
          <w:rFonts w:hint="eastAsia" w:hAnsi="宋体" w:cs="宋体"/>
          <w:color w:val="auto"/>
        </w:rPr>
        <w:t>名    称：宁波市农业农村局</w:t>
      </w:r>
    </w:p>
    <w:p>
      <w:pPr>
        <w:spacing w:line="336" w:lineRule="auto"/>
        <w:ind w:firstLine="420" w:firstLineChars="200"/>
        <w:rPr>
          <w:rFonts w:hAnsi="宋体" w:cs="宋体"/>
          <w:color w:val="auto"/>
        </w:rPr>
      </w:pPr>
      <w:r>
        <w:rPr>
          <w:rFonts w:hint="eastAsia" w:hAnsi="宋体" w:cs="宋体"/>
          <w:color w:val="auto"/>
        </w:rPr>
        <w:t>地    址：宁波市海曙区中山西路618号</w:t>
      </w:r>
    </w:p>
    <w:p>
      <w:pPr>
        <w:spacing w:line="336" w:lineRule="auto"/>
        <w:ind w:firstLine="420" w:firstLineChars="200"/>
        <w:rPr>
          <w:rFonts w:hAnsi="宋体" w:cs="宋体"/>
          <w:color w:val="auto"/>
        </w:rPr>
      </w:pPr>
      <w:r>
        <w:rPr>
          <w:rFonts w:hint="eastAsia" w:hAnsi="宋体" w:cs="宋体"/>
          <w:color w:val="auto"/>
        </w:rPr>
        <w:t xml:space="preserve">项目联系人（询问）：曾老师  </w:t>
      </w:r>
    </w:p>
    <w:p>
      <w:pPr>
        <w:spacing w:line="336" w:lineRule="auto"/>
        <w:ind w:firstLine="420" w:firstLineChars="200"/>
        <w:rPr>
          <w:rFonts w:hAnsi="宋体" w:cs="宋体"/>
          <w:color w:val="auto"/>
        </w:rPr>
      </w:pPr>
      <w:r>
        <w:rPr>
          <w:rFonts w:hint="eastAsia" w:hAnsi="宋体" w:cs="宋体"/>
          <w:color w:val="auto"/>
        </w:rPr>
        <w:t>项目联系方式（询问）：0574-89184267</w:t>
      </w:r>
    </w:p>
    <w:p>
      <w:pPr>
        <w:spacing w:line="336" w:lineRule="auto"/>
        <w:ind w:firstLine="420" w:firstLineChars="200"/>
        <w:rPr>
          <w:rFonts w:hAnsi="宋体" w:cs="宋体"/>
          <w:color w:val="auto"/>
        </w:rPr>
      </w:pPr>
      <w:r>
        <w:rPr>
          <w:rFonts w:hint="eastAsia" w:hAnsi="宋体" w:cs="宋体"/>
          <w:color w:val="auto"/>
        </w:rPr>
        <w:t xml:space="preserve">质疑联系人：王先生    </w:t>
      </w:r>
    </w:p>
    <w:p>
      <w:pPr>
        <w:spacing w:line="336" w:lineRule="auto"/>
        <w:ind w:firstLine="420" w:firstLineChars="200"/>
        <w:rPr>
          <w:rFonts w:hAnsi="宋体" w:cs="宋体"/>
          <w:color w:val="auto"/>
        </w:rPr>
      </w:pPr>
      <w:r>
        <w:rPr>
          <w:rFonts w:hint="eastAsia" w:hAnsi="宋体" w:cs="宋体"/>
          <w:color w:val="auto"/>
        </w:rPr>
        <w:t>质疑联系方式：0574-89186920</w:t>
      </w:r>
    </w:p>
    <w:p>
      <w:pPr>
        <w:numPr>
          <w:ilvl w:val="0"/>
          <w:numId w:val="8"/>
        </w:numPr>
        <w:spacing w:line="336" w:lineRule="auto"/>
        <w:rPr>
          <w:rFonts w:ascii="宋体" w:hAnsi="宋体" w:cs="宋体"/>
          <w:color w:val="auto"/>
        </w:rPr>
      </w:pPr>
      <w:r>
        <w:rPr>
          <w:rFonts w:hint="eastAsia" w:ascii="宋体" w:hAnsi="宋体" w:cs="宋体"/>
          <w:color w:val="auto"/>
        </w:rPr>
        <w:t>采购代理机构信息</w:t>
      </w:r>
    </w:p>
    <w:p>
      <w:pPr>
        <w:spacing w:line="336" w:lineRule="auto"/>
        <w:ind w:firstLine="420" w:firstLineChars="200"/>
        <w:rPr>
          <w:rFonts w:hAnsi="宋体" w:cs="宋体"/>
          <w:color w:val="auto"/>
        </w:rPr>
      </w:pPr>
      <w:r>
        <w:rPr>
          <w:rFonts w:hint="eastAsia" w:hAnsi="宋体" w:cs="宋体"/>
          <w:color w:val="auto"/>
        </w:rPr>
        <w:t>名    称：宁波国采招标咨询有限公司</w:t>
      </w:r>
    </w:p>
    <w:p>
      <w:pPr>
        <w:spacing w:line="336" w:lineRule="auto"/>
        <w:ind w:firstLine="420" w:firstLineChars="200"/>
        <w:rPr>
          <w:rFonts w:hAnsi="宋体" w:cs="宋体"/>
          <w:color w:val="auto"/>
        </w:rPr>
      </w:pPr>
      <w:r>
        <w:rPr>
          <w:rFonts w:hint="eastAsia" w:hAnsi="宋体" w:cs="宋体"/>
          <w:color w:val="auto"/>
        </w:rPr>
        <w:t>地    址：宁波市鄞州区宁东路901号（宁波报业传媒大厦A座北楼5F南5-2）</w:t>
      </w:r>
    </w:p>
    <w:p>
      <w:pPr>
        <w:spacing w:line="336" w:lineRule="auto"/>
        <w:ind w:firstLine="420" w:firstLineChars="200"/>
        <w:rPr>
          <w:rFonts w:hAnsi="宋体" w:cs="宋体"/>
          <w:color w:val="auto"/>
        </w:rPr>
      </w:pPr>
      <w:r>
        <w:rPr>
          <w:rFonts w:hint="eastAsia" w:hAnsi="宋体" w:cs="宋体"/>
          <w:color w:val="auto"/>
        </w:rPr>
        <w:t>项目联系人（询问）：孟凤英、何频、梅棉棉</w:t>
      </w:r>
    </w:p>
    <w:p>
      <w:pPr>
        <w:spacing w:line="336" w:lineRule="auto"/>
        <w:ind w:firstLine="420" w:firstLineChars="200"/>
        <w:rPr>
          <w:rFonts w:hAnsi="宋体" w:cs="宋体"/>
          <w:color w:val="auto"/>
        </w:rPr>
      </w:pPr>
      <w:r>
        <w:rPr>
          <w:rFonts w:hint="eastAsia" w:hAnsi="宋体" w:cs="宋体"/>
          <w:color w:val="auto"/>
        </w:rPr>
        <w:t>项目联系方式（询问）：0574-88276973  18967806602</w:t>
      </w:r>
    </w:p>
    <w:p>
      <w:pPr>
        <w:spacing w:line="336" w:lineRule="auto"/>
        <w:ind w:firstLine="420" w:firstLineChars="200"/>
        <w:rPr>
          <w:rFonts w:hAnsi="宋体" w:cs="宋体"/>
          <w:color w:val="auto"/>
        </w:rPr>
      </w:pPr>
      <w:r>
        <w:rPr>
          <w:rFonts w:hint="eastAsia" w:hAnsi="宋体" w:cs="宋体"/>
          <w:color w:val="auto"/>
        </w:rPr>
        <w:t>质疑联系人：陈城</w:t>
      </w:r>
    </w:p>
    <w:p>
      <w:pPr>
        <w:spacing w:line="336" w:lineRule="auto"/>
        <w:ind w:firstLine="420" w:firstLineChars="200"/>
        <w:rPr>
          <w:rFonts w:hAnsi="宋体" w:cs="宋体"/>
          <w:color w:val="auto"/>
        </w:rPr>
      </w:pPr>
      <w:r>
        <w:rPr>
          <w:rFonts w:hint="eastAsia" w:hAnsi="宋体" w:cs="宋体"/>
          <w:color w:val="auto"/>
        </w:rPr>
        <w:t>质疑联系方式：0574-88276952</w:t>
      </w:r>
    </w:p>
    <w:p>
      <w:pPr>
        <w:numPr>
          <w:ilvl w:val="0"/>
          <w:numId w:val="8"/>
        </w:numPr>
        <w:spacing w:line="336" w:lineRule="auto"/>
        <w:rPr>
          <w:rFonts w:ascii="宋体" w:hAnsi="宋体" w:cs="宋体"/>
          <w:color w:val="auto"/>
        </w:rPr>
      </w:pPr>
      <w:r>
        <w:rPr>
          <w:rFonts w:hint="eastAsia" w:ascii="宋体" w:hAnsi="宋体" w:cs="宋体"/>
          <w:color w:val="auto"/>
        </w:rPr>
        <w:t>同级政府采购监督管理部门</w:t>
      </w:r>
    </w:p>
    <w:p>
      <w:pPr>
        <w:spacing w:line="336" w:lineRule="auto"/>
        <w:ind w:firstLine="420" w:firstLineChars="200"/>
        <w:rPr>
          <w:rFonts w:hAnsi="宋体" w:cs="宋体"/>
          <w:color w:val="auto"/>
        </w:rPr>
      </w:pPr>
      <w:r>
        <w:rPr>
          <w:rFonts w:hint="eastAsia" w:hAnsi="宋体" w:cs="宋体"/>
          <w:color w:val="auto"/>
        </w:rPr>
        <w:t xml:space="preserve">名    称：宁波市政府采购管理办公室  </w:t>
      </w:r>
    </w:p>
    <w:p>
      <w:pPr>
        <w:spacing w:line="336" w:lineRule="auto"/>
        <w:ind w:firstLine="420" w:firstLineChars="200"/>
        <w:rPr>
          <w:rFonts w:hAnsi="宋体" w:cs="宋体"/>
          <w:color w:val="auto"/>
        </w:rPr>
      </w:pPr>
      <w:r>
        <w:rPr>
          <w:rFonts w:hint="eastAsia" w:hAnsi="宋体" w:cs="宋体"/>
          <w:color w:val="auto"/>
        </w:rPr>
        <w:t xml:space="preserve">地    址：宁波市海曙区中山西路19号                              </w:t>
      </w:r>
    </w:p>
    <w:p>
      <w:pPr>
        <w:spacing w:line="336" w:lineRule="auto"/>
        <w:ind w:firstLine="420" w:firstLineChars="200"/>
        <w:rPr>
          <w:rFonts w:hAnsi="宋体" w:cs="宋体"/>
          <w:color w:val="auto"/>
        </w:rPr>
      </w:pPr>
      <w:r>
        <w:rPr>
          <w:rFonts w:hint="eastAsia" w:hAnsi="宋体" w:cs="宋体"/>
          <w:color w:val="auto"/>
        </w:rPr>
        <w:t xml:space="preserve">联系人 ：李老师             </w:t>
      </w:r>
    </w:p>
    <w:p>
      <w:pPr>
        <w:spacing w:line="336" w:lineRule="auto"/>
        <w:ind w:firstLine="420" w:firstLineChars="200"/>
        <w:rPr>
          <w:rFonts w:hAnsi="宋体" w:cs="宋体"/>
          <w:color w:val="auto"/>
        </w:rPr>
      </w:pPr>
      <w:r>
        <w:rPr>
          <w:rFonts w:hint="eastAsia" w:hAnsi="宋体" w:cs="宋体"/>
          <w:color w:val="auto"/>
        </w:rPr>
        <w:t>投诉电话：0574-89388042</w:t>
      </w:r>
    </w:p>
    <w:p>
      <w:pPr>
        <w:pStyle w:val="2"/>
        <w:rPr>
          <w:color w:val="auto"/>
        </w:rPr>
      </w:pPr>
    </w:p>
    <w:p>
      <w:pPr>
        <w:ind w:firstLine="420" w:firstLineChars="200"/>
        <w:rPr>
          <w:rFonts w:ascii="宋体" w:hAnsi="宋体" w:cs="宋体"/>
          <w:color w:val="auto"/>
        </w:rPr>
      </w:pPr>
      <w:r>
        <w:rPr>
          <w:rFonts w:hint="eastAsia" w:ascii="宋体" w:hAnsi="宋体" w:cs="宋体"/>
          <w:color w:val="auto"/>
        </w:rPr>
        <w:t>若对项目采购电子交易系统操作有疑问，可登录政采云（https：//www.zcygov.cn/），点击右侧咨询小采，获取采小蜜智能服务管家帮助，或拨打政采云服务热线95763获取热线服务帮助。        </w:t>
      </w:r>
    </w:p>
    <w:p>
      <w:pPr>
        <w:ind w:firstLine="420" w:firstLineChars="200"/>
        <w:rPr>
          <w:rFonts w:ascii="宋体" w:hAnsi="宋体" w:cs="宋体"/>
          <w:color w:val="auto"/>
        </w:rPr>
        <w:sectPr>
          <w:footerReference r:id="rId7" w:type="default"/>
          <w:pgSz w:w="11907" w:h="16840"/>
          <w:pgMar w:top="1440" w:right="1800" w:bottom="1440" w:left="1800" w:header="720" w:footer="720" w:gutter="0"/>
          <w:cols w:space="720" w:num="1"/>
          <w:docGrid w:linePitch="285" w:charSpace="0"/>
        </w:sectPr>
      </w:pPr>
      <w:r>
        <w:rPr>
          <w:rFonts w:hint="eastAsia" w:ascii="宋体" w:hAnsi="宋体" w:cs="宋体"/>
          <w:color w:val="auto"/>
        </w:rPr>
        <w:t>CA问题服务电话（人工）：汇信CA 400-888-4636；天谷CA 400-087-8198</w:t>
      </w:r>
    </w:p>
    <w:p>
      <w:pPr>
        <w:pStyle w:val="4"/>
        <w:spacing w:before="0" w:after="0" w:line="360" w:lineRule="auto"/>
        <w:jc w:val="center"/>
        <w:rPr>
          <w:rFonts w:ascii="宋体" w:hAnsi="宋体" w:cs="宋体"/>
          <w:color w:val="auto"/>
          <w:sz w:val="30"/>
        </w:rPr>
      </w:pPr>
      <w:bookmarkStart w:id="12" w:name="_Toc79395433"/>
      <w:bookmarkStart w:id="13" w:name="_Toc27853"/>
      <w:bookmarkStart w:id="14" w:name="_Toc460416585"/>
      <w:bookmarkStart w:id="15" w:name="_Toc19221"/>
      <w:bookmarkStart w:id="16" w:name="_Toc13003"/>
      <w:bookmarkStart w:id="17" w:name="_Toc14757"/>
      <w:bookmarkStart w:id="18" w:name="_Toc460857891"/>
      <w:bookmarkStart w:id="19" w:name="_Toc15970"/>
      <w:bookmarkStart w:id="20" w:name="_Toc5076"/>
      <w:r>
        <w:rPr>
          <w:rFonts w:hint="eastAsia" w:ascii="宋体" w:hAnsi="宋体" w:cs="宋体"/>
          <w:color w:val="auto"/>
          <w:sz w:val="30"/>
        </w:rPr>
        <w:t>第二章  采购需求</w:t>
      </w:r>
      <w:bookmarkEnd w:id="12"/>
      <w:bookmarkEnd w:id="13"/>
      <w:bookmarkEnd w:id="14"/>
      <w:bookmarkEnd w:id="15"/>
      <w:bookmarkEnd w:id="16"/>
      <w:bookmarkEnd w:id="17"/>
      <w:bookmarkEnd w:id="18"/>
      <w:bookmarkEnd w:id="19"/>
      <w:bookmarkEnd w:id="20"/>
    </w:p>
    <w:p>
      <w:pPr>
        <w:spacing w:line="360" w:lineRule="auto"/>
        <w:rPr>
          <w:rFonts w:ascii="宋体" w:hAnsi="宋体" w:cs="宋体"/>
          <w:b/>
          <w:bCs/>
          <w:color w:val="auto"/>
          <w:szCs w:val="21"/>
        </w:rPr>
      </w:pPr>
      <w:bookmarkStart w:id="21" w:name="_Toc11761"/>
      <w:bookmarkStart w:id="22" w:name="_Toc79395437"/>
      <w:bookmarkStart w:id="23" w:name="_Toc10729"/>
      <w:bookmarkStart w:id="24" w:name="_Toc9634"/>
      <w:bookmarkStart w:id="25" w:name="_Toc14945"/>
      <w:bookmarkStart w:id="26" w:name="_Toc4069"/>
      <w:r>
        <w:rPr>
          <w:rFonts w:hint="eastAsia" w:ascii="宋体" w:hAnsi="宋体" w:cs="宋体"/>
          <w:b/>
          <w:bCs/>
          <w:color w:val="auto"/>
          <w:szCs w:val="21"/>
        </w:rPr>
        <w:t>一、 采购内容一览表</w:t>
      </w:r>
    </w:p>
    <w:tbl>
      <w:tblPr>
        <w:tblStyle w:val="39"/>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770"/>
        <w:gridCol w:w="2765"/>
        <w:gridCol w:w="1768"/>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标项号</w:t>
            </w:r>
          </w:p>
        </w:tc>
        <w:tc>
          <w:tcPr>
            <w:tcW w:w="17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标项名称</w:t>
            </w:r>
          </w:p>
        </w:tc>
        <w:tc>
          <w:tcPr>
            <w:tcW w:w="27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服务范围</w:t>
            </w: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单价限价</w:t>
            </w:r>
          </w:p>
        </w:tc>
        <w:tc>
          <w:tcPr>
            <w:tcW w:w="15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一</w:t>
            </w:r>
          </w:p>
        </w:tc>
        <w:tc>
          <w:tcPr>
            <w:tcW w:w="17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宁波市第三次全国土壤普查剖面样点调查采集</w:t>
            </w:r>
          </w:p>
        </w:tc>
        <w:tc>
          <w:tcPr>
            <w:tcW w:w="27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海曙区、江北区、镇海区、北仑区、余姚市、慈溪市、奉化区、宁海县、象山县，共343样点</w:t>
            </w: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每个样点20040元</w:t>
            </w:r>
          </w:p>
        </w:tc>
        <w:tc>
          <w:tcPr>
            <w:tcW w:w="15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6873720</w:t>
            </w:r>
          </w:p>
        </w:tc>
      </w:tr>
    </w:tbl>
    <w:p>
      <w:pPr>
        <w:spacing w:line="360" w:lineRule="auto"/>
        <w:rPr>
          <w:rFonts w:ascii="宋体" w:hAnsi="宋体" w:cs="宋体"/>
          <w:color w:val="auto"/>
          <w:szCs w:val="21"/>
          <w:highlight w:val="none"/>
        </w:rPr>
      </w:pPr>
      <w:r>
        <w:rPr>
          <w:rFonts w:hint="eastAsia" w:ascii="宋体" w:hAnsi="宋体" w:cs="宋体"/>
          <w:color w:val="auto"/>
          <w:szCs w:val="21"/>
          <w:highlight w:val="none"/>
        </w:rPr>
        <w:t>备注：</w:t>
      </w:r>
      <w:r>
        <w:rPr>
          <w:rFonts w:hint="eastAsia" w:ascii="宋体" w:hAnsi="宋体" w:cs="宋体"/>
          <w:color w:val="auto"/>
          <w:szCs w:val="21"/>
          <w:highlight w:val="none"/>
          <w:lang w:val="en-US" w:eastAsia="zh-CN"/>
        </w:rPr>
        <w:t>本项目中标</w:t>
      </w:r>
      <w:r>
        <w:rPr>
          <w:rFonts w:hint="eastAsia" w:ascii="宋体" w:hAnsi="宋体" w:cs="宋体"/>
          <w:color w:val="auto"/>
          <w:szCs w:val="21"/>
          <w:highlight w:val="none"/>
        </w:rPr>
        <w:t>3家</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综合得分排名第一的供应商分配工作片区1：</w:t>
      </w:r>
      <w:r>
        <w:rPr>
          <w:rFonts w:hint="eastAsia" w:ascii="宋体" w:hAnsi="宋体" w:cs="宋体"/>
          <w:color w:val="auto"/>
          <w:szCs w:val="21"/>
          <w:highlight w:val="none"/>
        </w:rPr>
        <w:t>奉化、海曙、北仑116个样点</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综合得分排名第二的供应商分配工作片区2</w:t>
      </w:r>
      <w:r>
        <w:rPr>
          <w:rFonts w:hint="eastAsia" w:ascii="宋体" w:hAnsi="宋体" w:cs="宋体"/>
          <w:color w:val="auto"/>
          <w:szCs w:val="21"/>
          <w:highlight w:val="none"/>
        </w:rPr>
        <w:t>：宁海、象山、镇海114个</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综合得分排名第三的供应商分配工作片区3</w:t>
      </w:r>
      <w:r>
        <w:rPr>
          <w:rFonts w:hint="eastAsia" w:ascii="宋体" w:hAnsi="宋体" w:cs="宋体"/>
          <w:color w:val="auto"/>
          <w:szCs w:val="21"/>
          <w:highlight w:val="none"/>
        </w:rPr>
        <w:t>：余姚、慈溪、江北113个。</w:t>
      </w:r>
    </w:p>
    <w:p>
      <w:pPr>
        <w:spacing w:line="360" w:lineRule="auto"/>
        <w:rPr>
          <w:rFonts w:ascii="宋体" w:hAnsi="宋体" w:cs="宋体"/>
          <w:b/>
          <w:bCs/>
          <w:color w:val="auto"/>
          <w:szCs w:val="21"/>
        </w:rPr>
      </w:pPr>
      <w:r>
        <w:rPr>
          <w:rFonts w:hint="eastAsia" w:ascii="宋体" w:hAnsi="宋体" w:cs="宋体"/>
          <w:b/>
          <w:bCs/>
          <w:color w:val="auto"/>
          <w:szCs w:val="21"/>
        </w:rPr>
        <w:t>二、具体内容及要求</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剖面样点调查采样，主要包括剖面点位立地条件调查、剖面设置和挖掘、土壤发生层次划分、土壤剖面形态观察与记载、土壤类型野外判断与评述、各发生层样品采集、分段标本采集、整段标本采集，以及土壤大团聚体样采集、容重样品采集、野外速测、滩涂及盐碱地水样采集等。预计全市剖面样点数约为343个。</w:t>
      </w:r>
    </w:p>
    <w:p>
      <w:pPr>
        <w:widowControl/>
        <w:spacing w:line="360" w:lineRule="auto"/>
        <w:ind w:firstLine="422" w:firstLineChars="200"/>
        <w:jc w:val="left"/>
        <w:rPr>
          <w:rFonts w:ascii="宋体" w:hAnsi="宋体" w:cs="宋体"/>
          <w:b/>
          <w:bCs/>
          <w:color w:val="auto"/>
          <w:szCs w:val="21"/>
        </w:rPr>
      </w:pPr>
      <w:r>
        <w:rPr>
          <w:rFonts w:hint="eastAsia" w:ascii="宋体" w:hAnsi="宋体" w:cs="宋体"/>
          <w:b/>
          <w:bCs/>
          <w:color w:val="auto"/>
          <w:szCs w:val="21"/>
        </w:rPr>
        <w:t>工作内容和要求：</w:t>
      </w:r>
    </w:p>
    <w:p>
      <w:pPr>
        <w:spacing w:line="360" w:lineRule="auto"/>
        <w:rPr>
          <w:rFonts w:ascii="宋体" w:hAnsi="宋体" w:cs="宋体"/>
          <w:color w:val="auto"/>
          <w:szCs w:val="21"/>
        </w:rPr>
      </w:pPr>
      <w:r>
        <w:rPr>
          <w:rFonts w:hint="eastAsia" w:ascii="宋体" w:hAnsi="宋体" w:cs="宋体"/>
          <w:color w:val="auto"/>
          <w:szCs w:val="21"/>
        </w:rPr>
        <w:t>（一）调查与采样准备与任务认领</w:t>
      </w:r>
    </w:p>
    <w:p>
      <w:pPr>
        <w:numPr>
          <w:ilvl w:val="0"/>
          <w:numId w:val="9"/>
        </w:numPr>
        <w:spacing w:line="360" w:lineRule="auto"/>
        <w:rPr>
          <w:rFonts w:ascii="宋体" w:hAnsi="宋体" w:cs="宋体"/>
          <w:color w:val="auto"/>
          <w:szCs w:val="21"/>
        </w:rPr>
      </w:pPr>
      <w:r>
        <w:rPr>
          <w:rFonts w:hint="eastAsia" w:ascii="宋体" w:hAnsi="宋体" w:cs="宋体"/>
          <w:color w:val="auto"/>
          <w:szCs w:val="21"/>
        </w:rPr>
        <w:t>根据全国第三次土壤普查相关文件和技术规范要求，根据采购人实际情况，编制野外调查实施方案。</w:t>
      </w:r>
    </w:p>
    <w:p>
      <w:pPr>
        <w:numPr>
          <w:ilvl w:val="0"/>
          <w:numId w:val="9"/>
        </w:numPr>
        <w:spacing w:line="360" w:lineRule="auto"/>
        <w:rPr>
          <w:rFonts w:ascii="宋体" w:hAnsi="宋体" w:cs="宋体"/>
          <w:color w:val="auto"/>
          <w:szCs w:val="21"/>
        </w:rPr>
      </w:pPr>
      <w:r>
        <w:rPr>
          <w:rFonts w:hint="eastAsia" w:ascii="宋体" w:hAnsi="宋体" w:cs="宋体"/>
          <w:color w:val="auto"/>
          <w:szCs w:val="21"/>
        </w:rPr>
        <w:t>外业调查与采样机构应按照《第三次全国土壤普查外业调查与采样技术规范》(修订版)、《浙江省第三次全国土壤普查试点工作方案》要求，准备野外调查相关资料、信息化终端、摄录装备、采样工具、样袋、速测仪器、辅助材料、防护用具等。通过专用手持终端APP完成任务认领，开展现场样点位置确认和校核工作。</w:t>
      </w:r>
    </w:p>
    <w:p>
      <w:pPr>
        <w:numPr>
          <w:ilvl w:val="0"/>
          <w:numId w:val="9"/>
        </w:numPr>
        <w:spacing w:line="360" w:lineRule="auto"/>
        <w:rPr>
          <w:rFonts w:ascii="宋体" w:hAnsi="宋体" w:cs="宋体"/>
          <w:color w:val="auto"/>
          <w:szCs w:val="21"/>
        </w:rPr>
      </w:pPr>
      <w:r>
        <w:rPr>
          <w:rFonts w:hint="eastAsia" w:ascii="宋体" w:hAnsi="宋体" w:cs="宋体"/>
          <w:color w:val="auto"/>
          <w:szCs w:val="21"/>
        </w:rPr>
        <w:t>考虑到不同土壤、不同土地利用方式等因素对土壤样品采集及理化数据的影响，应结合本地区土壤的实际差异性，因地制宜地协调调查工作，确定合理采样时间。</w:t>
      </w:r>
    </w:p>
    <w:p>
      <w:pPr>
        <w:spacing w:line="360" w:lineRule="auto"/>
        <w:rPr>
          <w:rFonts w:ascii="宋体" w:hAnsi="宋体" w:cs="宋体"/>
          <w:color w:val="auto"/>
          <w:szCs w:val="21"/>
        </w:rPr>
      </w:pPr>
      <w:r>
        <w:rPr>
          <w:rFonts w:hint="eastAsia" w:ascii="宋体" w:hAnsi="宋体" w:cs="宋体"/>
          <w:color w:val="auto"/>
          <w:szCs w:val="21"/>
        </w:rPr>
        <w:t>（二）剖面土壤调查</w:t>
      </w:r>
    </w:p>
    <w:p>
      <w:pPr>
        <w:numPr>
          <w:ilvl w:val="0"/>
          <w:numId w:val="10"/>
        </w:numPr>
        <w:spacing w:line="360" w:lineRule="auto"/>
        <w:rPr>
          <w:rFonts w:ascii="宋体" w:hAnsi="宋体" w:cs="宋体"/>
          <w:color w:val="auto"/>
          <w:szCs w:val="21"/>
        </w:rPr>
      </w:pPr>
      <w:r>
        <w:rPr>
          <w:rFonts w:hint="eastAsia" w:ascii="宋体" w:hAnsi="宋体" w:cs="宋体"/>
          <w:color w:val="auto"/>
          <w:szCs w:val="21"/>
        </w:rPr>
        <w:t>按照《第三次全国土壤普查技术规程》(修订版)、《第三次全国土壤普查外业调查与采样技术规范》(修订版)、《浙江省第三次全国土壤普查试点工作方案》等执行。调查信息包括表层样点的空间位置、地表利用、成土环境等自然条件和人为影响的背景信息。每个调查点位均应采集立地条件信息。</w:t>
      </w:r>
    </w:p>
    <w:p>
      <w:pPr>
        <w:numPr>
          <w:ilvl w:val="0"/>
          <w:numId w:val="10"/>
        </w:numPr>
        <w:spacing w:line="360" w:lineRule="auto"/>
        <w:rPr>
          <w:rFonts w:ascii="宋体" w:hAnsi="宋体" w:cs="宋体"/>
          <w:color w:val="auto"/>
          <w:szCs w:val="21"/>
        </w:rPr>
      </w:pPr>
      <w:r>
        <w:rPr>
          <w:rFonts w:hint="eastAsia" w:ascii="宋体" w:hAnsi="宋体" w:cs="宋体"/>
          <w:color w:val="auto"/>
          <w:szCs w:val="21"/>
        </w:rPr>
        <w:t>土壤立地条件普查：重点普查土壤野外调查采样点所在区域的地形地貌、植被类型、气候、水文地质等情况。各个样点部分项目均已赋值，野外调查时需进行校核确认，修正明显错误。农业生产管理类型调查需要填写信息并上传。各样点需要拍摄东南西北四个方向远景、近景景观照片，着重体现校点地理地貌、植被景观、土地利用类型、地表特征、农田设施等特征，同时，还需要拍摄剖面照片，要求能直观地反映土壤的发生层及其形态学特征，应当清晰、真实、完整地呈现土壤形态学描述特征。</w:t>
      </w:r>
    </w:p>
    <w:p>
      <w:pPr>
        <w:numPr>
          <w:ilvl w:val="0"/>
          <w:numId w:val="10"/>
        </w:numPr>
        <w:spacing w:line="360" w:lineRule="auto"/>
        <w:rPr>
          <w:rFonts w:ascii="宋体" w:hAnsi="宋体" w:cs="宋体"/>
          <w:color w:val="auto"/>
          <w:szCs w:val="21"/>
        </w:rPr>
      </w:pPr>
      <w:r>
        <w:rPr>
          <w:rFonts w:hint="eastAsia" w:ascii="宋体" w:hAnsi="宋体" w:cs="宋体"/>
          <w:color w:val="auto"/>
          <w:szCs w:val="21"/>
        </w:rPr>
        <w:t>土壤利用情况调查：结合样点采样，重点调查基础设施条件、种植制度、耕作方式、灌排设施情况、植物生长及作物产量水平等基础信息，肥料、农药、农膜等投入品使用情况，农业经营者开展土壤培肥改良、农作物秸秆还田等做法和经验。</w:t>
      </w:r>
    </w:p>
    <w:p>
      <w:pPr>
        <w:spacing w:line="360" w:lineRule="auto"/>
        <w:rPr>
          <w:rFonts w:ascii="宋体" w:hAnsi="宋体" w:cs="宋体"/>
          <w:color w:val="auto"/>
          <w:szCs w:val="21"/>
        </w:rPr>
      </w:pPr>
      <w:r>
        <w:rPr>
          <w:rFonts w:hint="eastAsia" w:ascii="宋体" w:hAnsi="宋体" w:cs="宋体"/>
          <w:color w:val="auto"/>
          <w:szCs w:val="21"/>
        </w:rPr>
        <w:t>（三）剖面挖掘</w:t>
      </w:r>
    </w:p>
    <w:p>
      <w:pPr>
        <w:spacing w:line="360" w:lineRule="auto"/>
        <w:ind w:firstLine="420" w:firstLineChars="200"/>
        <w:rPr>
          <w:rFonts w:ascii="宋体" w:hAnsi="宋体" w:cs="宋体"/>
          <w:color w:val="auto"/>
          <w:szCs w:val="21"/>
        </w:rPr>
      </w:pPr>
      <w:r>
        <w:rPr>
          <w:rFonts w:hint="eastAsia" w:ascii="宋体" w:hAnsi="宋体" w:cs="宋体"/>
          <w:color w:val="auto"/>
          <w:szCs w:val="21"/>
        </w:rPr>
        <w:t>按照《第三次全国土壤普查技术规程》(修订版)、《第三次全国土壤普查外业调查与采样技术规范》(修订版)、《浙江省第三次全国土壤普查试点工作方案》执行。通过专用手持终端APP，导航到达预设样点电子围栏范围内，以预设校点为中心在50M半径范围内确定采样点，要求剖面位置在所处田块、样区、景观单元中具有最大代表性。观察剖面的选取和挖掘过程中，一般不采集土壤样品，但要记述立地条件信息。剖面挖掘应遵循《第三次全国土壤普查外业调查与采样技术规范》(修订版)。挖掘标准剖面，拍摄样点剖面及全景照片（要求专业相机或4K像素以上全景一体机），划分命名土壤发生层，观察记载土壤剖面形态，土体性状，野外速测，土壤类型野外判断，土壤剖面野外评述，记录发生层形态学特征。</w:t>
      </w:r>
    </w:p>
    <w:p>
      <w:pPr>
        <w:spacing w:line="360" w:lineRule="auto"/>
        <w:rPr>
          <w:rFonts w:ascii="宋体" w:hAnsi="宋体" w:cs="宋体"/>
          <w:color w:val="auto"/>
          <w:szCs w:val="21"/>
        </w:rPr>
      </w:pPr>
      <w:r>
        <w:rPr>
          <w:rFonts w:hint="eastAsia" w:ascii="宋体" w:hAnsi="宋体" w:cs="宋体"/>
          <w:color w:val="auto"/>
          <w:szCs w:val="21"/>
        </w:rPr>
        <w:t>（四）剖面点位土壤样品采集</w:t>
      </w:r>
    </w:p>
    <w:p>
      <w:pPr>
        <w:numPr>
          <w:ilvl w:val="0"/>
          <w:numId w:val="11"/>
        </w:numPr>
        <w:spacing w:line="360" w:lineRule="auto"/>
        <w:rPr>
          <w:rFonts w:ascii="宋体" w:hAnsi="宋体" w:cs="宋体"/>
          <w:color w:val="auto"/>
          <w:szCs w:val="21"/>
        </w:rPr>
      </w:pPr>
      <w:r>
        <w:rPr>
          <w:rFonts w:hint="eastAsia" w:ascii="宋体" w:hAnsi="宋体" w:cs="宋体"/>
          <w:color w:val="auto"/>
          <w:szCs w:val="21"/>
        </w:rPr>
        <w:t>剖面点位土壤样品采集包括采集各发生层土壤样品、剖面各发生层土壤容重样品、剖面表层土壤水稳性大团聚体样品、剖面整段标本样品和分段纸盒标本样品。盐碱地、滩涂地剖面样点需采集灌溉水样和浅层地下水样。</w:t>
      </w:r>
    </w:p>
    <w:p>
      <w:pPr>
        <w:numPr>
          <w:ilvl w:val="0"/>
          <w:numId w:val="11"/>
        </w:numPr>
        <w:spacing w:line="360" w:lineRule="auto"/>
        <w:rPr>
          <w:rFonts w:ascii="宋体" w:hAnsi="宋体" w:cs="宋体"/>
          <w:color w:val="auto"/>
          <w:szCs w:val="21"/>
        </w:rPr>
      </w:pPr>
      <w:r>
        <w:rPr>
          <w:rFonts w:hint="eastAsia" w:ascii="宋体" w:hAnsi="宋体" w:cs="宋体"/>
          <w:color w:val="auto"/>
          <w:szCs w:val="21"/>
        </w:rPr>
        <w:t>剖面点位土壤样品采集按照《第三次全国土壤普查技术规程》(修订版)、《第三次全国土壤普查外业调查与采样技术规范》(修订版)、《浙江省第三次全国土壤普查试点工作方案》规定的方法执行。</w:t>
      </w:r>
    </w:p>
    <w:p>
      <w:pPr>
        <w:numPr>
          <w:ilvl w:val="0"/>
          <w:numId w:val="11"/>
        </w:numPr>
        <w:spacing w:line="360" w:lineRule="auto"/>
        <w:rPr>
          <w:rFonts w:ascii="宋体" w:hAnsi="宋体" w:cs="宋体"/>
          <w:color w:val="auto"/>
          <w:szCs w:val="21"/>
        </w:rPr>
      </w:pPr>
      <w:r>
        <w:rPr>
          <w:rFonts w:hint="eastAsia" w:ascii="宋体" w:hAnsi="宋体" w:cs="宋体"/>
          <w:color w:val="auto"/>
          <w:szCs w:val="21"/>
        </w:rPr>
        <w:t>发生层样品采集，在每个发生层内部，水平方向上均匀采样，在垂直角度上全层采样，每个发生层采集土壤样品重量为4kg（干重计）；设为检测平行样的样点，采集土壤剖面“表层”的土壤样品不少于6kg（干重计）。</w:t>
      </w:r>
    </w:p>
    <w:p>
      <w:pPr>
        <w:numPr>
          <w:ilvl w:val="0"/>
          <w:numId w:val="11"/>
        </w:numPr>
        <w:spacing w:line="360" w:lineRule="auto"/>
        <w:rPr>
          <w:rFonts w:ascii="宋体" w:hAnsi="宋体" w:cs="宋体"/>
          <w:color w:val="auto"/>
          <w:szCs w:val="21"/>
        </w:rPr>
      </w:pPr>
      <w:r>
        <w:rPr>
          <w:rFonts w:hint="eastAsia" w:ascii="宋体" w:hAnsi="宋体" w:cs="宋体"/>
          <w:color w:val="auto"/>
          <w:szCs w:val="21"/>
        </w:rPr>
        <w:t>纸盒标本、整段标本土壤样品采集按照《第三次全国土壤普查外业调查与采样技术规范》(修订版)，每个剖面点位均需按任务安排采集足够的样品数。</w:t>
      </w:r>
    </w:p>
    <w:p>
      <w:pPr>
        <w:numPr>
          <w:ilvl w:val="0"/>
          <w:numId w:val="11"/>
        </w:numPr>
        <w:spacing w:line="360" w:lineRule="auto"/>
        <w:rPr>
          <w:rFonts w:ascii="宋体" w:hAnsi="宋体" w:cs="宋体"/>
          <w:color w:val="auto"/>
          <w:szCs w:val="21"/>
        </w:rPr>
      </w:pPr>
      <w:r>
        <w:rPr>
          <w:rFonts w:hint="eastAsia" w:ascii="宋体" w:hAnsi="宋体" w:cs="宋体"/>
          <w:color w:val="auto"/>
          <w:szCs w:val="21"/>
        </w:rPr>
        <w:t>剖面土壤容重样品采集，每个发生层均需采集土壤容重样品；土壤水稳性大团聚体样品只采集剖面“表层”土壤。</w:t>
      </w:r>
    </w:p>
    <w:p>
      <w:pPr>
        <w:numPr>
          <w:ilvl w:val="0"/>
          <w:numId w:val="11"/>
        </w:numPr>
        <w:spacing w:line="360" w:lineRule="auto"/>
        <w:rPr>
          <w:rFonts w:ascii="宋体" w:hAnsi="宋体" w:cs="宋体"/>
          <w:color w:val="auto"/>
          <w:szCs w:val="21"/>
        </w:rPr>
      </w:pPr>
      <w:r>
        <w:rPr>
          <w:rFonts w:hint="eastAsia" w:ascii="宋体" w:hAnsi="宋体" w:cs="宋体"/>
          <w:color w:val="auto"/>
          <w:szCs w:val="21"/>
        </w:rPr>
        <w:t>土壤水稳性大团聚体样品的采集、保存和运输，要保证样品的原状特征。整段和纸盒标本包装需要保证标本在运输过程中的完整性，避免运输中发生严重的挤压和颠簸，造成原状样本的破坏。</w:t>
      </w:r>
    </w:p>
    <w:p>
      <w:pPr>
        <w:pStyle w:val="11"/>
        <w:spacing w:line="360" w:lineRule="auto"/>
        <w:ind w:firstLine="0"/>
        <w:rPr>
          <w:rFonts w:ascii="宋体" w:hAnsi="宋体" w:cs="宋体"/>
          <w:color w:val="auto"/>
          <w:szCs w:val="21"/>
        </w:rPr>
      </w:pPr>
      <w:r>
        <w:rPr>
          <w:rFonts w:hint="eastAsia" w:ascii="宋体" w:hAnsi="宋体" w:cs="宋体"/>
          <w:color w:val="auto"/>
          <w:szCs w:val="21"/>
        </w:rPr>
        <w:t>（五）配合土壤普查办做好其他土壤普查相关任务。</w:t>
      </w:r>
    </w:p>
    <w:p>
      <w:pPr>
        <w:spacing w:line="360" w:lineRule="auto"/>
        <w:rPr>
          <w:rFonts w:ascii="宋体" w:hAnsi="宋体" w:cs="宋体"/>
          <w:b/>
          <w:bCs/>
          <w:color w:val="auto"/>
          <w:szCs w:val="21"/>
        </w:rPr>
      </w:pPr>
      <w:r>
        <w:rPr>
          <w:rFonts w:hint="eastAsia" w:ascii="宋体" w:hAnsi="宋体" w:cs="宋体"/>
          <w:b/>
          <w:bCs/>
          <w:color w:val="auto"/>
          <w:szCs w:val="21"/>
        </w:rPr>
        <w:t xml:space="preserve">    三、服务要求</w:t>
      </w:r>
    </w:p>
    <w:p>
      <w:pPr>
        <w:spacing w:line="36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一）组建专家技术团队成立项目组，具备与开展当地土壤普查工作任务需求相匹配的专业技术人员和技术领队数量，承担技术领队职责的人员须具有土壤学相关专业(含土壤农化、农业资源与环境、地质学、地球化学、水工环地质、植物营养、环境工程等)背景，采样技术领队应获得全国土壤普查办颁发的土壤剖面调查培训合格证书。。</w:t>
      </w:r>
    </w:p>
    <w:p>
      <w:pPr>
        <w:spacing w:line="360" w:lineRule="auto"/>
        <w:ind w:firstLine="420" w:firstLineChars="200"/>
        <w:rPr>
          <w:rFonts w:ascii="宋体" w:hAnsi="宋体" w:cs="宋体"/>
          <w:color w:val="auto"/>
          <w:szCs w:val="21"/>
        </w:rPr>
      </w:pPr>
      <w:r>
        <w:rPr>
          <w:rFonts w:hint="eastAsia" w:ascii="宋体" w:hAnsi="宋体" w:cs="宋体"/>
          <w:color w:val="auto"/>
          <w:szCs w:val="21"/>
        </w:rPr>
        <w:t>（二）2023年12月31日前完成服务。</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四、项目质量及验收</w:t>
      </w:r>
    </w:p>
    <w:p>
      <w:pPr>
        <w:pStyle w:val="11"/>
        <w:spacing w:line="360" w:lineRule="auto"/>
        <w:ind w:left="420" w:firstLine="0"/>
        <w:rPr>
          <w:rFonts w:ascii="宋体" w:hAnsi="宋体" w:cs="宋体"/>
          <w:color w:val="auto"/>
          <w:szCs w:val="21"/>
        </w:rPr>
      </w:pPr>
      <w:r>
        <w:rPr>
          <w:rFonts w:hint="eastAsia" w:ascii="宋体" w:hAnsi="宋体" w:cs="宋体"/>
          <w:color w:val="auto"/>
          <w:szCs w:val="21"/>
        </w:rPr>
        <w:t>（一）供应商必须按照《第三次全国土壤普查外业调查与采样技术规范》(修订版)、《浙江省第三次全国土壤普查试点工作方案》、《第三次全国土壤普查技术规程》(修订版)等开展和提供服务成果。</w:t>
      </w:r>
    </w:p>
    <w:p>
      <w:pPr>
        <w:pStyle w:val="11"/>
        <w:spacing w:line="360" w:lineRule="auto"/>
        <w:ind w:left="420" w:firstLine="0"/>
        <w:rPr>
          <w:rFonts w:ascii="宋体" w:hAnsi="宋体" w:cs="宋体"/>
          <w:color w:val="auto"/>
          <w:szCs w:val="21"/>
        </w:rPr>
      </w:pPr>
      <w:r>
        <w:rPr>
          <w:rFonts w:hint="eastAsia" w:ascii="宋体" w:hAnsi="宋体" w:cs="宋体"/>
          <w:color w:val="auto"/>
          <w:szCs w:val="21"/>
        </w:rPr>
        <w:t>（二）供应商应建立内部质量控制机制，每个外业调查与采样队的技术领队同时担任质量检查员，外业调查与采样队通过“电子围栏”方式落实采样点位、规范采样过程、明确样品标识等。采样信息自查率100%，重点对偏移“电子围栏”的点位信息、立地条件调查信息、表层混样方式、剖面发生层划分(包括代号)与发生层性状描述、土壤分类及采集样品的重量进行自查。</w:t>
      </w:r>
    </w:p>
    <w:p>
      <w:pPr>
        <w:widowControl/>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（三）采购人通过质量检查等方式对供应商的服务和成果进行监督，按照招标文件要求、中标人的投标文件（承诺）及签订的合同约定标准进行验收。</w:t>
      </w:r>
    </w:p>
    <w:p>
      <w:pPr>
        <w:spacing w:line="360" w:lineRule="auto"/>
        <w:rPr>
          <w:rFonts w:ascii="宋体" w:hAnsi="宋体" w:cs="宋体"/>
          <w:b/>
          <w:bCs/>
          <w:color w:val="auto"/>
          <w:szCs w:val="21"/>
        </w:rPr>
      </w:pPr>
      <w:r>
        <w:rPr>
          <w:rFonts w:hint="eastAsia" w:ascii="宋体" w:hAnsi="宋体" w:cs="宋体"/>
          <w:b/>
          <w:bCs/>
          <w:color w:val="auto"/>
          <w:szCs w:val="21"/>
        </w:rPr>
        <w:t xml:space="preserve">    五、费用结算</w:t>
      </w:r>
    </w:p>
    <w:p>
      <w:pPr>
        <w:spacing w:line="360" w:lineRule="auto"/>
        <w:ind w:firstLine="420" w:firstLineChars="200"/>
        <w:rPr>
          <w:rFonts w:ascii="宋体" w:hAnsi="宋体" w:cs="宋体"/>
          <w:color w:val="auto"/>
          <w:szCs w:val="21"/>
        </w:rPr>
      </w:pPr>
      <w:r>
        <w:rPr>
          <w:rFonts w:hint="eastAsia" w:ascii="宋体" w:hAnsi="宋体" w:cs="宋体"/>
          <w:color w:val="auto"/>
          <w:szCs w:val="21"/>
        </w:rPr>
        <w:t>合同生效后，采购人在收到供应商出具的合法票据后7个工作日内支付合同价40%；项目验收合格后，采购人在收到供应商出具的合法票据后7个工作日支付剩余款项。</w:t>
      </w:r>
    </w:p>
    <w:p>
      <w:pPr>
        <w:adjustRightInd w:val="0"/>
        <w:spacing w:line="360" w:lineRule="auto"/>
        <w:ind w:left="420" w:firstLine="420" w:firstLineChars="200"/>
        <w:jc w:val="center"/>
        <w:textAlignment w:val="baseline"/>
        <w:outlineLvl w:val="0"/>
        <w:rPr>
          <w:rFonts w:ascii="宋体" w:hAnsi="宋体" w:cs="宋体"/>
          <w:b/>
          <w:bCs/>
          <w:color w:val="auto"/>
          <w:kern w:val="44"/>
          <w:sz w:val="30"/>
          <w:szCs w:val="44"/>
        </w:rPr>
      </w:pPr>
      <w:r>
        <w:rPr>
          <w:rFonts w:hint="eastAsia" w:ascii="宋体" w:hAnsi="宋体" w:cs="宋体"/>
          <w:color w:val="auto"/>
          <w:szCs w:val="21"/>
        </w:rPr>
        <w:br w:type="page"/>
      </w:r>
      <w:bookmarkStart w:id="27" w:name="_Toc20162"/>
      <w:r>
        <w:rPr>
          <w:rFonts w:hint="eastAsia" w:ascii="宋体" w:hAnsi="宋体" w:cs="宋体"/>
          <w:b/>
          <w:bCs/>
          <w:color w:val="auto"/>
          <w:kern w:val="44"/>
          <w:sz w:val="30"/>
          <w:szCs w:val="44"/>
        </w:rPr>
        <w:t>第三章  投标人须知</w:t>
      </w:r>
      <w:bookmarkEnd w:id="21"/>
      <w:bookmarkEnd w:id="22"/>
      <w:bookmarkEnd w:id="23"/>
      <w:bookmarkEnd w:id="24"/>
      <w:bookmarkEnd w:id="25"/>
      <w:bookmarkEnd w:id="26"/>
      <w:bookmarkEnd w:id="27"/>
    </w:p>
    <w:p>
      <w:pPr>
        <w:pStyle w:val="2"/>
        <w:rPr>
          <w:color w:val="auto"/>
        </w:rPr>
      </w:pPr>
    </w:p>
    <w:p>
      <w:pPr>
        <w:jc w:val="center"/>
        <w:rPr>
          <w:b/>
          <w:bCs/>
          <w:color w:val="auto"/>
        </w:rPr>
      </w:pPr>
      <w:r>
        <w:rPr>
          <w:rFonts w:hint="eastAsia"/>
          <w:b/>
          <w:bCs/>
          <w:color w:val="auto"/>
        </w:rPr>
        <w:t>前附表</w:t>
      </w:r>
    </w:p>
    <w:tbl>
      <w:tblPr>
        <w:tblStyle w:val="39"/>
        <w:tblW w:w="828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50"/>
        <w:gridCol w:w="743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9" w:hRule="atLeast"/>
          <w:tblHeader/>
        </w:trPr>
        <w:tc>
          <w:tcPr>
            <w:tcW w:w="850" w:type="dxa"/>
            <w:vAlign w:val="center"/>
          </w:tcPr>
          <w:p>
            <w:pPr>
              <w:snapToGrid w:val="0"/>
              <w:spacing w:line="400" w:lineRule="exact"/>
              <w:jc w:val="center"/>
              <w:rPr>
                <w:rFonts w:ascii="宋体" w:hAnsi="宋体" w:cs="宋体"/>
                <w:b/>
                <w:color w:val="auto"/>
                <w:szCs w:val="21"/>
              </w:rPr>
            </w:pPr>
            <w:bookmarkStart w:id="28" w:name="_Toc460416594"/>
            <w:bookmarkStart w:id="29" w:name="_Toc460857895"/>
            <w:r>
              <w:rPr>
                <w:rFonts w:hint="eastAsia" w:ascii="宋体" w:hAnsi="宋体" w:cs="宋体"/>
                <w:b/>
                <w:color w:val="auto"/>
                <w:szCs w:val="21"/>
              </w:rPr>
              <w:t>序  号</w:t>
            </w:r>
          </w:p>
        </w:tc>
        <w:tc>
          <w:tcPr>
            <w:tcW w:w="7437" w:type="dxa"/>
            <w:vAlign w:val="center"/>
          </w:tcPr>
          <w:p>
            <w:pPr>
              <w:snapToGrid w:val="0"/>
              <w:spacing w:line="400" w:lineRule="exact"/>
              <w:jc w:val="center"/>
              <w:rPr>
                <w:rFonts w:ascii="宋体" w:hAnsi="宋体" w:cs="宋体"/>
                <w:b/>
                <w:color w:val="auto"/>
                <w:szCs w:val="21"/>
              </w:rPr>
            </w:pPr>
            <w:r>
              <w:rPr>
                <w:rFonts w:hint="eastAsia" w:ascii="宋体" w:hAnsi="宋体" w:cs="宋体"/>
                <w:b/>
                <w:color w:val="auto"/>
                <w:szCs w:val="21"/>
              </w:rPr>
              <w:t>内容、要求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4" w:hRule="atLeast"/>
        </w:trPr>
        <w:tc>
          <w:tcPr>
            <w:tcW w:w="85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7437" w:type="dxa"/>
            <w:vAlign w:val="center"/>
          </w:tcPr>
          <w:p>
            <w:pPr>
              <w:tabs>
                <w:tab w:val="left" w:pos="105"/>
                <w:tab w:val="left" w:pos="735"/>
                <w:tab w:val="left" w:pos="945"/>
                <w:tab w:val="left" w:pos="3360"/>
              </w:tabs>
              <w:spacing w:line="360" w:lineRule="auto"/>
              <w:ind w:left="1050" w:hanging="1050" w:hangingChars="500"/>
              <w:jc w:val="left"/>
              <w:rPr>
                <w:rFonts w:ascii="宋体" w:hAnsi="宋体" w:cs="宋体"/>
                <w:color w:val="auto"/>
                <w:szCs w:val="21"/>
              </w:rPr>
            </w:pPr>
            <w:r>
              <w:rPr>
                <w:rFonts w:hint="eastAsia" w:ascii="宋体" w:hAnsi="宋体" w:cs="宋体"/>
                <w:color w:val="auto"/>
                <w:szCs w:val="21"/>
              </w:rPr>
              <w:t>项目名称：</w:t>
            </w:r>
            <w:r>
              <w:rPr>
                <w:rFonts w:hint="eastAsia" w:ascii="宋体" w:hAnsi="宋体" w:cs="宋体"/>
                <w:color w:val="auto"/>
                <w:kern w:val="0"/>
                <w:szCs w:val="21"/>
              </w:rPr>
              <w:t>宁波市第三次全国土壤普查剖面样点调查采集</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项目编号：2023GCZB0328G</w:t>
            </w:r>
          </w:p>
          <w:p>
            <w:pPr>
              <w:tabs>
                <w:tab w:val="left" w:pos="105"/>
                <w:tab w:val="left" w:pos="735"/>
                <w:tab w:val="left" w:pos="945"/>
                <w:tab w:val="left" w:pos="3360"/>
              </w:tabs>
              <w:spacing w:line="360" w:lineRule="auto"/>
              <w:jc w:val="left"/>
              <w:rPr>
                <w:rFonts w:ascii="宋体" w:hAnsi="宋体" w:cs="宋体"/>
                <w:color w:val="auto"/>
                <w:kern w:val="0"/>
                <w:szCs w:val="21"/>
              </w:rPr>
            </w:pPr>
            <w:r>
              <w:rPr>
                <w:rFonts w:hint="eastAsia" w:ascii="宋体" w:hAnsi="宋体" w:cs="宋体"/>
                <w:color w:val="auto"/>
                <w:szCs w:val="21"/>
              </w:rPr>
              <w:t>采购方式：公开招标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85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7437" w:type="dxa"/>
            <w:vAlign w:val="center"/>
          </w:tcPr>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采购人：宁波市农业农村局</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地址：宁波市海曙区中山西路618号</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项目联系人：曾老师</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项目联系方式：0574-89184267</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招标代理单位：宁波国采招标咨询有限公司</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地    址：宁波市鄞州区宁东路901号（宁波报业传媒大厦A座北楼5F南5-2） </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项目联系人（询问）：孟凤英、何频、梅棉棉</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项目联系方式（询问）：0574-88276973 18967806602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850" w:type="dxa"/>
            <w:vAlign w:val="center"/>
          </w:tcPr>
          <w:p>
            <w:pPr>
              <w:tabs>
                <w:tab w:val="left" w:pos="105"/>
                <w:tab w:val="left" w:pos="735"/>
                <w:tab w:val="left" w:pos="945"/>
                <w:tab w:val="left" w:pos="3360"/>
              </w:tabs>
              <w:spacing w:line="360" w:lineRule="auto"/>
              <w:jc w:val="left"/>
              <w:rPr>
                <w:color w:val="auto"/>
              </w:rPr>
            </w:pPr>
            <w:r>
              <w:rPr>
                <w:rFonts w:hint="eastAsia"/>
                <w:color w:val="auto"/>
              </w:rPr>
              <w:t>3</w:t>
            </w:r>
          </w:p>
        </w:tc>
        <w:tc>
          <w:tcPr>
            <w:tcW w:w="7437" w:type="dxa"/>
            <w:vAlign w:val="center"/>
          </w:tcPr>
          <w:p>
            <w:pPr>
              <w:tabs>
                <w:tab w:val="left" w:pos="105"/>
                <w:tab w:val="left" w:pos="735"/>
                <w:tab w:val="left" w:pos="945"/>
                <w:tab w:val="left" w:pos="3360"/>
              </w:tabs>
              <w:spacing w:line="360" w:lineRule="auto"/>
              <w:jc w:val="left"/>
              <w:rPr>
                <w:color w:val="auto"/>
              </w:rPr>
            </w:pPr>
            <w:r>
              <w:rPr>
                <w:rFonts w:hint="eastAsia"/>
                <w:color w:val="auto"/>
              </w:rPr>
              <w:t>投标报价及费用：</w:t>
            </w:r>
          </w:p>
          <w:p>
            <w:pPr>
              <w:tabs>
                <w:tab w:val="left" w:pos="105"/>
                <w:tab w:val="left" w:pos="735"/>
                <w:tab w:val="left" w:pos="945"/>
                <w:tab w:val="left" w:pos="3360"/>
              </w:tabs>
              <w:spacing w:line="360" w:lineRule="auto"/>
              <w:jc w:val="left"/>
              <w:rPr>
                <w:color w:val="auto"/>
              </w:rPr>
            </w:pPr>
            <w:r>
              <w:rPr>
                <w:rFonts w:hint="eastAsia"/>
                <w:color w:val="auto"/>
              </w:rPr>
              <w:t>1.本项目投标报价超过预算金额或最高限价的作无效标处理。</w:t>
            </w:r>
          </w:p>
          <w:p>
            <w:pPr>
              <w:tabs>
                <w:tab w:val="left" w:pos="105"/>
                <w:tab w:val="left" w:pos="735"/>
                <w:tab w:val="left" w:pos="945"/>
                <w:tab w:val="left" w:pos="3360"/>
              </w:tabs>
              <w:spacing w:line="360" w:lineRule="auto"/>
              <w:jc w:val="left"/>
              <w:rPr>
                <w:color w:val="auto"/>
              </w:rPr>
            </w:pPr>
            <w:r>
              <w:rPr>
                <w:rFonts w:hint="eastAsia"/>
                <w:color w:val="auto"/>
              </w:rPr>
              <w:t>2.投标报价：投标报价是履行合同的最终价格，包含但不限于为完成采购内容所发生的诸如仪器设备的使用费、交通及食宿费、人员费用、技术支持费、会务费、技术方案评审费、验收费、资料费、培训费等与工作内容相关费用以及保险费、风险费、管理费、税金、利润、税金、招标代理服务费等服务过程中可能涉及的及合同中明示或暗示的一切费用。</w:t>
            </w:r>
          </w:p>
          <w:p>
            <w:pPr>
              <w:tabs>
                <w:tab w:val="left" w:pos="105"/>
                <w:tab w:val="left" w:pos="735"/>
                <w:tab w:val="left" w:pos="945"/>
                <w:tab w:val="left" w:pos="3360"/>
              </w:tabs>
              <w:spacing w:line="360" w:lineRule="auto"/>
              <w:jc w:val="left"/>
              <w:rPr>
                <w:color w:val="auto"/>
              </w:rPr>
            </w:pPr>
            <w:r>
              <w:rPr>
                <w:rFonts w:hint="eastAsia"/>
                <w:color w:val="auto"/>
              </w:rPr>
              <w:t>3.不论投标结果如何，投标人均应自行承担所有与投标有关的全部费用。</w:t>
            </w:r>
          </w:p>
          <w:p>
            <w:pPr>
              <w:tabs>
                <w:tab w:val="left" w:pos="105"/>
                <w:tab w:val="left" w:pos="735"/>
                <w:tab w:val="left" w:pos="945"/>
                <w:tab w:val="left" w:pos="3360"/>
              </w:tabs>
              <w:spacing w:line="360" w:lineRule="auto"/>
              <w:jc w:val="left"/>
              <w:rPr>
                <w:color w:val="auto"/>
              </w:rPr>
            </w:pPr>
            <w:r>
              <w:rPr>
                <w:rFonts w:hint="eastAsia"/>
                <w:color w:val="auto"/>
              </w:rPr>
              <w:t>4.招标代理服务费的收取标准：</w:t>
            </w:r>
          </w:p>
          <w:p>
            <w:pPr>
              <w:tabs>
                <w:tab w:val="left" w:pos="105"/>
                <w:tab w:val="left" w:pos="735"/>
                <w:tab w:val="left" w:pos="945"/>
                <w:tab w:val="left" w:pos="3360"/>
              </w:tabs>
              <w:spacing w:line="360" w:lineRule="auto"/>
              <w:jc w:val="left"/>
              <w:rPr>
                <w:color w:val="auto"/>
              </w:rPr>
            </w:pPr>
            <w:r>
              <w:rPr>
                <w:rFonts w:hint="eastAsia"/>
                <w:color w:val="auto"/>
              </w:rPr>
              <w:t>本招标公司参照国家发改委发改办价格[2003]857号通知和原国家计委计价格[2002]1980号文件的规定的服务类招标费率标准，根据</w:t>
            </w:r>
            <w:r>
              <w:rPr>
                <w:rFonts w:hint="eastAsia"/>
                <w:color w:val="auto"/>
                <w:lang w:val="en-US" w:eastAsia="zh-CN"/>
              </w:rPr>
              <w:t>中标</w:t>
            </w:r>
            <w:r>
              <w:rPr>
                <w:rFonts w:hint="eastAsia"/>
                <w:color w:val="auto"/>
              </w:rPr>
              <w:t>金额计算招标代理费，由中标人在领取中标通知书前支付服务费。</w:t>
            </w:r>
          </w:p>
          <w:p>
            <w:pPr>
              <w:tabs>
                <w:tab w:val="left" w:pos="105"/>
                <w:tab w:val="left" w:pos="735"/>
                <w:tab w:val="left" w:pos="945"/>
                <w:tab w:val="left" w:pos="3360"/>
              </w:tabs>
              <w:spacing w:line="360" w:lineRule="auto"/>
              <w:jc w:val="left"/>
              <w:rPr>
                <w:color w:val="auto"/>
              </w:rPr>
            </w:pPr>
            <w:r>
              <w:rPr>
                <w:rFonts w:hint="eastAsia"/>
                <w:color w:val="auto"/>
              </w:rPr>
              <w:t>服务费汇入账户：</w:t>
            </w:r>
          </w:p>
          <w:p>
            <w:pPr>
              <w:tabs>
                <w:tab w:val="left" w:pos="105"/>
                <w:tab w:val="left" w:pos="735"/>
                <w:tab w:val="left" w:pos="945"/>
                <w:tab w:val="left" w:pos="3360"/>
              </w:tabs>
              <w:spacing w:line="360" w:lineRule="auto"/>
              <w:jc w:val="left"/>
              <w:rPr>
                <w:color w:val="auto"/>
              </w:rPr>
            </w:pPr>
            <w:r>
              <w:rPr>
                <w:rFonts w:hint="eastAsia"/>
                <w:color w:val="auto"/>
              </w:rPr>
              <w:t>户    名：宁波国采招标咨询有限公司</w:t>
            </w:r>
          </w:p>
          <w:p>
            <w:pPr>
              <w:tabs>
                <w:tab w:val="left" w:pos="105"/>
                <w:tab w:val="left" w:pos="735"/>
                <w:tab w:val="left" w:pos="945"/>
                <w:tab w:val="left" w:pos="3360"/>
              </w:tabs>
              <w:spacing w:line="360" w:lineRule="auto"/>
              <w:jc w:val="left"/>
              <w:rPr>
                <w:color w:val="auto"/>
              </w:rPr>
            </w:pPr>
            <w:r>
              <w:rPr>
                <w:rFonts w:hint="eastAsia"/>
                <w:color w:val="auto"/>
              </w:rPr>
              <w:t>开户银行： 杭州银行宁波分行营业部</w:t>
            </w:r>
          </w:p>
          <w:p>
            <w:pPr>
              <w:tabs>
                <w:tab w:val="left" w:pos="105"/>
                <w:tab w:val="left" w:pos="735"/>
                <w:tab w:val="left" w:pos="945"/>
                <w:tab w:val="left" w:pos="3360"/>
              </w:tabs>
              <w:spacing w:line="360" w:lineRule="auto"/>
              <w:jc w:val="left"/>
              <w:rPr>
                <w:color w:val="auto"/>
              </w:rPr>
            </w:pPr>
            <w:r>
              <w:rPr>
                <w:rFonts w:hint="eastAsia"/>
                <w:color w:val="auto"/>
              </w:rPr>
              <w:t>帐    号： 3302040160000911447</w:t>
            </w:r>
          </w:p>
          <w:p>
            <w:pPr>
              <w:tabs>
                <w:tab w:val="left" w:pos="105"/>
                <w:tab w:val="left" w:pos="735"/>
                <w:tab w:val="left" w:pos="945"/>
                <w:tab w:val="left" w:pos="3360"/>
              </w:tabs>
              <w:spacing w:line="360" w:lineRule="auto"/>
              <w:jc w:val="left"/>
              <w:rPr>
                <w:color w:val="auto"/>
              </w:rPr>
            </w:pPr>
            <w:r>
              <w:rPr>
                <w:rFonts w:hint="eastAsia"/>
                <w:color w:val="auto"/>
              </w:rPr>
              <w:t>中标人应当在采购代理机构发出中标通知书5个工作日内支付招标代理服务费。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3" w:hRule="atLeast"/>
        </w:trPr>
        <w:tc>
          <w:tcPr>
            <w:tcW w:w="850"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5</w:t>
            </w:r>
          </w:p>
        </w:tc>
        <w:tc>
          <w:tcPr>
            <w:tcW w:w="7437" w:type="dxa"/>
            <w:vAlign w:val="center"/>
          </w:tcPr>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1.付款方式：</w:t>
            </w:r>
          </w:p>
          <w:p>
            <w:pPr>
              <w:pStyle w:val="2"/>
              <w:ind w:firstLine="210" w:firstLineChars="100"/>
              <w:rPr>
                <w:color w:val="auto"/>
                <w:kern w:val="2"/>
                <w:sz w:val="21"/>
              </w:rPr>
            </w:pPr>
            <w:r>
              <w:rPr>
                <w:rFonts w:hint="eastAsia"/>
                <w:color w:val="auto"/>
                <w:kern w:val="2"/>
                <w:sz w:val="21"/>
              </w:rPr>
              <w:t>合同生效后，采购人在收到供应商出具的合法票据后7个工作日内支付合同价40%；项目验收合格后，采购人在收到供应商出具的合法票据后7个工作日支付剩余款项。</w:t>
            </w:r>
          </w:p>
          <w:p>
            <w:pPr>
              <w:tabs>
                <w:tab w:val="left" w:pos="105"/>
                <w:tab w:val="left" w:pos="735"/>
                <w:tab w:val="left" w:pos="945"/>
                <w:tab w:val="left" w:pos="3360"/>
              </w:tabs>
              <w:spacing w:line="360" w:lineRule="auto"/>
              <w:jc w:val="left"/>
              <w:rPr>
                <w:color w:val="auto"/>
              </w:rPr>
            </w:pPr>
            <w:r>
              <w:rPr>
                <w:rFonts w:hint="eastAsia"/>
                <w:color w:val="auto"/>
              </w:rPr>
              <w:t>2.投标保证金：无。</w:t>
            </w:r>
          </w:p>
          <w:p>
            <w:pPr>
              <w:tabs>
                <w:tab w:val="left" w:pos="105"/>
                <w:tab w:val="left" w:pos="735"/>
                <w:tab w:val="left" w:pos="945"/>
                <w:tab w:val="left" w:pos="3360"/>
              </w:tabs>
              <w:spacing w:line="360" w:lineRule="auto"/>
              <w:jc w:val="left"/>
              <w:rPr>
                <w:rFonts w:ascii="宋体" w:hAnsi="宋体" w:cs="宋体"/>
                <w:color w:val="auto"/>
              </w:rPr>
            </w:pPr>
            <w:r>
              <w:rPr>
                <w:rFonts w:hint="eastAsia"/>
                <w:color w:val="auto"/>
              </w:rPr>
              <w:t>3.履约保证金：无。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3" w:hRule="atLeast"/>
        </w:trPr>
        <w:tc>
          <w:tcPr>
            <w:tcW w:w="850"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6</w:t>
            </w:r>
          </w:p>
        </w:tc>
        <w:tc>
          <w:tcPr>
            <w:tcW w:w="7437" w:type="dxa"/>
            <w:vAlign w:val="center"/>
          </w:tcPr>
          <w:p>
            <w:pPr>
              <w:tabs>
                <w:tab w:val="left" w:pos="625"/>
              </w:tabs>
              <w:spacing w:line="400" w:lineRule="exact"/>
              <w:rPr>
                <w:rFonts w:ascii="宋体" w:hAnsi="宋体" w:cs="宋体"/>
                <w:color w:val="auto"/>
                <w:szCs w:val="21"/>
              </w:rPr>
            </w:pPr>
            <w:r>
              <w:rPr>
                <w:rFonts w:hint="eastAsia" w:ascii="宋体" w:hAnsi="宋体" w:cs="宋体"/>
                <w:color w:val="auto"/>
                <w:szCs w:val="21"/>
              </w:rPr>
              <w:t>评标办法：综合评分法。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8" w:hRule="atLeast"/>
        </w:trPr>
        <w:tc>
          <w:tcPr>
            <w:tcW w:w="850"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7</w:t>
            </w:r>
          </w:p>
        </w:tc>
        <w:tc>
          <w:tcPr>
            <w:tcW w:w="7437" w:type="dxa"/>
            <w:vAlign w:val="center"/>
          </w:tcPr>
          <w:p>
            <w:pPr>
              <w:autoSpaceDE w:val="0"/>
              <w:autoSpaceDN w:val="0"/>
              <w:spacing w:line="400" w:lineRule="exact"/>
              <w:textAlignment w:val="bottom"/>
              <w:rPr>
                <w:rFonts w:ascii="宋体" w:hAnsi="宋体" w:cs="宋体"/>
                <w:color w:val="auto"/>
                <w:szCs w:val="21"/>
              </w:rPr>
            </w:pPr>
            <w:r>
              <w:rPr>
                <w:rFonts w:hint="eastAsia" w:ascii="宋体" w:hAnsi="宋体" w:cs="宋体"/>
                <w:color w:val="auto"/>
              </w:rPr>
              <w:t>信息公告媒体：浙江政府采购网、宁波政府采购网</w:t>
            </w:r>
            <w:r>
              <w:rPr>
                <w:rFonts w:hint="eastAsia" w:ascii="宋体" w:hAnsi="宋体" w:cs="宋体"/>
                <w:color w:val="auto"/>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850"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8</w:t>
            </w:r>
          </w:p>
        </w:tc>
        <w:tc>
          <w:tcPr>
            <w:tcW w:w="7437" w:type="dxa"/>
            <w:vAlign w:val="center"/>
          </w:tcPr>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签订合同时间：中标通知书发出后30日内。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7" w:hRule="atLeast"/>
        </w:trPr>
        <w:tc>
          <w:tcPr>
            <w:tcW w:w="850"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9</w:t>
            </w:r>
          </w:p>
        </w:tc>
        <w:tc>
          <w:tcPr>
            <w:tcW w:w="7437" w:type="dxa"/>
            <w:vAlign w:val="center"/>
          </w:tcPr>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采购资金来源：财政预算资金。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850"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10</w:t>
            </w:r>
          </w:p>
        </w:tc>
        <w:tc>
          <w:tcPr>
            <w:tcW w:w="7437" w:type="dxa"/>
            <w:vAlign w:val="center"/>
          </w:tcPr>
          <w:p>
            <w:pPr>
              <w:spacing w:line="360" w:lineRule="auto"/>
              <w:rPr>
                <w:rFonts w:ascii="宋体" w:hAnsi="宋体"/>
                <w:color w:val="auto"/>
                <w:szCs w:val="21"/>
              </w:rPr>
            </w:pPr>
            <w:r>
              <w:rPr>
                <w:rFonts w:hint="eastAsia" w:ascii="宋体" w:hAnsi="宋体"/>
                <w:color w:val="auto"/>
                <w:szCs w:val="21"/>
              </w:rPr>
              <w:t>本项目实行网上投标，投标人应准备以下投标文件：</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*（1）“电子加密投标文件”的上传、递交：</w:t>
            </w:r>
            <w:r>
              <w:rPr>
                <w:rFonts w:hint="eastAsia" w:ascii="宋体" w:hAnsi="宋体"/>
                <w:color w:val="auto"/>
                <w:szCs w:val="21"/>
              </w:rPr>
              <w:t>上传到政府采购云平台的电子投标文件（含资格文件、商务和技术文件、报价文件）1份。</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1）投标投标人应在投标截止时间前将“电子加密投标文件”成功上传递交至“政府采购云平台”，否则投标无效。</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2）“电子加密投标文件”成功上传递交后，投标人可自行打印投标文件接收回执。</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（2）“备份投标文件”的密封包装、递交：</w:t>
            </w:r>
            <w:r>
              <w:rPr>
                <w:rFonts w:hint="eastAsia" w:ascii="宋体" w:hAnsi="宋体"/>
                <w:color w:val="auto"/>
                <w:szCs w:val="21"/>
              </w:rPr>
              <w:t>以U盘或光盘存储的电子备份投标文件（含资格文件、商务和技术文件、报价文件）1份（自愿提供，用于异常处理）。</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1）投标投标人还可以采用邮寄方式或现场方式在投标截止时间前递交以U盘存储的 “备份投标文件”（一份）。</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各投标人应自行考虑邮寄在途时间，邮寄过程中无论何种因素导致备份投标文件未按时递交的后果，均由投标人自行负责；</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2）“备份投标文件”应当密封包装，并在包装上标注投标项目名称、投标单位名称并加盖公章。没有密封包装或者逾期邮寄送达至投标地点的“备份投标文件”将不予接收；</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3）通过“政府采购云平台”成功上传递交的“电子加密投标文件”已按时解密的，“备份投标文件”自动失效。投标截止时间前，投标投标人仅递交了“备份投标文件”而未将“电子加密投标文件”成功上传至“政府采购云平台”的，投标无效。</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3）投标文件启用顺序和效力。投标文件的启用，按先后顺位分别为电子投标文件、以U盘存储的数据电文形式的备份投标文件。顺位在先的投标文件已按时解密的，备份投标文件自动失效。在下一顺位的投标文件启用时，前一顺位的投标文件自动失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850"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11</w:t>
            </w:r>
          </w:p>
        </w:tc>
        <w:tc>
          <w:tcPr>
            <w:tcW w:w="7437" w:type="dxa"/>
            <w:vAlign w:val="center"/>
          </w:tcPr>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电子加密投标文件的解密和异常情况处理：</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（1）开标后，采购组织机构将向各投标投标人发出“电子加密投标文件”的解密通知，各投标投标人代表应当在接到解密通知后30分钟内自行完成“电子加密投标文件”的在线解密（加密和解密需同一CA锁）。</w:t>
            </w:r>
          </w:p>
          <w:p>
            <w:pPr>
              <w:tabs>
                <w:tab w:val="left" w:pos="105"/>
                <w:tab w:val="left" w:pos="735"/>
                <w:tab w:val="left" w:pos="945"/>
                <w:tab w:val="left" w:pos="3360"/>
              </w:tabs>
              <w:spacing w:line="360" w:lineRule="auto"/>
              <w:jc w:val="left"/>
              <w:rPr>
                <w:rFonts w:ascii="宋体" w:hAnsi="宋体" w:cs="宋体"/>
                <w:color w:val="auto"/>
                <w:szCs w:val="21"/>
              </w:rPr>
            </w:pPr>
            <w:r>
              <w:rPr>
                <w:rFonts w:hint="eastAsia" w:ascii="宋体" w:hAnsi="宋体" w:cs="宋体"/>
                <w:color w:val="auto"/>
                <w:szCs w:val="21"/>
              </w:rPr>
              <w:t>（2）通过“政府采购云平台”成功上传递交的“电子加密投标文件”无法按时解密，投标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spacing w:line="400" w:lineRule="exact"/>
              <w:jc w:val="left"/>
              <w:textAlignment w:val="bottom"/>
              <w:rPr>
                <w:rFonts w:ascii="宋体" w:hAnsi="宋体" w:cs="宋体"/>
                <w:b/>
                <w:color w:val="auto"/>
                <w:szCs w:val="21"/>
              </w:rPr>
            </w:pPr>
            <w:r>
              <w:rPr>
                <w:rFonts w:hint="eastAsia" w:ascii="宋体" w:hAnsi="宋体" w:cs="宋体"/>
                <w:color w:val="auto"/>
                <w:szCs w:val="21"/>
              </w:rPr>
              <w:t>（3）投标截止时间前，投标投标人仅递交了“备份投标文件”而未将电子加密投标文件上传至“政府采购云平台”的，投标无效。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850"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12</w:t>
            </w:r>
          </w:p>
        </w:tc>
        <w:tc>
          <w:tcPr>
            <w:tcW w:w="7437" w:type="dxa"/>
            <w:vAlign w:val="center"/>
          </w:tcPr>
          <w:p>
            <w:pPr>
              <w:spacing w:line="360" w:lineRule="auto"/>
              <w:jc w:val="left"/>
              <w:rPr>
                <w:rFonts w:ascii="宋体" w:hAnsi="宋体" w:cs="宋体"/>
                <w:color w:val="auto"/>
                <w:szCs w:val="21"/>
              </w:rPr>
            </w:pPr>
            <w:r>
              <w:rPr>
                <w:rFonts w:hint="eastAsia" w:ascii="宋体" w:hAnsi="宋体" w:cs="宋体"/>
                <w:color w:val="auto"/>
                <w:szCs w:val="21"/>
              </w:rPr>
              <w:t>在线电子投标说明：</w:t>
            </w:r>
          </w:p>
          <w:p>
            <w:pPr>
              <w:spacing w:line="360" w:lineRule="auto"/>
              <w:jc w:val="left"/>
              <w:rPr>
                <w:rFonts w:ascii="宋体" w:hAnsi="宋体" w:cs="宋体"/>
                <w:color w:val="auto"/>
                <w:szCs w:val="21"/>
              </w:rPr>
            </w:pPr>
            <w:r>
              <w:rPr>
                <w:rFonts w:hint="eastAsia" w:ascii="宋体" w:hAnsi="宋体" w:cs="宋体"/>
                <w:color w:val="auto"/>
                <w:szCs w:val="21"/>
              </w:rPr>
              <w:t>（1）本项目通过政府采购云平台实行在线电子投标，投标人应先安装政采云电子交易客户端，并按照招标文件和政府采购云平台的要求，通过政采云电子交易客户端编制并加密投标文件，投标人未按规定加密的投标文件，政府采购云平台将予以拒收。</w:t>
            </w:r>
          </w:p>
          <w:p>
            <w:pPr>
              <w:spacing w:line="360" w:lineRule="auto"/>
              <w:jc w:val="left"/>
              <w:rPr>
                <w:rFonts w:ascii="宋体" w:hAnsi="宋体" w:cs="宋体"/>
                <w:color w:val="auto"/>
                <w:szCs w:val="21"/>
              </w:rPr>
            </w:pPr>
            <w:r>
              <w:rPr>
                <w:rFonts w:hint="eastAsia" w:ascii="宋体" w:hAnsi="宋体" w:cs="宋体"/>
                <w:color w:val="auto"/>
                <w:szCs w:val="21"/>
              </w:rPr>
              <w:t xml:space="preserve">    政采云电子交易客户端请自行前往“浙江政府采购网-下载专区-电子交易客户端”进行下载，在线电子投标具体操作流程详见《投标人项目采购-电子招投标操作指南》，通过政府采购云平台参与在线电子投标时如遇平台技术问题详询95763。</w:t>
            </w:r>
          </w:p>
          <w:p>
            <w:pPr>
              <w:spacing w:line="360" w:lineRule="auto"/>
              <w:jc w:val="left"/>
              <w:rPr>
                <w:rFonts w:ascii="宋体" w:hAnsi="宋体" w:cs="宋体"/>
                <w:color w:val="auto"/>
                <w:szCs w:val="21"/>
              </w:rPr>
            </w:pPr>
            <w:r>
              <w:rPr>
                <w:rFonts w:hint="eastAsia" w:ascii="宋体" w:hAnsi="宋体" w:cs="宋体"/>
                <w:color w:val="auto"/>
                <w:szCs w:val="21"/>
              </w:rPr>
              <w:t>（2）标前准备：各投标人应在开标前应确保成为浙江省政府采购网正式注册入库投标人，并完成CA数字证书办理（投标人CA申领操作指南：为保证信息传输的保密性、数据交换的完整性、发送信息的不可否认性及对交易者身份的确认，政采云网上招投标实行CA登录，CA申领有关业务说明链接如下：</w:t>
            </w:r>
            <w:r>
              <w:rPr>
                <w:color w:val="auto"/>
              </w:rPr>
              <w:fldChar w:fldCharType="begin"/>
            </w:r>
            <w:r>
              <w:rPr>
                <w:color w:val="auto"/>
              </w:rPr>
              <w:instrText xml:space="preserve"> HYPERLINK "https://help.zcygov.cn/web/site_2/2018/11/07/2367.html" </w:instrText>
            </w:r>
            <w:r>
              <w:rPr>
                <w:color w:val="auto"/>
              </w:rPr>
              <w:fldChar w:fldCharType="separate"/>
            </w:r>
            <w:r>
              <w:rPr>
                <w:rFonts w:hint="eastAsia" w:ascii="宋体" w:hAnsi="宋体" w:cs="宋体"/>
                <w:color w:val="auto"/>
                <w:szCs w:val="21"/>
              </w:rPr>
              <w:t>https：//help.zcygov.cn/web/site_2/2018/11-29/2452.html</w:t>
            </w:r>
            <w:r>
              <w:rPr>
                <w:rFonts w:hint="eastAsia" w:ascii="宋体" w:hAnsi="宋体" w:cs="宋体"/>
                <w:color w:val="auto"/>
                <w:szCs w:val="21"/>
              </w:rPr>
              <w:fldChar w:fldCharType="end"/>
            </w:r>
            <w:r>
              <w:rPr>
                <w:rFonts w:hint="eastAsia" w:ascii="宋体" w:hAnsi="宋体" w:cs="宋体"/>
                <w:color w:val="auto"/>
                <w:szCs w:val="21"/>
              </w:rPr>
              <w:t>，完成CA数字证书办理预计一周左右，请投标人自行把握时间）。因未注册入库、未办理CA数字证书等原因造成无法获取采购文件、无法投标或投标失败等后果由投标人自行承担。</w:t>
            </w:r>
          </w:p>
          <w:p>
            <w:pPr>
              <w:spacing w:line="360" w:lineRule="auto"/>
              <w:jc w:val="left"/>
              <w:rPr>
                <w:rFonts w:ascii="宋体" w:hAnsi="宋体" w:cs="宋体"/>
                <w:color w:val="auto"/>
                <w:szCs w:val="21"/>
              </w:rPr>
            </w:pPr>
            <w:r>
              <w:rPr>
                <w:rFonts w:hint="eastAsia" w:ascii="宋体" w:hAnsi="宋体" w:cs="宋体"/>
                <w:color w:val="auto"/>
                <w:szCs w:val="21"/>
              </w:rPr>
              <w:t>（3）采购文件网上获取：</w:t>
            </w:r>
          </w:p>
          <w:p>
            <w:pPr>
              <w:spacing w:line="360" w:lineRule="auto"/>
              <w:jc w:val="left"/>
              <w:rPr>
                <w:rFonts w:ascii="宋体" w:hAnsi="宋体" w:cs="宋体"/>
                <w:color w:val="auto"/>
                <w:szCs w:val="21"/>
              </w:rPr>
            </w:pPr>
            <w:r>
              <w:rPr>
                <w:rFonts w:hint="eastAsia" w:ascii="宋体" w:hAnsi="宋体" w:cs="宋体"/>
                <w:color w:val="auto"/>
                <w:szCs w:val="21"/>
              </w:rPr>
              <w:t>已注册政采云平台账号的投标人登录后可免费下载采购文件，采购文件网上获取操作指南链接如下：https：//service.zcygov.cn/#/knowledges/CW1EtGwBFdiHxlNd6I3m/6IMVAG0BFdiHxlNdQ8Na（电脑登录账号后浏览）</w:t>
            </w:r>
          </w:p>
          <w:p>
            <w:pPr>
              <w:spacing w:line="360" w:lineRule="auto"/>
              <w:jc w:val="left"/>
              <w:rPr>
                <w:rFonts w:ascii="宋体" w:hAnsi="宋体" w:cs="宋体"/>
                <w:color w:val="auto"/>
                <w:szCs w:val="21"/>
              </w:rPr>
            </w:pPr>
            <w:r>
              <w:rPr>
                <w:rFonts w:hint="eastAsia" w:ascii="宋体" w:hAnsi="宋体" w:cs="宋体"/>
                <w:color w:val="auto"/>
                <w:szCs w:val="21"/>
              </w:rPr>
              <w:t>（4）投标文件制作：</w:t>
            </w:r>
          </w:p>
          <w:p>
            <w:pPr>
              <w:spacing w:line="360" w:lineRule="auto"/>
              <w:jc w:val="left"/>
              <w:rPr>
                <w:rFonts w:ascii="宋体" w:hAnsi="宋体" w:cs="宋体"/>
                <w:color w:val="auto"/>
                <w:szCs w:val="21"/>
              </w:rPr>
            </w:pPr>
            <w:r>
              <w:rPr>
                <w:rFonts w:hint="eastAsia" w:ascii="宋体" w:hAnsi="宋体" w:cs="宋体"/>
                <w:color w:val="auto"/>
                <w:szCs w:val="21"/>
              </w:rPr>
              <w:t>a.应按照本项目招标文件和政采云平台的要求编制、加密并递交投标文件。投标人在使用系统进行投标的过程中遇到涉及平台使用的任何问题，可致电政采云平台技术支持热线95763。</w:t>
            </w:r>
          </w:p>
          <w:p>
            <w:pPr>
              <w:spacing w:line="360" w:lineRule="auto"/>
              <w:jc w:val="left"/>
              <w:rPr>
                <w:rFonts w:ascii="宋体" w:hAnsi="宋体" w:cs="宋体"/>
                <w:color w:val="auto"/>
                <w:szCs w:val="21"/>
              </w:rPr>
            </w:pPr>
            <w:r>
              <w:rPr>
                <w:rFonts w:hint="eastAsia" w:ascii="宋体" w:hAnsi="宋体" w:cs="宋体"/>
                <w:color w:val="auto"/>
                <w:szCs w:val="21"/>
              </w:rPr>
              <w:t>b.投标人通过政采云平台电子投标工具制作投标文件，电子投标工具链接如下：</w:t>
            </w:r>
            <w:r>
              <w:rPr>
                <w:color w:val="auto"/>
              </w:rPr>
              <w:fldChar w:fldCharType="begin"/>
            </w:r>
            <w:r>
              <w:rPr>
                <w:color w:val="auto"/>
              </w:rPr>
              <w:instrText xml:space="preserve"> HYPERLINK "http://zfcg.czt.zj.gov.cn/bidClientTemplate/2020-10-01/12975.html，" </w:instrText>
            </w:r>
            <w:r>
              <w:rPr>
                <w:color w:val="auto"/>
              </w:rPr>
              <w:fldChar w:fldCharType="separate"/>
            </w:r>
            <w:r>
              <w:rPr>
                <w:rFonts w:hint="eastAsia" w:ascii="宋体" w:hAnsi="宋体" w:cs="宋体"/>
                <w:color w:val="auto"/>
                <w:szCs w:val="21"/>
              </w:rPr>
              <w:t>http：//zfcg.czt.zj.gov.cn/bidClientTemplate/2020-10-01/12975.html，</w:t>
            </w:r>
            <w:r>
              <w:rPr>
                <w:rFonts w:hint="eastAsia" w:ascii="宋体" w:hAnsi="宋体" w:cs="宋体"/>
                <w:color w:val="auto"/>
                <w:szCs w:val="21"/>
              </w:rPr>
              <w:fldChar w:fldCharType="end"/>
            </w:r>
            <w:r>
              <w:rPr>
                <w:rFonts w:hint="eastAsia" w:ascii="宋体" w:hAnsi="宋体" w:cs="宋体"/>
                <w:color w:val="auto"/>
                <w:szCs w:val="21"/>
              </w:rPr>
              <w:t>政府采购项目电子交易管理操作指南链接如下：</w:t>
            </w:r>
            <w:r>
              <w:rPr>
                <w:color w:val="auto"/>
              </w:rPr>
              <w:fldChar w:fldCharType="begin"/>
            </w:r>
            <w:r>
              <w:rPr>
                <w:color w:val="auto"/>
              </w:rPr>
              <w:instrText xml:space="preserve"> HYPERLINK "https://service.zcygov.cn/" \l "/knowledges/CW1EtGwBFdiHxlNd6I3m/7GyLXW0BXgMSmLUuYuPM、" </w:instrText>
            </w:r>
            <w:r>
              <w:rPr>
                <w:color w:val="auto"/>
              </w:rPr>
              <w:fldChar w:fldCharType="separate"/>
            </w:r>
            <w:r>
              <w:rPr>
                <w:rFonts w:hint="eastAsia" w:ascii="宋体" w:hAnsi="宋体" w:cs="宋体"/>
                <w:color w:val="auto"/>
                <w:szCs w:val="21"/>
              </w:rPr>
              <w:t>https：//service.zcygov.cn/#/knowledges/CW1EtGwBFdiHxlNd6I3m/7GyLXW0BXgMSmLUuYuPM</w:t>
            </w:r>
            <w:r>
              <w:rPr>
                <w:rFonts w:hint="eastAsia" w:ascii="宋体" w:hAnsi="宋体" w:cs="宋体"/>
                <w:color w:val="auto"/>
                <w:szCs w:val="21"/>
              </w:rPr>
              <w:fldChar w:fldCharType="end"/>
            </w:r>
            <w:r>
              <w:rPr>
                <w:rFonts w:hint="eastAsia" w:ascii="宋体" w:hAnsi="宋体" w:cs="宋体"/>
                <w:color w:val="auto"/>
                <w:szCs w:val="21"/>
              </w:rPr>
              <w:t>（电脑登录账号后观看）；https：//service.zcygov.cn/#/knowledges/CW1EtGwBFdiHxlNd6I3m/6IMVAG0BFdiHxlNdQ8Na（电脑登录账号后浏览）。</w:t>
            </w:r>
          </w:p>
          <w:p>
            <w:pPr>
              <w:spacing w:line="360" w:lineRule="auto"/>
              <w:jc w:val="left"/>
              <w:rPr>
                <w:rFonts w:ascii="宋体" w:hAnsi="宋体" w:cs="宋体"/>
                <w:color w:val="auto"/>
                <w:szCs w:val="21"/>
              </w:rPr>
            </w:pPr>
            <w:r>
              <w:rPr>
                <w:rFonts w:hint="eastAsia" w:ascii="宋体" w:hAnsi="宋体" w:cs="宋体"/>
                <w:color w:val="auto"/>
                <w:szCs w:val="21"/>
              </w:rPr>
              <w:t>（5）业务相关联系人和联系电话</w:t>
            </w:r>
          </w:p>
          <w:p>
            <w:pPr>
              <w:spacing w:line="360" w:lineRule="auto"/>
              <w:jc w:val="left"/>
              <w:rPr>
                <w:rFonts w:ascii="宋体" w:hAnsi="宋体" w:cs="宋体"/>
                <w:color w:val="auto"/>
                <w:szCs w:val="21"/>
              </w:rPr>
            </w:pPr>
            <w:r>
              <w:rPr>
                <w:rFonts w:hint="eastAsia" w:ascii="宋体" w:hAnsi="宋体" w:cs="宋体"/>
                <w:color w:val="auto"/>
                <w:szCs w:val="21"/>
              </w:rPr>
              <w:t xml:space="preserve">CA咨询（天谷公司）客服热线： 400-087-8198    </w:t>
            </w:r>
          </w:p>
          <w:p>
            <w:pPr>
              <w:spacing w:line="360" w:lineRule="auto"/>
              <w:jc w:val="left"/>
              <w:rPr>
                <w:rFonts w:ascii="宋体" w:hAnsi="宋体" w:cs="宋体"/>
                <w:color w:val="auto"/>
                <w:szCs w:val="21"/>
              </w:rPr>
            </w:pPr>
            <w:r>
              <w:rPr>
                <w:rFonts w:hint="eastAsia" w:ascii="宋体" w:hAnsi="宋体" w:cs="宋体"/>
                <w:color w:val="auto"/>
                <w:szCs w:val="21"/>
              </w:rPr>
              <w:t>销售热线： 0571-85785223</w:t>
            </w:r>
          </w:p>
          <w:p>
            <w:pPr>
              <w:spacing w:line="360" w:lineRule="auto"/>
              <w:jc w:val="left"/>
              <w:rPr>
                <w:rFonts w:ascii="宋体" w:hAnsi="宋体" w:cs="宋体"/>
                <w:color w:val="auto"/>
                <w:szCs w:val="21"/>
              </w:rPr>
            </w:pPr>
            <w:r>
              <w:rPr>
                <w:rFonts w:hint="eastAsia" w:ascii="宋体" w:hAnsi="宋体" w:cs="宋体"/>
                <w:color w:val="auto"/>
                <w:szCs w:val="21"/>
              </w:rPr>
              <w:t>CA咨询(汇信公司)客服热线400-888-4636</w:t>
            </w:r>
          </w:p>
          <w:p>
            <w:pPr>
              <w:autoSpaceDE w:val="0"/>
              <w:autoSpaceDN w:val="0"/>
              <w:spacing w:line="400" w:lineRule="exact"/>
              <w:jc w:val="left"/>
              <w:textAlignment w:val="bottom"/>
              <w:rPr>
                <w:rFonts w:ascii="宋体" w:hAnsi="宋体" w:cs="宋体"/>
                <w:color w:val="auto"/>
                <w:szCs w:val="21"/>
              </w:rPr>
            </w:pPr>
            <w:r>
              <w:rPr>
                <w:rFonts w:hint="eastAsia" w:ascii="宋体" w:hAnsi="宋体" w:cs="宋体"/>
                <w:color w:val="auto"/>
                <w:szCs w:val="21"/>
              </w:rPr>
              <w:t>政采云平台客服电话：95763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850" w:type="dxa"/>
            <w:vAlign w:val="center"/>
          </w:tcPr>
          <w:p>
            <w:pPr>
              <w:snapToGrid w:val="0"/>
              <w:spacing w:line="400" w:lineRule="exact"/>
              <w:jc w:val="center"/>
              <w:rPr>
                <w:rFonts w:ascii="宋体" w:hAnsi="宋体" w:cs="宋体"/>
                <w:color w:val="auto"/>
                <w:szCs w:val="21"/>
              </w:rPr>
            </w:pPr>
            <w:r>
              <w:rPr>
                <w:rFonts w:hint="eastAsia" w:ascii="宋体" w:hAnsi="宋体" w:cs="宋体"/>
                <w:b/>
                <w:color w:val="auto"/>
                <w:szCs w:val="21"/>
              </w:rPr>
              <w:t>*</w:t>
            </w:r>
            <w:r>
              <w:rPr>
                <w:rFonts w:hint="eastAsia" w:ascii="宋体" w:hAnsi="宋体" w:cs="宋体"/>
                <w:color w:val="auto"/>
                <w:szCs w:val="21"/>
              </w:rPr>
              <w:t>13</w:t>
            </w:r>
          </w:p>
        </w:tc>
        <w:tc>
          <w:tcPr>
            <w:tcW w:w="7437" w:type="dxa"/>
            <w:vAlign w:val="center"/>
          </w:tcPr>
          <w:p>
            <w:pPr>
              <w:autoSpaceDE w:val="0"/>
              <w:autoSpaceDN w:val="0"/>
              <w:spacing w:line="400" w:lineRule="exact"/>
              <w:textAlignment w:val="bottom"/>
              <w:rPr>
                <w:rFonts w:ascii="宋体" w:hAnsi="宋体" w:cs="宋体"/>
                <w:b/>
                <w:color w:val="auto"/>
                <w:szCs w:val="21"/>
              </w:rPr>
            </w:pPr>
            <w:r>
              <w:rPr>
                <w:rFonts w:hint="eastAsia" w:ascii="宋体" w:hAnsi="宋体" w:cs="宋体"/>
                <w:b/>
                <w:color w:val="auto"/>
                <w:szCs w:val="21"/>
              </w:rPr>
              <w:t>投标文件有效期：90天。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8" w:hRule="atLeast"/>
        </w:trPr>
        <w:tc>
          <w:tcPr>
            <w:tcW w:w="850" w:type="dxa"/>
            <w:vAlign w:val="center"/>
          </w:tcPr>
          <w:p>
            <w:pPr>
              <w:snapToGrid w:val="0"/>
              <w:spacing w:line="400" w:lineRule="exact"/>
              <w:jc w:val="center"/>
              <w:rPr>
                <w:rFonts w:ascii="宋体" w:hAnsi="宋体" w:cs="宋体"/>
                <w:color w:val="auto"/>
                <w:szCs w:val="21"/>
              </w:rPr>
            </w:pPr>
            <w:r>
              <w:rPr>
                <w:rFonts w:hint="eastAsia" w:ascii="宋体" w:hAnsi="宋体" w:cs="宋体"/>
                <w:b/>
                <w:color w:val="auto"/>
                <w:szCs w:val="21"/>
              </w:rPr>
              <w:t>*</w:t>
            </w:r>
            <w:r>
              <w:rPr>
                <w:rFonts w:hint="eastAsia" w:ascii="宋体" w:hAnsi="宋体" w:cs="宋体"/>
                <w:color w:val="auto"/>
                <w:szCs w:val="21"/>
              </w:rPr>
              <w:t>14</w:t>
            </w:r>
          </w:p>
        </w:tc>
        <w:tc>
          <w:tcPr>
            <w:tcW w:w="7437" w:type="dxa"/>
            <w:vAlign w:val="center"/>
          </w:tcPr>
          <w:p>
            <w:pPr>
              <w:autoSpaceDE w:val="0"/>
              <w:autoSpaceDN w:val="0"/>
              <w:spacing w:line="400" w:lineRule="exact"/>
              <w:textAlignment w:val="bottom"/>
              <w:rPr>
                <w:rFonts w:ascii="宋体" w:hAnsi="宋体" w:cs="宋体"/>
                <w:b/>
                <w:color w:val="auto"/>
                <w:szCs w:val="21"/>
              </w:rPr>
            </w:pPr>
            <w:r>
              <w:rPr>
                <w:rFonts w:hint="eastAsia" w:ascii="宋体" w:hAnsi="宋体" w:cs="宋体"/>
                <w:b/>
                <w:color w:val="auto"/>
                <w:szCs w:val="21"/>
              </w:rPr>
              <w:t>针对同一采购程序环节的质疑次数：一次性提出。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8" w:hRule="atLeast"/>
        </w:trPr>
        <w:tc>
          <w:tcPr>
            <w:tcW w:w="850"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15</w:t>
            </w:r>
          </w:p>
        </w:tc>
        <w:tc>
          <w:tcPr>
            <w:tcW w:w="7437" w:type="dxa"/>
            <w:vAlign w:val="center"/>
          </w:tcPr>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解释：本招标文件的解释权属于招标采购人。</w:t>
            </w:r>
          </w:p>
        </w:tc>
      </w:tr>
      <w:bookmarkEnd w:id="28"/>
      <w:bookmarkEnd w:id="29"/>
    </w:tbl>
    <w:p>
      <w:pPr>
        <w:jc w:val="center"/>
        <w:rPr>
          <w:rFonts w:ascii="宋体" w:hAnsi="宋体" w:cs="宋体"/>
          <w:color w:val="auto"/>
          <w:szCs w:val="21"/>
        </w:rPr>
      </w:pPr>
      <w:bookmarkStart w:id="30" w:name="_Toc460416595"/>
      <w:bookmarkStart w:id="31" w:name="_Toc460416339"/>
      <w:bookmarkStart w:id="32" w:name="_Toc460416644"/>
      <w:bookmarkStart w:id="33" w:name="_Toc460857896"/>
      <w:r>
        <w:rPr>
          <w:rFonts w:hint="eastAsia" w:ascii="宋体" w:hAnsi="宋体" w:cs="宋体"/>
          <w:color w:val="auto"/>
          <w:szCs w:val="21"/>
        </w:rPr>
        <w:br w:type="page"/>
      </w:r>
      <w:bookmarkEnd w:id="30"/>
      <w:bookmarkEnd w:id="31"/>
      <w:bookmarkEnd w:id="32"/>
      <w:bookmarkEnd w:id="33"/>
      <w:bookmarkStart w:id="34" w:name="_Toc79395438"/>
      <w:bookmarkStart w:id="35" w:name="_Toc13183"/>
      <w:bookmarkStart w:id="36" w:name="_Toc460857897"/>
      <w:bookmarkStart w:id="37" w:name="_Toc17707910"/>
      <w:bookmarkStart w:id="38" w:name="_Toc8008"/>
      <w:bookmarkStart w:id="39" w:name="_Toc15866"/>
      <w:r>
        <w:rPr>
          <w:rFonts w:hint="eastAsia" w:ascii="宋体" w:hAnsi="宋体" w:cs="宋体"/>
          <w:b/>
          <w:bCs/>
          <w:color w:val="auto"/>
        </w:rPr>
        <w:t>一、总  则</w:t>
      </w:r>
      <w:bookmarkEnd w:id="34"/>
      <w:bookmarkEnd w:id="35"/>
      <w:bookmarkEnd w:id="36"/>
      <w:bookmarkEnd w:id="37"/>
      <w:bookmarkEnd w:id="38"/>
      <w:bookmarkEnd w:id="39"/>
    </w:p>
    <w:p>
      <w:pPr>
        <w:rPr>
          <w:b/>
          <w:bCs/>
          <w:color w:val="auto"/>
        </w:rPr>
      </w:pPr>
      <w:bookmarkStart w:id="40" w:name="_Toc17707911"/>
      <w:bookmarkStart w:id="41" w:name="_Toc460857898"/>
      <w:bookmarkStart w:id="42" w:name="_Toc79395439"/>
      <w:bookmarkStart w:id="43" w:name="_Toc96"/>
      <w:bookmarkStart w:id="44" w:name="_Toc460416645"/>
      <w:bookmarkStart w:id="45" w:name="_Toc19506"/>
      <w:bookmarkStart w:id="46" w:name="_Toc460416596"/>
      <w:bookmarkStart w:id="47" w:name="_Toc460416340"/>
      <w:r>
        <w:rPr>
          <w:rFonts w:hint="eastAsia"/>
          <w:b/>
          <w:bCs/>
          <w:color w:val="auto"/>
        </w:rPr>
        <w:t>（一）适用范围</w:t>
      </w:r>
      <w:bookmarkEnd w:id="40"/>
      <w:bookmarkEnd w:id="41"/>
      <w:bookmarkEnd w:id="42"/>
      <w:bookmarkEnd w:id="43"/>
      <w:bookmarkEnd w:id="44"/>
      <w:bookmarkEnd w:id="45"/>
      <w:bookmarkEnd w:id="46"/>
      <w:bookmarkEnd w:id="47"/>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本采购文件适用于本采购项目的招标、投标、评标、定标、验收、合同履约、付款等行为（法律、法规另有规定的，从其规定）。</w:t>
      </w:r>
    </w:p>
    <w:p>
      <w:pPr>
        <w:rPr>
          <w:b/>
          <w:bCs/>
          <w:color w:val="auto"/>
        </w:rPr>
      </w:pPr>
      <w:bookmarkStart w:id="48" w:name="_Toc460857899"/>
      <w:bookmarkStart w:id="49" w:name="_Toc18275"/>
      <w:bookmarkStart w:id="50" w:name="_Toc79395440"/>
      <w:bookmarkStart w:id="51" w:name="_Toc18164"/>
      <w:bookmarkStart w:id="52" w:name="_Toc460416341"/>
      <w:bookmarkStart w:id="53" w:name="_Toc460416646"/>
      <w:bookmarkStart w:id="54" w:name="_Toc460416597"/>
      <w:bookmarkStart w:id="55" w:name="_Toc17707912"/>
      <w:r>
        <w:rPr>
          <w:rFonts w:hint="eastAsia"/>
          <w:b/>
          <w:bCs/>
          <w:color w:val="auto"/>
        </w:rPr>
        <w:t>（二）定义</w:t>
      </w:r>
      <w:bookmarkEnd w:id="48"/>
      <w:bookmarkEnd w:id="49"/>
      <w:bookmarkEnd w:id="50"/>
      <w:bookmarkEnd w:id="51"/>
      <w:bookmarkEnd w:id="52"/>
      <w:bookmarkEnd w:id="53"/>
      <w:bookmarkEnd w:id="54"/>
      <w:bookmarkEnd w:id="55"/>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1.“采购人”系指组织本次招标的采购单位。</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2.“投标人”系指向采购人提交投标文件的单位或个人。</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3.“产品”系指供方按采购文件规定，须向采购人提供的一切货物、保险、税金、工具、手册及其它有关技术资料和材料。</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4.“服务”系指招标文件规定投标人须承担的需完成本项目所需的服务的义务。</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5.“项目”系指投标人按采购文件规定向采购人提供的产品和服务。</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6.“书面形式”包括信函、传真、电报、电子邮件等。</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7.“*”系指实质性要求条款。</w:t>
      </w:r>
    </w:p>
    <w:p>
      <w:pPr>
        <w:rPr>
          <w:b/>
          <w:bCs/>
          <w:color w:val="auto"/>
        </w:rPr>
      </w:pPr>
      <w:bookmarkStart w:id="56" w:name="_Toc11090"/>
      <w:bookmarkStart w:id="57" w:name="_Toc21787"/>
      <w:bookmarkStart w:id="58" w:name="_Toc460857900"/>
      <w:bookmarkStart w:id="59" w:name="_Toc17707913"/>
      <w:bookmarkStart w:id="60" w:name="_Toc460416342"/>
      <w:bookmarkStart w:id="61" w:name="_Toc460416598"/>
      <w:bookmarkStart w:id="62" w:name="_Toc460416647"/>
      <w:bookmarkStart w:id="63" w:name="_Toc79395441"/>
      <w:r>
        <w:rPr>
          <w:rFonts w:hint="eastAsia"/>
          <w:b/>
          <w:bCs/>
          <w:color w:val="auto"/>
        </w:rPr>
        <w:t>（三）采购方式</w:t>
      </w:r>
      <w:bookmarkEnd w:id="56"/>
      <w:bookmarkEnd w:id="57"/>
      <w:bookmarkEnd w:id="58"/>
      <w:bookmarkEnd w:id="59"/>
      <w:bookmarkEnd w:id="60"/>
      <w:bookmarkEnd w:id="61"/>
      <w:bookmarkEnd w:id="62"/>
      <w:bookmarkEnd w:id="63"/>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本次采购采用公开招标方式进行。</w:t>
      </w:r>
    </w:p>
    <w:p>
      <w:pPr>
        <w:rPr>
          <w:b/>
          <w:bCs/>
          <w:color w:val="auto"/>
        </w:rPr>
      </w:pPr>
      <w:bookmarkStart w:id="64" w:name="_Toc460416599"/>
      <w:bookmarkStart w:id="65" w:name="_Toc9042"/>
      <w:bookmarkStart w:id="66" w:name="_Toc79395442"/>
      <w:bookmarkStart w:id="67" w:name="_Toc460416648"/>
      <w:bookmarkStart w:id="68" w:name="_Toc20172"/>
      <w:bookmarkStart w:id="69" w:name="_Toc460416343"/>
      <w:bookmarkStart w:id="70" w:name="_Toc17707914"/>
      <w:bookmarkStart w:id="71" w:name="_Toc460857901"/>
      <w:r>
        <w:rPr>
          <w:rFonts w:hint="eastAsia"/>
          <w:b/>
          <w:bCs/>
          <w:color w:val="auto"/>
        </w:rPr>
        <w:t>（四）投标委托</w:t>
      </w:r>
      <w:bookmarkEnd w:id="64"/>
      <w:bookmarkEnd w:id="65"/>
      <w:bookmarkEnd w:id="66"/>
      <w:bookmarkEnd w:id="67"/>
      <w:bookmarkEnd w:id="68"/>
      <w:bookmarkEnd w:id="69"/>
      <w:bookmarkEnd w:id="70"/>
      <w:bookmarkEnd w:id="71"/>
    </w:p>
    <w:p>
      <w:pPr>
        <w:pStyle w:val="16"/>
        <w:snapToGrid w:val="0"/>
        <w:spacing w:line="400" w:lineRule="exact"/>
        <w:ind w:firstLine="420" w:firstLineChars="200"/>
        <w:jc w:val="left"/>
        <w:rPr>
          <w:rFonts w:hAnsi="宋体" w:cs="宋体"/>
          <w:color w:val="auto"/>
          <w:sz w:val="21"/>
          <w:szCs w:val="21"/>
        </w:rPr>
      </w:pPr>
      <w:r>
        <w:rPr>
          <w:rFonts w:hint="eastAsia" w:hAnsi="宋体" w:cs="宋体"/>
          <w:color w:val="auto"/>
          <w:spacing w:val="0"/>
          <w:sz w:val="21"/>
          <w:szCs w:val="21"/>
        </w:rPr>
        <w:t>如投标人委派授权代表出席开标会议，授权代表须携带有效身份证件。如投标人代表不是法定代表人，须有法定代表人出具的授权委托书并在投标文件中提供投标人代表身份证正反面复印件（投标文件正本用原件，副本可用复印件，格式见第六部分）</w:t>
      </w:r>
      <w:r>
        <w:rPr>
          <w:rFonts w:hint="eastAsia" w:hAnsi="宋体" w:cs="宋体"/>
          <w:color w:val="auto"/>
          <w:sz w:val="21"/>
          <w:szCs w:val="21"/>
        </w:rPr>
        <w:t>。</w:t>
      </w:r>
    </w:p>
    <w:p>
      <w:pPr>
        <w:rPr>
          <w:b/>
          <w:bCs/>
          <w:color w:val="auto"/>
        </w:rPr>
      </w:pPr>
      <w:bookmarkStart w:id="72" w:name="_Toc460416344"/>
      <w:bookmarkStart w:id="73" w:name="_Toc460416600"/>
      <w:bookmarkStart w:id="74" w:name="_Toc18429"/>
      <w:bookmarkStart w:id="75" w:name="_Toc79395443"/>
      <w:bookmarkStart w:id="76" w:name="_Toc460857902"/>
      <w:bookmarkStart w:id="77" w:name="_Toc460416649"/>
      <w:bookmarkStart w:id="78" w:name="_Toc17707915"/>
      <w:bookmarkStart w:id="79" w:name="_Toc13019"/>
      <w:r>
        <w:rPr>
          <w:rFonts w:hint="eastAsia"/>
          <w:b/>
          <w:bCs/>
          <w:color w:val="auto"/>
        </w:rPr>
        <w:t>（五）投标费用</w:t>
      </w:r>
      <w:bookmarkEnd w:id="72"/>
      <w:bookmarkEnd w:id="73"/>
      <w:bookmarkEnd w:id="74"/>
      <w:bookmarkEnd w:id="75"/>
      <w:bookmarkEnd w:id="76"/>
      <w:bookmarkEnd w:id="77"/>
      <w:bookmarkEnd w:id="78"/>
      <w:bookmarkEnd w:id="79"/>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不论投标结果如何，投标人均应自行承担所有与投标有关的全部费用。</w:t>
      </w:r>
    </w:p>
    <w:p>
      <w:pPr>
        <w:rPr>
          <w:b/>
          <w:bCs/>
          <w:color w:val="auto"/>
        </w:rPr>
      </w:pPr>
      <w:bookmarkStart w:id="80" w:name="_Toc10534"/>
      <w:bookmarkStart w:id="81" w:name="_Toc32061"/>
      <w:bookmarkStart w:id="82" w:name="_Toc460857903"/>
      <w:bookmarkStart w:id="83" w:name="_Toc79395444"/>
      <w:bookmarkStart w:id="84" w:name="_Toc17707916"/>
      <w:r>
        <w:rPr>
          <w:rFonts w:hint="eastAsia"/>
          <w:b/>
          <w:bCs/>
          <w:color w:val="auto"/>
        </w:rPr>
        <w:t>（六）联合体投标</w:t>
      </w:r>
      <w:bookmarkEnd w:id="80"/>
      <w:bookmarkEnd w:id="81"/>
      <w:bookmarkEnd w:id="82"/>
      <w:bookmarkEnd w:id="83"/>
      <w:bookmarkEnd w:id="84"/>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本项目不接受联合体投标。</w:t>
      </w:r>
    </w:p>
    <w:p>
      <w:pPr>
        <w:rPr>
          <w:b/>
          <w:bCs/>
          <w:color w:val="auto"/>
        </w:rPr>
      </w:pPr>
      <w:bookmarkStart w:id="85" w:name="_Toc17707917"/>
      <w:bookmarkStart w:id="86" w:name="_Toc23875"/>
      <w:bookmarkStart w:id="87" w:name="_Toc79395445"/>
      <w:bookmarkStart w:id="88" w:name="_Toc460857904"/>
      <w:bookmarkStart w:id="89" w:name="_Toc22517"/>
      <w:r>
        <w:rPr>
          <w:rFonts w:hint="eastAsia"/>
          <w:b/>
          <w:bCs/>
          <w:color w:val="auto"/>
        </w:rPr>
        <w:t>（七）转包与分包</w:t>
      </w:r>
      <w:bookmarkEnd w:id="85"/>
      <w:bookmarkEnd w:id="86"/>
      <w:bookmarkEnd w:id="87"/>
      <w:bookmarkEnd w:id="88"/>
      <w:bookmarkEnd w:id="89"/>
    </w:p>
    <w:p>
      <w:pPr>
        <w:snapToGrid w:val="0"/>
        <w:spacing w:line="40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本项目不允许转包，未经采购人书面同意不得分包。</w:t>
      </w:r>
    </w:p>
    <w:p>
      <w:pPr>
        <w:rPr>
          <w:b/>
          <w:bCs/>
          <w:color w:val="auto"/>
        </w:rPr>
      </w:pPr>
      <w:bookmarkStart w:id="90" w:name="_Toc79395446"/>
      <w:bookmarkStart w:id="91" w:name="_Toc460416601"/>
      <w:bookmarkStart w:id="92" w:name="_Toc404"/>
      <w:bookmarkStart w:id="93" w:name="_Toc460416345"/>
      <w:bookmarkStart w:id="94" w:name="_Toc460857905"/>
      <w:bookmarkStart w:id="95" w:name="_Toc10975"/>
      <w:bookmarkStart w:id="96" w:name="_Toc460416650"/>
      <w:bookmarkStart w:id="97" w:name="_Toc17707918"/>
      <w:r>
        <w:rPr>
          <w:rFonts w:hint="eastAsia"/>
          <w:b/>
          <w:bCs/>
          <w:color w:val="auto"/>
        </w:rPr>
        <w:t>（八）特别说明</w:t>
      </w:r>
      <w:bookmarkEnd w:id="90"/>
      <w:bookmarkEnd w:id="91"/>
      <w:bookmarkEnd w:id="92"/>
      <w:bookmarkEnd w:id="93"/>
      <w:bookmarkEnd w:id="94"/>
      <w:bookmarkEnd w:id="95"/>
      <w:bookmarkEnd w:id="96"/>
      <w:bookmarkEnd w:id="97"/>
    </w:p>
    <w:p>
      <w:pPr>
        <w:pStyle w:val="21"/>
        <w:snapToGrid w:val="0"/>
        <w:spacing w:beforeLines="0" w:afterLines="0"/>
        <w:ind w:left="2" w:leftChars="1" w:firstLine="422" w:firstLineChars="200"/>
        <w:jc w:val="left"/>
        <w:rPr>
          <w:rFonts w:hAnsi="宋体" w:cs="宋体"/>
          <w:b/>
          <w:color w:val="auto"/>
          <w:sz w:val="21"/>
          <w:szCs w:val="21"/>
        </w:rPr>
      </w:pPr>
      <w:r>
        <w:rPr>
          <w:rFonts w:hint="eastAsia" w:hAnsi="宋体" w:cs="宋体"/>
          <w:b/>
          <w:color w:val="auto"/>
          <w:sz w:val="21"/>
          <w:szCs w:val="21"/>
        </w:rPr>
        <w:t>*1.投标人应仔细阅读采购文件的所有内容，按照采购文件的要求提交投标文件，并对所提供的全部资料的真实性承担法律责任。</w:t>
      </w:r>
    </w:p>
    <w:p>
      <w:pPr>
        <w:pStyle w:val="21"/>
        <w:snapToGrid w:val="0"/>
        <w:spacing w:beforeLines="0" w:afterLines="0"/>
        <w:ind w:left="2" w:leftChars="1" w:firstLine="422" w:firstLineChars="200"/>
        <w:jc w:val="left"/>
        <w:rPr>
          <w:rFonts w:hAnsi="宋体" w:cs="宋体"/>
          <w:b/>
          <w:color w:val="auto"/>
          <w:sz w:val="21"/>
          <w:szCs w:val="21"/>
        </w:rPr>
      </w:pPr>
      <w:r>
        <w:rPr>
          <w:rFonts w:hint="eastAsia" w:hAnsi="宋体" w:cs="宋体"/>
          <w:b/>
          <w:color w:val="auto"/>
          <w:sz w:val="21"/>
          <w:szCs w:val="21"/>
        </w:rPr>
        <w:t>*2.投标人在投标活动中提供任何虚假材料，其投标无效，并报监管部门查处。</w:t>
      </w:r>
    </w:p>
    <w:p>
      <w:pPr>
        <w:rPr>
          <w:b/>
          <w:bCs/>
          <w:color w:val="auto"/>
        </w:rPr>
      </w:pPr>
      <w:bookmarkStart w:id="98" w:name="_Toc7123"/>
      <w:bookmarkStart w:id="99" w:name="_Toc79395447"/>
      <w:bookmarkStart w:id="100" w:name="_Toc14177"/>
      <w:bookmarkStart w:id="101" w:name="_Toc17707919"/>
      <w:r>
        <w:rPr>
          <w:rFonts w:hint="eastAsia"/>
          <w:b/>
          <w:bCs/>
          <w:color w:val="auto"/>
        </w:rPr>
        <w:t>（九）关于分公司投标</w:t>
      </w:r>
      <w:bookmarkEnd w:id="98"/>
      <w:bookmarkEnd w:id="99"/>
      <w:bookmarkEnd w:id="100"/>
      <w:bookmarkEnd w:id="101"/>
    </w:p>
    <w:p>
      <w:pPr>
        <w:widowControl/>
        <w:spacing w:line="400" w:lineRule="exact"/>
        <w:ind w:firstLine="420" w:firstLineChars="200"/>
        <w:jc w:val="left"/>
        <w:rPr>
          <w:rFonts w:ascii="宋体" w:hAnsi="宋体" w:cs="宋体"/>
          <w:bCs/>
          <w:color w:val="auto"/>
          <w:szCs w:val="21"/>
        </w:rPr>
      </w:pPr>
      <w:r>
        <w:rPr>
          <w:rFonts w:hint="eastAsia" w:ascii="宋体" w:hAnsi="宋体" w:cs="宋体"/>
          <w:bCs/>
          <w:color w:val="auto"/>
          <w:szCs w:val="21"/>
        </w:rPr>
        <w:t>除银行、保险、石油石化、电力、电信、移动、联通等行业允许分公司投标外，其余不允许分公司投标。如允许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rPr>
          <w:b/>
          <w:bCs/>
          <w:color w:val="auto"/>
        </w:rPr>
      </w:pPr>
      <w:bookmarkStart w:id="102" w:name="_Toc79395448"/>
      <w:bookmarkStart w:id="103" w:name="_Toc31344"/>
      <w:bookmarkStart w:id="104" w:name="_Toc22599"/>
      <w:bookmarkStart w:id="105" w:name="_Toc17707920"/>
      <w:r>
        <w:rPr>
          <w:rFonts w:hint="eastAsia"/>
          <w:b/>
          <w:bCs/>
          <w:color w:val="auto"/>
        </w:rPr>
        <w:t>（十）关于知识产权</w:t>
      </w:r>
      <w:bookmarkEnd w:id="102"/>
      <w:bookmarkEnd w:id="103"/>
      <w:bookmarkEnd w:id="104"/>
      <w:bookmarkEnd w:id="105"/>
    </w:p>
    <w:p>
      <w:pPr>
        <w:widowControl/>
        <w:spacing w:line="400" w:lineRule="exact"/>
        <w:ind w:firstLine="420" w:firstLineChars="200"/>
        <w:jc w:val="left"/>
        <w:rPr>
          <w:rFonts w:ascii="宋体" w:hAnsi="宋体" w:cs="宋体"/>
          <w:bCs/>
          <w:color w:val="auto"/>
          <w:szCs w:val="21"/>
        </w:rPr>
      </w:pPr>
      <w:bookmarkStart w:id="106" w:name="_Toc28420"/>
      <w:bookmarkStart w:id="107" w:name="_Toc460416602"/>
      <w:bookmarkStart w:id="108" w:name="_Toc460857906"/>
      <w:bookmarkStart w:id="109" w:name="_Toc460416346"/>
      <w:bookmarkStart w:id="110" w:name="_Toc17707921"/>
      <w:bookmarkStart w:id="111" w:name="_Toc460416651"/>
      <w:bookmarkStart w:id="112" w:name="_Toc15997"/>
      <w:bookmarkStart w:id="113" w:name="_Toc79395449"/>
      <w:r>
        <w:rPr>
          <w:rFonts w:hint="eastAsia" w:ascii="宋体" w:hAnsi="宋体" w:cs="宋体"/>
          <w:bCs/>
          <w:color w:val="auto"/>
          <w:szCs w:val="21"/>
        </w:rPr>
        <w:t>本项目所有相关资料知识产权归采购人所有。投标人应保证提供服务过程中不会侵犯任何第三方的知识产权。若发生第三方知识产权纠纷，采购人保留追究责任的权利。</w:t>
      </w:r>
    </w:p>
    <w:p>
      <w:pPr>
        <w:rPr>
          <w:b/>
          <w:bCs/>
          <w:color w:val="auto"/>
        </w:rPr>
      </w:pPr>
      <w:r>
        <w:rPr>
          <w:rFonts w:hint="eastAsia"/>
          <w:b/>
          <w:bCs/>
          <w:color w:val="auto"/>
        </w:rPr>
        <w:t>（十一）质疑和投诉</w:t>
      </w:r>
      <w:bookmarkEnd w:id="106"/>
      <w:bookmarkEnd w:id="107"/>
      <w:bookmarkEnd w:id="108"/>
      <w:bookmarkEnd w:id="109"/>
      <w:bookmarkEnd w:id="110"/>
      <w:bookmarkEnd w:id="111"/>
      <w:bookmarkEnd w:id="112"/>
      <w:bookmarkEnd w:id="113"/>
    </w:p>
    <w:p>
      <w:pPr>
        <w:pStyle w:val="2"/>
        <w:spacing w:after="0" w:line="400" w:lineRule="exact"/>
        <w:ind w:firstLine="420" w:firstLineChars="200"/>
        <w:rPr>
          <w:rFonts w:ascii="宋体" w:hAnsi="宋体" w:cs="宋体"/>
          <w:color w:val="auto"/>
          <w:sz w:val="21"/>
          <w:szCs w:val="21"/>
        </w:rPr>
      </w:pPr>
      <w:r>
        <w:rPr>
          <w:rFonts w:hint="eastAsia" w:ascii="宋体" w:hAnsi="宋体" w:cs="宋体"/>
          <w:color w:val="auto"/>
          <w:sz w:val="21"/>
          <w:szCs w:val="21"/>
        </w:rPr>
        <w:t>1.投标人认为采购文件、采购过程、中标或者成交结果使自己的权益受到损害的，须在应</w:t>
      </w:r>
      <w:r>
        <w:rPr>
          <w:rFonts w:hint="eastAsia" w:ascii="宋体" w:hAnsi="宋体" w:cs="宋体"/>
          <w:color w:val="auto"/>
          <w:spacing w:val="2"/>
          <w:sz w:val="21"/>
          <w:szCs w:val="21"/>
        </w:rPr>
        <w:t>知其利益受损之日起七个工作日内以书面形式向采购人、采购代理机构提出质疑。投标人应当在法定质疑期内一次性提出针对同一采购程序环节的质疑。</w:t>
      </w:r>
    </w:p>
    <w:p>
      <w:pPr>
        <w:tabs>
          <w:tab w:val="left" w:pos="518"/>
        </w:tabs>
        <w:adjustRightInd w:val="0"/>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2.提出质疑的投标人应当是参与所质疑项目采购活动的投标人。未依法获取采</w:t>
      </w:r>
      <w:r>
        <w:rPr>
          <w:rFonts w:hint="eastAsia" w:ascii="宋体" w:hAnsi="宋体" w:cs="宋体"/>
          <w:color w:val="auto"/>
          <w:spacing w:val="2"/>
          <w:szCs w:val="21"/>
        </w:rPr>
        <w:t>购文件的，不得就采购文件提出质疑；未提交投标文件的投标人，视为与采购结</w:t>
      </w:r>
      <w:r>
        <w:rPr>
          <w:rFonts w:hint="eastAsia" w:ascii="宋体" w:hAnsi="宋体" w:cs="宋体"/>
          <w:color w:val="auto"/>
          <w:spacing w:val="-115"/>
          <w:szCs w:val="21"/>
        </w:rPr>
        <w:t xml:space="preserve"> </w:t>
      </w:r>
      <w:r>
        <w:rPr>
          <w:rFonts w:hint="eastAsia" w:ascii="宋体" w:hAnsi="宋体" w:cs="宋体"/>
          <w:color w:val="auto"/>
          <w:szCs w:val="21"/>
        </w:rPr>
        <w:t>果没有利害关系，不得就投标截止时间后的采购过程、采购结果提出质疑。</w:t>
      </w:r>
    </w:p>
    <w:p>
      <w:pPr>
        <w:tabs>
          <w:tab w:val="left" w:pos="518"/>
        </w:tabs>
        <w:adjustRightInd w:val="0"/>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3.投标人提出质疑应当提交质疑函和必要的证明材料，质疑函应当以书面形式（需符合财政部令第94号政府采购质疑和投诉办法要求）</w:t>
      </w:r>
      <w:r>
        <w:rPr>
          <w:rFonts w:hint="eastAsia" w:ascii="宋体" w:hAnsi="宋体" w:cs="宋体"/>
          <w:color w:val="auto"/>
          <w:spacing w:val="2"/>
          <w:szCs w:val="21"/>
        </w:rPr>
        <w:t>提出</w:t>
      </w:r>
      <w:r>
        <w:rPr>
          <w:rFonts w:hint="eastAsia" w:ascii="宋体" w:hAnsi="宋体" w:cs="宋体"/>
          <w:color w:val="auto"/>
          <w:szCs w:val="21"/>
        </w:rPr>
        <w:t>。</w:t>
      </w:r>
    </w:p>
    <w:p>
      <w:pPr>
        <w:tabs>
          <w:tab w:val="left" w:pos="518"/>
        </w:tabs>
        <w:adjustRightInd w:val="0"/>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接收书面质疑函的方式：质疑人可通过送达、邮寄、传真、邮件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联系部门：本采购文件第一章中采购代理机构的有关联系方式。</w:t>
      </w:r>
    </w:p>
    <w:p>
      <w:pPr>
        <w:tabs>
          <w:tab w:val="left" w:pos="518"/>
        </w:tabs>
        <w:adjustRightInd w:val="0"/>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5.投标人对采购人或采购代理机构的质疑答复不满意或者采购人或采购代理机构未在规定时间内作出答复的，可以在答复期满后十五个工作日内向同级采购监管部门投诉，投诉须采用书面形式（需符合财政部令第94号政府采购质疑和投诉办法要求）。</w:t>
      </w:r>
    </w:p>
    <w:p>
      <w:pPr>
        <w:pStyle w:val="74"/>
        <w:rPr>
          <w:rFonts w:ascii="宋体" w:hAnsi="宋体" w:cs="宋体"/>
          <w:color w:val="auto"/>
        </w:rPr>
      </w:pPr>
    </w:p>
    <w:p>
      <w:pPr>
        <w:jc w:val="center"/>
        <w:rPr>
          <w:b/>
          <w:bCs/>
          <w:color w:val="auto"/>
        </w:rPr>
      </w:pPr>
      <w:bookmarkStart w:id="114" w:name="_Toc3049"/>
      <w:bookmarkStart w:id="115" w:name="_Toc23258"/>
      <w:bookmarkStart w:id="116" w:name="_Toc460857907"/>
      <w:bookmarkStart w:id="117" w:name="_Toc79395450"/>
      <w:bookmarkStart w:id="118" w:name="_Toc6260"/>
      <w:bookmarkStart w:id="119" w:name="_Toc460416347"/>
      <w:bookmarkStart w:id="120" w:name="_Toc17707922"/>
      <w:bookmarkStart w:id="121" w:name="_Toc460416652"/>
      <w:r>
        <w:rPr>
          <w:rFonts w:hint="eastAsia"/>
          <w:b/>
          <w:bCs/>
          <w:color w:val="auto"/>
        </w:rPr>
        <w:t>二、采购文件</w:t>
      </w:r>
      <w:bookmarkEnd w:id="114"/>
      <w:bookmarkEnd w:id="115"/>
      <w:bookmarkEnd w:id="116"/>
      <w:bookmarkEnd w:id="117"/>
      <w:bookmarkEnd w:id="118"/>
      <w:bookmarkEnd w:id="119"/>
      <w:bookmarkEnd w:id="120"/>
      <w:bookmarkEnd w:id="121"/>
    </w:p>
    <w:p>
      <w:pPr>
        <w:rPr>
          <w:b/>
          <w:bCs/>
          <w:color w:val="auto"/>
        </w:rPr>
      </w:pPr>
      <w:bookmarkStart w:id="122" w:name="_Toc1374"/>
      <w:bookmarkStart w:id="123" w:name="_Toc29609"/>
      <w:bookmarkStart w:id="124" w:name="_Toc79395451"/>
      <w:bookmarkStart w:id="125" w:name="_Toc460857908"/>
      <w:bookmarkStart w:id="126" w:name="_Toc17707923"/>
      <w:r>
        <w:rPr>
          <w:rFonts w:hint="eastAsia"/>
          <w:b/>
          <w:bCs/>
          <w:color w:val="auto"/>
        </w:rPr>
        <w:t>（一）采购文件的构成</w:t>
      </w:r>
      <w:bookmarkEnd w:id="122"/>
      <w:bookmarkEnd w:id="123"/>
      <w:bookmarkEnd w:id="124"/>
    </w:p>
    <w:p>
      <w:pPr>
        <w:spacing w:line="400" w:lineRule="exact"/>
        <w:ind w:firstLine="422" w:firstLineChars="201"/>
        <w:rPr>
          <w:rFonts w:ascii="宋体" w:hAnsi="宋体" w:cs="宋体"/>
          <w:color w:val="auto"/>
          <w:szCs w:val="21"/>
        </w:rPr>
      </w:pPr>
      <w:r>
        <w:rPr>
          <w:rFonts w:hint="eastAsia" w:ascii="宋体" w:hAnsi="宋体" w:cs="宋体"/>
          <w:color w:val="auto"/>
          <w:szCs w:val="21"/>
        </w:rPr>
        <w:t>本采购文件由以下部份组成：</w:t>
      </w:r>
      <w:bookmarkEnd w:id="125"/>
      <w:bookmarkEnd w:id="126"/>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1.公开招标采购公告；</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2.采购需求；</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3.投标人须知；</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4.评标办法及评分标准；</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5.采购合同主要条款；</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6.投标文件格式；</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7.本项目采购文件的澄清、答复、修改、补充的内容。</w:t>
      </w:r>
    </w:p>
    <w:p>
      <w:pPr>
        <w:rPr>
          <w:b/>
          <w:bCs/>
          <w:color w:val="auto"/>
        </w:rPr>
      </w:pPr>
      <w:bookmarkStart w:id="127" w:name="_Toc10551"/>
      <w:bookmarkStart w:id="128" w:name="_Toc79395452"/>
      <w:bookmarkStart w:id="129" w:name="_Toc17707924"/>
      <w:bookmarkStart w:id="130" w:name="_Toc11357"/>
      <w:bookmarkStart w:id="131" w:name="_Toc460857909"/>
      <w:r>
        <w:rPr>
          <w:rFonts w:hint="eastAsia"/>
          <w:b/>
          <w:bCs/>
          <w:color w:val="auto"/>
        </w:rPr>
        <w:t>（二）投标人的风险</w:t>
      </w:r>
      <w:bookmarkEnd w:id="127"/>
      <w:bookmarkEnd w:id="128"/>
      <w:bookmarkEnd w:id="129"/>
      <w:bookmarkEnd w:id="130"/>
      <w:bookmarkEnd w:id="131"/>
    </w:p>
    <w:p>
      <w:pPr>
        <w:pStyle w:val="31"/>
        <w:spacing w:line="400" w:lineRule="exact"/>
        <w:ind w:firstLine="420"/>
        <w:rPr>
          <w:rFonts w:ascii="宋体" w:hAnsi="宋体" w:eastAsia="宋体" w:cs="宋体"/>
          <w:color w:val="auto"/>
          <w:sz w:val="21"/>
          <w:szCs w:val="21"/>
        </w:rPr>
      </w:pPr>
      <w:r>
        <w:rPr>
          <w:rFonts w:hint="eastAsia" w:ascii="宋体" w:hAnsi="宋体" w:eastAsia="宋体" w:cs="宋体"/>
          <w:color w:val="auto"/>
          <w:sz w:val="21"/>
          <w:szCs w:val="21"/>
        </w:rPr>
        <w:t>投标人没有按照采购文件要求提供全部资料，或者投标人没有对采购文件在各方面作出实质性响应是投标人的风险，并可能导致其投标被拒绝。</w:t>
      </w:r>
    </w:p>
    <w:p>
      <w:pPr>
        <w:rPr>
          <w:b/>
          <w:bCs/>
          <w:color w:val="auto"/>
        </w:rPr>
      </w:pPr>
      <w:bookmarkStart w:id="132" w:name="_Toc27530"/>
      <w:bookmarkStart w:id="133" w:name="_Toc12761"/>
      <w:bookmarkStart w:id="134" w:name="_Toc460857910"/>
      <w:bookmarkStart w:id="135" w:name="_Toc79395453"/>
      <w:bookmarkStart w:id="136" w:name="_Toc17707925"/>
      <w:r>
        <w:rPr>
          <w:rFonts w:hint="eastAsia"/>
          <w:b/>
          <w:bCs/>
          <w:color w:val="auto"/>
        </w:rPr>
        <w:t>（三）采购文件的澄清与修改</w:t>
      </w:r>
      <w:bookmarkEnd w:id="132"/>
      <w:bookmarkEnd w:id="133"/>
      <w:bookmarkEnd w:id="134"/>
      <w:bookmarkEnd w:id="135"/>
      <w:bookmarkEnd w:id="136"/>
      <w:r>
        <w:rPr>
          <w:rFonts w:hint="eastAsia"/>
          <w:b/>
          <w:bCs/>
          <w:color w:val="auto"/>
        </w:rPr>
        <w:t xml:space="preserve"> </w:t>
      </w:r>
    </w:p>
    <w:p>
      <w:pPr>
        <w:pStyle w:val="2"/>
        <w:tabs>
          <w:tab w:val="left" w:pos="948"/>
        </w:tabs>
        <w:spacing w:after="0" w:line="400" w:lineRule="exact"/>
        <w:ind w:firstLine="420" w:firstLineChars="200"/>
        <w:rPr>
          <w:rFonts w:ascii="宋体" w:hAnsi="宋体" w:cs="宋体"/>
          <w:color w:val="auto"/>
          <w:sz w:val="21"/>
          <w:szCs w:val="21"/>
        </w:rPr>
      </w:pPr>
      <w:bookmarkStart w:id="137" w:name="_Toc460416348"/>
      <w:bookmarkStart w:id="138" w:name="_Toc460416653"/>
      <w:bookmarkStart w:id="139" w:name="_Toc460857912"/>
      <w:r>
        <w:rPr>
          <w:rFonts w:hint="eastAsia" w:ascii="宋体" w:hAnsi="宋体" w:cs="宋体"/>
          <w:color w:val="auto"/>
          <w:sz w:val="21"/>
          <w:szCs w:val="21"/>
        </w:rPr>
        <w:t>1.采购人可主动地或在解答投标人提出的澄清问题时对采购文件进行必要的澄清或者修改的，在发布招标公告的网站上发布更正公告，更正公告为采购文件的组成部分，一经在网站发布，视同已通知所有采购文件的收受人。澄清或者修改的内容可能影响投标文件编制的，更正公告在投标截止时间至少15日前发出。不足15日的，顺延提交投标文件截止时间。</w:t>
      </w:r>
    </w:p>
    <w:p>
      <w:pPr>
        <w:pStyle w:val="2"/>
        <w:tabs>
          <w:tab w:val="left" w:pos="948"/>
        </w:tabs>
        <w:spacing w:after="0" w:line="400" w:lineRule="exact"/>
        <w:ind w:firstLine="420" w:firstLineChars="200"/>
        <w:rPr>
          <w:rFonts w:ascii="宋体" w:hAnsi="宋体" w:cs="宋体"/>
          <w:color w:val="auto"/>
          <w:sz w:val="21"/>
          <w:szCs w:val="21"/>
        </w:rPr>
      </w:pPr>
      <w:r>
        <w:rPr>
          <w:rFonts w:hint="eastAsia" w:ascii="宋体" w:hAnsi="宋体" w:cs="宋体"/>
          <w:color w:val="auto"/>
          <w:sz w:val="21"/>
          <w:szCs w:val="21"/>
        </w:rPr>
        <w:t>2.澄清或者修改的内容可能影响投标文件编制的，采购代理机构将以书面形式通知所有获取采购文件的潜在投标人，并对其具有约束力。投标人在收到上述通知后，应及时向采购代理机构确认。投标人未回复的，视同已知晓澄清或者修改的内容。</w:t>
      </w:r>
    </w:p>
    <w:p>
      <w:pPr>
        <w:pStyle w:val="2"/>
        <w:tabs>
          <w:tab w:val="left" w:pos="948"/>
        </w:tabs>
        <w:spacing w:after="0" w:line="400" w:lineRule="exact"/>
        <w:ind w:firstLine="420" w:firstLineChars="200"/>
        <w:rPr>
          <w:rFonts w:ascii="宋体" w:hAnsi="宋体" w:cs="宋体"/>
          <w:color w:val="auto"/>
          <w:sz w:val="21"/>
          <w:szCs w:val="21"/>
        </w:rPr>
      </w:pPr>
      <w:r>
        <w:rPr>
          <w:rFonts w:hint="eastAsia" w:ascii="宋体" w:hAnsi="宋体" w:cs="宋体"/>
          <w:color w:val="auto"/>
          <w:sz w:val="21"/>
          <w:szCs w:val="21"/>
        </w:rPr>
        <w:t>因潜在投标人原因或通讯线路故障导致通知逾期送达或无法送达，采购代理机构不因此承担任何责任，有关的招标采购活动可以继续有效进行。</w:t>
      </w:r>
    </w:p>
    <w:p>
      <w:pPr>
        <w:pStyle w:val="2"/>
        <w:tabs>
          <w:tab w:val="left" w:pos="948"/>
        </w:tabs>
        <w:spacing w:after="0" w:line="400" w:lineRule="exact"/>
        <w:ind w:firstLine="420" w:firstLineChars="200"/>
        <w:rPr>
          <w:rFonts w:ascii="宋体" w:hAnsi="宋体" w:cs="宋体"/>
          <w:color w:val="auto"/>
          <w:sz w:val="21"/>
          <w:szCs w:val="21"/>
        </w:rPr>
      </w:pPr>
      <w:r>
        <w:rPr>
          <w:rFonts w:hint="eastAsia" w:ascii="宋体" w:hAnsi="宋体" w:cs="宋体"/>
          <w:color w:val="auto"/>
          <w:sz w:val="21"/>
          <w:szCs w:val="21"/>
        </w:rPr>
        <w:t>3.如更正公告有重新发布电子采购文件的，潜在投标人应下载最新发布的电子采购文件制作投标文件。</w:t>
      </w:r>
    </w:p>
    <w:p>
      <w:pPr>
        <w:pStyle w:val="2"/>
        <w:tabs>
          <w:tab w:val="left" w:pos="948"/>
        </w:tabs>
        <w:spacing w:after="0" w:line="400" w:lineRule="exact"/>
        <w:ind w:firstLine="420" w:firstLineChars="200"/>
        <w:rPr>
          <w:rFonts w:ascii="宋体" w:hAnsi="宋体" w:cs="宋体"/>
          <w:color w:val="auto"/>
          <w:sz w:val="21"/>
          <w:szCs w:val="21"/>
        </w:rPr>
      </w:pPr>
      <w:r>
        <w:rPr>
          <w:rFonts w:hint="eastAsia" w:ascii="宋体" w:hAnsi="宋体" w:cs="宋体"/>
          <w:color w:val="auto"/>
          <w:sz w:val="21"/>
          <w:szCs w:val="21"/>
        </w:rPr>
        <w:t>4.潜在投标人在规定的时间内未对采购文件提出疑问、质疑或要求澄清的，将视其为无异议。对采购文件中描述有歧义或前后不一致的地方，评标委员会有权进行评判，但对同一条款的评判应适用于每个投标人。</w:t>
      </w:r>
    </w:p>
    <w:p>
      <w:pPr>
        <w:jc w:val="center"/>
        <w:rPr>
          <w:b/>
          <w:bCs/>
          <w:color w:val="auto"/>
        </w:rPr>
      </w:pPr>
      <w:bookmarkStart w:id="140" w:name="_Toc4812"/>
      <w:bookmarkStart w:id="141" w:name="_Toc17144"/>
      <w:bookmarkStart w:id="142" w:name="_Toc9964"/>
      <w:bookmarkStart w:id="143" w:name="_Toc79395454"/>
      <w:bookmarkStart w:id="144" w:name="_Toc17707926"/>
      <w:r>
        <w:rPr>
          <w:rFonts w:hint="eastAsia"/>
          <w:b/>
          <w:bCs/>
          <w:color w:val="auto"/>
        </w:rPr>
        <w:t>三、投标文件的编制</w:t>
      </w:r>
      <w:bookmarkEnd w:id="137"/>
      <w:bookmarkEnd w:id="138"/>
      <w:bookmarkEnd w:id="139"/>
      <w:bookmarkEnd w:id="140"/>
      <w:bookmarkEnd w:id="141"/>
      <w:bookmarkEnd w:id="142"/>
      <w:bookmarkEnd w:id="143"/>
      <w:bookmarkEnd w:id="144"/>
    </w:p>
    <w:p>
      <w:pPr>
        <w:rPr>
          <w:b/>
          <w:bCs/>
          <w:color w:val="auto"/>
        </w:rPr>
      </w:pPr>
      <w:bookmarkStart w:id="145" w:name="_Toc460857913"/>
      <w:bookmarkStart w:id="146" w:name="_Toc79395455"/>
      <w:bookmarkStart w:id="147" w:name="_Toc460416349"/>
      <w:bookmarkStart w:id="148" w:name="_Toc6222"/>
      <w:bookmarkStart w:id="149" w:name="_Toc17707927"/>
      <w:bookmarkStart w:id="150" w:name="_Toc460416654"/>
      <w:bookmarkStart w:id="151" w:name="_Toc19650"/>
      <w:r>
        <w:rPr>
          <w:rFonts w:hint="eastAsia"/>
          <w:b/>
          <w:bCs/>
          <w:color w:val="auto"/>
        </w:rPr>
        <w:t>（一）投标文件的组成</w:t>
      </w:r>
      <w:bookmarkEnd w:id="145"/>
      <w:bookmarkEnd w:id="146"/>
      <w:bookmarkEnd w:id="147"/>
      <w:bookmarkEnd w:id="148"/>
      <w:bookmarkEnd w:id="149"/>
      <w:bookmarkEnd w:id="150"/>
      <w:bookmarkEnd w:id="151"/>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投标文件由资格证明文件、商务技术文件和报价文件三部分组成。</w:t>
      </w:r>
    </w:p>
    <w:p>
      <w:pPr>
        <w:snapToGrid w:val="0"/>
        <w:spacing w:line="400" w:lineRule="exact"/>
        <w:ind w:firstLine="413" w:firstLineChars="196"/>
        <w:jc w:val="left"/>
        <w:rPr>
          <w:rFonts w:ascii="宋体" w:hAnsi="宋体" w:cs="宋体"/>
          <w:b/>
          <w:color w:val="auto"/>
          <w:szCs w:val="21"/>
        </w:rPr>
      </w:pPr>
      <w:r>
        <w:rPr>
          <w:rFonts w:hint="eastAsia" w:ascii="宋体" w:hAnsi="宋体" w:cs="宋体"/>
          <w:b/>
          <w:color w:val="auto"/>
          <w:szCs w:val="21"/>
        </w:rPr>
        <w:t>1.资格证明文件包括以下内容：</w:t>
      </w:r>
    </w:p>
    <w:p>
      <w:pPr>
        <w:pStyle w:val="2"/>
        <w:tabs>
          <w:tab w:val="left" w:pos="948"/>
        </w:tabs>
        <w:spacing w:after="0" w:line="400" w:lineRule="exact"/>
        <w:ind w:firstLine="420" w:firstLineChars="200"/>
        <w:rPr>
          <w:color w:val="auto"/>
          <w:szCs w:val="21"/>
        </w:rPr>
      </w:pPr>
      <w:r>
        <w:rPr>
          <w:rFonts w:hint="eastAsia" w:ascii="宋体" w:hAnsi="宋体" w:cs="宋体"/>
          <w:color w:val="auto"/>
          <w:sz w:val="21"/>
          <w:szCs w:val="21"/>
        </w:rPr>
        <w:t>（1）资格证明材料承诺函（格式见附件）；</w:t>
      </w:r>
    </w:p>
    <w:p>
      <w:pPr>
        <w:pStyle w:val="2"/>
        <w:tabs>
          <w:tab w:val="left" w:pos="948"/>
        </w:tabs>
        <w:spacing w:after="0" w:line="400" w:lineRule="exact"/>
        <w:ind w:firstLine="420" w:firstLineChars="200"/>
        <w:rPr>
          <w:rFonts w:ascii="宋体" w:hAnsi="宋体" w:cs="宋体"/>
          <w:color w:val="auto"/>
          <w:sz w:val="21"/>
          <w:szCs w:val="21"/>
        </w:rPr>
      </w:pPr>
      <w:r>
        <w:rPr>
          <w:rFonts w:hint="eastAsia" w:ascii="宋体" w:hAnsi="宋体" w:cs="宋体"/>
          <w:color w:val="auto"/>
          <w:sz w:val="21"/>
          <w:szCs w:val="21"/>
        </w:rPr>
        <w:t>（2）有效的企业法人营业执照（或事业法人登记证）、其他组织（个体工商户）的营业执照或者民办非企业单位登记证书复印件（复印件加盖公章）；</w:t>
      </w:r>
    </w:p>
    <w:p>
      <w:pPr>
        <w:pStyle w:val="10"/>
        <w:widowControl w:val="0"/>
        <w:tabs>
          <w:tab w:val="clear" w:pos="454"/>
        </w:tabs>
        <w:spacing w:after="120" w:line="400" w:lineRule="exact"/>
        <w:ind w:left="0" w:firstLine="420" w:firstLineChars="200"/>
        <w:rPr>
          <w:color w:val="auto"/>
        </w:rPr>
      </w:pPr>
      <w:r>
        <w:rPr>
          <w:rFonts w:hint="eastAsia" w:ascii="宋体" w:hAnsi="宋体" w:cs="宋体"/>
          <w:bCs/>
          <w:color w:val="auto"/>
          <w:sz w:val="21"/>
          <w:szCs w:val="21"/>
        </w:rPr>
        <w:t>（3）投标人特定资格条件的证明文件：详见“第一章  公开招标采购公告 二、申请人的资格要求：3.本项目的特定资格要求”；</w:t>
      </w:r>
    </w:p>
    <w:p>
      <w:pPr>
        <w:pStyle w:val="2"/>
        <w:tabs>
          <w:tab w:val="left" w:pos="948"/>
        </w:tabs>
        <w:spacing w:after="0" w:line="400" w:lineRule="exact"/>
        <w:ind w:firstLine="420" w:firstLineChars="200"/>
        <w:rPr>
          <w:color w:val="auto"/>
        </w:rPr>
      </w:pPr>
      <w:r>
        <w:rPr>
          <w:rFonts w:hint="eastAsia" w:ascii="宋体" w:hAnsi="宋体" w:cs="宋体"/>
          <w:color w:val="auto"/>
          <w:sz w:val="21"/>
          <w:szCs w:val="21"/>
        </w:rPr>
        <w:t>（4）投标人认为需要的其他资料。</w:t>
      </w:r>
    </w:p>
    <w:p>
      <w:pPr>
        <w:snapToGrid w:val="0"/>
        <w:spacing w:line="400" w:lineRule="exact"/>
        <w:ind w:firstLine="413" w:firstLineChars="196"/>
        <w:jc w:val="left"/>
        <w:rPr>
          <w:rFonts w:ascii="宋体" w:hAnsi="宋体" w:cs="宋体"/>
          <w:b/>
          <w:color w:val="auto"/>
          <w:szCs w:val="21"/>
        </w:rPr>
      </w:pPr>
      <w:r>
        <w:rPr>
          <w:rFonts w:hint="eastAsia" w:ascii="宋体" w:hAnsi="宋体" w:cs="宋体"/>
          <w:b/>
          <w:color w:val="auto"/>
          <w:szCs w:val="21"/>
        </w:rPr>
        <w:t>2.商务技术文件包括以下内容：</w:t>
      </w:r>
    </w:p>
    <w:p>
      <w:pPr>
        <w:snapToGrid w:val="0"/>
        <w:spacing w:line="400" w:lineRule="exact"/>
        <w:ind w:left="413"/>
        <w:jc w:val="left"/>
        <w:rPr>
          <w:rFonts w:ascii="宋体" w:hAnsi="宋体" w:cs="宋体"/>
          <w:color w:val="auto"/>
          <w:szCs w:val="21"/>
        </w:rPr>
      </w:pPr>
      <w:r>
        <w:rPr>
          <w:rFonts w:hint="eastAsia" w:ascii="宋体" w:hAnsi="宋体" w:cs="宋体"/>
          <w:color w:val="auto"/>
          <w:szCs w:val="21"/>
        </w:rPr>
        <w:t>（1）评分索引表（格式见附件）；</w:t>
      </w:r>
    </w:p>
    <w:p>
      <w:pPr>
        <w:snapToGrid w:val="0"/>
        <w:spacing w:line="400" w:lineRule="exact"/>
        <w:ind w:left="413"/>
        <w:jc w:val="left"/>
        <w:rPr>
          <w:rFonts w:ascii="宋体" w:hAnsi="宋体" w:cs="宋体"/>
          <w:color w:val="auto"/>
          <w:szCs w:val="21"/>
        </w:rPr>
      </w:pPr>
      <w:r>
        <w:rPr>
          <w:rFonts w:hint="eastAsia" w:ascii="宋体" w:hAnsi="宋体" w:cs="宋体"/>
          <w:color w:val="auto"/>
          <w:szCs w:val="21"/>
        </w:rPr>
        <w:t>（2）法定代表人的身份证明或法定代表人授权书（格式见附件)；</w:t>
      </w:r>
    </w:p>
    <w:p>
      <w:pPr>
        <w:snapToGrid w:val="0"/>
        <w:spacing w:line="400" w:lineRule="exact"/>
        <w:ind w:left="413"/>
        <w:jc w:val="left"/>
        <w:rPr>
          <w:rFonts w:ascii="宋体" w:hAnsi="宋体" w:cs="宋体"/>
          <w:color w:val="auto"/>
          <w:szCs w:val="21"/>
        </w:rPr>
      </w:pPr>
      <w:r>
        <w:rPr>
          <w:rFonts w:hint="eastAsia" w:ascii="宋体" w:hAnsi="宋体" w:cs="宋体"/>
          <w:color w:val="auto"/>
          <w:szCs w:val="21"/>
        </w:rPr>
        <w:t>（3）投标人基本情况说明（格式见附件)；</w:t>
      </w:r>
    </w:p>
    <w:p>
      <w:pPr>
        <w:snapToGrid w:val="0"/>
        <w:spacing w:line="400" w:lineRule="exact"/>
        <w:ind w:left="413"/>
        <w:jc w:val="left"/>
        <w:rPr>
          <w:rFonts w:ascii="宋体" w:hAnsi="宋体" w:cs="宋体"/>
          <w:color w:val="auto"/>
          <w:szCs w:val="21"/>
        </w:rPr>
      </w:pPr>
      <w:r>
        <w:rPr>
          <w:rFonts w:hint="eastAsia" w:ascii="宋体" w:hAnsi="宋体" w:cs="宋体"/>
          <w:color w:val="auto"/>
          <w:szCs w:val="21"/>
        </w:rPr>
        <w:t>（4）类似项目业绩表（格式见附件）；</w:t>
      </w:r>
    </w:p>
    <w:p>
      <w:pPr>
        <w:snapToGrid w:val="0"/>
        <w:spacing w:line="400" w:lineRule="exact"/>
        <w:ind w:left="413"/>
        <w:jc w:val="left"/>
        <w:rPr>
          <w:rFonts w:ascii="宋体" w:hAnsi="宋体" w:cs="宋体"/>
          <w:color w:val="auto"/>
          <w:szCs w:val="21"/>
        </w:rPr>
      </w:pPr>
      <w:r>
        <w:rPr>
          <w:rFonts w:hint="eastAsia" w:ascii="宋体" w:hAnsi="宋体" w:cs="宋体"/>
          <w:color w:val="auto"/>
          <w:szCs w:val="21"/>
        </w:rPr>
        <w:t>（5）商务条款偏离表（格式见附件）；</w:t>
      </w:r>
    </w:p>
    <w:p>
      <w:pPr>
        <w:snapToGrid w:val="0"/>
        <w:spacing w:line="400" w:lineRule="exact"/>
        <w:ind w:left="413"/>
        <w:jc w:val="left"/>
        <w:rPr>
          <w:rFonts w:ascii="宋体" w:hAnsi="宋体" w:cs="宋体"/>
          <w:color w:val="auto"/>
          <w:szCs w:val="21"/>
        </w:rPr>
      </w:pPr>
      <w:r>
        <w:rPr>
          <w:rFonts w:hint="eastAsia" w:ascii="宋体" w:hAnsi="宋体" w:cs="宋体"/>
          <w:color w:val="auto"/>
          <w:szCs w:val="21"/>
        </w:rPr>
        <w:t>（6）项目负责人简介（格式见附件）；</w:t>
      </w:r>
    </w:p>
    <w:p>
      <w:pPr>
        <w:snapToGrid w:val="0"/>
        <w:spacing w:line="400" w:lineRule="exact"/>
        <w:ind w:left="413"/>
        <w:jc w:val="left"/>
        <w:rPr>
          <w:rFonts w:ascii="宋体" w:hAnsi="宋体" w:cs="宋体"/>
          <w:color w:val="auto"/>
          <w:szCs w:val="21"/>
        </w:rPr>
      </w:pPr>
      <w:r>
        <w:rPr>
          <w:rFonts w:hint="eastAsia" w:ascii="宋体" w:hAnsi="宋体" w:cs="宋体"/>
          <w:color w:val="auto"/>
          <w:szCs w:val="21"/>
        </w:rPr>
        <w:t>（7）项目人员配置（格式见附件）；</w:t>
      </w:r>
    </w:p>
    <w:p>
      <w:pPr>
        <w:snapToGrid w:val="0"/>
        <w:spacing w:line="400" w:lineRule="exact"/>
        <w:ind w:left="413"/>
        <w:jc w:val="left"/>
        <w:rPr>
          <w:rFonts w:ascii="宋体" w:hAnsi="宋体" w:cs="宋体"/>
          <w:color w:val="auto"/>
          <w:szCs w:val="21"/>
        </w:rPr>
      </w:pPr>
      <w:r>
        <w:rPr>
          <w:rFonts w:hint="eastAsia" w:ascii="宋体" w:hAnsi="宋体" w:cs="宋体"/>
          <w:color w:val="auto"/>
          <w:szCs w:val="21"/>
        </w:rPr>
        <w:t>（8）技术条款偏离表（格式见附件）；</w:t>
      </w:r>
    </w:p>
    <w:p>
      <w:pPr>
        <w:snapToGrid w:val="0"/>
        <w:spacing w:line="400" w:lineRule="exact"/>
        <w:ind w:left="413"/>
        <w:jc w:val="left"/>
        <w:rPr>
          <w:rFonts w:ascii="宋体" w:hAnsi="宋体" w:cs="宋体"/>
          <w:color w:val="auto"/>
          <w:szCs w:val="21"/>
        </w:rPr>
      </w:pPr>
      <w:r>
        <w:rPr>
          <w:rFonts w:hint="eastAsia" w:ascii="宋体" w:hAnsi="宋体" w:cs="宋体"/>
          <w:color w:val="auto"/>
          <w:szCs w:val="21"/>
        </w:rPr>
        <w:t>（9）评分标准或采购文件需要提供的证明材料（具体详见评分标准，格式自拟）；</w:t>
      </w:r>
    </w:p>
    <w:p>
      <w:pPr>
        <w:snapToGrid w:val="0"/>
        <w:spacing w:line="400" w:lineRule="exact"/>
        <w:ind w:left="413"/>
        <w:jc w:val="left"/>
        <w:rPr>
          <w:rFonts w:ascii="宋体" w:hAnsi="宋体" w:cs="宋体"/>
          <w:color w:val="auto"/>
          <w:szCs w:val="21"/>
        </w:rPr>
      </w:pPr>
      <w:r>
        <w:rPr>
          <w:rFonts w:hint="eastAsia" w:ascii="宋体" w:hAnsi="宋体" w:cs="宋体"/>
          <w:color w:val="auto"/>
          <w:szCs w:val="21"/>
        </w:rPr>
        <w:t>（10）投标人认为有必要提交的其他商务技术说明文件和资料。</w:t>
      </w:r>
    </w:p>
    <w:p>
      <w:pPr>
        <w:snapToGrid w:val="0"/>
        <w:spacing w:line="400" w:lineRule="exact"/>
        <w:ind w:left="413"/>
        <w:jc w:val="left"/>
        <w:rPr>
          <w:rFonts w:ascii="宋体" w:hAnsi="宋体" w:cs="宋体"/>
          <w:b/>
          <w:color w:val="auto"/>
          <w:szCs w:val="21"/>
        </w:rPr>
      </w:pPr>
      <w:r>
        <w:rPr>
          <w:rFonts w:hint="eastAsia" w:ascii="宋体" w:hAnsi="宋体" w:cs="宋体"/>
          <w:b/>
          <w:color w:val="auto"/>
          <w:szCs w:val="21"/>
        </w:rPr>
        <w:t>3.报价文件包括以下内容：</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（1）投标函(格式见附件)；</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（2）开标一览表(格式见附件)；</w:t>
      </w:r>
    </w:p>
    <w:p>
      <w:pPr>
        <w:snapToGrid w:val="0"/>
        <w:spacing w:line="400" w:lineRule="exact"/>
        <w:ind w:firstLine="420" w:firstLineChars="200"/>
        <w:jc w:val="left"/>
        <w:rPr>
          <w:color w:val="auto"/>
          <w:szCs w:val="21"/>
        </w:rPr>
      </w:pPr>
      <w:r>
        <w:rPr>
          <w:color w:val="auto"/>
          <w:szCs w:val="21"/>
        </w:rPr>
        <w:t>（</w:t>
      </w:r>
      <w:r>
        <w:rPr>
          <w:rFonts w:hint="eastAsia"/>
          <w:color w:val="auto"/>
          <w:szCs w:val="21"/>
        </w:rPr>
        <w:t>3</w:t>
      </w:r>
      <w:r>
        <w:rPr>
          <w:color w:val="auto"/>
          <w:szCs w:val="21"/>
        </w:rPr>
        <w:t>）中小企业声明函（若有，格式见附件）</w:t>
      </w:r>
      <w:r>
        <w:rPr>
          <w:rFonts w:hint="eastAsia"/>
          <w:color w:val="auto"/>
          <w:szCs w:val="21"/>
        </w:rPr>
        <w:t>；</w:t>
      </w:r>
    </w:p>
    <w:p>
      <w:pPr>
        <w:snapToGrid w:val="0"/>
        <w:spacing w:line="400" w:lineRule="exact"/>
        <w:ind w:firstLine="420" w:firstLineChars="200"/>
        <w:jc w:val="left"/>
        <w:rPr>
          <w:color w:val="auto"/>
          <w:szCs w:val="21"/>
        </w:rPr>
      </w:pPr>
      <w:r>
        <w:rPr>
          <w:color w:val="auto"/>
          <w:szCs w:val="21"/>
        </w:rPr>
        <w:t>本项目为非专门面向中小企业采购的项目，如果</w:t>
      </w:r>
      <w:r>
        <w:rPr>
          <w:rFonts w:hint="eastAsia"/>
          <w:color w:val="auto"/>
          <w:szCs w:val="21"/>
        </w:rPr>
        <w:t>投标人</w:t>
      </w:r>
      <w:r>
        <w:rPr>
          <w:color w:val="auto"/>
          <w:szCs w:val="21"/>
        </w:rPr>
        <w:t>和制造商均为小微企业，提供《中小企业声明函》。如未按照要求提供，将不得享受评标标准中注明的针对小微企业的价格扣除优惠</w:t>
      </w:r>
      <w:r>
        <w:rPr>
          <w:rFonts w:hint="eastAsia"/>
          <w:color w:val="auto"/>
          <w:szCs w:val="21"/>
        </w:rPr>
        <w:t>。</w:t>
      </w:r>
    </w:p>
    <w:p>
      <w:pPr>
        <w:snapToGrid w:val="0"/>
        <w:spacing w:line="400" w:lineRule="exact"/>
        <w:ind w:firstLine="420" w:firstLineChars="200"/>
        <w:jc w:val="left"/>
        <w:rPr>
          <w:color w:val="auto"/>
          <w:szCs w:val="21"/>
        </w:rPr>
      </w:pPr>
      <w:r>
        <w:rPr>
          <w:color w:val="auto"/>
          <w:szCs w:val="21"/>
        </w:rPr>
        <w:t>（</w:t>
      </w:r>
      <w:r>
        <w:rPr>
          <w:rFonts w:hint="eastAsia"/>
          <w:color w:val="auto"/>
          <w:szCs w:val="21"/>
        </w:rPr>
        <w:t>4</w:t>
      </w:r>
      <w:r>
        <w:rPr>
          <w:color w:val="auto"/>
          <w:szCs w:val="21"/>
        </w:rPr>
        <w:t>）残疾人福利性单位声明函（若有，格式见附件）</w:t>
      </w:r>
      <w:r>
        <w:rPr>
          <w:rFonts w:hint="eastAsia"/>
          <w:color w:val="auto"/>
          <w:szCs w:val="21"/>
        </w:rPr>
        <w:t>；</w:t>
      </w:r>
    </w:p>
    <w:p>
      <w:pPr>
        <w:snapToGrid w:val="0"/>
        <w:spacing w:line="400" w:lineRule="exact"/>
        <w:ind w:firstLine="420" w:firstLineChars="200"/>
        <w:jc w:val="left"/>
        <w:rPr>
          <w:color w:val="auto"/>
          <w:szCs w:val="21"/>
        </w:rPr>
      </w:pPr>
      <w:r>
        <w:rPr>
          <w:color w:val="auto"/>
          <w:szCs w:val="21"/>
        </w:rPr>
        <w:t>（</w:t>
      </w:r>
      <w:r>
        <w:rPr>
          <w:rFonts w:hint="eastAsia"/>
          <w:color w:val="auto"/>
          <w:szCs w:val="21"/>
        </w:rPr>
        <w:t>5</w:t>
      </w:r>
      <w:r>
        <w:rPr>
          <w:color w:val="auto"/>
          <w:szCs w:val="21"/>
        </w:rPr>
        <w:t>）投标人针对报价需要说明的其他文件和说明</w:t>
      </w:r>
      <w:r>
        <w:rPr>
          <w:rFonts w:hint="eastAsia"/>
          <w:color w:val="auto"/>
          <w:szCs w:val="21"/>
        </w:rPr>
        <w:t>。</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4.上述组成投标文件的各项资料中本招标文件的有规定格式的，应统一按本招标文件的规定格式填写。未有规定格式的资料，投标人应自行编制，但至少要包含以上要求的内容。</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5.投标文件在提供对投标产品技术条款响应表的应答时，对招标文件有技术数值要求的参数，应以投标货物的具体技术数值据实应答；对于招标文件无数值要求的参数的应答，应作出明确、直接、无导致两种理解可能的应答。</w:t>
      </w:r>
    </w:p>
    <w:p>
      <w:pPr>
        <w:rPr>
          <w:b/>
          <w:bCs/>
          <w:color w:val="auto"/>
        </w:rPr>
      </w:pPr>
      <w:bookmarkStart w:id="152" w:name="_Toc17707928"/>
      <w:bookmarkStart w:id="153" w:name="_Toc28355"/>
      <w:bookmarkStart w:id="154" w:name="_Toc79395456"/>
      <w:bookmarkStart w:id="155" w:name="_Toc460857914"/>
      <w:bookmarkStart w:id="156" w:name="_Toc460416655"/>
      <w:bookmarkStart w:id="157" w:name="_Toc24666"/>
      <w:bookmarkStart w:id="158" w:name="_Toc460416350"/>
      <w:r>
        <w:rPr>
          <w:rFonts w:hint="eastAsia"/>
          <w:b/>
          <w:bCs/>
          <w:color w:val="auto"/>
        </w:rPr>
        <w:t>（二）投标文件的语言及计量</w:t>
      </w:r>
      <w:bookmarkEnd w:id="152"/>
      <w:bookmarkEnd w:id="153"/>
      <w:bookmarkEnd w:id="154"/>
      <w:bookmarkEnd w:id="155"/>
      <w:bookmarkEnd w:id="156"/>
      <w:bookmarkEnd w:id="157"/>
      <w:bookmarkEnd w:id="158"/>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2.投标计量单位，采购文件已有明确规定的，使用采购文件规定的计量单位；采购文件没有规定的，应采用中华人民共和国法定计量单位（货币单位：人民币元），否则视同未响应。</w:t>
      </w:r>
    </w:p>
    <w:p>
      <w:pPr>
        <w:rPr>
          <w:b/>
          <w:bCs/>
          <w:color w:val="auto"/>
        </w:rPr>
      </w:pPr>
      <w:bookmarkStart w:id="159" w:name="_Toc12050"/>
      <w:bookmarkStart w:id="160" w:name="_Toc460416656"/>
      <w:bookmarkStart w:id="161" w:name="_Toc17707929"/>
      <w:bookmarkStart w:id="162" w:name="_Toc460416351"/>
      <w:bookmarkStart w:id="163" w:name="_Toc79395457"/>
      <w:bookmarkStart w:id="164" w:name="_Toc460857915"/>
      <w:bookmarkStart w:id="165" w:name="_Toc22085"/>
      <w:r>
        <w:rPr>
          <w:rFonts w:hint="eastAsia"/>
          <w:b/>
          <w:bCs/>
          <w:color w:val="auto"/>
        </w:rPr>
        <w:t>（三）投标报价</w:t>
      </w:r>
      <w:bookmarkEnd w:id="159"/>
      <w:bookmarkEnd w:id="160"/>
      <w:bookmarkEnd w:id="161"/>
      <w:bookmarkEnd w:id="162"/>
      <w:bookmarkEnd w:id="163"/>
      <w:bookmarkEnd w:id="164"/>
      <w:bookmarkEnd w:id="165"/>
    </w:p>
    <w:p>
      <w:pPr>
        <w:pStyle w:val="21"/>
        <w:snapToGrid w:val="0"/>
        <w:spacing w:beforeLines="0" w:afterLines="0"/>
        <w:ind w:firstLine="420" w:firstLineChars="200"/>
        <w:jc w:val="left"/>
        <w:rPr>
          <w:rFonts w:hAnsi="宋体" w:cs="宋体"/>
          <w:color w:val="auto"/>
          <w:sz w:val="21"/>
          <w:szCs w:val="21"/>
        </w:rPr>
      </w:pPr>
      <w:r>
        <w:rPr>
          <w:rFonts w:hint="eastAsia" w:hAnsi="宋体" w:cs="宋体"/>
          <w:color w:val="auto"/>
          <w:sz w:val="21"/>
          <w:szCs w:val="21"/>
        </w:rPr>
        <w:t>1.投标报价应按采购文件中相关附表格式填写。</w:t>
      </w:r>
    </w:p>
    <w:p>
      <w:pPr>
        <w:tabs>
          <w:tab w:val="left" w:pos="525"/>
        </w:tabs>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2.投标文件只允许有一个报价，有选择的或有条件的报价将不予接受。</w:t>
      </w:r>
    </w:p>
    <w:p>
      <w:pPr>
        <w:rPr>
          <w:b/>
          <w:bCs/>
          <w:color w:val="auto"/>
        </w:rPr>
      </w:pPr>
      <w:bookmarkStart w:id="166" w:name="_Toc460857916"/>
      <w:bookmarkStart w:id="167" w:name="_Toc17707930"/>
      <w:bookmarkStart w:id="168" w:name="_Toc31899"/>
      <w:bookmarkStart w:id="169" w:name="_Toc24337"/>
      <w:bookmarkStart w:id="170" w:name="_Toc79395458"/>
      <w:r>
        <w:rPr>
          <w:rFonts w:hint="eastAsia"/>
          <w:b/>
          <w:bCs/>
          <w:color w:val="auto"/>
        </w:rPr>
        <w:t>（四）投标文件的有效期</w:t>
      </w:r>
      <w:bookmarkEnd w:id="166"/>
      <w:bookmarkEnd w:id="167"/>
      <w:bookmarkEnd w:id="168"/>
      <w:bookmarkEnd w:id="169"/>
      <w:bookmarkEnd w:id="170"/>
    </w:p>
    <w:p>
      <w:pPr>
        <w:pStyle w:val="10"/>
        <w:widowControl w:val="0"/>
        <w:tabs>
          <w:tab w:val="clear" w:pos="454"/>
        </w:tabs>
        <w:snapToGrid w:val="0"/>
        <w:spacing w:afterLines="0" w:line="400" w:lineRule="exact"/>
        <w:ind w:left="0" w:firstLine="422" w:firstLineChars="200"/>
        <w:rPr>
          <w:rFonts w:ascii="宋体" w:hAnsi="宋体" w:cs="宋体"/>
          <w:b/>
          <w:color w:val="auto"/>
          <w:sz w:val="21"/>
          <w:szCs w:val="21"/>
        </w:rPr>
      </w:pPr>
      <w:r>
        <w:rPr>
          <w:rFonts w:hint="eastAsia" w:ascii="宋体" w:hAnsi="宋体" w:cs="宋体"/>
          <w:b/>
          <w:color w:val="auto"/>
          <w:sz w:val="21"/>
          <w:szCs w:val="21"/>
        </w:rPr>
        <w:t>*1.自投标截止日起</w:t>
      </w:r>
      <w:r>
        <w:rPr>
          <w:rFonts w:hint="eastAsia" w:ascii="宋体" w:hAnsi="宋体" w:cs="宋体"/>
          <w:b/>
          <w:color w:val="auto"/>
          <w:sz w:val="21"/>
          <w:szCs w:val="21"/>
          <w:u w:val="single"/>
        </w:rPr>
        <w:t xml:space="preserve"> 90 </w:t>
      </w:r>
      <w:r>
        <w:rPr>
          <w:rFonts w:hint="eastAsia" w:ascii="宋体" w:hAnsi="宋体" w:cs="宋体"/>
          <w:b/>
          <w:color w:val="auto"/>
          <w:sz w:val="21"/>
          <w:szCs w:val="21"/>
        </w:rPr>
        <w:t>天投标文件应保持有效，有效期不足的投标文件将被拒绝。</w:t>
      </w:r>
    </w:p>
    <w:p>
      <w:pPr>
        <w:pStyle w:val="10"/>
        <w:widowControl w:val="0"/>
        <w:tabs>
          <w:tab w:val="clear" w:pos="454"/>
        </w:tabs>
        <w:snapToGrid w:val="0"/>
        <w:spacing w:afterLines="0" w:line="400" w:lineRule="exact"/>
        <w:ind w:left="0" w:firstLine="420" w:firstLineChars="200"/>
        <w:rPr>
          <w:rFonts w:ascii="宋体" w:hAnsi="宋体" w:cs="宋体"/>
          <w:color w:val="auto"/>
          <w:sz w:val="21"/>
          <w:szCs w:val="21"/>
        </w:rPr>
      </w:pPr>
      <w:r>
        <w:rPr>
          <w:rFonts w:hint="eastAsia" w:ascii="宋体" w:hAnsi="宋体" w:cs="宋体"/>
          <w:color w:val="auto"/>
          <w:sz w:val="21"/>
          <w:szCs w:val="21"/>
        </w:rPr>
        <w:t>2.在特殊情况下，采购人可与投标人协商延长投标书的有效期，这种要求和答复均以书面形式进行。</w:t>
      </w:r>
    </w:p>
    <w:p>
      <w:pPr>
        <w:pStyle w:val="10"/>
        <w:widowControl w:val="0"/>
        <w:tabs>
          <w:tab w:val="clear" w:pos="454"/>
        </w:tabs>
        <w:snapToGrid w:val="0"/>
        <w:spacing w:afterLines="0" w:line="400" w:lineRule="exact"/>
        <w:ind w:left="0" w:firstLine="420" w:firstLineChars="200"/>
        <w:rPr>
          <w:rFonts w:ascii="宋体" w:hAnsi="宋体" w:cs="宋体"/>
          <w:color w:val="auto"/>
          <w:sz w:val="21"/>
          <w:szCs w:val="21"/>
        </w:rPr>
      </w:pPr>
      <w:bookmarkStart w:id="171" w:name="_Toc460416657"/>
      <w:bookmarkStart w:id="172" w:name="_Toc460416352"/>
      <w:r>
        <w:rPr>
          <w:rFonts w:hint="eastAsia" w:ascii="宋体" w:hAnsi="宋体" w:cs="宋体"/>
          <w:color w:val="auto"/>
          <w:sz w:val="21"/>
          <w:szCs w:val="21"/>
        </w:rPr>
        <w:t>3.投标人可拒绝接受延期要求。同意延长有效期的投标人，不能修改投标文件。</w:t>
      </w:r>
      <w:bookmarkEnd w:id="171"/>
      <w:bookmarkEnd w:id="172"/>
      <w:r>
        <w:rPr>
          <w:rFonts w:hint="eastAsia" w:ascii="宋体" w:hAnsi="宋体" w:cs="宋体"/>
          <w:color w:val="auto"/>
          <w:sz w:val="21"/>
          <w:szCs w:val="21"/>
        </w:rPr>
        <w:t xml:space="preserve"> </w:t>
      </w:r>
    </w:p>
    <w:p>
      <w:pPr>
        <w:pStyle w:val="10"/>
        <w:widowControl w:val="0"/>
        <w:tabs>
          <w:tab w:val="clear" w:pos="454"/>
        </w:tabs>
        <w:snapToGrid w:val="0"/>
        <w:spacing w:afterLines="0" w:line="400" w:lineRule="exact"/>
        <w:ind w:left="0" w:firstLine="420" w:firstLineChars="200"/>
        <w:rPr>
          <w:rFonts w:ascii="宋体" w:hAnsi="宋体" w:cs="宋体"/>
          <w:color w:val="auto"/>
          <w:sz w:val="21"/>
          <w:szCs w:val="21"/>
        </w:rPr>
      </w:pPr>
      <w:bookmarkStart w:id="173" w:name="_Toc460416658"/>
      <w:bookmarkStart w:id="174" w:name="_Toc460416353"/>
      <w:r>
        <w:rPr>
          <w:rFonts w:hint="eastAsia" w:ascii="宋体" w:hAnsi="宋体" w:cs="宋体"/>
          <w:color w:val="auto"/>
          <w:sz w:val="21"/>
          <w:szCs w:val="21"/>
        </w:rPr>
        <w:t>4.中标人的投标文件自开标之日起至合同履行完毕止均应保持有效。</w:t>
      </w:r>
      <w:bookmarkEnd w:id="173"/>
      <w:bookmarkEnd w:id="174"/>
    </w:p>
    <w:p>
      <w:pPr>
        <w:rPr>
          <w:b/>
          <w:bCs/>
          <w:color w:val="auto"/>
        </w:rPr>
      </w:pPr>
      <w:bookmarkStart w:id="175" w:name="_Toc460857918"/>
      <w:bookmarkStart w:id="176" w:name="_Toc17707932"/>
      <w:bookmarkStart w:id="177" w:name="_Toc460416355"/>
      <w:bookmarkStart w:id="178" w:name="_Toc460416660"/>
      <w:bookmarkStart w:id="179" w:name="_Toc9312"/>
      <w:bookmarkStart w:id="180" w:name="_Toc79395459"/>
      <w:bookmarkStart w:id="181" w:name="_Toc18151"/>
      <w:r>
        <w:rPr>
          <w:rFonts w:hint="eastAsia"/>
          <w:b/>
          <w:bCs/>
          <w:color w:val="auto"/>
        </w:rPr>
        <w:t>（五）投标文件的盖章、签署、份数</w:t>
      </w:r>
      <w:bookmarkEnd w:id="175"/>
      <w:bookmarkEnd w:id="176"/>
      <w:bookmarkEnd w:id="177"/>
      <w:bookmarkEnd w:id="178"/>
      <w:r>
        <w:rPr>
          <w:rFonts w:hint="eastAsia"/>
          <w:b/>
          <w:bCs/>
          <w:color w:val="auto"/>
        </w:rPr>
        <w:t>、要求及效力</w:t>
      </w:r>
      <w:bookmarkEnd w:id="179"/>
      <w:bookmarkEnd w:id="180"/>
      <w:bookmarkEnd w:id="181"/>
    </w:p>
    <w:p>
      <w:pPr>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1.投标人应按本采购文件规定的格式和顺序编制、装订投标文件，投标文件要求有目录并标注页码，投标文件内容不完整、编排混乱导致投标文件被误读、漏读或者查找不到相关内容的，是投标人的责任。</w:t>
      </w:r>
    </w:p>
    <w:p>
      <w:pPr>
        <w:spacing w:line="400" w:lineRule="exact"/>
        <w:ind w:firstLine="422" w:firstLineChars="200"/>
        <w:rPr>
          <w:rFonts w:ascii="宋体" w:hAnsi="宋体" w:cs="宋体"/>
          <w:b/>
          <w:bCs/>
          <w:color w:val="auto"/>
          <w:kern w:val="0"/>
          <w:szCs w:val="21"/>
        </w:rPr>
      </w:pPr>
      <w:r>
        <w:rPr>
          <w:rFonts w:hint="eastAsia" w:ascii="宋体" w:hAnsi="宋体" w:cs="宋体"/>
          <w:b/>
          <w:bCs/>
          <w:color w:val="auto"/>
          <w:kern w:val="0"/>
          <w:szCs w:val="21"/>
        </w:rPr>
        <w:t>2.投标文件的份数：</w:t>
      </w:r>
    </w:p>
    <w:p>
      <w:pPr>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本项目投标人应准备以下投标文件：</w:t>
      </w:r>
    </w:p>
    <w:p>
      <w:pPr>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（1）上传到政府采购云平台的电子投标文件（含资格证明文件、商务技术文件、报价文件）1份；</w:t>
      </w:r>
    </w:p>
    <w:p>
      <w:pPr>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（2）以U盘存储的电子备份投标文件（含资格证明文件、商务技术文件、报价文件）1份</w:t>
      </w:r>
      <w:r>
        <w:rPr>
          <w:rFonts w:hint="eastAsia" w:ascii="宋体" w:hAnsi="宋体"/>
          <w:color w:val="auto"/>
          <w:szCs w:val="21"/>
        </w:rPr>
        <w:t>（自愿提供，用于异常处理）</w:t>
      </w:r>
      <w:r>
        <w:rPr>
          <w:rFonts w:hint="eastAsia" w:ascii="宋体" w:hAnsi="宋体" w:cs="宋体"/>
          <w:color w:val="auto"/>
          <w:kern w:val="0"/>
          <w:szCs w:val="21"/>
        </w:rPr>
        <w:t>；</w:t>
      </w:r>
    </w:p>
    <w:p>
      <w:pPr>
        <w:spacing w:line="400" w:lineRule="exact"/>
        <w:ind w:firstLine="422" w:firstLineChars="200"/>
        <w:rPr>
          <w:rFonts w:ascii="宋体" w:hAnsi="宋体" w:cs="宋体"/>
          <w:b/>
          <w:bCs/>
          <w:color w:val="auto"/>
          <w:kern w:val="0"/>
          <w:szCs w:val="21"/>
        </w:rPr>
      </w:pPr>
      <w:r>
        <w:rPr>
          <w:rFonts w:hint="eastAsia" w:ascii="宋体" w:hAnsi="宋体" w:cs="宋体"/>
          <w:b/>
          <w:bCs/>
          <w:color w:val="auto"/>
          <w:kern w:val="0"/>
          <w:szCs w:val="21"/>
        </w:rPr>
        <w:t>3.电子投标文件：</w:t>
      </w:r>
    </w:p>
    <w:p>
      <w:pPr>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投标人应根据</w:t>
      </w:r>
      <w:r>
        <w:rPr>
          <w:rFonts w:hint="eastAsia" w:ascii="宋体" w:hAnsi="宋体" w:cs="宋体"/>
          <w:color w:val="auto"/>
          <w:szCs w:val="21"/>
        </w:rPr>
        <w:t>“政采云投标人项目采购-电子招投标操作指南”</w:t>
      </w:r>
      <w:r>
        <w:rPr>
          <w:rFonts w:hint="eastAsia" w:ascii="宋体" w:hAnsi="宋体" w:cs="宋体"/>
          <w:color w:val="auto"/>
          <w:kern w:val="0"/>
          <w:szCs w:val="21"/>
        </w:rPr>
        <w:t>及本采购文件规定的格式和顺序编制电子投标文件并进行关联定位。</w:t>
      </w:r>
    </w:p>
    <w:p>
      <w:pPr>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4.投标文件的效力：</w:t>
      </w:r>
    </w:p>
    <w:p>
      <w:pPr>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投标文件的启用，按先后顺位分别为“电子加密投标文件”→“电子备份投标文件”。在下一顺位的投标文件启用时，前一顺位的投标文件自动失效。</w:t>
      </w:r>
    </w:p>
    <w:p>
      <w:pPr>
        <w:rPr>
          <w:b/>
          <w:bCs/>
          <w:color w:val="auto"/>
        </w:rPr>
      </w:pPr>
      <w:bookmarkStart w:id="182" w:name="_Toc2089"/>
      <w:bookmarkStart w:id="183" w:name="_Toc79395460"/>
      <w:bookmarkStart w:id="184" w:name="_Toc934"/>
      <w:bookmarkStart w:id="185" w:name="_Toc460857919"/>
      <w:bookmarkStart w:id="186" w:name="_Toc17707933"/>
      <w:r>
        <w:rPr>
          <w:rFonts w:hint="eastAsia"/>
          <w:b/>
          <w:bCs/>
          <w:color w:val="auto"/>
        </w:rPr>
        <w:t>（六）投标文件的包装、递交、修改和撤回</w:t>
      </w:r>
      <w:bookmarkEnd w:id="182"/>
      <w:bookmarkEnd w:id="183"/>
      <w:bookmarkEnd w:id="184"/>
      <w:bookmarkEnd w:id="185"/>
      <w:bookmarkEnd w:id="186"/>
    </w:p>
    <w:p>
      <w:pPr>
        <w:snapToGrid w:val="0"/>
        <w:spacing w:line="400" w:lineRule="exact"/>
        <w:ind w:firstLine="420"/>
        <w:jc w:val="left"/>
        <w:rPr>
          <w:rFonts w:ascii="宋体" w:hAnsi="宋体" w:cs="宋体"/>
          <w:color w:val="auto"/>
          <w:kern w:val="0"/>
          <w:szCs w:val="21"/>
        </w:rPr>
      </w:pPr>
      <w:r>
        <w:rPr>
          <w:rFonts w:hint="eastAsia" w:ascii="宋体" w:hAnsi="宋体" w:cs="宋体"/>
          <w:color w:val="auto"/>
          <w:kern w:val="0"/>
          <w:szCs w:val="21"/>
        </w:rPr>
        <w:t>1.以U盘存储的电子备份投标文件用封袋密封后递交。</w:t>
      </w:r>
    </w:p>
    <w:p>
      <w:pPr>
        <w:snapToGrid w:val="0"/>
        <w:spacing w:line="400" w:lineRule="exact"/>
        <w:ind w:firstLine="420"/>
        <w:jc w:val="left"/>
        <w:rPr>
          <w:rFonts w:ascii="宋体" w:hAnsi="宋体" w:cs="宋体"/>
          <w:color w:val="auto"/>
          <w:kern w:val="0"/>
          <w:szCs w:val="21"/>
        </w:rPr>
      </w:pPr>
      <w:r>
        <w:rPr>
          <w:rFonts w:hint="eastAsia" w:ascii="宋体" w:hAnsi="宋体" w:cs="宋体"/>
          <w:color w:val="auto"/>
          <w:kern w:val="0"/>
          <w:szCs w:val="21"/>
        </w:rPr>
        <w:t>2.投标文件的包装封面上应注明投标人名称、投标人地址、投标文件名称(电子备份投标文件)、投标项目名称、项目编号、子包号，并加盖投标人公章。</w:t>
      </w:r>
    </w:p>
    <w:p>
      <w:pPr>
        <w:snapToGrid w:val="0"/>
        <w:spacing w:line="400" w:lineRule="exact"/>
        <w:ind w:firstLine="420"/>
        <w:jc w:val="left"/>
        <w:rPr>
          <w:rFonts w:ascii="宋体" w:hAnsi="宋体" w:cs="宋体"/>
          <w:color w:val="auto"/>
          <w:kern w:val="0"/>
          <w:szCs w:val="21"/>
        </w:rPr>
      </w:pPr>
      <w:r>
        <w:rPr>
          <w:rFonts w:hint="eastAsia" w:ascii="宋体" w:hAnsi="宋体" w:cs="宋体"/>
          <w:color w:val="auto"/>
          <w:kern w:val="0"/>
          <w:szCs w:val="21"/>
        </w:rPr>
        <w:t>3.未按规定密封或标记的投标文件将被拒绝，由此造成投标文件被误投或提前拆封的风险由投标人承担。</w:t>
      </w:r>
    </w:p>
    <w:p>
      <w:pPr>
        <w:snapToGrid w:val="0"/>
        <w:spacing w:line="400" w:lineRule="exact"/>
        <w:ind w:firstLine="420"/>
        <w:jc w:val="left"/>
        <w:rPr>
          <w:rFonts w:ascii="宋体" w:hAnsi="宋体" w:cs="宋体"/>
          <w:color w:val="auto"/>
          <w:kern w:val="0"/>
          <w:szCs w:val="21"/>
        </w:rPr>
      </w:pPr>
      <w:r>
        <w:rPr>
          <w:rFonts w:hint="eastAsia" w:ascii="宋体" w:hAnsi="宋体" w:cs="宋体"/>
          <w:color w:val="auto"/>
          <w:kern w:val="0"/>
          <w:szCs w:val="21"/>
        </w:rPr>
        <w:t>4.投标人在投标截止时间之前，可以对已提交的电子备份投标文件进行修改或撤回，并书面通知招标采购单位。投标截止时间后，投标人不得撤回、修改投标文件。修改后重新递交的电子备份投标文件应当按本采购文件的要求签署、盖章和密封。</w:t>
      </w:r>
    </w:p>
    <w:p>
      <w:pPr>
        <w:snapToGrid w:val="0"/>
        <w:spacing w:line="400" w:lineRule="exact"/>
        <w:ind w:firstLine="420"/>
        <w:jc w:val="left"/>
        <w:rPr>
          <w:rFonts w:ascii="宋体" w:hAnsi="宋体" w:cs="宋体"/>
          <w:color w:val="auto"/>
          <w:kern w:val="0"/>
          <w:szCs w:val="21"/>
        </w:rPr>
      </w:pPr>
      <w:r>
        <w:rPr>
          <w:rFonts w:hint="eastAsia" w:ascii="宋体" w:hAnsi="宋体" w:cs="宋体"/>
          <w:color w:val="auto"/>
          <w:kern w:val="0"/>
          <w:szCs w:val="21"/>
        </w:rPr>
        <w:t>5.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rPr>
          <w:b/>
          <w:bCs/>
          <w:color w:val="auto"/>
        </w:rPr>
      </w:pPr>
      <w:bookmarkStart w:id="187" w:name="_Toc460416661"/>
      <w:bookmarkStart w:id="188" w:name="_Toc7109"/>
      <w:bookmarkStart w:id="189" w:name="_Toc79395461"/>
      <w:bookmarkStart w:id="190" w:name="_Toc17707934"/>
      <w:bookmarkStart w:id="191" w:name="_Toc460857920"/>
      <w:bookmarkStart w:id="192" w:name="_Toc2821"/>
      <w:bookmarkStart w:id="193" w:name="_Toc460416356"/>
      <w:r>
        <w:rPr>
          <w:rFonts w:hint="eastAsia"/>
          <w:b/>
          <w:bCs/>
          <w:color w:val="auto"/>
        </w:rPr>
        <w:t>（七）投标无效的情形</w:t>
      </w:r>
      <w:bookmarkEnd w:id="187"/>
      <w:bookmarkEnd w:id="188"/>
      <w:bookmarkEnd w:id="189"/>
      <w:bookmarkEnd w:id="190"/>
      <w:bookmarkEnd w:id="191"/>
      <w:bookmarkEnd w:id="192"/>
      <w:bookmarkEnd w:id="193"/>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实质上没有响应采购文件要求的投标将被视为无效投标，投标人不得通过修正或撤消不合要求的偏离或保留从而使其投标成为实质上响应的投标。投标无效情形详见第四章《评标办法及评分标准》。</w:t>
      </w:r>
    </w:p>
    <w:p>
      <w:pPr>
        <w:rPr>
          <w:b/>
          <w:bCs/>
          <w:color w:val="auto"/>
        </w:rPr>
      </w:pPr>
      <w:bookmarkStart w:id="194" w:name="_Toc79395474"/>
      <w:bookmarkStart w:id="195" w:name="_Toc3589"/>
      <w:bookmarkStart w:id="196" w:name="_Toc14989"/>
      <w:bookmarkStart w:id="197" w:name="_Toc27233"/>
      <w:bookmarkStart w:id="198" w:name="_Toc460857937"/>
      <w:bookmarkStart w:id="199" w:name="_Toc17707951"/>
      <w:r>
        <w:rPr>
          <w:rFonts w:hint="eastAsia"/>
          <w:b/>
          <w:bCs/>
          <w:color w:val="auto"/>
        </w:rPr>
        <w:t>特别说明</w:t>
      </w:r>
      <w:bookmarkEnd w:id="194"/>
      <w:bookmarkEnd w:id="195"/>
      <w:bookmarkEnd w:id="196"/>
      <w:bookmarkEnd w:id="197"/>
      <w:bookmarkEnd w:id="198"/>
      <w:bookmarkEnd w:id="199"/>
    </w:p>
    <w:p>
      <w:pPr>
        <w:tabs>
          <w:tab w:val="left" w:pos="518"/>
        </w:tabs>
        <w:adjustRightInd w:val="0"/>
        <w:snapToGrid w:val="0"/>
        <w:spacing w:line="400" w:lineRule="exact"/>
        <w:ind w:firstLine="422" w:firstLineChars="200"/>
        <w:rPr>
          <w:rFonts w:ascii="宋体" w:hAnsi="宋体" w:cs="宋体"/>
          <w:b/>
          <w:bCs/>
          <w:color w:val="auto"/>
          <w:szCs w:val="21"/>
        </w:rPr>
      </w:pPr>
      <w:r>
        <w:rPr>
          <w:rFonts w:hint="eastAsia" w:ascii="宋体" w:hAnsi="宋体" w:cs="宋体"/>
          <w:b/>
          <w:bCs/>
          <w:color w:val="auto"/>
          <w:szCs w:val="21"/>
        </w:rPr>
        <w:t>1.本项目</w:t>
      </w:r>
      <w:r>
        <w:rPr>
          <w:rFonts w:hint="eastAsia" w:ascii="宋体" w:hAnsi="宋体" w:cs="宋体"/>
          <w:b/>
          <w:bCs/>
          <w:color w:val="auto"/>
          <w:szCs w:val="21"/>
          <w:u w:val="single"/>
        </w:rPr>
        <w:t>非</w:t>
      </w:r>
      <w:r>
        <w:rPr>
          <w:rFonts w:hint="eastAsia" w:ascii="宋体" w:hAnsi="宋体" w:cs="宋体"/>
          <w:b/>
          <w:bCs/>
          <w:color w:val="auto"/>
          <w:szCs w:val="21"/>
        </w:rPr>
        <w:t>专门面向中小企业采购的项目。</w:t>
      </w:r>
    </w:p>
    <w:p>
      <w:pPr>
        <w:tabs>
          <w:tab w:val="left" w:pos="518"/>
        </w:tabs>
        <w:adjustRightInd w:val="0"/>
        <w:snapToGrid w:val="0"/>
        <w:spacing w:line="400" w:lineRule="exact"/>
        <w:ind w:firstLine="420" w:firstLineChars="200"/>
        <w:rPr>
          <w:rFonts w:ascii="宋体" w:hAnsi="宋体" w:cs="宋体"/>
          <w:b/>
          <w:bCs/>
          <w:color w:val="auto"/>
          <w:szCs w:val="21"/>
          <w:u w:val="single"/>
        </w:rPr>
      </w:pPr>
      <w:r>
        <w:rPr>
          <w:rFonts w:hint="eastAsia" w:ascii="宋体" w:hAnsi="宋体" w:cs="宋体"/>
          <w:color w:val="auto"/>
          <w:szCs w:val="21"/>
        </w:rPr>
        <w:t>2.本项目对应的中小企业划分标准所属行业：</w:t>
      </w:r>
      <w:r>
        <w:rPr>
          <w:rFonts w:hint="eastAsia" w:ascii="宋体" w:hAnsi="宋体" w:cs="宋体"/>
          <w:color w:val="auto"/>
          <w:szCs w:val="21"/>
          <w:u w:val="single"/>
        </w:rPr>
        <w:t>其他未列明行业。</w:t>
      </w:r>
    </w:p>
    <w:p>
      <w:pPr>
        <w:tabs>
          <w:tab w:val="left" w:pos="518"/>
        </w:tabs>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3.中小企业是指中华人民共和国境内依法设立，依据国务院批准的中小企业划分标准确定的中型企业、小型企业和微型企业，但与大企业的负责人为同一人，或者与大企业存在直接控股、管理关系的除外。</w:t>
      </w:r>
    </w:p>
    <w:p>
      <w:pPr>
        <w:tabs>
          <w:tab w:val="left" w:pos="518"/>
        </w:tabs>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符合中小企业划分标准的个体工商户，在政府采购活动中视同中小企业。</w:t>
      </w:r>
    </w:p>
    <w:p>
      <w:pPr>
        <w:tabs>
          <w:tab w:val="left" w:pos="518"/>
        </w:tabs>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4.在政府采购活动中，投标人提供的货物、工程或者服务符合下列情形的，可享受小型、微型企业（以下简称小微企业）的价格扣除：</w:t>
      </w:r>
    </w:p>
    <w:p>
      <w:pPr>
        <w:tabs>
          <w:tab w:val="left" w:pos="518"/>
        </w:tabs>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（1）在货物采购项目中，货物由小微企业制造，即货物由小微企业生产且使用该小微企业商号或者注册商标；</w:t>
      </w:r>
    </w:p>
    <w:p>
      <w:pPr>
        <w:tabs>
          <w:tab w:val="left" w:pos="518"/>
        </w:tabs>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（2）在工程采购项目中，工程由小微企业承建，即工程施工单位为小微企业；</w:t>
      </w:r>
    </w:p>
    <w:p>
      <w:pPr>
        <w:tabs>
          <w:tab w:val="left" w:pos="518"/>
        </w:tabs>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（3）在服务采购项目中，服务由小微企业承接，即提供服务的人员为小微企业依照《中华人民共和国劳动合同法》订立劳动合同的从业人员。</w:t>
      </w:r>
    </w:p>
    <w:p>
      <w:pPr>
        <w:tabs>
          <w:tab w:val="left" w:pos="518"/>
        </w:tabs>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以联合体形式参加政府采购活动，联合体各方均为小微企业的，联合体视同小微企业。</w:t>
      </w:r>
    </w:p>
    <w:p>
      <w:pPr>
        <w:tabs>
          <w:tab w:val="left" w:pos="518"/>
        </w:tabs>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5.在货物采购项目中，投标人提供的货物既有中小企业制造货物，也有大型企业制造货物的，不享受的小微企业价格扣除。</w:t>
      </w:r>
    </w:p>
    <w:p>
      <w:pPr>
        <w:tabs>
          <w:tab w:val="left" w:pos="518"/>
        </w:tabs>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6.对于非专门面向中小企业采购的采购项目，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可给予联合体6％（工程项目为 2%）的价格扣除，用扣除后的价格参与评审。组成联合体或者接受分包的小微企业与联合体内其他企业、分包企业之间存在直接控股、管理关系的，不享受价格扣除优惠政策。</w:t>
      </w:r>
    </w:p>
    <w:p>
      <w:pPr>
        <w:tabs>
          <w:tab w:val="left" w:pos="518"/>
        </w:tabs>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7.采购活动过程中，对投标人的“中小企业”资格认定，以投标人提交的《中小企业声明函》为准，投标人必须实事求是地提交声明函，如有虚假，将依法承担法律责任。如果在采购活动过程中相关采购当事人对投标人“中小企业”资格有异议的，由货物制造商或者工程、服务投标人注册登记所在地的县级以上人民政府中小企业主管部门负责认定。</w:t>
      </w:r>
    </w:p>
    <w:p>
      <w:pPr>
        <w:tabs>
          <w:tab w:val="left" w:pos="518"/>
        </w:tabs>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投标人提供声明函内容不实的，属于提供虚假材料谋取中标、成交，依照《中华人民共和国政府采购法》等国家有关规定追究相应责任。</w:t>
      </w:r>
    </w:p>
    <w:p>
      <w:pPr>
        <w:tabs>
          <w:tab w:val="left" w:pos="518"/>
        </w:tabs>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适用招标投标法的政府采购工程建设项目，投标人提供声明函内容不实的，属于弄虚作假骗取中标，依照《中华人民共和国招标投标法》等国家有关规定追究相应责任。</w:t>
      </w:r>
    </w:p>
    <w:p>
      <w:pPr>
        <w:tabs>
          <w:tab w:val="left" w:pos="518"/>
        </w:tabs>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8.按规定享受扶持政策获得政府采购合同的，小微企业不得将合同分包给大中型企业，中型企业不得将合同分包给大型企业。</w:t>
      </w:r>
    </w:p>
    <w:p>
      <w:pPr>
        <w:spacing w:line="400" w:lineRule="exact"/>
        <w:ind w:firstLine="420" w:firstLineChars="200"/>
        <w:rPr>
          <w:rFonts w:ascii="宋体" w:hAnsi="宋体" w:cs="宋体"/>
          <w:color w:val="auto"/>
          <w:szCs w:val="21"/>
        </w:rPr>
      </w:pPr>
      <w:r>
        <w:rPr>
          <w:rFonts w:hint="eastAsia" w:ascii="宋体" w:hAnsi="宋体" w:cs="宋体"/>
          <w:color w:val="auto"/>
          <w:szCs w:val="21"/>
        </w:rPr>
        <w:t>（三）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400" w:lineRule="exact"/>
        <w:ind w:firstLine="420" w:firstLineChars="200"/>
        <w:rPr>
          <w:rFonts w:ascii="宋体" w:hAnsi="宋体" w:cs="宋体"/>
          <w:color w:val="auto"/>
          <w:szCs w:val="21"/>
        </w:rPr>
      </w:pPr>
      <w:r>
        <w:rPr>
          <w:rFonts w:hint="eastAsia" w:ascii="宋体" w:hAnsi="宋体" w:cs="宋体"/>
          <w:color w:val="auto"/>
          <w:szCs w:val="21"/>
        </w:rPr>
        <w:t>（四）根据《关于促进残疾人就业政府采购政策的通知》（财库[2017]141号）规定，在政府采购活动中，残疾人福利性单位视同小型、微型企业。残疾人福利性单位参加政府采购活动时，提供《残疾人福利性单位声明函》。</w:t>
      </w:r>
    </w:p>
    <w:p>
      <w:pPr>
        <w:spacing w:line="400" w:lineRule="exact"/>
        <w:ind w:firstLine="422" w:firstLineChars="200"/>
        <w:rPr>
          <w:rFonts w:ascii="宋体" w:hAnsi="宋体" w:cs="宋体"/>
          <w:b/>
          <w:color w:val="auto"/>
          <w:szCs w:val="21"/>
        </w:rPr>
      </w:pPr>
    </w:p>
    <w:p>
      <w:pPr>
        <w:rPr>
          <w:color w:val="auto"/>
        </w:rPr>
      </w:pPr>
      <w:bookmarkStart w:id="200" w:name="_Toc14879"/>
      <w:bookmarkStart w:id="201" w:name="_Toc79395475"/>
      <w:bookmarkStart w:id="202" w:name="_Toc15374"/>
      <w:bookmarkStart w:id="203" w:name="_Toc17707952"/>
      <w:bookmarkStart w:id="204" w:name="_Toc25321"/>
    </w:p>
    <w:p>
      <w:pPr>
        <w:pStyle w:val="4"/>
        <w:spacing w:before="0" w:after="0" w:line="360" w:lineRule="auto"/>
        <w:jc w:val="center"/>
        <w:rPr>
          <w:rFonts w:ascii="宋体" w:hAnsi="宋体" w:cs="宋体"/>
          <w:b w:val="0"/>
          <w:bCs w:val="0"/>
          <w:color w:val="auto"/>
          <w:sz w:val="28"/>
          <w:szCs w:val="28"/>
        </w:rPr>
      </w:pPr>
      <w:bookmarkStart w:id="205" w:name="_Toc23421"/>
      <w:bookmarkStart w:id="206" w:name="_Toc10661"/>
      <w:r>
        <w:rPr>
          <w:rFonts w:hint="eastAsia" w:ascii="宋体" w:hAnsi="宋体" w:cs="宋体"/>
          <w:color w:val="auto"/>
          <w:sz w:val="30"/>
        </w:rPr>
        <w:br w:type="page"/>
      </w:r>
      <w:bookmarkStart w:id="207" w:name="_Toc7981"/>
      <w:r>
        <w:rPr>
          <w:rFonts w:hint="eastAsia" w:ascii="宋体" w:hAnsi="宋体" w:cs="宋体"/>
          <w:color w:val="auto"/>
          <w:sz w:val="30"/>
        </w:rPr>
        <w:t xml:space="preserve">第四章  </w:t>
      </w:r>
      <w:bookmarkStart w:id="208" w:name="_Hlk22492252"/>
      <w:r>
        <w:rPr>
          <w:rFonts w:hint="eastAsia" w:ascii="宋体" w:hAnsi="宋体" w:cs="宋体"/>
          <w:color w:val="auto"/>
          <w:sz w:val="30"/>
        </w:rPr>
        <w:t>评标办法及评分标准</w:t>
      </w:r>
      <w:bookmarkEnd w:id="200"/>
      <w:bookmarkEnd w:id="201"/>
      <w:bookmarkEnd w:id="202"/>
      <w:bookmarkEnd w:id="203"/>
      <w:bookmarkEnd w:id="204"/>
      <w:bookmarkEnd w:id="205"/>
      <w:bookmarkEnd w:id="206"/>
      <w:bookmarkEnd w:id="207"/>
      <w:bookmarkEnd w:id="208"/>
    </w:p>
    <w:p>
      <w:pPr>
        <w:rPr>
          <w:b/>
          <w:bCs/>
          <w:color w:val="auto"/>
        </w:rPr>
      </w:pPr>
      <w:bookmarkStart w:id="209" w:name="_Toc495957613"/>
      <w:bookmarkStart w:id="210" w:name="_Toc493058315"/>
      <w:bookmarkStart w:id="211" w:name="_Toc481567075"/>
      <w:bookmarkStart w:id="212" w:name="_Toc51446753"/>
      <w:bookmarkStart w:id="213" w:name="_Toc2954"/>
      <w:bookmarkStart w:id="214" w:name="_Toc17707953"/>
      <w:bookmarkStart w:id="215" w:name="_Toc5227"/>
      <w:bookmarkStart w:id="216" w:name="_Toc79395476"/>
      <w:bookmarkStart w:id="217" w:name="_Toc27629"/>
      <w:r>
        <w:rPr>
          <w:rFonts w:hint="eastAsia"/>
          <w:b/>
          <w:bCs/>
          <w:color w:val="auto"/>
        </w:rPr>
        <w:t>一、</w:t>
      </w:r>
      <w:bookmarkEnd w:id="209"/>
      <w:bookmarkEnd w:id="210"/>
      <w:bookmarkEnd w:id="211"/>
      <w:r>
        <w:rPr>
          <w:rFonts w:hint="eastAsia"/>
          <w:b/>
          <w:bCs/>
          <w:color w:val="auto"/>
        </w:rPr>
        <w:t>总则</w:t>
      </w:r>
      <w:bookmarkEnd w:id="212"/>
      <w:bookmarkEnd w:id="213"/>
      <w:bookmarkEnd w:id="214"/>
      <w:bookmarkEnd w:id="215"/>
      <w:bookmarkEnd w:id="216"/>
      <w:bookmarkEnd w:id="217"/>
    </w:p>
    <w:p>
      <w:pPr>
        <w:spacing w:line="400" w:lineRule="exact"/>
        <w:ind w:firstLine="420" w:firstLineChars="200"/>
        <w:rPr>
          <w:rFonts w:ascii="宋体" w:hAnsi="宋体" w:cs="宋体"/>
          <w:color w:val="auto"/>
          <w:szCs w:val="21"/>
        </w:rPr>
      </w:pPr>
      <w:bookmarkStart w:id="218" w:name="_Toc495957614"/>
      <w:bookmarkStart w:id="219" w:name="_Toc493058316"/>
      <w:bookmarkStart w:id="220" w:name="_Toc249866769"/>
      <w:bookmarkStart w:id="221" w:name="_Toc259108326"/>
      <w:r>
        <w:rPr>
          <w:rFonts w:hint="eastAsia" w:ascii="宋体" w:hAnsi="宋体" w:cs="宋体"/>
          <w:color w:val="auto"/>
          <w:szCs w:val="21"/>
        </w:rPr>
        <w:t>招标活动遵循公平、公正、科学、择优的原则依法进行，招标活动及当事人接受依法实施的监督。</w:t>
      </w:r>
    </w:p>
    <w:p>
      <w:pPr>
        <w:rPr>
          <w:b/>
          <w:bCs/>
          <w:color w:val="auto"/>
        </w:rPr>
      </w:pPr>
      <w:bookmarkStart w:id="222" w:name="_Toc16265"/>
      <w:bookmarkStart w:id="223" w:name="_Toc8408"/>
      <w:bookmarkStart w:id="224" w:name="_Toc8849"/>
      <w:bookmarkStart w:id="225" w:name="_Toc51446755"/>
      <w:bookmarkStart w:id="226" w:name="_Toc79395477"/>
      <w:bookmarkStart w:id="227" w:name="_Toc17707954"/>
      <w:r>
        <w:rPr>
          <w:rFonts w:hint="eastAsia"/>
          <w:b/>
          <w:bCs/>
          <w:color w:val="auto"/>
        </w:rPr>
        <w:t>二、评标委员会</w:t>
      </w:r>
      <w:bookmarkEnd w:id="218"/>
      <w:bookmarkEnd w:id="219"/>
      <w:bookmarkEnd w:id="222"/>
      <w:bookmarkEnd w:id="223"/>
      <w:bookmarkEnd w:id="224"/>
      <w:bookmarkEnd w:id="225"/>
      <w:bookmarkEnd w:id="226"/>
      <w:bookmarkEnd w:id="227"/>
    </w:p>
    <w:p>
      <w:pPr>
        <w:spacing w:line="400" w:lineRule="exact"/>
        <w:ind w:firstLine="315" w:firstLineChars="150"/>
        <w:rPr>
          <w:rFonts w:ascii="宋体" w:hAnsi="宋体" w:cs="宋体"/>
          <w:i/>
          <w:iCs/>
          <w:color w:val="auto"/>
          <w:szCs w:val="21"/>
        </w:rPr>
      </w:pPr>
      <w:r>
        <w:rPr>
          <w:rFonts w:hint="eastAsia" w:ascii="宋体" w:hAnsi="宋体" w:cs="宋体"/>
          <w:color w:val="auto"/>
          <w:szCs w:val="21"/>
        </w:rPr>
        <w:t>（一）本次招标依法组建评标委员会。评标委员会由招标人代表和评审专家组成或全部由评审专家组成，评审专家从专家库随机抽取。</w:t>
      </w:r>
    </w:p>
    <w:p>
      <w:pPr>
        <w:spacing w:line="400" w:lineRule="exact"/>
        <w:ind w:firstLine="315" w:firstLineChars="150"/>
        <w:rPr>
          <w:rFonts w:ascii="宋体" w:hAnsi="宋体" w:cs="宋体"/>
          <w:color w:val="auto"/>
          <w:szCs w:val="21"/>
        </w:rPr>
      </w:pPr>
      <w:r>
        <w:rPr>
          <w:rFonts w:hint="eastAsia" w:ascii="宋体" w:hAnsi="宋体" w:cs="宋体"/>
          <w:color w:val="auto"/>
          <w:szCs w:val="21"/>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spacing w:line="400" w:lineRule="exact"/>
        <w:ind w:firstLine="315" w:firstLineChars="150"/>
        <w:rPr>
          <w:rFonts w:ascii="宋体" w:hAnsi="宋体" w:cs="宋体"/>
          <w:color w:val="auto"/>
          <w:szCs w:val="21"/>
        </w:rPr>
      </w:pPr>
      <w:r>
        <w:rPr>
          <w:rFonts w:hint="eastAsia" w:ascii="宋体" w:hAnsi="宋体" w:cs="宋体"/>
          <w:color w:val="auto"/>
          <w:szCs w:val="21"/>
        </w:rPr>
        <w:t>（三）评审专家有下列情形之一的，受到邀请应主动提出回避，采购当事人也可以要求该评审专家回避：</w:t>
      </w:r>
    </w:p>
    <w:p>
      <w:pPr>
        <w:spacing w:line="400" w:lineRule="exact"/>
        <w:ind w:firstLine="420" w:firstLineChars="200"/>
        <w:rPr>
          <w:rFonts w:ascii="宋体" w:hAnsi="宋体" w:cs="宋体"/>
          <w:color w:val="auto"/>
          <w:szCs w:val="21"/>
        </w:rPr>
      </w:pPr>
      <w:r>
        <w:rPr>
          <w:rFonts w:hint="eastAsia" w:ascii="宋体" w:hAnsi="宋体" w:cs="宋体"/>
          <w:color w:val="auto"/>
          <w:szCs w:val="21"/>
        </w:rPr>
        <w:t>1.参加采购活动前三年内,与投标人存在劳动关系,或者担任过投标人的董事、监事,或者是投标人的控股股东或实际控制人”、“与投标人的法定代表人或者负责人有夫妻、直系血亲、三代以内旁系血亲或者近姻亲关系。</w:t>
      </w:r>
    </w:p>
    <w:p>
      <w:pPr>
        <w:spacing w:line="400" w:lineRule="exact"/>
        <w:ind w:firstLine="420" w:firstLineChars="200"/>
        <w:rPr>
          <w:rFonts w:ascii="宋体" w:hAnsi="宋体" w:cs="宋体"/>
          <w:color w:val="auto"/>
          <w:szCs w:val="21"/>
        </w:rPr>
      </w:pPr>
      <w:r>
        <w:rPr>
          <w:rFonts w:hint="eastAsia" w:ascii="宋体" w:hAnsi="宋体" w:cs="宋体"/>
          <w:color w:val="auto"/>
          <w:szCs w:val="21"/>
        </w:rPr>
        <w:t>2.曾经参加过该招标项目的进口产品的论证和咨询服务工作。</w:t>
      </w:r>
    </w:p>
    <w:p>
      <w:pPr>
        <w:spacing w:line="400" w:lineRule="exact"/>
        <w:ind w:firstLine="420" w:firstLineChars="200"/>
        <w:rPr>
          <w:rFonts w:ascii="宋体" w:hAnsi="宋体" w:cs="宋体"/>
          <w:color w:val="auto"/>
          <w:szCs w:val="21"/>
        </w:rPr>
      </w:pPr>
      <w:r>
        <w:rPr>
          <w:rFonts w:hint="eastAsia" w:ascii="宋体" w:hAnsi="宋体" w:cs="宋体"/>
          <w:color w:val="auto"/>
          <w:szCs w:val="21"/>
        </w:rPr>
        <w:t>3.法律、法规、规章规定应当回避以及其他可能影响公正评审的。</w:t>
      </w:r>
    </w:p>
    <w:p>
      <w:pPr>
        <w:spacing w:line="400" w:lineRule="exact"/>
        <w:ind w:firstLine="315" w:firstLineChars="150"/>
        <w:rPr>
          <w:rFonts w:ascii="宋体" w:hAnsi="宋体" w:cs="宋体"/>
          <w:color w:val="auto"/>
          <w:szCs w:val="21"/>
        </w:rPr>
      </w:pPr>
      <w:r>
        <w:rPr>
          <w:rFonts w:hint="eastAsia" w:ascii="宋体" w:hAnsi="宋体" w:cs="宋体"/>
          <w:color w:val="auto"/>
          <w:szCs w:val="21"/>
        </w:rPr>
        <w:t>（四）评标委员会判断投标文件的有效性、合格性和响应情况，仅依据投标人所递交一切文件的真实表述，不受与本项目无直接关联的外部信息、传言而影响自身的专业判断。</w:t>
      </w:r>
    </w:p>
    <w:p>
      <w:pPr>
        <w:spacing w:line="400" w:lineRule="exact"/>
        <w:ind w:firstLine="315" w:firstLineChars="150"/>
        <w:rPr>
          <w:rFonts w:ascii="宋体" w:hAnsi="宋体" w:cs="宋体"/>
          <w:color w:val="auto"/>
          <w:szCs w:val="21"/>
        </w:rPr>
      </w:pPr>
      <w:r>
        <w:rPr>
          <w:rFonts w:hint="eastAsia" w:ascii="宋体" w:hAnsi="宋体" w:cs="宋体"/>
          <w:color w:val="auto"/>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bookmarkStart w:id="228" w:name="_Toc481567076"/>
      <w:bookmarkStart w:id="229" w:name="_Toc495957615"/>
      <w:bookmarkStart w:id="230" w:name="_Toc22102"/>
      <w:bookmarkStart w:id="231" w:name="_Toc493058317"/>
      <w:bookmarkStart w:id="232" w:name="_Toc51446757"/>
      <w:bookmarkStart w:id="233" w:name="_Toc17707956"/>
      <w:bookmarkStart w:id="234" w:name="_Toc498"/>
      <w:bookmarkStart w:id="235" w:name="_Toc23025"/>
      <w:bookmarkStart w:id="236" w:name="_Toc79395478"/>
    </w:p>
    <w:p>
      <w:pPr>
        <w:rPr>
          <w:b/>
          <w:bCs/>
          <w:color w:val="auto"/>
        </w:rPr>
      </w:pPr>
      <w:r>
        <w:rPr>
          <w:rFonts w:hint="eastAsia"/>
          <w:b/>
          <w:bCs/>
          <w:color w:val="auto"/>
        </w:rPr>
        <w:t>三、评标方法</w:t>
      </w:r>
      <w:bookmarkEnd w:id="228"/>
      <w:bookmarkEnd w:id="229"/>
      <w:bookmarkEnd w:id="230"/>
      <w:bookmarkEnd w:id="231"/>
      <w:bookmarkEnd w:id="232"/>
      <w:bookmarkEnd w:id="233"/>
      <w:bookmarkEnd w:id="234"/>
      <w:bookmarkEnd w:id="235"/>
      <w:bookmarkEnd w:id="236"/>
    </w:p>
    <w:p>
      <w:pPr>
        <w:spacing w:line="400" w:lineRule="exact"/>
        <w:ind w:firstLine="420" w:firstLineChars="200"/>
        <w:rPr>
          <w:rFonts w:ascii="宋体" w:hAnsi="宋体" w:cs="宋体"/>
          <w:color w:val="auto"/>
          <w:szCs w:val="21"/>
        </w:rPr>
      </w:pPr>
      <w:r>
        <w:rPr>
          <w:rFonts w:hint="eastAsia" w:ascii="宋体" w:hAnsi="宋体" w:cs="宋体"/>
          <w:color w:val="auto"/>
          <w:szCs w:val="21"/>
        </w:rPr>
        <w:t>（一）本次招标项目的评标方法为：综合评分法。</w:t>
      </w:r>
    </w:p>
    <w:p>
      <w:pPr>
        <w:spacing w:line="400" w:lineRule="exact"/>
        <w:ind w:firstLine="420" w:firstLineChars="200"/>
        <w:rPr>
          <w:rFonts w:ascii="宋体" w:hAnsi="宋体" w:cs="宋体"/>
          <w:color w:val="auto"/>
          <w:szCs w:val="21"/>
        </w:rPr>
      </w:pPr>
      <w:r>
        <w:rPr>
          <w:rFonts w:hint="eastAsia" w:ascii="宋体" w:hAnsi="宋体" w:cs="宋体"/>
          <w:color w:val="auto"/>
          <w:szCs w:val="21"/>
        </w:rPr>
        <w:t>（二）评分细则</w:t>
      </w:r>
    </w:p>
    <w:p>
      <w:pPr>
        <w:spacing w:line="400" w:lineRule="exact"/>
        <w:ind w:firstLine="420" w:firstLineChars="200"/>
        <w:rPr>
          <w:rFonts w:ascii="宋体" w:hAnsi="宋体" w:cs="宋体"/>
          <w:color w:val="auto"/>
          <w:szCs w:val="21"/>
        </w:rPr>
      </w:pPr>
      <w:r>
        <w:rPr>
          <w:rFonts w:hint="eastAsia" w:ascii="宋体" w:hAnsi="宋体" w:cs="宋体"/>
          <w:color w:val="auto"/>
          <w:szCs w:val="21"/>
        </w:rPr>
        <w:t>1.价格分采用低价优先法计算，即满足招标文件要求且参与评审价格最低为评标基准价，其价格分为满分。其他投标人的价格分按照下列公式计算：</w:t>
      </w:r>
    </w:p>
    <w:p>
      <w:pPr>
        <w:spacing w:line="400" w:lineRule="exact"/>
        <w:ind w:firstLine="420" w:firstLineChars="200"/>
        <w:rPr>
          <w:rFonts w:ascii="宋体" w:hAnsi="宋体" w:cs="宋体"/>
          <w:color w:val="auto"/>
          <w:szCs w:val="21"/>
        </w:rPr>
      </w:pPr>
      <w:r>
        <w:rPr>
          <w:rFonts w:hint="eastAsia" w:ascii="宋体" w:hAnsi="宋体" w:cs="宋体"/>
          <w:color w:val="auto"/>
          <w:szCs w:val="21"/>
        </w:rPr>
        <w:t>参与评审价格=投标价格-小微企业价格扣除优惠值10%</w:t>
      </w:r>
    </w:p>
    <w:p>
      <w:pPr>
        <w:spacing w:line="400" w:lineRule="exact"/>
        <w:ind w:firstLine="420" w:firstLineChars="200"/>
        <w:rPr>
          <w:rFonts w:ascii="宋体" w:hAnsi="宋体" w:cs="宋体"/>
          <w:color w:val="auto"/>
          <w:szCs w:val="21"/>
        </w:rPr>
      </w:pPr>
      <w:r>
        <w:rPr>
          <w:rFonts w:hint="eastAsia" w:ascii="宋体" w:hAnsi="宋体" w:cs="宋体"/>
          <w:color w:val="auto"/>
          <w:szCs w:val="21"/>
        </w:rPr>
        <w:t>价格分=（评标基准价/参与评审的价格）×价格权值×100</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2.合格投标人评标综合得分=价格分+商务技术分。</w:t>
      </w:r>
    </w:p>
    <w:p>
      <w:pPr>
        <w:spacing w:line="400" w:lineRule="exact"/>
        <w:ind w:firstLine="420" w:firstLineChars="200"/>
        <w:rPr>
          <w:rFonts w:ascii="宋体" w:hAnsi="宋体" w:cs="宋体"/>
          <w:color w:val="auto"/>
          <w:szCs w:val="21"/>
        </w:rPr>
      </w:pPr>
      <w:r>
        <w:rPr>
          <w:rFonts w:hint="eastAsia" w:ascii="宋体" w:hAnsi="宋体" w:cs="宋体"/>
          <w:color w:val="auto"/>
          <w:szCs w:val="21"/>
        </w:rPr>
        <w:t>3.报价要求：本次招标设有预算价(或最高限价)，投标人报价超出预算价(或最高限价)的投标文件作无效处理。</w:t>
      </w:r>
    </w:p>
    <w:p>
      <w:pPr>
        <w:spacing w:line="400" w:lineRule="exact"/>
        <w:ind w:firstLine="315" w:firstLineChars="150"/>
        <w:rPr>
          <w:rFonts w:ascii="宋体" w:hAnsi="宋体" w:cs="宋体"/>
          <w:color w:val="auto"/>
          <w:szCs w:val="21"/>
        </w:rPr>
      </w:pPr>
      <w:r>
        <w:rPr>
          <w:rFonts w:hint="eastAsia" w:ascii="宋体" w:hAnsi="宋体" w:cs="宋体"/>
          <w:color w:val="auto"/>
          <w:szCs w:val="21"/>
        </w:rPr>
        <w:t>（三）</w:t>
      </w:r>
      <w:bookmarkStart w:id="237" w:name="_Toc481567079"/>
      <w:r>
        <w:rPr>
          <w:rFonts w:hint="eastAsia" w:ascii="宋体" w:hAnsi="宋体" w:cs="宋体"/>
          <w:color w:val="auto"/>
          <w:szCs w:val="21"/>
        </w:rPr>
        <w:t>投标文件的澄清</w:t>
      </w:r>
      <w:bookmarkEnd w:id="237"/>
    </w:p>
    <w:p>
      <w:pPr>
        <w:widowControl/>
        <w:spacing w:line="400" w:lineRule="exact"/>
        <w:ind w:firstLine="420" w:firstLineChars="200"/>
        <w:jc w:val="left"/>
        <w:rPr>
          <w:rFonts w:ascii="宋体" w:hAnsi="宋体" w:cs="宋体"/>
          <w:color w:val="auto"/>
          <w:kern w:val="0"/>
          <w:szCs w:val="21"/>
        </w:rPr>
      </w:pPr>
      <w:r>
        <w:rPr>
          <w:rFonts w:hint="eastAsia" w:ascii="宋体" w:hAnsi="宋体" w:cs="宋体"/>
          <w:color w:val="auto"/>
          <w:szCs w:val="21"/>
        </w:rPr>
        <w:t>1.</w:t>
      </w:r>
      <w:r>
        <w:rPr>
          <w:rFonts w:hint="eastAsia" w:ascii="宋体" w:hAnsi="宋体" w:cs="宋体"/>
          <w:color w:val="auto"/>
          <w:kern w:val="0"/>
          <w:szCs w:val="21"/>
        </w:rPr>
        <w:t>对于投标文件中含义不明确、同类问题表述不一致或者有明显文字和计算错误的内容，评标委员会应当以书面形式要求投标人作出必要的澄清、说明或者补正。</w:t>
      </w:r>
    </w:p>
    <w:p>
      <w:pPr>
        <w:spacing w:line="400" w:lineRule="exact"/>
        <w:ind w:firstLine="420" w:firstLineChars="200"/>
        <w:rPr>
          <w:rFonts w:ascii="宋体" w:hAnsi="宋体" w:cs="宋体"/>
          <w:color w:val="auto"/>
          <w:kern w:val="0"/>
          <w:szCs w:val="21"/>
        </w:rPr>
      </w:pPr>
      <w:r>
        <w:rPr>
          <w:rFonts w:hint="eastAsia" w:ascii="宋体" w:hAnsi="宋体" w:cs="宋体"/>
          <w:color w:val="auto"/>
          <w:szCs w:val="21"/>
        </w:rPr>
        <w:t>2.</w:t>
      </w:r>
      <w:r>
        <w:rPr>
          <w:rFonts w:hint="eastAsia" w:ascii="宋体" w:hAnsi="宋体" w:cs="宋体"/>
          <w:color w:val="auto"/>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400" w:lineRule="exact"/>
        <w:ind w:firstLine="420" w:firstLineChars="200"/>
        <w:rPr>
          <w:rFonts w:ascii="宋体" w:hAnsi="宋体" w:cs="宋体"/>
          <w:color w:val="auto"/>
          <w:szCs w:val="21"/>
        </w:rPr>
      </w:pPr>
      <w:r>
        <w:rPr>
          <w:rFonts w:hint="eastAsia" w:ascii="宋体" w:hAnsi="宋体" w:cs="宋体"/>
          <w:color w:val="auto"/>
          <w:szCs w:val="21"/>
        </w:rPr>
        <w:t>（四）投标文件错误修正原则</w:t>
      </w:r>
    </w:p>
    <w:p>
      <w:pPr>
        <w:pStyle w:val="172"/>
        <w:widowControl/>
        <w:spacing w:beforeLines="0" w:afterLines="0"/>
        <w:ind w:left="689" w:leftChars="228" w:hanging="210" w:hangingChars="100"/>
        <w:jc w:val="left"/>
        <w:rPr>
          <w:rFonts w:hAnsi="宋体" w:cs="宋体"/>
          <w:color w:val="auto"/>
          <w:sz w:val="21"/>
          <w:szCs w:val="21"/>
        </w:rPr>
      </w:pPr>
      <w:r>
        <w:rPr>
          <w:rFonts w:hint="eastAsia" w:hAnsi="宋体" w:cs="宋体"/>
          <w:color w:val="auto"/>
          <w:sz w:val="21"/>
          <w:szCs w:val="21"/>
        </w:rPr>
        <w:t>投标文件报价出现前后不一致的，除招标文件另有规定外，按照下列规定修正：</w:t>
      </w:r>
    </w:p>
    <w:p>
      <w:pPr>
        <w:widowControl/>
        <w:spacing w:line="400" w:lineRule="exact"/>
        <w:ind w:firstLine="420" w:firstLineChars="200"/>
        <w:jc w:val="left"/>
        <w:rPr>
          <w:rFonts w:ascii="宋体" w:hAnsi="宋体" w:cs="宋体"/>
          <w:color w:val="auto"/>
          <w:szCs w:val="21"/>
        </w:rPr>
      </w:pPr>
      <w:r>
        <w:rPr>
          <w:rFonts w:hint="eastAsia" w:ascii="宋体" w:hAnsi="宋体" w:cs="宋体"/>
          <w:color w:val="auto"/>
          <w:szCs w:val="21"/>
        </w:rPr>
        <w:t>1.投标文件中开标一览表（报价表）内容与投标文件中相应内容不一致的，以开标一览表（报价表）为准。</w:t>
      </w:r>
    </w:p>
    <w:p>
      <w:pPr>
        <w:widowControl/>
        <w:spacing w:line="400" w:lineRule="exact"/>
        <w:ind w:firstLine="420" w:firstLineChars="200"/>
        <w:jc w:val="left"/>
        <w:rPr>
          <w:rFonts w:ascii="宋体" w:hAnsi="宋体" w:cs="宋体"/>
          <w:color w:val="auto"/>
          <w:szCs w:val="21"/>
        </w:rPr>
      </w:pPr>
      <w:r>
        <w:rPr>
          <w:rFonts w:hint="eastAsia" w:ascii="宋体" w:hAnsi="宋体" w:cs="宋体"/>
          <w:color w:val="auto"/>
          <w:szCs w:val="21"/>
        </w:rPr>
        <w:t>2.大写金额和小写金额不一致的，以大写金额为准。</w:t>
      </w:r>
    </w:p>
    <w:p>
      <w:pPr>
        <w:widowControl/>
        <w:spacing w:line="400" w:lineRule="exact"/>
        <w:ind w:firstLine="420" w:firstLineChars="200"/>
        <w:jc w:val="left"/>
        <w:rPr>
          <w:rFonts w:ascii="宋体" w:hAnsi="宋体" w:cs="宋体"/>
          <w:color w:val="auto"/>
          <w:szCs w:val="21"/>
        </w:rPr>
      </w:pPr>
      <w:r>
        <w:rPr>
          <w:rFonts w:hint="eastAsia" w:ascii="宋体" w:hAnsi="宋体" w:cs="宋体"/>
          <w:color w:val="auto"/>
          <w:szCs w:val="21"/>
        </w:rPr>
        <w:t>3.单价金额小数点或者百分比有明显错位的，以开标一览表的总价为准，并修改单价。</w:t>
      </w:r>
    </w:p>
    <w:p>
      <w:pPr>
        <w:widowControl/>
        <w:spacing w:line="400" w:lineRule="exact"/>
        <w:ind w:firstLine="420" w:firstLineChars="200"/>
        <w:jc w:val="left"/>
        <w:rPr>
          <w:rFonts w:ascii="宋体" w:hAnsi="宋体" w:cs="宋体"/>
          <w:color w:val="auto"/>
          <w:szCs w:val="21"/>
        </w:rPr>
      </w:pPr>
      <w:r>
        <w:rPr>
          <w:rFonts w:hint="eastAsia" w:ascii="宋体" w:hAnsi="宋体" w:cs="宋体"/>
          <w:color w:val="auto"/>
          <w:szCs w:val="21"/>
        </w:rPr>
        <w:t>4.总价金额与按单价汇总金额不一致的，以单价金额计算结果为准。</w:t>
      </w:r>
    </w:p>
    <w:p>
      <w:pPr>
        <w:pStyle w:val="172"/>
        <w:widowControl/>
        <w:spacing w:beforeLines="0" w:afterLines="0"/>
        <w:ind w:firstLine="422" w:firstLineChars="200"/>
        <w:jc w:val="left"/>
        <w:rPr>
          <w:rFonts w:hAnsi="宋体" w:cs="宋体"/>
          <w:color w:val="auto"/>
          <w:sz w:val="21"/>
          <w:szCs w:val="21"/>
        </w:rPr>
      </w:pPr>
      <w:r>
        <w:rPr>
          <w:rFonts w:hint="eastAsia" w:hAnsi="宋体" w:cs="宋体"/>
          <w:b/>
          <w:bCs/>
          <w:color w:val="auto"/>
          <w:sz w:val="21"/>
          <w:szCs w:val="21"/>
        </w:rPr>
        <w:t>同时出现两种以上不一致的，按照前款规定的顺序修正。修正后的报价经投标人确认后具有约束力，若投标人不确认的，则其投标无效。</w:t>
      </w:r>
    </w:p>
    <w:p>
      <w:pPr>
        <w:rPr>
          <w:b/>
          <w:bCs/>
          <w:color w:val="auto"/>
        </w:rPr>
      </w:pPr>
      <w:bookmarkStart w:id="238" w:name="_Toc495957616"/>
      <w:bookmarkStart w:id="239" w:name="_Toc493058318"/>
      <w:bookmarkStart w:id="240" w:name="_Toc481567077"/>
      <w:bookmarkStart w:id="241" w:name="_Toc14002"/>
      <w:bookmarkStart w:id="242" w:name="_Toc17707957"/>
      <w:bookmarkStart w:id="243" w:name="_Toc51446758"/>
      <w:bookmarkStart w:id="244" w:name="_Toc26483"/>
      <w:bookmarkStart w:id="245" w:name="_Toc79395479"/>
      <w:bookmarkStart w:id="246" w:name="_Toc16487"/>
      <w:r>
        <w:rPr>
          <w:rFonts w:hint="eastAsia"/>
          <w:b/>
          <w:bCs/>
          <w:color w:val="auto"/>
        </w:rPr>
        <w:t>四、评标</w:t>
      </w:r>
      <w:bookmarkEnd w:id="220"/>
      <w:bookmarkEnd w:id="221"/>
      <w:bookmarkEnd w:id="238"/>
      <w:bookmarkEnd w:id="239"/>
      <w:bookmarkEnd w:id="240"/>
      <w:r>
        <w:rPr>
          <w:rFonts w:hint="eastAsia"/>
          <w:b/>
          <w:bCs/>
          <w:color w:val="auto"/>
        </w:rPr>
        <w:t>过程</w:t>
      </w:r>
      <w:bookmarkEnd w:id="241"/>
      <w:bookmarkEnd w:id="242"/>
      <w:bookmarkEnd w:id="243"/>
      <w:bookmarkEnd w:id="244"/>
      <w:bookmarkEnd w:id="245"/>
      <w:bookmarkEnd w:id="246"/>
    </w:p>
    <w:p>
      <w:pPr>
        <w:pStyle w:val="23"/>
        <w:spacing w:line="400" w:lineRule="exact"/>
        <w:ind w:firstLine="420" w:firstLineChars="200"/>
        <w:rPr>
          <w:rFonts w:ascii="宋体" w:hAnsi="宋体" w:cs="宋体"/>
          <w:b w:val="0"/>
          <w:bCs w:val="0"/>
          <w:color w:val="auto"/>
          <w:sz w:val="21"/>
          <w:szCs w:val="21"/>
        </w:rPr>
      </w:pPr>
      <w:r>
        <w:rPr>
          <w:rFonts w:hint="eastAsia" w:ascii="宋体" w:hAnsi="宋体" w:cs="宋体"/>
          <w:b w:val="0"/>
          <w:bCs w:val="0"/>
          <w:color w:val="auto"/>
          <w:sz w:val="21"/>
          <w:szCs w:val="21"/>
        </w:rPr>
        <w:t>（一）资格审查</w:t>
      </w:r>
    </w:p>
    <w:p>
      <w:pPr>
        <w:pStyle w:val="23"/>
        <w:spacing w:line="400" w:lineRule="exact"/>
        <w:ind w:firstLine="420" w:firstLineChars="200"/>
        <w:rPr>
          <w:rFonts w:ascii="宋体" w:hAnsi="宋体" w:cs="宋体"/>
          <w:b w:val="0"/>
          <w:bCs w:val="0"/>
          <w:color w:val="auto"/>
          <w:sz w:val="21"/>
          <w:szCs w:val="21"/>
        </w:rPr>
      </w:pPr>
      <w:r>
        <w:rPr>
          <w:rFonts w:hint="eastAsia" w:ascii="宋体" w:hAnsi="宋体" w:cs="宋体"/>
          <w:b w:val="0"/>
          <w:bCs w:val="0"/>
          <w:color w:val="auto"/>
          <w:sz w:val="21"/>
          <w:szCs w:val="21"/>
        </w:rPr>
        <w:t>采购代理机构对投标人的资格进行审查。依据法律法规和招标文件的规定，对投标文件中的资格证明进行审查，以确定投标人是否具备投标资格。</w:t>
      </w:r>
    </w:p>
    <w:tbl>
      <w:tblPr>
        <w:tblStyle w:val="39"/>
        <w:tblpPr w:leftFromText="180" w:rightFromText="180" w:vertAnchor="text" w:horzAnchor="page" w:tblpX="1624" w:tblpY="357"/>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审查类别</w:t>
            </w:r>
          </w:p>
        </w:tc>
        <w:tc>
          <w:tcPr>
            <w:tcW w:w="75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审查内容（详见资格条件自查表）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521" w:type="dxa"/>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资格条件审查</w:t>
            </w:r>
          </w:p>
        </w:tc>
        <w:tc>
          <w:tcPr>
            <w:tcW w:w="7584" w:type="dxa"/>
            <w:vAlign w:val="center"/>
          </w:tcPr>
          <w:p>
            <w:pPr>
              <w:widowControl/>
              <w:spacing w:before="75" w:after="75" w:line="300" w:lineRule="atLeast"/>
              <w:jc w:val="left"/>
              <w:rPr>
                <w:rFonts w:ascii="宋体" w:hAnsi="宋体" w:cs="宋体"/>
                <w:color w:val="auto"/>
                <w:szCs w:val="21"/>
              </w:rPr>
            </w:pPr>
            <w:r>
              <w:rPr>
                <w:rFonts w:hint="eastAsia" w:ascii="宋体" w:hAnsi="宋体" w:cs="宋体"/>
                <w:color w:val="auto"/>
                <w:kern w:val="0"/>
                <w:szCs w:val="21"/>
              </w:rPr>
              <w:t>1.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521" w:type="dxa"/>
            <w:vMerge w:val="continue"/>
            <w:vAlign w:val="center"/>
          </w:tcPr>
          <w:p>
            <w:pPr>
              <w:spacing w:line="400" w:lineRule="exact"/>
              <w:jc w:val="center"/>
              <w:rPr>
                <w:rFonts w:ascii="宋体" w:hAnsi="宋体" w:cs="宋体"/>
                <w:color w:val="auto"/>
                <w:szCs w:val="21"/>
              </w:rPr>
            </w:pPr>
          </w:p>
        </w:tc>
        <w:tc>
          <w:tcPr>
            <w:tcW w:w="7584" w:type="dxa"/>
            <w:vAlign w:val="center"/>
          </w:tcPr>
          <w:p>
            <w:pPr>
              <w:widowControl/>
              <w:spacing w:before="75" w:after="75" w:line="300" w:lineRule="atLeast"/>
              <w:jc w:val="left"/>
              <w:rPr>
                <w:rFonts w:ascii="宋体" w:hAnsi="宋体" w:cs="宋体"/>
                <w:color w:val="auto"/>
                <w:szCs w:val="21"/>
              </w:rPr>
            </w:pPr>
            <w:r>
              <w:rPr>
                <w:rFonts w:hint="eastAsia" w:ascii="宋体" w:hAnsi="宋体" w:cs="宋体"/>
                <w:color w:val="auto"/>
                <w:kern w:val="0"/>
                <w:szCs w:val="21"/>
              </w:rPr>
              <w:t>2.落实政府采购政策需满足的资格要求：无</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21" w:type="dxa"/>
            <w:vMerge w:val="continue"/>
            <w:vAlign w:val="center"/>
          </w:tcPr>
          <w:p>
            <w:pPr>
              <w:spacing w:line="400" w:lineRule="exact"/>
              <w:jc w:val="center"/>
              <w:rPr>
                <w:rFonts w:ascii="宋体" w:hAnsi="宋体" w:cs="宋体"/>
                <w:color w:val="auto"/>
                <w:szCs w:val="21"/>
              </w:rPr>
            </w:pPr>
          </w:p>
        </w:tc>
        <w:tc>
          <w:tcPr>
            <w:tcW w:w="7584" w:type="dxa"/>
            <w:vAlign w:val="center"/>
          </w:tcPr>
          <w:p>
            <w:pPr>
              <w:widowControl/>
              <w:spacing w:before="75" w:after="75" w:line="300" w:lineRule="atLeast"/>
              <w:jc w:val="left"/>
              <w:rPr>
                <w:rFonts w:ascii="宋体" w:hAnsi="宋体" w:cs="宋体"/>
                <w:color w:val="auto"/>
                <w:szCs w:val="21"/>
              </w:rPr>
            </w:pPr>
            <w:r>
              <w:rPr>
                <w:rFonts w:hint="eastAsia" w:ascii="宋体" w:hAnsi="宋体" w:cs="宋体"/>
                <w:color w:val="auto"/>
                <w:kern w:val="0"/>
                <w:szCs w:val="21"/>
              </w:rPr>
              <w:t>3.本项目的特定资格要求：无。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21" w:type="dxa"/>
            <w:vMerge w:val="continue"/>
            <w:vAlign w:val="center"/>
          </w:tcPr>
          <w:p>
            <w:pPr>
              <w:spacing w:line="400" w:lineRule="exact"/>
              <w:jc w:val="center"/>
              <w:rPr>
                <w:rFonts w:ascii="宋体" w:hAnsi="宋体" w:cs="宋体"/>
                <w:color w:val="auto"/>
                <w:szCs w:val="21"/>
              </w:rPr>
            </w:pPr>
          </w:p>
        </w:tc>
        <w:tc>
          <w:tcPr>
            <w:tcW w:w="7584" w:type="dxa"/>
            <w:vAlign w:val="center"/>
          </w:tcPr>
          <w:p>
            <w:pPr>
              <w:spacing w:line="400" w:lineRule="exact"/>
              <w:jc w:val="left"/>
              <w:rPr>
                <w:rFonts w:ascii="宋体" w:hAnsi="宋体" w:cs="宋体"/>
                <w:color w:val="auto"/>
                <w:szCs w:val="21"/>
              </w:rPr>
            </w:pPr>
            <w:r>
              <w:rPr>
                <w:rFonts w:hint="eastAsia" w:ascii="宋体" w:hAnsi="宋体" w:cs="宋体"/>
                <w:color w:val="auto"/>
                <w:szCs w:val="21"/>
              </w:rPr>
              <w:t>4.本项目不接受联合体投标。</w:t>
            </w:r>
          </w:p>
        </w:tc>
      </w:tr>
    </w:tbl>
    <w:p>
      <w:pPr>
        <w:pStyle w:val="23"/>
        <w:spacing w:line="400" w:lineRule="exact"/>
        <w:ind w:firstLine="420" w:firstLineChars="200"/>
        <w:rPr>
          <w:rFonts w:ascii="宋体" w:hAnsi="宋体" w:cs="宋体"/>
          <w:b w:val="0"/>
          <w:bCs w:val="0"/>
          <w:color w:val="auto"/>
          <w:sz w:val="21"/>
          <w:szCs w:val="21"/>
        </w:rPr>
      </w:pPr>
    </w:p>
    <w:p>
      <w:pPr>
        <w:pStyle w:val="23"/>
        <w:spacing w:line="400" w:lineRule="exact"/>
        <w:ind w:firstLine="420" w:firstLineChars="200"/>
        <w:rPr>
          <w:rFonts w:ascii="宋体" w:hAnsi="宋体" w:cs="宋体"/>
          <w:b w:val="0"/>
          <w:bCs w:val="0"/>
          <w:color w:val="auto"/>
          <w:sz w:val="21"/>
          <w:szCs w:val="21"/>
        </w:rPr>
      </w:pPr>
      <w:r>
        <w:rPr>
          <w:rFonts w:hint="eastAsia" w:ascii="宋体" w:hAnsi="宋体" w:cs="宋体"/>
          <w:b w:val="0"/>
          <w:bCs w:val="0"/>
          <w:color w:val="auto"/>
          <w:sz w:val="21"/>
          <w:szCs w:val="21"/>
        </w:rPr>
        <w:t>（二）符合性审查</w:t>
      </w:r>
    </w:p>
    <w:p>
      <w:pPr>
        <w:spacing w:line="400" w:lineRule="exact"/>
        <w:ind w:firstLine="420" w:firstLineChars="200"/>
        <w:rPr>
          <w:rFonts w:ascii="宋体" w:hAnsi="宋体" w:cs="宋体"/>
          <w:color w:val="auto"/>
          <w:szCs w:val="21"/>
        </w:rPr>
      </w:pPr>
      <w:r>
        <w:rPr>
          <w:rFonts w:hint="eastAsia" w:ascii="宋体" w:hAnsi="宋体" w:cs="宋体"/>
          <w:color w:val="auto"/>
          <w:szCs w:val="21"/>
        </w:rPr>
        <w:t>依据招标文件的规定，从投标人投标文件的有效性、完整性和对招标文件的响应程度进行审查，以确定是否对招标文件的实质性要求作出响应。</w:t>
      </w:r>
    </w:p>
    <w:p>
      <w:pPr>
        <w:pStyle w:val="11"/>
        <w:ind w:firstLine="0"/>
        <w:rPr>
          <w:rFonts w:ascii="宋体" w:hAnsi="宋体" w:cs="宋体"/>
          <w:color w:val="auto"/>
          <w:szCs w:val="21"/>
        </w:rPr>
      </w:pPr>
    </w:p>
    <w:tbl>
      <w:tblPr>
        <w:tblStyle w:val="39"/>
        <w:tblpPr w:leftFromText="180" w:rightFromText="180" w:vertAnchor="text" w:horzAnchor="page" w:tblpX="1709" w:tblpY="177"/>
        <w:tblOverlap w:val="never"/>
        <w:tblW w:w="90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51"/>
        <w:gridCol w:w="75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tblHeader/>
        </w:trPr>
        <w:tc>
          <w:tcPr>
            <w:tcW w:w="1551" w:type="dxa"/>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审查类别</w:t>
            </w:r>
          </w:p>
        </w:tc>
        <w:tc>
          <w:tcPr>
            <w:tcW w:w="7548" w:type="dxa"/>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审查内容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c>
          <w:tcPr>
            <w:tcW w:w="1551" w:type="dxa"/>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符合性审查</w:t>
            </w:r>
          </w:p>
        </w:tc>
        <w:tc>
          <w:tcPr>
            <w:tcW w:w="7548" w:type="dxa"/>
          </w:tcPr>
          <w:p>
            <w:pPr>
              <w:spacing w:line="400" w:lineRule="exact"/>
              <w:rPr>
                <w:rFonts w:ascii="宋体" w:hAnsi="宋体" w:cs="宋体"/>
                <w:color w:val="auto"/>
                <w:szCs w:val="21"/>
              </w:rPr>
            </w:pPr>
            <w:r>
              <w:rPr>
                <w:rFonts w:hint="eastAsia" w:hAnsi="宋体" w:cs="宋体"/>
                <w:bCs/>
                <w:color w:val="auto"/>
                <w:szCs w:val="21"/>
              </w:rPr>
              <w:t>投标文件未按招标文件要求签署、签章影响投标文件效力的</w:t>
            </w:r>
            <w:r>
              <w:rPr>
                <w:rFonts w:hint="eastAsia" w:ascii="宋体" w:hAnsi="宋体" w:cs="宋体"/>
                <w:color w:val="auto"/>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spacing w:line="400" w:lineRule="exact"/>
              <w:rPr>
                <w:rFonts w:ascii="宋体" w:hAnsi="宋体" w:cs="宋体"/>
                <w:color w:val="auto"/>
                <w:szCs w:val="21"/>
              </w:rPr>
            </w:pPr>
          </w:p>
        </w:tc>
        <w:tc>
          <w:tcPr>
            <w:tcW w:w="7548" w:type="dxa"/>
          </w:tcPr>
          <w:p>
            <w:pPr>
              <w:spacing w:line="400" w:lineRule="exact"/>
              <w:rPr>
                <w:rFonts w:ascii="宋体" w:hAnsi="宋体" w:cs="宋体"/>
                <w:color w:val="auto"/>
                <w:szCs w:val="21"/>
              </w:rPr>
            </w:pPr>
            <w:r>
              <w:rPr>
                <w:rFonts w:hint="eastAsia" w:hAnsi="宋体" w:cs="宋体"/>
                <w:bCs/>
                <w:color w:val="auto"/>
                <w:szCs w:val="21"/>
              </w:rPr>
              <w:t>投标有效期不满足招标文件要求的。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spacing w:line="400" w:lineRule="exact"/>
              <w:rPr>
                <w:rFonts w:ascii="宋体" w:hAnsi="宋体" w:cs="宋体"/>
                <w:color w:val="auto"/>
                <w:szCs w:val="21"/>
              </w:rPr>
            </w:pPr>
          </w:p>
        </w:tc>
        <w:tc>
          <w:tcPr>
            <w:tcW w:w="7548" w:type="dxa"/>
          </w:tcPr>
          <w:p>
            <w:pPr>
              <w:spacing w:line="400" w:lineRule="exact"/>
              <w:rPr>
                <w:rFonts w:ascii="宋体" w:hAnsi="宋体" w:cs="宋体"/>
                <w:color w:val="auto"/>
                <w:szCs w:val="21"/>
              </w:rPr>
            </w:pPr>
            <w:r>
              <w:rPr>
                <w:rFonts w:hint="eastAsia" w:hAnsi="宋体" w:cs="宋体"/>
                <w:bCs/>
                <w:snapToGrid w:val="0"/>
                <w:color w:val="auto"/>
                <w:szCs w:val="21"/>
              </w:rPr>
              <w:t>明显不符合招标文件要求的，或者与</w:t>
            </w:r>
            <w:r>
              <w:rPr>
                <w:rFonts w:hint="eastAsia" w:hAnsi="宋体" w:cs="宋体"/>
                <w:bCs/>
                <w:color w:val="auto"/>
                <w:szCs w:val="21"/>
              </w:rPr>
              <w:t>招标文件中标注“*”的条款发生实质性负偏离的；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spacing w:line="400" w:lineRule="exact"/>
              <w:rPr>
                <w:rFonts w:ascii="宋体" w:hAnsi="宋体" w:cs="宋体"/>
                <w:color w:val="auto"/>
                <w:szCs w:val="21"/>
              </w:rPr>
            </w:pPr>
          </w:p>
        </w:tc>
        <w:tc>
          <w:tcPr>
            <w:tcW w:w="7548" w:type="dxa"/>
          </w:tcPr>
          <w:p>
            <w:pPr>
              <w:spacing w:line="400" w:lineRule="exact"/>
              <w:rPr>
                <w:rFonts w:ascii="宋体" w:hAnsi="宋体" w:cs="宋体"/>
                <w:color w:val="auto"/>
                <w:szCs w:val="21"/>
              </w:rPr>
            </w:pPr>
            <w:r>
              <w:rPr>
                <w:rFonts w:hint="eastAsia" w:hAnsi="宋体" w:cs="宋体"/>
                <w:bCs/>
                <w:color w:val="auto"/>
                <w:szCs w:val="21"/>
              </w:rPr>
              <w:t>投标文件中含有采购人不能接受的附加条件的；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spacing w:line="400" w:lineRule="exact"/>
              <w:rPr>
                <w:rFonts w:ascii="宋体" w:hAnsi="宋体" w:cs="宋体"/>
                <w:color w:val="auto"/>
                <w:szCs w:val="21"/>
              </w:rPr>
            </w:pPr>
          </w:p>
        </w:tc>
        <w:tc>
          <w:tcPr>
            <w:tcW w:w="7548" w:type="dxa"/>
          </w:tcPr>
          <w:p>
            <w:pPr>
              <w:spacing w:line="400" w:lineRule="exact"/>
              <w:rPr>
                <w:rFonts w:ascii="宋体" w:hAnsi="宋体" w:cs="宋体"/>
                <w:color w:val="auto"/>
                <w:szCs w:val="21"/>
              </w:rPr>
            </w:pPr>
            <w:r>
              <w:rPr>
                <w:rFonts w:hint="eastAsia" w:hAnsi="宋体" w:cs="宋体"/>
                <w:bCs/>
                <w:color w:val="auto"/>
                <w:szCs w:val="21"/>
              </w:rPr>
              <w:t>法律、法规和招标文件规定的其他无效情形。</w:t>
            </w:r>
          </w:p>
        </w:tc>
      </w:tr>
    </w:tbl>
    <w:p>
      <w:pPr>
        <w:pStyle w:val="11"/>
        <w:ind w:left="420" w:firstLine="0"/>
        <w:rPr>
          <w:rFonts w:ascii="宋体" w:hAnsi="宋体" w:cs="宋体"/>
          <w:color w:val="auto"/>
        </w:rPr>
      </w:pPr>
    </w:p>
    <w:p>
      <w:pPr>
        <w:pStyle w:val="23"/>
        <w:spacing w:line="400" w:lineRule="exact"/>
        <w:ind w:left="473" w:firstLine="0" w:firstLineChars="0"/>
        <w:rPr>
          <w:rFonts w:ascii="宋体" w:hAnsi="宋体" w:cs="宋体"/>
          <w:b w:val="0"/>
          <w:bCs w:val="0"/>
          <w:color w:val="auto"/>
          <w:sz w:val="21"/>
          <w:szCs w:val="21"/>
        </w:rPr>
      </w:pPr>
      <w:r>
        <w:rPr>
          <w:rFonts w:hint="eastAsia" w:ascii="宋体" w:hAnsi="宋体" w:cs="宋体"/>
          <w:b w:val="0"/>
          <w:bCs w:val="0"/>
          <w:color w:val="auto"/>
          <w:sz w:val="21"/>
          <w:szCs w:val="21"/>
        </w:rPr>
        <w:t>（三）澄清问题</w:t>
      </w:r>
    </w:p>
    <w:p>
      <w:pPr>
        <w:pStyle w:val="23"/>
        <w:spacing w:line="400" w:lineRule="exact"/>
        <w:ind w:firstLine="420" w:firstLineChars="200"/>
        <w:rPr>
          <w:rFonts w:ascii="宋体" w:hAnsi="宋体" w:cs="宋体"/>
          <w:b w:val="0"/>
          <w:bCs w:val="0"/>
          <w:color w:val="auto"/>
          <w:sz w:val="21"/>
          <w:szCs w:val="21"/>
        </w:rPr>
      </w:pPr>
      <w:r>
        <w:rPr>
          <w:rFonts w:hint="eastAsia" w:ascii="宋体" w:hAnsi="宋体" w:cs="宋体"/>
          <w:b w:val="0"/>
          <w:bCs w:val="0"/>
          <w:color w:val="auto"/>
          <w:sz w:val="21"/>
          <w:szCs w:val="21"/>
        </w:rPr>
        <w:t>对于投标文件中含义不明确、同类问题表述不一致或者有明显文字和计算错误的内容，评标委员会可要求投标人以书面形式作出必要的澄清、说明或者补正。</w:t>
      </w:r>
    </w:p>
    <w:p>
      <w:pPr>
        <w:pStyle w:val="23"/>
        <w:spacing w:line="400" w:lineRule="exact"/>
        <w:ind w:firstLine="420" w:firstLineChars="200"/>
        <w:rPr>
          <w:rFonts w:ascii="宋体" w:hAnsi="宋体" w:cs="宋体"/>
          <w:b w:val="0"/>
          <w:bCs w:val="0"/>
          <w:color w:val="auto"/>
          <w:sz w:val="21"/>
          <w:szCs w:val="21"/>
        </w:rPr>
      </w:pPr>
      <w:r>
        <w:rPr>
          <w:rFonts w:hint="eastAsia" w:ascii="宋体" w:hAnsi="宋体" w:cs="宋体"/>
          <w:b w:val="0"/>
          <w:bCs w:val="0"/>
          <w:color w:val="auto"/>
          <w:sz w:val="21"/>
          <w:szCs w:val="21"/>
        </w:rPr>
        <w:t>投标人的澄清、说明或者补正应当采用书面形式，并加盖公章，或者由法定代表人或其授权代表签字确认，投标人的澄清、说明或者补正不得超出投标文件的范围或者改变投标文件的实质性内容。</w:t>
      </w:r>
    </w:p>
    <w:p>
      <w:pPr>
        <w:pStyle w:val="23"/>
        <w:spacing w:line="400" w:lineRule="exact"/>
        <w:ind w:left="473" w:firstLine="0" w:firstLineChars="0"/>
        <w:rPr>
          <w:rFonts w:ascii="宋体" w:hAnsi="宋体" w:cs="宋体"/>
          <w:b w:val="0"/>
          <w:bCs w:val="0"/>
          <w:color w:val="auto"/>
          <w:sz w:val="21"/>
          <w:szCs w:val="21"/>
        </w:rPr>
      </w:pPr>
      <w:r>
        <w:rPr>
          <w:rFonts w:hint="eastAsia" w:ascii="宋体" w:hAnsi="宋体" w:cs="宋体"/>
          <w:b w:val="0"/>
          <w:bCs w:val="0"/>
          <w:color w:val="auto"/>
          <w:sz w:val="21"/>
          <w:szCs w:val="21"/>
        </w:rPr>
        <w:t>（四）详细评审</w:t>
      </w:r>
    </w:p>
    <w:p>
      <w:pPr>
        <w:pStyle w:val="23"/>
        <w:spacing w:line="400" w:lineRule="exact"/>
        <w:ind w:firstLine="420" w:firstLineChars="200"/>
        <w:rPr>
          <w:rFonts w:ascii="宋体" w:hAnsi="宋体" w:cs="宋体"/>
          <w:b w:val="0"/>
          <w:bCs w:val="0"/>
          <w:color w:val="auto"/>
          <w:sz w:val="21"/>
          <w:szCs w:val="21"/>
        </w:rPr>
      </w:pPr>
      <w:r>
        <w:rPr>
          <w:rFonts w:hint="eastAsia" w:ascii="宋体" w:hAnsi="宋体" w:cs="宋体"/>
          <w:b w:val="0"/>
          <w:bCs w:val="0"/>
          <w:color w:val="auto"/>
          <w:sz w:val="21"/>
          <w:szCs w:val="21"/>
        </w:rPr>
        <w:t>评标委员会对通过符合性审查的投标文件，依照本办法对技术、商务内容作进一步评审、比较。评标委员会成员经过阅标、审标和询标，对各投标人进行综合打分。</w:t>
      </w:r>
    </w:p>
    <w:p>
      <w:pPr>
        <w:widowControl/>
        <w:spacing w:line="400" w:lineRule="exact"/>
        <w:ind w:firstLine="420" w:firstLineChars="200"/>
        <w:jc w:val="left"/>
        <w:rPr>
          <w:rFonts w:ascii="宋体" w:hAnsi="宋体" w:cs="宋体"/>
          <w:color w:val="auto"/>
          <w:szCs w:val="21"/>
        </w:rPr>
      </w:pPr>
      <w:r>
        <w:rPr>
          <w:rFonts w:hint="eastAsia" w:ascii="宋体" w:hAnsi="宋体" w:cs="宋体"/>
          <w:color w:val="auto"/>
          <w:szCs w:val="21"/>
        </w:rPr>
        <w:t>评委打分参照本部分附表：评分标准表。技术商务得分由各评标委员会成员打分，根据投标人的投标文件及相关澄清文件，进行独立打分。价格分由评标委员会统一核算。评委打分采用记名方式，取所有评委汇总得分的算术平均分（小数点后保留二位小数）。</w:t>
      </w:r>
    </w:p>
    <w:p>
      <w:pPr>
        <w:widowControl/>
        <w:spacing w:line="400" w:lineRule="exact"/>
        <w:ind w:firstLine="420" w:firstLineChars="200"/>
        <w:jc w:val="left"/>
        <w:rPr>
          <w:rFonts w:ascii="宋体" w:hAnsi="宋体" w:cs="宋体"/>
          <w:color w:val="auto"/>
          <w:szCs w:val="21"/>
        </w:rPr>
      </w:pPr>
      <w:r>
        <w:rPr>
          <w:rFonts w:hint="eastAsia" w:ascii="宋体" w:hAnsi="宋体" w:cs="宋体"/>
          <w:color w:val="auto"/>
          <w:szCs w:val="21"/>
        </w:rPr>
        <w:t>注：评标委员会认为投标文件无效的，应组织相关投标人代表进行陈述、澄清或申辩。</w:t>
      </w:r>
    </w:p>
    <w:p>
      <w:pPr>
        <w:widowControl/>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widowControl/>
        <w:spacing w:line="400" w:lineRule="exact"/>
        <w:ind w:firstLine="420" w:firstLineChars="200"/>
        <w:jc w:val="left"/>
        <w:rPr>
          <w:rFonts w:ascii="宋体" w:hAnsi="宋体" w:cs="宋体"/>
          <w:color w:val="auto"/>
          <w:szCs w:val="21"/>
        </w:rPr>
      </w:pPr>
      <w:r>
        <w:rPr>
          <w:rFonts w:hint="eastAsia" w:ascii="宋体" w:hAnsi="宋体" w:cs="宋体"/>
          <w:color w:val="auto"/>
          <w:szCs w:val="21"/>
        </w:rPr>
        <w:t>采购代理机构可协助评标委员会主任评委对打分结果进行校对、核对并汇总统计。对明显畸高、畸低的评分（其总评分偏离平均分30%以上的），评标委员会主任评委应提醒相关评标委员会成员进行复核或书面说明理由，评标委员会成员拒绝说明的，由现场监督员据实记录。评标委员会成员的评审、修改记录应保留原件，随项目其他资料一并存档。</w:t>
      </w:r>
    </w:p>
    <w:p>
      <w:pPr>
        <w:widowControl/>
        <w:spacing w:line="400" w:lineRule="exact"/>
        <w:ind w:firstLine="420" w:firstLineChars="200"/>
        <w:jc w:val="left"/>
        <w:rPr>
          <w:rFonts w:ascii="宋体" w:hAnsi="宋体" w:cs="宋体"/>
          <w:color w:val="auto"/>
          <w:szCs w:val="21"/>
        </w:rPr>
      </w:pPr>
      <w:r>
        <w:rPr>
          <w:rFonts w:hint="eastAsia" w:ascii="宋体" w:hAnsi="宋体" w:cs="宋体"/>
          <w:color w:val="auto"/>
          <w:szCs w:val="21"/>
        </w:rPr>
        <w:t>（五）中标原则</w:t>
      </w:r>
    </w:p>
    <w:p>
      <w:pPr>
        <w:widowControl/>
        <w:spacing w:line="400" w:lineRule="exact"/>
        <w:ind w:firstLine="420" w:firstLineChars="200"/>
        <w:jc w:val="left"/>
        <w:rPr>
          <w:rFonts w:ascii="宋体" w:hAnsi="宋体" w:cs="宋体"/>
          <w:color w:val="auto"/>
          <w:szCs w:val="21"/>
        </w:rPr>
      </w:pPr>
      <w:r>
        <w:rPr>
          <w:rFonts w:hint="eastAsia" w:ascii="宋体" w:hAnsi="宋体" w:cs="宋体"/>
          <w:color w:val="auto"/>
          <w:szCs w:val="21"/>
        </w:rPr>
        <w:t>评标委员会根据投标人的综合得分高低排定顺序，推荐综合得分排名前三的投标人为本项目的中标候选人。如投标人综合得分相同则价格低者优先中标；若技术商务得分与报价分皆相同，则由投标人随机抽签决定。如评标过程中出现本招标文件未尽事宜，则由评标委员会讨论决定。</w:t>
      </w:r>
    </w:p>
    <w:p>
      <w:pPr>
        <w:widowControl/>
        <w:spacing w:line="400" w:lineRule="exact"/>
        <w:ind w:firstLine="420" w:firstLineChars="200"/>
        <w:jc w:val="left"/>
        <w:rPr>
          <w:rFonts w:ascii="宋体" w:hAnsi="宋体" w:cs="宋体"/>
          <w:color w:val="auto"/>
          <w:szCs w:val="21"/>
        </w:rPr>
      </w:pPr>
      <w:r>
        <w:rPr>
          <w:rFonts w:hint="eastAsia" w:ascii="宋体" w:hAnsi="宋体" w:cs="宋体"/>
          <w:color w:val="auto"/>
          <w:szCs w:val="21"/>
        </w:rPr>
        <w:t>（六）中标结果</w:t>
      </w:r>
    </w:p>
    <w:p>
      <w:pPr>
        <w:spacing w:line="400" w:lineRule="exact"/>
        <w:ind w:firstLine="420" w:firstLineChars="200"/>
        <w:rPr>
          <w:rFonts w:ascii="宋体" w:hAnsi="宋体" w:cs="宋体"/>
          <w:color w:val="auto"/>
          <w:szCs w:val="21"/>
        </w:rPr>
      </w:pPr>
      <w:r>
        <w:rPr>
          <w:rFonts w:hint="eastAsia" w:ascii="宋体" w:hAnsi="宋体" w:cs="宋体"/>
          <w:color w:val="auto"/>
          <w:szCs w:val="21"/>
        </w:rPr>
        <w:t>采购代理机构将中标结果在政府采购指定媒体上公示，并在公示期结束后向中标人发出中标通知书。</w:t>
      </w:r>
    </w:p>
    <w:p>
      <w:pPr>
        <w:rPr>
          <w:b/>
          <w:bCs/>
          <w:color w:val="auto"/>
        </w:rPr>
      </w:pPr>
      <w:bookmarkStart w:id="247" w:name="_Toc20275"/>
      <w:bookmarkStart w:id="248" w:name="_Toc249866767"/>
      <w:bookmarkStart w:id="249" w:name="_Toc4938"/>
      <w:bookmarkStart w:id="250" w:name="_Toc259108323"/>
      <w:bookmarkStart w:id="251" w:name="_Toc10171"/>
      <w:bookmarkStart w:id="252" w:name="_Toc79395482"/>
      <w:bookmarkStart w:id="253" w:name="_Toc51446761"/>
      <w:bookmarkStart w:id="254" w:name="_Toc17707960"/>
      <w:r>
        <w:rPr>
          <w:rFonts w:hint="eastAsia"/>
          <w:b/>
          <w:bCs/>
          <w:color w:val="auto"/>
        </w:rPr>
        <w:t>五、投标无效的情形</w:t>
      </w:r>
      <w:bookmarkEnd w:id="247"/>
      <w:bookmarkEnd w:id="248"/>
      <w:bookmarkEnd w:id="249"/>
      <w:bookmarkEnd w:id="250"/>
      <w:bookmarkEnd w:id="251"/>
      <w:bookmarkEnd w:id="252"/>
      <w:bookmarkEnd w:id="253"/>
      <w:bookmarkEnd w:id="254"/>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没有响应招标文件实质性要求的投标将被视为无效投标。投标人不得通过修正或撤消不合要求的偏离或保留从而使其投标成为实质上响应的投标。</w:t>
      </w:r>
    </w:p>
    <w:p>
      <w:pPr>
        <w:pStyle w:val="16"/>
        <w:widowControl/>
        <w:spacing w:line="400" w:lineRule="exact"/>
        <w:ind w:firstLine="395" w:firstLineChars="196"/>
        <w:jc w:val="left"/>
        <w:rPr>
          <w:rFonts w:hAnsi="宋体" w:cs="宋体"/>
          <w:bCs/>
          <w:color w:val="auto"/>
          <w:sz w:val="21"/>
          <w:szCs w:val="21"/>
        </w:rPr>
      </w:pPr>
      <w:r>
        <w:rPr>
          <w:rFonts w:hint="eastAsia" w:hAnsi="宋体" w:cs="宋体"/>
          <w:bCs/>
          <w:color w:val="auto"/>
          <w:sz w:val="21"/>
          <w:szCs w:val="21"/>
        </w:rPr>
        <w:t>（一）在资格审查时，不具备招标文件中规定的资格要求的，或者资格证明文件不全的，投标文件将被视为无效。</w:t>
      </w:r>
    </w:p>
    <w:p>
      <w:pPr>
        <w:pStyle w:val="16"/>
        <w:widowControl/>
        <w:spacing w:line="400" w:lineRule="exact"/>
        <w:ind w:firstLine="395" w:firstLineChars="196"/>
        <w:jc w:val="left"/>
        <w:rPr>
          <w:rFonts w:hAnsi="宋体" w:cs="宋体"/>
          <w:bCs/>
          <w:color w:val="auto"/>
          <w:sz w:val="21"/>
          <w:szCs w:val="21"/>
        </w:rPr>
      </w:pPr>
      <w:r>
        <w:rPr>
          <w:rFonts w:hint="eastAsia" w:hAnsi="宋体" w:cs="宋体"/>
          <w:bCs/>
          <w:color w:val="auto"/>
          <w:sz w:val="21"/>
          <w:szCs w:val="21"/>
        </w:rPr>
        <w:t>（二）在符合性审查时，如发现下列情形之一的，投标文件将被视为无效：</w:t>
      </w:r>
    </w:p>
    <w:p>
      <w:pPr>
        <w:pStyle w:val="16"/>
        <w:widowControl/>
        <w:spacing w:line="400" w:lineRule="exact"/>
        <w:ind w:firstLine="395" w:firstLineChars="196"/>
        <w:jc w:val="left"/>
        <w:rPr>
          <w:rFonts w:hAnsi="宋体" w:cs="宋体"/>
          <w:bCs/>
          <w:color w:val="auto"/>
          <w:sz w:val="21"/>
          <w:szCs w:val="21"/>
        </w:rPr>
      </w:pPr>
      <w:r>
        <w:rPr>
          <w:rFonts w:hint="eastAsia" w:hAnsi="宋体" w:cs="宋体"/>
          <w:bCs/>
          <w:color w:val="auto"/>
          <w:sz w:val="21"/>
          <w:szCs w:val="21"/>
        </w:rPr>
        <w:t>1.投标文件未按招标文件要求签署、签章影响投标文件效力的；</w:t>
      </w:r>
    </w:p>
    <w:p>
      <w:pPr>
        <w:pStyle w:val="16"/>
        <w:widowControl/>
        <w:spacing w:line="400" w:lineRule="exact"/>
        <w:ind w:firstLine="395" w:firstLineChars="196"/>
        <w:jc w:val="left"/>
        <w:rPr>
          <w:rFonts w:hAnsi="宋体" w:cs="宋体"/>
          <w:bCs/>
          <w:color w:val="auto"/>
          <w:sz w:val="21"/>
          <w:szCs w:val="21"/>
        </w:rPr>
      </w:pPr>
      <w:r>
        <w:rPr>
          <w:rFonts w:hint="eastAsia" w:hAnsi="宋体" w:cs="宋体"/>
          <w:bCs/>
          <w:color w:val="auto"/>
          <w:sz w:val="21"/>
          <w:szCs w:val="21"/>
        </w:rPr>
        <w:t>2.投标有效期不满足招标文件要求的；</w:t>
      </w:r>
    </w:p>
    <w:p>
      <w:pPr>
        <w:pStyle w:val="16"/>
        <w:widowControl/>
        <w:spacing w:line="400" w:lineRule="exact"/>
        <w:ind w:firstLine="395" w:firstLineChars="196"/>
        <w:jc w:val="left"/>
        <w:rPr>
          <w:rFonts w:hAnsi="宋体" w:cs="宋体"/>
          <w:bCs/>
          <w:color w:val="auto"/>
          <w:sz w:val="21"/>
          <w:szCs w:val="21"/>
        </w:rPr>
      </w:pPr>
      <w:r>
        <w:rPr>
          <w:rFonts w:hint="eastAsia" w:hAnsi="宋体" w:cs="宋体"/>
          <w:bCs/>
          <w:color w:val="auto"/>
          <w:sz w:val="21"/>
          <w:szCs w:val="21"/>
        </w:rPr>
        <w:t>3.明显不符合招标文件要求的，或者与招标文件中标注“*”的条款发生实质性负偏离的；</w:t>
      </w:r>
    </w:p>
    <w:p>
      <w:pPr>
        <w:pStyle w:val="16"/>
        <w:widowControl/>
        <w:spacing w:line="400" w:lineRule="exact"/>
        <w:ind w:firstLine="395" w:firstLineChars="196"/>
        <w:jc w:val="left"/>
        <w:rPr>
          <w:rFonts w:hAnsi="宋体" w:cs="宋体"/>
          <w:bCs/>
          <w:color w:val="auto"/>
          <w:sz w:val="21"/>
          <w:szCs w:val="21"/>
        </w:rPr>
      </w:pPr>
      <w:r>
        <w:rPr>
          <w:rFonts w:hint="eastAsia" w:hAnsi="宋体" w:cs="宋体"/>
          <w:bCs/>
          <w:color w:val="auto"/>
          <w:sz w:val="21"/>
          <w:szCs w:val="21"/>
        </w:rPr>
        <w:t>4.投标文件中含有采购人不能接受的附加条件的；</w:t>
      </w:r>
    </w:p>
    <w:p>
      <w:pPr>
        <w:pStyle w:val="16"/>
        <w:widowControl/>
        <w:spacing w:line="400" w:lineRule="exact"/>
        <w:ind w:firstLine="395" w:firstLineChars="196"/>
        <w:jc w:val="left"/>
        <w:rPr>
          <w:rFonts w:hAnsi="宋体" w:cs="宋体"/>
          <w:bCs/>
          <w:color w:val="auto"/>
          <w:sz w:val="21"/>
          <w:szCs w:val="21"/>
        </w:rPr>
      </w:pPr>
      <w:r>
        <w:rPr>
          <w:rFonts w:hint="eastAsia" w:hAnsi="宋体" w:cs="宋体"/>
          <w:bCs/>
          <w:color w:val="auto"/>
          <w:sz w:val="21"/>
          <w:szCs w:val="21"/>
        </w:rPr>
        <w:t>5.法律、法规和招标文件规定的其他无效情形。</w:t>
      </w:r>
    </w:p>
    <w:p>
      <w:pPr>
        <w:pStyle w:val="16"/>
        <w:widowControl/>
        <w:spacing w:line="400" w:lineRule="exact"/>
        <w:ind w:firstLine="395" w:firstLineChars="196"/>
        <w:jc w:val="left"/>
        <w:rPr>
          <w:rFonts w:hAnsi="宋体" w:cs="宋体"/>
          <w:bCs/>
          <w:color w:val="auto"/>
          <w:sz w:val="21"/>
          <w:szCs w:val="21"/>
        </w:rPr>
      </w:pPr>
      <w:r>
        <w:rPr>
          <w:rFonts w:hint="eastAsia" w:hAnsi="宋体" w:cs="宋体"/>
          <w:bCs/>
          <w:color w:val="auto"/>
          <w:sz w:val="21"/>
          <w:szCs w:val="21"/>
        </w:rPr>
        <w:t>（三）在技术商务评审时，如发现下列情形之一的，投标文件将被视为无效：</w:t>
      </w:r>
    </w:p>
    <w:p>
      <w:pPr>
        <w:pStyle w:val="16"/>
        <w:widowControl/>
        <w:spacing w:line="400" w:lineRule="exact"/>
        <w:ind w:firstLine="404" w:firstLineChars="200"/>
        <w:jc w:val="left"/>
        <w:rPr>
          <w:rFonts w:hAnsi="宋体" w:cs="宋体"/>
          <w:bCs/>
          <w:color w:val="auto"/>
          <w:sz w:val="21"/>
          <w:szCs w:val="21"/>
        </w:rPr>
      </w:pPr>
      <w:r>
        <w:rPr>
          <w:rFonts w:hint="eastAsia" w:hAnsi="宋体" w:cs="宋体"/>
          <w:bCs/>
          <w:color w:val="auto"/>
          <w:sz w:val="21"/>
          <w:szCs w:val="21"/>
        </w:rPr>
        <w:t>1.未提供或未如实提供投标服务需求，或者投标文件标明的响应或偏离与事实不符或虚假投标的；</w:t>
      </w:r>
    </w:p>
    <w:p>
      <w:pPr>
        <w:pStyle w:val="16"/>
        <w:widowControl/>
        <w:spacing w:line="400" w:lineRule="exact"/>
        <w:ind w:firstLine="399" w:firstLineChars="198"/>
        <w:jc w:val="left"/>
        <w:rPr>
          <w:rFonts w:hAnsi="宋体" w:cs="宋体"/>
          <w:bCs/>
          <w:color w:val="auto"/>
          <w:sz w:val="21"/>
          <w:szCs w:val="21"/>
        </w:rPr>
      </w:pPr>
      <w:r>
        <w:rPr>
          <w:rFonts w:hint="eastAsia" w:hAnsi="宋体" w:cs="宋体"/>
          <w:bCs/>
          <w:color w:val="auto"/>
          <w:sz w:val="21"/>
          <w:szCs w:val="21"/>
        </w:rPr>
        <w:t>2.投标技术方案不明确，存在一个或一个以上备选（替代）投标方案的（招标文件允许有备选方案参加投标的除外）。</w:t>
      </w:r>
    </w:p>
    <w:p>
      <w:pPr>
        <w:pStyle w:val="16"/>
        <w:widowControl/>
        <w:spacing w:line="400" w:lineRule="exact"/>
        <w:ind w:firstLine="399" w:firstLineChars="198"/>
        <w:jc w:val="left"/>
        <w:rPr>
          <w:rFonts w:hAnsi="宋体" w:cs="宋体"/>
          <w:bCs/>
          <w:color w:val="auto"/>
          <w:sz w:val="21"/>
          <w:szCs w:val="21"/>
        </w:rPr>
      </w:pPr>
      <w:r>
        <w:rPr>
          <w:rFonts w:hint="eastAsia" w:hAnsi="宋体" w:cs="宋体"/>
          <w:bCs/>
          <w:color w:val="auto"/>
          <w:sz w:val="21"/>
          <w:szCs w:val="21"/>
        </w:rPr>
        <w:t>（四）在报价评审时，如发现下列情形之一的，投标文件将被视为无效：</w:t>
      </w:r>
    </w:p>
    <w:p>
      <w:pPr>
        <w:pStyle w:val="16"/>
        <w:widowControl/>
        <w:spacing w:line="400" w:lineRule="exact"/>
        <w:ind w:left="400" w:firstLine="0"/>
        <w:jc w:val="left"/>
        <w:rPr>
          <w:rFonts w:hAnsi="宋体" w:cs="宋体"/>
          <w:bCs/>
          <w:color w:val="auto"/>
          <w:sz w:val="21"/>
          <w:szCs w:val="21"/>
        </w:rPr>
      </w:pPr>
      <w:r>
        <w:rPr>
          <w:rFonts w:hint="eastAsia" w:hAnsi="宋体" w:cs="宋体"/>
          <w:bCs/>
          <w:color w:val="auto"/>
          <w:sz w:val="21"/>
          <w:szCs w:val="21"/>
        </w:rPr>
        <w:t>1.报价超过招标文件中规定的预算金额或者最高限价的；</w:t>
      </w:r>
    </w:p>
    <w:p>
      <w:pPr>
        <w:pStyle w:val="16"/>
        <w:widowControl/>
        <w:spacing w:line="400" w:lineRule="exact"/>
        <w:ind w:left="400" w:firstLine="0"/>
        <w:jc w:val="left"/>
        <w:rPr>
          <w:rFonts w:hAnsi="宋体" w:cs="宋体"/>
          <w:bCs/>
          <w:color w:val="auto"/>
          <w:sz w:val="21"/>
          <w:szCs w:val="21"/>
        </w:rPr>
      </w:pPr>
      <w:r>
        <w:rPr>
          <w:rFonts w:hint="eastAsia" w:hAnsi="宋体" w:cs="宋体"/>
          <w:bCs/>
          <w:color w:val="auto"/>
          <w:sz w:val="21"/>
          <w:szCs w:val="21"/>
        </w:rPr>
        <w:t>2.未采用投标文件要求的报价形式报价的；</w:t>
      </w:r>
    </w:p>
    <w:p>
      <w:pPr>
        <w:pStyle w:val="16"/>
        <w:widowControl/>
        <w:spacing w:line="400" w:lineRule="exact"/>
        <w:ind w:left="400" w:firstLine="0"/>
        <w:jc w:val="left"/>
        <w:rPr>
          <w:rFonts w:hAnsi="宋体" w:cs="宋体"/>
          <w:bCs/>
          <w:color w:val="auto"/>
          <w:sz w:val="21"/>
          <w:szCs w:val="21"/>
        </w:rPr>
      </w:pPr>
      <w:r>
        <w:rPr>
          <w:rFonts w:hint="eastAsia" w:hAnsi="宋体" w:cs="宋体"/>
          <w:bCs/>
          <w:color w:val="auto"/>
          <w:sz w:val="21"/>
          <w:szCs w:val="21"/>
        </w:rPr>
        <w:t>3.投标报价具有选择性；</w:t>
      </w:r>
    </w:p>
    <w:p>
      <w:pPr>
        <w:pStyle w:val="16"/>
        <w:widowControl/>
        <w:spacing w:line="400" w:lineRule="exact"/>
        <w:ind w:left="400" w:firstLine="0"/>
        <w:jc w:val="left"/>
        <w:rPr>
          <w:rFonts w:hAnsi="宋体" w:cs="宋体"/>
          <w:bCs/>
          <w:color w:val="auto"/>
          <w:sz w:val="21"/>
          <w:szCs w:val="21"/>
        </w:rPr>
      </w:pPr>
      <w:r>
        <w:rPr>
          <w:rFonts w:hint="eastAsia" w:hAnsi="宋体" w:cs="宋体"/>
          <w:bCs/>
          <w:color w:val="auto"/>
          <w:sz w:val="21"/>
          <w:szCs w:val="21"/>
        </w:rPr>
        <w:t>4.投标报价中出现重大缺项、漏项或者评标委员会认为投标人的报价明显低于其它通过符合性审查投标人的报价，且投标人不能证明其报价合理性的；</w:t>
      </w:r>
    </w:p>
    <w:p>
      <w:pPr>
        <w:pStyle w:val="16"/>
        <w:widowControl/>
        <w:spacing w:line="400" w:lineRule="exact"/>
        <w:ind w:left="400" w:firstLine="0"/>
        <w:jc w:val="left"/>
        <w:rPr>
          <w:rFonts w:hAnsi="宋体" w:cs="宋体"/>
          <w:bCs/>
          <w:color w:val="auto"/>
          <w:sz w:val="21"/>
          <w:szCs w:val="21"/>
        </w:rPr>
      </w:pPr>
      <w:r>
        <w:rPr>
          <w:rFonts w:hint="eastAsia" w:hAnsi="宋体" w:cs="宋体"/>
          <w:bCs/>
          <w:color w:val="auto"/>
          <w:sz w:val="21"/>
          <w:szCs w:val="21"/>
        </w:rPr>
        <w:t>5.法律、法规和招标文件规定的其他无效情形。</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（五）被拒绝的投标文件为无效。</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（六）不同投标人的投标文件出自同一终端设备或在相同Internet主机分配地址（相同IP地址）网上报名投标或上传投标文件，其投标文件为无效。</w:t>
      </w:r>
    </w:p>
    <w:p>
      <w:pPr>
        <w:widowControl/>
        <w:jc w:val="left"/>
        <w:rPr>
          <w:rFonts w:ascii="宋体" w:hAnsi="宋体" w:cs="宋体"/>
          <w:color w:val="auto"/>
          <w:szCs w:val="21"/>
        </w:rPr>
      </w:pPr>
    </w:p>
    <w:p>
      <w:pPr>
        <w:rPr>
          <w:color w:val="auto"/>
        </w:rPr>
      </w:pPr>
    </w:p>
    <w:p>
      <w:pPr>
        <w:rPr>
          <w:color w:val="auto"/>
        </w:rPr>
      </w:pPr>
    </w:p>
    <w:p>
      <w:pPr>
        <w:pStyle w:val="32"/>
        <w:ind w:left="420"/>
        <w:rPr>
          <w:rFonts w:ascii="宋体" w:hAnsi="宋体" w:cs="宋体"/>
          <w:color w:val="auto"/>
        </w:rPr>
      </w:pPr>
    </w:p>
    <w:p>
      <w:pPr>
        <w:numPr>
          <w:ilvl w:val="0"/>
          <w:numId w:val="12"/>
        </w:numPr>
        <w:spacing w:line="360" w:lineRule="auto"/>
        <w:rPr>
          <w:rFonts w:ascii="宋体" w:hAnsi="宋体" w:cs="宋体"/>
          <w:b/>
          <w:bCs/>
          <w:color w:val="auto"/>
          <w:szCs w:val="21"/>
        </w:rPr>
        <w:sectPr>
          <w:footerReference r:id="rId8" w:type="default"/>
          <w:pgSz w:w="11907" w:h="16840"/>
          <w:pgMar w:top="1440" w:right="1800" w:bottom="1440" w:left="1800" w:header="720" w:footer="720" w:gutter="0"/>
          <w:cols w:space="720" w:num="1"/>
          <w:docGrid w:linePitch="285" w:charSpace="0"/>
        </w:sectPr>
      </w:pPr>
      <w:bookmarkStart w:id="255" w:name="_Toc27740"/>
      <w:bookmarkStart w:id="256" w:name="_Toc79395483"/>
      <w:bookmarkStart w:id="257" w:name="_Toc28345"/>
      <w:bookmarkStart w:id="258" w:name="_Toc17707961"/>
      <w:bookmarkStart w:id="259" w:name="_Toc7045"/>
    </w:p>
    <w:p>
      <w:pPr>
        <w:numPr>
          <w:ilvl w:val="0"/>
          <w:numId w:val="12"/>
        </w:numPr>
        <w:spacing w:line="360" w:lineRule="auto"/>
        <w:rPr>
          <w:rFonts w:ascii="宋体" w:hAnsi="宋体" w:cs="宋体"/>
          <w:b/>
          <w:bCs/>
          <w:color w:val="auto"/>
          <w:szCs w:val="21"/>
        </w:rPr>
      </w:pPr>
      <w:r>
        <w:rPr>
          <w:rFonts w:hint="eastAsia" w:ascii="宋体" w:hAnsi="宋体" w:cs="宋体"/>
          <w:b/>
          <w:bCs/>
          <w:color w:val="auto"/>
          <w:szCs w:val="21"/>
        </w:rPr>
        <w:t xml:space="preserve">评 分 标 准 </w:t>
      </w:r>
      <w:bookmarkEnd w:id="255"/>
      <w:bookmarkEnd w:id="256"/>
      <w:bookmarkEnd w:id="257"/>
      <w:bookmarkEnd w:id="258"/>
      <w:bookmarkEnd w:id="259"/>
    </w:p>
    <w:tbl>
      <w:tblPr>
        <w:tblStyle w:val="39"/>
        <w:tblW w:w="9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782"/>
        <w:gridCol w:w="6535"/>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jc w:val="center"/>
              <w:rPr>
                <w:color w:val="auto"/>
              </w:rPr>
            </w:pPr>
            <w:bookmarkStart w:id="260" w:name="_Toc227380470"/>
            <w:bookmarkStart w:id="321" w:name="_GoBack"/>
            <w:r>
              <w:rPr>
                <w:rFonts w:hint="eastAsia"/>
                <w:color w:val="auto"/>
              </w:rPr>
              <w:t>序号</w:t>
            </w:r>
          </w:p>
        </w:tc>
        <w:tc>
          <w:tcPr>
            <w:tcW w:w="1782"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评分因素</w:t>
            </w:r>
          </w:p>
        </w:tc>
        <w:tc>
          <w:tcPr>
            <w:tcW w:w="653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评分细则</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jc w:val="center"/>
        </w:trPr>
        <w:tc>
          <w:tcPr>
            <w:tcW w:w="533" w:type="dxa"/>
            <w:vMerge w:val="restart"/>
            <w:tcBorders>
              <w:left w:val="single" w:color="auto" w:sz="4" w:space="0"/>
              <w:right w:val="single" w:color="auto" w:sz="4" w:space="0"/>
            </w:tcBorders>
            <w:vAlign w:val="center"/>
          </w:tcPr>
          <w:p>
            <w:pPr>
              <w:rPr>
                <w:color w:val="auto"/>
              </w:rPr>
            </w:pPr>
          </w:p>
        </w:tc>
        <w:tc>
          <w:tcPr>
            <w:tcW w:w="1782"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val="en-US" w:eastAsia="zh-CN"/>
              </w:rPr>
              <w:t>1</w:t>
            </w:r>
            <w:r>
              <w:rPr>
                <w:rFonts w:hint="eastAsia"/>
                <w:color w:val="auto"/>
              </w:rPr>
              <w:t>.项目需求分析</w:t>
            </w: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针对土壤剖面样点调查采样的需求分析以及对第三次全国土壤普查工作的熟悉程度进行综合评分。</w:t>
            </w:r>
          </w:p>
          <w:p>
            <w:pPr>
              <w:rPr>
                <w:rFonts w:hint="eastAsia" w:ascii="宋体" w:hAnsi="宋体" w:eastAsia="宋体" w:cs="宋体"/>
                <w:color w:val="auto"/>
              </w:rPr>
            </w:pPr>
            <w:r>
              <w:rPr>
                <w:rFonts w:hint="eastAsia" w:ascii="宋体" w:hAnsi="宋体" w:eastAsia="宋体" w:cs="宋体"/>
                <w:color w:val="auto"/>
              </w:rPr>
              <w:t>①对土壤剖面样点调查采样的需求分析详尽、全面</w:t>
            </w:r>
            <w:r>
              <w:rPr>
                <w:rFonts w:hint="eastAsia" w:ascii="宋体" w:hAnsi="宋体" w:eastAsia="宋体" w:cs="宋体"/>
                <w:color w:val="auto"/>
                <w:lang w:val="en-US" w:eastAsia="zh-CN"/>
              </w:rPr>
              <w:t>清晰</w:t>
            </w:r>
            <w:r>
              <w:rPr>
                <w:rFonts w:hint="eastAsia" w:ascii="宋体" w:hAnsi="宋体" w:eastAsia="宋体" w:cs="宋体"/>
                <w:color w:val="auto"/>
              </w:rPr>
              <w:t>，</w:t>
            </w:r>
            <w:r>
              <w:rPr>
                <w:rFonts w:hint="eastAsia" w:ascii="宋体" w:hAnsi="宋体" w:eastAsia="宋体" w:cs="宋体"/>
                <w:color w:val="auto"/>
                <w:lang w:val="en-US" w:eastAsia="zh-CN"/>
              </w:rPr>
              <w:t>阐述的内容能体现出</w:t>
            </w:r>
            <w:r>
              <w:rPr>
                <w:rFonts w:hint="eastAsia" w:ascii="宋体" w:hAnsi="宋体" w:eastAsia="宋体" w:cs="宋体"/>
                <w:color w:val="auto"/>
              </w:rPr>
              <w:t>对第三次全国土壤普查工作非常熟悉的得</w:t>
            </w:r>
            <w:r>
              <w:rPr>
                <w:rFonts w:hint="eastAsia" w:ascii="宋体" w:hAnsi="宋体" w:eastAsia="宋体" w:cs="宋体"/>
                <w:color w:val="auto"/>
                <w:lang w:val="en-US" w:eastAsia="zh-CN"/>
              </w:rPr>
              <w:t>6</w:t>
            </w:r>
            <w:r>
              <w:rPr>
                <w:rFonts w:hint="eastAsia" w:ascii="宋体" w:hAnsi="宋体" w:eastAsia="宋体" w:cs="宋体"/>
                <w:color w:val="auto"/>
              </w:rPr>
              <w:t>分；</w:t>
            </w:r>
          </w:p>
          <w:p>
            <w:pPr>
              <w:rPr>
                <w:rFonts w:hint="eastAsia" w:ascii="宋体" w:hAnsi="宋体" w:eastAsia="宋体" w:cs="宋体"/>
                <w:color w:val="auto"/>
              </w:rPr>
            </w:pPr>
            <w:r>
              <w:rPr>
                <w:rFonts w:hint="eastAsia" w:ascii="宋体" w:hAnsi="宋体" w:eastAsia="宋体" w:cs="宋体"/>
                <w:color w:val="auto"/>
              </w:rPr>
              <w:t>②对土壤剖面样点调查采样的需求分析较详尽、较</w:t>
            </w:r>
            <w:r>
              <w:rPr>
                <w:rFonts w:hint="eastAsia" w:ascii="宋体" w:hAnsi="宋体" w:eastAsia="宋体" w:cs="宋体"/>
                <w:color w:val="auto"/>
                <w:lang w:val="en-US" w:eastAsia="zh-CN"/>
              </w:rPr>
              <w:t>为</w:t>
            </w:r>
            <w:r>
              <w:rPr>
                <w:rFonts w:hint="eastAsia" w:ascii="宋体" w:hAnsi="宋体" w:eastAsia="宋体" w:cs="宋体"/>
                <w:color w:val="auto"/>
              </w:rPr>
              <w:t>全面</w:t>
            </w:r>
            <w:r>
              <w:rPr>
                <w:rFonts w:hint="eastAsia" w:ascii="宋体" w:hAnsi="宋体" w:eastAsia="宋体" w:cs="宋体"/>
                <w:color w:val="auto"/>
                <w:lang w:val="en-US" w:eastAsia="zh-CN"/>
              </w:rPr>
              <w:t>清晰，阐述的内容能体现出</w:t>
            </w:r>
            <w:r>
              <w:rPr>
                <w:rFonts w:hint="eastAsia" w:ascii="宋体" w:hAnsi="宋体" w:eastAsia="宋体" w:cs="宋体"/>
                <w:color w:val="auto"/>
              </w:rPr>
              <w:t>对第三次全国土壤普查工作有一定了解的，得</w:t>
            </w:r>
            <w:r>
              <w:rPr>
                <w:rFonts w:hint="eastAsia" w:ascii="宋体" w:hAnsi="宋体" w:eastAsia="宋体" w:cs="宋体"/>
                <w:color w:val="auto"/>
                <w:lang w:val="en-US" w:eastAsia="zh-CN"/>
              </w:rPr>
              <w:t>4</w:t>
            </w:r>
            <w:r>
              <w:rPr>
                <w:rFonts w:hint="eastAsia" w:ascii="宋体" w:hAnsi="宋体" w:eastAsia="宋体" w:cs="宋体"/>
                <w:color w:val="auto"/>
              </w:rPr>
              <w:t>分；</w:t>
            </w:r>
          </w:p>
          <w:p>
            <w:pPr>
              <w:rPr>
                <w:rFonts w:hint="eastAsia" w:ascii="宋体" w:hAnsi="宋体" w:eastAsia="宋体" w:cs="宋体"/>
                <w:color w:val="auto"/>
              </w:rPr>
            </w:pPr>
            <w:r>
              <w:rPr>
                <w:rFonts w:hint="eastAsia" w:ascii="宋体" w:hAnsi="宋体" w:eastAsia="宋体" w:cs="宋体"/>
                <w:color w:val="auto"/>
              </w:rPr>
              <w:t>③对土壤剖面样点调查采样的需求分析内容有欠缺、</w:t>
            </w:r>
            <w:r>
              <w:rPr>
                <w:rFonts w:hint="eastAsia" w:ascii="宋体" w:hAnsi="宋体" w:eastAsia="宋体" w:cs="宋体"/>
                <w:color w:val="auto"/>
                <w:lang w:val="en-US" w:eastAsia="zh-CN"/>
              </w:rPr>
              <w:t>阐述内容模糊不清的</w:t>
            </w:r>
            <w:r>
              <w:rPr>
                <w:rFonts w:hint="eastAsia" w:ascii="宋体" w:hAnsi="宋体" w:eastAsia="宋体" w:cs="宋体"/>
                <w:color w:val="auto"/>
              </w:rPr>
              <w:t>得</w:t>
            </w:r>
            <w:r>
              <w:rPr>
                <w:rFonts w:hint="eastAsia" w:ascii="宋体" w:hAnsi="宋体" w:eastAsia="宋体" w:cs="宋体"/>
                <w:color w:val="auto"/>
                <w:lang w:val="en-US" w:eastAsia="zh-CN"/>
              </w:rPr>
              <w:t>2</w:t>
            </w:r>
            <w:r>
              <w:rPr>
                <w:rFonts w:hint="eastAsia" w:ascii="宋体" w:hAnsi="宋体" w:eastAsia="宋体" w:cs="宋体"/>
                <w:color w:val="auto"/>
              </w:rPr>
              <w:t>分；</w:t>
            </w:r>
          </w:p>
          <w:p>
            <w:pPr>
              <w:rPr>
                <w:color w:val="auto"/>
              </w:rPr>
            </w:pPr>
            <w:r>
              <w:rPr>
                <w:rFonts w:hint="eastAsia" w:ascii="宋体" w:hAnsi="宋体" w:eastAsia="宋体" w:cs="宋体"/>
                <w:color w:val="auto"/>
              </w:rPr>
              <w:t>④未提供不得分</w:t>
            </w:r>
            <w:r>
              <w:rPr>
                <w:rFonts w:hint="eastAsia"/>
                <w:color w:val="auto"/>
              </w:rPr>
              <w:t>。</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lang w:eastAsia="zh-CN"/>
              </w:rPr>
            </w:pPr>
            <w:r>
              <w:rPr>
                <w:rFonts w:hint="eastAsia" w:ascii="宋体" w:hAnsi="宋体" w:cs="宋体"/>
                <w:color w:val="auto"/>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restart"/>
            <w:tcBorders>
              <w:top w:val="single" w:color="auto" w:sz="4" w:space="0"/>
              <w:left w:val="single" w:color="auto" w:sz="4" w:space="0"/>
              <w:right w:val="single" w:color="auto" w:sz="4" w:space="0"/>
            </w:tcBorders>
            <w:vAlign w:val="center"/>
          </w:tcPr>
          <w:p>
            <w:pPr>
              <w:rPr>
                <w:color w:val="auto"/>
              </w:rPr>
            </w:pPr>
            <w:r>
              <w:rPr>
                <w:rFonts w:hint="eastAsia"/>
                <w:color w:val="auto"/>
                <w:lang w:val="en-US" w:eastAsia="zh-CN"/>
              </w:rPr>
              <w:t>2</w:t>
            </w:r>
            <w:r>
              <w:rPr>
                <w:rFonts w:hint="eastAsia"/>
                <w:color w:val="auto"/>
              </w:rPr>
              <w:t>.项目重点难点分析</w:t>
            </w: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val="en-US" w:eastAsia="zh-CN"/>
              </w:rPr>
              <w:t>2</w:t>
            </w:r>
            <w:r>
              <w:rPr>
                <w:rFonts w:hint="eastAsia"/>
                <w:color w:val="auto"/>
              </w:rPr>
              <w:t>.1针对土壤剖面样点调查采样的重难点分析进行综合评分。</w:t>
            </w:r>
          </w:p>
          <w:p>
            <w:pPr>
              <w:rPr>
                <w:color w:val="auto"/>
              </w:rPr>
            </w:pPr>
            <w:r>
              <w:rPr>
                <w:rFonts w:hint="eastAsia"/>
                <w:color w:val="auto"/>
              </w:rPr>
              <w:t>①对土壤剖面样点调查采样</w:t>
            </w:r>
            <w:r>
              <w:rPr>
                <w:rFonts w:hint="eastAsia" w:ascii="宋体" w:hAnsi="宋体" w:cs="宋体"/>
                <w:color w:val="auto"/>
                <w:szCs w:val="21"/>
              </w:rPr>
              <w:t>过程中的技术关键点、技术难点分析全面、准确且有条理</w:t>
            </w:r>
            <w:r>
              <w:rPr>
                <w:rFonts w:hint="eastAsia"/>
                <w:color w:val="auto"/>
              </w:rPr>
              <w:t>的得</w:t>
            </w:r>
            <w:r>
              <w:rPr>
                <w:rFonts w:hint="eastAsia"/>
                <w:color w:val="auto"/>
                <w:lang w:val="en-US" w:eastAsia="zh-CN"/>
              </w:rPr>
              <w:t>4</w:t>
            </w:r>
            <w:r>
              <w:rPr>
                <w:rFonts w:hint="eastAsia"/>
                <w:color w:val="auto"/>
              </w:rPr>
              <w:t>分；</w:t>
            </w:r>
          </w:p>
          <w:p>
            <w:pPr>
              <w:rPr>
                <w:color w:val="auto"/>
              </w:rPr>
            </w:pPr>
            <w:r>
              <w:rPr>
                <w:rFonts w:hint="eastAsia"/>
                <w:color w:val="auto"/>
              </w:rPr>
              <w:t>②对土壤剖面样点调查采</w:t>
            </w:r>
            <w:r>
              <w:rPr>
                <w:rFonts w:hint="eastAsia" w:ascii="宋体" w:hAnsi="宋体" w:cs="宋体"/>
                <w:color w:val="auto"/>
                <w:szCs w:val="21"/>
              </w:rPr>
              <w:t>过程中的技术关键点、技术难点分析</w:t>
            </w:r>
            <w:r>
              <w:rPr>
                <w:rFonts w:hint="eastAsia" w:ascii="宋体" w:hAnsi="宋体" w:cs="宋体"/>
                <w:color w:val="auto"/>
                <w:szCs w:val="21"/>
                <w:lang w:val="en-US" w:eastAsia="zh-CN"/>
              </w:rPr>
              <w:t>较为</w:t>
            </w:r>
            <w:r>
              <w:rPr>
                <w:rFonts w:hint="eastAsia" w:ascii="宋体" w:hAnsi="宋体" w:cs="宋体"/>
                <w:color w:val="auto"/>
                <w:szCs w:val="21"/>
              </w:rPr>
              <w:t>全面、</w:t>
            </w:r>
            <w:r>
              <w:rPr>
                <w:rFonts w:hint="eastAsia" w:ascii="宋体" w:hAnsi="宋体" w:cs="宋体"/>
                <w:color w:val="auto"/>
                <w:szCs w:val="21"/>
                <w:lang w:val="en-US" w:eastAsia="zh-CN"/>
              </w:rPr>
              <w:t>较为</w:t>
            </w:r>
            <w:r>
              <w:rPr>
                <w:rFonts w:hint="eastAsia" w:ascii="宋体" w:hAnsi="宋体" w:cs="宋体"/>
                <w:color w:val="auto"/>
                <w:szCs w:val="21"/>
              </w:rPr>
              <w:t>准确且</w:t>
            </w:r>
            <w:r>
              <w:rPr>
                <w:rFonts w:hint="eastAsia" w:ascii="宋体" w:hAnsi="宋体" w:cs="宋体"/>
                <w:color w:val="auto"/>
                <w:szCs w:val="21"/>
                <w:lang w:val="en-US" w:eastAsia="zh-CN"/>
              </w:rPr>
              <w:t>具有一定</w:t>
            </w:r>
            <w:r>
              <w:rPr>
                <w:rFonts w:hint="eastAsia" w:ascii="宋体" w:hAnsi="宋体" w:cs="宋体"/>
                <w:color w:val="auto"/>
                <w:szCs w:val="21"/>
              </w:rPr>
              <w:t>条理</w:t>
            </w:r>
            <w:r>
              <w:rPr>
                <w:rFonts w:hint="eastAsia"/>
                <w:color w:val="auto"/>
              </w:rPr>
              <w:t>的得</w:t>
            </w:r>
            <w:r>
              <w:rPr>
                <w:rFonts w:hint="eastAsia"/>
                <w:color w:val="auto"/>
                <w:lang w:val="en-US" w:eastAsia="zh-CN"/>
              </w:rPr>
              <w:t>3</w:t>
            </w:r>
            <w:r>
              <w:rPr>
                <w:rFonts w:hint="eastAsia"/>
                <w:color w:val="auto"/>
              </w:rPr>
              <w:t>分；</w:t>
            </w:r>
          </w:p>
          <w:p>
            <w:pPr>
              <w:rPr>
                <w:color w:val="auto"/>
              </w:rPr>
            </w:pPr>
            <w:r>
              <w:rPr>
                <w:rFonts w:hint="eastAsia"/>
                <w:color w:val="auto"/>
              </w:rPr>
              <w:t>③对土壤剖面样点调查采样</w:t>
            </w:r>
            <w:r>
              <w:rPr>
                <w:rFonts w:hint="eastAsia" w:ascii="宋体" w:hAnsi="宋体" w:cs="宋体"/>
                <w:color w:val="auto"/>
                <w:szCs w:val="21"/>
              </w:rPr>
              <w:t>过程中的技术关键点、技术难点分析思路模糊不清、各方面略有欠缺或有瑕疵的</w:t>
            </w:r>
            <w:r>
              <w:rPr>
                <w:rFonts w:hint="eastAsia"/>
                <w:color w:val="auto"/>
              </w:rPr>
              <w:t>得</w:t>
            </w:r>
            <w:r>
              <w:rPr>
                <w:rFonts w:hint="eastAsia"/>
                <w:color w:val="auto"/>
                <w:lang w:val="en-US" w:eastAsia="zh-CN"/>
              </w:rPr>
              <w:t>1</w:t>
            </w:r>
            <w:r>
              <w:rPr>
                <w:rFonts w:hint="eastAsia"/>
                <w:color w:val="auto"/>
              </w:rPr>
              <w:t>分；</w:t>
            </w:r>
          </w:p>
          <w:p>
            <w:pPr>
              <w:rPr>
                <w:color w:val="auto"/>
              </w:rPr>
            </w:pPr>
            <w:r>
              <w:rPr>
                <w:rFonts w:hint="eastAsia"/>
                <w:color w:val="auto"/>
              </w:rPr>
              <w:t>④未提供不得分。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lang w:val="en-US" w:eastAsia="zh-CN"/>
              </w:rPr>
            </w:pPr>
            <w:r>
              <w:rPr>
                <w:rFonts w:hint="eastAsia" w:ascii="宋体" w:hAnsi="宋体" w:cs="宋体"/>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continue"/>
            <w:tcBorders>
              <w:left w:val="single" w:color="auto" w:sz="4" w:space="0"/>
              <w:bottom w:val="single" w:color="auto" w:sz="4" w:space="0"/>
              <w:right w:val="single" w:color="auto" w:sz="4" w:space="0"/>
            </w:tcBorders>
            <w:vAlign w:val="center"/>
          </w:tcPr>
          <w:p>
            <w:pPr>
              <w:rPr>
                <w:color w:val="auto"/>
              </w:rPr>
            </w:pP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val="en-US" w:eastAsia="zh-CN"/>
              </w:rPr>
              <w:t>2</w:t>
            </w:r>
            <w:r>
              <w:rPr>
                <w:rFonts w:hint="eastAsia"/>
                <w:color w:val="auto"/>
              </w:rPr>
              <w:t>.2针对土壤剖面样点调查采样的重难点分析后提出的</w:t>
            </w:r>
            <w:r>
              <w:rPr>
                <w:rFonts w:hint="eastAsia"/>
                <w:color w:val="auto"/>
                <w:lang w:val="zh-CN"/>
              </w:rPr>
              <w:t>解决方案</w:t>
            </w:r>
            <w:r>
              <w:rPr>
                <w:rFonts w:hint="eastAsia"/>
                <w:color w:val="auto"/>
              </w:rPr>
              <w:t>进行综合评分。</w:t>
            </w:r>
          </w:p>
          <w:p>
            <w:pPr>
              <w:rPr>
                <w:rFonts w:hint="eastAsia" w:ascii="宋体" w:hAnsi="宋体" w:eastAsia="宋体" w:cs="宋体"/>
                <w:color w:val="auto"/>
              </w:rPr>
            </w:pPr>
            <w:r>
              <w:rPr>
                <w:rFonts w:hint="eastAsia" w:ascii="宋体" w:hAnsi="宋体" w:eastAsia="宋体" w:cs="宋体"/>
                <w:color w:val="auto"/>
                <w:lang w:val="zh-CN"/>
              </w:rPr>
              <w:t>①解决</w:t>
            </w:r>
            <w:r>
              <w:rPr>
                <w:rFonts w:hint="eastAsia" w:ascii="宋体" w:hAnsi="宋体" w:eastAsia="宋体" w:cs="宋体"/>
                <w:color w:val="auto"/>
                <w:lang w:val="en-US" w:eastAsia="zh-CN"/>
              </w:rPr>
              <w:t>方案内容阐述完整、</w:t>
            </w:r>
            <w:r>
              <w:rPr>
                <w:rFonts w:hint="eastAsia" w:ascii="宋体" w:hAnsi="宋体" w:eastAsia="宋体" w:cs="宋体"/>
                <w:color w:val="auto"/>
                <w:lang w:val="zh-CN"/>
              </w:rPr>
              <w:t>有创新且可行的</w:t>
            </w:r>
            <w:r>
              <w:rPr>
                <w:rFonts w:hint="eastAsia" w:ascii="宋体" w:hAnsi="宋体" w:eastAsia="宋体" w:cs="宋体"/>
                <w:color w:val="auto"/>
                <w:lang w:val="en-US" w:eastAsia="zh-CN"/>
              </w:rPr>
              <w:t>得4</w:t>
            </w:r>
            <w:r>
              <w:rPr>
                <w:rFonts w:hint="eastAsia" w:ascii="宋体" w:hAnsi="宋体" w:eastAsia="宋体" w:cs="宋体"/>
                <w:color w:val="auto"/>
              </w:rPr>
              <w:t>分；</w:t>
            </w:r>
          </w:p>
          <w:p>
            <w:pPr>
              <w:rPr>
                <w:rFonts w:hint="eastAsia" w:ascii="宋体" w:hAnsi="宋体" w:eastAsia="宋体" w:cs="宋体"/>
                <w:color w:val="auto"/>
              </w:rPr>
            </w:pPr>
            <w:r>
              <w:rPr>
                <w:rFonts w:hint="eastAsia" w:ascii="宋体" w:hAnsi="宋体" w:eastAsia="宋体" w:cs="宋体"/>
                <w:color w:val="auto"/>
                <w:lang w:val="zh-CN"/>
              </w:rPr>
              <w:t>②解决方案</w:t>
            </w:r>
            <w:r>
              <w:rPr>
                <w:rFonts w:hint="eastAsia" w:ascii="宋体" w:hAnsi="宋体" w:eastAsia="宋体" w:cs="宋体"/>
                <w:color w:val="auto"/>
              </w:rPr>
              <w:t>内容</w:t>
            </w:r>
            <w:r>
              <w:rPr>
                <w:rFonts w:hint="eastAsia" w:ascii="宋体" w:hAnsi="宋体" w:eastAsia="宋体" w:cs="宋体"/>
                <w:color w:val="auto"/>
                <w:lang w:val="en-US" w:eastAsia="zh-CN"/>
              </w:rPr>
              <w:t>阐述较为</w:t>
            </w:r>
            <w:r>
              <w:rPr>
                <w:rFonts w:hint="eastAsia" w:ascii="宋体" w:hAnsi="宋体" w:eastAsia="宋体" w:cs="宋体"/>
                <w:color w:val="auto"/>
              </w:rPr>
              <w:t>完整</w:t>
            </w:r>
            <w:r>
              <w:rPr>
                <w:rFonts w:hint="eastAsia" w:ascii="宋体" w:hAnsi="宋体" w:eastAsia="宋体" w:cs="宋体"/>
                <w:color w:val="auto"/>
                <w:lang w:eastAsia="zh-CN"/>
              </w:rPr>
              <w:t>，</w:t>
            </w:r>
            <w:r>
              <w:rPr>
                <w:rFonts w:hint="eastAsia" w:ascii="宋体" w:hAnsi="宋体" w:eastAsia="宋体" w:cs="宋体"/>
                <w:color w:val="auto"/>
                <w:lang w:val="en-US" w:eastAsia="zh-CN"/>
              </w:rPr>
              <w:t>具备一定创新性、可行性</w:t>
            </w:r>
            <w:r>
              <w:rPr>
                <w:rFonts w:hint="eastAsia" w:ascii="宋体" w:hAnsi="宋体" w:eastAsia="宋体" w:cs="宋体"/>
                <w:color w:val="auto"/>
              </w:rPr>
              <w:t>的得</w:t>
            </w:r>
            <w:r>
              <w:rPr>
                <w:rFonts w:hint="eastAsia" w:ascii="宋体" w:hAnsi="宋体" w:eastAsia="宋体" w:cs="宋体"/>
                <w:color w:val="auto"/>
                <w:lang w:val="en-US" w:eastAsia="zh-CN"/>
              </w:rPr>
              <w:t>3</w:t>
            </w:r>
            <w:r>
              <w:rPr>
                <w:rFonts w:hint="eastAsia" w:ascii="宋体" w:hAnsi="宋体" w:eastAsia="宋体" w:cs="宋体"/>
                <w:color w:val="auto"/>
              </w:rPr>
              <w:t>分；</w:t>
            </w:r>
          </w:p>
          <w:p>
            <w:pPr>
              <w:rPr>
                <w:rFonts w:hint="eastAsia" w:ascii="宋体" w:hAnsi="宋体" w:eastAsia="宋体" w:cs="宋体"/>
                <w:color w:val="auto"/>
                <w:lang w:eastAsia="zh-CN"/>
              </w:rPr>
            </w:pPr>
            <w:r>
              <w:rPr>
                <w:rFonts w:hint="eastAsia" w:ascii="宋体" w:hAnsi="宋体" w:eastAsia="宋体" w:cs="宋体"/>
                <w:color w:val="auto"/>
                <w:lang w:val="zh-CN"/>
              </w:rPr>
              <w:t>③解决方案</w:t>
            </w:r>
            <w:r>
              <w:rPr>
                <w:rFonts w:hint="eastAsia" w:ascii="宋体" w:hAnsi="宋体" w:eastAsia="宋体" w:cs="宋体"/>
                <w:color w:val="auto"/>
              </w:rPr>
              <w:t>内容</w:t>
            </w:r>
            <w:r>
              <w:rPr>
                <w:rFonts w:hint="eastAsia" w:ascii="宋体" w:hAnsi="宋体" w:eastAsia="宋体" w:cs="宋体"/>
                <w:color w:val="auto"/>
                <w:lang w:val="en-US" w:eastAsia="zh-CN"/>
              </w:rPr>
              <w:t>阐述</w:t>
            </w:r>
            <w:r>
              <w:rPr>
                <w:rFonts w:hint="eastAsia" w:ascii="宋体" w:hAnsi="宋体" w:eastAsia="宋体" w:cs="宋体"/>
                <w:color w:val="auto"/>
                <w:szCs w:val="21"/>
              </w:rPr>
              <w:t>模糊不清、各方面略有欠缺或有瑕疵的</w:t>
            </w:r>
            <w:r>
              <w:rPr>
                <w:rFonts w:hint="eastAsia" w:ascii="宋体" w:hAnsi="宋体" w:eastAsia="宋体" w:cs="宋体"/>
                <w:color w:val="auto"/>
              </w:rPr>
              <w:t>得</w:t>
            </w:r>
            <w:r>
              <w:rPr>
                <w:rFonts w:hint="eastAsia" w:ascii="宋体" w:hAnsi="宋体" w:eastAsia="宋体" w:cs="宋体"/>
                <w:color w:val="auto"/>
                <w:lang w:val="en-US" w:eastAsia="zh-CN"/>
              </w:rPr>
              <w:t>1</w:t>
            </w:r>
            <w:r>
              <w:rPr>
                <w:rFonts w:hint="eastAsia" w:ascii="宋体" w:hAnsi="宋体" w:eastAsia="宋体" w:cs="宋体"/>
                <w:color w:val="auto"/>
              </w:rPr>
              <w:t>分</w:t>
            </w:r>
            <w:r>
              <w:rPr>
                <w:rFonts w:hint="eastAsia" w:ascii="宋体" w:hAnsi="宋体" w:eastAsia="宋体" w:cs="宋体"/>
                <w:color w:val="auto"/>
                <w:lang w:eastAsia="zh-CN"/>
              </w:rPr>
              <w:t>；</w:t>
            </w:r>
          </w:p>
          <w:p>
            <w:pPr>
              <w:rPr>
                <w:color w:val="auto"/>
              </w:rPr>
            </w:pPr>
            <w:r>
              <w:rPr>
                <w:rFonts w:hint="eastAsia" w:ascii="宋体" w:hAnsi="宋体" w:eastAsia="宋体" w:cs="宋体"/>
                <w:color w:val="auto"/>
              </w:rPr>
              <w:t>④未提供不得分。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lang w:val="en-US" w:eastAsia="zh-CN"/>
              </w:rPr>
            </w:pPr>
            <w:r>
              <w:rPr>
                <w:rFonts w:hint="eastAsia" w:ascii="宋体" w:hAnsi="宋体" w:cs="宋体"/>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restart"/>
            <w:tcBorders>
              <w:top w:val="single" w:color="auto" w:sz="4" w:space="0"/>
              <w:left w:val="single" w:color="auto" w:sz="4" w:space="0"/>
              <w:right w:val="single" w:color="auto" w:sz="4" w:space="0"/>
            </w:tcBorders>
            <w:vAlign w:val="center"/>
          </w:tcPr>
          <w:p>
            <w:pPr>
              <w:jc w:val="center"/>
              <w:rPr>
                <w:color w:val="auto"/>
              </w:rPr>
            </w:pPr>
            <w:r>
              <w:rPr>
                <w:rFonts w:hint="eastAsia"/>
                <w:color w:val="auto"/>
                <w:lang w:val="en-US" w:eastAsia="zh-CN"/>
              </w:rPr>
              <w:t>3</w:t>
            </w:r>
            <w:r>
              <w:rPr>
                <w:rFonts w:hint="eastAsia"/>
                <w:color w:val="auto"/>
              </w:rPr>
              <w:t>.剖面土壤调查实施方案</w:t>
            </w: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val="en-US" w:eastAsia="zh-CN"/>
              </w:rPr>
              <w:t>3</w:t>
            </w:r>
            <w:r>
              <w:rPr>
                <w:rFonts w:hint="eastAsia"/>
                <w:color w:val="auto"/>
              </w:rPr>
              <w:t>.1</w:t>
            </w:r>
            <w:r>
              <w:rPr>
                <w:rFonts w:hint="eastAsia"/>
                <w:color w:val="auto"/>
                <w:lang w:val="zh-CN"/>
              </w:rPr>
              <w:t>根据</w:t>
            </w:r>
            <w:r>
              <w:rPr>
                <w:rFonts w:hint="eastAsia"/>
                <w:color w:val="auto"/>
              </w:rPr>
              <w:t>供应商提供的</w:t>
            </w:r>
            <w:r>
              <w:rPr>
                <w:rFonts w:hint="eastAsia"/>
                <w:color w:val="auto"/>
                <w:lang w:val="zh-CN"/>
              </w:rPr>
              <w:t>剖面土壤调查实施</w:t>
            </w:r>
            <w:r>
              <w:rPr>
                <w:rFonts w:hint="eastAsia"/>
                <w:color w:val="auto"/>
              </w:rPr>
              <w:t>方案的</w:t>
            </w:r>
            <w:r>
              <w:rPr>
                <w:rFonts w:hint="eastAsia"/>
                <w:color w:val="auto"/>
                <w:lang w:val="zh-CN"/>
              </w:rPr>
              <w:t>内容进行</w:t>
            </w:r>
            <w:r>
              <w:rPr>
                <w:rFonts w:hint="eastAsia"/>
                <w:color w:val="auto"/>
              </w:rPr>
              <w:t>综合评分。</w:t>
            </w:r>
          </w:p>
          <w:p>
            <w:pPr>
              <w:rPr>
                <w:color w:val="auto"/>
              </w:rPr>
            </w:pPr>
            <w:r>
              <w:rPr>
                <w:rFonts w:hint="eastAsia"/>
                <w:color w:val="auto"/>
              </w:rPr>
              <w:t>①</w:t>
            </w:r>
            <w:r>
              <w:rPr>
                <w:rFonts w:hint="eastAsia"/>
                <w:color w:val="auto"/>
                <w:lang w:val="zh-CN"/>
              </w:rPr>
              <w:t>剖面土壤调查</w:t>
            </w:r>
            <w:r>
              <w:rPr>
                <w:rFonts w:hint="eastAsia"/>
                <w:color w:val="auto"/>
                <w:lang w:val="en-US" w:eastAsia="zh-CN"/>
              </w:rPr>
              <w:t>实施方案中调查信息包括的</w:t>
            </w:r>
            <w:r>
              <w:rPr>
                <w:rFonts w:hint="eastAsia"/>
                <w:color w:val="auto"/>
              </w:rPr>
              <w:t>内容</w:t>
            </w:r>
            <w:r>
              <w:rPr>
                <w:rFonts w:hint="eastAsia"/>
                <w:color w:val="auto"/>
                <w:lang w:val="zh-CN"/>
              </w:rPr>
              <w:t>完整</w:t>
            </w:r>
            <w:r>
              <w:rPr>
                <w:rFonts w:hint="eastAsia"/>
                <w:color w:val="auto"/>
              </w:rPr>
              <w:t>详尽、</w:t>
            </w:r>
            <w:r>
              <w:rPr>
                <w:rFonts w:hint="eastAsia"/>
                <w:color w:val="auto"/>
                <w:lang w:val="en-US" w:eastAsia="zh-CN"/>
              </w:rPr>
              <w:t>土壤立地条件普查满足采购要求、土壤利用情况的调查重点突出</w:t>
            </w:r>
            <w:r>
              <w:rPr>
                <w:rFonts w:hint="eastAsia"/>
                <w:color w:val="auto"/>
              </w:rPr>
              <w:t>的得3分；</w:t>
            </w:r>
          </w:p>
          <w:p>
            <w:pPr>
              <w:rPr>
                <w:color w:val="auto"/>
              </w:rPr>
            </w:pPr>
            <w:r>
              <w:rPr>
                <w:rFonts w:hint="eastAsia"/>
                <w:color w:val="auto"/>
              </w:rPr>
              <w:t>②</w:t>
            </w:r>
            <w:r>
              <w:rPr>
                <w:rFonts w:hint="eastAsia"/>
                <w:color w:val="auto"/>
                <w:lang w:val="zh-CN"/>
              </w:rPr>
              <w:t>剖面土壤调查</w:t>
            </w:r>
            <w:r>
              <w:rPr>
                <w:rFonts w:hint="eastAsia"/>
                <w:color w:val="auto"/>
                <w:lang w:val="en-US" w:eastAsia="zh-CN"/>
              </w:rPr>
              <w:t>实施方案中调查信息包括的</w:t>
            </w:r>
            <w:r>
              <w:rPr>
                <w:rFonts w:hint="eastAsia"/>
                <w:color w:val="auto"/>
              </w:rPr>
              <w:t>内容较</w:t>
            </w:r>
            <w:r>
              <w:rPr>
                <w:rFonts w:hint="eastAsia"/>
                <w:color w:val="auto"/>
                <w:lang w:val="en-US" w:eastAsia="zh-CN"/>
              </w:rPr>
              <w:t>为</w:t>
            </w:r>
            <w:r>
              <w:rPr>
                <w:rFonts w:hint="eastAsia"/>
                <w:color w:val="auto"/>
                <w:lang w:val="zh-CN"/>
              </w:rPr>
              <w:t>完整</w:t>
            </w:r>
            <w:r>
              <w:rPr>
                <w:rFonts w:hint="eastAsia"/>
                <w:color w:val="auto"/>
              </w:rPr>
              <w:t>详尽、</w:t>
            </w:r>
            <w:r>
              <w:rPr>
                <w:rFonts w:hint="eastAsia"/>
                <w:color w:val="auto"/>
                <w:lang w:val="en-US" w:eastAsia="zh-CN"/>
              </w:rPr>
              <w:t>土壤立地条件普查满足采购要求、土壤利用情况的调查体现出重点</w:t>
            </w:r>
            <w:r>
              <w:rPr>
                <w:rFonts w:hint="eastAsia"/>
                <w:color w:val="auto"/>
              </w:rPr>
              <w:t>的得2分；</w:t>
            </w:r>
          </w:p>
          <w:p>
            <w:pPr>
              <w:rPr>
                <w:color w:val="auto"/>
              </w:rPr>
            </w:pPr>
            <w:r>
              <w:rPr>
                <w:rFonts w:hint="eastAsia"/>
                <w:color w:val="auto"/>
              </w:rPr>
              <w:t>③</w:t>
            </w:r>
            <w:r>
              <w:rPr>
                <w:rFonts w:hint="eastAsia"/>
                <w:color w:val="auto"/>
                <w:lang w:val="zh-CN"/>
              </w:rPr>
              <w:t>剖面土壤调查</w:t>
            </w:r>
            <w:r>
              <w:rPr>
                <w:rFonts w:hint="eastAsia"/>
                <w:color w:val="auto"/>
                <w:lang w:val="en-US" w:eastAsia="zh-CN"/>
              </w:rPr>
              <w:t>实施方案内容模糊不清，</w:t>
            </w:r>
            <w:r>
              <w:rPr>
                <w:rFonts w:hint="eastAsia" w:ascii="宋体" w:hAnsi="宋体" w:cs="宋体"/>
                <w:color w:val="auto"/>
                <w:szCs w:val="21"/>
              </w:rPr>
              <w:t>各方面略有欠缺或有瑕疵的</w:t>
            </w:r>
            <w:r>
              <w:rPr>
                <w:rFonts w:hint="eastAsia"/>
                <w:color w:val="auto"/>
              </w:rPr>
              <w:t>得1分；</w:t>
            </w:r>
          </w:p>
          <w:p>
            <w:pPr>
              <w:rPr>
                <w:color w:val="auto"/>
              </w:rPr>
            </w:pPr>
            <w:r>
              <w:rPr>
                <w:rFonts w:hint="eastAsia"/>
                <w:color w:val="auto"/>
              </w:rPr>
              <w:t>④未提供不得分。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continue"/>
            <w:tcBorders>
              <w:left w:val="single" w:color="auto" w:sz="4" w:space="0"/>
              <w:right w:val="single" w:color="auto" w:sz="4" w:space="0"/>
            </w:tcBorders>
            <w:vAlign w:val="center"/>
          </w:tcPr>
          <w:p>
            <w:pPr>
              <w:rPr>
                <w:color w:val="auto"/>
                <w:rPrChange w:id="0" w:author="mfy" w:date="2023-07-12T10:59:12Z">
                  <w:rPr>
                    <w:color w:val="auto"/>
                  </w:rPr>
                </w:rPrChange>
              </w:rPr>
            </w:pP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eastAsia="zh-CN"/>
              </w:rPr>
              <w:t>3</w:t>
            </w:r>
            <w:r>
              <w:rPr>
                <w:rFonts w:hint="eastAsia"/>
                <w:color w:val="auto"/>
              </w:rPr>
              <w:t>.2根据供应商提供的剖面土壤调查工作流程进行综合评分，最高得3分。</w:t>
            </w:r>
          </w:p>
          <w:p>
            <w:pPr>
              <w:rPr>
                <w:color w:val="auto"/>
              </w:rPr>
            </w:pPr>
            <w:r>
              <w:rPr>
                <w:rFonts w:hint="eastAsia"/>
                <w:color w:val="auto"/>
              </w:rPr>
              <w:t>①</w:t>
            </w:r>
            <w:r>
              <w:rPr>
                <w:rFonts w:hint="eastAsia"/>
                <w:color w:val="auto"/>
                <w:lang w:val="zh-CN"/>
              </w:rPr>
              <w:t>剖面土壤调查</w:t>
            </w:r>
            <w:r>
              <w:rPr>
                <w:rFonts w:hint="eastAsia"/>
                <w:color w:val="auto"/>
              </w:rPr>
              <w:t>工作流程</w:t>
            </w:r>
            <w:r>
              <w:rPr>
                <w:rFonts w:hint="eastAsia"/>
                <w:color w:val="auto"/>
                <w:lang w:val="en-US" w:eastAsia="zh-CN"/>
              </w:rPr>
              <w:t>严格遵循第三次全国土壤普查相关技术规程规范，内容</w:t>
            </w:r>
            <w:r>
              <w:rPr>
                <w:rFonts w:hint="eastAsia"/>
                <w:color w:val="auto"/>
              </w:rPr>
              <w:t>清晰</w:t>
            </w:r>
            <w:r>
              <w:rPr>
                <w:rFonts w:hint="eastAsia"/>
                <w:color w:val="auto"/>
                <w:lang w:val="en-US" w:eastAsia="zh-CN"/>
              </w:rPr>
              <w:t>完整、</w:t>
            </w:r>
            <w:r>
              <w:rPr>
                <w:rFonts w:hint="eastAsia"/>
                <w:color w:val="auto"/>
              </w:rPr>
              <w:t>切实可行的得3分；</w:t>
            </w:r>
          </w:p>
          <w:p>
            <w:pPr>
              <w:rPr>
                <w:color w:val="auto"/>
              </w:rPr>
            </w:pPr>
            <w:r>
              <w:rPr>
                <w:rFonts w:hint="eastAsia"/>
                <w:color w:val="auto"/>
              </w:rPr>
              <w:t>②</w:t>
            </w:r>
            <w:r>
              <w:rPr>
                <w:rFonts w:hint="eastAsia"/>
                <w:color w:val="auto"/>
                <w:lang w:val="zh-CN"/>
              </w:rPr>
              <w:t>剖面土壤调查</w:t>
            </w:r>
            <w:r>
              <w:rPr>
                <w:rFonts w:hint="eastAsia"/>
                <w:color w:val="auto"/>
              </w:rPr>
              <w:t>工作流程</w:t>
            </w:r>
            <w:r>
              <w:rPr>
                <w:rFonts w:hint="eastAsia"/>
                <w:color w:val="auto"/>
                <w:lang w:val="en-US" w:eastAsia="zh-CN"/>
              </w:rPr>
              <w:t>基本遵循第三次全国土壤普查相关技术规程规范，内容</w:t>
            </w:r>
            <w:r>
              <w:rPr>
                <w:rFonts w:hint="eastAsia"/>
                <w:color w:val="auto"/>
              </w:rPr>
              <w:t>较</w:t>
            </w:r>
            <w:r>
              <w:rPr>
                <w:rFonts w:hint="eastAsia"/>
                <w:color w:val="auto"/>
                <w:lang w:val="en-US" w:eastAsia="zh-CN"/>
              </w:rPr>
              <w:t>为</w:t>
            </w:r>
            <w:r>
              <w:rPr>
                <w:rFonts w:hint="eastAsia"/>
                <w:color w:val="auto"/>
              </w:rPr>
              <w:t>清晰</w:t>
            </w:r>
            <w:r>
              <w:rPr>
                <w:rFonts w:hint="eastAsia"/>
                <w:color w:val="auto"/>
                <w:lang w:val="en-US" w:eastAsia="zh-CN"/>
              </w:rPr>
              <w:t>完整、具备一定</w:t>
            </w:r>
            <w:r>
              <w:rPr>
                <w:rFonts w:hint="eastAsia"/>
                <w:color w:val="auto"/>
              </w:rPr>
              <w:t>可行性的得2分；</w:t>
            </w:r>
          </w:p>
          <w:p>
            <w:pPr>
              <w:rPr>
                <w:color w:val="auto"/>
              </w:rPr>
            </w:pPr>
            <w:r>
              <w:rPr>
                <w:rFonts w:hint="eastAsia"/>
                <w:color w:val="auto"/>
              </w:rPr>
              <w:t>③</w:t>
            </w:r>
            <w:r>
              <w:rPr>
                <w:rFonts w:hint="eastAsia"/>
                <w:color w:val="auto"/>
                <w:lang w:val="zh-CN"/>
              </w:rPr>
              <w:t>剖面土壤调查</w:t>
            </w:r>
            <w:r>
              <w:rPr>
                <w:rFonts w:hint="eastAsia"/>
                <w:color w:val="auto"/>
              </w:rPr>
              <w:t>工作流程</w:t>
            </w:r>
            <w:r>
              <w:rPr>
                <w:rFonts w:hint="eastAsia"/>
                <w:color w:val="auto"/>
                <w:lang w:val="en-US" w:eastAsia="zh-CN"/>
              </w:rPr>
              <w:t>模糊不清，</w:t>
            </w:r>
            <w:r>
              <w:rPr>
                <w:rFonts w:hint="eastAsia" w:ascii="宋体" w:hAnsi="宋体" w:cs="宋体"/>
                <w:color w:val="auto"/>
                <w:szCs w:val="21"/>
              </w:rPr>
              <w:t>各方面略有欠缺或有瑕疵</w:t>
            </w:r>
            <w:r>
              <w:rPr>
                <w:rFonts w:hint="eastAsia"/>
                <w:color w:val="auto"/>
              </w:rPr>
              <w:t>的得1分；</w:t>
            </w:r>
          </w:p>
          <w:p>
            <w:pPr>
              <w:rPr>
                <w:color w:val="auto"/>
              </w:rPr>
            </w:pPr>
            <w:r>
              <w:rPr>
                <w:rFonts w:hint="eastAsia"/>
                <w:color w:val="auto"/>
              </w:rPr>
              <w:t>④未提供不得分。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continue"/>
            <w:tcBorders>
              <w:left w:val="single" w:color="auto" w:sz="4" w:space="0"/>
              <w:right w:val="single" w:color="auto" w:sz="4" w:space="0"/>
            </w:tcBorders>
            <w:vAlign w:val="center"/>
          </w:tcPr>
          <w:p>
            <w:pPr>
              <w:rPr>
                <w:color w:val="auto"/>
                <w:rPrChange w:id="1" w:author="mfy" w:date="2023-07-12T10:59:12Z">
                  <w:rPr>
                    <w:color w:val="auto"/>
                  </w:rPr>
                </w:rPrChange>
              </w:rPr>
            </w:pP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eastAsia="zh-CN"/>
              </w:rPr>
              <w:t>3</w:t>
            </w:r>
            <w:r>
              <w:rPr>
                <w:rFonts w:hint="eastAsia"/>
                <w:color w:val="auto"/>
              </w:rPr>
              <w:t>.3根据供应商提供的剖面土壤调查技术方法</w:t>
            </w:r>
            <w:r>
              <w:rPr>
                <w:rFonts w:hint="eastAsia"/>
                <w:color w:val="auto"/>
                <w:lang w:val="en-US" w:eastAsia="zh-CN"/>
              </w:rPr>
              <w:t>及技术路线</w:t>
            </w:r>
            <w:r>
              <w:rPr>
                <w:rFonts w:hint="eastAsia"/>
                <w:color w:val="auto"/>
              </w:rPr>
              <w:t>进行综合评分。</w:t>
            </w:r>
          </w:p>
          <w:p>
            <w:pPr>
              <w:rPr>
                <w:color w:val="auto"/>
              </w:rPr>
            </w:pPr>
            <w:r>
              <w:rPr>
                <w:rFonts w:hint="eastAsia"/>
                <w:color w:val="auto"/>
              </w:rPr>
              <w:t>①</w:t>
            </w:r>
            <w:r>
              <w:rPr>
                <w:rFonts w:hint="eastAsia"/>
                <w:color w:val="auto"/>
                <w:lang w:val="zh-CN"/>
              </w:rPr>
              <w:t>剖面土壤调查</w:t>
            </w:r>
            <w:r>
              <w:rPr>
                <w:rFonts w:hint="eastAsia"/>
                <w:color w:val="auto"/>
              </w:rPr>
              <w:t>技术</w:t>
            </w:r>
            <w:r>
              <w:rPr>
                <w:rFonts w:hint="eastAsia"/>
                <w:color w:val="auto"/>
                <w:lang w:val="en-US" w:eastAsia="zh-CN"/>
              </w:rPr>
              <w:t>方法及技术路线</w:t>
            </w:r>
            <w:r>
              <w:rPr>
                <w:rFonts w:hint="eastAsia"/>
                <w:color w:val="auto"/>
              </w:rPr>
              <w:t>清晰有条理、内容全面完整、具有创新性、针对性、可操作性强，完全符合采购需求要求的</w:t>
            </w:r>
            <w:r>
              <w:rPr>
                <w:rFonts w:hint="eastAsia"/>
                <w:color w:val="auto"/>
                <w:lang w:val="en-US" w:eastAsia="zh-CN"/>
              </w:rPr>
              <w:t>3分</w:t>
            </w:r>
            <w:r>
              <w:rPr>
                <w:rFonts w:hint="eastAsia"/>
                <w:color w:val="auto"/>
              </w:rPr>
              <w:t>；</w:t>
            </w:r>
          </w:p>
          <w:p>
            <w:pPr>
              <w:rPr>
                <w:color w:val="auto"/>
              </w:rPr>
            </w:pPr>
            <w:r>
              <w:rPr>
                <w:rFonts w:hint="eastAsia"/>
                <w:color w:val="auto"/>
              </w:rPr>
              <w:t>②</w:t>
            </w:r>
            <w:r>
              <w:rPr>
                <w:rFonts w:hint="eastAsia"/>
                <w:color w:val="auto"/>
                <w:lang w:val="zh-CN"/>
              </w:rPr>
              <w:t>剖面土壤调查</w:t>
            </w:r>
            <w:r>
              <w:rPr>
                <w:rFonts w:hint="eastAsia"/>
                <w:color w:val="auto"/>
              </w:rPr>
              <w:t>技术</w:t>
            </w:r>
            <w:r>
              <w:rPr>
                <w:rFonts w:hint="eastAsia"/>
                <w:color w:val="auto"/>
                <w:lang w:val="en-US" w:eastAsia="zh-CN"/>
              </w:rPr>
              <w:t>方法及技术路线</w:t>
            </w:r>
            <w:r>
              <w:rPr>
                <w:rFonts w:hint="eastAsia" w:ascii="宋体" w:hAnsi="宋体" w:cs="宋体"/>
                <w:color w:val="auto"/>
                <w:szCs w:val="21"/>
              </w:rPr>
              <w:t>思路清晰、内容基本完整、创新性较高、具</w:t>
            </w:r>
            <w:r>
              <w:rPr>
                <w:rFonts w:hint="eastAsia" w:ascii="宋体" w:hAnsi="宋体" w:cs="宋体"/>
                <w:color w:val="auto"/>
                <w:szCs w:val="21"/>
                <w:lang w:val="en-US" w:eastAsia="zh-CN"/>
              </w:rPr>
              <w:t>有</w:t>
            </w:r>
            <w:r>
              <w:rPr>
                <w:rFonts w:hint="eastAsia" w:ascii="宋体" w:hAnsi="宋体" w:cs="宋体"/>
                <w:color w:val="auto"/>
                <w:szCs w:val="21"/>
              </w:rPr>
              <w:t>一定的针对性和可操作性，基本符合采购需求要求</w:t>
            </w:r>
            <w:r>
              <w:rPr>
                <w:rFonts w:hint="eastAsia"/>
                <w:color w:val="auto"/>
              </w:rPr>
              <w:t>的得2分；</w:t>
            </w:r>
          </w:p>
          <w:p>
            <w:pPr>
              <w:rPr>
                <w:color w:val="auto"/>
              </w:rPr>
            </w:pPr>
            <w:r>
              <w:rPr>
                <w:rFonts w:hint="eastAsia"/>
                <w:color w:val="auto"/>
              </w:rPr>
              <w:t>③</w:t>
            </w:r>
            <w:r>
              <w:rPr>
                <w:rFonts w:hint="eastAsia"/>
                <w:color w:val="auto"/>
                <w:lang w:val="zh-CN"/>
              </w:rPr>
              <w:t>剖面土壤调查</w:t>
            </w:r>
            <w:r>
              <w:rPr>
                <w:rFonts w:hint="eastAsia"/>
                <w:color w:val="auto"/>
              </w:rPr>
              <w:t>技术</w:t>
            </w:r>
            <w:r>
              <w:rPr>
                <w:rFonts w:hint="eastAsia"/>
                <w:color w:val="auto"/>
                <w:lang w:val="en-US" w:eastAsia="zh-CN"/>
              </w:rPr>
              <w:t>方法及技术路线模糊不清，</w:t>
            </w:r>
            <w:r>
              <w:rPr>
                <w:rFonts w:hint="eastAsia" w:ascii="宋体" w:hAnsi="宋体" w:cs="宋体"/>
                <w:color w:val="auto"/>
                <w:szCs w:val="21"/>
              </w:rPr>
              <w:t>各方面略有欠缺或有瑕疵</w:t>
            </w:r>
            <w:r>
              <w:rPr>
                <w:rFonts w:hint="eastAsia"/>
                <w:color w:val="auto"/>
              </w:rPr>
              <w:t>的得1分；</w:t>
            </w:r>
          </w:p>
          <w:p>
            <w:pPr>
              <w:rPr>
                <w:color w:val="auto"/>
              </w:rPr>
            </w:pPr>
            <w:r>
              <w:rPr>
                <w:rFonts w:hint="eastAsia"/>
                <w:color w:val="auto"/>
              </w:rPr>
              <w:t>④未提供不得分。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continue"/>
            <w:tcBorders>
              <w:left w:val="single" w:color="auto" w:sz="4" w:space="0"/>
              <w:bottom w:val="single" w:color="auto" w:sz="4" w:space="0"/>
              <w:right w:val="single" w:color="auto" w:sz="4" w:space="0"/>
            </w:tcBorders>
            <w:vAlign w:val="center"/>
          </w:tcPr>
          <w:p>
            <w:pPr>
              <w:rPr>
                <w:color w:val="auto"/>
                <w:rPrChange w:id="2" w:author="mfy" w:date="2023-07-12T10:59:12Z">
                  <w:rPr>
                    <w:color w:val="auto"/>
                  </w:rPr>
                </w:rPrChange>
              </w:rPr>
            </w:pP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eastAsia="zh-CN"/>
              </w:rPr>
              <w:t>3</w:t>
            </w:r>
            <w:r>
              <w:rPr>
                <w:rFonts w:hint="eastAsia"/>
                <w:color w:val="auto"/>
              </w:rPr>
              <w:t>.4根据供应商提供的剖面土壤调查组织保障措施进行综合评分。</w:t>
            </w:r>
          </w:p>
          <w:p>
            <w:pPr>
              <w:rPr>
                <w:color w:val="auto"/>
              </w:rPr>
            </w:pPr>
            <w:r>
              <w:rPr>
                <w:rFonts w:hint="eastAsia"/>
                <w:color w:val="auto"/>
              </w:rPr>
              <w:t>①剖面土壤调查组织保障措施</w:t>
            </w:r>
            <w:r>
              <w:rPr>
                <w:rFonts w:hint="eastAsia"/>
                <w:color w:val="auto"/>
                <w:lang w:val="en-US" w:eastAsia="zh-CN"/>
              </w:rPr>
              <w:t>内容全面详细、</w:t>
            </w:r>
            <w:r>
              <w:rPr>
                <w:rFonts w:hint="eastAsia"/>
                <w:color w:val="auto"/>
              </w:rPr>
              <w:t>可行</w:t>
            </w:r>
            <w:r>
              <w:rPr>
                <w:rFonts w:hint="eastAsia"/>
                <w:color w:val="auto"/>
                <w:lang w:val="en-US" w:eastAsia="zh-CN"/>
              </w:rPr>
              <w:t>性</w:t>
            </w:r>
            <w:r>
              <w:rPr>
                <w:rFonts w:hint="eastAsia"/>
                <w:color w:val="auto"/>
              </w:rPr>
              <w:t>、针对性强的得2分；</w:t>
            </w:r>
          </w:p>
          <w:p>
            <w:pPr>
              <w:rPr>
                <w:color w:val="auto"/>
              </w:rPr>
            </w:pPr>
            <w:r>
              <w:rPr>
                <w:rFonts w:hint="eastAsia"/>
                <w:color w:val="auto"/>
              </w:rPr>
              <w:t>②剖面土壤调查组织保障措施</w:t>
            </w:r>
            <w:r>
              <w:rPr>
                <w:rFonts w:hint="eastAsia"/>
                <w:color w:val="auto"/>
                <w:lang w:val="en-US" w:eastAsia="zh-CN"/>
              </w:rPr>
              <w:t>内容</w:t>
            </w:r>
            <w:r>
              <w:rPr>
                <w:rFonts w:hint="eastAsia"/>
                <w:color w:val="auto"/>
              </w:rPr>
              <w:t>较</w:t>
            </w:r>
            <w:r>
              <w:rPr>
                <w:rFonts w:hint="eastAsia"/>
                <w:color w:val="auto"/>
                <w:lang w:val="en-US" w:eastAsia="zh-CN"/>
              </w:rPr>
              <w:t>为全面详细、具备一定可行性、</w:t>
            </w:r>
            <w:r>
              <w:rPr>
                <w:rFonts w:hint="eastAsia"/>
                <w:color w:val="auto"/>
              </w:rPr>
              <w:t>针对性的得1分；</w:t>
            </w:r>
          </w:p>
          <w:p>
            <w:pPr>
              <w:rPr>
                <w:color w:val="auto"/>
              </w:rPr>
            </w:pPr>
            <w:r>
              <w:rPr>
                <w:rFonts w:hint="eastAsia"/>
                <w:color w:val="auto"/>
              </w:rPr>
              <w:t>③剖面土壤调查组织保障措施</w:t>
            </w:r>
            <w:r>
              <w:rPr>
                <w:rFonts w:hint="eastAsia"/>
                <w:color w:val="auto"/>
                <w:lang w:val="en-US" w:eastAsia="zh-CN"/>
              </w:rPr>
              <w:t>模糊不清，</w:t>
            </w:r>
            <w:r>
              <w:rPr>
                <w:rFonts w:hint="eastAsia" w:ascii="宋体" w:hAnsi="宋体" w:cs="宋体"/>
                <w:color w:val="auto"/>
                <w:szCs w:val="21"/>
              </w:rPr>
              <w:t>各方面略有欠缺或有瑕疵</w:t>
            </w:r>
            <w:r>
              <w:rPr>
                <w:rFonts w:hint="eastAsia"/>
                <w:color w:val="auto"/>
              </w:rPr>
              <w:t>的得0.5分；</w:t>
            </w:r>
          </w:p>
          <w:p>
            <w:pPr>
              <w:rPr>
                <w:color w:val="auto"/>
              </w:rPr>
            </w:pPr>
            <w:r>
              <w:rPr>
                <w:rFonts w:hint="eastAsia"/>
                <w:color w:val="auto"/>
              </w:rPr>
              <w:t>④未提供不得分。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restart"/>
            <w:tcBorders>
              <w:top w:val="single" w:color="auto" w:sz="4" w:space="0"/>
              <w:left w:val="single" w:color="auto" w:sz="4" w:space="0"/>
              <w:right w:val="single" w:color="auto" w:sz="4" w:space="0"/>
            </w:tcBorders>
            <w:vAlign w:val="center"/>
          </w:tcPr>
          <w:p>
            <w:pPr>
              <w:rPr>
                <w:color w:val="auto"/>
              </w:rPr>
            </w:pPr>
            <w:r>
              <w:rPr>
                <w:rFonts w:hint="eastAsia"/>
                <w:color w:val="auto"/>
                <w:lang w:val="en-US" w:eastAsia="zh-CN"/>
              </w:rPr>
              <w:t>4</w:t>
            </w:r>
            <w:r>
              <w:rPr>
                <w:rFonts w:hint="eastAsia"/>
                <w:color w:val="auto"/>
              </w:rPr>
              <w:t>.剖面挖掘与样品采集实施方案</w:t>
            </w: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val="en-US" w:eastAsia="zh-CN"/>
              </w:rPr>
              <w:t>4</w:t>
            </w:r>
            <w:r>
              <w:rPr>
                <w:rFonts w:hint="eastAsia"/>
                <w:color w:val="auto"/>
              </w:rPr>
              <w:t>.1</w:t>
            </w:r>
            <w:r>
              <w:rPr>
                <w:rFonts w:hint="eastAsia"/>
                <w:color w:val="auto"/>
                <w:lang w:val="zh-CN"/>
              </w:rPr>
              <w:t>根据</w:t>
            </w:r>
            <w:r>
              <w:rPr>
                <w:rFonts w:hint="eastAsia"/>
                <w:color w:val="auto"/>
              </w:rPr>
              <w:t>供应商提供的</w:t>
            </w:r>
            <w:r>
              <w:rPr>
                <w:rFonts w:hint="eastAsia"/>
                <w:color w:val="auto"/>
                <w:lang w:val="zh-CN"/>
              </w:rPr>
              <w:t>剖面挖掘与样品采集实施</w:t>
            </w:r>
            <w:r>
              <w:rPr>
                <w:rFonts w:hint="eastAsia"/>
                <w:color w:val="auto"/>
              </w:rPr>
              <w:t>方案的</w:t>
            </w:r>
            <w:r>
              <w:rPr>
                <w:rFonts w:hint="eastAsia"/>
                <w:color w:val="auto"/>
                <w:lang w:val="zh-CN"/>
              </w:rPr>
              <w:t>内容进行</w:t>
            </w:r>
            <w:r>
              <w:rPr>
                <w:rFonts w:hint="eastAsia"/>
                <w:color w:val="auto"/>
              </w:rPr>
              <w:t>综合评分。</w:t>
            </w:r>
          </w:p>
          <w:p>
            <w:pPr>
              <w:rPr>
                <w:rFonts w:hint="eastAsia" w:ascii="宋体" w:hAnsi="宋体" w:eastAsia="宋体" w:cs="宋体"/>
                <w:color w:val="auto"/>
              </w:rPr>
            </w:pPr>
            <w:r>
              <w:rPr>
                <w:rFonts w:hint="eastAsia" w:ascii="宋体" w:hAnsi="宋体" w:eastAsia="宋体" w:cs="宋体"/>
                <w:color w:val="auto"/>
              </w:rPr>
              <w:t>①</w:t>
            </w:r>
            <w:r>
              <w:rPr>
                <w:rFonts w:hint="eastAsia" w:ascii="宋体" w:hAnsi="宋体" w:eastAsia="宋体" w:cs="宋体"/>
                <w:color w:val="auto"/>
                <w:lang w:val="zh-CN"/>
              </w:rPr>
              <w:t>剖面挖掘与样品采集实施</w:t>
            </w:r>
            <w:r>
              <w:rPr>
                <w:rFonts w:hint="eastAsia" w:ascii="宋体" w:hAnsi="宋体" w:eastAsia="宋体" w:cs="宋体"/>
                <w:color w:val="auto"/>
              </w:rPr>
              <w:t>方案</w:t>
            </w:r>
            <w:r>
              <w:rPr>
                <w:rFonts w:hint="eastAsia" w:ascii="宋体" w:hAnsi="宋体" w:eastAsia="宋体" w:cs="宋体"/>
                <w:color w:val="auto"/>
                <w:lang w:val="en-US" w:eastAsia="zh-CN"/>
              </w:rPr>
              <w:t>中体现出样品采集种类齐全、数量充足、完全符合采购要求</w:t>
            </w:r>
            <w:r>
              <w:rPr>
                <w:rFonts w:hint="eastAsia" w:ascii="宋体" w:hAnsi="宋体" w:eastAsia="宋体" w:cs="宋体"/>
                <w:color w:val="auto"/>
              </w:rPr>
              <w:t>的得3分；</w:t>
            </w:r>
          </w:p>
          <w:p>
            <w:pPr>
              <w:rPr>
                <w:rFonts w:hint="eastAsia" w:ascii="宋体" w:hAnsi="宋体" w:eastAsia="宋体" w:cs="宋体"/>
                <w:color w:val="auto"/>
              </w:rPr>
            </w:pPr>
            <w:r>
              <w:rPr>
                <w:rFonts w:hint="eastAsia" w:ascii="宋体" w:hAnsi="宋体" w:eastAsia="宋体" w:cs="宋体"/>
                <w:color w:val="auto"/>
              </w:rPr>
              <w:t>②</w:t>
            </w:r>
            <w:r>
              <w:rPr>
                <w:rFonts w:hint="eastAsia" w:ascii="宋体" w:hAnsi="宋体" w:eastAsia="宋体" w:cs="宋体"/>
                <w:color w:val="auto"/>
                <w:lang w:val="zh-CN"/>
              </w:rPr>
              <w:t>剖面挖掘与样品采集实施</w:t>
            </w:r>
            <w:r>
              <w:rPr>
                <w:rFonts w:hint="eastAsia" w:ascii="宋体" w:hAnsi="宋体" w:eastAsia="宋体" w:cs="宋体"/>
                <w:color w:val="auto"/>
              </w:rPr>
              <w:t>方案</w:t>
            </w:r>
            <w:r>
              <w:rPr>
                <w:rFonts w:hint="eastAsia" w:ascii="宋体" w:hAnsi="宋体" w:eastAsia="宋体" w:cs="宋体"/>
                <w:color w:val="auto"/>
                <w:lang w:val="en-US" w:eastAsia="zh-CN"/>
              </w:rPr>
              <w:t>中体现出样品采集种类基本齐全、数量较为充足、基本符合采购要求</w:t>
            </w:r>
            <w:r>
              <w:rPr>
                <w:rFonts w:hint="eastAsia" w:ascii="宋体" w:hAnsi="宋体" w:eastAsia="宋体" w:cs="宋体"/>
                <w:color w:val="auto"/>
              </w:rPr>
              <w:t>的得</w:t>
            </w:r>
            <w:r>
              <w:rPr>
                <w:rFonts w:hint="eastAsia" w:ascii="宋体" w:hAnsi="宋体" w:eastAsia="宋体" w:cs="宋体"/>
                <w:color w:val="auto"/>
                <w:lang w:val="en-US" w:eastAsia="zh-CN"/>
              </w:rPr>
              <w:t>2</w:t>
            </w:r>
            <w:r>
              <w:rPr>
                <w:rFonts w:hint="eastAsia" w:ascii="宋体" w:hAnsi="宋体" w:eastAsia="宋体" w:cs="宋体"/>
                <w:color w:val="auto"/>
              </w:rPr>
              <w:t>分；</w:t>
            </w:r>
          </w:p>
          <w:p>
            <w:pPr>
              <w:rPr>
                <w:rFonts w:hint="eastAsia" w:ascii="宋体" w:hAnsi="宋体" w:eastAsia="宋体" w:cs="宋体"/>
                <w:color w:val="auto"/>
              </w:rPr>
            </w:pPr>
            <w:r>
              <w:rPr>
                <w:rFonts w:hint="eastAsia" w:ascii="宋体" w:hAnsi="宋体" w:eastAsia="宋体" w:cs="宋体"/>
                <w:color w:val="auto"/>
              </w:rPr>
              <w:t>③</w:t>
            </w:r>
            <w:r>
              <w:rPr>
                <w:rFonts w:hint="eastAsia" w:ascii="宋体" w:hAnsi="宋体" w:eastAsia="宋体" w:cs="宋体"/>
                <w:color w:val="auto"/>
                <w:lang w:val="zh-CN"/>
              </w:rPr>
              <w:t>剖面挖掘与样品采集实施</w:t>
            </w:r>
            <w:r>
              <w:rPr>
                <w:rFonts w:hint="eastAsia" w:ascii="宋体" w:hAnsi="宋体" w:eastAsia="宋体" w:cs="宋体"/>
                <w:color w:val="auto"/>
              </w:rPr>
              <w:t>方案</w:t>
            </w:r>
            <w:r>
              <w:rPr>
                <w:rFonts w:hint="eastAsia" w:ascii="宋体" w:hAnsi="宋体" w:eastAsia="宋体" w:cs="宋体"/>
                <w:color w:val="auto"/>
                <w:lang w:val="en-US" w:eastAsia="zh-CN"/>
              </w:rPr>
              <w:t>模糊不清，</w:t>
            </w:r>
            <w:r>
              <w:rPr>
                <w:rFonts w:hint="eastAsia" w:ascii="宋体" w:hAnsi="宋体" w:eastAsia="宋体" w:cs="宋体"/>
                <w:color w:val="auto"/>
                <w:szCs w:val="21"/>
              </w:rPr>
              <w:t>各方面略有欠缺或有瑕疵</w:t>
            </w:r>
            <w:r>
              <w:rPr>
                <w:rFonts w:hint="eastAsia" w:ascii="宋体" w:hAnsi="宋体" w:eastAsia="宋体" w:cs="宋体"/>
                <w:color w:val="auto"/>
              </w:rPr>
              <w:t>的得1分；</w:t>
            </w:r>
          </w:p>
          <w:p>
            <w:pPr>
              <w:rPr>
                <w:color w:val="auto"/>
              </w:rPr>
            </w:pPr>
            <w:r>
              <w:rPr>
                <w:rFonts w:hint="eastAsia" w:ascii="宋体" w:hAnsi="宋体" w:eastAsia="宋体" w:cs="宋体"/>
                <w:color w:val="auto"/>
              </w:rPr>
              <w:t>④未提供不得分。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continue"/>
            <w:tcBorders>
              <w:left w:val="single" w:color="auto" w:sz="4" w:space="0"/>
              <w:right w:val="single" w:color="auto" w:sz="4" w:space="0"/>
            </w:tcBorders>
            <w:vAlign w:val="center"/>
          </w:tcPr>
          <w:p>
            <w:pPr>
              <w:rPr>
                <w:color w:val="auto"/>
              </w:rPr>
            </w:pPr>
          </w:p>
        </w:tc>
        <w:tc>
          <w:tcPr>
            <w:tcW w:w="65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rPr>
              <w:t>.2根据供应商提供的剖面挖掘与样品采集工作流程进行综合评分，最高得3分。</w:t>
            </w:r>
          </w:p>
          <w:p>
            <w:pPr>
              <w:rPr>
                <w:rFonts w:hint="eastAsia" w:ascii="宋体" w:hAnsi="宋体" w:eastAsia="宋体" w:cs="宋体"/>
                <w:color w:val="auto"/>
              </w:rPr>
            </w:pPr>
            <w:r>
              <w:rPr>
                <w:rFonts w:hint="eastAsia" w:ascii="宋体" w:hAnsi="宋体" w:eastAsia="宋体" w:cs="宋体"/>
                <w:color w:val="auto"/>
              </w:rPr>
              <w:t>①剖面挖掘与样品采集工作流程</w:t>
            </w:r>
            <w:r>
              <w:rPr>
                <w:rFonts w:hint="eastAsia" w:ascii="宋体" w:hAnsi="宋体" w:eastAsia="宋体" w:cs="宋体"/>
                <w:color w:val="auto"/>
                <w:lang w:val="en-US" w:eastAsia="zh-CN"/>
              </w:rPr>
              <w:t>严格遵循</w:t>
            </w:r>
            <w:r>
              <w:rPr>
                <w:rFonts w:hint="eastAsia"/>
                <w:color w:val="auto"/>
                <w:lang w:val="en-US" w:eastAsia="zh-CN"/>
              </w:rPr>
              <w:t>第三次全国土壤普查</w:t>
            </w:r>
            <w:r>
              <w:rPr>
                <w:rFonts w:hint="eastAsia" w:ascii="宋体" w:hAnsi="宋体" w:eastAsia="宋体" w:cs="宋体"/>
                <w:color w:val="auto"/>
                <w:lang w:val="en-US" w:eastAsia="zh-CN"/>
              </w:rPr>
              <w:t>相关技术规程规范，内容</w:t>
            </w:r>
            <w:r>
              <w:rPr>
                <w:rFonts w:hint="eastAsia" w:ascii="宋体" w:hAnsi="宋体" w:eastAsia="宋体" w:cs="宋体"/>
                <w:color w:val="auto"/>
              </w:rPr>
              <w:t>清晰</w:t>
            </w:r>
            <w:r>
              <w:rPr>
                <w:rFonts w:hint="eastAsia" w:ascii="宋体" w:hAnsi="宋体" w:eastAsia="宋体" w:cs="宋体"/>
                <w:color w:val="auto"/>
                <w:lang w:val="en-US" w:eastAsia="zh-CN"/>
              </w:rPr>
              <w:t>完整、</w:t>
            </w:r>
            <w:r>
              <w:rPr>
                <w:rFonts w:hint="eastAsia" w:ascii="宋体" w:hAnsi="宋体" w:eastAsia="宋体" w:cs="宋体"/>
                <w:color w:val="auto"/>
              </w:rPr>
              <w:t>切实可行的得3分；</w:t>
            </w:r>
          </w:p>
          <w:p>
            <w:pPr>
              <w:rPr>
                <w:rFonts w:hint="eastAsia" w:ascii="宋体" w:hAnsi="宋体" w:eastAsia="宋体" w:cs="宋体"/>
                <w:color w:val="auto"/>
              </w:rPr>
            </w:pPr>
            <w:r>
              <w:rPr>
                <w:rFonts w:hint="eastAsia" w:ascii="宋体" w:hAnsi="宋体" w:eastAsia="宋体" w:cs="宋体"/>
                <w:color w:val="auto"/>
              </w:rPr>
              <w:t>②剖面挖掘与样品采集工作流程</w:t>
            </w:r>
            <w:r>
              <w:rPr>
                <w:rFonts w:hint="eastAsia" w:ascii="宋体" w:hAnsi="宋体" w:eastAsia="宋体" w:cs="宋体"/>
                <w:color w:val="auto"/>
                <w:lang w:val="en-US" w:eastAsia="zh-CN"/>
              </w:rPr>
              <w:t>基本遵循</w:t>
            </w:r>
            <w:r>
              <w:rPr>
                <w:rFonts w:hint="eastAsia"/>
                <w:color w:val="auto"/>
                <w:lang w:val="en-US" w:eastAsia="zh-CN"/>
              </w:rPr>
              <w:t>第三次全国土壤普查</w:t>
            </w:r>
            <w:r>
              <w:rPr>
                <w:rFonts w:hint="eastAsia" w:ascii="宋体" w:hAnsi="宋体" w:eastAsia="宋体" w:cs="宋体"/>
                <w:color w:val="auto"/>
                <w:lang w:val="en-US" w:eastAsia="zh-CN"/>
              </w:rPr>
              <w:t>相关技术规程规范，内容</w:t>
            </w:r>
            <w:r>
              <w:rPr>
                <w:rFonts w:hint="eastAsia" w:ascii="宋体" w:hAnsi="宋体" w:eastAsia="宋体" w:cs="宋体"/>
                <w:color w:val="auto"/>
              </w:rPr>
              <w:t>较</w:t>
            </w:r>
            <w:r>
              <w:rPr>
                <w:rFonts w:hint="eastAsia" w:ascii="宋体" w:hAnsi="宋体" w:eastAsia="宋体" w:cs="宋体"/>
                <w:color w:val="auto"/>
                <w:lang w:val="en-US" w:eastAsia="zh-CN"/>
              </w:rPr>
              <w:t>为</w:t>
            </w:r>
            <w:r>
              <w:rPr>
                <w:rFonts w:hint="eastAsia" w:ascii="宋体" w:hAnsi="宋体" w:eastAsia="宋体" w:cs="宋体"/>
                <w:color w:val="auto"/>
              </w:rPr>
              <w:t>清晰</w:t>
            </w:r>
            <w:r>
              <w:rPr>
                <w:rFonts w:hint="eastAsia" w:ascii="宋体" w:hAnsi="宋体" w:eastAsia="宋体" w:cs="宋体"/>
                <w:color w:val="auto"/>
                <w:lang w:val="en-US" w:eastAsia="zh-CN"/>
              </w:rPr>
              <w:t>完整、具备一定</w:t>
            </w:r>
            <w:r>
              <w:rPr>
                <w:rFonts w:hint="eastAsia" w:ascii="宋体" w:hAnsi="宋体" w:eastAsia="宋体" w:cs="宋体"/>
                <w:color w:val="auto"/>
              </w:rPr>
              <w:t>可行性的得2分；</w:t>
            </w:r>
          </w:p>
          <w:p>
            <w:pPr>
              <w:rPr>
                <w:rFonts w:hint="eastAsia" w:ascii="宋体" w:hAnsi="宋体" w:eastAsia="宋体" w:cs="宋体"/>
                <w:color w:val="auto"/>
              </w:rPr>
            </w:pPr>
            <w:r>
              <w:rPr>
                <w:rFonts w:hint="eastAsia" w:ascii="宋体" w:hAnsi="宋体" w:eastAsia="宋体" w:cs="宋体"/>
                <w:color w:val="auto"/>
              </w:rPr>
              <w:t>③剖面挖掘与样品采集工作流程</w:t>
            </w:r>
            <w:r>
              <w:rPr>
                <w:rFonts w:hint="eastAsia" w:ascii="宋体" w:hAnsi="宋体" w:eastAsia="宋体" w:cs="宋体"/>
                <w:color w:val="auto"/>
                <w:lang w:val="en-US" w:eastAsia="zh-CN"/>
              </w:rPr>
              <w:t>模糊不清，</w:t>
            </w:r>
            <w:r>
              <w:rPr>
                <w:rFonts w:hint="eastAsia" w:ascii="宋体" w:hAnsi="宋体" w:eastAsia="宋体" w:cs="宋体"/>
                <w:color w:val="auto"/>
                <w:szCs w:val="21"/>
              </w:rPr>
              <w:t>各方面略有欠缺或有瑕疵</w:t>
            </w:r>
            <w:r>
              <w:rPr>
                <w:rFonts w:hint="eastAsia" w:ascii="宋体" w:hAnsi="宋体" w:eastAsia="宋体" w:cs="宋体"/>
                <w:color w:val="auto"/>
              </w:rPr>
              <w:t>的得1分；</w:t>
            </w:r>
          </w:p>
          <w:p>
            <w:pPr>
              <w:rPr>
                <w:color w:val="auto"/>
              </w:rPr>
            </w:pPr>
            <w:r>
              <w:rPr>
                <w:rFonts w:hint="eastAsia" w:ascii="宋体" w:hAnsi="宋体" w:eastAsia="宋体" w:cs="宋体"/>
                <w:color w:val="auto"/>
              </w:rPr>
              <w:t>④未提供不得分。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continue"/>
            <w:tcBorders>
              <w:left w:val="single" w:color="auto" w:sz="4" w:space="0"/>
              <w:right w:val="single" w:color="auto" w:sz="4" w:space="0"/>
            </w:tcBorders>
            <w:vAlign w:val="center"/>
          </w:tcPr>
          <w:p>
            <w:pPr>
              <w:rPr>
                <w:color w:val="auto"/>
              </w:rPr>
            </w:pPr>
          </w:p>
        </w:tc>
        <w:tc>
          <w:tcPr>
            <w:tcW w:w="65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rPr>
              <w:t>.3根据供应商提供的剖面挖掘与样品采集技术方法及技术路线进行综合评分。</w:t>
            </w:r>
          </w:p>
          <w:p>
            <w:pPr>
              <w:rPr>
                <w:color w:val="auto"/>
              </w:rPr>
            </w:pPr>
            <w:r>
              <w:rPr>
                <w:rFonts w:hint="eastAsia"/>
                <w:color w:val="auto"/>
              </w:rPr>
              <w:t>①剖面挖掘与样品采集技术</w:t>
            </w:r>
            <w:r>
              <w:rPr>
                <w:rFonts w:hint="eastAsia"/>
                <w:color w:val="auto"/>
                <w:lang w:val="en-US" w:eastAsia="zh-CN"/>
              </w:rPr>
              <w:t>方法及技术路线</w:t>
            </w:r>
            <w:r>
              <w:rPr>
                <w:rFonts w:hint="eastAsia"/>
                <w:color w:val="auto"/>
              </w:rPr>
              <w:t>清晰有条理、内容全面完整、具有创新性、针对性、可操作性强，完全符合采购需求要求的</w:t>
            </w:r>
            <w:r>
              <w:rPr>
                <w:rFonts w:hint="eastAsia"/>
                <w:color w:val="auto"/>
                <w:lang w:val="en-US" w:eastAsia="zh-CN"/>
              </w:rPr>
              <w:t>3分</w:t>
            </w:r>
            <w:r>
              <w:rPr>
                <w:rFonts w:hint="eastAsia"/>
                <w:color w:val="auto"/>
              </w:rPr>
              <w:t>；</w:t>
            </w:r>
          </w:p>
          <w:p>
            <w:pPr>
              <w:rPr>
                <w:color w:val="auto"/>
              </w:rPr>
            </w:pPr>
            <w:r>
              <w:rPr>
                <w:rFonts w:hint="eastAsia"/>
                <w:color w:val="auto"/>
              </w:rPr>
              <w:t>②剖面挖掘与样品采集技术</w:t>
            </w:r>
            <w:r>
              <w:rPr>
                <w:rFonts w:hint="eastAsia"/>
                <w:color w:val="auto"/>
                <w:lang w:val="en-US" w:eastAsia="zh-CN"/>
              </w:rPr>
              <w:t>方法及技术路线</w:t>
            </w:r>
            <w:r>
              <w:rPr>
                <w:rFonts w:hint="eastAsia" w:ascii="宋体" w:hAnsi="宋体" w:cs="宋体"/>
                <w:color w:val="auto"/>
                <w:szCs w:val="21"/>
              </w:rPr>
              <w:t>思路清晰、内容基本完整、创新性较高、具</w:t>
            </w:r>
            <w:r>
              <w:rPr>
                <w:rFonts w:hint="eastAsia" w:ascii="宋体" w:hAnsi="宋体" w:cs="宋体"/>
                <w:color w:val="auto"/>
                <w:szCs w:val="21"/>
                <w:lang w:val="en-US" w:eastAsia="zh-CN"/>
              </w:rPr>
              <w:t>有</w:t>
            </w:r>
            <w:r>
              <w:rPr>
                <w:rFonts w:hint="eastAsia" w:ascii="宋体" w:hAnsi="宋体" w:cs="宋体"/>
                <w:color w:val="auto"/>
                <w:szCs w:val="21"/>
              </w:rPr>
              <w:t>一定的针对性和可操作性，基本符合采购需求要求</w:t>
            </w:r>
            <w:r>
              <w:rPr>
                <w:rFonts w:hint="eastAsia"/>
                <w:color w:val="auto"/>
              </w:rPr>
              <w:t>的得2分；</w:t>
            </w:r>
          </w:p>
          <w:p>
            <w:pPr>
              <w:rPr>
                <w:color w:val="auto"/>
              </w:rPr>
            </w:pPr>
            <w:r>
              <w:rPr>
                <w:rFonts w:hint="eastAsia"/>
                <w:color w:val="auto"/>
              </w:rPr>
              <w:t>③剖面挖掘与样品采集技术</w:t>
            </w:r>
            <w:r>
              <w:rPr>
                <w:rFonts w:hint="eastAsia"/>
                <w:color w:val="auto"/>
                <w:lang w:val="en-US" w:eastAsia="zh-CN"/>
              </w:rPr>
              <w:t>方法及技术路线模糊不清，</w:t>
            </w:r>
            <w:r>
              <w:rPr>
                <w:rFonts w:hint="eastAsia" w:ascii="宋体" w:hAnsi="宋体" w:cs="宋体"/>
                <w:color w:val="auto"/>
                <w:szCs w:val="21"/>
              </w:rPr>
              <w:t>各方面略有欠缺或有瑕疵</w:t>
            </w:r>
            <w:r>
              <w:rPr>
                <w:rFonts w:hint="eastAsia"/>
                <w:color w:val="auto"/>
              </w:rPr>
              <w:t>的得1分；</w:t>
            </w:r>
          </w:p>
          <w:p>
            <w:pPr>
              <w:rPr>
                <w:color w:val="auto"/>
              </w:rPr>
            </w:pPr>
            <w:r>
              <w:rPr>
                <w:rFonts w:hint="eastAsia"/>
                <w:color w:val="auto"/>
              </w:rPr>
              <w:t>④未提供不得分。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continue"/>
            <w:tcBorders>
              <w:left w:val="single" w:color="auto" w:sz="4" w:space="0"/>
              <w:bottom w:val="single" w:color="auto" w:sz="4" w:space="0"/>
              <w:right w:val="single" w:color="auto" w:sz="4" w:space="0"/>
            </w:tcBorders>
            <w:vAlign w:val="center"/>
          </w:tcPr>
          <w:p>
            <w:pPr>
              <w:rPr>
                <w:color w:val="auto"/>
              </w:rPr>
            </w:pP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val="en-US" w:eastAsia="zh-CN"/>
              </w:rPr>
              <w:t>4</w:t>
            </w:r>
            <w:r>
              <w:rPr>
                <w:rFonts w:hint="eastAsia"/>
                <w:color w:val="auto"/>
              </w:rPr>
              <w:t>.4根据供应商提供的剖面挖掘与样品采集组织保障措施进行综合评分。</w:t>
            </w:r>
          </w:p>
          <w:p>
            <w:pPr>
              <w:rPr>
                <w:color w:val="auto"/>
              </w:rPr>
            </w:pPr>
            <w:r>
              <w:rPr>
                <w:rFonts w:hint="eastAsia"/>
                <w:color w:val="auto"/>
              </w:rPr>
              <w:t>①剖面挖掘与样品采集组织保障措施</w:t>
            </w:r>
            <w:r>
              <w:rPr>
                <w:rFonts w:hint="eastAsia"/>
                <w:color w:val="auto"/>
                <w:lang w:val="en-US" w:eastAsia="zh-CN"/>
              </w:rPr>
              <w:t>内容全面详细、</w:t>
            </w:r>
            <w:r>
              <w:rPr>
                <w:rFonts w:hint="eastAsia"/>
                <w:color w:val="auto"/>
              </w:rPr>
              <w:t>可行</w:t>
            </w:r>
            <w:r>
              <w:rPr>
                <w:rFonts w:hint="eastAsia"/>
                <w:color w:val="auto"/>
                <w:lang w:val="en-US" w:eastAsia="zh-CN"/>
              </w:rPr>
              <w:t>性</w:t>
            </w:r>
            <w:r>
              <w:rPr>
                <w:rFonts w:hint="eastAsia"/>
                <w:color w:val="auto"/>
              </w:rPr>
              <w:t>、针对性强的得2分；</w:t>
            </w:r>
          </w:p>
          <w:p>
            <w:pPr>
              <w:rPr>
                <w:color w:val="auto"/>
              </w:rPr>
            </w:pPr>
            <w:r>
              <w:rPr>
                <w:rFonts w:hint="eastAsia"/>
                <w:color w:val="auto"/>
              </w:rPr>
              <w:t>②剖面挖掘与样品采集组织保障措施</w:t>
            </w:r>
            <w:r>
              <w:rPr>
                <w:rFonts w:hint="eastAsia"/>
                <w:color w:val="auto"/>
                <w:lang w:val="en-US" w:eastAsia="zh-CN"/>
              </w:rPr>
              <w:t>内容</w:t>
            </w:r>
            <w:r>
              <w:rPr>
                <w:rFonts w:hint="eastAsia"/>
                <w:color w:val="auto"/>
              </w:rPr>
              <w:t>较</w:t>
            </w:r>
            <w:r>
              <w:rPr>
                <w:rFonts w:hint="eastAsia"/>
                <w:color w:val="auto"/>
                <w:lang w:val="en-US" w:eastAsia="zh-CN"/>
              </w:rPr>
              <w:t>为全面详细、具备一定可行性、</w:t>
            </w:r>
            <w:r>
              <w:rPr>
                <w:rFonts w:hint="eastAsia"/>
                <w:color w:val="auto"/>
              </w:rPr>
              <w:t>针对性的得1分；</w:t>
            </w:r>
          </w:p>
          <w:p>
            <w:pPr>
              <w:rPr>
                <w:color w:val="auto"/>
              </w:rPr>
            </w:pPr>
            <w:r>
              <w:rPr>
                <w:rFonts w:hint="eastAsia"/>
                <w:color w:val="auto"/>
              </w:rPr>
              <w:t>③剖面挖掘与样品采集组织保障措施</w:t>
            </w:r>
            <w:r>
              <w:rPr>
                <w:rFonts w:hint="eastAsia"/>
                <w:color w:val="auto"/>
                <w:lang w:val="en-US" w:eastAsia="zh-CN"/>
              </w:rPr>
              <w:t>模糊不清，</w:t>
            </w:r>
            <w:r>
              <w:rPr>
                <w:rFonts w:hint="eastAsia" w:ascii="宋体" w:hAnsi="宋体" w:cs="宋体"/>
                <w:color w:val="auto"/>
                <w:szCs w:val="21"/>
              </w:rPr>
              <w:t>各方面略有欠缺或有瑕疵</w:t>
            </w:r>
            <w:r>
              <w:rPr>
                <w:rFonts w:hint="eastAsia"/>
                <w:color w:val="auto"/>
              </w:rPr>
              <w:t>的得0.5分；</w:t>
            </w:r>
          </w:p>
          <w:p>
            <w:pPr>
              <w:rPr>
                <w:color w:val="auto"/>
              </w:rPr>
            </w:pPr>
            <w:r>
              <w:rPr>
                <w:rFonts w:hint="eastAsia"/>
                <w:color w:val="auto"/>
              </w:rPr>
              <w:t>④未提供不得分。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restart"/>
            <w:tcBorders>
              <w:top w:val="single" w:color="auto" w:sz="4" w:space="0"/>
              <w:left w:val="single" w:color="auto" w:sz="4" w:space="0"/>
              <w:right w:val="single" w:color="auto" w:sz="4" w:space="0"/>
            </w:tcBorders>
            <w:vAlign w:val="center"/>
          </w:tcPr>
          <w:p>
            <w:pPr>
              <w:rPr>
                <w:color w:val="auto"/>
              </w:rPr>
            </w:pPr>
            <w:r>
              <w:rPr>
                <w:rFonts w:hint="eastAsia"/>
                <w:color w:val="auto"/>
                <w:lang w:val="en-US" w:eastAsia="zh-CN"/>
              </w:rPr>
              <w:t>5</w:t>
            </w:r>
            <w:r>
              <w:rPr>
                <w:rFonts w:hint="eastAsia"/>
                <w:color w:val="auto"/>
              </w:rPr>
              <w:t>.土壤剖面调查与采样质量控制方案</w:t>
            </w: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val="en-US" w:eastAsia="zh-CN"/>
              </w:rPr>
              <w:t>5</w:t>
            </w:r>
            <w:r>
              <w:rPr>
                <w:rFonts w:hint="eastAsia"/>
                <w:color w:val="auto"/>
              </w:rPr>
              <w:t>.1根据供应商提供的土壤剖面调查与采样质量控制方案进行综合评分。</w:t>
            </w:r>
          </w:p>
          <w:p>
            <w:pPr>
              <w:rPr>
                <w:rFonts w:hint="eastAsia"/>
                <w:color w:val="auto"/>
              </w:rPr>
            </w:pPr>
            <w:r>
              <w:rPr>
                <w:rFonts w:hint="eastAsia"/>
                <w:color w:val="auto"/>
              </w:rPr>
              <w:t>①土壤剖面调查与采样质量控制方案</w:t>
            </w:r>
            <w:r>
              <w:rPr>
                <w:rFonts w:hint="eastAsia"/>
                <w:color w:val="auto"/>
                <w:lang w:val="en-US" w:eastAsia="zh-CN"/>
              </w:rPr>
              <w:t>内容严格遵循第三次全国土壤普查相关规程规范、内部质量控制机制完善</w:t>
            </w:r>
            <w:r>
              <w:rPr>
                <w:rFonts w:hint="eastAsia"/>
                <w:color w:val="auto"/>
              </w:rPr>
              <w:t>的得</w:t>
            </w:r>
            <w:r>
              <w:rPr>
                <w:rFonts w:hint="eastAsia"/>
                <w:color w:val="auto"/>
                <w:lang w:val="en-US" w:eastAsia="zh-CN"/>
              </w:rPr>
              <w:t>5</w:t>
            </w:r>
            <w:r>
              <w:rPr>
                <w:rFonts w:hint="eastAsia"/>
                <w:color w:val="auto"/>
              </w:rPr>
              <w:t>分；</w:t>
            </w:r>
          </w:p>
          <w:p>
            <w:pPr>
              <w:rPr>
                <w:color w:val="auto"/>
              </w:rPr>
            </w:pPr>
            <w:r>
              <w:rPr>
                <w:rFonts w:hint="eastAsia"/>
                <w:color w:val="auto"/>
              </w:rPr>
              <w:t>②土壤剖面调查与采样质量控制方案</w:t>
            </w:r>
            <w:r>
              <w:rPr>
                <w:rFonts w:hint="eastAsia"/>
                <w:color w:val="auto"/>
                <w:lang w:val="en-US" w:eastAsia="zh-CN"/>
              </w:rPr>
              <w:t>内容基本遵循第三次全国土壤普查相关规程规范、内部质量控制机制较为完善</w:t>
            </w:r>
            <w:r>
              <w:rPr>
                <w:rFonts w:hint="eastAsia"/>
                <w:color w:val="auto"/>
              </w:rPr>
              <w:t>的得3分；</w:t>
            </w:r>
          </w:p>
          <w:p>
            <w:pPr>
              <w:rPr>
                <w:color w:val="auto"/>
              </w:rPr>
            </w:pPr>
            <w:r>
              <w:rPr>
                <w:rFonts w:hint="eastAsia"/>
                <w:color w:val="auto"/>
              </w:rPr>
              <w:t>③土壤剖面调查与采样质量控制方案</w:t>
            </w:r>
            <w:r>
              <w:rPr>
                <w:rFonts w:hint="eastAsia"/>
                <w:color w:val="auto"/>
                <w:lang w:val="en-US" w:eastAsia="zh-CN"/>
              </w:rPr>
              <w:t>内容模糊不清，</w:t>
            </w:r>
            <w:r>
              <w:rPr>
                <w:rFonts w:hint="eastAsia" w:ascii="宋体" w:hAnsi="宋体" w:cs="宋体"/>
                <w:color w:val="auto"/>
                <w:szCs w:val="21"/>
              </w:rPr>
              <w:t>各方面略有欠缺或有瑕疵</w:t>
            </w:r>
            <w:r>
              <w:rPr>
                <w:rFonts w:hint="eastAsia"/>
                <w:color w:val="auto"/>
              </w:rPr>
              <w:t>的得1分；</w:t>
            </w:r>
          </w:p>
          <w:p>
            <w:pPr>
              <w:rPr>
                <w:color w:val="auto"/>
              </w:rPr>
            </w:pPr>
            <w:r>
              <w:rPr>
                <w:rFonts w:hint="eastAsia"/>
                <w:color w:val="auto"/>
              </w:rPr>
              <w:t>④未提供不得分。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lang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continue"/>
            <w:tcBorders>
              <w:left w:val="single" w:color="auto" w:sz="4" w:space="0"/>
              <w:bottom w:val="single" w:color="auto" w:sz="4" w:space="0"/>
              <w:right w:val="single" w:color="auto" w:sz="4" w:space="0"/>
            </w:tcBorders>
            <w:vAlign w:val="center"/>
          </w:tcPr>
          <w:p>
            <w:pPr>
              <w:rPr>
                <w:color w:val="auto"/>
              </w:rPr>
            </w:pP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val="en-US" w:eastAsia="zh-CN"/>
              </w:rPr>
              <w:t>5</w:t>
            </w:r>
            <w:r>
              <w:rPr>
                <w:rFonts w:hint="eastAsia"/>
                <w:color w:val="auto"/>
              </w:rPr>
              <w:t>.2采样队人员持有省三普办颁发的全程质量控制证书的，每个证书得1分，最高得5分。</w:t>
            </w:r>
          </w:p>
          <w:p>
            <w:pPr>
              <w:rPr>
                <w:color w:val="auto"/>
              </w:rPr>
            </w:pPr>
            <w:r>
              <w:rPr>
                <w:rFonts w:hint="eastAsia"/>
                <w:color w:val="auto"/>
              </w:rPr>
              <w:t>说明：需提供相关材料（含官网截图及质控证书编号）作为证明材料；未提供的不得分。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restart"/>
            <w:tcBorders>
              <w:top w:val="single" w:color="auto" w:sz="4" w:space="0"/>
              <w:left w:val="single" w:color="auto" w:sz="4" w:space="0"/>
              <w:right w:val="single" w:color="auto" w:sz="4" w:space="0"/>
            </w:tcBorders>
            <w:vAlign w:val="center"/>
          </w:tcPr>
          <w:p>
            <w:pPr>
              <w:rPr>
                <w:color w:val="auto"/>
              </w:rPr>
            </w:pPr>
            <w:r>
              <w:rPr>
                <w:rFonts w:hint="eastAsia"/>
                <w:color w:val="auto"/>
                <w:lang w:val="en-US" w:eastAsia="zh-CN"/>
              </w:rPr>
              <w:t>6</w:t>
            </w:r>
            <w:r>
              <w:rPr>
                <w:rFonts w:hint="eastAsia"/>
                <w:color w:val="auto"/>
              </w:rPr>
              <w:t>.设备及软件配置情况</w:t>
            </w: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val="en-US" w:eastAsia="zh-CN"/>
              </w:rPr>
              <w:t>6</w:t>
            </w:r>
            <w:r>
              <w:rPr>
                <w:rFonts w:hint="eastAsia"/>
                <w:color w:val="auto"/>
              </w:rPr>
              <w:t>.1供应商配有土壤普查专业手持终端、专业数码单反相机、无人机的，每项得1分，最高得3分。</w:t>
            </w:r>
          </w:p>
          <w:p>
            <w:pPr>
              <w:rPr>
                <w:color w:val="auto"/>
              </w:rPr>
            </w:pPr>
            <w:r>
              <w:rPr>
                <w:rFonts w:hint="eastAsia"/>
                <w:color w:val="auto"/>
              </w:rPr>
              <w:t>说明：提供照片和购置发票（或合同）作为证明材料，不提供或不符合要求的不计分。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continue"/>
            <w:tcBorders>
              <w:left w:val="single" w:color="auto" w:sz="4" w:space="0"/>
              <w:bottom w:val="single" w:color="auto" w:sz="4" w:space="0"/>
              <w:right w:val="single" w:color="auto" w:sz="4" w:space="0"/>
            </w:tcBorders>
            <w:vAlign w:val="center"/>
          </w:tcPr>
          <w:p>
            <w:pPr>
              <w:rPr>
                <w:color w:val="auto"/>
              </w:rPr>
            </w:pP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val="en-US" w:eastAsia="zh-CN"/>
              </w:rPr>
              <w:t>6</w:t>
            </w:r>
            <w:r>
              <w:rPr>
                <w:rFonts w:hint="eastAsia"/>
                <w:color w:val="auto"/>
              </w:rPr>
              <w:t>.2对调查采样工具、材料及软件性能以及配置情况进行综合评分。</w:t>
            </w:r>
          </w:p>
          <w:p>
            <w:pPr>
              <w:rPr>
                <w:color w:val="auto"/>
              </w:rPr>
            </w:pPr>
            <w:r>
              <w:rPr>
                <w:rFonts w:hint="eastAsia"/>
                <w:color w:val="auto"/>
              </w:rPr>
              <w:t>①调查采样工具、材料及软件配置、性能齐全，满足工作需求且合理可行的得6分；</w:t>
            </w:r>
          </w:p>
          <w:p>
            <w:pPr>
              <w:rPr>
                <w:color w:val="auto"/>
              </w:rPr>
            </w:pPr>
            <w:r>
              <w:rPr>
                <w:rFonts w:hint="eastAsia"/>
                <w:color w:val="auto"/>
              </w:rPr>
              <w:t>②调查采样工具、材料及软件配置、性能较齐全，基本满足工作需求、具备一定的合理性和可行性的得4分；</w:t>
            </w:r>
          </w:p>
          <w:p>
            <w:pPr>
              <w:rPr>
                <w:color w:val="auto"/>
              </w:rPr>
            </w:pPr>
            <w:r>
              <w:rPr>
                <w:rFonts w:hint="eastAsia"/>
                <w:color w:val="auto"/>
              </w:rPr>
              <w:t>③调查采样工具、材料及软件配置及性能缺失，</w:t>
            </w:r>
            <w:r>
              <w:rPr>
                <w:rFonts w:hint="eastAsia" w:ascii="宋体" w:hAnsi="宋体" w:cs="宋体"/>
                <w:color w:val="auto"/>
                <w:szCs w:val="21"/>
              </w:rPr>
              <w:t>各方面略有欠缺或有瑕疵</w:t>
            </w:r>
            <w:r>
              <w:rPr>
                <w:rFonts w:hint="eastAsia"/>
                <w:color w:val="auto"/>
              </w:rPr>
              <w:t>的得2分；</w:t>
            </w:r>
          </w:p>
          <w:p>
            <w:pPr>
              <w:rPr>
                <w:color w:val="auto"/>
              </w:rPr>
            </w:pPr>
            <w:r>
              <w:rPr>
                <w:rFonts w:hint="eastAsia"/>
                <w:color w:val="auto"/>
              </w:rPr>
              <w:t>④未提供不得分。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lang w:val="en-US" w:eastAsia="zh-CN"/>
              </w:rPr>
              <w:t>7</w:t>
            </w:r>
            <w:r>
              <w:rPr>
                <w:rFonts w:hint="eastAsia"/>
                <w:color w:val="auto"/>
              </w:rPr>
              <w:t>.项目实施计划</w:t>
            </w: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针对土壤剖面样点调查采样工作各环节的具体实施计划进行综合评分。</w:t>
            </w:r>
          </w:p>
          <w:p>
            <w:pPr>
              <w:rPr>
                <w:rFonts w:hint="eastAsia"/>
                <w:color w:val="auto"/>
              </w:rPr>
            </w:pPr>
            <w:r>
              <w:rPr>
                <w:rFonts w:hint="eastAsia"/>
                <w:color w:val="auto"/>
              </w:rPr>
              <w:t>①针对土壤剖面样点调查采样工作各环节的具体实施计划内容全面详细</w:t>
            </w:r>
            <w:r>
              <w:rPr>
                <w:rFonts w:hint="eastAsia"/>
                <w:color w:val="auto"/>
                <w:lang w:eastAsia="zh-CN"/>
              </w:rPr>
              <w:t>、</w:t>
            </w:r>
            <w:r>
              <w:rPr>
                <w:rFonts w:hint="eastAsia"/>
                <w:color w:val="auto"/>
              </w:rPr>
              <w:t>进度安排及时、满足采购人要求的的得5分；</w:t>
            </w:r>
          </w:p>
          <w:p>
            <w:pPr>
              <w:rPr>
                <w:rFonts w:hint="eastAsia"/>
                <w:color w:val="auto"/>
              </w:rPr>
            </w:pPr>
            <w:r>
              <w:rPr>
                <w:rFonts w:hint="eastAsia"/>
                <w:color w:val="auto"/>
              </w:rPr>
              <w:t>②针对土壤剖面样点调查采样工作各环节的具体实施计划内容较全面详细，进度安排较及时、基本能满足采购人要求的得3分；</w:t>
            </w:r>
          </w:p>
          <w:p>
            <w:pPr>
              <w:rPr>
                <w:rFonts w:hint="eastAsia"/>
                <w:color w:val="auto"/>
              </w:rPr>
            </w:pPr>
            <w:r>
              <w:rPr>
                <w:rFonts w:hint="eastAsia"/>
                <w:color w:val="auto"/>
              </w:rPr>
              <w:t>③针对土壤剖面样点调查采样工作各环节的具体实施计划</w:t>
            </w:r>
            <w:r>
              <w:rPr>
                <w:rFonts w:hint="eastAsia"/>
                <w:color w:val="auto"/>
                <w:lang w:val="en-US" w:eastAsia="zh-CN"/>
              </w:rPr>
              <w:t>内容模糊不清，</w:t>
            </w:r>
            <w:r>
              <w:rPr>
                <w:rFonts w:hint="eastAsia"/>
                <w:color w:val="auto"/>
              </w:rPr>
              <w:t>各方面略有欠缺或有瑕疵的得1分；</w:t>
            </w:r>
          </w:p>
          <w:p>
            <w:pPr>
              <w:rPr>
                <w:color w:val="auto"/>
              </w:rPr>
            </w:pPr>
            <w:r>
              <w:rPr>
                <w:rFonts w:hint="eastAsia"/>
                <w:color w:val="auto"/>
              </w:rPr>
              <w:t>④未提供不得分。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lang w:val="en-US" w:eastAsia="zh-CN"/>
              </w:rPr>
              <w:t>8</w:t>
            </w:r>
            <w:r>
              <w:rPr>
                <w:rFonts w:hint="eastAsia"/>
                <w:color w:val="auto"/>
              </w:rPr>
              <w:t>.土壤样品的保护</w:t>
            </w: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针对土壤样品采集后保存和运输的保护措施进行综合评分。</w:t>
            </w:r>
          </w:p>
          <w:p>
            <w:pPr>
              <w:rPr>
                <w:color w:val="auto"/>
              </w:rPr>
            </w:pPr>
            <w:r>
              <w:rPr>
                <w:rFonts w:hint="eastAsia"/>
                <w:color w:val="auto"/>
              </w:rPr>
              <w:t>①措施完全结合土壤样品特点、保存方法科学合理、详细全面、能保证样品的原状特征、避免运输中发生严重的挤压和颠簸的得5分；</w:t>
            </w:r>
          </w:p>
          <w:p>
            <w:pPr>
              <w:rPr>
                <w:color w:val="auto"/>
              </w:rPr>
            </w:pPr>
            <w:r>
              <w:rPr>
                <w:rFonts w:hint="eastAsia"/>
                <w:color w:val="auto"/>
              </w:rPr>
              <w:t>②措施基本结合土壤样品特点、保存方法较科学合理、较全面、基本能保证样品的原状特征、基本能避免运输中发生严重的挤压和颠簸的得3分；</w:t>
            </w:r>
          </w:p>
          <w:p>
            <w:pPr>
              <w:rPr>
                <w:color w:val="auto"/>
              </w:rPr>
            </w:pPr>
            <w:r>
              <w:rPr>
                <w:rFonts w:hint="eastAsia"/>
                <w:color w:val="auto"/>
              </w:rPr>
              <w:t>③措施不能很好的结合土壤样品特点、保存方法不够科学合理、不能很好的能保证样品的原状特征、无法避免运输中发生严重的挤压和颠簸的得1分；</w:t>
            </w:r>
          </w:p>
          <w:p>
            <w:pPr>
              <w:rPr>
                <w:color w:val="auto"/>
              </w:rPr>
            </w:pPr>
            <w:r>
              <w:rPr>
                <w:rFonts w:hint="eastAsia"/>
                <w:color w:val="auto"/>
              </w:rPr>
              <w:fldChar w:fldCharType="begin"/>
            </w:r>
            <w:r>
              <w:rPr>
                <w:rFonts w:hint="eastAsia"/>
                <w:color w:val="auto"/>
              </w:rPr>
              <w:instrText xml:space="preserve"> = 4 \* GB3 \* MERGEFORMAT </w:instrText>
            </w:r>
            <w:r>
              <w:rPr>
                <w:rFonts w:hint="eastAsia"/>
                <w:color w:val="auto"/>
              </w:rPr>
              <w:fldChar w:fldCharType="separate"/>
            </w:r>
            <w:r>
              <w:rPr>
                <w:rFonts w:hint="eastAsia"/>
                <w:color w:val="auto"/>
              </w:rPr>
              <w:t>④</w:t>
            </w:r>
            <w:r>
              <w:rPr>
                <w:rFonts w:hint="eastAsia"/>
                <w:color w:val="auto"/>
              </w:rPr>
              <w:fldChar w:fldCharType="end"/>
            </w:r>
            <w:r>
              <w:rPr>
                <w:rFonts w:hint="eastAsia"/>
                <w:color w:val="auto"/>
              </w:rPr>
              <w:t>未提供不得分。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tcBorders>
              <w:top w:val="single" w:color="auto" w:sz="4" w:space="0"/>
              <w:left w:val="single" w:color="auto" w:sz="4" w:space="0"/>
              <w:right w:val="single" w:color="auto" w:sz="4" w:space="0"/>
            </w:tcBorders>
            <w:vAlign w:val="center"/>
          </w:tcPr>
          <w:p>
            <w:pPr>
              <w:jc w:val="center"/>
              <w:rPr>
                <w:rFonts w:hint="eastAsia"/>
                <w:color w:val="auto"/>
                <w:lang w:val="en-US" w:eastAsia="zh-CN"/>
              </w:rPr>
            </w:pPr>
            <w:r>
              <w:rPr>
                <w:rFonts w:hint="eastAsia"/>
                <w:color w:val="auto"/>
                <w:lang w:val="en-US" w:eastAsia="zh-CN"/>
              </w:rPr>
              <w:t>9</w:t>
            </w:r>
            <w:r>
              <w:rPr>
                <w:rFonts w:hint="eastAsia"/>
                <w:color w:val="auto"/>
              </w:rPr>
              <w:t>.企业综合能力</w:t>
            </w:r>
          </w:p>
        </w:tc>
        <w:tc>
          <w:tcPr>
            <w:tcW w:w="6535" w:type="dxa"/>
            <w:tcBorders>
              <w:top w:val="single" w:color="auto" w:sz="4" w:space="0"/>
              <w:left w:val="single" w:color="auto" w:sz="4" w:space="0"/>
              <w:bottom w:val="single" w:color="auto" w:sz="4" w:space="0"/>
              <w:right w:val="single" w:color="auto" w:sz="4" w:space="0"/>
            </w:tcBorders>
            <w:vAlign w:val="center"/>
          </w:tcPr>
          <w:p>
            <w:pPr>
              <w:jc w:val="left"/>
              <w:rPr>
                <w:rFonts w:hint="eastAsia"/>
                <w:color w:val="auto"/>
              </w:rPr>
            </w:pPr>
            <w:r>
              <w:rPr>
                <w:rFonts w:hint="eastAsia"/>
                <w:color w:val="auto"/>
                <w:lang w:val="en-US" w:eastAsia="zh-CN"/>
              </w:rPr>
              <w:t>9</w:t>
            </w:r>
            <w:r>
              <w:rPr>
                <w:rFonts w:hint="eastAsia"/>
                <w:color w:val="auto"/>
              </w:rPr>
              <w:t>.1供应商入围由地级市及以上行政部门公布的第三次全国土壤普查外业调查采样机构名录的，得2分。</w:t>
            </w:r>
          </w:p>
          <w:p>
            <w:pPr>
              <w:jc w:val="left"/>
              <w:rPr>
                <w:rFonts w:hint="eastAsia"/>
                <w:color w:val="auto"/>
                <w:lang w:val="en-US" w:eastAsia="zh-CN"/>
              </w:rPr>
            </w:pPr>
            <w:r>
              <w:rPr>
                <w:rFonts w:hint="eastAsia"/>
                <w:color w:val="auto"/>
                <w:lang w:val="en-US" w:eastAsia="zh-CN"/>
              </w:rPr>
              <w:t>9</w:t>
            </w:r>
            <w:r>
              <w:rPr>
                <w:rFonts w:hint="eastAsia"/>
                <w:color w:val="auto"/>
              </w:rPr>
              <w:t>.</w:t>
            </w:r>
            <w:r>
              <w:rPr>
                <w:rFonts w:hint="eastAsia"/>
                <w:color w:val="auto"/>
                <w:lang w:val="en-US" w:eastAsia="zh-CN"/>
              </w:rPr>
              <w:t>2</w:t>
            </w:r>
            <w:r>
              <w:rPr>
                <w:rFonts w:hint="eastAsia"/>
                <w:color w:val="auto"/>
              </w:rPr>
              <w:t>供应商承担过其他土壤剖面调查、土壤整段标本采集与制作相关工作且提供相关证明资料得3分，资料不能证明或没有不得分。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restart"/>
            <w:tcBorders>
              <w:top w:val="single" w:color="auto" w:sz="4" w:space="0"/>
              <w:left w:val="single" w:color="auto" w:sz="4" w:space="0"/>
              <w:right w:val="single" w:color="auto" w:sz="4" w:space="0"/>
            </w:tcBorders>
            <w:vAlign w:val="center"/>
          </w:tcPr>
          <w:p>
            <w:pPr>
              <w:jc w:val="center"/>
              <w:rPr>
                <w:color w:val="auto"/>
              </w:rPr>
            </w:pPr>
            <w:r>
              <w:rPr>
                <w:rFonts w:hint="eastAsia"/>
                <w:color w:val="auto"/>
              </w:rPr>
              <w:t>10</w:t>
            </w:r>
            <w:r>
              <w:rPr>
                <w:rFonts w:hint="eastAsia"/>
                <w:color w:val="auto"/>
                <w:lang w:val="en-US" w:eastAsia="zh-CN"/>
              </w:rPr>
              <w:t>.</w:t>
            </w:r>
            <w:r>
              <w:rPr>
                <w:rFonts w:hint="eastAsia"/>
                <w:color w:val="auto"/>
              </w:rPr>
              <w:t>项目组人员</w:t>
            </w: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10.1项目负责人具有土壤学相关专业（含土壤农化、农业资源与环境）副高级及以上职称且获得国家土壤三普办组织的土壤剖面调查培训证书的得3分，仅具有其中一项的得1分，无剖面证书不得分。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continue"/>
            <w:tcBorders>
              <w:left w:val="single" w:color="auto" w:sz="4" w:space="0"/>
              <w:right w:val="single" w:color="auto" w:sz="4" w:space="0"/>
            </w:tcBorders>
            <w:vAlign w:val="center"/>
          </w:tcPr>
          <w:p>
            <w:pPr>
              <w:rPr>
                <w:color w:val="auto"/>
              </w:rPr>
            </w:pPr>
          </w:p>
        </w:tc>
        <w:tc>
          <w:tcPr>
            <w:tcW w:w="6535"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auto"/>
                <w:lang w:val="en-US" w:eastAsia="zh-CN"/>
              </w:rPr>
            </w:pPr>
            <w:r>
              <w:rPr>
                <w:rFonts w:hint="eastAsia"/>
                <w:color w:val="auto"/>
              </w:rPr>
              <w:t>10.2.技术领队</w:t>
            </w:r>
            <w:r>
              <w:rPr>
                <w:rFonts w:hint="eastAsia"/>
                <w:color w:val="auto"/>
                <w:lang w:eastAsia="zh-CN"/>
              </w:rPr>
              <w:t>（</w:t>
            </w:r>
            <w:r>
              <w:rPr>
                <w:rFonts w:hint="eastAsia"/>
                <w:color w:val="auto"/>
                <w:lang w:val="en-US" w:eastAsia="zh-CN"/>
              </w:rPr>
              <w:t>除项目负责人外）</w:t>
            </w:r>
          </w:p>
          <w:p>
            <w:pPr>
              <w:rPr>
                <w:color w:val="auto"/>
              </w:rPr>
            </w:pPr>
            <w:r>
              <w:rPr>
                <w:rFonts w:hint="eastAsia"/>
                <w:color w:val="auto"/>
              </w:rPr>
              <w:t>（1）技术领队具有土壤学相关专业背景或职称（含土壤农化、农业资源与环境、农业工程、生态学）且获得国家土壤三普办组织的土壤剖面调查培训证书的，每人得1分，本项最高得2分。</w:t>
            </w:r>
          </w:p>
          <w:p>
            <w:pPr>
              <w:rPr>
                <w:color w:val="auto"/>
              </w:rPr>
            </w:pPr>
            <w:r>
              <w:rPr>
                <w:rFonts w:hint="eastAsia"/>
                <w:color w:val="auto"/>
              </w:rPr>
              <w:t>（2）技术领队具有土壤剖面调查、土壤分类工作经验的，每人得1分，最高得2分。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continue"/>
            <w:tcBorders>
              <w:left w:val="single" w:color="auto" w:sz="4" w:space="0"/>
              <w:right w:val="single" w:color="auto" w:sz="4" w:space="0"/>
            </w:tcBorders>
            <w:vAlign w:val="center"/>
          </w:tcPr>
          <w:p>
            <w:pPr>
              <w:rPr>
                <w:color w:val="auto"/>
              </w:rPr>
            </w:pP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10.3项目组成员（除项目负责和技术领队外）</w:t>
            </w:r>
          </w:p>
          <w:p>
            <w:pPr>
              <w:rPr>
                <w:color w:val="auto"/>
              </w:rPr>
            </w:pPr>
            <w:r>
              <w:rPr>
                <w:rFonts w:hint="eastAsia"/>
                <w:color w:val="auto"/>
              </w:rPr>
              <w:t>（1）除项目负责和技术领队外，项目组其他技术人员中具有土壤学相关专业（含土壤农化、农业资源与环境、地质、地球化学、环境工程、生态学）的每人得0.5分，最高得3分；</w:t>
            </w:r>
          </w:p>
          <w:p>
            <w:pPr>
              <w:rPr>
                <w:color w:val="auto"/>
              </w:rPr>
            </w:pPr>
            <w:r>
              <w:rPr>
                <w:rFonts w:hint="eastAsia"/>
                <w:color w:val="auto"/>
              </w:rPr>
              <w:t>（2）获得省土壤三普办颁发的</w:t>
            </w:r>
            <w:r>
              <w:rPr>
                <w:rFonts w:hint="eastAsia"/>
                <w:color w:val="auto"/>
                <w:lang w:val="en-US" w:eastAsia="zh-CN"/>
              </w:rPr>
              <w:t>外业调查</w:t>
            </w:r>
            <w:r>
              <w:rPr>
                <w:rFonts w:hint="eastAsia"/>
                <w:color w:val="auto"/>
              </w:rPr>
              <w:t>培训证书的，每人得0.5分，最高得3分。</w:t>
            </w:r>
          </w:p>
          <w:p>
            <w:pPr>
              <w:rPr>
                <w:color w:val="auto"/>
              </w:rPr>
            </w:pPr>
            <w:r>
              <w:rPr>
                <w:rFonts w:hint="eastAsia"/>
                <w:color w:val="auto"/>
              </w:rPr>
              <w:t>（3）项目组成员中具有土壤剖面调查或土壤分类相关工作经验的，每人得1分，最高得3分。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vMerge w:val="continue"/>
            <w:tcBorders>
              <w:left w:val="single" w:color="auto" w:sz="4" w:space="0"/>
              <w:bottom w:val="single" w:color="auto" w:sz="4" w:space="0"/>
              <w:right w:val="single" w:color="auto" w:sz="4" w:space="0"/>
            </w:tcBorders>
            <w:vAlign w:val="center"/>
          </w:tcPr>
          <w:p>
            <w:pPr>
              <w:rPr>
                <w:color w:val="auto"/>
              </w:rPr>
            </w:pP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说明：上述人员为供应商在职员工，响应文件中需提供相关证明材料（人员学历学位证书或职称证书、培训证书或培训证明材料、经验证明），以及上述人员最近连续三个月的社保缴纳证明材料，根据以上证明材料进行评分，未提供或提供不全或不符合上述要求的不给分。社保缴纳证明以社保机构出具的社保证明为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right w:val="single" w:color="auto" w:sz="4" w:space="0"/>
            </w:tcBorders>
            <w:vAlign w:val="center"/>
          </w:tcPr>
          <w:p>
            <w:pPr>
              <w:rPr>
                <w:color w:val="auto"/>
              </w:rPr>
            </w:pPr>
          </w:p>
        </w:tc>
        <w:tc>
          <w:tcPr>
            <w:tcW w:w="1782"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11.服务响应</w:t>
            </w:r>
          </w:p>
        </w:tc>
        <w:tc>
          <w:tcPr>
            <w:tcW w:w="653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根据投标人提供的服务响应情况进行综合评分。</w:t>
            </w:r>
          </w:p>
          <w:p>
            <w:pPr>
              <w:spacing w:line="400" w:lineRule="exact"/>
              <w:jc w:val="left"/>
              <w:rPr>
                <w:rFonts w:ascii="宋体" w:hAnsi="宋体" w:cs="宋体"/>
                <w:color w:val="auto"/>
                <w:szCs w:val="21"/>
              </w:rPr>
            </w:pPr>
            <w:r>
              <w:rPr>
                <w:rFonts w:hint="eastAsia" w:ascii="宋体" w:hAnsi="宋体" w:cs="宋体"/>
                <w:color w:val="auto"/>
                <w:szCs w:val="21"/>
              </w:rPr>
              <w:t>①投标人提供的服务的内容完整、服务响应及时的得3分；</w:t>
            </w:r>
          </w:p>
          <w:p>
            <w:pPr>
              <w:spacing w:line="400" w:lineRule="exact"/>
              <w:jc w:val="left"/>
              <w:rPr>
                <w:rFonts w:ascii="宋体" w:hAnsi="宋体" w:cs="宋体"/>
                <w:color w:val="auto"/>
                <w:szCs w:val="21"/>
              </w:rPr>
            </w:pPr>
            <w:r>
              <w:rPr>
                <w:rFonts w:hint="eastAsia" w:ascii="宋体" w:hAnsi="宋体" w:cs="宋体"/>
                <w:color w:val="auto"/>
                <w:szCs w:val="21"/>
              </w:rPr>
              <w:t>②投标人提供的服务基本完整、服务响应比较及时的得2分；</w:t>
            </w:r>
          </w:p>
          <w:p>
            <w:pPr>
              <w:spacing w:line="400" w:lineRule="exact"/>
              <w:jc w:val="left"/>
              <w:rPr>
                <w:rFonts w:ascii="宋体" w:hAnsi="宋体" w:cs="宋体"/>
                <w:color w:val="auto"/>
                <w:szCs w:val="21"/>
              </w:rPr>
            </w:pPr>
            <w:r>
              <w:rPr>
                <w:rFonts w:hint="eastAsia" w:ascii="宋体" w:hAnsi="宋体" w:cs="宋体"/>
                <w:color w:val="auto"/>
                <w:szCs w:val="21"/>
              </w:rPr>
              <w:t>③投标人提供的服务内容有缺漏、服务响应不够及时的得1分；</w:t>
            </w:r>
          </w:p>
          <w:p>
            <w:pPr>
              <w:rPr>
                <w:color w:val="auto"/>
              </w:rPr>
            </w:pPr>
            <w:r>
              <w:rPr>
                <w:rFonts w:hint="eastAsia" w:ascii="宋体" w:hAnsi="宋体" w:cs="宋体"/>
                <w:color w:val="auto"/>
                <w:szCs w:val="21"/>
              </w:rPr>
              <w:t>④未提供的不得分。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3" w:type="dxa"/>
            <w:vMerge w:val="continue"/>
            <w:tcBorders>
              <w:left w:val="single" w:color="auto" w:sz="4" w:space="0"/>
              <w:bottom w:val="single" w:color="auto" w:sz="4" w:space="0"/>
              <w:right w:val="single" w:color="auto" w:sz="4" w:space="0"/>
            </w:tcBorders>
            <w:vAlign w:val="center"/>
          </w:tcPr>
          <w:p>
            <w:pPr>
              <w:rPr>
                <w:color w:val="auto"/>
              </w:rPr>
            </w:pPr>
          </w:p>
        </w:tc>
        <w:tc>
          <w:tcPr>
            <w:tcW w:w="1782"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12.供应商的类似项目业绩</w:t>
            </w: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供应商的类似项目业绩（1分）</w:t>
            </w:r>
          </w:p>
          <w:p>
            <w:pPr>
              <w:rPr>
                <w:color w:val="auto"/>
              </w:rPr>
            </w:pPr>
            <w:r>
              <w:rPr>
                <w:rFonts w:hint="eastAsia"/>
                <w:color w:val="auto"/>
              </w:rPr>
              <w:t>供应商承接过土系调查、土壤剖面调查工作的，得1分。</w:t>
            </w:r>
          </w:p>
          <w:p>
            <w:pPr>
              <w:rPr>
                <w:color w:val="auto"/>
              </w:rPr>
            </w:pPr>
            <w:r>
              <w:rPr>
                <w:rFonts w:hint="eastAsia"/>
                <w:color w:val="auto"/>
              </w:rPr>
              <w:t>说明：根据响应文件中提供的合同复印件进行评分，未提供或不符合以上条件不得分。</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5"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价格分</w:t>
            </w:r>
          </w:p>
          <w:p>
            <w:pPr>
              <w:jc w:val="center"/>
              <w:rPr>
                <w:color w:val="auto"/>
              </w:rPr>
            </w:pPr>
            <w:r>
              <w:rPr>
                <w:rFonts w:hint="eastAsia"/>
                <w:color w:val="auto"/>
              </w:rPr>
              <w:t>10分</w:t>
            </w:r>
          </w:p>
        </w:tc>
        <w:tc>
          <w:tcPr>
            <w:tcW w:w="6535" w:type="dxa"/>
            <w:tcBorders>
              <w:top w:val="single" w:color="auto" w:sz="4" w:space="0"/>
              <w:left w:val="single" w:color="auto" w:sz="4" w:space="0"/>
              <w:bottom w:val="single" w:color="auto" w:sz="4" w:space="0"/>
              <w:right w:val="single" w:color="auto" w:sz="4" w:space="0"/>
            </w:tcBorders>
            <w:vAlign w:val="center"/>
          </w:tcPr>
          <w:p>
            <w:pPr>
              <w:rPr>
                <w:color w:val="auto"/>
                <w:lang w:val="zh-CN"/>
              </w:rPr>
            </w:pPr>
            <w:r>
              <w:rPr>
                <w:rFonts w:hint="eastAsia"/>
                <w:color w:val="auto"/>
                <w:lang w:val="zh-CN"/>
              </w:rPr>
              <w:t>评标基准价指的是满足招标文件要求且最低的参与评审的价格。</w:t>
            </w:r>
          </w:p>
          <w:p>
            <w:pPr>
              <w:rPr>
                <w:color w:val="auto"/>
                <w:lang w:val="zh-CN"/>
              </w:rPr>
            </w:pPr>
            <w:r>
              <w:rPr>
                <w:rFonts w:hint="eastAsia"/>
                <w:color w:val="auto"/>
                <w:lang w:val="zh-CN"/>
              </w:rPr>
              <w:t>参与评审的价格=投标报价-小微企业价格扣除优惠值</w:t>
            </w:r>
            <w:r>
              <w:rPr>
                <w:rFonts w:hint="eastAsia"/>
                <w:color w:val="auto"/>
              </w:rPr>
              <w:t>10</w:t>
            </w:r>
            <w:r>
              <w:rPr>
                <w:rFonts w:hint="eastAsia"/>
                <w:color w:val="auto"/>
                <w:lang w:val="zh-CN"/>
              </w:rPr>
              <w:t>％（如有）。</w:t>
            </w:r>
          </w:p>
          <w:p>
            <w:pPr>
              <w:rPr>
                <w:color w:val="auto"/>
                <w:lang w:val="zh-CN"/>
              </w:rPr>
            </w:pPr>
            <w:r>
              <w:rPr>
                <w:rFonts w:hint="eastAsia"/>
                <w:color w:val="auto"/>
                <w:lang w:val="zh-CN"/>
              </w:rPr>
              <w:t>参与评审的价格为评标基准价的其价格得分</w:t>
            </w:r>
            <w:r>
              <w:rPr>
                <w:rFonts w:hint="eastAsia"/>
                <w:color w:val="auto"/>
              </w:rPr>
              <w:t>为</w:t>
            </w:r>
            <w:r>
              <w:rPr>
                <w:rFonts w:hint="eastAsia"/>
                <w:color w:val="auto"/>
                <w:lang w:val="zh-CN"/>
              </w:rPr>
              <w:t>满分10分。</w:t>
            </w:r>
          </w:p>
          <w:p>
            <w:pPr>
              <w:rPr>
                <w:color w:val="auto"/>
                <w:lang w:val="zh-CN"/>
              </w:rPr>
            </w:pPr>
            <w:r>
              <w:rPr>
                <w:rFonts w:hint="eastAsia"/>
                <w:color w:val="auto"/>
                <w:lang w:val="zh-CN"/>
              </w:rPr>
              <w:t>其他投标人价格得分按照下列公式计算：</w:t>
            </w:r>
          </w:p>
          <w:p>
            <w:pPr>
              <w:rPr>
                <w:color w:val="auto"/>
                <w:lang w:val="zh-CN"/>
              </w:rPr>
            </w:pPr>
            <w:r>
              <w:rPr>
                <w:rFonts w:hint="eastAsia"/>
                <w:color w:val="auto"/>
                <w:lang w:val="zh-CN"/>
              </w:rPr>
              <w:t>价格得分=（评标基准价/各投标人参与评审的价格）×10％×100。</w:t>
            </w:r>
          </w:p>
          <w:p>
            <w:pPr>
              <w:rPr>
                <w:color w:val="auto"/>
              </w:rPr>
            </w:pP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50" w:type="dxa"/>
            <w:gridSpan w:val="3"/>
            <w:vAlign w:val="center"/>
          </w:tcPr>
          <w:p>
            <w:pPr>
              <w:jc w:val="center"/>
              <w:rPr>
                <w:color w:val="auto"/>
              </w:rPr>
            </w:pPr>
            <w:r>
              <w:rPr>
                <w:rFonts w:hint="eastAsia"/>
                <w:color w:val="auto"/>
              </w:rPr>
              <w:t>合计</w:t>
            </w:r>
          </w:p>
        </w:tc>
        <w:tc>
          <w:tcPr>
            <w:tcW w:w="999" w:type="dxa"/>
            <w:vAlign w:val="center"/>
          </w:tcPr>
          <w:p>
            <w:pPr>
              <w:jc w:val="center"/>
              <w:rPr>
                <w:color w:val="auto"/>
              </w:rPr>
            </w:pPr>
            <w:r>
              <w:rPr>
                <w:rFonts w:hint="eastAsia"/>
                <w:color w:val="auto"/>
              </w:rPr>
              <w:t>100</w:t>
            </w:r>
          </w:p>
        </w:tc>
      </w:tr>
      <w:bookmarkEnd w:id="321"/>
      <w:bookmarkEnd w:id="260"/>
    </w:tbl>
    <w:p>
      <w:pPr>
        <w:pStyle w:val="2"/>
        <w:rPr>
          <w:color w:val="auto"/>
        </w:rPr>
      </w:pPr>
    </w:p>
    <w:p>
      <w:pPr>
        <w:rPr>
          <w:b/>
          <w:bCs/>
          <w:color w:val="auto"/>
        </w:rPr>
      </w:pPr>
      <w:bookmarkStart w:id="261" w:name="_Toc24648"/>
      <w:bookmarkStart w:id="262" w:name="_Toc460857932"/>
      <w:bookmarkStart w:id="263" w:name="_Toc17707945"/>
      <w:bookmarkStart w:id="264" w:name="_Toc13155"/>
      <w:bookmarkStart w:id="265" w:name="_Toc20559"/>
      <w:bookmarkStart w:id="266" w:name="_Toc79395468"/>
    </w:p>
    <w:p>
      <w:pPr>
        <w:rPr>
          <w:b/>
          <w:bCs/>
          <w:color w:val="auto"/>
        </w:rPr>
      </w:pPr>
      <w:r>
        <w:rPr>
          <w:rFonts w:hint="eastAsia"/>
          <w:b/>
          <w:bCs/>
          <w:color w:val="auto"/>
        </w:rPr>
        <w:t>七、定标</w:t>
      </w:r>
      <w:bookmarkEnd w:id="261"/>
      <w:bookmarkEnd w:id="262"/>
      <w:bookmarkEnd w:id="263"/>
      <w:bookmarkEnd w:id="264"/>
      <w:bookmarkEnd w:id="265"/>
      <w:bookmarkEnd w:id="266"/>
    </w:p>
    <w:p>
      <w:pPr>
        <w:pStyle w:val="21"/>
        <w:widowControl/>
        <w:spacing w:beforeLines="0" w:afterLines="0" w:line="440" w:lineRule="exact"/>
        <w:ind w:firstLine="420" w:firstLineChars="200"/>
        <w:jc w:val="left"/>
        <w:rPr>
          <w:rFonts w:hAnsi="宋体" w:cs="宋体"/>
          <w:color w:val="auto"/>
          <w:sz w:val="21"/>
          <w:szCs w:val="21"/>
        </w:rPr>
      </w:pPr>
      <w:r>
        <w:rPr>
          <w:rFonts w:hint="eastAsia" w:hAnsi="宋体" w:cs="宋体"/>
          <w:color w:val="auto"/>
          <w:sz w:val="21"/>
          <w:szCs w:val="21"/>
        </w:rPr>
        <w:t>（一）本项目由评标委员会推荐中标候选人，采购人不得在评标委员会推荐的中标候选人以外确定中标候选人。</w:t>
      </w:r>
    </w:p>
    <w:p>
      <w:pPr>
        <w:pStyle w:val="21"/>
        <w:widowControl/>
        <w:spacing w:beforeLines="0" w:afterLines="0" w:line="440" w:lineRule="exact"/>
        <w:ind w:firstLine="420" w:firstLineChars="200"/>
        <w:jc w:val="left"/>
        <w:rPr>
          <w:rFonts w:hAnsi="宋体" w:cs="宋体"/>
          <w:color w:val="auto"/>
          <w:sz w:val="21"/>
          <w:szCs w:val="21"/>
        </w:rPr>
      </w:pPr>
      <w:r>
        <w:rPr>
          <w:rFonts w:hint="eastAsia" w:hAnsi="宋体" w:cs="宋体"/>
          <w:color w:val="auto"/>
          <w:sz w:val="21"/>
          <w:szCs w:val="21"/>
        </w:rPr>
        <w:t>（二）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前三的中标候选人为中标人。</w:t>
      </w:r>
    </w:p>
    <w:p>
      <w:pPr>
        <w:pStyle w:val="21"/>
        <w:widowControl/>
        <w:spacing w:beforeLines="0" w:afterLines="0" w:line="440" w:lineRule="exact"/>
        <w:ind w:firstLine="420" w:firstLineChars="200"/>
        <w:jc w:val="left"/>
        <w:rPr>
          <w:rFonts w:hAnsi="宋体" w:cs="宋体"/>
          <w:color w:val="auto"/>
          <w:sz w:val="21"/>
          <w:szCs w:val="21"/>
        </w:rPr>
      </w:pPr>
      <w:r>
        <w:rPr>
          <w:rFonts w:hint="eastAsia" w:hAnsi="宋体" w:cs="宋体"/>
          <w:color w:val="auto"/>
          <w:sz w:val="21"/>
          <w:szCs w:val="21"/>
        </w:rPr>
        <w:t>（三）采购代理机构自中标人确定之日起2个工作日内，在发布招标公告的网站上对中标结果进行公示，中标结果公告期限为1个工作日。</w:t>
      </w:r>
    </w:p>
    <w:p>
      <w:pPr>
        <w:pStyle w:val="21"/>
        <w:widowControl/>
        <w:spacing w:beforeLines="0" w:afterLines="0" w:line="440" w:lineRule="exact"/>
        <w:ind w:firstLine="420" w:firstLineChars="200"/>
        <w:jc w:val="left"/>
        <w:rPr>
          <w:rFonts w:hAnsi="宋体" w:cs="宋体"/>
          <w:color w:val="auto"/>
          <w:sz w:val="21"/>
          <w:szCs w:val="21"/>
        </w:rPr>
      </w:pPr>
      <w:r>
        <w:rPr>
          <w:rFonts w:hint="eastAsia" w:hAnsi="宋体" w:cs="宋体"/>
          <w:color w:val="auto"/>
          <w:sz w:val="21"/>
          <w:szCs w:val="21"/>
        </w:rPr>
        <w:t>（四）凡发现中标人有下列行为之一的，将移交政府采购监督管理部门依法处理：</w:t>
      </w:r>
    </w:p>
    <w:p>
      <w:pPr>
        <w:spacing w:line="440" w:lineRule="exact"/>
        <w:ind w:left="420" w:firstLine="210" w:firstLineChars="100"/>
        <w:rPr>
          <w:rFonts w:ascii="宋体" w:hAnsi="宋体" w:cs="宋体"/>
          <w:color w:val="auto"/>
          <w:szCs w:val="21"/>
        </w:rPr>
      </w:pPr>
      <w:r>
        <w:rPr>
          <w:rFonts w:hint="eastAsia" w:ascii="宋体" w:hAnsi="宋体" w:cs="宋体"/>
          <w:color w:val="auto"/>
          <w:szCs w:val="21"/>
        </w:rPr>
        <w:t>1.提供虚假材料谋取中标的；</w:t>
      </w:r>
    </w:p>
    <w:p>
      <w:pPr>
        <w:spacing w:line="440" w:lineRule="exact"/>
        <w:ind w:left="420" w:firstLine="210" w:firstLineChars="100"/>
        <w:rPr>
          <w:rFonts w:ascii="宋体" w:hAnsi="宋体" w:cs="宋体"/>
          <w:color w:val="auto"/>
          <w:szCs w:val="21"/>
        </w:rPr>
      </w:pPr>
      <w:r>
        <w:rPr>
          <w:rFonts w:hint="eastAsia" w:ascii="宋体" w:hAnsi="宋体" w:cs="宋体"/>
          <w:color w:val="auto"/>
          <w:szCs w:val="21"/>
        </w:rPr>
        <w:t>2.采取不正当手段诋毁、排挤其他投标人的；</w:t>
      </w:r>
    </w:p>
    <w:p>
      <w:pPr>
        <w:spacing w:line="440" w:lineRule="exact"/>
        <w:ind w:left="420" w:firstLine="210" w:firstLineChars="100"/>
        <w:rPr>
          <w:rFonts w:ascii="宋体" w:hAnsi="宋体" w:cs="宋体"/>
          <w:color w:val="auto"/>
          <w:szCs w:val="21"/>
        </w:rPr>
      </w:pPr>
      <w:r>
        <w:rPr>
          <w:rFonts w:hint="eastAsia" w:ascii="宋体" w:hAnsi="宋体" w:cs="宋体"/>
          <w:color w:val="auto"/>
          <w:szCs w:val="21"/>
        </w:rPr>
        <w:t>3.与采购人、其他投标人或者采购代理机构工作人员恶意串通的；</w:t>
      </w:r>
    </w:p>
    <w:p>
      <w:pPr>
        <w:spacing w:line="440" w:lineRule="exact"/>
        <w:ind w:left="420" w:firstLine="210" w:firstLineChars="100"/>
        <w:rPr>
          <w:rFonts w:ascii="宋体" w:hAnsi="宋体" w:cs="宋体"/>
          <w:color w:val="auto"/>
          <w:szCs w:val="21"/>
        </w:rPr>
      </w:pPr>
      <w:r>
        <w:rPr>
          <w:rFonts w:hint="eastAsia" w:ascii="宋体" w:hAnsi="宋体" w:cs="宋体"/>
          <w:color w:val="auto"/>
          <w:szCs w:val="21"/>
        </w:rPr>
        <w:t>4.向采购人或采购代理机构人员行贿或者提供其他不正当利益的；</w:t>
      </w:r>
    </w:p>
    <w:p>
      <w:pPr>
        <w:spacing w:line="440" w:lineRule="exact"/>
        <w:ind w:left="420" w:firstLine="210" w:firstLineChars="100"/>
        <w:rPr>
          <w:rFonts w:ascii="宋体" w:hAnsi="宋体" w:cs="宋体"/>
          <w:color w:val="auto"/>
          <w:szCs w:val="21"/>
        </w:rPr>
      </w:pPr>
      <w:r>
        <w:rPr>
          <w:rFonts w:hint="eastAsia" w:ascii="宋体" w:hAnsi="宋体" w:cs="宋体"/>
          <w:color w:val="auto"/>
          <w:szCs w:val="21"/>
        </w:rPr>
        <w:t>5.拒绝有关部门监督检查或者提供虚假情况的；</w:t>
      </w:r>
    </w:p>
    <w:p>
      <w:pPr>
        <w:spacing w:line="440" w:lineRule="exact"/>
        <w:ind w:left="420" w:firstLine="210" w:firstLineChars="100"/>
        <w:rPr>
          <w:rFonts w:ascii="宋体" w:hAnsi="宋体" w:cs="宋体"/>
          <w:color w:val="auto"/>
          <w:szCs w:val="21"/>
        </w:rPr>
      </w:pPr>
      <w:r>
        <w:rPr>
          <w:rFonts w:hint="eastAsia" w:ascii="宋体" w:hAnsi="宋体" w:cs="宋体"/>
          <w:color w:val="auto"/>
          <w:szCs w:val="21"/>
        </w:rPr>
        <w:t>6.有法律、法规规定的其他损害采购人利益和社会公共利益情形的。</w:t>
      </w:r>
    </w:p>
    <w:p>
      <w:pPr>
        <w:spacing w:line="440" w:lineRule="exact"/>
        <w:rPr>
          <w:b/>
          <w:bCs/>
          <w:color w:val="auto"/>
        </w:rPr>
      </w:pPr>
      <w:bookmarkStart w:id="267" w:name="_Toc17707947"/>
      <w:bookmarkStart w:id="268" w:name="_Toc28530"/>
      <w:bookmarkStart w:id="269" w:name="_Toc13586"/>
      <w:bookmarkStart w:id="270" w:name="_Toc79395470"/>
      <w:bookmarkStart w:id="271" w:name="_Toc13820"/>
      <w:r>
        <w:rPr>
          <w:rFonts w:hint="eastAsia"/>
          <w:b/>
          <w:bCs/>
          <w:color w:val="auto"/>
        </w:rPr>
        <w:t>八、评标过程的监控</w:t>
      </w:r>
      <w:bookmarkEnd w:id="267"/>
      <w:bookmarkEnd w:id="268"/>
      <w:bookmarkEnd w:id="269"/>
      <w:bookmarkEnd w:id="270"/>
      <w:bookmarkEnd w:id="271"/>
    </w:p>
    <w:p>
      <w:pPr>
        <w:snapToGrid w:val="0"/>
        <w:spacing w:line="440" w:lineRule="exact"/>
        <w:ind w:firstLine="420" w:firstLineChars="200"/>
        <w:jc w:val="left"/>
        <w:rPr>
          <w:rFonts w:ascii="宋体" w:hAnsi="宋体" w:cs="宋体"/>
          <w:color w:val="auto"/>
          <w:szCs w:val="21"/>
        </w:rPr>
      </w:pPr>
      <w:r>
        <w:rPr>
          <w:rFonts w:hint="eastAsia" w:ascii="宋体" w:hAnsi="宋体" w:cs="宋体"/>
          <w:bCs/>
          <w:color w:val="auto"/>
          <w:szCs w:val="21"/>
        </w:rPr>
        <w:t>本项目评标过程实行全程录音、录像监控，投标人在评标过程中所进行的试图影响评标结果的不公正活动，可能导致其投标被拒绝。</w:t>
      </w:r>
    </w:p>
    <w:p>
      <w:pPr>
        <w:spacing w:line="440" w:lineRule="exact"/>
        <w:rPr>
          <w:b/>
          <w:bCs/>
          <w:color w:val="auto"/>
        </w:rPr>
      </w:pPr>
      <w:bookmarkStart w:id="272" w:name="_Toc460857934"/>
      <w:bookmarkStart w:id="273" w:name="_Toc460416664"/>
      <w:bookmarkStart w:id="274" w:name="_Toc17707948"/>
      <w:bookmarkStart w:id="275" w:name="_Toc30381"/>
      <w:bookmarkStart w:id="276" w:name="_Toc460416359"/>
      <w:bookmarkStart w:id="277" w:name="_Toc79395471"/>
      <w:bookmarkStart w:id="278" w:name="_Toc8418"/>
      <w:bookmarkStart w:id="279" w:name="_Toc27507"/>
      <w:r>
        <w:rPr>
          <w:rFonts w:hint="eastAsia"/>
          <w:b/>
          <w:bCs/>
          <w:color w:val="auto"/>
        </w:rPr>
        <w:t>九、合同授予</w:t>
      </w:r>
      <w:bookmarkEnd w:id="272"/>
      <w:bookmarkEnd w:id="273"/>
      <w:bookmarkEnd w:id="274"/>
      <w:bookmarkEnd w:id="275"/>
      <w:bookmarkEnd w:id="276"/>
      <w:bookmarkEnd w:id="277"/>
      <w:bookmarkEnd w:id="278"/>
      <w:bookmarkEnd w:id="279"/>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1、采购人应当自中标通知书发出之日起30日内，按照采购文件和中标人投标文件的规定，与中标人签订书面合同。所签订的合同不得对采购文件确定的事项和中标人投标文件作实质性修改。</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采购人不得向中标人提出任何不合理的要求作为签订合同的条件。</w:t>
      </w:r>
    </w:p>
    <w:p>
      <w:pPr>
        <w:pStyle w:val="21"/>
        <w:snapToGrid w:val="0"/>
        <w:spacing w:beforeLines="0" w:afterLines="0" w:line="440" w:lineRule="exact"/>
        <w:ind w:firstLine="411" w:firstLineChars="196"/>
        <w:rPr>
          <w:rFonts w:hAnsi="宋体" w:cs="宋体"/>
          <w:color w:val="auto"/>
          <w:kern w:val="2"/>
          <w:sz w:val="21"/>
          <w:szCs w:val="21"/>
        </w:rPr>
      </w:pPr>
      <w:r>
        <w:rPr>
          <w:rFonts w:hint="eastAsia" w:hAnsi="宋体" w:cs="宋体"/>
          <w:color w:val="auto"/>
          <w:kern w:val="2"/>
          <w:sz w:val="21"/>
          <w:szCs w:val="21"/>
        </w:rPr>
        <w:t>2、采购人在签订合同时，在合同金额变更范围内，如需审批的办理相关审批手续。有权变更采购项目的数量和服务内容，但不能对单价或其他条款和条件作任何改变。</w:t>
      </w:r>
    </w:p>
    <w:p>
      <w:pPr>
        <w:pStyle w:val="21"/>
        <w:snapToGrid w:val="0"/>
        <w:spacing w:beforeLines="0" w:afterLines="0" w:line="440" w:lineRule="exact"/>
        <w:ind w:firstLine="411" w:firstLineChars="196"/>
        <w:rPr>
          <w:rFonts w:hAnsi="宋体" w:cs="宋体"/>
          <w:color w:val="auto"/>
          <w:kern w:val="2"/>
          <w:sz w:val="21"/>
          <w:szCs w:val="21"/>
        </w:rPr>
      </w:pPr>
      <w:r>
        <w:rPr>
          <w:rFonts w:hint="eastAsia" w:hAnsi="宋体" w:cs="宋体"/>
          <w:color w:val="auto"/>
          <w:kern w:val="2"/>
          <w:sz w:val="21"/>
          <w:szCs w:val="21"/>
        </w:rPr>
        <w:t>3、采购文件、中标投标人的投标文件及评标过程中有关的澄清文件均应作为合同签订的附件。</w:t>
      </w:r>
    </w:p>
    <w:p>
      <w:pPr>
        <w:pStyle w:val="21"/>
        <w:snapToGrid w:val="0"/>
        <w:spacing w:beforeLines="0" w:afterLines="0" w:line="440" w:lineRule="exact"/>
        <w:ind w:firstLine="411" w:firstLineChars="196"/>
        <w:rPr>
          <w:rFonts w:hAnsi="宋体" w:cs="宋体"/>
          <w:color w:val="auto"/>
          <w:kern w:val="2"/>
          <w:sz w:val="21"/>
          <w:szCs w:val="21"/>
        </w:rPr>
      </w:pPr>
      <w:r>
        <w:rPr>
          <w:rFonts w:hint="eastAsia" w:hAnsi="宋体" w:cs="宋体"/>
          <w:color w:val="auto"/>
          <w:kern w:val="2"/>
          <w:sz w:val="21"/>
          <w:szCs w:val="21"/>
        </w:rPr>
        <w:t>4、中标或者成交投标人拒绝与采购人签订合同的，采购人可以选择排名第四的候选投标人作为成交投标人并签订政府采购合同，也可以重新开展采购活动。排名第四的候选投标人拒绝签订政府采购合同的，采购人可以选择排名第五的候选投标人作为成交投标人并签订政府采购合同，也可以重新开展采购活动。拒绝签订政府采购合同的成交投标人不得参加对该项目重新开展的采购活动。</w:t>
      </w:r>
    </w:p>
    <w:p>
      <w:pPr>
        <w:snapToGrid w:val="0"/>
        <w:spacing w:line="440" w:lineRule="exact"/>
        <w:ind w:firstLine="420" w:firstLineChars="200"/>
        <w:jc w:val="left"/>
        <w:rPr>
          <w:rFonts w:ascii="宋体" w:hAnsi="宋体" w:cs="宋体"/>
          <w:color w:val="auto"/>
          <w:szCs w:val="21"/>
        </w:rPr>
      </w:pPr>
      <w:r>
        <w:rPr>
          <w:rFonts w:hint="eastAsia" w:ascii="宋体" w:hAnsi="宋体" w:cs="宋体"/>
          <w:color w:val="auto"/>
          <w:szCs w:val="21"/>
        </w:rPr>
        <w:t>5、中标人如不遵守采购文件或投标文件各项条款的邀约与要约，或在接到中标通知书后借故拖延，拒签合同的，采购人将按《浙江省政府采购投标人注册及诚信管理暂行办法》的规定上报诚信状况。给采购人造成的损失的还应当予以赔偿。</w:t>
      </w:r>
    </w:p>
    <w:p>
      <w:pPr>
        <w:snapToGrid w:val="0"/>
        <w:spacing w:line="440" w:lineRule="exact"/>
        <w:ind w:firstLine="413" w:firstLineChars="196"/>
        <w:rPr>
          <w:rFonts w:ascii="宋体" w:hAnsi="宋体" w:cs="宋体"/>
          <w:b/>
          <w:color w:val="auto"/>
          <w:szCs w:val="21"/>
        </w:rPr>
      </w:pPr>
      <w:r>
        <w:rPr>
          <w:rFonts w:hint="eastAsia" w:ascii="宋体" w:hAnsi="宋体" w:cs="宋体"/>
          <w:b/>
          <w:bCs/>
          <w:color w:val="auto"/>
          <w:szCs w:val="21"/>
        </w:rPr>
        <w:t>十、履约验收</w:t>
      </w:r>
      <w:r>
        <w:rPr>
          <w:rFonts w:hint="eastAsia" w:ascii="宋体" w:hAnsi="宋体" w:cs="宋体"/>
          <w:b/>
          <w:color w:val="auto"/>
          <w:szCs w:val="21"/>
        </w:rPr>
        <w:t>：</w:t>
      </w:r>
    </w:p>
    <w:p>
      <w:pPr>
        <w:pStyle w:val="11"/>
        <w:spacing w:line="440" w:lineRule="exact"/>
        <w:ind w:firstLineChars="200"/>
        <w:rPr>
          <w:rFonts w:ascii="宋体" w:hAnsi="宋体" w:cs="宋体"/>
          <w:color w:val="auto"/>
          <w:szCs w:val="21"/>
        </w:rPr>
      </w:pPr>
      <w:r>
        <w:rPr>
          <w:rFonts w:hint="eastAsia" w:ascii="宋体" w:hAnsi="宋体" w:cs="宋体"/>
          <w:color w:val="auto"/>
          <w:szCs w:val="21"/>
        </w:rPr>
        <w:t>采购人负责对中标人的履约行为进行验收。政府向社会公众提供的公共服务项目，验收时应当邀请服务对象参与并出具意见，验收结果应当向社会公告。</w:t>
      </w:r>
    </w:p>
    <w:p>
      <w:pPr>
        <w:pStyle w:val="4"/>
        <w:spacing w:before="0" w:after="0" w:line="360" w:lineRule="auto"/>
        <w:jc w:val="center"/>
        <w:rPr>
          <w:ins w:id="3" w:author="Mawzh" w:date="2023-06-27T13:09:00Z"/>
          <w:rFonts w:ascii="宋体" w:hAnsi="宋体" w:cs="宋体"/>
          <w:color w:val="auto"/>
          <w:sz w:val="30"/>
        </w:rPr>
      </w:pPr>
      <w:r>
        <w:rPr>
          <w:rFonts w:hint="eastAsia" w:ascii="宋体" w:hAnsi="宋体" w:cs="宋体"/>
          <w:b w:val="0"/>
          <w:color w:val="auto"/>
          <w:sz w:val="24"/>
          <w:szCs w:val="21"/>
        </w:rPr>
        <w:br w:type="page"/>
      </w:r>
      <w:bookmarkStart w:id="280" w:name="_Toc3258"/>
      <w:bookmarkStart w:id="281" w:name="_Toc545"/>
      <w:bookmarkStart w:id="282" w:name="_Toc24585"/>
      <w:bookmarkStart w:id="283" w:name="_Toc26178"/>
      <w:bookmarkStart w:id="284" w:name="_Toc68086648"/>
      <w:bookmarkStart w:id="285" w:name="_Toc22500"/>
      <w:bookmarkStart w:id="286" w:name="_Toc21628"/>
      <w:r>
        <w:rPr>
          <w:rFonts w:hint="eastAsia" w:ascii="宋体" w:hAnsi="宋体" w:cs="宋体"/>
          <w:color w:val="auto"/>
          <w:sz w:val="30"/>
        </w:rPr>
        <w:t>第五章  采购合同主要条款</w:t>
      </w:r>
      <w:bookmarkEnd w:id="280"/>
      <w:bookmarkEnd w:id="281"/>
      <w:bookmarkEnd w:id="282"/>
      <w:bookmarkEnd w:id="283"/>
      <w:bookmarkEnd w:id="284"/>
      <w:bookmarkEnd w:id="285"/>
      <w:r>
        <w:rPr>
          <w:rFonts w:hint="eastAsia" w:ascii="宋体" w:hAnsi="宋体" w:cs="宋体"/>
          <w:color w:val="auto"/>
          <w:sz w:val="30"/>
        </w:rPr>
        <w:t>（样本）</w:t>
      </w:r>
      <w:bookmarkEnd w:id="286"/>
    </w:p>
    <w:p>
      <w:pPr>
        <w:spacing w:line="360" w:lineRule="auto"/>
        <w:jc w:val="center"/>
        <w:rPr>
          <w:rFonts w:hint="eastAsia" w:ascii="宋体" w:hAnsi="宋体" w:cs="宋体"/>
          <w:color w:val="auto"/>
          <w:szCs w:val="21"/>
        </w:rPr>
      </w:pPr>
      <w:r>
        <w:rPr>
          <w:rFonts w:hint="eastAsia" w:ascii="宋体" w:hAnsi="宋体" w:cs="宋体"/>
          <w:color w:val="auto"/>
          <w:sz w:val="21"/>
          <w:szCs w:val="21"/>
        </w:rPr>
        <w:t>（合同可根据实际需要做调整）</w:t>
      </w:r>
    </w:p>
    <w:p>
      <w:pPr>
        <w:spacing w:line="360" w:lineRule="auto"/>
        <w:rPr>
          <w:rFonts w:ascii="宋体" w:hAnsi="宋体" w:cs="宋体"/>
          <w:color w:val="auto"/>
          <w:szCs w:val="21"/>
        </w:rPr>
      </w:pPr>
      <w:r>
        <w:rPr>
          <w:rFonts w:hint="eastAsia" w:ascii="宋体" w:hAnsi="宋体" w:cs="宋体"/>
          <w:color w:val="auto"/>
          <w:szCs w:val="21"/>
        </w:rPr>
        <w:t>采购人（以下称甲方）：</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360" w:lineRule="auto"/>
        <w:rPr>
          <w:rFonts w:ascii="宋体" w:hAnsi="宋体" w:cs="宋体"/>
          <w:color w:val="auto"/>
          <w:szCs w:val="21"/>
        </w:rPr>
      </w:pPr>
      <w:r>
        <w:rPr>
          <w:rFonts w:hint="eastAsia" w:ascii="宋体" w:hAnsi="宋体" w:cs="宋体"/>
          <w:color w:val="auto"/>
          <w:szCs w:val="21"/>
        </w:rPr>
        <w:t>中标人（以下称乙方）：</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360" w:lineRule="auto"/>
        <w:ind w:firstLine="420" w:firstLineChars="200"/>
        <w:rPr>
          <w:rFonts w:ascii="宋体" w:hAnsi="宋体" w:cs="宋体"/>
          <w:color w:val="auto"/>
          <w:szCs w:val="21"/>
          <w:lang w:val="zh-CN"/>
        </w:rPr>
      </w:pPr>
      <w:r>
        <w:rPr>
          <w:rFonts w:hint="eastAsia" w:ascii="宋体" w:hAnsi="宋体" w:cs="宋体"/>
          <w:color w:val="auto"/>
          <w:szCs w:val="21"/>
        </w:rPr>
        <w:t>根据</w:t>
      </w:r>
      <w:r>
        <w:rPr>
          <w:rFonts w:hint="eastAsia" w:ascii="宋体" w:hAnsi="宋体" w:cs="宋体"/>
          <w:color w:val="auto"/>
          <w:szCs w:val="21"/>
          <w:u w:val="single"/>
        </w:rPr>
        <w:t xml:space="preserve">         （项目名称） </w:t>
      </w:r>
      <w:r>
        <w:rPr>
          <w:rFonts w:hint="eastAsia" w:ascii="宋体" w:hAnsi="宋体" w:cs="宋体"/>
          <w:color w:val="auto"/>
          <w:szCs w:val="21"/>
        </w:rPr>
        <w:t>公开招标采购文件（项目编号：</w:t>
      </w:r>
      <w:r>
        <w:rPr>
          <w:rFonts w:hint="eastAsia" w:ascii="宋体" w:hAnsi="宋体" w:cs="宋体"/>
          <w:color w:val="auto"/>
          <w:szCs w:val="21"/>
          <w:u w:val="single"/>
        </w:rPr>
        <w:t xml:space="preserve">      </w:t>
      </w:r>
      <w:r>
        <w:rPr>
          <w:rFonts w:hint="eastAsia" w:ascii="宋体" w:hAnsi="宋体" w:cs="宋体"/>
          <w:color w:val="auto"/>
          <w:szCs w:val="21"/>
        </w:rPr>
        <w:t>），在</w:t>
      </w:r>
      <w:r>
        <w:rPr>
          <w:rFonts w:hint="eastAsia" w:ascii="宋体" w:hAnsi="宋体" w:cs="宋体"/>
          <w:color w:val="auto"/>
          <w:szCs w:val="21"/>
          <w:u w:val="single"/>
          <w:lang w:val="zh-CN"/>
        </w:rPr>
        <w:t xml:space="preserve">      </w:t>
      </w:r>
      <w:r>
        <w:rPr>
          <w:rFonts w:hint="eastAsia" w:ascii="宋体" w:hAnsi="宋体" w:cs="宋体"/>
          <w:color w:val="auto"/>
          <w:szCs w:val="21"/>
          <w:lang w:val="zh-CN"/>
        </w:rPr>
        <w:t>年</w:t>
      </w:r>
      <w:r>
        <w:rPr>
          <w:rFonts w:hint="eastAsia" w:ascii="宋体" w:hAnsi="宋体" w:cs="宋体"/>
          <w:color w:val="auto"/>
          <w:szCs w:val="21"/>
          <w:u w:val="single"/>
          <w:lang w:val="zh-CN"/>
        </w:rPr>
        <w:t xml:space="preserve">    </w:t>
      </w:r>
      <w:r>
        <w:rPr>
          <w:rFonts w:hint="eastAsia" w:ascii="宋体" w:hAnsi="宋体" w:cs="宋体"/>
          <w:color w:val="auto"/>
          <w:szCs w:val="21"/>
          <w:lang w:val="zh-CN"/>
        </w:rPr>
        <w:t>月</w:t>
      </w:r>
      <w:r>
        <w:rPr>
          <w:rFonts w:hint="eastAsia" w:ascii="宋体" w:hAnsi="宋体" w:cs="宋体"/>
          <w:color w:val="auto"/>
          <w:szCs w:val="21"/>
          <w:u w:val="single"/>
          <w:lang w:val="zh-CN"/>
        </w:rPr>
        <w:t xml:space="preserve">    </w:t>
      </w:r>
      <w:r>
        <w:rPr>
          <w:rFonts w:hint="eastAsia" w:ascii="宋体" w:hAnsi="宋体" w:cs="宋体"/>
          <w:color w:val="auto"/>
          <w:szCs w:val="21"/>
          <w:lang w:val="zh-CN"/>
        </w:rPr>
        <w:t>日</w:t>
      </w:r>
      <w:r>
        <w:rPr>
          <w:rFonts w:hint="eastAsia" w:ascii="宋体" w:hAnsi="宋体" w:cs="宋体"/>
          <w:color w:val="auto"/>
          <w:szCs w:val="21"/>
        </w:rPr>
        <w:t xml:space="preserve">， </w:t>
      </w:r>
      <w:r>
        <w:rPr>
          <w:rFonts w:hint="eastAsia" w:ascii="宋体" w:hAnsi="宋体" w:cs="宋体"/>
          <w:color w:val="auto"/>
          <w:szCs w:val="21"/>
          <w:u w:val="single"/>
        </w:rPr>
        <w:t>（采购人名称）</w:t>
      </w:r>
      <w:r>
        <w:rPr>
          <w:rFonts w:hint="eastAsia" w:ascii="宋体" w:hAnsi="宋体" w:cs="宋体"/>
          <w:color w:val="auto"/>
          <w:szCs w:val="21"/>
        </w:rPr>
        <w:t>对该项目进行了公开招标采购，经评审委员会评定</w:t>
      </w:r>
      <w:r>
        <w:rPr>
          <w:rFonts w:hint="eastAsia" w:ascii="宋体" w:hAnsi="宋体" w:cs="宋体"/>
          <w:color w:val="auto"/>
          <w:szCs w:val="21"/>
          <w:u w:val="single"/>
        </w:rPr>
        <w:t xml:space="preserve"> (乙方)</w:t>
      </w:r>
      <w:r>
        <w:rPr>
          <w:rFonts w:hint="eastAsia" w:ascii="宋体" w:hAnsi="宋体" w:cs="宋体"/>
          <w:color w:val="auto"/>
          <w:szCs w:val="21"/>
        </w:rPr>
        <w:t>为中标人。甲、乙双方依据《中华人民共和国政府采购法》、《中华人民共和国民法典》等相关法律法规和采购文件的要求，在平等自愿的基础上，同意按照下面的条款和条件，签署本合同。</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合同文件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下列文件构成本合同的组成部分，应该认为是一个整体，彼此相互解释，相互补充。组成合同的多个文件的优先支配地位的次序如下：</w:t>
      </w:r>
    </w:p>
    <w:p>
      <w:pPr>
        <w:spacing w:line="360" w:lineRule="auto"/>
        <w:rPr>
          <w:rFonts w:ascii="宋体" w:hAnsi="宋体" w:cs="宋体"/>
          <w:color w:val="auto"/>
          <w:szCs w:val="21"/>
        </w:rPr>
      </w:pPr>
      <w:r>
        <w:rPr>
          <w:rFonts w:hint="eastAsia" w:ascii="宋体" w:hAnsi="宋体" w:cs="宋体"/>
          <w:color w:val="auto"/>
          <w:szCs w:val="21"/>
        </w:rPr>
        <w:t>a.本合同书　</w:t>
      </w:r>
    </w:p>
    <w:p>
      <w:pPr>
        <w:spacing w:line="360" w:lineRule="auto"/>
        <w:rPr>
          <w:rFonts w:ascii="宋体" w:hAnsi="宋体" w:cs="宋体"/>
          <w:color w:val="auto"/>
          <w:szCs w:val="21"/>
        </w:rPr>
      </w:pPr>
      <w:r>
        <w:rPr>
          <w:rFonts w:hint="eastAsia" w:ascii="宋体" w:hAnsi="宋体" w:cs="宋体"/>
          <w:color w:val="auto"/>
          <w:szCs w:val="21"/>
        </w:rPr>
        <w:t>b.中标通知书</w:t>
      </w:r>
      <w:r>
        <w:rPr>
          <w:rFonts w:hint="eastAsia" w:ascii="宋体" w:hAnsi="宋体" w:cs="宋体"/>
          <w:color w:val="auto"/>
          <w:szCs w:val="21"/>
        </w:rPr>
        <w:tab/>
      </w:r>
    </w:p>
    <w:p>
      <w:pPr>
        <w:spacing w:line="360" w:lineRule="auto"/>
        <w:rPr>
          <w:rFonts w:ascii="宋体" w:hAnsi="宋体" w:cs="宋体"/>
          <w:color w:val="auto"/>
          <w:szCs w:val="21"/>
        </w:rPr>
      </w:pPr>
      <w:r>
        <w:rPr>
          <w:rFonts w:hint="eastAsia" w:ascii="宋体" w:hAnsi="宋体" w:cs="宋体"/>
          <w:color w:val="auto"/>
          <w:szCs w:val="21"/>
        </w:rPr>
        <w:t xml:space="preserve">c.中标人响应文件 (含澄清内容) </w:t>
      </w:r>
    </w:p>
    <w:p>
      <w:pPr>
        <w:spacing w:line="360" w:lineRule="auto"/>
        <w:rPr>
          <w:rFonts w:ascii="宋体" w:hAnsi="宋体" w:cs="宋体"/>
          <w:color w:val="auto"/>
          <w:szCs w:val="21"/>
        </w:rPr>
      </w:pPr>
      <w:r>
        <w:rPr>
          <w:rFonts w:hint="eastAsia" w:ascii="宋体" w:hAnsi="宋体" w:cs="宋体"/>
          <w:color w:val="auto"/>
          <w:szCs w:val="21"/>
        </w:rPr>
        <w:t>d.变更补充文件</w:t>
      </w:r>
    </w:p>
    <w:p>
      <w:pPr>
        <w:spacing w:line="360" w:lineRule="auto"/>
        <w:rPr>
          <w:rFonts w:ascii="宋体" w:hAnsi="宋体" w:cs="宋体"/>
          <w:color w:val="auto"/>
          <w:szCs w:val="21"/>
        </w:rPr>
      </w:pPr>
      <w:r>
        <w:rPr>
          <w:rFonts w:hint="eastAsia" w:ascii="宋体" w:hAnsi="宋体" w:cs="宋体"/>
          <w:color w:val="auto"/>
          <w:szCs w:val="21"/>
        </w:rPr>
        <w:t>e.招标文件(含澄清修改文件)</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乙方根据本合同的规定向甲方提供服务：</w:t>
      </w:r>
    </w:p>
    <w:p>
      <w:pPr>
        <w:spacing w:line="360" w:lineRule="auto"/>
        <w:ind w:firstLine="420" w:firstLineChars="200"/>
        <w:rPr>
          <w:rFonts w:ascii="宋体" w:hAnsi="宋体" w:cs="宋体"/>
          <w:color w:val="auto"/>
          <w:szCs w:val="21"/>
        </w:rPr>
      </w:pPr>
      <w:r>
        <w:rPr>
          <w:rFonts w:hint="eastAsia" w:ascii="宋体" w:hAnsi="宋体" w:cs="宋体"/>
          <w:color w:val="auto"/>
          <w:szCs w:val="21"/>
        </w:rPr>
        <w:t>乙方所提供的服务其来源应符合国家的有关规定，服务的内容、要求、服务质量等满足采购人需求。</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合同价格、服务地点和服务期限</w:t>
      </w:r>
    </w:p>
    <w:p>
      <w:pPr>
        <w:spacing w:line="360" w:lineRule="auto"/>
        <w:ind w:left="210" w:hanging="210" w:hangingChars="100"/>
        <w:rPr>
          <w:rFonts w:ascii="宋体" w:hAnsi="宋体" w:cs="宋体"/>
          <w:color w:val="auto"/>
          <w:szCs w:val="21"/>
        </w:rPr>
      </w:pPr>
      <w:r>
        <w:rPr>
          <w:rFonts w:hint="eastAsia" w:ascii="宋体" w:hAnsi="宋体" w:cs="宋体"/>
          <w:color w:val="auto"/>
          <w:szCs w:val="21"/>
        </w:rPr>
        <w:t>3.1合同价格：大写：人民币：</w:t>
      </w:r>
      <w:r>
        <w:rPr>
          <w:rFonts w:hint="eastAsia" w:ascii="宋体" w:hAnsi="宋体" w:cs="宋体"/>
          <w:color w:val="auto"/>
          <w:szCs w:val="21"/>
          <w:u w:val="single"/>
        </w:rPr>
        <w:t xml:space="preserve">       </w:t>
      </w:r>
      <w:r>
        <w:rPr>
          <w:rFonts w:hint="eastAsia" w:ascii="宋体" w:hAnsi="宋体" w:cs="宋体"/>
          <w:color w:val="auto"/>
          <w:szCs w:val="21"/>
        </w:rPr>
        <w:t>元，小写：</w:t>
      </w:r>
      <w:r>
        <w:rPr>
          <w:rFonts w:hint="eastAsia" w:ascii="宋体" w:hAnsi="宋体" w:cs="宋体"/>
          <w:color w:val="auto"/>
          <w:szCs w:val="21"/>
          <w:u w:val="single"/>
        </w:rPr>
        <w:t xml:space="preserve">       </w:t>
      </w:r>
      <w:r>
        <w:rPr>
          <w:rFonts w:hint="eastAsia" w:ascii="宋体" w:hAnsi="宋体" w:cs="宋体"/>
          <w:color w:val="auto"/>
          <w:szCs w:val="21"/>
        </w:rPr>
        <w:t>元。乙方为履行本合同而发生的所有费用均应包含在合同价中，甲方不再另行支付其它任何费用。</w:t>
      </w:r>
    </w:p>
    <w:p>
      <w:pPr>
        <w:spacing w:line="360" w:lineRule="auto"/>
        <w:rPr>
          <w:rFonts w:ascii="宋体" w:hAnsi="宋体" w:cs="宋体"/>
          <w:color w:val="auto"/>
          <w:szCs w:val="21"/>
        </w:rPr>
      </w:pPr>
      <w:r>
        <w:rPr>
          <w:rFonts w:hint="eastAsia" w:ascii="宋体" w:hAnsi="宋体" w:cs="宋体"/>
          <w:color w:val="auto"/>
          <w:szCs w:val="21"/>
        </w:rPr>
        <w:t>3.2服务地点：</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auto"/>
        <w:rPr>
          <w:rFonts w:ascii="宋体" w:hAnsi="宋体" w:cs="宋体"/>
          <w:color w:val="auto"/>
          <w:szCs w:val="21"/>
        </w:rPr>
      </w:pPr>
      <w:r>
        <w:rPr>
          <w:rFonts w:hint="eastAsia" w:ascii="宋体" w:hAnsi="宋体" w:cs="宋体"/>
          <w:color w:val="auto"/>
          <w:szCs w:val="21"/>
        </w:rPr>
        <w:t>3.3服务期限：</w:t>
      </w:r>
      <w:r>
        <w:rPr>
          <w:rFonts w:hint="eastAsia" w:ascii="宋体" w:hAnsi="宋体" w:cs="宋体"/>
          <w:color w:val="auto"/>
          <w:szCs w:val="21"/>
          <w:u w:val="single"/>
        </w:rPr>
        <w:t xml:space="preserve">                                  </w:t>
      </w:r>
      <w:r>
        <w:rPr>
          <w:rFonts w:hint="eastAsia" w:ascii="宋体" w:hAnsi="宋体" w:cs="宋体"/>
          <w:color w:val="auto"/>
          <w:szCs w:val="21"/>
        </w:rPr>
        <w:t>。</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质量标准和要求</w:t>
      </w:r>
    </w:p>
    <w:p>
      <w:pPr>
        <w:spacing w:line="360" w:lineRule="auto"/>
        <w:rPr>
          <w:rFonts w:ascii="宋体" w:hAnsi="宋体" w:cs="宋体"/>
          <w:color w:val="auto"/>
          <w:szCs w:val="21"/>
        </w:rPr>
      </w:pPr>
      <w:r>
        <w:rPr>
          <w:rFonts w:hint="eastAsia" w:ascii="宋体" w:hAnsi="宋体" w:cs="宋体"/>
          <w:color w:val="auto"/>
          <w:szCs w:val="21"/>
        </w:rPr>
        <w:t>4.1乙方所提供的服务的质量标准按照国家标准、行业标准确定，上述标准不一致的，以严格的标准为准。没有国家标准、行业标准和企业标准的，按照通常标准或者符合合同目的的特定标准确定。</w:t>
      </w:r>
    </w:p>
    <w:p>
      <w:pPr>
        <w:spacing w:line="360" w:lineRule="auto"/>
        <w:rPr>
          <w:rFonts w:ascii="宋体" w:hAnsi="宋体" w:cs="宋体"/>
          <w:color w:val="auto"/>
          <w:szCs w:val="21"/>
        </w:rPr>
      </w:pPr>
      <w:r>
        <w:rPr>
          <w:rFonts w:hint="eastAsia" w:ascii="宋体" w:hAnsi="宋体" w:cs="宋体"/>
          <w:color w:val="auto"/>
          <w:szCs w:val="21"/>
        </w:rPr>
        <w:t>4.2乙方所交付的服务还应符合国家和宁波市有关安全、环保、卫生之规定。</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权利瑕疵担保</w:t>
      </w:r>
    </w:p>
    <w:p>
      <w:pPr>
        <w:spacing w:line="360" w:lineRule="auto"/>
        <w:rPr>
          <w:rFonts w:ascii="宋体" w:hAnsi="宋体" w:cs="宋体"/>
          <w:color w:val="auto"/>
          <w:szCs w:val="21"/>
        </w:rPr>
      </w:pPr>
      <w:r>
        <w:rPr>
          <w:rFonts w:hint="eastAsia" w:ascii="宋体" w:hAnsi="宋体" w:cs="宋体"/>
          <w:color w:val="auto"/>
          <w:szCs w:val="21"/>
        </w:rPr>
        <w:t>5.1乙方保证对其交付的服务享有合法的权利。</w:t>
      </w:r>
    </w:p>
    <w:p>
      <w:pPr>
        <w:spacing w:line="360" w:lineRule="auto"/>
        <w:rPr>
          <w:rFonts w:ascii="宋体" w:hAnsi="宋体" w:cs="宋体"/>
          <w:color w:val="auto"/>
          <w:szCs w:val="21"/>
        </w:rPr>
      </w:pPr>
      <w:r>
        <w:rPr>
          <w:rFonts w:hint="eastAsia" w:ascii="宋体" w:hAnsi="宋体" w:cs="宋体"/>
          <w:color w:val="auto"/>
          <w:szCs w:val="21"/>
        </w:rPr>
        <w:t>5.2乙方保证在服务上不存在任何未曾向甲方透露的担保物权，如抵押权、质押权、留置权等。</w:t>
      </w:r>
    </w:p>
    <w:p>
      <w:pPr>
        <w:spacing w:line="360" w:lineRule="auto"/>
        <w:rPr>
          <w:rFonts w:ascii="宋体" w:hAnsi="宋体" w:cs="宋体"/>
          <w:color w:val="auto"/>
          <w:szCs w:val="21"/>
        </w:rPr>
      </w:pPr>
      <w:r>
        <w:rPr>
          <w:rFonts w:hint="eastAsia" w:ascii="宋体" w:hAnsi="宋体" w:cs="宋体"/>
          <w:color w:val="auto"/>
          <w:szCs w:val="21"/>
        </w:rPr>
        <w:t>5.3乙方保证其所交付的服务没有侵犯任何第三人的知识产权和商业秘密等权利。</w:t>
      </w:r>
    </w:p>
    <w:p>
      <w:pPr>
        <w:spacing w:line="360" w:lineRule="auto"/>
        <w:rPr>
          <w:rFonts w:ascii="宋体" w:hAnsi="宋体" w:cs="宋体"/>
          <w:color w:val="auto"/>
          <w:szCs w:val="21"/>
        </w:rPr>
      </w:pPr>
      <w:r>
        <w:rPr>
          <w:rFonts w:hint="eastAsia" w:ascii="宋体" w:hAnsi="宋体" w:cs="宋体"/>
          <w:color w:val="auto"/>
          <w:szCs w:val="21"/>
        </w:rPr>
        <w:t>5.4如甲方使用该服务构成上述侵权的，则由乙方承担全部责任。</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验收</w:t>
      </w:r>
    </w:p>
    <w:p>
      <w:pPr>
        <w:spacing w:line="360" w:lineRule="auto"/>
        <w:rPr>
          <w:rFonts w:ascii="宋体" w:hAnsi="宋体" w:cs="宋体"/>
          <w:color w:val="auto"/>
          <w:szCs w:val="21"/>
        </w:rPr>
      </w:pPr>
      <w:r>
        <w:rPr>
          <w:rFonts w:hint="eastAsia" w:ascii="宋体" w:hAnsi="宋体" w:cs="宋体"/>
          <w:color w:val="auto"/>
          <w:szCs w:val="21"/>
        </w:rPr>
        <w:t>6.1服务根据合同的规定完成后，甲方应及时进行根据合同的规定进行服务验收。乙方应当以书面形式向甲方递交验收通知书，甲方在收到验收通知书后的 10 个工作日内，确定具体日期，由双方按照本合同的规定完成服务验收。甲方有权委托第三方机构进行验收，对此乙方应当配合。</w:t>
      </w:r>
    </w:p>
    <w:p>
      <w:pPr>
        <w:spacing w:line="360" w:lineRule="auto"/>
        <w:rPr>
          <w:rFonts w:ascii="宋体" w:hAnsi="宋体" w:cs="宋体"/>
          <w:color w:val="auto"/>
          <w:szCs w:val="21"/>
        </w:rPr>
      </w:pPr>
      <w:r>
        <w:rPr>
          <w:rFonts w:hint="eastAsia" w:ascii="宋体" w:hAnsi="宋体" w:cs="宋体"/>
          <w:color w:val="auto"/>
          <w:szCs w:val="21"/>
        </w:rPr>
        <w:t>6.2如果属于乙方原因致使项目未能通过验收，乙方应当排除故障，并自行承担相关费用，直至服务完全符合验收标准。</w:t>
      </w:r>
    </w:p>
    <w:p>
      <w:pPr>
        <w:spacing w:line="360" w:lineRule="auto"/>
        <w:rPr>
          <w:rFonts w:ascii="宋体" w:hAnsi="宋体" w:cs="宋体"/>
          <w:color w:val="auto"/>
          <w:szCs w:val="21"/>
        </w:rPr>
      </w:pPr>
      <w:r>
        <w:rPr>
          <w:rFonts w:hint="eastAsia" w:ascii="宋体" w:hAnsi="宋体" w:cs="宋体"/>
          <w:color w:val="auto"/>
          <w:szCs w:val="21"/>
        </w:rPr>
        <w:t>6.3甲方根据合同的规定对服务验收合格后，甲方收取发票并签署验收意见。</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保密</w:t>
      </w:r>
    </w:p>
    <w:p>
      <w:pPr>
        <w:spacing w:line="360" w:lineRule="auto"/>
        <w:rPr>
          <w:rFonts w:ascii="宋体" w:hAnsi="宋体" w:cs="宋体"/>
          <w:color w:val="auto"/>
          <w:szCs w:val="21"/>
        </w:rPr>
      </w:pPr>
      <w:r>
        <w:rPr>
          <w:rFonts w:hint="eastAsia" w:ascii="宋体" w:hAnsi="宋体" w:cs="宋体"/>
          <w:color w:val="auto"/>
          <w:szCs w:val="21"/>
        </w:rPr>
        <w:t>如果甲方或乙方提供的内容属于保密的，应签订保密协议，甲乙双方均有保密义务。</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付款</w:t>
      </w:r>
    </w:p>
    <w:p>
      <w:pPr>
        <w:spacing w:line="360" w:lineRule="auto"/>
        <w:rPr>
          <w:rFonts w:ascii="宋体" w:hAnsi="宋体" w:cs="宋体"/>
          <w:color w:val="auto"/>
          <w:szCs w:val="21"/>
        </w:rPr>
      </w:pPr>
      <w:r>
        <w:rPr>
          <w:rFonts w:hint="eastAsia" w:ascii="宋体" w:hAnsi="宋体" w:cs="宋体"/>
          <w:color w:val="auto"/>
          <w:szCs w:val="21"/>
        </w:rPr>
        <w:t>甲方在收到乙方出具的合法票据后7个工作日内支付合同价40%；项目验收合格后，甲方在收到乙方出具的合法票据后7个工作日支付剩余款项。</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甲方的权利义务</w:t>
      </w:r>
    </w:p>
    <w:p>
      <w:pPr>
        <w:spacing w:line="360" w:lineRule="auto"/>
        <w:rPr>
          <w:rFonts w:ascii="宋体" w:hAnsi="宋体" w:cs="宋体"/>
          <w:color w:val="auto"/>
          <w:szCs w:val="21"/>
        </w:rPr>
      </w:pPr>
      <w:r>
        <w:rPr>
          <w:rFonts w:hint="eastAsia" w:ascii="宋体" w:hAnsi="宋体" w:cs="宋体"/>
          <w:color w:val="auto"/>
          <w:szCs w:val="21"/>
        </w:rPr>
        <w:t>9.1甲方有权在合同规定的范围内享受，对没有达到合同规定的服务质量或标准的服务事项，甲方有权要求乙方在规定的时间内加急提供服务，直至符合要求为止。</w:t>
      </w:r>
    </w:p>
    <w:p>
      <w:pPr>
        <w:spacing w:line="360" w:lineRule="auto"/>
        <w:rPr>
          <w:rFonts w:ascii="宋体" w:hAnsi="宋体" w:cs="宋体"/>
          <w:color w:val="auto"/>
          <w:szCs w:val="21"/>
        </w:rPr>
      </w:pPr>
      <w:r>
        <w:rPr>
          <w:rFonts w:hint="eastAsia" w:ascii="宋体" w:hAnsi="宋体" w:cs="宋体"/>
          <w:color w:val="auto"/>
          <w:szCs w:val="21"/>
        </w:rPr>
        <w:t>9.2如果乙方无法完成合同规定的服务内容、或者服务无法达到合同规定的服务质量或标准的，甲方有权邀请第三方提供服务，其支付的服务费用由乙方承担；如果乙方不支付，甲方有权在支付乙方合同款项时扣除其相等的金额。</w:t>
      </w:r>
    </w:p>
    <w:p>
      <w:pPr>
        <w:spacing w:line="360" w:lineRule="auto"/>
        <w:rPr>
          <w:rFonts w:ascii="宋体" w:hAnsi="宋体" w:cs="宋体"/>
          <w:color w:val="auto"/>
          <w:szCs w:val="21"/>
        </w:rPr>
      </w:pPr>
      <w:r>
        <w:rPr>
          <w:rFonts w:hint="eastAsia" w:ascii="宋体" w:hAnsi="宋体" w:cs="宋体"/>
          <w:color w:val="auto"/>
          <w:szCs w:val="21"/>
        </w:rPr>
        <w:t>9.3由于乙方服务质量或延误服务的原因，使甲方造成经济损失的，甲方有权要求乙方进行经济赔偿。</w:t>
      </w:r>
    </w:p>
    <w:p>
      <w:pPr>
        <w:spacing w:line="360" w:lineRule="auto"/>
        <w:rPr>
          <w:rFonts w:ascii="宋体" w:hAnsi="宋体" w:cs="宋体"/>
          <w:color w:val="auto"/>
          <w:szCs w:val="21"/>
        </w:rPr>
      </w:pPr>
      <w:r>
        <w:rPr>
          <w:rFonts w:hint="eastAsia" w:ascii="宋体" w:hAnsi="宋体" w:cs="宋体"/>
          <w:color w:val="auto"/>
          <w:szCs w:val="21"/>
        </w:rPr>
        <w:t>甲方在合同规定的服务期限内有义务为乙方创造服务工作便利，并提供适合的工作环境，协助乙方完成服务工作。</w:t>
      </w:r>
    </w:p>
    <w:p>
      <w:pPr>
        <w:spacing w:line="360" w:lineRule="auto"/>
        <w:rPr>
          <w:rFonts w:ascii="宋体" w:hAnsi="宋体" w:cs="宋体"/>
          <w:color w:val="auto"/>
          <w:szCs w:val="21"/>
        </w:rPr>
      </w:pPr>
      <w:r>
        <w:rPr>
          <w:rFonts w:hint="eastAsia" w:ascii="宋体" w:hAnsi="宋体" w:cs="宋体"/>
          <w:color w:val="auto"/>
          <w:szCs w:val="21"/>
        </w:rPr>
        <w:t>9.4如果甲方因工作需要对原有内容进行调整，应有义务并通过有效的方式及时通知乙方涉及合同服务范围调整的，应与乙方协商解决。</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乙方的权利与义务</w:t>
      </w:r>
    </w:p>
    <w:p>
      <w:pPr>
        <w:spacing w:line="360" w:lineRule="auto"/>
        <w:rPr>
          <w:rFonts w:ascii="宋体" w:hAnsi="宋体" w:cs="宋体"/>
          <w:color w:val="auto"/>
          <w:szCs w:val="21"/>
        </w:rPr>
      </w:pPr>
      <w:r>
        <w:rPr>
          <w:rFonts w:hint="eastAsia" w:ascii="宋体" w:hAnsi="宋体" w:cs="宋体"/>
          <w:color w:val="auto"/>
          <w:szCs w:val="21"/>
        </w:rPr>
        <w:t>10.1乙方根据合同的服务内容和要求及时提供相应的服务，如果甲方在合同服务范围外增加或扩大服务内容的，乙方有权要求甲方支付其相应的费用。</w:t>
      </w:r>
    </w:p>
    <w:p>
      <w:pPr>
        <w:spacing w:line="360" w:lineRule="auto"/>
        <w:rPr>
          <w:rFonts w:ascii="宋体" w:hAnsi="宋体" w:cs="宋体"/>
          <w:color w:val="auto"/>
          <w:szCs w:val="21"/>
        </w:rPr>
      </w:pPr>
      <w:r>
        <w:rPr>
          <w:rFonts w:hint="eastAsia" w:ascii="宋体" w:hAnsi="宋体" w:cs="宋体"/>
          <w:color w:val="auto"/>
          <w:szCs w:val="21"/>
        </w:rPr>
        <w:t>10.2乙方为了更好地进行服务，满足甲方对服务质量的要求，有权利要求甲方提供合适的工作环境和便利。</w:t>
      </w:r>
    </w:p>
    <w:p>
      <w:pPr>
        <w:spacing w:line="360" w:lineRule="auto"/>
        <w:rPr>
          <w:rFonts w:ascii="宋体" w:hAnsi="宋体" w:cs="宋体"/>
          <w:color w:val="auto"/>
          <w:szCs w:val="21"/>
        </w:rPr>
      </w:pPr>
      <w:r>
        <w:rPr>
          <w:rFonts w:hint="eastAsia" w:ascii="宋体" w:hAnsi="宋体" w:cs="宋体"/>
          <w:color w:val="auto"/>
          <w:szCs w:val="21"/>
        </w:rPr>
        <w:t>10.3如果由于甲方的责任而造成服务延误或不能达到服务质量的，乙方不承担违约责任。</w:t>
      </w:r>
    </w:p>
    <w:p>
      <w:pPr>
        <w:spacing w:line="360" w:lineRule="auto"/>
        <w:rPr>
          <w:rFonts w:ascii="宋体" w:hAnsi="宋体" w:cs="宋体"/>
          <w:color w:val="auto"/>
          <w:szCs w:val="21"/>
        </w:rPr>
      </w:pPr>
      <w:r>
        <w:rPr>
          <w:rFonts w:hint="eastAsia" w:ascii="宋体" w:hAnsi="宋体" w:cs="宋体"/>
          <w:color w:val="auto"/>
          <w:szCs w:val="21"/>
        </w:rPr>
        <w:t>10.4如果乙方确实需要第三方合作才能完成合同规定的服务内容和服务质量的，应事先征得甲方的同意，并由乙方承担第三方提供服务的费用。</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履约延误</w:t>
      </w:r>
    </w:p>
    <w:p>
      <w:pPr>
        <w:spacing w:line="360" w:lineRule="auto"/>
        <w:rPr>
          <w:rFonts w:ascii="宋体" w:hAnsi="宋体" w:cs="宋体"/>
          <w:color w:val="auto"/>
          <w:szCs w:val="21"/>
        </w:rPr>
      </w:pPr>
      <w:r>
        <w:rPr>
          <w:rFonts w:hint="eastAsia" w:ascii="宋体" w:hAnsi="宋体" w:cs="宋体"/>
          <w:color w:val="auto"/>
          <w:szCs w:val="21"/>
        </w:rPr>
        <w:t>11.1乙方应按照合同规定的时间、地点提供服务。</w:t>
      </w:r>
    </w:p>
    <w:p>
      <w:pPr>
        <w:spacing w:line="360" w:lineRule="auto"/>
        <w:rPr>
          <w:rFonts w:ascii="宋体" w:hAnsi="宋体" w:cs="宋体"/>
          <w:color w:val="auto"/>
          <w:szCs w:val="21"/>
        </w:rPr>
      </w:pPr>
      <w:r>
        <w:rPr>
          <w:rFonts w:hint="eastAsia" w:ascii="宋体" w:hAnsi="宋体" w:cs="宋体"/>
          <w:color w:val="auto"/>
          <w:szCs w:val="21"/>
        </w:rPr>
        <w:t>11.2如乙方无正当理由而拖延服务，甲方有权解除合同并追究乙方的违约责任。</w:t>
      </w:r>
    </w:p>
    <w:p>
      <w:pPr>
        <w:spacing w:line="360" w:lineRule="auto"/>
        <w:rPr>
          <w:rFonts w:ascii="宋体" w:hAnsi="宋体" w:cs="宋体"/>
          <w:color w:val="auto"/>
          <w:szCs w:val="21"/>
        </w:rPr>
      </w:pPr>
      <w:r>
        <w:rPr>
          <w:rFonts w:hint="eastAsia" w:ascii="宋体" w:hAnsi="宋体" w:cs="宋体"/>
          <w:color w:val="auto"/>
          <w:szCs w:val="21"/>
        </w:rPr>
        <w:t>11.3在履行合同过程中，如果乙方可能遇到妨碍按时提供服务的情况时，应及时以书面形式将拖延的事实、可能拖延的期限和理由通知甲方。甲方在收到乙方通知后，应尽快对情况进行评价，并确定是否同意延期提供服务。</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误期赔偿</w:t>
      </w:r>
    </w:p>
    <w:p>
      <w:pPr>
        <w:spacing w:line="360" w:lineRule="auto"/>
        <w:rPr>
          <w:rFonts w:ascii="宋体" w:hAnsi="宋体" w:cs="宋体"/>
          <w:color w:val="auto"/>
          <w:szCs w:val="21"/>
        </w:rPr>
      </w:pPr>
      <w:r>
        <w:rPr>
          <w:rFonts w:hint="eastAsia" w:ascii="宋体" w:hAnsi="宋体" w:cs="宋体"/>
          <w:color w:val="auto"/>
          <w:szCs w:val="21"/>
        </w:rPr>
        <w:t>12.1如果乙方没有按照合同规定的时间提供服务，甲方可以应付的合同款项中扣除误期赔偿费而不影响合同项下的其他补救方法，赔偿费按每（天）赔偿延期服务的服务费用的百分之零点五（0.5%）计收，直至提供服务为止。但误期赔偿费的最高限额不超过合同价的百分之五（5%）。（一周按七天计算，不足七天按一周计算。）一旦达到误期赔偿的最高限额，甲方可考虑终止合同。</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不可抗力</w:t>
      </w:r>
    </w:p>
    <w:p>
      <w:pPr>
        <w:spacing w:line="360" w:lineRule="auto"/>
        <w:rPr>
          <w:rFonts w:ascii="宋体" w:hAnsi="宋体" w:cs="宋体"/>
          <w:color w:val="auto"/>
          <w:szCs w:val="21"/>
        </w:rPr>
      </w:pPr>
      <w:r>
        <w:rPr>
          <w:rFonts w:hint="eastAsia" w:ascii="宋体" w:hAnsi="宋体" w:cs="宋体"/>
          <w:color w:val="auto"/>
          <w:szCs w:val="21"/>
        </w:rPr>
        <w:t>13.1如果合同各方因不可抗力而导致合同实施延误或不能履行合同义务的话，不应该承担误期赔偿或不能履行合同义务的责任。</w:t>
      </w:r>
    </w:p>
    <w:p>
      <w:pPr>
        <w:spacing w:line="360" w:lineRule="auto"/>
        <w:rPr>
          <w:rFonts w:ascii="宋体" w:hAnsi="宋体" w:cs="宋体"/>
          <w:color w:val="auto"/>
          <w:szCs w:val="21"/>
        </w:rPr>
      </w:pPr>
      <w:r>
        <w:rPr>
          <w:rFonts w:hint="eastAsia" w:ascii="宋体" w:hAnsi="宋体" w:cs="宋体"/>
          <w:color w:val="auto"/>
          <w:szCs w:val="21"/>
        </w:rPr>
        <w:t>13.2本条所述的“不可抗力”系指那些双方不可预见、不可避免、不可克服的事件，但不包括双方的违约或疏忽。这些事件包括但不限于：战争、严重火灾、洪水、台风、地震、国家政策的重大变化，以及双方商定的其他事件。</w:t>
      </w:r>
    </w:p>
    <w:p>
      <w:pPr>
        <w:spacing w:line="360" w:lineRule="auto"/>
        <w:rPr>
          <w:rFonts w:ascii="宋体" w:hAnsi="宋体" w:cs="宋体"/>
          <w:color w:val="auto"/>
          <w:szCs w:val="21"/>
        </w:rPr>
      </w:pPr>
      <w:r>
        <w:rPr>
          <w:rFonts w:hint="eastAsia" w:ascii="宋体" w:hAnsi="宋体" w:cs="宋体"/>
          <w:color w:val="auto"/>
          <w:szCs w:val="21"/>
        </w:rPr>
        <w:t>13.3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的协议。</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争议的解决</w:t>
      </w:r>
    </w:p>
    <w:p>
      <w:pPr>
        <w:spacing w:line="360" w:lineRule="auto"/>
        <w:rPr>
          <w:rFonts w:ascii="宋体" w:hAnsi="宋体" w:cs="宋体"/>
          <w:color w:val="auto"/>
          <w:szCs w:val="21"/>
        </w:rPr>
      </w:pPr>
      <w:r>
        <w:rPr>
          <w:rFonts w:hint="eastAsia" w:ascii="宋体" w:hAnsi="宋体" w:cs="宋体"/>
          <w:color w:val="auto"/>
          <w:szCs w:val="21"/>
        </w:rPr>
        <w:t>14.1因履行本合同引起的或与本合同有关的争议，甲、乙双方应首先通过友好协商解决，如果协商不能解决争议，则采取以下第14.1.2种方式解决争议：</w:t>
      </w:r>
    </w:p>
    <w:p>
      <w:pPr>
        <w:spacing w:line="360" w:lineRule="auto"/>
        <w:rPr>
          <w:rFonts w:ascii="宋体" w:hAnsi="宋体" w:cs="宋体"/>
          <w:color w:val="auto"/>
          <w:szCs w:val="21"/>
        </w:rPr>
      </w:pPr>
      <w:r>
        <w:rPr>
          <w:rFonts w:hint="eastAsia" w:ascii="宋体" w:hAnsi="宋体" w:cs="宋体"/>
          <w:color w:val="auto"/>
          <w:szCs w:val="21"/>
        </w:rPr>
        <w:t>14.1.1向甲方所在地有管辖权的人民法院提起诉讼；</w:t>
      </w:r>
    </w:p>
    <w:p>
      <w:pPr>
        <w:spacing w:line="360" w:lineRule="auto"/>
        <w:rPr>
          <w:rFonts w:ascii="宋体" w:hAnsi="宋体" w:cs="宋体"/>
          <w:color w:val="auto"/>
          <w:szCs w:val="21"/>
        </w:rPr>
      </w:pPr>
      <w:r>
        <w:rPr>
          <w:rFonts w:hint="eastAsia" w:ascii="宋体" w:hAnsi="宋体" w:cs="宋体"/>
          <w:color w:val="auto"/>
          <w:szCs w:val="21"/>
        </w:rPr>
        <w:t>14.1.2向宁波市仲裁委员会按其仲裁规则申请仲裁；</w:t>
      </w:r>
    </w:p>
    <w:p>
      <w:pPr>
        <w:spacing w:line="360" w:lineRule="auto"/>
        <w:rPr>
          <w:rFonts w:ascii="宋体" w:hAnsi="宋体" w:cs="宋体"/>
          <w:color w:val="auto"/>
          <w:szCs w:val="21"/>
        </w:rPr>
      </w:pPr>
      <w:r>
        <w:rPr>
          <w:rFonts w:hint="eastAsia" w:ascii="宋体" w:hAnsi="宋体" w:cs="宋体"/>
          <w:color w:val="auto"/>
          <w:szCs w:val="21"/>
        </w:rPr>
        <w:t>14.2在仲裁期间，本合同应继续履行。</w:t>
      </w:r>
    </w:p>
    <w:p>
      <w:pPr>
        <w:spacing w:line="360" w:lineRule="auto"/>
        <w:rPr>
          <w:rFonts w:ascii="宋体" w:hAnsi="宋体" w:cs="宋体"/>
          <w:color w:val="auto"/>
          <w:szCs w:val="21"/>
        </w:rPr>
      </w:pPr>
      <w:r>
        <w:rPr>
          <w:rFonts w:hint="eastAsia" w:ascii="宋体" w:hAnsi="宋体" w:cs="宋体"/>
          <w:color w:val="auto"/>
          <w:szCs w:val="21"/>
        </w:rPr>
        <w:t>14.3乙方确认乙方提供的联系方式是乙方的送达地址，合同相关文书及法律文件送达该地址或该联系方式的，无论是否签收均视为送达乙方。乙方变更联系方式的应当及时书面通知甲方，否则由此产生的责任由乙方自行承担。</w:t>
      </w:r>
    </w:p>
    <w:p>
      <w:pPr>
        <w:numPr>
          <w:ilvl w:val="0"/>
          <w:numId w:val="13"/>
        </w:numPr>
        <w:spacing w:line="360" w:lineRule="auto"/>
        <w:rPr>
          <w:rFonts w:ascii="宋体" w:hAnsi="宋体" w:cs="宋体"/>
          <w:b/>
          <w:bCs/>
          <w:color w:val="auto"/>
          <w:szCs w:val="21"/>
        </w:rPr>
      </w:pPr>
      <w:r>
        <w:rPr>
          <w:rFonts w:hint="eastAsia" w:ascii="宋体" w:hAnsi="宋体" w:cs="宋体"/>
          <w:b/>
          <w:bCs/>
          <w:color w:val="auto"/>
          <w:szCs w:val="21"/>
        </w:rPr>
        <w:t>合同生效及其它</w:t>
      </w:r>
    </w:p>
    <w:p>
      <w:pPr>
        <w:spacing w:line="360" w:lineRule="auto"/>
        <w:rPr>
          <w:rFonts w:ascii="宋体" w:hAnsi="宋体" w:cs="宋体"/>
          <w:color w:val="auto"/>
          <w:szCs w:val="21"/>
        </w:rPr>
      </w:pPr>
      <w:r>
        <w:rPr>
          <w:rFonts w:hint="eastAsia" w:ascii="宋体" w:hAnsi="宋体" w:cs="宋体"/>
          <w:color w:val="auto"/>
          <w:szCs w:val="21"/>
        </w:rPr>
        <w:t>15.1合同经双方法定代表人或授权代表签字并加盖单位公章后生效；</w:t>
      </w:r>
    </w:p>
    <w:p>
      <w:pPr>
        <w:spacing w:line="360" w:lineRule="auto"/>
        <w:rPr>
          <w:rFonts w:ascii="宋体" w:hAnsi="宋体" w:cs="宋体"/>
          <w:color w:val="auto"/>
          <w:szCs w:val="21"/>
        </w:rPr>
      </w:pPr>
      <w:r>
        <w:rPr>
          <w:rFonts w:hint="eastAsia" w:ascii="宋体" w:hAnsi="宋体" w:cs="宋体"/>
          <w:color w:val="auto"/>
          <w:szCs w:val="21"/>
        </w:rPr>
        <w:t>15.2合同执行中涉及采购资金和采购内容修改或补充的，须经财政部门审批，并签定书面补充协议报政府采购监督管理部门备案，方可作为主合同不可分割的一部分；</w:t>
      </w:r>
    </w:p>
    <w:p>
      <w:pPr>
        <w:spacing w:line="360" w:lineRule="auto"/>
        <w:rPr>
          <w:rFonts w:ascii="宋体" w:hAnsi="宋体" w:cs="宋体"/>
          <w:color w:val="auto"/>
          <w:szCs w:val="21"/>
        </w:rPr>
      </w:pPr>
      <w:r>
        <w:rPr>
          <w:rFonts w:hint="eastAsia" w:ascii="宋体" w:hAnsi="宋体" w:cs="宋体"/>
          <w:color w:val="auto"/>
          <w:szCs w:val="21"/>
        </w:rPr>
        <w:t>15.3本合同未尽事宜，遵照《民法典》有关条文执行；</w:t>
      </w:r>
    </w:p>
    <w:p>
      <w:pPr>
        <w:spacing w:line="360" w:lineRule="auto"/>
        <w:rPr>
          <w:rFonts w:ascii="宋体" w:hAnsi="宋体" w:cs="宋体"/>
          <w:color w:val="auto"/>
          <w:szCs w:val="21"/>
        </w:rPr>
      </w:pPr>
      <w:r>
        <w:rPr>
          <w:rFonts w:hint="eastAsia" w:ascii="宋体" w:hAnsi="宋体" w:cs="宋体"/>
          <w:color w:val="auto"/>
          <w:szCs w:val="21"/>
        </w:rPr>
        <w:t>15.4本合同一式肆份，具同等法律效力。双方各执贰份。</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 xml:space="preserve">甲方：                       </w:t>
      </w:r>
      <w:r>
        <w:rPr>
          <w:rFonts w:hint="eastAsia" w:ascii="宋体" w:hAnsi="宋体" w:cs="宋体"/>
          <w:color w:val="auto"/>
          <w:szCs w:val="21"/>
        </w:rPr>
        <w:tab/>
      </w:r>
      <w:r>
        <w:rPr>
          <w:rFonts w:hint="eastAsia" w:ascii="宋体" w:hAnsi="宋体" w:cs="宋体"/>
          <w:color w:val="auto"/>
          <w:szCs w:val="21"/>
        </w:rPr>
        <w:t xml:space="preserve">      乙方：                           </w:t>
      </w:r>
    </w:p>
    <w:p>
      <w:pPr>
        <w:spacing w:line="360" w:lineRule="auto"/>
        <w:rPr>
          <w:rFonts w:ascii="宋体" w:hAnsi="宋体" w:cs="宋体"/>
          <w:color w:val="auto"/>
          <w:szCs w:val="21"/>
        </w:rPr>
      </w:pPr>
      <w:r>
        <w:rPr>
          <w:rFonts w:hint="eastAsia" w:ascii="宋体" w:hAnsi="宋体" w:cs="宋体"/>
          <w:color w:val="auto"/>
          <w:szCs w:val="21"/>
        </w:rPr>
        <w:t xml:space="preserve">地    址：                            地址：                          </w:t>
      </w:r>
    </w:p>
    <w:p>
      <w:pPr>
        <w:spacing w:line="360" w:lineRule="auto"/>
        <w:rPr>
          <w:rFonts w:ascii="宋体" w:hAnsi="宋体" w:cs="宋体"/>
          <w:color w:val="auto"/>
          <w:szCs w:val="21"/>
        </w:rPr>
      </w:pPr>
      <w:r>
        <w:rPr>
          <w:rFonts w:hint="eastAsia" w:ascii="宋体" w:hAnsi="宋体" w:cs="宋体"/>
          <w:color w:val="auto"/>
          <w:szCs w:val="21"/>
        </w:rPr>
        <w:t xml:space="preserve">授权代表(签字或盖章)                  授权代表(签字或盖章)：          </w:t>
      </w:r>
    </w:p>
    <w:p>
      <w:pPr>
        <w:spacing w:line="360" w:lineRule="auto"/>
        <w:rPr>
          <w:rFonts w:ascii="宋体" w:hAnsi="宋体" w:cs="宋体"/>
          <w:color w:val="auto"/>
          <w:szCs w:val="21"/>
        </w:rPr>
      </w:pPr>
      <w:r>
        <w:rPr>
          <w:rFonts w:hint="eastAsia" w:ascii="宋体" w:hAnsi="宋体" w:cs="宋体"/>
          <w:color w:val="auto"/>
          <w:szCs w:val="21"/>
        </w:rPr>
        <w:t xml:space="preserve">电    话：                            电    话：                      </w:t>
      </w:r>
    </w:p>
    <w:p>
      <w:pPr>
        <w:spacing w:line="360" w:lineRule="auto"/>
        <w:rPr>
          <w:rFonts w:ascii="宋体" w:hAnsi="宋体" w:cs="宋体"/>
          <w:color w:val="auto"/>
          <w:szCs w:val="21"/>
        </w:rPr>
      </w:pPr>
      <w:r>
        <w:rPr>
          <w:rFonts w:hint="eastAsia" w:ascii="宋体" w:hAnsi="宋体" w:cs="宋体"/>
          <w:color w:val="auto"/>
          <w:szCs w:val="21"/>
        </w:rPr>
        <w:t xml:space="preserve">开户银行：                            开户银行：                      </w:t>
      </w:r>
    </w:p>
    <w:p>
      <w:pPr>
        <w:spacing w:line="360" w:lineRule="auto"/>
        <w:rPr>
          <w:rFonts w:ascii="宋体" w:hAnsi="宋体" w:cs="宋体"/>
          <w:color w:val="auto"/>
          <w:szCs w:val="21"/>
        </w:rPr>
      </w:pPr>
      <w:r>
        <w:rPr>
          <w:rFonts w:hint="eastAsia" w:ascii="宋体" w:hAnsi="宋体" w:cs="宋体"/>
          <w:color w:val="auto"/>
          <w:szCs w:val="21"/>
        </w:rPr>
        <w:t xml:space="preserve">帐    号：                            帐    号：                      </w:t>
      </w:r>
    </w:p>
    <w:p>
      <w:pPr>
        <w:spacing w:line="360" w:lineRule="auto"/>
        <w:rPr>
          <w:rFonts w:ascii="宋体" w:hAnsi="宋体" w:cs="宋体"/>
          <w:color w:val="auto"/>
          <w:szCs w:val="21"/>
        </w:rPr>
      </w:pPr>
      <w:r>
        <w:rPr>
          <w:rFonts w:hint="eastAsia" w:ascii="宋体" w:hAnsi="宋体" w:cs="宋体"/>
          <w:color w:val="auto"/>
          <w:szCs w:val="21"/>
        </w:rPr>
        <w:t xml:space="preserve">邮    编：                            邮    编：                      </w:t>
      </w:r>
    </w:p>
    <w:p>
      <w:pPr>
        <w:pStyle w:val="21"/>
        <w:spacing w:beforeLines="0" w:afterLines="0" w:line="360" w:lineRule="auto"/>
        <w:rPr>
          <w:rFonts w:hAnsi="宋体" w:cs="宋体"/>
          <w:color w:val="auto"/>
          <w:sz w:val="21"/>
          <w:szCs w:val="21"/>
        </w:rPr>
      </w:pPr>
      <w:r>
        <w:rPr>
          <w:rFonts w:hint="eastAsia" w:hAnsi="宋体" w:cs="宋体"/>
          <w:color w:val="auto"/>
          <w:sz w:val="21"/>
          <w:szCs w:val="21"/>
        </w:rPr>
        <w:t>签约时间：                            签约时间：</w:t>
      </w:r>
    </w:p>
    <w:p>
      <w:pPr>
        <w:spacing w:line="360" w:lineRule="auto"/>
        <w:rPr>
          <w:color w:val="auto"/>
        </w:rPr>
      </w:pPr>
      <w:r>
        <w:rPr>
          <w:color w:val="auto"/>
        </w:rPr>
        <w:br w:type="page"/>
      </w:r>
    </w:p>
    <w:p>
      <w:pPr>
        <w:pStyle w:val="4"/>
        <w:numPr>
          <w:ilvl w:val="0"/>
          <w:numId w:val="14"/>
        </w:numPr>
        <w:spacing w:before="0" w:after="0" w:line="360" w:lineRule="auto"/>
        <w:jc w:val="center"/>
        <w:rPr>
          <w:rFonts w:ascii="宋体" w:hAnsi="宋体" w:cs="宋体"/>
          <w:color w:val="auto"/>
          <w:sz w:val="30"/>
        </w:rPr>
      </w:pPr>
      <w:bookmarkStart w:id="287" w:name="_Toc5495"/>
      <w:bookmarkStart w:id="288" w:name="_Toc79395485"/>
      <w:bookmarkStart w:id="289" w:name="_Toc76771840"/>
      <w:bookmarkStart w:id="290" w:name="_Toc7729"/>
      <w:bookmarkStart w:id="291" w:name="_Toc18229"/>
      <w:r>
        <w:rPr>
          <w:rFonts w:hint="eastAsia" w:ascii="宋体" w:hAnsi="宋体" w:cs="宋体"/>
          <w:color w:val="auto"/>
          <w:sz w:val="30"/>
        </w:rPr>
        <w:t xml:space="preserve">  </w:t>
      </w:r>
      <w:bookmarkStart w:id="292" w:name="_Toc5581"/>
      <w:bookmarkStart w:id="293" w:name="_Toc21646"/>
      <w:bookmarkStart w:id="294" w:name="_Toc27017"/>
      <w:r>
        <w:rPr>
          <w:rFonts w:hint="eastAsia" w:ascii="宋体" w:hAnsi="宋体" w:cs="宋体"/>
          <w:color w:val="auto"/>
          <w:sz w:val="30"/>
        </w:rPr>
        <w:t>投标文件格式</w:t>
      </w:r>
      <w:bookmarkEnd w:id="287"/>
      <w:bookmarkEnd w:id="288"/>
      <w:bookmarkEnd w:id="289"/>
      <w:bookmarkEnd w:id="290"/>
      <w:bookmarkEnd w:id="291"/>
      <w:r>
        <w:rPr>
          <w:rFonts w:hint="eastAsia" w:ascii="宋体" w:hAnsi="宋体" w:cs="宋体"/>
          <w:color w:val="auto"/>
          <w:sz w:val="30"/>
        </w:rPr>
        <w:t>及附件</w:t>
      </w:r>
      <w:bookmarkEnd w:id="292"/>
      <w:bookmarkEnd w:id="293"/>
      <w:bookmarkEnd w:id="294"/>
    </w:p>
    <w:p>
      <w:pPr>
        <w:rPr>
          <w:rFonts w:ascii="宋体" w:hAnsi="宋体" w:cs="宋体"/>
          <w:color w:val="auto"/>
        </w:rPr>
      </w:pPr>
    </w:p>
    <w:p>
      <w:pPr>
        <w:rPr>
          <w:rFonts w:ascii="宋体" w:hAnsi="宋体" w:cs="宋体"/>
          <w:bCs/>
          <w:color w:val="auto"/>
          <w:szCs w:val="21"/>
        </w:rPr>
      </w:pPr>
      <w:bookmarkStart w:id="295" w:name="_Toc4426"/>
      <w:bookmarkStart w:id="296" w:name="_Toc29895"/>
      <w:bookmarkStart w:id="297" w:name="_Toc18324"/>
      <w:r>
        <w:rPr>
          <w:rFonts w:hint="eastAsia" w:ascii="宋体" w:hAnsi="宋体" w:cs="宋体"/>
          <w:b/>
          <w:color w:val="auto"/>
          <w:szCs w:val="21"/>
        </w:rPr>
        <w:t>1.外包装格式</w:t>
      </w:r>
      <w:bookmarkEnd w:id="295"/>
      <w:bookmarkEnd w:id="296"/>
      <w:bookmarkEnd w:id="297"/>
      <w:r>
        <w:rPr>
          <w:rFonts w:hint="eastAsia" w:ascii="宋体" w:hAnsi="宋体" w:cs="宋体"/>
          <w:bCs/>
          <w:color w:val="auto"/>
          <w:szCs w:val="21"/>
        </w:rPr>
        <w:t>（提供电子备份投标文件信封密封时使用）</w:t>
      </w:r>
    </w:p>
    <w:p>
      <w:pPr>
        <w:snapToGrid w:val="0"/>
        <w:spacing w:beforeLines="50" w:after="50" w:line="360" w:lineRule="auto"/>
        <w:jc w:val="center"/>
        <w:rPr>
          <w:rFonts w:ascii="宋体" w:hAnsi="宋体" w:cs="宋体"/>
          <w:b/>
          <w:bCs/>
          <w:color w:val="auto"/>
          <w:szCs w:val="21"/>
        </w:rPr>
      </w:pPr>
      <w:r>
        <w:rPr>
          <w:rFonts w:hint="eastAsia" w:ascii="宋体" w:hAnsi="宋体" w:cs="宋体"/>
          <w:b/>
          <w:bCs/>
          <w:color w:val="auto"/>
          <w:szCs w:val="21"/>
        </w:rPr>
        <w:t>电子备份投标文件</w:t>
      </w:r>
    </w:p>
    <w:p>
      <w:pPr>
        <w:snapToGrid w:val="0"/>
        <w:spacing w:beforeLines="50" w:after="50" w:line="360" w:lineRule="auto"/>
        <w:ind w:firstLine="338" w:firstLineChars="161"/>
        <w:rPr>
          <w:rFonts w:ascii="宋体" w:hAnsi="宋体" w:cs="宋体"/>
          <w:bCs/>
          <w:color w:val="auto"/>
          <w:szCs w:val="21"/>
        </w:rPr>
      </w:pPr>
      <w:r>
        <w:rPr>
          <w:rFonts w:hint="eastAsia" w:ascii="宋体" w:hAnsi="宋体" w:cs="宋体"/>
          <w:bCs/>
          <w:color w:val="auto"/>
          <w:szCs w:val="21"/>
        </w:rPr>
        <w:t>项目名称：</w:t>
      </w:r>
    </w:p>
    <w:p>
      <w:pPr>
        <w:snapToGrid w:val="0"/>
        <w:spacing w:beforeLines="50" w:after="50" w:line="360" w:lineRule="auto"/>
        <w:ind w:firstLine="338" w:firstLineChars="161"/>
        <w:rPr>
          <w:rFonts w:ascii="宋体" w:hAnsi="宋体" w:cs="宋体"/>
          <w:color w:val="auto"/>
          <w:kern w:val="0"/>
          <w:szCs w:val="21"/>
        </w:rPr>
      </w:pPr>
      <w:r>
        <w:rPr>
          <w:rFonts w:hint="eastAsia" w:ascii="宋体" w:hAnsi="宋体" w:cs="宋体"/>
          <w:bCs/>
          <w:color w:val="auto"/>
          <w:szCs w:val="21"/>
        </w:rPr>
        <w:t>项目编号：</w:t>
      </w:r>
    </w:p>
    <w:p>
      <w:pPr>
        <w:snapToGrid w:val="0"/>
        <w:spacing w:beforeLines="50" w:after="50" w:line="360" w:lineRule="auto"/>
        <w:ind w:firstLine="338" w:firstLineChars="161"/>
        <w:rPr>
          <w:rFonts w:ascii="宋体" w:hAnsi="宋体" w:cs="宋体"/>
          <w:bCs/>
          <w:color w:val="auto"/>
          <w:szCs w:val="21"/>
        </w:rPr>
      </w:pPr>
      <w:r>
        <w:rPr>
          <w:rFonts w:hint="eastAsia" w:ascii="宋体" w:hAnsi="宋体" w:cs="宋体"/>
          <w:bCs/>
          <w:color w:val="auto"/>
          <w:szCs w:val="21"/>
        </w:rPr>
        <w:t>投标人名称（加盖公章）：</w:t>
      </w:r>
    </w:p>
    <w:p>
      <w:pPr>
        <w:snapToGrid w:val="0"/>
        <w:spacing w:beforeLines="50" w:after="50" w:line="360" w:lineRule="auto"/>
        <w:ind w:firstLine="338" w:firstLineChars="161"/>
        <w:rPr>
          <w:rFonts w:ascii="宋体" w:hAnsi="宋体" w:cs="宋体"/>
          <w:bCs/>
          <w:color w:val="auto"/>
          <w:szCs w:val="21"/>
        </w:rPr>
      </w:pPr>
      <w:r>
        <w:rPr>
          <w:rFonts w:hint="eastAsia" w:ascii="宋体" w:hAnsi="宋体" w:cs="宋体"/>
          <w:bCs/>
          <w:color w:val="auto"/>
          <w:szCs w:val="21"/>
        </w:rPr>
        <w:t>投标人地址：</w:t>
      </w:r>
    </w:p>
    <w:p>
      <w:pPr>
        <w:snapToGrid w:val="0"/>
        <w:spacing w:beforeLines="50" w:after="50" w:line="360" w:lineRule="auto"/>
        <w:ind w:firstLine="339" w:firstLineChars="161"/>
        <w:jc w:val="center"/>
        <w:rPr>
          <w:rFonts w:ascii="宋体" w:hAnsi="宋体" w:cs="宋体"/>
          <w:b/>
          <w:color w:val="auto"/>
          <w:szCs w:val="21"/>
        </w:rPr>
      </w:pPr>
      <w:r>
        <w:rPr>
          <w:rFonts w:hint="eastAsia" w:ascii="宋体" w:hAnsi="宋体" w:cs="宋体"/>
          <w:b/>
          <w:color w:val="auto"/>
          <w:szCs w:val="21"/>
        </w:rPr>
        <w:t>（投标截止时间   年  月  日 前不得启封）</w:t>
      </w:r>
    </w:p>
    <w:p>
      <w:pPr>
        <w:snapToGrid w:val="0"/>
        <w:spacing w:beforeLines="50" w:after="50" w:line="360" w:lineRule="auto"/>
        <w:rPr>
          <w:rFonts w:ascii="宋体" w:hAnsi="宋体" w:cs="宋体"/>
          <w:bCs/>
          <w:color w:val="auto"/>
          <w:szCs w:val="21"/>
        </w:rPr>
      </w:pPr>
      <w:r>
        <w:rPr>
          <w:rFonts w:hint="eastAsia" w:ascii="宋体" w:hAnsi="宋体" w:cs="宋体"/>
          <w:bCs/>
          <w:color w:val="auto"/>
          <w:szCs w:val="21"/>
        </w:rPr>
        <w:t xml:space="preserve">                                                            年  月  日</w:t>
      </w:r>
    </w:p>
    <w:p>
      <w:pPr>
        <w:pStyle w:val="32"/>
        <w:ind w:left="420"/>
        <w:rPr>
          <w:rFonts w:ascii="宋体" w:hAnsi="宋体" w:cs="宋体"/>
          <w:bCs/>
          <w:color w:val="auto"/>
          <w:szCs w:val="21"/>
        </w:rPr>
      </w:pPr>
    </w:p>
    <w:p>
      <w:pPr>
        <w:rPr>
          <w:rFonts w:ascii="宋体" w:hAnsi="宋体" w:cs="宋体"/>
          <w:bCs/>
          <w:color w:val="auto"/>
          <w:szCs w:val="21"/>
        </w:rPr>
      </w:pPr>
    </w:p>
    <w:p>
      <w:pPr>
        <w:pStyle w:val="32"/>
        <w:ind w:left="420"/>
        <w:rPr>
          <w:rFonts w:ascii="宋体" w:hAnsi="宋体" w:cs="宋体"/>
          <w:color w:val="auto"/>
        </w:rPr>
      </w:pPr>
    </w:p>
    <w:p>
      <w:pPr>
        <w:pStyle w:val="32"/>
        <w:ind w:left="420"/>
        <w:rPr>
          <w:rFonts w:ascii="宋体" w:hAnsi="宋体" w:cs="宋体"/>
          <w:color w:val="auto"/>
        </w:rPr>
      </w:pPr>
    </w:p>
    <w:p>
      <w:pPr>
        <w:rPr>
          <w:b/>
          <w:bCs/>
          <w:color w:val="auto"/>
        </w:rPr>
      </w:pPr>
      <w:bookmarkStart w:id="298" w:name="_Toc28033"/>
      <w:bookmarkStart w:id="299" w:name="_Toc14932"/>
      <w:bookmarkStart w:id="300" w:name="_Toc22946"/>
      <w:bookmarkStart w:id="301" w:name="_Toc19186"/>
      <w:r>
        <w:rPr>
          <w:rFonts w:hint="eastAsia"/>
          <w:b/>
          <w:bCs/>
          <w:color w:val="auto"/>
        </w:rPr>
        <w:t>2.投标文件封面格式</w:t>
      </w:r>
      <w:bookmarkEnd w:id="298"/>
      <w:bookmarkEnd w:id="299"/>
      <w:bookmarkEnd w:id="300"/>
      <w:bookmarkEnd w:id="301"/>
      <w:r>
        <w:rPr>
          <w:rFonts w:hint="eastAsia"/>
          <w:b/>
          <w:bCs/>
          <w:color w:val="auto"/>
        </w:rPr>
        <w:t xml:space="preserve">                                                     </w:t>
      </w:r>
    </w:p>
    <w:p>
      <w:pPr>
        <w:snapToGrid w:val="0"/>
        <w:spacing w:beforeLines="50" w:after="50"/>
        <w:rPr>
          <w:rFonts w:ascii="宋体" w:hAnsi="宋体" w:cs="宋体"/>
          <w:b/>
          <w:bCs/>
          <w:color w:val="auto"/>
          <w:szCs w:val="21"/>
        </w:rPr>
      </w:pPr>
      <w:r>
        <w:rPr>
          <w:rFonts w:hint="eastAsia" w:ascii="宋体" w:hAnsi="宋体" w:cs="宋体"/>
          <w:b/>
          <w:bCs/>
          <w:color w:val="auto"/>
          <w:szCs w:val="21"/>
        </w:rPr>
        <w:t xml:space="preserve">                                                                      </w:t>
      </w:r>
    </w:p>
    <w:p>
      <w:pPr>
        <w:snapToGrid w:val="0"/>
        <w:spacing w:beforeLines="50" w:after="50"/>
        <w:jc w:val="center"/>
        <w:rPr>
          <w:rFonts w:ascii="宋体" w:hAnsi="宋体" w:cs="宋体"/>
          <w:b/>
          <w:bCs/>
          <w:color w:val="auto"/>
          <w:szCs w:val="21"/>
        </w:rPr>
      </w:pPr>
      <w:r>
        <w:rPr>
          <w:rFonts w:hint="eastAsia" w:ascii="宋体" w:hAnsi="宋体" w:cs="宋体"/>
          <w:b/>
          <w:bCs/>
          <w:color w:val="auto"/>
          <w:szCs w:val="21"/>
        </w:rPr>
        <w:t>资格文件/商务技术文件/报价文件</w:t>
      </w:r>
    </w:p>
    <w:p>
      <w:pPr>
        <w:snapToGrid w:val="0"/>
        <w:spacing w:beforeLines="50" w:after="50"/>
        <w:ind w:firstLine="6078" w:firstLineChars="2883"/>
        <w:jc w:val="center"/>
        <w:rPr>
          <w:rFonts w:ascii="宋体" w:hAnsi="宋体" w:cs="宋体"/>
          <w:b/>
          <w:bCs/>
          <w:color w:val="auto"/>
          <w:szCs w:val="21"/>
        </w:rPr>
      </w:pPr>
    </w:p>
    <w:p>
      <w:pPr>
        <w:snapToGrid w:val="0"/>
        <w:spacing w:beforeLines="50" w:after="50" w:line="360" w:lineRule="auto"/>
        <w:ind w:firstLine="338" w:firstLineChars="161"/>
        <w:rPr>
          <w:rFonts w:ascii="宋体" w:hAnsi="宋体" w:cs="宋体"/>
          <w:bCs/>
          <w:color w:val="auto"/>
          <w:szCs w:val="21"/>
        </w:rPr>
      </w:pPr>
      <w:r>
        <w:rPr>
          <w:rFonts w:hint="eastAsia" w:ascii="宋体" w:hAnsi="宋体" w:cs="宋体"/>
          <w:bCs/>
          <w:color w:val="auto"/>
          <w:szCs w:val="21"/>
        </w:rPr>
        <w:t>项目名称：</w:t>
      </w:r>
    </w:p>
    <w:p>
      <w:pPr>
        <w:snapToGrid w:val="0"/>
        <w:spacing w:beforeLines="50" w:after="50" w:line="360" w:lineRule="auto"/>
        <w:ind w:firstLine="338" w:firstLineChars="161"/>
        <w:rPr>
          <w:rFonts w:ascii="宋体" w:hAnsi="宋体" w:cs="宋体"/>
          <w:color w:val="auto"/>
          <w:kern w:val="0"/>
          <w:szCs w:val="21"/>
        </w:rPr>
      </w:pPr>
      <w:r>
        <w:rPr>
          <w:rFonts w:hint="eastAsia" w:ascii="宋体" w:hAnsi="宋体" w:cs="宋体"/>
          <w:bCs/>
          <w:color w:val="auto"/>
          <w:szCs w:val="21"/>
        </w:rPr>
        <w:t>项目编号：</w:t>
      </w:r>
    </w:p>
    <w:p>
      <w:pPr>
        <w:snapToGrid w:val="0"/>
        <w:spacing w:beforeLines="50" w:after="50" w:line="360" w:lineRule="auto"/>
        <w:ind w:firstLine="338" w:firstLineChars="161"/>
        <w:rPr>
          <w:rFonts w:ascii="宋体" w:hAnsi="宋体" w:cs="宋体"/>
          <w:bCs/>
          <w:color w:val="auto"/>
          <w:szCs w:val="21"/>
        </w:rPr>
      </w:pPr>
      <w:r>
        <w:rPr>
          <w:rFonts w:hint="eastAsia" w:ascii="宋体" w:hAnsi="宋体" w:cs="宋体"/>
          <w:bCs/>
          <w:color w:val="auto"/>
          <w:szCs w:val="21"/>
        </w:rPr>
        <w:t>投标人名称（加盖公章）：</w:t>
      </w:r>
    </w:p>
    <w:p>
      <w:pPr>
        <w:snapToGrid w:val="0"/>
        <w:spacing w:beforeLines="50" w:after="50" w:line="360" w:lineRule="auto"/>
        <w:ind w:firstLine="338" w:firstLineChars="161"/>
        <w:rPr>
          <w:rFonts w:ascii="宋体" w:hAnsi="宋体" w:cs="宋体"/>
          <w:bCs/>
          <w:color w:val="auto"/>
          <w:szCs w:val="21"/>
        </w:rPr>
      </w:pPr>
      <w:r>
        <w:rPr>
          <w:rFonts w:hint="eastAsia" w:ascii="宋体" w:hAnsi="宋体" w:cs="宋体"/>
          <w:bCs/>
          <w:color w:val="auto"/>
          <w:szCs w:val="21"/>
        </w:rPr>
        <w:t>投标人地址：</w:t>
      </w:r>
    </w:p>
    <w:p>
      <w:pPr>
        <w:snapToGrid w:val="0"/>
        <w:spacing w:beforeLines="50" w:after="50" w:line="360" w:lineRule="auto"/>
        <w:ind w:firstLine="3570" w:firstLineChars="1700"/>
        <w:rPr>
          <w:rFonts w:ascii="宋体" w:hAnsi="宋体" w:cs="宋体"/>
          <w:bCs/>
          <w:color w:val="auto"/>
          <w:szCs w:val="21"/>
        </w:rPr>
      </w:pPr>
    </w:p>
    <w:p>
      <w:pPr>
        <w:snapToGrid w:val="0"/>
        <w:spacing w:beforeLines="50" w:after="50" w:line="360" w:lineRule="auto"/>
        <w:ind w:firstLine="645"/>
        <w:jc w:val="center"/>
        <w:rPr>
          <w:rFonts w:ascii="宋体" w:hAnsi="宋体" w:cs="宋体"/>
          <w:bCs/>
          <w:color w:val="auto"/>
          <w:szCs w:val="21"/>
        </w:rPr>
      </w:pPr>
      <w:r>
        <w:rPr>
          <w:rFonts w:hint="eastAsia" w:ascii="宋体" w:hAnsi="宋体" w:cs="宋体"/>
          <w:bCs/>
          <w:color w:val="auto"/>
          <w:szCs w:val="21"/>
        </w:rPr>
        <w:t xml:space="preserve">                                      年  月  日</w:t>
      </w:r>
    </w:p>
    <w:p>
      <w:pPr>
        <w:pStyle w:val="27"/>
        <w:tabs>
          <w:tab w:val="right" w:leader="dot" w:pos="8504"/>
        </w:tabs>
        <w:spacing w:line="500" w:lineRule="exact"/>
        <w:rPr>
          <w:rFonts w:ascii="宋体" w:hAnsi="宋体" w:cs="宋体"/>
          <w:bCs/>
          <w:color w:val="auto"/>
          <w:szCs w:val="21"/>
        </w:rPr>
      </w:pPr>
      <w:bookmarkStart w:id="302" w:name="_Toc460857946"/>
    </w:p>
    <w:p>
      <w:pPr>
        <w:spacing w:line="600" w:lineRule="exact"/>
        <w:rPr>
          <w:rFonts w:ascii="宋体" w:hAnsi="宋体" w:cs="宋体"/>
          <w:b/>
          <w:color w:val="auto"/>
          <w:szCs w:val="21"/>
        </w:rPr>
      </w:pPr>
      <w:r>
        <w:rPr>
          <w:rFonts w:hint="eastAsia" w:ascii="宋体" w:hAnsi="宋体" w:cs="宋体"/>
          <w:color w:val="auto"/>
          <w:szCs w:val="28"/>
        </w:rPr>
        <w:br w:type="page"/>
      </w:r>
      <w:r>
        <w:rPr>
          <w:rFonts w:hint="eastAsia" w:ascii="宋体" w:hAnsi="宋体" w:cs="宋体"/>
          <w:b/>
          <w:color w:val="auto"/>
          <w:szCs w:val="21"/>
        </w:rPr>
        <w:t>3.</w:t>
      </w:r>
      <w:r>
        <w:rPr>
          <w:rFonts w:hint="eastAsia" w:ascii="宋体" w:hAnsi="宋体"/>
          <w:b/>
          <w:bCs/>
          <w:color w:val="auto"/>
          <w:szCs w:val="21"/>
        </w:rPr>
        <w:t>资格证明材料承诺函</w:t>
      </w:r>
    </w:p>
    <w:p>
      <w:pPr>
        <w:spacing w:line="600" w:lineRule="exact"/>
        <w:jc w:val="center"/>
        <w:rPr>
          <w:rFonts w:ascii="宋体" w:hAnsi="宋体"/>
          <w:b/>
          <w:bCs/>
          <w:color w:val="auto"/>
          <w:szCs w:val="21"/>
        </w:rPr>
      </w:pPr>
      <w:r>
        <w:rPr>
          <w:rFonts w:hint="eastAsia" w:ascii="宋体" w:hAnsi="宋体"/>
          <w:b/>
          <w:bCs/>
          <w:color w:val="auto"/>
          <w:szCs w:val="21"/>
        </w:rPr>
        <w:t>资格证明材料承诺函</w:t>
      </w:r>
    </w:p>
    <w:p>
      <w:pPr>
        <w:widowControl/>
        <w:adjustRightInd w:val="0"/>
        <w:snapToGrid w:val="0"/>
        <w:spacing w:line="480" w:lineRule="exact"/>
        <w:rPr>
          <w:rFonts w:ascii="宋体" w:hAnsi="宋体"/>
          <w:color w:val="auto"/>
          <w:szCs w:val="21"/>
        </w:rPr>
      </w:pPr>
      <w:r>
        <w:rPr>
          <w:rFonts w:hint="eastAsia" w:ascii="宋体" w:hAnsi="宋体"/>
          <w:color w:val="auto"/>
          <w:szCs w:val="21"/>
        </w:rPr>
        <w:t>致：</w:t>
      </w:r>
      <w:r>
        <w:rPr>
          <w:rFonts w:hint="eastAsia" w:ascii="宋体" w:hAnsi="宋体"/>
          <w:color w:val="auto"/>
          <w:szCs w:val="21"/>
          <w:u w:val="single"/>
        </w:rPr>
        <w:t xml:space="preserve">                            </w:t>
      </w:r>
      <w:r>
        <w:rPr>
          <w:rFonts w:hint="eastAsia" w:ascii="宋体" w:hAnsi="宋体"/>
          <w:color w:val="auto"/>
          <w:szCs w:val="21"/>
        </w:rPr>
        <w:t>（采购人）</w:t>
      </w:r>
    </w:p>
    <w:p>
      <w:pPr>
        <w:widowControl/>
        <w:adjustRightInd w:val="0"/>
        <w:snapToGrid w:val="0"/>
        <w:spacing w:line="480" w:lineRule="exact"/>
        <w:ind w:firstLine="420"/>
        <w:rPr>
          <w:rFonts w:ascii="宋体" w:hAnsi="宋体"/>
          <w:color w:val="auto"/>
          <w:szCs w:val="21"/>
        </w:rPr>
      </w:pPr>
      <w:r>
        <w:rPr>
          <w:rFonts w:hint="eastAsia" w:ascii="宋体" w:hAnsi="宋体"/>
          <w:color w:val="auto"/>
          <w:szCs w:val="21"/>
        </w:rPr>
        <w:t>我，</w:t>
      </w:r>
      <w:r>
        <w:rPr>
          <w:rFonts w:ascii="宋体" w:hAnsi="宋体"/>
          <w:color w:val="auto"/>
          <w:szCs w:val="21"/>
          <w:u w:val="single"/>
        </w:rPr>
        <w:t xml:space="preserve">                       </w:t>
      </w:r>
      <w:r>
        <w:rPr>
          <w:rFonts w:hint="eastAsia" w:ascii="宋体" w:hAnsi="宋体"/>
          <w:color w:val="auto"/>
          <w:szCs w:val="21"/>
        </w:rPr>
        <w:t>（投标人名称）已认真阅读</w:t>
      </w:r>
      <w:r>
        <w:rPr>
          <w:rFonts w:hint="eastAsia" w:ascii="宋体" w:hAnsi="宋体" w:cs="宋体"/>
          <w:color w:val="auto"/>
          <w:kern w:val="0"/>
          <w:szCs w:val="21"/>
        </w:rPr>
        <w:t>《中华人民共和国政府采购法》及《采购</w:t>
      </w:r>
      <w:r>
        <w:rPr>
          <w:rFonts w:hint="eastAsia" w:ascii="宋体" w:hAnsi="宋体"/>
          <w:color w:val="auto"/>
          <w:szCs w:val="21"/>
        </w:rPr>
        <w:t>文件</w:t>
      </w:r>
      <w:r>
        <w:rPr>
          <w:rFonts w:hint="eastAsia" w:ascii="宋体" w:hAnsi="宋体" w:cs="宋体"/>
          <w:color w:val="auto"/>
          <w:kern w:val="0"/>
          <w:szCs w:val="21"/>
        </w:rPr>
        <w:t>》（</w:t>
      </w:r>
      <w:r>
        <w:rPr>
          <w:rFonts w:ascii="宋体" w:hAnsi="宋体"/>
          <w:color w:val="auto"/>
          <w:szCs w:val="21"/>
          <w:u w:val="single"/>
        </w:rPr>
        <w:t xml:space="preserve">                       </w:t>
      </w:r>
      <w:r>
        <w:rPr>
          <w:rFonts w:hint="eastAsia" w:ascii="宋体" w:hAnsi="宋体"/>
          <w:color w:val="auto"/>
          <w:szCs w:val="21"/>
        </w:rPr>
        <w:t>（项目名称），项目编号：</w:t>
      </w:r>
      <w:r>
        <w:rPr>
          <w:rFonts w:ascii="宋体" w:hAnsi="宋体"/>
          <w:color w:val="auto"/>
          <w:szCs w:val="21"/>
          <w:u w:val="single"/>
        </w:rPr>
        <w:t xml:space="preserve">          </w:t>
      </w:r>
      <w:r>
        <w:rPr>
          <w:rFonts w:hint="eastAsia" w:ascii="宋体" w:hAnsi="宋体"/>
          <w:color w:val="auto"/>
          <w:szCs w:val="21"/>
        </w:rPr>
        <w:t>）相关内容，知悉投标人参加政府采购活动应当具备的条件。此次按《采购文件》要求提交的投标人资格证明材料，已经认真核对和检查，全部内容真实、合法、准确和完整，我们对此负责，并愿承担由此引起的法律责任。</w:t>
      </w:r>
    </w:p>
    <w:p>
      <w:pPr>
        <w:adjustRightInd w:val="0"/>
        <w:snapToGrid w:val="0"/>
        <w:spacing w:line="480" w:lineRule="exact"/>
        <w:ind w:firstLine="420"/>
        <w:rPr>
          <w:rFonts w:ascii="宋体" w:hAnsi="宋体"/>
          <w:color w:val="auto"/>
          <w:szCs w:val="21"/>
        </w:rPr>
      </w:pPr>
      <w:r>
        <w:rPr>
          <w:rFonts w:hint="eastAsia" w:ascii="宋体" w:hAnsi="宋体"/>
          <w:color w:val="auto"/>
          <w:szCs w:val="21"/>
        </w:rPr>
        <w:t xml:space="preserve">一、我方在此声明： </w:t>
      </w:r>
    </w:p>
    <w:p>
      <w:pPr>
        <w:adjustRightInd w:val="0"/>
        <w:snapToGrid w:val="0"/>
        <w:spacing w:line="480" w:lineRule="exact"/>
        <w:ind w:firstLine="420"/>
        <w:rPr>
          <w:rFonts w:ascii="宋体" w:hAnsi="宋体"/>
          <w:color w:val="auto"/>
          <w:szCs w:val="21"/>
        </w:rPr>
      </w:pPr>
      <w:r>
        <w:rPr>
          <w:rFonts w:hint="eastAsia" w:ascii="宋体" w:hAnsi="宋体"/>
          <w:color w:val="auto"/>
          <w:szCs w:val="21"/>
        </w:rPr>
        <w:t>（一）我</w:t>
      </w:r>
      <w:r>
        <w:rPr>
          <w:rFonts w:ascii="宋体" w:hAnsi="宋体"/>
          <w:color w:val="auto"/>
          <w:szCs w:val="21"/>
        </w:rPr>
        <w:t>方</w:t>
      </w:r>
      <w:r>
        <w:rPr>
          <w:rFonts w:hint="eastAsia" w:ascii="宋体" w:hAnsi="宋体"/>
          <w:color w:val="auto"/>
          <w:szCs w:val="21"/>
        </w:rPr>
        <w:t>具有独立承担民事责任的能力；</w:t>
      </w:r>
    </w:p>
    <w:p>
      <w:pPr>
        <w:adjustRightInd w:val="0"/>
        <w:snapToGrid w:val="0"/>
        <w:spacing w:line="480" w:lineRule="exact"/>
        <w:ind w:firstLine="420"/>
        <w:rPr>
          <w:rFonts w:ascii="宋体" w:hAnsi="宋体"/>
          <w:color w:val="auto"/>
          <w:szCs w:val="21"/>
        </w:rPr>
      </w:pPr>
      <w:r>
        <w:rPr>
          <w:rFonts w:hint="eastAsia" w:ascii="宋体" w:hAnsi="宋体"/>
          <w:color w:val="auto"/>
          <w:szCs w:val="21"/>
        </w:rPr>
        <w:t>（二）我</w:t>
      </w:r>
      <w:r>
        <w:rPr>
          <w:rFonts w:ascii="宋体" w:hAnsi="宋体"/>
          <w:color w:val="auto"/>
          <w:szCs w:val="21"/>
        </w:rPr>
        <w:t>方</w:t>
      </w:r>
      <w:r>
        <w:rPr>
          <w:rFonts w:hint="eastAsia" w:ascii="宋体" w:hAnsi="宋体"/>
          <w:color w:val="auto"/>
          <w:szCs w:val="21"/>
        </w:rPr>
        <w:t>具有良好的商业信誉和健全的财务会计制度；</w:t>
      </w:r>
    </w:p>
    <w:p>
      <w:pPr>
        <w:adjustRightInd w:val="0"/>
        <w:snapToGrid w:val="0"/>
        <w:spacing w:line="480" w:lineRule="exact"/>
        <w:ind w:firstLine="420"/>
        <w:rPr>
          <w:rFonts w:ascii="宋体" w:hAnsi="宋体"/>
          <w:color w:val="auto"/>
          <w:szCs w:val="21"/>
        </w:rPr>
      </w:pPr>
      <w:r>
        <w:rPr>
          <w:rFonts w:hint="eastAsia" w:ascii="宋体" w:hAnsi="宋体"/>
          <w:color w:val="auto"/>
          <w:szCs w:val="21"/>
        </w:rPr>
        <w:t>（三）我</w:t>
      </w:r>
      <w:r>
        <w:rPr>
          <w:rFonts w:ascii="宋体" w:hAnsi="宋体"/>
          <w:color w:val="auto"/>
          <w:szCs w:val="21"/>
        </w:rPr>
        <w:t>方</w:t>
      </w:r>
      <w:r>
        <w:rPr>
          <w:rFonts w:hint="eastAsia" w:ascii="宋体" w:hAnsi="宋体"/>
          <w:color w:val="auto"/>
          <w:szCs w:val="21"/>
        </w:rPr>
        <w:t>具有履行合同所必需的设备和专业技术能力；</w:t>
      </w:r>
    </w:p>
    <w:p>
      <w:pPr>
        <w:adjustRightInd w:val="0"/>
        <w:snapToGrid w:val="0"/>
        <w:spacing w:line="480" w:lineRule="exact"/>
        <w:ind w:firstLine="420"/>
        <w:rPr>
          <w:rFonts w:ascii="宋体" w:hAnsi="宋体"/>
          <w:color w:val="auto"/>
          <w:szCs w:val="21"/>
        </w:rPr>
      </w:pPr>
      <w:r>
        <w:rPr>
          <w:rFonts w:hint="eastAsia" w:ascii="宋体" w:hAnsi="宋体"/>
          <w:color w:val="auto"/>
          <w:szCs w:val="21"/>
        </w:rPr>
        <w:t>（四）我方与采购人或采购代理机构不存在</w:t>
      </w:r>
      <w:r>
        <w:rPr>
          <w:rFonts w:hint="eastAsia" w:ascii="宋体" w:hAnsi="宋体"/>
          <w:bCs/>
          <w:color w:val="auto"/>
          <w:szCs w:val="21"/>
        </w:rPr>
        <w:t>隶属关系或者其他利害关系</w:t>
      </w:r>
      <w:r>
        <w:rPr>
          <w:rFonts w:hint="eastAsia" w:ascii="宋体" w:hAnsi="宋体"/>
          <w:color w:val="auto"/>
          <w:szCs w:val="21"/>
        </w:rPr>
        <w:t>。</w:t>
      </w:r>
    </w:p>
    <w:p>
      <w:pPr>
        <w:adjustRightInd w:val="0"/>
        <w:snapToGrid w:val="0"/>
        <w:spacing w:line="480" w:lineRule="exact"/>
        <w:ind w:firstLine="420"/>
        <w:rPr>
          <w:rFonts w:ascii="宋体" w:hAnsi="宋体"/>
          <w:color w:val="auto"/>
          <w:szCs w:val="21"/>
        </w:rPr>
      </w:pPr>
      <w:r>
        <w:rPr>
          <w:rFonts w:hint="eastAsia" w:ascii="宋体" w:hAnsi="宋体"/>
          <w:color w:val="auto"/>
          <w:szCs w:val="21"/>
        </w:rPr>
        <w:t>（五）我方与参加本项目的其他投标人不存在控股、关联关系，或者与其他投标人单位负责人（或者负责人）为同一人。</w:t>
      </w:r>
    </w:p>
    <w:p>
      <w:pPr>
        <w:adjustRightInd w:val="0"/>
        <w:snapToGrid w:val="0"/>
        <w:spacing w:line="480" w:lineRule="exact"/>
        <w:ind w:firstLine="420"/>
        <w:rPr>
          <w:rFonts w:ascii="宋体" w:hAnsi="宋体"/>
          <w:color w:val="auto"/>
          <w:szCs w:val="21"/>
        </w:rPr>
      </w:pPr>
      <w:r>
        <w:rPr>
          <w:rFonts w:hint="eastAsia" w:ascii="宋体" w:hAnsi="宋体"/>
          <w:color w:val="auto"/>
          <w:szCs w:val="21"/>
        </w:rPr>
        <w:t>（六）我方未为本项目前期准备提供设计或咨询服务。</w:t>
      </w:r>
    </w:p>
    <w:p>
      <w:pPr>
        <w:adjustRightInd w:val="0"/>
        <w:snapToGrid w:val="0"/>
        <w:spacing w:line="480" w:lineRule="exact"/>
        <w:ind w:firstLine="420"/>
        <w:rPr>
          <w:rFonts w:ascii="宋体" w:hAnsi="宋体" w:cs="Courier New"/>
          <w:color w:val="auto"/>
          <w:szCs w:val="21"/>
        </w:rPr>
      </w:pPr>
      <w:r>
        <w:rPr>
          <w:rFonts w:hint="eastAsia" w:ascii="宋体" w:hAnsi="宋体" w:cs="Courier New"/>
          <w:color w:val="auto"/>
          <w:szCs w:val="21"/>
        </w:rPr>
        <w:t>二、我方承诺：</w:t>
      </w:r>
    </w:p>
    <w:p>
      <w:pPr>
        <w:adjustRightInd w:val="0"/>
        <w:snapToGrid w:val="0"/>
        <w:spacing w:line="480" w:lineRule="exact"/>
        <w:ind w:left="1" w:firstLine="420"/>
        <w:rPr>
          <w:rFonts w:ascii="宋体" w:hAnsi="宋体"/>
          <w:color w:val="auto"/>
          <w:szCs w:val="21"/>
        </w:rPr>
      </w:pPr>
      <w:r>
        <w:rPr>
          <w:rFonts w:hint="eastAsia" w:ascii="宋体" w:hAnsi="宋体"/>
          <w:bCs/>
          <w:color w:val="auto"/>
          <w:szCs w:val="21"/>
        </w:rPr>
        <w:t>（一）我方</w:t>
      </w:r>
      <w:r>
        <w:rPr>
          <w:rFonts w:hint="eastAsia" w:ascii="宋体" w:hAnsi="宋体"/>
          <w:color w:val="auto"/>
          <w:szCs w:val="21"/>
        </w:rPr>
        <w:t>依法缴纳了各项税费及各项社会保障资金，没有偷税、漏税及欠缴行为。</w:t>
      </w:r>
    </w:p>
    <w:p>
      <w:pPr>
        <w:adjustRightInd w:val="0"/>
        <w:snapToGrid w:val="0"/>
        <w:spacing w:line="480" w:lineRule="exact"/>
        <w:ind w:firstLine="420"/>
        <w:rPr>
          <w:rFonts w:ascii="宋体" w:hAnsi="宋体"/>
          <w:bCs/>
          <w:color w:val="auto"/>
          <w:szCs w:val="21"/>
        </w:rPr>
      </w:pPr>
      <w:r>
        <w:rPr>
          <w:rFonts w:hint="eastAsia" w:ascii="宋体" w:hAnsi="宋体"/>
          <w:bCs/>
          <w:color w:val="auto"/>
          <w:szCs w:val="21"/>
        </w:rPr>
        <w:t>（二）我方（承诺期：成立三年以上的，为提交投标文件截止时间前三年内；成立不足三年的，为实际时间）在经营活动中没有存在下列重大违法记录：</w:t>
      </w:r>
    </w:p>
    <w:p>
      <w:pPr>
        <w:adjustRightInd w:val="0"/>
        <w:snapToGrid w:val="0"/>
        <w:spacing w:line="480" w:lineRule="exact"/>
        <w:ind w:firstLine="420"/>
        <w:rPr>
          <w:rFonts w:ascii="宋体" w:hAnsi="宋体"/>
          <w:bCs/>
          <w:color w:val="auto"/>
          <w:szCs w:val="21"/>
        </w:rPr>
      </w:pPr>
      <w:r>
        <w:rPr>
          <w:rFonts w:hint="eastAsia" w:ascii="宋体" w:hAnsi="宋体"/>
          <w:bCs/>
          <w:color w:val="auto"/>
          <w:szCs w:val="21"/>
        </w:rPr>
        <w:t>1、受到刑事处罚；</w:t>
      </w:r>
    </w:p>
    <w:p>
      <w:pPr>
        <w:adjustRightInd w:val="0"/>
        <w:snapToGrid w:val="0"/>
        <w:spacing w:line="480" w:lineRule="exact"/>
        <w:ind w:left="1" w:firstLine="420"/>
        <w:rPr>
          <w:rFonts w:ascii="宋体" w:hAnsi="宋体"/>
          <w:color w:val="auto"/>
          <w:szCs w:val="21"/>
        </w:rPr>
      </w:pPr>
      <w:r>
        <w:rPr>
          <w:rFonts w:hint="eastAsia" w:ascii="宋体" w:hAnsi="宋体"/>
          <w:color w:val="auto"/>
          <w:szCs w:val="21"/>
        </w:rPr>
        <w:t>2、责令停产停业、吊销许可证或者执照、较大数额罚款等行政处罚。</w:t>
      </w:r>
    </w:p>
    <w:p>
      <w:pPr>
        <w:adjustRightInd w:val="0"/>
        <w:snapToGrid w:val="0"/>
        <w:spacing w:line="480" w:lineRule="exact"/>
        <w:ind w:left="1" w:firstLine="420"/>
        <w:rPr>
          <w:rFonts w:ascii="宋体" w:hAnsi="宋体"/>
          <w:color w:val="auto"/>
          <w:szCs w:val="21"/>
        </w:rPr>
      </w:pPr>
      <w:r>
        <w:rPr>
          <w:rFonts w:hint="eastAsia" w:ascii="宋体" w:hAnsi="宋体"/>
          <w:color w:val="auto"/>
          <w:szCs w:val="21"/>
        </w:rPr>
        <w:t>（三）我方未被列入</w:t>
      </w:r>
      <w:r>
        <w:rPr>
          <w:rFonts w:ascii="宋体" w:hAnsi="宋体"/>
          <w:color w:val="auto"/>
          <w:szCs w:val="21"/>
        </w:rPr>
        <w:t>“信用中国”（www.creditchina.gov.cn）、中国政府采购网（www.ccgp.gov.cn）列入失信被执行人、重大税收违法案件当事人名单、政府采购严重违法失信行为记录名单</w:t>
      </w:r>
      <w:r>
        <w:rPr>
          <w:rFonts w:hint="eastAsia" w:ascii="宋体" w:hAnsi="宋体"/>
          <w:color w:val="auto"/>
          <w:szCs w:val="21"/>
        </w:rPr>
        <w:t>；</w:t>
      </w:r>
    </w:p>
    <w:p>
      <w:pPr>
        <w:pStyle w:val="238"/>
        <w:ind w:firstLine="420"/>
        <w:rPr>
          <w:rFonts w:ascii="宋体" w:hAnsi="宋体"/>
          <w:color w:val="auto"/>
        </w:rPr>
      </w:pPr>
    </w:p>
    <w:p>
      <w:pPr>
        <w:rPr>
          <w:rFonts w:ascii="宋体" w:hAnsi="宋体"/>
          <w:color w:val="auto"/>
          <w:szCs w:val="21"/>
        </w:rPr>
      </w:pPr>
    </w:p>
    <w:p>
      <w:pPr>
        <w:ind w:firstLine="4830" w:firstLineChars="2300"/>
        <w:rPr>
          <w:rFonts w:ascii="宋体" w:hAnsi="宋体"/>
          <w:color w:val="auto"/>
          <w:szCs w:val="21"/>
        </w:rPr>
      </w:pPr>
      <w:r>
        <w:rPr>
          <w:rFonts w:hint="eastAsia" w:ascii="宋体" w:hAnsi="宋体"/>
          <w:color w:val="auto"/>
          <w:szCs w:val="21"/>
        </w:rPr>
        <w:t>投标人（盖章）：</w:t>
      </w:r>
    </w:p>
    <w:p>
      <w:pPr>
        <w:pStyle w:val="16"/>
        <w:widowControl/>
        <w:spacing w:line="360" w:lineRule="auto"/>
        <w:ind w:firstLine="4918" w:firstLineChars="2342"/>
        <w:jc w:val="left"/>
        <w:rPr>
          <w:rFonts w:hAnsi="宋体"/>
          <w:color w:val="auto"/>
          <w:spacing w:val="0"/>
          <w:kern w:val="2"/>
          <w:sz w:val="21"/>
          <w:szCs w:val="21"/>
        </w:rPr>
      </w:pPr>
      <w:r>
        <w:rPr>
          <w:rFonts w:hint="eastAsia" w:hAnsi="宋体"/>
          <w:color w:val="auto"/>
          <w:spacing w:val="0"/>
          <w:kern w:val="2"/>
          <w:sz w:val="21"/>
          <w:szCs w:val="21"/>
        </w:rPr>
        <w:t>日    期：</w:t>
      </w:r>
    </w:p>
    <w:p>
      <w:pPr>
        <w:rPr>
          <w:rFonts w:ascii="宋体" w:hAnsi="宋体" w:cs="宋体"/>
          <w:b/>
          <w:color w:val="auto"/>
          <w:szCs w:val="21"/>
        </w:rPr>
      </w:pPr>
      <w:r>
        <w:rPr>
          <w:rFonts w:hint="eastAsia" w:ascii="宋体" w:hAnsi="宋体" w:cs="宋体"/>
          <w:b/>
          <w:color w:val="auto"/>
        </w:rPr>
        <w:br w:type="page"/>
      </w:r>
    </w:p>
    <w:p>
      <w:pPr>
        <w:spacing w:line="500" w:lineRule="exact"/>
        <w:rPr>
          <w:rFonts w:ascii="宋体" w:hAnsi="宋体" w:cs="宋体"/>
          <w:b/>
          <w:bCs/>
          <w:color w:val="auto"/>
          <w:szCs w:val="21"/>
        </w:rPr>
      </w:pPr>
      <w:r>
        <w:rPr>
          <w:rFonts w:hint="eastAsia" w:ascii="宋体" w:hAnsi="宋体" w:cs="宋体"/>
          <w:b/>
          <w:bCs/>
          <w:color w:val="auto"/>
          <w:szCs w:val="21"/>
        </w:rPr>
        <w:t>4</w:t>
      </w:r>
      <w:r>
        <w:rPr>
          <w:rFonts w:hint="eastAsia" w:ascii="宋体" w:hAnsi="宋体" w:cs="宋体"/>
          <w:color w:val="auto"/>
          <w:szCs w:val="21"/>
        </w:rPr>
        <w:t>.</w:t>
      </w:r>
      <w:r>
        <w:rPr>
          <w:rFonts w:hint="eastAsia" w:ascii="宋体" w:hAnsi="宋体" w:cs="宋体"/>
          <w:b/>
          <w:bCs/>
          <w:color w:val="auto"/>
          <w:szCs w:val="21"/>
        </w:rPr>
        <w:t>评分索引表</w:t>
      </w:r>
    </w:p>
    <w:p>
      <w:pPr>
        <w:pStyle w:val="73"/>
        <w:spacing w:before="120" w:after="120"/>
        <w:jc w:val="center"/>
        <w:rPr>
          <w:color w:val="auto"/>
          <w:sz w:val="30"/>
          <w:szCs w:val="30"/>
          <w:lang w:val="en-US"/>
        </w:rPr>
      </w:pPr>
      <w:r>
        <w:rPr>
          <w:rFonts w:hint="eastAsia" w:ascii="宋体" w:hAnsi="宋体" w:cs="宋体"/>
          <w:b/>
          <w:bCs/>
          <w:color w:val="auto"/>
          <w:sz w:val="30"/>
          <w:szCs w:val="30"/>
          <w:lang w:val="en-US"/>
        </w:rPr>
        <w:t>评分索引表</w:t>
      </w:r>
    </w:p>
    <w:tbl>
      <w:tblPr>
        <w:tblStyle w:val="39"/>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3542"/>
        <w:gridCol w:w="1463"/>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11" w:type="dxa"/>
            <w:vAlign w:val="center"/>
          </w:tcPr>
          <w:p>
            <w:pPr>
              <w:pStyle w:val="3"/>
              <w:ind w:firstLine="0" w:firstLineChars="0"/>
              <w:jc w:val="center"/>
              <w:rPr>
                <w:rFonts w:ascii="宋体" w:hAnsi="宋体" w:cs="宋体"/>
                <w:b/>
                <w:bCs/>
                <w:color w:val="auto"/>
                <w:sz w:val="21"/>
                <w:szCs w:val="21"/>
              </w:rPr>
            </w:pPr>
            <w:r>
              <w:rPr>
                <w:rFonts w:hint="eastAsia" w:ascii="宋体" w:hAnsi="宋体" w:cs="宋体"/>
                <w:b/>
                <w:bCs/>
                <w:color w:val="auto"/>
                <w:sz w:val="21"/>
                <w:szCs w:val="21"/>
              </w:rPr>
              <w:t>序号</w:t>
            </w:r>
          </w:p>
        </w:tc>
        <w:tc>
          <w:tcPr>
            <w:tcW w:w="3542" w:type="dxa"/>
            <w:vAlign w:val="center"/>
          </w:tcPr>
          <w:p>
            <w:pPr>
              <w:pStyle w:val="3"/>
              <w:ind w:firstLine="211"/>
              <w:jc w:val="center"/>
              <w:rPr>
                <w:rFonts w:ascii="宋体" w:hAnsi="宋体" w:cs="宋体"/>
                <w:b/>
                <w:bCs/>
                <w:color w:val="auto"/>
                <w:sz w:val="21"/>
                <w:szCs w:val="21"/>
              </w:rPr>
            </w:pPr>
            <w:r>
              <w:rPr>
                <w:rFonts w:hint="eastAsia" w:ascii="宋体" w:hAnsi="宋体" w:cs="宋体"/>
                <w:b/>
                <w:bCs/>
                <w:color w:val="auto"/>
                <w:sz w:val="21"/>
                <w:szCs w:val="21"/>
              </w:rPr>
              <w:t>评分内容</w:t>
            </w:r>
          </w:p>
        </w:tc>
        <w:tc>
          <w:tcPr>
            <w:tcW w:w="1463" w:type="dxa"/>
            <w:vAlign w:val="center"/>
          </w:tcPr>
          <w:p>
            <w:pPr>
              <w:pStyle w:val="3"/>
              <w:ind w:firstLine="0" w:firstLineChars="0"/>
              <w:jc w:val="center"/>
              <w:rPr>
                <w:rFonts w:ascii="宋体" w:hAnsi="宋体" w:cs="宋体"/>
                <w:b/>
                <w:bCs/>
                <w:color w:val="auto"/>
                <w:sz w:val="21"/>
                <w:szCs w:val="21"/>
              </w:rPr>
            </w:pPr>
            <w:r>
              <w:rPr>
                <w:rFonts w:hint="eastAsia" w:ascii="宋体" w:hAnsi="宋体" w:cs="宋体"/>
                <w:b/>
                <w:bCs/>
                <w:color w:val="auto"/>
                <w:sz w:val="21"/>
                <w:szCs w:val="21"/>
              </w:rPr>
              <w:t>分值</w:t>
            </w:r>
          </w:p>
        </w:tc>
        <w:tc>
          <w:tcPr>
            <w:tcW w:w="1509" w:type="dxa"/>
            <w:vAlign w:val="center"/>
          </w:tcPr>
          <w:p>
            <w:pPr>
              <w:pStyle w:val="3"/>
              <w:ind w:firstLine="0" w:firstLineChars="0"/>
              <w:jc w:val="center"/>
              <w:rPr>
                <w:rFonts w:ascii="宋体" w:hAnsi="宋体" w:cs="宋体"/>
                <w:b/>
                <w:bCs/>
                <w:color w:val="auto"/>
                <w:sz w:val="21"/>
                <w:szCs w:val="21"/>
              </w:rPr>
            </w:pPr>
            <w:r>
              <w:rPr>
                <w:rFonts w:hint="eastAsia" w:ascii="宋体" w:hAnsi="宋体" w:cs="宋体"/>
                <w:b/>
                <w:bCs/>
                <w:color w:val="auto"/>
                <w:sz w:val="21"/>
                <w:szCs w:val="2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11" w:type="dxa"/>
            <w:vAlign w:val="center"/>
          </w:tcPr>
          <w:p>
            <w:pPr>
              <w:pStyle w:val="3"/>
              <w:ind w:firstLine="210"/>
              <w:rPr>
                <w:rFonts w:ascii="宋体" w:hAnsi="宋体" w:cs="宋体"/>
                <w:color w:val="auto"/>
                <w:sz w:val="21"/>
                <w:szCs w:val="21"/>
              </w:rPr>
            </w:pPr>
            <w:r>
              <w:rPr>
                <w:rFonts w:hint="eastAsia" w:ascii="宋体" w:hAnsi="宋体" w:cs="宋体"/>
                <w:color w:val="auto"/>
                <w:sz w:val="21"/>
                <w:szCs w:val="21"/>
              </w:rPr>
              <w:t>1</w:t>
            </w:r>
          </w:p>
        </w:tc>
        <w:tc>
          <w:tcPr>
            <w:tcW w:w="3542" w:type="dxa"/>
            <w:vAlign w:val="center"/>
          </w:tcPr>
          <w:p>
            <w:pPr>
              <w:pStyle w:val="3"/>
              <w:ind w:firstLine="0" w:firstLineChars="0"/>
              <w:rPr>
                <w:rFonts w:ascii="宋体" w:hAnsi="宋体" w:cs="宋体"/>
                <w:color w:val="auto"/>
                <w:sz w:val="21"/>
                <w:szCs w:val="21"/>
              </w:rPr>
            </w:pPr>
          </w:p>
        </w:tc>
        <w:tc>
          <w:tcPr>
            <w:tcW w:w="1463" w:type="dxa"/>
            <w:vAlign w:val="center"/>
          </w:tcPr>
          <w:p>
            <w:pPr>
              <w:pStyle w:val="3"/>
              <w:ind w:firstLine="0" w:firstLineChars="0"/>
              <w:jc w:val="center"/>
              <w:rPr>
                <w:rFonts w:ascii="宋体" w:hAnsi="宋体" w:cs="宋体"/>
                <w:color w:val="auto"/>
                <w:sz w:val="21"/>
                <w:szCs w:val="21"/>
              </w:rPr>
            </w:pPr>
          </w:p>
        </w:tc>
        <w:tc>
          <w:tcPr>
            <w:tcW w:w="1509" w:type="dxa"/>
            <w:vAlign w:val="center"/>
          </w:tcPr>
          <w:p>
            <w:pPr>
              <w:pStyle w:val="3"/>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211" w:type="dxa"/>
            <w:vAlign w:val="center"/>
          </w:tcPr>
          <w:p>
            <w:pPr>
              <w:pStyle w:val="3"/>
              <w:ind w:firstLine="210"/>
              <w:rPr>
                <w:rFonts w:ascii="宋体" w:hAnsi="宋体" w:cs="宋体"/>
                <w:color w:val="auto"/>
                <w:sz w:val="21"/>
                <w:szCs w:val="21"/>
              </w:rPr>
            </w:pPr>
            <w:r>
              <w:rPr>
                <w:rFonts w:hint="eastAsia" w:ascii="宋体" w:hAnsi="宋体" w:cs="宋体"/>
                <w:color w:val="auto"/>
                <w:sz w:val="21"/>
                <w:szCs w:val="21"/>
              </w:rPr>
              <w:t>2</w:t>
            </w:r>
          </w:p>
        </w:tc>
        <w:tc>
          <w:tcPr>
            <w:tcW w:w="3542" w:type="dxa"/>
            <w:vAlign w:val="center"/>
          </w:tcPr>
          <w:p>
            <w:pPr>
              <w:pStyle w:val="3"/>
              <w:ind w:firstLine="0" w:firstLineChars="0"/>
              <w:rPr>
                <w:rFonts w:ascii="宋体" w:hAnsi="宋体" w:cs="宋体"/>
                <w:color w:val="auto"/>
                <w:sz w:val="21"/>
                <w:szCs w:val="21"/>
              </w:rPr>
            </w:pPr>
          </w:p>
        </w:tc>
        <w:tc>
          <w:tcPr>
            <w:tcW w:w="1463" w:type="dxa"/>
            <w:vAlign w:val="center"/>
          </w:tcPr>
          <w:p>
            <w:pPr>
              <w:pStyle w:val="3"/>
              <w:ind w:firstLine="0" w:firstLineChars="0"/>
              <w:jc w:val="center"/>
              <w:rPr>
                <w:rFonts w:ascii="宋体" w:hAnsi="宋体" w:cs="宋体"/>
                <w:color w:val="auto"/>
                <w:sz w:val="21"/>
                <w:szCs w:val="21"/>
              </w:rPr>
            </w:pPr>
          </w:p>
        </w:tc>
        <w:tc>
          <w:tcPr>
            <w:tcW w:w="1509" w:type="dxa"/>
            <w:vAlign w:val="center"/>
          </w:tcPr>
          <w:p>
            <w:pPr>
              <w:pStyle w:val="3"/>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211" w:type="dxa"/>
            <w:vAlign w:val="center"/>
          </w:tcPr>
          <w:p>
            <w:pPr>
              <w:pStyle w:val="3"/>
              <w:ind w:firstLine="210"/>
              <w:rPr>
                <w:rFonts w:ascii="宋体" w:hAnsi="宋体" w:cs="宋体"/>
                <w:color w:val="auto"/>
                <w:sz w:val="21"/>
                <w:szCs w:val="21"/>
              </w:rPr>
            </w:pPr>
            <w:r>
              <w:rPr>
                <w:rFonts w:hint="eastAsia" w:ascii="宋体" w:hAnsi="宋体" w:cs="宋体"/>
                <w:color w:val="auto"/>
                <w:sz w:val="21"/>
                <w:szCs w:val="21"/>
              </w:rPr>
              <w:t>3</w:t>
            </w:r>
          </w:p>
        </w:tc>
        <w:tc>
          <w:tcPr>
            <w:tcW w:w="3542" w:type="dxa"/>
            <w:vAlign w:val="center"/>
          </w:tcPr>
          <w:p>
            <w:pPr>
              <w:pStyle w:val="3"/>
              <w:ind w:firstLine="0" w:firstLineChars="0"/>
              <w:rPr>
                <w:rFonts w:ascii="宋体" w:hAnsi="宋体" w:cs="宋体"/>
                <w:color w:val="auto"/>
                <w:sz w:val="21"/>
                <w:szCs w:val="21"/>
              </w:rPr>
            </w:pPr>
          </w:p>
        </w:tc>
        <w:tc>
          <w:tcPr>
            <w:tcW w:w="1463" w:type="dxa"/>
            <w:vAlign w:val="center"/>
          </w:tcPr>
          <w:p>
            <w:pPr>
              <w:pStyle w:val="3"/>
              <w:ind w:firstLine="0" w:firstLineChars="0"/>
              <w:jc w:val="center"/>
              <w:rPr>
                <w:rFonts w:ascii="宋体" w:hAnsi="宋体" w:cs="宋体"/>
                <w:color w:val="auto"/>
                <w:sz w:val="21"/>
                <w:szCs w:val="21"/>
              </w:rPr>
            </w:pPr>
          </w:p>
        </w:tc>
        <w:tc>
          <w:tcPr>
            <w:tcW w:w="1509" w:type="dxa"/>
            <w:vAlign w:val="center"/>
          </w:tcPr>
          <w:p>
            <w:pPr>
              <w:pStyle w:val="3"/>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11" w:type="dxa"/>
            <w:vAlign w:val="center"/>
          </w:tcPr>
          <w:p>
            <w:pPr>
              <w:pStyle w:val="3"/>
              <w:ind w:firstLine="210"/>
              <w:rPr>
                <w:rFonts w:ascii="宋体" w:hAnsi="宋体" w:cs="宋体"/>
                <w:color w:val="auto"/>
                <w:sz w:val="21"/>
                <w:szCs w:val="21"/>
              </w:rPr>
            </w:pPr>
            <w:r>
              <w:rPr>
                <w:rFonts w:hint="eastAsia" w:ascii="宋体" w:hAnsi="宋体" w:cs="宋体"/>
                <w:color w:val="auto"/>
                <w:sz w:val="21"/>
                <w:szCs w:val="21"/>
              </w:rPr>
              <w:t>4</w:t>
            </w:r>
          </w:p>
        </w:tc>
        <w:tc>
          <w:tcPr>
            <w:tcW w:w="3542" w:type="dxa"/>
            <w:vAlign w:val="center"/>
          </w:tcPr>
          <w:p>
            <w:pPr>
              <w:pStyle w:val="3"/>
              <w:ind w:firstLine="0" w:firstLineChars="0"/>
              <w:rPr>
                <w:rFonts w:ascii="宋体" w:hAnsi="宋体" w:cs="宋体"/>
                <w:color w:val="auto"/>
                <w:sz w:val="21"/>
                <w:szCs w:val="21"/>
              </w:rPr>
            </w:pPr>
          </w:p>
        </w:tc>
        <w:tc>
          <w:tcPr>
            <w:tcW w:w="1463" w:type="dxa"/>
            <w:vAlign w:val="center"/>
          </w:tcPr>
          <w:p>
            <w:pPr>
              <w:pStyle w:val="3"/>
              <w:ind w:firstLine="0" w:firstLineChars="0"/>
              <w:jc w:val="center"/>
              <w:rPr>
                <w:rFonts w:ascii="宋体" w:hAnsi="宋体" w:cs="宋体"/>
                <w:color w:val="auto"/>
                <w:sz w:val="21"/>
                <w:szCs w:val="21"/>
              </w:rPr>
            </w:pPr>
          </w:p>
        </w:tc>
        <w:tc>
          <w:tcPr>
            <w:tcW w:w="1509" w:type="dxa"/>
            <w:vAlign w:val="center"/>
          </w:tcPr>
          <w:p>
            <w:pPr>
              <w:pStyle w:val="3"/>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211" w:type="dxa"/>
            <w:vAlign w:val="center"/>
          </w:tcPr>
          <w:p>
            <w:pPr>
              <w:pStyle w:val="3"/>
              <w:ind w:firstLine="210"/>
              <w:rPr>
                <w:rFonts w:ascii="宋体" w:hAnsi="宋体" w:cs="宋体"/>
                <w:color w:val="auto"/>
                <w:sz w:val="21"/>
                <w:szCs w:val="21"/>
              </w:rPr>
            </w:pPr>
            <w:r>
              <w:rPr>
                <w:rFonts w:hint="eastAsia" w:ascii="宋体" w:hAnsi="宋体" w:cs="宋体"/>
                <w:color w:val="auto"/>
                <w:sz w:val="21"/>
                <w:szCs w:val="21"/>
              </w:rPr>
              <w:t>5</w:t>
            </w:r>
          </w:p>
        </w:tc>
        <w:tc>
          <w:tcPr>
            <w:tcW w:w="3542" w:type="dxa"/>
            <w:vAlign w:val="center"/>
          </w:tcPr>
          <w:p>
            <w:pPr>
              <w:pStyle w:val="3"/>
              <w:ind w:firstLine="0" w:firstLineChars="0"/>
              <w:rPr>
                <w:rFonts w:ascii="宋体" w:hAnsi="宋体" w:cs="宋体"/>
                <w:color w:val="auto"/>
                <w:sz w:val="21"/>
                <w:szCs w:val="21"/>
              </w:rPr>
            </w:pPr>
          </w:p>
        </w:tc>
        <w:tc>
          <w:tcPr>
            <w:tcW w:w="1463" w:type="dxa"/>
            <w:vAlign w:val="center"/>
          </w:tcPr>
          <w:p>
            <w:pPr>
              <w:pStyle w:val="3"/>
              <w:ind w:firstLine="0" w:firstLineChars="0"/>
              <w:jc w:val="center"/>
              <w:rPr>
                <w:rFonts w:ascii="宋体" w:hAnsi="宋体" w:cs="宋体"/>
                <w:color w:val="auto"/>
                <w:sz w:val="21"/>
                <w:szCs w:val="21"/>
              </w:rPr>
            </w:pPr>
          </w:p>
        </w:tc>
        <w:tc>
          <w:tcPr>
            <w:tcW w:w="1509" w:type="dxa"/>
            <w:vAlign w:val="center"/>
          </w:tcPr>
          <w:p>
            <w:pPr>
              <w:pStyle w:val="3"/>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211" w:type="dxa"/>
            <w:vAlign w:val="center"/>
          </w:tcPr>
          <w:p>
            <w:pPr>
              <w:pStyle w:val="3"/>
              <w:ind w:firstLine="210"/>
              <w:rPr>
                <w:rFonts w:ascii="宋体" w:hAnsi="宋体" w:cs="宋体"/>
                <w:color w:val="auto"/>
                <w:sz w:val="21"/>
                <w:szCs w:val="21"/>
              </w:rPr>
            </w:pPr>
            <w:r>
              <w:rPr>
                <w:rFonts w:hint="eastAsia" w:ascii="宋体" w:hAnsi="宋体" w:cs="宋体"/>
                <w:color w:val="auto"/>
                <w:sz w:val="21"/>
                <w:szCs w:val="21"/>
              </w:rPr>
              <w:t>6</w:t>
            </w:r>
          </w:p>
        </w:tc>
        <w:tc>
          <w:tcPr>
            <w:tcW w:w="3542" w:type="dxa"/>
            <w:vAlign w:val="center"/>
          </w:tcPr>
          <w:p>
            <w:pPr>
              <w:pStyle w:val="3"/>
              <w:ind w:firstLine="0" w:firstLineChars="0"/>
              <w:rPr>
                <w:rFonts w:ascii="宋体" w:hAnsi="宋体" w:cs="宋体"/>
                <w:color w:val="auto"/>
                <w:sz w:val="21"/>
                <w:szCs w:val="21"/>
              </w:rPr>
            </w:pPr>
          </w:p>
        </w:tc>
        <w:tc>
          <w:tcPr>
            <w:tcW w:w="1463" w:type="dxa"/>
            <w:vAlign w:val="center"/>
          </w:tcPr>
          <w:p>
            <w:pPr>
              <w:pStyle w:val="3"/>
              <w:ind w:firstLine="0" w:firstLineChars="0"/>
              <w:jc w:val="center"/>
              <w:rPr>
                <w:rFonts w:ascii="宋体" w:hAnsi="宋体" w:cs="宋体"/>
                <w:color w:val="auto"/>
                <w:sz w:val="21"/>
                <w:szCs w:val="21"/>
              </w:rPr>
            </w:pPr>
          </w:p>
        </w:tc>
        <w:tc>
          <w:tcPr>
            <w:tcW w:w="1509" w:type="dxa"/>
            <w:vAlign w:val="center"/>
          </w:tcPr>
          <w:p>
            <w:pPr>
              <w:pStyle w:val="3"/>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11" w:type="dxa"/>
            <w:vAlign w:val="center"/>
          </w:tcPr>
          <w:p>
            <w:pPr>
              <w:pStyle w:val="3"/>
              <w:ind w:firstLine="210"/>
              <w:rPr>
                <w:rFonts w:ascii="宋体" w:hAnsi="宋体" w:cs="宋体"/>
                <w:color w:val="auto"/>
                <w:sz w:val="21"/>
                <w:szCs w:val="21"/>
              </w:rPr>
            </w:pPr>
            <w:r>
              <w:rPr>
                <w:rFonts w:hint="eastAsia" w:ascii="宋体" w:hAnsi="宋体" w:cs="宋体"/>
                <w:color w:val="auto"/>
                <w:sz w:val="21"/>
                <w:szCs w:val="21"/>
              </w:rPr>
              <w:t>7</w:t>
            </w:r>
          </w:p>
        </w:tc>
        <w:tc>
          <w:tcPr>
            <w:tcW w:w="3542" w:type="dxa"/>
            <w:vAlign w:val="center"/>
          </w:tcPr>
          <w:p>
            <w:pPr>
              <w:pStyle w:val="3"/>
              <w:ind w:firstLine="0" w:firstLineChars="0"/>
              <w:rPr>
                <w:rFonts w:ascii="宋体" w:hAnsi="宋体" w:cs="宋体"/>
                <w:color w:val="auto"/>
                <w:sz w:val="21"/>
                <w:szCs w:val="21"/>
              </w:rPr>
            </w:pPr>
          </w:p>
        </w:tc>
        <w:tc>
          <w:tcPr>
            <w:tcW w:w="1463" w:type="dxa"/>
            <w:vAlign w:val="center"/>
          </w:tcPr>
          <w:p>
            <w:pPr>
              <w:pStyle w:val="3"/>
              <w:ind w:firstLine="0" w:firstLineChars="0"/>
              <w:jc w:val="center"/>
              <w:rPr>
                <w:rFonts w:ascii="宋体" w:hAnsi="宋体" w:cs="宋体"/>
                <w:color w:val="auto"/>
                <w:sz w:val="21"/>
                <w:szCs w:val="21"/>
              </w:rPr>
            </w:pPr>
          </w:p>
        </w:tc>
        <w:tc>
          <w:tcPr>
            <w:tcW w:w="1509" w:type="dxa"/>
            <w:vAlign w:val="center"/>
          </w:tcPr>
          <w:p>
            <w:pPr>
              <w:pStyle w:val="3"/>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11" w:type="dxa"/>
            <w:vAlign w:val="center"/>
          </w:tcPr>
          <w:p>
            <w:pPr>
              <w:pStyle w:val="3"/>
              <w:ind w:firstLine="210"/>
              <w:rPr>
                <w:rFonts w:ascii="宋体" w:hAnsi="宋体" w:cs="宋体"/>
                <w:color w:val="auto"/>
                <w:sz w:val="21"/>
                <w:szCs w:val="21"/>
              </w:rPr>
            </w:pPr>
            <w:r>
              <w:rPr>
                <w:rFonts w:hint="eastAsia" w:ascii="宋体" w:hAnsi="宋体" w:cs="宋体"/>
                <w:color w:val="auto"/>
                <w:sz w:val="21"/>
                <w:szCs w:val="21"/>
              </w:rPr>
              <w:t>8</w:t>
            </w:r>
          </w:p>
        </w:tc>
        <w:tc>
          <w:tcPr>
            <w:tcW w:w="3542" w:type="dxa"/>
            <w:vAlign w:val="center"/>
          </w:tcPr>
          <w:p>
            <w:pPr>
              <w:pStyle w:val="3"/>
              <w:ind w:firstLine="0" w:firstLineChars="0"/>
              <w:rPr>
                <w:rFonts w:ascii="宋体" w:hAnsi="宋体" w:cs="宋体"/>
                <w:color w:val="auto"/>
                <w:sz w:val="21"/>
                <w:szCs w:val="21"/>
              </w:rPr>
            </w:pPr>
          </w:p>
        </w:tc>
        <w:tc>
          <w:tcPr>
            <w:tcW w:w="1463" w:type="dxa"/>
            <w:vAlign w:val="center"/>
          </w:tcPr>
          <w:p>
            <w:pPr>
              <w:pStyle w:val="3"/>
              <w:ind w:firstLine="0" w:firstLineChars="0"/>
              <w:jc w:val="center"/>
              <w:rPr>
                <w:rFonts w:ascii="宋体" w:hAnsi="宋体" w:cs="宋体"/>
                <w:color w:val="auto"/>
                <w:sz w:val="21"/>
                <w:szCs w:val="21"/>
              </w:rPr>
            </w:pPr>
          </w:p>
        </w:tc>
        <w:tc>
          <w:tcPr>
            <w:tcW w:w="1509" w:type="dxa"/>
            <w:vAlign w:val="center"/>
          </w:tcPr>
          <w:p>
            <w:pPr>
              <w:pStyle w:val="3"/>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211" w:type="dxa"/>
            <w:vAlign w:val="center"/>
          </w:tcPr>
          <w:p>
            <w:pPr>
              <w:pStyle w:val="3"/>
              <w:ind w:firstLine="210"/>
              <w:rPr>
                <w:rFonts w:ascii="宋体" w:hAnsi="宋体" w:cs="宋体"/>
                <w:color w:val="auto"/>
                <w:sz w:val="21"/>
                <w:szCs w:val="21"/>
              </w:rPr>
            </w:pPr>
            <w:r>
              <w:rPr>
                <w:rFonts w:hint="eastAsia" w:ascii="宋体" w:hAnsi="宋体" w:cs="宋体"/>
                <w:color w:val="auto"/>
                <w:sz w:val="21"/>
                <w:szCs w:val="21"/>
              </w:rPr>
              <w:t>9</w:t>
            </w:r>
          </w:p>
        </w:tc>
        <w:tc>
          <w:tcPr>
            <w:tcW w:w="3542" w:type="dxa"/>
            <w:vAlign w:val="center"/>
          </w:tcPr>
          <w:p>
            <w:pPr>
              <w:pStyle w:val="3"/>
              <w:ind w:firstLine="0" w:firstLineChars="0"/>
              <w:rPr>
                <w:rFonts w:ascii="宋体" w:hAnsi="宋体" w:cs="宋体"/>
                <w:color w:val="auto"/>
                <w:sz w:val="21"/>
                <w:szCs w:val="21"/>
              </w:rPr>
            </w:pPr>
          </w:p>
        </w:tc>
        <w:tc>
          <w:tcPr>
            <w:tcW w:w="1463" w:type="dxa"/>
            <w:vAlign w:val="center"/>
          </w:tcPr>
          <w:p>
            <w:pPr>
              <w:pStyle w:val="3"/>
              <w:ind w:firstLine="0" w:firstLineChars="0"/>
              <w:jc w:val="center"/>
              <w:rPr>
                <w:rFonts w:ascii="宋体" w:hAnsi="宋体" w:cs="宋体"/>
                <w:color w:val="auto"/>
                <w:sz w:val="21"/>
                <w:szCs w:val="21"/>
              </w:rPr>
            </w:pPr>
          </w:p>
        </w:tc>
        <w:tc>
          <w:tcPr>
            <w:tcW w:w="1509" w:type="dxa"/>
            <w:vAlign w:val="center"/>
          </w:tcPr>
          <w:p>
            <w:pPr>
              <w:pStyle w:val="3"/>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11" w:type="dxa"/>
            <w:vAlign w:val="center"/>
          </w:tcPr>
          <w:p>
            <w:pPr>
              <w:pStyle w:val="3"/>
              <w:ind w:firstLine="210"/>
              <w:jc w:val="left"/>
              <w:rPr>
                <w:rFonts w:ascii="宋体" w:hAnsi="宋体" w:cs="宋体"/>
                <w:color w:val="auto"/>
                <w:sz w:val="21"/>
                <w:szCs w:val="21"/>
              </w:rPr>
            </w:pPr>
            <w:r>
              <w:rPr>
                <w:rFonts w:hint="eastAsia" w:ascii="宋体" w:hAnsi="宋体" w:cs="宋体"/>
                <w:color w:val="auto"/>
                <w:sz w:val="21"/>
                <w:szCs w:val="21"/>
              </w:rPr>
              <w:t>10</w:t>
            </w:r>
          </w:p>
        </w:tc>
        <w:tc>
          <w:tcPr>
            <w:tcW w:w="3542" w:type="dxa"/>
            <w:vAlign w:val="center"/>
          </w:tcPr>
          <w:p>
            <w:pPr>
              <w:rPr>
                <w:rFonts w:ascii="宋体" w:hAnsi="宋体" w:cs="宋体"/>
                <w:color w:val="auto"/>
                <w:szCs w:val="21"/>
              </w:rPr>
            </w:pPr>
          </w:p>
        </w:tc>
        <w:tc>
          <w:tcPr>
            <w:tcW w:w="1463" w:type="dxa"/>
            <w:vAlign w:val="center"/>
          </w:tcPr>
          <w:p>
            <w:pPr>
              <w:pStyle w:val="3"/>
              <w:ind w:firstLine="0" w:firstLineChars="0"/>
              <w:jc w:val="center"/>
              <w:rPr>
                <w:rFonts w:ascii="宋体" w:hAnsi="宋体" w:cs="宋体"/>
                <w:color w:val="auto"/>
                <w:sz w:val="21"/>
                <w:szCs w:val="21"/>
              </w:rPr>
            </w:pPr>
          </w:p>
        </w:tc>
        <w:tc>
          <w:tcPr>
            <w:tcW w:w="1509" w:type="dxa"/>
            <w:vAlign w:val="center"/>
          </w:tcPr>
          <w:p>
            <w:pPr>
              <w:pStyle w:val="3"/>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211" w:type="dxa"/>
            <w:vAlign w:val="center"/>
          </w:tcPr>
          <w:p>
            <w:pPr>
              <w:pStyle w:val="3"/>
              <w:ind w:firstLine="210"/>
              <w:jc w:val="left"/>
              <w:rPr>
                <w:rFonts w:ascii="宋体" w:hAnsi="宋体" w:cs="宋体"/>
                <w:color w:val="auto"/>
                <w:sz w:val="21"/>
                <w:szCs w:val="21"/>
              </w:rPr>
            </w:pPr>
            <w:r>
              <w:rPr>
                <w:rFonts w:hint="eastAsia" w:ascii="宋体" w:hAnsi="宋体" w:cs="宋体"/>
                <w:color w:val="auto"/>
                <w:sz w:val="21"/>
                <w:szCs w:val="21"/>
              </w:rPr>
              <w:t>11</w:t>
            </w:r>
          </w:p>
        </w:tc>
        <w:tc>
          <w:tcPr>
            <w:tcW w:w="3542" w:type="dxa"/>
            <w:vAlign w:val="center"/>
          </w:tcPr>
          <w:p>
            <w:pPr>
              <w:rPr>
                <w:rFonts w:ascii="宋体" w:hAnsi="宋体" w:cs="宋体"/>
                <w:color w:val="auto"/>
                <w:szCs w:val="21"/>
              </w:rPr>
            </w:pPr>
          </w:p>
        </w:tc>
        <w:tc>
          <w:tcPr>
            <w:tcW w:w="1463" w:type="dxa"/>
            <w:vAlign w:val="center"/>
          </w:tcPr>
          <w:p>
            <w:pPr>
              <w:pStyle w:val="3"/>
              <w:ind w:firstLine="0" w:firstLineChars="0"/>
              <w:jc w:val="center"/>
              <w:rPr>
                <w:rFonts w:ascii="宋体" w:hAnsi="宋体" w:cs="宋体"/>
                <w:color w:val="auto"/>
                <w:sz w:val="21"/>
                <w:szCs w:val="21"/>
              </w:rPr>
            </w:pPr>
          </w:p>
        </w:tc>
        <w:tc>
          <w:tcPr>
            <w:tcW w:w="1509" w:type="dxa"/>
            <w:vAlign w:val="center"/>
          </w:tcPr>
          <w:p>
            <w:pPr>
              <w:pStyle w:val="3"/>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211" w:type="dxa"/>
            <w:vAlign w:val="center"/>
          </w:tcPr>
          <w:p>
            <w:pPr>
              <w:pStyle w:val="3"/>
              <w:ind w:firstLine="210"/>
              <w:jc w:val="left"/>
              <w:rPr>
                <w:rFonts w:ascii="宋体" w:hAnsi="宋体" w:cs="宋体"/>
                <w:color w:val="auto"/>
                <w:sz w:val="21"/>
                <w:szCs w:val="21"/>
              </w:rPr>
            </w:pPr>
            <w:r>
              <w:rPr>
                <w:rFonts w:hint="eastAsia" w:ascii="宋体" w:hAnsi="宋体" w:cs="宋体"/>
                <w:color w:val="auto"/>
                <w:sz w:val="21"/>
                <w:szCs w:val="21"/>
              </w:rPr>
              <w:t>12</w:t>
            </w:r>
          </w:p>
        </w:tc>
        <w:tc>
          <w:tcPr>
            <w:tcW w:w="3542" w:type="dxa"/>
            <w:vAlign w:val="center"/>
          </w:tcPr>
          <w:p>
            <w:pPr>
              <w:pStyle w:val="3"/>
              <w:ind w:firstLine="0" w:firstLineChars="0"/>
              <w:rPr>
                <w:rFonts w:ascii="宋体" w:hAnsi="宋体" w:cs="宋体"/>
                <w:color w:val="auto"/>
                <w:sz w:val="21"/>
                <w:szCs w:val="21"/>
              </w:rPr>
            </w:pPr>
          </w:p>
        </w:tc>
        <w:tc>
          <w:tcPr>
            <w:tcW w:w="1463" w:type="dxa"/>
            <w:vAlign w:val="center"/>
          </w:tcPr>
          <w:p>
            <w:pPr>
              <w:pStyle w:val="3"/>
              <w:ind w:firstLine="0" w:firstLineChars="0"/>
              <w:jc w:val="center"/>
              <w:rPr>
                <w:rFonts w:ascii="宋体" w:hAnsi="宋体" w:cs="宋体"/>
                <w:color w:val="auto"/>
                <w:sz w:val="21"/>
                <w:szCs w:val="21"/>
              </w:rPr>
            </w:pPr>
          </w:p>
        </w:tc>
        <w:tc>
          <w:tcPr>
            <w:tcW w:w="1509" w:type="dxa"/>
            <w:vAlign w:val="center"/>
          </w:tcPr>
          <w:p>
            <w:pPr>
              <w:pStyle w:val="3"/>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11" w:type="dxa"/>
            <w:vAlign w:val="center"/>
          </w:tcPr>
          <w:p>
            <w:pPr>
              <w:pStyle w:val="3"/>
              <w:ind w:firstLine="210"/>
              <w:jc w:val="left"/>
              <w:rPr>
                <w:rFonts w:ascii="宋体" w:hAnsi="宋体" w:cs="宋体"/>
                <w:color w:val="auto"/>
                <w:sz w:val="21"/>
                <w:szCs w:val="21"/>
              </w:rPr>
            </w:pPr>
            <w:r>
              <w:rPr>
                <w:rFonts w:hint="eastAsia" w:ascii="宋体" w:hAnsi="宋体" w:cs="宋体"/>
                <w:color w:val="auto"/>
                <w:sz w:val="21"/>
                <w:szCs w:val="21"/>
              </w:rPr>
              <w:t>13</w:t>
            </w:r>
          </w:p>
        </w:tc>
        <w:tc>
          <w:tcPr>
            <w:tcW w:w="3542" w:type="dxa"/>
            <w:vAlign w:val="center"/>
          </w:tcPr>
          <w:p>
            <w:pPr>
              <w:pStyle w:val="3"/>
              <w:ind w:firstLine="0" w:firstLineChars="0"/>
              <w:rPr>
                <w:rFonts w:ascii="宋体" w:hAnsi="宋体" w:cs="宋体"/>
                <w:color w:val="auto"/>
                <w:sz w:val="21"/>
                <w:szCs w:val="21"/>
              </w:rPr>
            </w:pPr>
          </w:p>
        </w:tc>
        <w:tc>
          <w:tcPr>
            <w:tcW w:w="1463" w:type="dxa"/>
            <w:vAlign w:val="center"/>
          </w:tcPr>
          <w:p>
            <w:pPr>
              <w:pStyle w:val="3"/>
              <w:ind w:firstLine="0" w:firstLineChars="0"/>
              <w:jc w:val="center"/>
              <w:rPr>
                <w:rFonts w:ascii="宋体" w:hAnsi="宋体" w:cs="宋体"/>
                <w:color w:val="auto"/>
                <w:sz w:val="21"/>
                <w:szCs w:val="21"/>
              </w:rPr>
            </w:pPr>
          </w:p>
        </w:tc>
        <w:tc>
          <w:tcPr>
            <w:tcW w:w="1509" w:type="dxa"/>
            <w:vAlign w:val="center"/>
          </w:tcPr>
          <w:p>
            <w:pPr>
              <w:pStyle w:val="3"/>
              <w:ind w:firstLine="0" w:firstLineChars="0"/>
              <w:jc w:val="center"/>
              <w:rPr>
                <w:rFonts w:ascii="宋体" w:hAnsi="宋体" w:cs="宋体"/>
                <w:color w:val="auto"/>
                <w:sz w:val="21"/>
                <w:szCs w:val="21"/>
              </w:rPr>
            </w:pPr>
          </w:p>
        </w:tc>
      </w:tr>
    </w:tbl>
    <w:p>
      <w:pPr>
        <w:pStyle w:val="73"/>
        <w:spacing w:before="120" w:after="120"/>
        <w:ind w:firstLine="0"/>
        <w:rPr>
          <w:color w:val="auto"/>
        </w:rPr>
      </w:pPr>
    </w:p>
    <w:p>
      <w:pPr>
        <w:rPr>
          <w:rFonts w:ascii="宋体" w:hAnsi="宋体" w:cs="宋体"/>
          <w:b/>
          <w:color w:val="auto"/>
        </w:rPr>
      </w:pPr>
    </w:p>
    <w:p>
      <w:pPr>
        <w:jc w:val="center"/>
        <w:rPr>
          <w:rFonts w:ascii="宋体" w:hAnsi="宋体" w:cs="宋体"/>
          <w:color w:val="auto"/>
        </w:rPr>
      </w:pPr>
    </w:p>
    <w:bookmarkEnd w:id="302"/>
    <w:p>
      <w:pPr>
        <w:widowControl/>
        <w:jc w:val="left"/>
        <w:rPr>
          <w:rFonts w:ascii="宋体" w:hAnsi="宋体" w:cs="宋体"/>
          <w:b/>
          <w:color w:val="auto"/>
        </w:rPr>
      </w:pPr>
    </w:p>
    <w:p>
      <w:pPr>
        <w:rPr>
          <w:rFonts w:ascii="宋体" w:hAnsi="宋体" w:cs="宋体"/>
          <w:b/>
          <w:bCs/>
          <w:color w:val="auto"/>
        </w:rPr>
      </w:pPr>
      <w:r>
        <w:rPr>
          <w:rFonts w:hint="eastAsia" w:ascii="宋体" w:hAnsi="宋体" w:cs="宋体"/>
          <w:b/>
          <w:bCs/>
          <w:color w:val="auto"/>
        </w:rPr>
        <w:br w:type="page"/>
      </w:r>
      <w:r>
        <w:rPr>
          <w:rFonts w:hint="eastAsia" w:ascii="宋体" w:hAnsi="宋体" w:cs="宋体"/>
          <w:b/>
          <w:bCs/>
          <w:color w:val="auto"/>
        </w:rPr>
        <w:t>5.法定代表人的身份证明或法定代表人授权书</w:t>
      </w:r>
    </w:p>
    <w:p>
      <w:pPr>
        <w:jc w:val="center"/>
        <w:rPr>
          <w:rFonts w:ascii="宋体" w:hAnsi="宋体" w:cs="宋体"/>
          <w:b/>
          <w:color w:val="auto"/>
          <w:sz w:val="30"/>
          <w:szCs w:val="30"/>
        </w:rPr>
      </w:pPr>
    </w:p>
    <w:p>
      <w:pPr>
        <w:spacing w:line="320" w:lineRule="exact"/>
        <w:jc w:val="center"/>
        <w:rPr>
          <w:rFonts w:ascii="宋体" w:hAnsi="宋体" w:cs="宋体"/>
          <w:b/>
          <w:color w:val="auto"/>
          <w:sz w:val="30"/>
          <w:szCs w:val="30"/>
        </w:rPr>
      </w:pPr>
      <w:r>
        <w:rPr>
          <w:rFonts w:hint="eastAsia" w:ascii="宋体" w:hAnsi="宋体" w:cs="宋体"/>
          <w:b/>
          <w:color w:val="auto"/>
          <w:sz w:val="30"/>
          <w:szCs w:val="30"/>
        </w:rPr>
        <w:t>法定代表人身份证明</w:t>
      </w:r>
    </w:p>
    <w:p>
      <w:pPr>
        <w:spacing w:line="480" w:lineRule="auto"/>
        <w:jc w:val="center"/>
        <w:rPr>
          <w:rFonts w:ascii="宋体" w:hAnsi="宋体" w:cs="宋体"/>
          <w:bCs/>
          <w:color w:val="auto"/>
          <w:sz w:val="24"/>
        </w:rPr>
      </w:pPr>
    </w:p>
    <w:p>
      <w:pPr>
        <w:spacing w:line="480" w:lineRule="auto"/>
        <w:ind w:firstLine="420" w:firstLineChars="200"/>
        <w:rPr>
          <w:rFonts w:ascii="宋体" w:hAnsi="宋体" w:cs="宋体"/>
          <w:color w:val="auto"/>
          <w:szCs w:val="21"/>
        </w:rPr>
      </w:pPr>
      <w:r>
        <w:rPr>
          <w:rFonts w:hint="eastAsia" w:ascii="宋体" w:hAnsi="宋体" w:cs="宋体"/>
          <w:color w:val="auto"/>
          <w:szCs w:val="21"/>
        </w:rPr>
        <w:t>投标投标人名称：</w:t>
      </w:r>
    </w:p>
    <w:p>
      <w:pPr>
        <w:spacing w:line="480" w:lineRule="auto"/>
        <w:ind w:firstLine="420" w:firstLineChars="200"/>
        <w:rPr>
          <w:rFonts w:ascii="宋体" w:hAnsi="宋体" w:cs="宋体"/>
          <w:color w:val="auto"/>
          <w:szCs w:val="21"/>
        </w:rPr>
      </w:pPr>
      <w:r>
        <w:rPr>
          <w:rFonts w:hint="eastAsia" w:ascii="宋体" w:hAnsi="宋体" w:cs="宋体"/>
          <w:color w:val="auto"/>
          <w:szCs w:val="21"/>
        </w:rPr>
        <w:t>单位性质：</w:t>
      </w:r>
    </w:p>
    <w:p>
      <w:pPr>
        <w:spacing w:line="480" w:lineRule="auto"/>
        <w:ind w:firstLine="420" w:firstLineChars="200"/>
        <w:rPr>
          <w:rFonts w:ascii="宋体" w:hAnsi="宋体" w:cs="宋体"/>
          <w:color w:val="auto"/>
          <w:szCs w:val="21"/>
        </w:rPr>
      </w:pPr>
      <w:r>
        <w:rPr>
          <w:rFonts w:hint="eastAsia" w:ascii="宋体" w:hAnsi="宋体" w:cs="宋体"/>
          <w:color w:val="auto"/>
          <w:szCs w:val="21"/>
        </w:rPr>
        <w:t>地址：</w:t>
      </w:r>
    </w:p>
    <w:p>
      <w:pPr>
        <w:spacing w:line="480" w:lineRule="auto"/>
        <w:ind w:firstLine="420" w:firstLineChars="200"/>
        <w:rPr>
          <w:rFonts w:ascii="宋体" w:hAnsi="宋体" w:cs="宋体"/>
          <w:color w:val="auto"/>
          <w:szCs w:val="21"/>
        </w:rPr>
      </w:pPr>
      <w:r>
        <w:rPr>
          <w:rFonts w:hint="eastAsia" w:ascii="宋体" w:hAnsi="宋体" w:cs="宋体"/>
          <w:color w:val="auto"/>
          <w:szCs w:val="21"/>
        </w:rPr>
        <w:t>成立时间：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月＿日</w:t>
      </w:r>
    </w:p>
    <w:p>
      <w:pPr>
        <w:spacing w:line="480" w:lineRule="auto"/>
        <w:ind w:firstLine="420" w:firstLineChars="200"/>
        <w:rPr>
          <w:rFonts w:ascii="宋体" w:hAnsi="宋体" w:cs="宋体"/>
          <w:color w:val="auto"/>
          <w:szCs w:val="21"/>
        </w:rPr>
      </w:pPr>
      <w:r>
        <w:rPr>
          <w:rFonts w:hint="eastAsia" w:ascii="宋体" w:hAnsi="宋体" w:cs="宋体"/>
          <w:color w:val="auto"/>
          <w:szCs w:val="21"/>
        </w:rPr>
        <w:t>经营期限：</w:t>
      </w:r>
    </w:p>
    <w:p>
      <w:pPr>
        <w:spacing w:line="480" w:lineRule="auto"/>
        <w:ind w:firstLine="420" w:firstLineChars="200"/>
        <w:rPr>
          <w:rFonts w:ascii="宋体" w:hAnsi="宋体" w:cs="宋体"/>
          <w:color w:val="auto"/>
          <w:szCs w:val="21"/>
          <w:u w:val="single"/>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rPr>
        <w:t>性别：</w:t>
      </w:r>
      <w:r>
        <w:rPr>
          <w:rFonts w:hint="eastAsia" w:ascii="宋体" w:hAnsi="宋体" w:cs="宋体"/>
          <w:color w:val="auto"/>
          <w:szCs w:val="21"/>
          <w:u w:val="single"/>
        </w:rPr>
        <w:t xml:space="preserve">     </w:t>
      </w:r>
      <w:r>
        <w:rPr>
          <w:rFonts w:hint="eastAsia" w:ascii="宋体" w:hAnsi="宋体" w:cs="宋体"/>
          <w:color w:val="auto"/>
          <w:szCs w:val="21"/>
        </w:rPr>
        <w:t>年龄：</w:t>
      </w:r>
      <w:r>
        <w:rPr>
          <w:rFonts w:hint="eastAsia" w:ascii="宋体" w:hAnsi="宋体" w:cs="宋体"/>
          <w:color w:val="auto"/>
          <w:szCs w:val="21"/>
          <w:u w:val="single"/>
        </w:rPr>
        <w:t xml:space="preserve">      周岁</w:t>
      </w:r>
      <w:r>
        <w:rPr>
          <w:rFonts w:hint="eastAsia" w:ascii="宋体" w:hAnsi="宋体" w:cs="宋体"/>
          <w:color w:val="auto"/>
          <w:szCs w:val="21"/>
        </w:rPr>
        <w:t xml:space="preserve"> 职务：</w:t>
      </w:r>
      <w:r>
        <w:rPr>
          <w:rFonts w:hint="eastAsia" w:ascii="宋体" w:hAnsi="宋体" w:cs="宋体"/>
          <w:color w:val="auto"/>
          <w:szCs w:val="21"/>
          <w:u w:val="single"/>
        </w:rPr>
        <w:t xml:space="preserve">       </w:t>
      </w:r>
    </w:p>
    <w:p>
      <w:pPr>
        <w:spacing w:line="480" w:lineRule="auto"/>
        <w:ind w:firstLine="420" w:firstLineChars="200"/>
        <w:rPr>
          <w:rFonts w:ascii="宋体" w:hAnsi="宋体" w:cs="宋体"/>
          <w:color w:val="auto"/>
          <w:szCs w:val="21"/>
          <w:u w:val="single"/>
        </w:rPr>
      </w:pPr>
      <w:r>
        <w:rPr>
          <w:rFonts w:hint="eastAsia" w:ascii="宋体" w:hAnsi="宋体" w:cs="宋体"/>
          <w:color w:val="auto"/>
          <w:szCs w:val="21"/>
        </w:rPr>
        <w:t>身份证号码：</w:t>
      </w:r>
    </w:p>
    <w:p>
      <w:pPr>
        <w:spacing w:line="480" w:lineRule="auto"/>
        <w:ind w:firstLine="420" w:firstLineChars="200"/>
        <w:rPr>
          <w:rFonts w:ascii="宋体" w:hAnsi="宋体" w:cs="宋体"/>
          <w:color w:val="auto"/>
          <w:szCs w:val="21"/>
        </w:rPr>
      </w:pPr>
      <w:r>
        <w:rPr>
          <w:rFonts w:hint="eastAsia" w:ascii="宋体" w:hAnsi="宋体" w:cs="宋体"/>
          <w:color w:val="auto"/>
          <w:szCs w:val="21"/>
        </w:rPr>
        <w:t>系（投标人名称）的法定代表人。</w:t>
      </w:r>
    </w:p>
    <w:p>
      <w:pPr>
        <w:spacing w:line="480" w:lineRule="auto"/>
        <w:ind w:firstLine="840" w:firstLineChars="400"/>
        <w:rPr>
          <w:rFonts w:ascii="宋体" w:hAnsi="宋体" w:cs="宋体"/>
          <w:color w:val="auto"/>
          <w:szCs w:val="21"/>
        </w:rPr>
      </w:pPr>
      <w:r>
        <w:rPr>
          <w:rFonts w:hint="eastAsia" w:ascii="宋体" w:hAnsi="宋体" w:cs="宋体"/>
          <w:color w:val="auto"/>
          <w:szCs w:val="21"/>
        </w:rPr>
        <w:t>特此证明。</w:t>
      </w:r>
    </w:p>
    <w:p>
      <w:pPr>
        <w:spacing w:line="360" w:lineRule="auto"/>
        <w:ind w:firstLine="420" w:firstLineChars="200"/>
        <w:rPr>
          <w:rFonts w:ascii="宋体" w:hAnsi="宋体" w:cs="宋体"/>
          <w:color w:val="auto"/>
          <w:szCs w:val="21"/>
        </w:rPr>
      </w:pPr>
      <w:r>
        <w:rPr>
          <w:rFonts w:hint="eastAsia" w:ascii="宋体" w:hAnsi="宋体" w:cs="宋体"/>
          <w:color w:val="auto"/>
          <w:szCs w:val="21"/>
        </w:rPr>
        <w:t>法人签字：</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                                              </w:t>
      </w:r>
    </w:p>
    <w:p>
      <w:pPr>
        <w:widowControl/>
        <w:spacing w:line="360" w:lineRule="auto"/>
        <w:ind w:firstLine="5460" w:firstLineChars="2600"/>
        <w:jc w:val="left"/>
        <w:rPr>
          <w:rFonts w:ascii="宋体" w:hAnsi="宋体" w:cs="宋体"/>
          <w:color w:val="auto"/>
          <w:szCs w:val="21"/>
        </w:rPr>
      </w:pPr>
      <w:r>
        <w:rPr>
          <w:rFonts w:hint="eastAsia" w:ascii="宋体" w:hAnsi="宋体" w:cs="宋体"/>
          <w:color w:val="auto"/>
          <w:szCs w:val="21"/>
        </w:rPr>
        <w:t>投 标 人（盖章）：</w:t>
      </w:r>
    </w:p>
    <w:p>
      <w:pPr>
        <w:pStyle w:val="16"/>
        <w:spacing w:line="360" w:lineRule="auto"/>
        <w:ind w:firstLine="5548" w:firstLineChars="2642"/>
        <w:rPr>
          <w:rFonts w:hAnsi="宋体" w:cs="宋体"/>
          <w:color w:val="auto"/>
          <w:sz w:val="21"/>
          <w:szCs w:val="21"/>
        </w:rPr>
      </w:pPr>
      <w:r>
        <w:rPr>
          <w:rFonts w:hint="eastAsia" w:hAnsi="宋体" w:cs="宋体"/>
          <w:color w:val="auto"/>
          <w:spacing w:val="0"/>
          <w:sz w:val="21"/>
          <w:szCs w:val="21"/>
        </w:rPr>
        <w:t>日    期：</w:t>
      </w:r>
    </w:p>
    <w:p>
      <w:pPr>
        <w:spacing w:line="360" w:lineRule="auto"/>
        <w:ind w:firstLine="3689" w:firstLineChars="1750"/>
        <w:rPr>
          <w:rFonts w:ascii="宋体" w:hAnsi="宋体" w:cs="宋体"/>
          <w:b/>
          <w:color w:val="auto"/>
          <w:szCs w:val="21"/>
        </w:rPr>
      </w:pPr>
    </w:p>
    <w:p>
      <w:pPr>
        <w:spacing w:line="360" w:lineRule="auto"/>
        <w:ind w:firstLine="3689" w:firstLineChars="1750"/>
        <w:rPr>
          <w:rFonts w:ascii="宋体" w:hAnsi="宋体" w:cs="宋体"/>
          <w:b/>
          <w:color w:val="auto"/>
          <w:szCs w:val="21"/>
        </w:rPr>
      </w:pPr>
    </w:p>
    <w:p>
      <w:pPr>
        <w:snapToGrid w:val="0"/>
        <w:spacing w:before="50" w:after="50" w:line="360" w:lineRule="atLeast"/>
        <w:rPr>
          <w:rFonts w:ascii="宋体" w:hAnsi="宋体" w:cs="宋体"/>
          <w:b/>
          <w:color w:val="auto"/>
          <w:szCs w:val="21"/>
        </w:rPr>
      </w:pPr>
      <w:r>
        <w:rPr>
          <w:rFonts w:hint="eastAsia" w:ascii="宋体" w:hAnsi="宋体" w:cs="宋体"/>
          <w:b/>
          <w:color w:val="auto"/>
          <w:szCs w:val="21"/>
        </w:rPr>
        <w:t>附：</w:t>
      </w:r>
    </w:p>
    <w:p>
      <w:pPr>
        <w:snapToGrid w:val="0"/>
        <w:spacing w:before="50" w:after="50" w:line="360" w:lineRule="atLeast"/>
        <w:rPr>
          <w:rFonts w:ascii="宋体" w:hAnsi="宋体" w:cs="宋体"/>
          <w:b/>
          <w:color w:val="auto"/>
          <w:szCs w:val="21"/>
        </w:rPr>
      </w:pPr>
      <w:r>
        <w:rPr>
          <w:rFonts w:hint="eastAsia" w:ascii="宋体" w:hAnsi="宋体" w:cs="宋体"/>
          <w:b/>
          <w:color w:val="auto"/>
          <w:szCs w:val="21"/>
        </w:rPr>
        <w:t>1.法定代表人身份证复印件（正反面）；</w:t>
      </w:r>
    </w:p>
    <w:p>
      <w:pPr>
        <w:rPr>
          <w:rFonts w:ascii="宋体" w:hAnsi="宋体" w:cs="宋体"/>
          <w:color w:val="auto"/>
        </w:rPr>
      </w:pPr>
    </w:p>
    <w:p>
      <w:pPr>
        <w:jc w:val="left"/>
        <w:rPr>
          <w:rFonts w:ascii="宋体" w:hAnsi="宋体" w:cs="宋体"/>
          <w:b/>
          <w:color w:val="auto"/>
          <w:sz w:val="32"/>
          <w:szCs w:val="32"/>
        </w:rPr>
      </w:pPr>
    </w:p>
    <w:p>
      <w:pPr>
        <w:jc w:val="left"/>
        <w:rPr>
          <w:rFonts w:ascii="宋体" w:hAnsi="宋体" w:cs="宋体"/>
          <w:b/>
          <w:color w:val="auto"/>
          <w:szCs w:val="21"/>
        </w:rPr>
      </w:pPr>
      <w:r>
        <w:rPr>
          <w:rFonts w:hint="eastAsia" w:ascii="宋体" w:hAnsi="宋体" w:cs="宋体"/>
          <w:color w:val="auto"/>
          <w:szCs w:val="21"/>
        </w:rPr>
        <w:br w:type="page"/>
      </w:r>
    </w:p>
    <w:p>
      <w:pPr>
        <w:pStyle w:val="74"/>
        <w:rPr>
          <w:rFonts w:ascii="宋体" w:hAnsi="宋体" w:cs="宋体"/>
          <w:color w:val="auto"/>
          <w:sz w:val="30"/>
          <w:szCs w:val="30"/>
        </w:rPr>
      </w:pPr>
    </w:p>
    <w:p>
      <w:pPr>
        <w:spacing w:line="340" w:lineRule="exact"/>
        <w:jc w:val="center"/>
        <w:rPr>
          <w:rFonts w:ascii="宋体" w:hAnsi="宋体" w:cs="宋体"/>
          <w:b/>
          <w:color w:val="auto"/>
          <w:sz w:val="30"/>
          <w:szCs w:val="30"/>
        </w:rPr>
      </w:pPr>
      <w:r>
        <w:rPr>
          <w:rFonts w:hint="eastAsia" w:ascii="宋体" w:hAnsi="宋体" w:cs="宋体"/>
          <w:b/>
          <w:color w:val="auto"/>
          <w:sz w:val="30"/>
          <w:szCs w:val="30"/>
        </w:rPr>
        <w:t>法定代表人授权委托书</w:t>
      </w:r>
    </w:p>
    <w:p>
      <w:pPr>
        <w:jc w:val="center"/>
        <w:rPr>
          <w:rFonts w:ascii="宋体" w:hAnsi="宋体" w:cs="宋体"/>
          <w:bCs/>
          <w:color w:val="auto"/>
          <w:sz w:val="24"/>
        </w:rPr>
      </w:pPr>
    </w:p>
    <w:p>
      <w:pPr>
        <w:jc w:val="center"/>
        <w:rPr>
          <w:rFonts w:ascii="宋体" w:hAnsi="宋体" w:cs="宋体"/>
          <w:b/>
          <w:color w:val="auto"/>
          <w:szCs w:val="21"/>
        </w:rPr>
      </w:pPr>
      <w:r>
        <w:rPr>
          <w:rFonts w:hint="eastAsia" w:ascii="宋体" w:hAnsi="宋体" w:cs="宋体"/>
          <w:bCs/>
          <w:color w:val="auto"/>
          <w:szCs w:val="21"/>
        </w:rPr>
        <w:t>（非法定代表人参与投标用此表）</w:t>
      </w:r>
    </w:p>
    <w:p>
      <w:pPr>
        <w:snapToGrid w:val="0"/>
        <w:spacing w:line="360" w:lineRule="auto"/>
        <w:rPr>
          <w:rFonts w:ascii="宋体" w:hAnsi="宋体" w:cs="宋体"/>
          <w:b/>
          <w:color w:val="auto"/>
          <w:szCs w:val="21"/>
        </w:rPr>
      </w:pPr>
    </w:p>
    <w:p>
      <w:pPr>
        <w:snapToGrid w:val="0"/>
        <w:spacing w:line="360" w:lineRule="auto"/>
        <w:rPr>
          <w:rFonts w:ascii="宋体" w:hAnsi="宋体" w:cs="宋体"/>
          <w:bCs/>
          <w:color w:val="auto"/>
          <w:szCs w:val="21"/>
        </w:rPr>
      </w:pPr>
      <w:r>
        <w:rPr>
          <w:rFonts w:hint="eastAsia" w:ascii="宋体" w:hAnsi="宋体" w:cs="宋体"/>
          <w:bCs/>
          <w:color w:val="auto"/>
          <w:szCs w:val="21"/>
        </w:rPr>
        <w:t>致：</w:t>
      </w:r>
      <w:r>
        <w:rPr>
          <w:rFonts w:hint="eastAsia" w:ascii="宋体" w:hAnsi="宋体" w:cs="宋体"/>
          <w:bCs/>
          <w:color w:val="auto"/>
          <w:u w:val="single"/>
        </w:rPr>
        <w:t>宁波国采招标咨询有限公司</w:t>
      </w:r>
      <w:r>
        <w:rPr>
          <w:rFonts w:hint="eastAsia" w:ascii="宋体" w:hAnsi="宋体" w:cs="宋体"/>
          <w:bCs/>
          <w:color w:val="auto"/>
          <w:szCs w:val="21"/>
        </w:rPr>
        <w:t>：</w:t>
      </w:r>
    </w:p>
    <w:p>
      <w:pPr>
        <w:snapToGrid w:val="0"/>
        <w:spacing w:line="360" w:lineRule="auto"/>
        <w:ind w:firstLine="525" w:firstLineChars="250"/>
        <w:rPr>
          <w:rFonts w:ascii="宋体" w:hAnsi="宋体" w:cs="宋体"/>
          <w:color w:val="auto"/>
          <w:szCs w:val="21"/>
          <w:u w:val="single"/>
        </w:rPr>
      </w:pPr>
      <w:r>
        <w:rPr>
          <w:rFonts w:hint="eastAsia" w:ascii="宋体" w:hAnsi="宋体" w:cs="宋体"/>
          <w:color w:val="auto"/>
          <w:szCs w:val="21"/>
        </w:rPr>
        <w:t>我（姓名）系（投标人名称）的法定代表人，现授权委托本单位在职职工（姓名）以我方的名义参加</w:t>
      </w:r>
      <w:r>
        <w:rPr>
          <w:rFonts w:hint="eastAsia" w:ascii="宋体" w:hAnsi="宋体" w:cs="宋体"/>
          <w:color w:val="auto"/>
          <w:szCs w:val="21"/>
          <w:u w:val="single"/>
        </w:rPr>
        <w:t xml:space="preserve">  项目名称、项目编号  </w:t>
      </w:r>
      <w:r>
        <w:rPr>
          <w:rFonts w:hint="eastAsia" w:ascii="宋体" w:hAnsi="宋体" w:cs="宋体"/>
          <w:color w:val="auto"/>
          <w:szCs w:val="21"/>
        </w:rPr>
        <w:t>的投标活动，并代表我方全权办理针对上述项目的投标、开标、评标、签约等具体事务和签署相关文件。</w:t>
      </w:r>
    </w:p>
    <w:p>
      <w:pPr>
        <w:snapToGrid w:val="0"/>
        <w:spacing w:line="360" w:lineRule="auto"/>
        <w:ind w:firstLine="420" w:firstLineChars="200"/>
        <w:rPr>
          <w:rFonts w:ascii="宋体" w:hAnsi="宋体" w:cs="宋体"/>
          <w:color w:val="auto"/>
          <w:szCs w:val="21"/>
          <w:u w:val="single"/>
        </w:rPr>
      </w:pPr>
      <w:r>
        <w:rPr>
          <w:rFonts w:hint="eastAsia" w:ascii="宋体" w:hAnsi="宋体" w:cs="宋体"/>
          <w:color w:val="auto"/>
          <w:szCs w:val="21"/>
        </w:rPr>
        <w:t>我方对被授权人的签名事项负全部责任。</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s="宋体"/>
          <w:color w:val="auto"/>
          <w:szCs w:val="21"/>
        </w:rPr>
      </w:pPr>
      <w:r>
        <w:rPr>
          <w:rFonts w:hint="eastAsia" w:ascii="宋体" w:hAnsi="宋体" w:cs="宋体"/>
          <w:color w:val="auto"/>
          <w:szCs w:val="21"/>
        </w:rPr>
        <w:t>被授权人无转委托权，特此委托。</w:t>
      </w:r>
    </w:p>
    <w:p>
      <w:pPr>
        <w:snapToGrid w:val="0"/>
        <w:spacing w:line="360" w:lineRule="auto"/>
        <w:rPr>
          <w:rFonts w:ascii="宋体" w:hAnsi="宋体" w:cs="宋体"/>
          <w:color w:val="auto"/>
          <w:szCs w:val="21"/>
        </w:rPr>
      </w:pPr>
    </w:p>
    <w:p>
      <w:pPr>
        <w:snapToGrid w:val="0"/>
        <w:spacing w:line="360" w:lineRule="auto"/>
        <w:rPr>
          <w:rFonts w:ascii="宋体" w:hAnsi="宋体" w:cs="宋体"/>
          <w:color w:val="auto"/>
          <w:szCs w:val="21"/>
        </w:rPr>
      </w:pPr>
    </w:p>
    <w:p>
      <w:pPr>
        <w:snapToGrid w:val="0"/>
        <w:spacing w:line="360" w:lineRule="auto"/>
        <w:rPr>
          <w:rFonts w:ascii="宋体" w:hAnsi="宋体" w:cs="宋体"/>
          <w:color w:val="auto"/>
          <w:szCs w:val="21"/>
          <w:u w:val="single"/>
        </w:rPr>
      </w:pPr>
      <w:r>
        <w:rPr>
          <w:rFonts w:hint="eastAsia" w:ascii="宋体" w:hAnsi="宋体" w:cs="宋体"/>
          <w:color w:val="auto"/>
          <w:szCs w:val="21"/>
        </w:rPr>
        <w:t>被授权人签名：                             法定代表人签名：</w:t>
      </w:r>
    </w:p>
    <w:p>
      <w:pPr>
        <w:snapToGrid w:val="0"/>
        <w:spacing w:line="360" w:lineRule="auto"/>
        <w:ind w:firstLine="840" w:firstLineChars="400"/>
        <w:rPr>
          <w:rFonts w:ascii="宋体" w:hAnsi="宋体" w:cs="宋体"/>
          <w:color w:val="auto"/>
          <w:szCs w:val="21"/>
        </w:rPr>
      </w:pPr>
      <w:r>
        <w:rPr>
          <w:rFonts w:hint="eastAsia" w:ascii="宋体" w:hAnsi="宋体" w:cs="宋体"/>
          <w:color w:val="auto"/>
          <w:szCs w:val="21"/>
        </w:rPr>
        <w:t xml:space="preserve">                              </w:t>
      </w:r>
    </w:p>
    <w:p>
      <w:pPr>
        <w:snapToGrid w:val="0"/>
        <w:spacing w:line="360" w:lineRule="auto"/>
        <w:rPr>
          <w:rFonts w:ascii="宋体" w:hAnsi="宋体" w:cs="宋体"/>
          <w:color w:val="auto"/>
          <w:szCs w:val="21"/>
        </w:rPr>
      </w:pPr>
      <w:r>
        <w:rPr>
          <w:rFonts w:hint="eastAsia" w:ascii="宋体" w:hAnsi="宋体" w:cs="宋体"/>
          <w:color w:val="auto"/>
          <w:szCs w:val="21"/>
        </w:rPr>
        <w:t>被授权人身份证号码：</w:t>
      </w:r>
    </w:p>
    <w:p>
      <w:pPr>
        <w:snapToGrid w:val="0"/>
        <w:spacing w:line="360" w:lineRule="auto"/>
        <w:ind w:firstLine="4830" w:firstLineChars="2300"/>
        <w:rPr>
          <w:rFonts w:ascii="宋体" w:hAnsi="宋体" w:cs="宋体"/>
          <w:color w:val="auto"/>
          <w:szCs w:val="21"/>
        </w:rPr>
      </w:pPr>
    </w:p>
    <w:p>
      <w:pPr>
        <w:widowControl/>
        <w:spacing w:line="360" w:lineRule="auto"/>
        <w:ind w:firstLine="5460" w:firstLineChars="2600"/>
        <w:jc w:val="left"/>
        <w:rPr>
          <w:rFonts w:ascii="宋体" w:hAnsi="宋体" w:cs="宋体"/>
          <w:color w:val="auto"/>
          <w:szCs w:val="21"/>
        </w:rPr>
      </w:pPr>
      <w:r>
        <w:rPr>
          <w:rFonts w:hint="eastAsia" w:ascii="宋体" w:hAnsi="宋体" w:cs="宋体"/>
          <w:color w:val="auto"/>
          <w:szCs w:val="21"/>
        </w:rPr>
        <w:t>投 标 人（盖章）：</w:t>
      </w:r>
    </w:p>
    <w:p>
      <w:pPr>
        <w:pStyle w:val="16"/>
        <w:spacing w:line="360" w:lineRule="auto"/>
        <w:ind w:firstLine="5548" w:firstLineChars="2642"/>
        <w:rPr>
          <w:rFonts w:hAnsi="宋体" w:cs="宋体"/>
          <w:color w:val="auto"/>
          <w:sz w:val="21"/>
          <w:szCs w:val="21"/>
        </w:rPr>
      </w:pPr>
      <w:r>
        <w:rPr>
          <w:rFonts w:hint="eastAsia" w:hAnsi="宋体" w:cs="宋体"/>
          <w:color w:val="auto"/>
          <w:spacing w:val="0"/>
          <w:sz w:val="21"/>
          <w:szCs w:val="21"/>
        </w:rPr>
        <w:t>日    期：</w:t>
      </w:r>
    </w:p>
    <w:p>
      <w:pPr>
        <w:pStyle w:val="74"/>
        <w:rPr>
          <w:rFonts w:ascii="宋体" w:hAnsi="宋体" w:cs="宋体"/>
          <w:color w:val="auto"/>
          <w:szCs w:val="21"/>
        </w:rPr>
      </w:pPr>
    </w:p>
    <w:p>
      <w:pPr>
        <w:pStyle w:val="74"/>
        <w:rPr>
          <w:rFonts w:ascii="宋体" w:hAnsi="宋体" w:cs="宋体"/>
          <w:color w:val="auto"/>
          <w:szCs w:val="21"/>
        </w:rPr>
      </w:pPr>
    </w:p>
    <w:p>
      <w:pPr>
        <w:spacing w:line="360" w:lineRule="auto"/>
        <w:ind w:firstLine="103" w:firstLineChars="49"/>
        <w:rPr>
          <w:rFonts w:ascii="宋体" w:hAnsi="宋体" w:cs="宋体"/>
          <w:b/>
          <w:color w:val="auto"/>
          <w:szCs w:val="21"/>
        </w:rPr>
      </w:pPr>
      <w:r>
        <w:rPr>
          <w:rFonts w:hint="eastAsia" w:ascii="宋体" w:hAnsi="宋体" w:cs="宋体"/>
          <w:b/>
          <w:color w:val="auto"/>
          <w:szCs w:val="21"/>
        </w:rPr>
        <w:t>附：</w:t>
      </w:r>
    </w:p>
    <w:p>
      <w:pPr>
        <w:spacing w:line="360" w:lineRule="auto"/>
        <w:rPr>
          <w:rFonts w:ascii="宋体" w:hAnsi="宋体" w:cs="宋体"/>
          <w:b/>
          <w:color w:val="auto"/>
          <w:szCs w:val="21"/>
        </w:rPr>
      </w:pPr>
      <w:r>
        <w:rPr>
          <w:rFonts w:hint="eastAsia" w:ascii="宋体" w:hAnsi="宋体" w:cs="宋体"/>
          <w:b/>
          <w:color w:val="auto"/>
          <w:szCs w:val="21"/>
        </w:rPr>
        <w:t>1.法定代表人、被授权人身份证复印件加盖公章（正反面）</w:t>
      </w:r>
    </w:p>
    <w:p>
      <w:pPr>
        <w:snapToGrid w:val="0"/>
        <w:spacing w:before="50" w:after="50" w:line="360" w:lineRule="atLeast"/>
        <w:rPr>
          <w:rFonts w:ascii="宋体" w:hAnsi="宋体" w:cs="宋体"/>
          <w:b/>
          <w:color w:val="auto"/>
          <w:szCs w:val="21"/>
        </w:rPr>
      </w:pPr>
      <w:r>
        <w:rPr>
          <w:rFonts w:hint="eastAsia" w:ascii="宋体" w:hAnsi="宋体" w:cs="宋体"/>
          <w:b/>
          <w:color w:val="auto"/>
          <w:szCs w:val="21"/>
        </w:rPr>
        <w:t>2.授权代表身份证复印件（正反面）及授权代表开标日前近100天（任意一个月）当地相关部门出具的社保证明。</w:t>
      </w:r>
    </w:p>
    <w:p>
      <w:pPr>
        <w:widowControl/>
        <w:jc w:val="left"/>
        <w:rPr>
          <w:rFonts w:ascii="宋体" w:hAnsi="宋体" w:cs="宋体"/>
          <w:b/>
          <w:color w:val="auto"/>
          <w:szCs w:val="21"/>
        </w:rPr>
      </w:pPr>
      <w:r>
        <w:rPr>
          <w:rFonts w:hint="eastAsia" w:ascii="宋体" w:hAnsi="宋体" w:cs="宋体"/>
          <w:b/>
          <w:color w:val="auto"/>
          <w:szCs w:val="21"/>
        </w:rPr>
        <w:br w:type="page"/>
      </w:r>
      <w:bookmarkStart w:id="303" w:name="_Toc14746861"/>
      <w:bookmarkStart w:id="304" w:name="_Toc488936100"/>
      <w:bookmarkStart w:id="305" w:name="_Toc479927873"/>
      <w:bookmarkStart w:id="306" w:name="_Toc110393361"/>
      <w:bookmarkStart w:id="307" w:name="_Toc225223761"/>
      <w:bookmarkStart w:id="308" w:name="_Toc483379796"/>
      <w:r>
        <w:rPr>
          <w:rFonts w:hint="eastAsia" w:ascii="宋体" w:hAnsi="宋体" w:cs="宋体"/>
          <w:b/>
          <w:color w:val="auto"/>
          <w:szCs w:val="21"/>
        </w:rPr>
        <w:t>6.投标人基本情况说明</w:t>
      </w:r>
    </w:p>
    <w:bookmarkEnd w:id="303"/>
    <w:bookmarkEnd w:id="304"/>
    <w:bookmarkEnd w:id="305"/>
    <w:bookmarkEnd w:id="306"/>
    <w:bookmarkEnd w:id="307"/>
    <w:bookmarkEnd w:id="308"/>
    <w:p>
      <w:pPr>
        <w:spacing w:line="360" w:lineRule="auto"/>
        <w:jc w:val="center"/>
        <w:rPr>
          <w:b/>
          <w:color w:val="auto"/>
          <w:sz w:val="30"/>
          <w:szCs w:val="30"/>
        </w:rPr>
      </w:pPr>
      <w:r>
        <w:rPr>
          <w:b/>
          <w:color w:val="auto"/>
          <w:sz w:val="30"/>
          <w:szCs w:val="30"/>
        </w:rPr>
        <w:t>投标人基本情况说明</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color w:val="auto"/>
                <w:szCs w:val="21"/>
              </w:rPr>
            </w:pPr>
            <w:r>
              <w:rPr>
                <w:color w:val="auto"/>
                <w:szCs w:val="21"/>
              </w:rPr>
              <w:t>单位名称</w:t>
            </w:r>
          </w:p>
        </w:tc>
        <w:tc>
          <w:tcPr>
            <w:tcW w:w="3675" w:type="dxa"/>
            <w:gridSpan w:val="3"/>
            <w:vAlign w:val="center"/>
          </w:tcPr>
          <w:p>
            <w:pPr>
              <w:spacing w:line="360" w:lineRule="auto"/>
              <w:jc w:val="center"/>
              <w:rPr>
                <w:color w:val="auto"/>
                <w:szCs w:val="21"/>
              </w:rPr>
            </w:pPr>
          </w:p>
        </w:tc>
        <w:tc>
          <w:tcPr>
            <w:tcW w:w="1785" w:type="dxa"/>
            <w:vAlign w:val="center"/>
          </w:tcPr>
          <w:p>
            <w:pPr>
              <w:spacing w:line="360" w:lineRule="auto"/>
              <w:jc w:val="center"/>
              <w:rPr>
                <w:color w:val="auto"/>
                <w:szCs w:val="21"/>
              </w:rPr>
            </w:pPr>
            <w:r>
              <w:rPr>
                <w:color w:val="auto"/>
                <w:szCs w:val="21"/>
              </w:rPr>
              <w:t>组织机构代码</w:t>
            </w:r>
          </w:p>
        </w:tc>
        <w:tc>
          <w:tcPr>
            <w:tcW w:w="2234"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color w:val="auto"/>
                <w:szCs w:val="21"/>
              </w:rPr>
            </w:pPr>
            <w:r>
              <w:rPr>
                <w:color w:val="auto"/>
                <w:szCs w:val="21"/>
              </w:rPr>
              <w:t>注册地址</w:t>
            </w:r>
          </w:p>
        </w:tc>
        <w:tc>
          <w:tcPr>
            <w:tcW w:w="3675" w:type="dxa"/>
            <w:gridSpan w:val="3"/>
            <w:vAlign w:val="center"/>
          </w:tcPr>
          <w:p>
            <w:pPr>
              <w:spacing w:line="360" w:lineRule="auto"/>
              <w:jc w:val="center"/>
              <w:rPr>
                <w:color w:val="auto"/>
                <w:szCs w:val="21"/>
              </w:rPr>
            </w:pPr>
          </w:p>
        </w:tc>
        <w:tc>
          <w:tcPr>
            <w:tcW w:w="1785" w:type="dxa"/>
            <w:vAlign w:val="center"/>
          </w:tcPr>
          <w:p>
            <w:pPr>
              <w:spacing w:line="360" w:lineRule="auto"/>
              <w:jc w:val="center"/>
              <w:rPr>
                <w:color w:val="auto"/>
                <w:szCs w:val="21"/>
              </w:rPr>
            </w:pPr>
            <w:r>
              <w:rPr>
                <w:color w:val="auto"/>
                <w:szCs w:val="21"/>
              </w:rPr>
              <w:t>注册登记号</w:t>
            </w:r>
          </w:p>
        </w:tc>
        <w:tc>
          <w:tcPr>
            <w:tcW w:w="2234"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color w:val="auto"/>
                <w:szCs w:val="21"/>
              </w:rPr>
            </w:pPr>
            <w:r>
              <w:rPr>
                <w:color w:val="auto"/>
                <w:szCs w:val="21"/>
              </w:rPr>
              <w:t>经营地址</w:t>
            </w:r>
          </w:p>
        </w:tc>
        <w:tc>
          <w:tcPr>
            <w:tcW w:w="3675" w:type="dxa"/>
            <w:gridSpan w:val="3"/>
            <w:vAlign w:val="center"/>
          </w:tcPr>
          <w:p>
            <w:pPr>
              <w:spacing w:line="360" w:lineRule="auto"/>
              <w:jc w:val="center"/>
              <w:rPr>
                <w:color w:val="auto"/>
                <w:szCs w:val="21"/>
              </w:rPr>
            </w:pPr>
          </w:p>
        </w:tc>
        <w:tc>
          <w:tcPr>
            <w:tcW w:w="1785" w:type="dxa"/>
            <w:vAlign w:val="center"/>
          </w:tcPr>
          <w:p>
            <w:pPr>
              <w:spacing w:line="360" w:lineRule="auto"/>
              <w:jc w:val="center"/>
              <w:rPr>
                <w:color w:val="auto"/>
                <w:spacing w:val="30"/>
                <w:szCs w:val="21"/>
              </w:rPr>
            </w:pPr>
            <w:r>
              <w:rPr>
                <w:color w:val="auto"/>
                <w:szCs w:val="21"/>
              </w:rPr>
              <w:t>税务登记证号</w:t>
            </w:r>
          </w:p>
        </w:tc>
        <w:tc>
          <w:tcPr>
            <w:tcW w:w="2234"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color w:val="auto"/>
                <w:szCs w:val="21"/>
              </w:rPr>
            </w:pPr>
            <w:r>
              <w:rPr>
                <w:color w:val="auto"/>
                <w:szCs w:val="21"/>
              </w:rPr>
              <w:t>单位性质</w:t>
            </w:r>
          </w:p>
        </w:tc>
        <w:tc>
          <w:tcPr>
            <w:tcW w:w="3675" w:type="dxa"/>
            <w:gridSpan w:val="3"/>
            <w:vAlign w:val="center"/>
          </w:tcPr>
          <w:p>
            <w:pPr>
              <w:pStyle w:val="183"/>
              <w:widowControl w:val="0"/>
              <w:spacing w:before="0" w:beforeAutospacing="0" w:after="0" w:afterAutospacing="0" w:line="360" w:lineRule="auto"/>
              <w:ind w:left="1320" w:firstLine="420"/>
              <w:rPr>
                <w:rFonts w:ascii="Times New Roman" w:hAnsi="Times New Roman" w:eastAsia="宋体"/>
                <w:color w:val="auto"/>
                <w:kern w:val="2"/>
                <w:sz w:val="21"/>
                <w:szCs w:val="21"/>
              </w:rPr>
            </w:pPr>
          </w:p>
        </w:tc>
        <w:tc>
          <w:tcPr>
            <w:tcW w:w="1785" w:type="dxa"/>
            <w:vAlign w:val="center"/>
          </w:tcPr>
          <w:p>
            <w:pPr>
              <w:spacing w:line="360" w:lineRule="auto"/>
              <w:jc w:val="center"/>
              <w:rPr>
                <w:color w:val="auto"/>
                <w:spacing w:val="34"/>
                <w:szCs w:val="21"/>
              </w:rPr>
            </w:pPr>
            <w:r>
              <w:rPr>
                <w:color w:val="auto"/>
                <w:spacing w:val="34"/>
                <w:szCs w:val="21"/>
              </w:rPr>
              <w:t>注册资本</w:t>
            </w:r>
          </w:p>
        </w:tc>
        <w:tc>
          <w:tcPr>
            <w:tcW w:w="2234"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color w:val="auto"/>
                <w:szCs w:val="21"/>
              </w:rPr>
            </w:pPr>
            <w:r>
              <w:rPr>
                <w:color w:val="auto"/>
                <w:szCs w:val="21"/>
              </w:rPr>
              <w:t>经营范围</w:t>
            </w:r>
          </w:p>
        </w:tc>
        <w:tc>
          <w:tcPr>
            <w:tcW w:w="3675" w:type="dxa"/>
            <w:gridSpan w:val="3"/>
            <w:vAlign w:val="center"/>
          </w:tcPr>
          <w:p>
            <w:pPr>
              <w:spacing w:line="360" w:lineRule="auto"/>
              <w:jc w:val="center"/>
              <w:rPr>
                <w:color w:val="auto"/>
                <w:szCs w:val="21"/>
              </w:rPr>
            </w:pPr>
          </w:p>
        </w:tc>
        <w:tc>
          <w:tcPr>
            <w:tcW w:w="1785" w:type="dxa"/>
            <w:vAlign w:val="center"/>
          </w:tcPr>
          <w:p>
            <w:pPr>
              <w:spacing w:line="360" w:lineRule="auto"/>
              <w:jc w:val="center"/>
              <w:rPr>
                <w:color w:val="auto"/>
                <w:szCs w:val="21"/>
              </w:rPr>
            </w:pPr>
            <w:r>
              <w:rPr>
                <w:color w:val="auto"/>
                <w:szCs w:val="21"/>
              </w:rPr>
              <w:t>营业期限</w:t>
            </w:r>
          </w:p>
        </w:tc>
        <w:tc>
          <w:tcPr>
            <w:tcW w:w="2234" w:type="dxa"/>
            <w:vAlign w:val="center"/>
          </w:tcPr>
          <w:p>
            <w:pPr>
              <w:spacing w:line="360" w:lineRule="auto"/>
              <w:jc w:val="center"/>
              <w:rPr>
                <w:color w:val="auto"/>
                <w:szCs w:val="21"/>
              </w:rPr>
            </w:pPr>
            <w:r>
              <w:rPr>
                <w:color w:val="auto"/>
                <w:szCs w:val="21"/>
              </w:rPr>
              <w:t>年月-  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color w:val="auto"/>
                <w:szCs w:val="21"/>
              </w:rPr>
            </w:pPr>
            <w:r>
              <w:rPr>
                <w:color w:val="auto"/>
                <w:szCs w:val="21"/>
              </w:rPr>
              <w:t>资质情况</w:t>
            </w:r>
          </w:p>
        </w:tc>
        <w:tc>
          <w:tcPr>
            <w:tcW w:w="7694" w:type="dxa"/>
            <w:gridSpan w:val="5"/>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color w:val="auto"/>
                <w:szCs w:val="21"/>
              </w:rPr>
            </w:pPr>
            <w:r>
              <w:rPr>
                <w:color w:val="auto"/>
                <w:szCs w:val="21"/>
              </w:rPr>
              <w:t>员工数量</w:t>
            </w:r>
          </w:p>
        </w:tc>
        <w:tc>
          <w:tcPr>
            <w:tcW w:w="7694" w:type="dxa"/>
            <w:gridSpan w:val="5"/>
            <w:vAlign w:val="center"/>
          </w:tcPr>
          <w:p>
            <w:pPr>
              <w:spacing w:line="360" w:lineRule="auto"/>
              <w:rPr>
                <w:color w:val="auto"/>
                <w:szCs w:val="21"/>
              </w:rPr>
            </w:pPr>
            <w:r>
              <w:rPr>
                <w:color w:val="auto"/>
                <w:szCs w:val="21"/>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color w:val="auto"/>
                <w:szCs w:val="21"/>
              </w:rPr>
            </w:pPr>
            <w:r>
              <w:rPr>
                <w:color w:val="auto"/>
                <w:szCs w:val="21"/>
              </w:rPr>
              <w:t>联系电话</w:t>
            </w:r>
          </w:p>
        </w:tc>
        <w:tc>
          <w:tcPr>
            <w:tcW w:w="3675" w:type="dxa"/>
            <w:gridSpan w:val="3"/>
            <w:vAlign w:val="center"/>
          </w:tcPr>
          <w:p>
            <w:pPr>
              <w:spacing w:line="360" w:lineRule="auto"/>
              <w:jc w:val="center"/>
              <w:rPr>
                <w:color w:val="auto"/>
                <w:szCs w:val="21"/>
              </w:rPr>
            </w:pPr>
          </w:p>
        </w:tc>
        <w:tc>
          <w:tcPr>
            <w:tcW w:w="1785" w:type="dxa"/>
            <w:vAlign w:val="center"/>
          </w:tcPr>
          <w:p>
            <w:pPr>
              <w:spacing w:line="360" w:lineRule="auto"/>
              <w:jc w:val="center"/>
              <w:rPr>
                <w:color w:val="auto"/>
                <w:szCs w:val="21"/>
              </w:rPr>
            </w:pPr>
            <w:r>
              <w:rPr>
                <w:color w:val="auto"/>
                <w:szCs w:val="21"/>
              </w:rPr>
              <w:t>传真</w:t>
            </w:r>
          </w:p>
        </w:tc>
        <w:tc>
          <w:tcPr>
            <w:tcW w:w="2234"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70" w:type="dxa"/>
            <w:vAlign w:val="center"/>
          </w:tcPr>
          <w:p>
            <w:pPr>
              <w:spacing w:line="360" w:lineRule="auto"/>
              <w:jc w:val="center"/>
              <w:rPr>
                <w:color w:val="auto"/>
                <w:szCs w:val="21"/>
              </w:rPr>
            </w:pPr>
            <w:r>
              <w:rPr>
                <w:color w:val="auto"/>
                <w:szCs w:val="21"/>
              </w:rPr>
              <w:t>主要业绩</w:t>
            </w:r>
          </w:p>
        </w:tc>
        <w:tc>
          <w:tcPr>
            <w:tcW w:w="7694" w:type="dxa"/>
            <w:gridSpan w:val="5"/>
            <w:vAlign w:val="center"/>
          </w:tcPr>
          <w:p>
            <w:pPr>
              <w:spacing w:line="360" w:lineRule="auto"/>
              <w:rPr>
                <w:color w:val="auto"/>
                <w:szCs w:val="21"/>
              </w:rPr>
            </w:pPr>
          </w:p>
          <w:p>
            <w:pPr>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64" w:type="dxa"/>
            <w:gridSpan w:val="6"/>
            <w:vAlign w:val="center"/>
          </w:tcPr>
          <w:p>
            <w:pPr>
              <w:spacing w:line="360" w:lineRule="auto"/>
              <w:jc w:val="center"/>
              <w:rPr>
                <w:color w:val="auto"/>
                <w:szCs w:val="21"/>
              </w:rPr>
            </w:pPr>
            <w:r>
              <w:rPr>
                <w:color w:val="auto"/>
                <w:szCs w:val="21"/>
              </w:rPr>
              <w:t>法定代表人基本情况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color w:val="auto"/>
                <w:szCs w:val="21"/>
              </w:rPr>
            </w:pPr>
            <w:r>
              <w:rPr>
                <w:color w:val="auto"/>
                <w:szCs w:val="21"/>
              </w:rPr>
              <w:t>姓名</w:t>
            </w:r>
          </w:p>
        </w:tc>
        <w:tc>
          <w:tcPr>
            <w:tcW w:w="3675" w:type="dxa"/>
            <w:gridSpan w:val="3"/>
            <w:vAlign w:val="center"/>
          </w:tcPr>
          <w:p>
            <w:pPr>
              <w:spacing w:line="360" w:lineRule="auto"/>
              <w:jc w:val="center"/>
              <w:rPr>
                <w:color w:val="auto"/>
                <w:szCs w:val="21"/>
              </w:rPr>
            </w:pPr>
          </w:p>
        </w:tc>
        <w:tc>
          <w:tcPr>
            <w:tcW w:w="1785" w:type="dxa"/>
            <w:vAlign w:val="center"/>
          </w:tcPr>
          <w:p>
            <w:pPr>
              <w:spacing w:line="360" w:lineRule="auto"/>
              <w:jc w:val="center"/>
              <w:rPr>
                <w:color w:val="auto"/>
                <w:szCs w:val="21"/>
              </w:rPr>
            </w:pPr>
            <w:r>
              <w:rPr>
                <w:color w:val="auto"/>
                <w:szCs w:val="21"/>
              </w:rPr>
              <w:t>身份证号码</w:t>
            </w:r>
          </w:p>
        </w:tc>
        <w:tc>
          <w:tcPr>
            <w:tcW w:w="2234"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color w:val="auto"/>
                <w:szCs w:val="21"/>
              </w:rPr>
            </w:pPr>
            <w:r>
              <w:rPr>
                <w:color w:val="auto"/>
                <w:szCs w:val="21"/>
              </w:rPr>
              <w:t>职务</w:t>
            </w:r>
          </w:p>
        </w:tc>
        <w:tc>
          <w:tcPr>
            <w:tcW w:w="1680" w:type="dxa"/>
            <w:vAlign w:val="center"/>
          </w:tcPr>
          <w:p>
            <w:pPr>
              <w:spacing w:line="360" w:lineRule="auto"/>
              <w:jc w:val="center"/>
              <w:rPr>
                <w:color w:val="auto"/>
                <w:szCs w:val="21"/>
              </w:rPr>
            </w:pPr>
          </w:p>
        </w:tc>
        <w:tc>
          <w:tcPr>
            <w:tcW w:w="1050" w:type="dxa"/>
            <w:vAlign w:val="center"/>
          </w:tcPr>
          <w:p>
            <w:pPr>
              <w:spacing w:line="360" w:lineRule="auto"/>
              <w:jc w:val="center"/>
              <w:rPr>
                <w:color w:val="auto"/>
                <w:szCs w:val="21"/>
              </w:rPr>
            </w:pPr>
            <w:r>
              <w:rPr>
                <w:color w:val="auto"/>
                <w:szCs w:val="21"/>
              </w:rPr>
              <w:t>职称</w:t>
            </w:r>
          </w:p>
        </w:tc>
        <w:tc>
          <w:tcPr>
            <w:tcW w:w="945" w:type="dxa"/>
            <w:vAlign w:val="center"/>
          </w:tcPr>
          <w:p>
            <w:pPr>
              <w:spacing w:line="360" w:lineRule="auto"/>
              <w:jc w:val="center"/>
              <w:rPr>
                <w:color w:val="auto"/>
                <w:szCs w:val="21"/>
              </w:rPr>
            </w:pPr>
          </w:p>
        </w:tc>
        <w:tc>
          <w:tcPr>
            <w:tcW w:w="1785" w:type="dxa"/>
            <w:vAlign w:val="center"/>
          </w:tcPr>
          <w:p>
            <w:pPr>
              <w:spacing w:line="360" w:lineRule="auto"/>
              <w:jc w:val="center"/>
              <w:rPr>
                <w:color w:val="auto"/>
                <w:szCs w:val="21"/>
              </w:rPr>
            </w:pPr>
            <w:r>
              <w:rPr>
                <w:color w:val="auto"/>
                <w:szCs w:val="21"/>
              </w:rPr>
              <w:t>学历</w:t>
            </w:r>
          </w:p>
        </w:tc>
        <w:tc>
          <w:tcPr>
            <w:tcW w:w="2234"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164" w:type="dxa"/>
            <w:gridSpan w:val="6"/>
          </w:tcPr>
          <w:p>
            <w:pPr>
              <w:spacing w:line="360" w:lineRule="auto"/>
              <w:rPr>
                <w:color w:val="auto"/>
                <w:szCs w:val="21"/>
              </w:rPr>
            </w:pPr>
            <w:r>
              <w:rPr>
                <w:color w:val="auto"/>
                <w:szCs w:val="21"/>
              </w:rPr>
              <w:t>备注</w:t>
            </w:r>
            <w:r>
              <w:rPr>
                <w:rFonts w:hint="eastAsia"/>
                <w:color w:val="auto"/>
                <w:szCs w:val="21"/>
              </w:rPr>
              <w:t>：</w:t>
            </w:r>
          </w:p>
        </w:tc>
      </w:tr>
    </w:tbl>
    <w:p>
      <w:pPr>
        <w:spacing w:line="360" w:lineRule="auto"/>
        <w:rPr>
          <w:b/>
          <w:color w:val="auto"/>
          <w:szCs w:val="21"/>
        </w:rPr>
      </w:pPr>
      <w:r>
        <w:rPr>
          <w:b/>
          <w:color w:val="auto"/>
          <w:szCs w:val="21"/>
        </w:rPr>
        <w:t>兹证明上述声明是真实、正确的，并提供了全部能提供的资料和数据，我们同意遵照贵方要求出示有关证明文件。</w:t>
      </w:r>
    </w:p>
    <w:p>
      <w:pPr>
        <w:spacing w:line="360" w:lineRule="auto"/>
        <w:rPr>
          <w:b/>
          <w:color w:val="auto"/>
        </w:rPr>
      </w:pPr>
    </w:p>
    <w:p>
      <w:pPr>
        <w:spacing w:line="360" w:lineRule="auto"/>
        <w:rPr>
          <w:b/>
          <w:color w:val="auto"/>
        </w:rPr>
      </w:pPr>
    </w:p>
    <w:p>
      <w:pPr>
        <w:rPr>
          <w:color w:val="auto"/>
          <w:szCs w:val="21"/>
        </w:rPr>
      </w:pPr>
    </w:p>
    <w:p>
      <w:pPr>
        <w:widowControl/>
        <w:spacing w:line="360" w:lineRule="auto"/>
        <w:ind w:firstLine="5460" w:firstLineChars="2600"/>
        <w:jc w:val="left"/>
        <w:rPr>
          <w:rFonts w:ascii="宋体" w:hAnsi="宋体" w:cs="宋体"/>
          <w:color w:val="auto"/>
          <w:szCs w:val="21"/>
        </w:rPr>
      </w:pPr>
      <w:r>
        <w:rPr>
          <w:rFonts w:hint="eastAsia" w:ascii="宋体" w:hAnsi="宋体" w:cs="宋体"/>
          <w:color w:val="auto"/>
          <w:szCs w:val="21"/>
        </w:rPr>
        <w:t>投 标 人（盖章）：</w:t>
      </w:r>
    </w:p>
    <w:p>
      <w:pPr>
        <w:pStyle w:val="16"/>
        <w:spacing w:line="360" w:lineRule="auto"/>
        <w:ind w:firstLine="5548" w:firstLineChars="2642"/>
        <w:rPr>
          <w:rFonts w:hAnsi="宋体" w:cs="宋体"/>
          <w:color w:val="auto"/>
          <w:sz w:val="21"/>
          <w:szCs w:val="21"/>
        </w:rPr>
      </w:pPr>
      <w:r>
        <w:rPr>
          <w:rFonts w:hint="eastAsia" w:hAnsi="宋体" w:cs="宋体"/>
          <w:color w:val="auto"/>
          <w:spacing w:val="0"/>
          <w:sz w:val="21"/>
          <w:szCs w:val="21"/>
        </w:rPr>
        <w:t>日    期：</w:t>
      </w:r>
    </w:p>
    <w:p>
      <w:pPr>
        <w:pStyle w:val="74"/>
        <w:rPr>
          <w:rFonts w:ascii="宋体" w:hAnsi="宋体" w:cs="宋体"/>
          <w:color w:val="auto"/>
          <w:szCs w:val="21"/>
        </w:rPr>
      </w:pPr>
    </w:p>
    <w:p>
      <w:pPr>
        <w:rPr>
          <w:rFonts w:ascii="宋体" w:hAnsi="宋体" w:cs="宋体"/>
          <w:b/>
          <w:bCs/>
          <w:color w:val="auto"/>
        </w:rPr>
      </w:pPr>
      <w:r>
        <w:rPr>
          <w:rFonts w:hint="eastAsia" w:ascii="宋体" w:hAnsi="宋体" w:cs="宋体"/>
          <w:color w:val="auto"/>
          <w:szCs w:val="21"/>
        </w:rPr>
        <w:br w:type="page"/>
      </w:r>
      <w:r>
        <w:rPr>
          <w:rFonts w:hint="eastAsia" w:ascii="宋体" w:hAnsi="宋体" w:cs="宋体"/>
          <w:b/>
          <w:bCs/>
          <w:color w:val="auto"/>
          <w:szCs w:val="21"/>
        </w:rPr>
        <w:t>7.类似项目业绩表</w:t>
      </w:r>
    </w:p>
    <w:p>
      <w:pPr>
        <w:spacing w:before="120" w:after="120"/>
        <w:jc w:val="center"/>
        <w:rPr>
          <w:rFonts w:ascii="宋体" w:hAnsi="宋体" w:cs="宋体"/>
          <w:b/>
          <w:bCs/>
          <w:color w:val="auto"/>
          <w:spacing w:val="20"/>
          <w:sz w:val="30"/>
          <w:szCs w:val="30"/>
        </w:rPr>
      </w:pPr>
      <w:r>
        <w:rPr>
          <w:rFonts w:hint="eastAsia" w:ascii="宋体" w:hAnsi="宋体" w:cs="宋体"/>
          <w:b/>
          <w:bCs/>
          <w:color w:val="auto"/>
          <w:spacing w:val="20"/>
          <w:sz w:val="30"/>
          <w:szCs w:val="30"/>
        </w:rPr>
        <w:t>类似项目业绩表</w:t>
      </w:r>
    </w:p>
    <w:p>
      <w:pPr>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 xml:space="preserve">项目名称：                                           项目编号：              </w:t>
      </w:r>
    </w:p>
    <w:tbl>
      <w:tblPr>
        <w:tblStyle w:val="39"/>
        <w:tblW w:w="0" w:type="auto"/>
        <w:tblInd w:w="-28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6"/>
        <w:gridCol w:w="193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716"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s="宋体"/>
                <w:color w:val="auto"/>
                <w:szCs w:val="21"/>
              </w:rPr>
            </w:pPr>
            <w:r>
              <w:rPr>
                <w:rFonts w:hint="eastAsia" w:ascii="宋体" w:hAnsi="宋体" w:cs="宋体"/>
                <w:color w:val="auto"/>
                <w:szCs w:val="21"/>
              </w:rPr>
              <w:t>序号</w:t>
            </w:r>
          </w:p>
        </w:tc>
        <w:tc>
          <w:tcPr>
            <w:tcW w:w="1932" w:type="dxa"/>
            <w:tcBorders>
              <w:top w:val="single" w:color="auto" w:sz="4" w:space="0"/>
              <w:bottom w:val="single" w:color="auto" w:sz="4" w:space="0"/>
            </w:tcBorders>
            <w:tcMar>
              <w:left w:w="0" w:type="dxa"/>
              <w:right w:w="0" w:type="dxa"/>
            </w:tcMar>
            <w:vAlign w:val="center"/>
          </w:tcPr>
          <w:p>
            <w:pPr>
              <w:spacing w:line="0" w:lineRule="atLeast"/>
              <w:jc w:val="center"/>
              <w:rPr>
                <w:rFonts w:ascii="宋体" w:hAnsi="宋体" w:cs="宋体"/>
                <w:color w:val="auto"/>
                <w:szCs w:val="21"/>
              </w:rPr>
            </w:pPr>
            <w:r>
              <w:rPr>
                <w:rFonts w:hint="eastAsia" w:ascii="宋体" w:hAnsi="宋体" w:cs="宋体"/>
                <w:color w:val="auto"/>
                <w:szCs w:val="21"/>
              </w:rPr>
              <w:t>项目名称</w:t>
            </w:r>
          </w:p>
        </w:tc>
        <w:tc>
          <w:tcPr>
            <w:tcW w:w="2028"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s="宋体"/>
                <w:color w:val="auto"/>
                <w:szCs w:val="21"/>
              </w:rPr>
            </w:pPr>
            <w:r>
              <w:rPr>
                <w:rFonts w:hint="eastAsia" w:ascii="宋体" w:hAnsi="宋体" w:cs="宋体"/>
                <w:color w:val="auto"/>
                <w:szCs w:val="21"/>
              </w:rPr>
              <w:t>用户名称</w:t>
            </w:r>
          </w:p>
        </w:tc>
        <w:tc>
          <w:tcPr>
            <w:tcW w:w="1143"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s="宋体"/>
                <w:color w:val="auto"/>
                <w:szCs w:val="21"/>
              </w:rPr>
            </w:pPr>
            <w:r>
              <w:rPr>
                <w:rFonts w:hint="eastAsia" w:ascii="宋体" w:hAnsi="宋体" w:cs="宋体"/>
                <w:color w:val="auto"/>
                <w:szCs w:val="21"/>
              </w:rPr>
              <w:t>合同金额</w:t>
            </w:r>
          </w:p>
        </w:tc>
        <w:tc>
          <w:tcPr>
            <w:tcW w:w="1260"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s="宋体"/>
                <w:color w:val="auto"/>
                <w:szCs w:val="21"/>
              </w:rPr>
            </w:pPr>
            <w:r>
              <w:rPr>
                <w:rFonts w:hint="eastAsia" w:ascii="宋体" w:hAnsi="宋体" w:cs="宋体"/>
                <w:color w:val="auto"/>
                <w:szCs w:val="21"/>
              </w:rPr>
              <w:t>合同签订时间</w:t>
            </w:r>
          </w:p>
        </w:tc>
        <w:tc>
          <w:tcPr>
            <w:tcW w:w="2052"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s="宋体"/>
                <w:color w:val="auto"/>
                <w:szCs w:val="21"/>
              </w:rPr>
            </w:pPr>
            <w:r>
              <w:rPr>
                <w:rFonts w:hint="eastAsia" w:ascii="宋体" w:hAnsi="宋体" w:cs="宋体"/>
                <w:color w:val="auto"/>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Borders>
              <w:top w:val="single" w:color="auto" w:sz="4" w:space="0"/>
            </w:tcBorders>
            <w:tcMar>
              <w:left w:w="0" w:type="dxa"/>
              <w:right w:w="0" w:type="dxa"/>
            </w:tcMar>
            <w:vAlign w:val="center"/>
          </w:tcPr>
          <w:p>
            <w:pPr>
              <w:spacing w:line="0" w:lineRule="atLeast"/>
              <w:jc w:val="center"/>
              <w:rPr>
                <w:rFonts w:ascii="宋体" w:hAnsi="宋体" w:cs="宋体"/>
                <w:color w:val="auto"/>
                <w:szCs w:val="21"/>
              </w:rPr>
            </w:pPr>
          </w:p>
        </w:tc>
        <w:tc>
          <w:tcPr>
            <w:tcW w:w="1932" w:type="dxa"/>
            <w:tcBorders>
              <w:top w:val="single" w:color="auto" w:sz="4" w:space="0"/>
            </w:tcBorders>
            <w:tcMar>
              <w:left w:w="0" w:type="dxa"/>
              <w:right w:w="0" w:type="dxa"/>
            </w:tcMar>
            <w:vAlign w:val="center"/>
          </w:tcPr>
          <w:p>
            <w:pPr>
              <w:spacing w:line="0" w:lineRule="atLeast"/>
              <w:jc w:val="center"/>
              <w:rPr>
                <w:rFonts w:ascii="宋体" w:hAnsi="宋体" w:cs="宋体"/>
                <w:color w:val="auto"/>
                <w:szCs w:val="21"/>
              </w:rPr>
            </w:pPr>
          </w:p>
        </w:tc>
        <w:tc>
          <w:tcPr>
            <w:tcW w:w="2028" w:type="dxa"/>
            <w:tcBorders>
              <w:top w:val="single" w:color="auto" w:sz="4" w:space="0"/>
            </w:tcBorders>
            <w:tcMar>
              <w:left w:w="0" w:type="dxa"/>
              <w:right w:w="0" w:type="dxa"/>
            </w:tcMar>
            <w:vAlign w:val="center"/>
          </w:tcPr>
          <w:p>
            <w:pPr>
              <w:spacing w:line="0" w:lineRule="atLeast"/>
              <w:jc w:val="center"/>
              <w:rPr>
                <w:rFonts w:ascii="宋体" w:hAnsi="宋体" w:cs="宋体"/>
                <w:color w:val="auto"/>
                <w:szCs w:val="21"/>
              </w:rPr>
            </w:pPr>
          </w:p>
        </w:tc>
        <w:tc>
          <w:tcPr>
            <w:tcW w:w="1143" w:type="dxa"/>
            <w:tcBorders>
              <w:top w:val="single" w:color="auto" w:sz="4" w:space="0"/>
            </w:tcBorders>
            <w:tcMar>
              <w:left w:w="0" w:type="dxa"/>
              <w:right w:w="0" w:type="dxa"/>
            </w:tcMar>
            <w:vAlign w:val="center"/>
          </w:tcPr>
          <w:p>
            <w:pPr>
              <w:spacing w:line="0" w:lineRule="atLeast"/>
              <w:jc w:val="center"/>
              <w:rPr>
                <w:rFonts w:ascii="宋体" w:hAnsi="宋体" w:cs="宋体"/>
                <w:color w:val="auto"/>
                <w:szCs w:val="21"/>
              </w:rPr>
            </w:pPr>
          </w:p>
        </w:tc>
        <w:tc>
          <w:tcPr>
            <w:tcW w:w="1260" w:type="dxa"/>
            <w:tcBorders>
              <w:top w:val="single" w:color="auto" w:sz="4" w:space="0"/>
            </w:tcBorders>
            <w:tcMar>
              <w:left w:w="0" w:type="dxa"/>
              <w:right w:w="0" w:type="dxa"/>
            </w:tcMar>
            <w:vAlign w:val="center"/>
          </w:tcPr>
          <w:p>
            <w:pPr>
              <w:spacing w:line="0" w:lineRule="atLeast"/>
              <w:jc w:val="center"/>
              <w:rPr>
                <w:rFonts w:ascii="宋体" w:hAnsi="宋体" w:cs="宋体"/>
                <w:color w:val="auto"/>
                <w:szCs w:val="21"/>
              </w:rPr>
            </w:pPr>
          </w:p>
        </w:tc>
        <w:tc>
          <w:tcPr>
            <w:tcW w:w="2052" w:type="dxa"/>
            <w:tcBorders>
              <w:top w:val="single" w:color="auto" w:sz="4" w:space="0"/>
            </w:tcBorders>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ascii="宋体" w:hAnsi="宋体" w:cs="宋体"/>
                <w:color w:val="auto"/>
                <w:szCs w:val="21"/>
              </w:rPr>
            </w:pPr>
          </w:p>
        </w:tc>
        <w:tc>
          <w:tcPr>
            <w:tcW w:w="1932" w:type="dxa"/>
            <w:tcMar>
              <w:left w:w="0" w:type="dxa"/>
              <w:right w:w="0" w:type="dxa"/>
            </w:tcMar>
            <w:vAlign w:val="center"/>
          </w:tcPr>
          <w:p>
            <w:pPr>
              <w:spacing w:line="0" w:lineRule="atLeast"/>
              <w:jc w:val="center"/>
              <w:rPr>
                <w:rFonts w:ascii="宋体" w:hAnsi="宋体" w:cs="宋体"/>
                <w:color w:val="auto"/>
                <w:szCs w:val="21"/>
              </w:rPr>
            </w:pPr>
          </w:p>
        </w:tc>
        <w:tc>
          <w:tcPr>
            <w:tcW w:w="2028" w:type="dxa"/>
            <w:tcMar>
              <w:left w:w="0" w:type="dxa"/>
              <w:right w:w="0" w:type="dxa"/>
            </w:tcMar>
            <w:vAlign w:val="center"/>
          </w:tcPr>
          <w:p>
            <w:pPr>
              <w:spacing w:line="0" w:lineRule="atLeast"/>
              <w:jc w:val="center"/>
              <w:rPr>
                <w:rFonts w:ascii="宋体" w:hAnsi="宋体" w:cs="宋体"/>
                <w:color w:val="auto"/>
                <w:szCs w:val="21"/>
              </w:rPr>
            </w:pPr>
          </w:p>
        </w:tc>
        <w:tc>
          <w:tcPr>
            <w:tcW w:w="1143" w:type="dxa"/>
            <w:tcMar>
              <w:left w:w="0" w:type="dxa"/>
              <w:right w:w="0" w:type="dxa"/>
            </w:tcMar>
            <w:vAlign w:val="center"/>
          </w:tcPr>
          <w:p>
            <w:pPr>
              <w:spacing w:line="0" w:lineRule="atLeast"/>
              <w:jc w:val="center"/>
              <w:rPr>
                <w:rFonts w:ascii="宋体" w:hAnsi="宋体" w:cs="宋体"/>
                <w:color w:val="auto"/>
                <w:szCs w:val="21"/>
              </w:rPr>
            </w:pPr>
          </w:p>
        </w:tc>
        <w:tc>
          <w:tcPr>
            <w:tcW w:w="1260" w:type="dxa"/>
            <w:tcMar>
              <w:left w:w="0" w:type="dxa"/>
              <w:right w:w="0" w:type="dxa"/>
            </w:tcMar>
            <w:vAlign w:val="center"/>
          </w:tcPr>
          <w:p>
            <w:pPr>
              <w:spacing w:line="0" w:lineRule="atLeast"/>
              <w:jc w:val="center"/>
              <w:rPr>
                <w:rFonts w:ascii="宋体" w:hAnsi="宋体" w:cs="宋体"/>
                <w:color w:val="auto"/>
                <w:szCs w:val="21"/>
              </w:rPr>
            </w:pPr>
          </w:p>
        </w:tc>
        <w:tc>
          <w:tcPr>
            <w:tcW w:w="2052" w:type="dxa"/>
            <w:tcMar>
              <w:left w:w="0" w:type="dxa"/>
              <w:right w:w="0" w:type="dxa"/>
            </w:tcMar>
            <w:vAlign w:val="center"/>
          </w:tcPr>
          <w:p>
            <w:pPr>
              <w:spacing w:line="0" w:lineRule="atLeast"/>
              <w:jc w:val="center"/>
              <w:rPr>
                <w:rFonts w:ascii="宋体" w:hAnsi="宋体" w:cs="宋体"/>
                <w:color w:val="auto"/>
                <w:szCs w:val="21"/>
              </w:rPr>
            </w:pPr>
          </w:p>
        </w:tc>
      </w:tr>
    </w:tbl>
    <w:p>
      <w:pPr>
        <w:spacing w:line="0" w:lineRule="atLeast"/>
        <w:rPr>
          <w:rFonts w:ascii="宋体" w:hAnsi="宋体" w:cs="宋体"/>
          <w:color w:val="auto"/>
          <w:szCs w:val="21"/>
        </w:rPr>
      </w:pPr>
    </w:p>
    <w:p>
      <w:pPr>
        <w:spacing w:line="0" w:lineRule="atLeast"/>
        <w:rPr>
          <w:rFonts w:ascii="宋体" w:hAnsi="宋体" w:cs="宋体"/>
          <w:color w:val="auto"/>
          <w:szCs w:val="21"/>
        </w:rPr>
      </w:pPr>
    </w:p>
    <w:p>
      <w:pPr>
        <w:widowControl/>
        <w:spacing w:line="360" w:lineRule="auto"/>
        <w:ind w:firstLine="5460" w:firstLineChars="2600"/>
        <w:jc w:val="left"/>
        <w:rPr>
          <w:rFonts w:ascii="宋体" w:hAnsi="宋体" w:cs="宋体"/>
          <w:color w:val="auto"/>
          <w:szCs w:val="21"/>
        </w:rPr>
      </w:pPr>
      <w:r>
        <w:rPr>
          <w:rFonts w:hint="eastAsia" w:ascii="宋体" w:hAnsi="宋体" w:cs="宋体"/>
          <w:color w:val="auto"/>
          <w:szCs w:val="21"/>
        </w:rPr>
        <w:t>投 标 人（盖章）：</w:t>
      </w:r>
    </w:p>
    <w:p>
      <w:pPr>
        <w:pStyle w:val="16"/>
        <w:spacing w:line="360" w:lineRule="auto"/>
        <w:ind w:firstLine="5548" w:firstLineChars="2642"/>
        <w:rPr>
          <w:rFonts w:hAnsi="宋体" w:cs="宋体"/>
          <w:color w:val="auto"/>
          <w:sz w:val="21"/>
          <w:szCs w:val="21"/>
        </w:rPr>
      </w:pPr>
      <w:r>
        <w:rPr>
          <w:rFonts w:hint="eastAsia" w:hAnsi="宋体" w:cs="宋体"/>
          <w:color w:val="auto"/>
          <w:spacing w:val="0"/>
          <w:sz w:val="21"/>
          <w:szCs w:val="21"/>
        </w:rPr>
        <w:t>日    期：</w:t>
      </w:r>
    </w:p>
    <w:p>
      <w:pPr>
        <w:rPr>
          <w:color w:val="auto"/>
        </w:rPr>
      </w:pPr>
    </w:p>
    <w:p>
      <w:pPr>
        <w:pStyle w:val="11"/>
        <w:ind w:left="420" w:firstLine="0"/>
        <w:rPr>
          <w:rFonts w:ascii="宋体" w:hAnsi="宋体" w:cs="宋体"/>
          <w:color w:val="auto"/>
        </w:rPr>
      </w:pPr>
    </w:p>
    <w:p>
      <w:pPr>
        <w:rPr>
          <w:rFonts w:ascii="宋体" w:hAnsi="宋体" w:cs="宋体"/>
          <w:color w:val="auto"/>
        </w:rPr>
      </w:pPr>
    </w:p>
    <w:p>
      <w:pPr>
        <w:pStyle w:val="16"/>
        <w:widowControl/>
        <w:spacing w:line="360" w:lineRule="auto"/>
        <w:ind w:firstLine="4498" w:firstLineChars="2142"/>
        <w:jc w:val="left"/>
        <w:rPr>
          <w:rFonts w:hAnsi="宋体" w:cs="宋体"/>
          <w:color w:val="auto"/>
          <w:spacing w:val="0"/>
          <w:sz w:val="21"/>
          <w:szCs w:val="21"/>
        </w:rPr>
      </w:pPr>
    </w:p>
    <w:p>
      <w:pPr>
        <w:rPr>
          <w:rFonts w:ascii="宋体" w:hAnsi="宋体" w:cs="宋体"/>
          <w:color w:val="auto"/>
        </w:rPr>
      </w:pPr>
    </w:p>
    <w:p>
      <w:pPr>
        <w:spacing w:line="360" w:lineRule="auto"/>
        <w:ind w:firstLine="103" w:firstLineChars="49"/>
        <w:rPr>
          <w:rFonts w:ascii="宋体" w:hAnsi="宋体" w:cs="宋体"/>
          <w:b/>
          <w:color w:val="auto"/>
          <w:szCs w:val="21"/>
        </w:rPr>
      </w:pPr>
    </w:p>
    <w:p>
      <w:pPr>
        <w:spacing w:line="360" w:lineRule="auto"/>
        <w:jc w:val="left"/>
        <w:rPr>
          <w:rFonts w:ascii="宋体" w:hAnsi="宋体" w:cs="宋体"/>
          <w:b/>
          <w:color w:val="auto"/>
          <w:sz w:val="30"/>
          <w:szCs w:val="30"/>
        </w:rPr>
      </w:pPr>
      <w:r>
        <w:rPr>
          <w:rFonts w:hint="eastAsia" w:ascii="宋体" w:hAnsi="宋体" w:cs="宋体"/>
          <w:b/>
          <w:color w:val="auto"/>
          <w:sz w:val="30"/>
          <w:szCs w:val="30"/>
        </w:rPr>
        <w:br w:type="page"/>
      </w:r>
      <w:r>
        <w:rPr>
          <w:rFonts w:hint="eastAsia" w:ascii="宋体" w:hAnsi="宋体" w:cs="宋体"/>
          <w:b/>
          <w:bCs/>
          <w:color w:val="auto"/>
          <w:szCs w:val="21"/>
        </w:rPr>
        <w:t>8.商务条款偏离表</w:t>
      </w:r>
    </w:p>
    <w:p>
      <w:pPr>
        <w:spacing w:line="360" w:lineRule="auto"/>
        <w:jc w:val="center"/>
        <w:rPr>
          <w:rFonts w:ascii="宋体" w:hAnsi="宋体" w:cs="宋体"/>
          <w:b/>
          <w:color w:val="auto"/>
          <w:sz w:val="30"/>
          <w:szCs w:val="30"/>
        </w:rPr>
      </w:pPr>
      <w:r>
        <w:rPr>
          <w:rFonts w:hint="eastAsia" w:ascii="宋体" w:hAnsi="宋体" w:cs="宋体"/>
          <w:b/>
          <w:color w:val="auto"/>
          <w:sz w:val="30"/>
          <w:szCs w:val="30"/>
        </w:rPr>
        <w:t>商务条款偏离表</w:t>
      </w:r>
    </w:p>
    <w:p>
      <w:pPr>
        <w:spacing w:line="360" w:lineRule="auto"/>
        <w:ind w:firstLine="3089"/>
        <w:rPr>
          <w:rFonts w:ascii="宋体" w:hAnsi="宋体" w:cs="宋体"/>
          <w:b/>
          <w:color w:val="auto"/>
          <w:szCs w:val="21"/>
        </w:rPr>
      </w:pPr>
    </w:p>
    <w:p>
      <w:pPr>
        <w:spacing w:afterLines="50" w:line="360" w:lineRule="auto"/>
        <w:rPr>
          <w:rFonts w:ascii="宋体" w:hAnsi="宋体" w:cs="宋体"/>
          <w:color w:val="auto"/>
          <w:szCs w:val="21"/>
        </w:rPr>
      </w:pPr>
      <w:r>
        <w:rPr>
          <w:rFonts w:hint="eastAsia" w:ascii="宋体" w:hAnsi="宋体" w:cs="宋体"/>
          <w:color w:val="auto"/>
          <w:szCs w:val="21"/>
        </w:rPr>
        <w:t xml:space="preserve">项目名称：                                     项目编号：                 </w:t>
      </w:r>
    </w:p>
    <w:tbl>
      <w:tblPr>
        <w:tblStyle w:val="39"/>
        <w:tblW w:w="9213" w:type="dxa"/>
        <w:tblInd w:w="10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70"/>
        <w:gridCol w:w="3098"/>
        <w:gridCol w:w="2694"/>
        <w:gridCol w:w="25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vAlign w:val="center"/>
          </w:tcPr>
          <w:p>
            <w:pPr>
              <w:pStyle w:val="21"/>
              <w:spacing w:beforeLines="0" w:afterLines="0"/>
              <w:rPr>
                <w:rFonts w:hAnsi="宋体" w:cs="宋体"/>
                <w:color w:val="auto"/>
                <w:sz w:val="21"/>
                <w:szCs w:val="21"/>
              </w:rPr>
            </w:pPr>
            <w:r>
              <w:rPr>
                <w:rFonts w:hint="eastAsia" w:hAnsi="宋体" w:cs="宋体"/>
                <w:color w:val="auto"/>
                <w:sz w:val="21"/>
                <w:szCs w:val="21"/>
              </w:rPr>
              <w:t>序号</w:t>
            </w:r>
          </w:p>
        </w:tc>
        <w:tc>
          <w:tcPr>
            <w:tcW w:w="3098" w:type="dxa"/>
            <w:vAlign w:val="center"/>
          </w:tcPr>
          <w:p>
            <w:pPr>
              <w:pStyle w:val="21"/>
              <w:spacing w:beforeLines="0" w:afterLines="0"/>
              <w:rPr>
                <w:rFonts w:hAnsi="宋体" w:cs="宋体"/>
                <w:color w:val="auto"/>
                <w:sz w:val="21"/>
                <w:szCs w:val="21"/>
              </w:rPr>
            </w:pPr>
            <w:r>
              <w:rPr>
                <w:rFonts w:hint="eastAsia" w:hAnsi="宋体" w:cs="宋体"/>
                <w:color w:val="auto"/>
                <w:sz w:val="21"/>
                <w:szCs w:val="21"/>
              </w:rPr>
              <w:t>招标文件的商务条款</w:t>
            </w:r>
          </w:p>
        </w:tc>
        <w:tc>
          <w:tcPr>
            <w:tcW w:w="2694" w:type="dxa"/>
            <w:vAlign w:val="center"/>
          </w:tcPr>
          <w:p>
            <w:pPr>
              <w:pStyle w:val="21"/>
              <w:spacing w:beforeLines="0" w:afterLines="0"/>
              <w:rPr>
                <w:rFonts w:hAnsi="宋体" w:cs="宋体"/>
                <w:color w:val="auto"/>
                <w:sz w:val="21"/>
                <w:szCs w:val="21"/>
              </w:rPr>
            </w:pPr>
            <w:r>
              <w:rPr>
                <w:rFonts w:hint="eastAsia" w:hAnsi="宋体" w:cs="宋体"/>
                <w:color w:val="auto"/>
                <w:sz w:val="21"/>
                <w:szCs w:val="21"/>
              </w:rPr>
              <w:t>投标文件的商务条款</w:t>
            </w:r>
          </w:p>
        </w:tc>
        <w:tc>
          <w:tcPr>
            <w:tcW w:w="2551" w:type="dxa"/>
            <w:vAlign w:val="center"/>
          </w:tcPr>
          <w:p>
            <w:pPr>
              <w:pStyle w:val="21"/>
              <w:spacing w:beforeLines="0" w:afterLines="0"/>
              <w:rPr>
                <w:rFonts w:hAnsi="宋体" w:cs="宋体"/>
                <w:color w:val="auto"/>
                <w:sz w:val="21"/>
                <w:szCs w:val="21"/>
              </w:rPr>
            </w:pPr>
            <w:r>
              <w:rPr>
                <w:rFonts w:hint="eastAsia" w:hAnsi="宋体" w:cs="宋体"/>
                <w:color w:val="auto"/>
                <w:sz w:val="21"/>
                <w:szCs w:val="21"/>
              </w:rPr>
              <w:t>说明（填写：正偏离/负偏离/无偏离）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snapToGrid w:val="0"/>
              <w:spacing w:beforeLines="0" w:afterLines="0"/>
              <w:ind w:firstLine="542"/>
              <w:rPr>
                <w:rFonts w:hAnsi="宋体" w:cs="宋体"/>
                <w:color w:val="auto"/>
                <w:sz w:val="21"/>
                <w:szCs w:val="21"/>
                <w:u w:val="single"/>
              </w:rPr>
            </w:pPr>
          </w:p>
        </w:tc>
        <w:tc>
          <w:tcPr>
            <w:tcW w:w="3098" w:type="dxa"/>
          </w:tcPr>
          <w:p>
            <w:pPr>
              <w:pStyle w:val="21"/>
              <w:snapToGrid w:val="0"/>
              <w:spacing w:beforeLines="0" w:afterLines="0"/>
              <w:ind w:firstLine="542"/>
              <w:rPr>
                <w:rFonts w:hAnsi="宋体" w:cs="宋体"/>
                <w:color w:val="auto"/>
                <w:sz w:val="21"/>
                <w:szCs w:val="21"/>
                <w:u w:val="single"/>
              </w:rPr>
            </w:pPr>
          </w:p>
        </w:tc>
        <w:tc>
          <w:tcPr>
            <w:tcW w:w="2694" w:type="dxa"/>
          </w:tcPr>
          <w:p>
            <w:pPr>
              <w:pStyle w:val="21"/>
              <w:snapToGrid w:val="0"/>
              <w:spacing w:beforeLines="0" w:afterLines="0"/>
              <w:ind w:firstLine="542"/>
              <w:rPr>
                <w:rFonts w:hAnsi="宋体" w:cs="宋体"/>
                <w:color w:val="auto"/>
                <w:sz w:val="21"/>
                <w:szCs w:val="21"/>
                <w:u w:val="single"/>
              </w:rPr>
            </w:pPr>
          </w:p>
        </w:tc>
        <w:tc>
          <w:tcPr>
            <w:tcW w:w="2551" w:type="dxa"/>
          </w:tcPr>
          <w:p>
            <w:pPr>
              <w:pStyle w:val="21"/>
              <w:snapToGrid w:val="0"/>
              <w:spacing w:beforeLines="0" w:afterLines="0"/>
              <w:ind w:firstLine="542"/>
              <w:rPr>
                <w:rFonts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snapToGrid w:val="0"/>
              <w:spacing w:beforeLines="0" w:afterLines="0"/>
              <w:ind w:firstLine="542"/>
              <w:rPr>
                <w:rFonts w:hAnsi="宋体" w:cs="宋体"/>
                <w:color w:val="auto"/>
                <w:sz w:val="21"/>
                <w:szCs w:val="21"/>
                <w:u w:val="single"/>
              </w:rPr>
            </w:pPr>
          </w:p>
        </w:tc>
        <w:tc>
          <w:tcPr>
            <w:tcW w:w="3098" w:type="dxa"/>
          </w:tcPr>
          <w:p>
            <w:pPr>
              <w:pStyle w:val="21"/>
              <w:snapToGrid w:val="0"/>
              <w:spacing w:beforeLines="0" w:afterLines="0"/>
              <w:ind w:firstLine="542"/>
              <w:rPr>
                <w:rFonts w:hAnsi="宋体" w:cs="宋体"/>
                <w:color w:val="auto"/>
                <w:sz w:val="21"/>
                <w:szCs w:val="21"/>
                <w:u w:val="single"/>
              </w:rPr>
            </w:pPr>
          </w:p>
        </w:tc>
        <w:tc>
          <w:tcPr>
            <w:tcW w:w="2694" w:type="dxa"/>
          </w:tcPr>
          <w:p>
            <w:pPr>
              <w:pStyle w:val="21"/>
              <w:snapToGrid w:val="0"/>
              <w:spacing w:beforeLines="0" w:afterLines="0"/>
              <w:ind w:firstLine="542"/>
              <w:rPr>
                <w:rFonts w:hAnsi="宋体" w:cs="宋体"/>
                <w:color w:val="auto"/>
                <w:sz w:val="21"/>
                <w:szCs w:val="21"/>
                <w:u w:val="single"/>
              </w:rPr>
            </w:pPr>
          </w:p>
        </w:tc>
        <w:tc>
          <w:tcPr>
            <w:tcW w:w="2551" w:type="dxa"/>
          </w:tcPr>
          <w:p>
            <w:pPr>
              <w:pStyle w:val="21"/>
              <w:snapToGrid w:val="0"/>
              <w:spacing w:beforeLines="0" w:afterLines="0"/>
              <w:ind w:firstLine="542"/>
              <w:rPr>
                <w:rFonts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snapToGrid w:val="0"/>
              <w:spacing w:beforeLines="0" w:afterLines="0"/>
              <w:ind w:firstLine="542"/>
              <w:rPr>
                <w:rFonts w:hAnsi="宋体" w:cs="宋体"/>
                <w:color w:val="auto"/>
                <w:sz w:val="21"/>
                <w:szCs w:val="21"/>
                <w:u w:val="single"/>
              </w:rPr>
            </w:pPr>
          </w:p>
        </w:tc>
        <w:tc>
          <w:tcPr>
            <w:tcW w:w="3098" w:type="dxa"/>
          </w:tcPr>
          <w:p>
            <w:pPr>
              <w:pStyle w:val="21"/>
              <w:snapToGrid w:val="0"/>
              <w:spacing w:beforeLines="0" w:afterLines="0"/>
              <w:ind w:firstLine="542"/>
              <w:rPr>
                <w:rFonts w:hAnsi="宋体" w:cs="宋体"/>
                <w:color w:val="auto"/>
                <w:sz w:val="21"/>
                <w:szCs w:val="21"/>
                <w:u w:val="single"/>
              </w:rPr>
            </w:pPr>
          </w:p>
        </w:tc>
        <w:tc>
          <w:tcPr>
            <w:tcW w:w="2694" w:type="dxa"/>
          </w:tcPr>
          <w:p>
            <w:pPr>
              <w:pStyle w:val="21"/>
              <w:snapToGrid w:val="0"/>
              <w:spacing w:beforeLines="0" w:afterLines="0"/>
              <w:ind w:firstLine="542"/>
              <w:rPr>
                <w:rFonts w:hAnsi="宋体" w:cs="宋体"/>
                <w:color w:val="auto"/>
                <w:sz w:val="21"/>
                <w:szCs w:val="21"/>
                <w:u w:val="single"/>
              </w:rPr>
            </w:pPr>
          </w:p>
        </w:tc>
        <w:tc>
          <w:tcPr>
            <w:tcW w:w="2551" w:type="dxa"/>
          </w:tcPr>
          <w:p>
            <w:pPr>
              <w:pStyle w:val="21"/>
              <w:snapToGrid w:val="0"/>
              <w:spacing w:beforeLines="0" w:afterLines="0"/>
              <w:ind w:firstLine="542"/>
              <w:rPr>
                <w:rFonts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snapToGrid w:val="0"/>
              <w:spacing w:beforeLines="0" w:afterLines="0"/>
              <w:ind w:firstLine="542"/>
              <w:rPr>
                <w:rFonts w:hAnsi="宋体" w:cs="宋体"/>
                <w:color w:val="auto"/>
                <w:sz w:val="21"/>
                <w:szCs w:val="21"/>
                <w:u w:val="single"/>
              </w:rPr>
            </w:pPr>
          </w:p>
        </w:tc>
        <w:tc>
          <w:tcPr>
            <w:tcW w:w="3098" w:type="dxa"/>
          </w:tcPr>
          <w:p>
            <w:pPr>
              <w:pStyle w:val="21"/>
              <w:snapToGrid w:val="0"/>
              <w:spacing w:beforeLines="0" w:afterLines="0"/>
              <w:ind w:firstLine="542"/>
              <w:rPr>
                <w:rFonts w:hAnsi="宋体" w:cs="宋体"/>
                <w:color w:val="auto"/>
                <w:sz w:val="21"/>
                <w:szCs w:val="21"/>
                <w:u w:val="single"/>
              </w:rPr>
            </w:pPr>
          </w:p>
        </w:tc>
        <w:tc>
          <w:tcPr>
            <w:tcW w:w="2694" w:type="dxa"/>
          </w:tcPr>
          <w:p>
            <w:pPr>
              <w:pStyle w:val="21"/>
              <w:snapToGrid w:val="0"/>
              <w:spacing w:beforeLines="0" w:afterLines="0"/>
              <w:ind w:firstLine="542"/>
              <w:rPr>
                <w:rFonts w:hAnsi="宋体" w:cs="宋体"/>
                <w:color w:val="auto"/>
                <w:sz w:val="21"/>
                <w:szCs w:val="21"/>
                <w:u w:val="single"/>
              </w:rPr>
            </w:pPr>
          </w:p>
        </w:tc>
        <w:tc>
          <w:tcPr>
            <w:tcW w:w="2551" w:type="dxa"/>
          </w:tcPr>
          <w:p>
            <w:pPr>
              <w:pStyle w:val="21"/>
              <w:snapToGrid w:val="0"/>
              <w:spacing w:beforeLines="0" w:afterLines="0"/>
              <w:ind w:firstLine="542"/>
              <w:rPr>
                <w:rFonts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snapToGrid w:val="0"/>
              <w:spacing w:beforeLines="0" w:afterLines="0"/>
              <w:ind w:firstLine="542"/>
              <w:rPr>
                <w:rFonts w:hAnsi="宋体" w:cs="宋体"/>
                <w:color w:val="auto"/>
                <w:sz w:val="21"/>
                <w:szCs w:val="21"/>
                <w:u w:val="single"/>
              </w:rPr>
            </w:pPr>
          </w:p>
        </w:tc>
        <w:tc>
          <w:tcPr>
            <w:tcW w:w="3098" w:type="dxa"/>
          </w:tcPr>
          <w:p>
            <w:pPr>
              <w:pStyle w:val="21"/>
              <w:snapToGrid w:val="0"/>
              <w:spacing w:beforeLines="0" w:afterLines="0"/>
              <w:ind w:firstLine="542"/>
              <w:rPr>
                <w:rFonts w:hAnsi="宋体" w:cs="宋体"/>
                <w:color w:val="auto"/>
                <w:sz w:val="21"/>
                <w:szCs w:val="21"/>
                <w:u w:val="single"/>
              </w:rPr>
            </w:pPr>
          </w:p>
        </w:tc>
        <w:tc>
          <w:tcPr>
            <w:tcW w:w="2694" w:type="dxa"/>
          </w:tcPr>
          <w:p>
            <w:pPr>
              <w:pStyle w:val="21"/>
              <w:snapToGrid w:val="0"/>
              <w:spacing w:beforeLines="0" w:afterLines="0"/>
              <w:ind w:firstLine="542"/>
              <w:rPr>
                <w:rFonts w:hAnsi="宋体" w:cs="宋体"/>
                <w:color w:val="auto"/>
                <w:sz w:val="21"/>
                <w:szCs w:val="21"/>
                <w:u w:val="single"/>
              </w:rPr>
            </w:pPr>
          </w:p>
        </w:tc>
        <w:tc>
          <w:tcPr>
            <w:tcW w:w="2551" w:type="dxa"/>
          </w:tcPr>
          <w:p>
            <w:pPr>
              <w:pStyle w:val="21"/>
              <w:snapToGrid w:val="0"/>
              <w:spacing w:beforeLines="0" w:afterLines="0"/>
              <w:ind w:firstLine="542"/>
              <w:rPr>
                <w:rFonts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snapToGrid w:val="0"/>
              <w:spacing w:beforeLines="0" w:afterLines="0"/>
              <w:ind w:firstLine="542"/>
              <w:rPr>
                <w:rFonts w:hAnsi="宋体" w:cs="宋体"/>
                <w:color w:val="auto"/>
                <w:sz w:val="21"/>
                <w:szCs w:val="21"/>
                <w:u w:val="single"/>
              </w:rPr>
            </w:pPr>
          </w:p>
        </w:tc>
        <w:tc>
          <w:tcPr>
            <w:tcW w:w="3098" w:type="dxa"/>
          </w:tcPr>
          <w:p>
            <w:pPr>
              <w:pStyle w:val="21"/>
              <w:snapToGrid w:val="0"/>
              <w:spacing w:beforeLines="0" w:afterLines="0"/>
              <w:ind w:firstLine="542"/>
              <w:rPr>
                <w:rFonts w:hAnsi="宋体" w:cs="宋体"/>
                <w:color w:val="auto"/>
                <w:sz w:val="21"/>
                <w:szCs w:val="21"/>
                <w:u w:val="single"/>
              </w:rPr>
            </w:pPr>
          </w:p>
        </w:tc>
        <w:tc>
          <w:tcPr>
            <w:tcW w:w="2694" w:type="dxa"/>
          </w:tcPr>
          <w:p>
            <w:pPr>
              <w:pStyle w:val="21"/>
              <w:snapToGrid w:val="0"/>
              <w:spacing w:beforeLines="0" w:afterLines="0"/>
              <w:ind w:firstLine="542"/>
              <w:rPr>
                <w:rFonts w:hAnsi="宋体" w:cs="宋体"/>
                <w:color w:val="auto"/>
                <w:sz w:val="21"/>
                <w:szCs w:val="21"/>
                <w:u w:val="single"/>
              </w:rPr>
            </w:pPr>
          </w:p>
        </w:tc>
        <w:tc>
          <w:tcPr>
            <w:tcW w:w="2551" w:type="dxa"/>
          </w:tcPr>
          <w:p>
            <w:pPr>
              <w:pStyle w:val="21"/>
              <w:snapToGrid w:val="0"/>
              <w:spacing w:beforeLines="0" w:afterLines="0"/>
              <w:ind w:firstLine="542"/>
              <w:rPr>
                <w:rFonts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snapToGrid w:val="0"/>
              <w:spacing w:beforeLines="0" w:afterLines="0"/>
              <w:ind w:firstLine="542"/>
              <w:rPr>
                <w:rFonts w:hAnsi="宋体" w:cs="宋体"/>
                <w:color w:val="auto"/>
                <w:sz w:val="21"/>
                <w:szCs w:val="21"/>
                <w:u w:val="single"/>
              </w:rPr>
            </w:pPr>
          </w:p>
        </w:tc>
        <w:tc>
          <w:tcPr>
            <w:tcW w:w="3098" w:type="dxa"/>
          </w:tcPr>
          <w:p>
            <w:pPr>
              <w:pStyle w:val="21"/>
              <w:snapToGrid w:val="0"/>
              <w:spacing w:beforeLines="0" w:afterLines="0"/>
              <w:ind w:firstLine="542"/>
              <w:rPr>
                <w:rFonts w:hAnsi="宋体" w:cs="宋体"/>
                <w:color w:val="auto"/>
                <w:sz w:val="21"/>
                <w:szCs w:val="21"/>
                <w:u w:val="single"/>
              </w:rPr>
            </w:pPr>
          </w:p>
        </w:tc>
        <w:tc>
          <w:tcPr>
            <w:tcW w:w="2694" w:type="dxa"/>
          </w:tcPr>
          <w:p>
            <w:pPr>
              <w:pStyle w:val="21"/>
              <w:snapToGrid w:val="0"/>
              <w:spacing w:beforeLines="0" w:afterLines="0"/>
              <w:ind w:firstLine="542"/>
              <w:rPr>
                <w:rFonts w:hAnsi="宋体" w:cs="宋体"/>
                <w:color w:val="auto"/>
                <w:sz w:val="21"/>
                <w:szCs w:val="21"/>
                <w:u w:val="single"/>
              </w:rPr>
            </w:pPr>
          </w:p>
        </w:tc>
        <w:tc>
          <w:tcPr>
            <w:tcW w:w="2551" w:type="dxa"/>
          </w:tcPr>
          <w:p>
            <w:pPr>
              <w:pStyle w:val="21"/>
              <w:snapToGrid w:val="0"/>
              <w:spacing w:beforeLines="0" w:afterLines="0"/>
              <w:ind w:firstLine="542"/>
              <w:rPr>
                <w:rFonts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snapToGrid w:val="0"/>
              <w:spacing w:beforeLines="0" w:afterLines="0"/>
              <w:ind w:firstLine="542"/>
              <w:rPr>
                <w:rFonts w:hAnsi="宋体" w:cs="宋体"/>
                <w:color w:val="auto"/>
                <w:sz w:val="21"/>
                <w:szCs w:val="21"/>
                <w:u w:val="single"/>
              </w:rPr>
            </w:pPr>
          </w:p>
        </w:tc>
        <w:tc>
          <w:tcPr>
            <w:tcW w:w="3098" w:type="dxa"/>
          </w:tcPr>
          <w:p>
            <w:pPr>
              <w:pStyle w:val="21"/>
              <w:snapToGrid w:val="0"/>
              <w:spacing w:beforeLines="0" w:afterLines="0"/>
              <w:ind w:firstLine="542"/>
              <w:rPr>
                <w:rFonts w:hAnsi="宋体" w:cs="宋体"/>
                <w:color w:val="auto"/>
                <w:sz w:val="21"/>
                <w:szCs w:val="21"/>
                <w:u w:val="single"/>
              </w:rPr>
            </w:pPr>
          </w:p>
        </w:tc>
        <w:tc>
          <w:tcPr>
            <w:tcW w:w="2694" w:type="dxa"/>
          </w:tcPr>
          <w:p>
            <w:pPr>
              <w:pStyle w:val="21"/>
              <w:snapToGrid w:val="0"/>
              <w:spacing w:beforeLines="0" w:afterLines="0"/>
              <w:ind w:firstLine="542"/>
              <w:rPr>
                <w:rFonts w:hAnsi="宋体" w:cs="宋体"/>
                <w:color w:val="auto"/>
                <w:sz w:val="21"/>
                <w:szCs w:val="21"/>
                <w:u w:val="single"/>
              </w:rPr>
            </w:pPr>
          </w:p>
        </w:tc>
        <w:tc>
          <w:tcPr>
            <w:tcW w:w="2551" w:type="dxa"/>
          </w:tcPr>
          <w:p>
            <w:pPr>
              <w:pStyle w:val="21"/>
              <w:snapToGrid w:val="0"/>
              <w:spacing w:beforeLines="0" w:afterLines="0"/>
              <w:ind w:firstLine="542"/>
              <w:rPr>
                <w:rFonts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snapToGrid w:val="0"/>
              <w:spacing w:beforeLines="0" w:afterLines="0"/>
              <w:ind w:firstLine="542"/>
              <w:rPr>
                <w:rFonts w:hAnsi="宋体" w:cs="宋体"/>
                <w:color w:val="auto"/>
                <w:sz w:val="21"/>
                <w:szCs w:val="21"/>
                <w:u w:val="single"/>
              </w:rPr>
            </w:pPr>
          </w:p>
        </w:tc>
        <w:tc>
          <w:tcPr>
            <w:tcW w:w="3098" w:type="dxa"/>
          </w:tcPr>
          <w:p>
            <w:pPr>
              <w:pStyle w:val="21"/>
              <w:snapToGrid w:val="0"/>
              <w:spacing w:beforeLines="0" w:afterLines="0"/>
              <w:ind w:firstLine="542"/>
              <w:rPr>
                <w:rFonts w:hAnsi="宋体" w:cs="宋体"/>
                <w:color w:val="auto"/>
                <w:sz w:val="21"/>
                <w:szCs w:val="21"/>
                <w:u w:val="single"/>
              </w:rPr>
            </w:pPr>
          </w:p>
        </w:tc>
        <w:tc>
          <w:tcPr>
            <w:tcW w:w="2694" w:type="dxa"/>
          </w:tcPr>
          <w:p>
            <w:pPr>
              <w:pStyle w:val="21"/>
              <w:snapToGrid w:val="0"/>
              <w:spacing w:beforeLines="0" w:afterLines="0"/>
              <w:ind w:firstLine="542"/>
              <w:rPr>
                <w:rFonts w:hAnsi="宋体" w:cs="宋体"/>
                <w:color w:val="auto"/>
                <w:sz w:val="21"/>
                <w:szCs w:val="21"/>
                <w:u w:val="single"/>
              </w:rPr>
            </w:pPr>
          </w:p>
        </w:tc>
        <w:tc>
          <w:tcPr>
            <w:tcW w:w="2551" w:type="dxa"/>
          </w:tcPr>
          <w:p>
            <w:pPr>
              <w:pStyle w:val="21"/>
              <w:snapToGrid w:val="0"/>
              <w:spacing w:beforeLines="0" w:afterLines="0"/>
              <w:ind w:firstLine="542"/>
              <w:rPr>
                <w:rFonts w:hAnsi="宋体" w:cs="宋体"/>
                <w:color w:val="auto"/>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snapToGrid w:val="0"/>
              <w:spacing w:beforeLines="0" w:afterLines="0"/>
              <w:ind w:firstLine="542"/>
              <w:rPr>
                <w:rFonts w:hAnsi="宋体" w:cs="宋体"/>
                <w:color w:val="auto"/>
                <w:sz w:val="21"/>
                <w:szCs w:val="21"/>
                <w:u w:val="single"/>
              </w:rPr>
            </w:pPr>
          </w:p>
        </w:tc>
        <w:tc>
          <w:tcPr>
            <w:tcW w:w="3098" w:type="dxa"/>
          </w:tcPr>
          <w:p>
            <w:pPr>
              <w:pStyle w:val="21"/>
              <w:snapToGrid w:val="0"/>
              <w:spacing w:beforeLines="0" w:afterLines="0"/>
              <w:ind w:firstLine="542"/>
              <w:rPr>
                <w:rFonts w:hAnsi="宋体" w:cs="宋体"/>
                <w:color w:val="auto"/>
                <w:sz w:val="21"/>
                <w:szCs w:val="21"/>
                <w:u w:val="single"/>
              </w:rPr>
            </w:pPr>
          </w:p>
        </w:tc>
        <w:tc>
          <w:tcPr>
            <w:tcW w:w="2694" w:type="dxa"/>
          </w:tcPr>
          <w:p>
            <w:pPr>
              <w:pStyle w:val="21"/>
              <w:snapToGrid w:val="0"/>
              <w:spacing w:beforeLines="0" w:afterLines="0"/>
              <w:ind w:firstLine="542"/>
              <w:rPr>
                <w:rFonts w:hAnsi="宋体" w:cs="宋体"/>
                <w:color w:val="auto"/>
                <w:sz w:val="21"/>
                <w:szCs w:val="21"/>
                <w:u w:val="single"/>
              </w:rPr>
            </w:pPr>
          </w:p>
        </w:tc>
        <w:tc>
          <w:tcPr>
            <w:tcW w:w="2551" w:type="dxa"/>
          </w:tcPr>
          <w:p>
            <w:pPr>
              <w:pStyle w:val="21"/>
              <w:snapToGrid w:val="0"/>
              <w:spacing w:beforeLines="0" w:afterLines="0"/>
              <w:ind w:firstLine="542"/>
              <w:rPr>
                <w:rFonts w:hAnsi="宋体" w:cs="宋体"/>
                <w:color w:val="auto"/>
                <w:sz w:val="21"/>
                <w:szCs w:val="21"/>
                <w:u w:val="single"/>
              </w:rPr>
            </w:pPr>
          </w:p>
        </w:tc>
      </w:tr>
    </w:tbl>
    <w:p>
      <w:pPr>
        <w:snapToGrid w:val="0"/>
        <w:spacing w:line="360" w:lineRule="auto"/>
        <w:rPr>
          <w:rFonts w:ascii="宋体" w:hAnsi="宋体" w:cs="宋体"/>
          <w:b/>
          <w:color w:val="auto"/>
          <w:szCs w:val="21"/>
        </w:rPr>
      </w:pPr>
      <w:r>
        <w:rPr>
          <w:rFonts w:hint="eastAsia" w:ascii="宋体" w:hAnsi="宋体" w:cs="宋体"/>
          <w:b/>
          <w:color w:val="auto"/>
          <w:szCs w:val="21"/>
        </w:rPr>
        <w:t>注：对照招标文件第二章采购需求中“商务需求”要求逐条填写，并在“偏离情况”栏注明“正偏离”、“负偏离”或“无偏离”。</w:t>
      </w:r>
    </w:p>
    <w:p>
      <w:pPr>
        <w:pStyle w:val="16"/>
        <w:spacing w:line="360" w:lineRule="auto"/>
        <w:ind w:left="404" w:hanging="404" w:hangingChars="200"/>
        <w:rPr>
          <w:rFonts w:hAnsi="宋体" w:cs="宋体"/>
          <w:color w:val="auto"/>
          <w:sz w:val="21"/>
          <w:szCs w:val="21"/>
        </w:rPr>
      </w:pPr>
    </w:p>
    <w:p>
      <w:pPr>
        <w:widowControl/>
        <w:spacing w:line="360" w:lineRule="auto"/>
        <w:jc w:val="left"/>
        <w:rPr>
          <w:rFonts w:ascii="宋体" w:hAnsi="宋体" w:cs="宋体"/>
          <w:color w:val="auto"/>
          <w:sz w:val="24"/>
        </w:rPr>
      </w:pPr>
    </w:p>
    <w:p>
      <w:pPr>
        <w:widowControl/>
        <w:spacing w:line="360" w:lineRule="auto"/>
        <w:ind w:firstLine="5460" w:firstLineChars="2600"/>
        <w:jc w:val="left"/>
        <w:rPr>
          <w:rFonts w:ascii="宋体" w:hAnsi="宋体" w:cs="宋体"/>
          <w:color w:val="auto"/>
          <w:szCs w:val="21"/>
        </w:rPr>
      </w:pPr>
      <w:r>
        <w:rPr>
          <w:rFonts w:hint="eastAsia" w:ascii="宋体" w:hAnsi="宋体" w:cs="宋体"/>
          <w:color w:val="auto"/>
          <w:szCs w:val="21"/>
        </w:rPr>
        <w:t>投 标 人（盖章）：</w:t>
      </w:r>
    </w:p>
    <w:p>
      <w:pPr>
        <w:pStyle w:val="16"/>
        <w:spacing w:line="360" w:lineRule="auto"/>
        <w:ind w:firstLine="5548" w:firstLineChars="2642"/>
        <w:rPr>
          <w:rFonts w:hAnsi="宋体" w:cs="宋体"/>
          <w:color w:val="auto"/>
          <w:spacing w:val="0"/>
          <w:sz w:val="21"/>
          <w:szCs w:val="21"/>
        </w:rPr>
      </w:pPr>
      <w:r>
        <w:rPr>
          <w:rFonts w:hint="eastAsia" w:hAnsi="宋体" w:cs="宋体"/>
          <w:color w:val="auto"/>
          <w:spacing w:val="0"/>
          <w:sz w:val="21"/>
          <w:szCs w:val="21"/>
        </w:rPr>
        <w:t>日    期：</w:t>
      </w:r>
    </w:p>
    <w:p>
      <w:pPr>
        <w:spacing w:line="360" w:lineRule="auto"/>
        <w:jc w:val="left"/>
        <w:rPr>
          <w:rFonts w:ascii="宋体" w:hAnsi="宋体" w:cs="宋体"/>
          <w:b/>
          <w:bCs/>
          <w:color w:val="auto"/>
          <w:szCs w:val="21"/>
        </w:rPr>
      </w:pPr>
      <w:r>
        <w:rPr>
          <w:rFonts w:hint="eastAsia" w:ascii="宋体" w:hAnsi="宋体" w:cs="宋体"/>
          <w:color w:val="auto"/>
          <w:szCs w:val="21"/>
        </w:rPr>
        <w:br w:type="page"/>
      </w:r>
      <w:r>
        <w:rPr>
          <w:rFonts w:hint="eastAsia" w:ascii="宋体" w:hAnsi="宋体" w:cs="宋体"/>
          <w:b/>
          <w:bCs/>
          <w:color w:val="auto"/>
          <w:szCs w:val="21"/>
        </w:rPr>
        <w:t>9.项目负责人简介</w:t>
      </w:r>
    </w:p>
    <w:p>
      <w:pPr>
        <w:spacing w:before="120" w:after="120"/>
        <w:jc w:val="center"/>
        <w:rPr>
          <w:rFonts w:ascii="宋体" w:hAnsi="宋体" w:cs="宋体"/>
          <w:color w:val="auto"/>
          <w:sz w:val="30"/>
          <w:szCs w:val="30"/>
        </w:rPr>
      </w:pPr>
    </w:p>
    <w:p>
      <w:pPr>
        <w:spacing w:before="120" w:after="120"/>
        <w:jc w:val="center"/>
        <w:rPr>
          <w:rFonts w:ascii="宋体" w:hAnsi="宋体" w:cs="宋体"/>
          <w:b/>
          <w:bCs/>
          <w:color w:val="auto"/>
          <w:spacing w:val="20"/>
          <w:sz w:val="30"/>
          <w:szCs w:val="30"/>
        </w:rPr>
      </w:pPr>
      <w:r>
        <w:rPr>
          <w:rFonts w:hint="eastAsia" w:ascii="宋体" w:hAnsi="宋体" w:cs="宋体"/>
          <w:b/>
          <w:bCs/>
          <w:color w:val="auto"/>
          <w:spacing w:val="20"/>
          <w:sz w:val="30"/>
          <w:szCs w:val="30"/>
        </w:rPr>
        <w:t>项目负责人简历表</w:t>
      </w:r>
    </w:p>
    <w:p>
      <w:pPr>
        <w:spacing w:before="120" w:after="120"/>
        <w:jc w:val="center"/>
        <w:rPr>
          <w:rFonts w:ascii="宋体" w:hAnsi="宋体" w:cs="宋体"/>
          <w:b/>
          <w:bCs/>
          <w:color w:val="auto"/>
          <w:spacing w:val="20"/>
          <w:szCs w:val="21"/>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508"/>
        <w:gridCol w:w="720"/>
        <w:gridCol w:w="193"/>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姓    名</w:t>
            </w:r>
          </w:p>
        </w:tc>
        <w:tc>
          <w:tcPr>
            <w:tcW w:w="1420" w:type="dxa"/>
          </w:tcPr>
          <w:p>
            <w:pPr>
              <w:spacing w:line="500" w:lineRule="exact"/>
              <w:ind w:right="25" w:rightChars="12"/>
              <w:jc w:val="center"/>
              <w:rPr>
                <w:rFonts w:ascii="宋体" w:hAnsi="宋体" w:cs="宋体"/>
                <w:color w:val="auto"/>
                <w:szCs w:val="21"/>
              </w:rPr>
            </w:pPr>
          </w:p>
        </w:tc>
        <w:tc>
          <w:tcPr>
            <w:tcW w:w="1421" w:type="dxa"/>
            <w:gridSpan w:val="3"/>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性   别</w:t>
            </w:r>
          </w:p>
        </w:tc>
        <w:tc>
          <w:tcPr>
            <w:tcW w:w="1420" w:type="dxa"/>
          </w:tcPr>
          <w:p>
            <w:pPr>
              <w:spacing w:line="500" w:lineRule="exact"/>
              <w:ind w:right="25" w:rightChars="12"/>
              <w:jc w:val="center"/>
              <w:rPr>
                <w:rFonts w:ascii="宋体" w:hAnsi="宋体" w:cs="宋体"/>
                <w:color w:val="auto"/>
                <w:szCs w:val="21"/>
              </w:rPr>
            </w:pPr>
          </w:p>
        </w:tc>
        <w:tc>
          <w:tcPr>
            <w:tcW w:w="1420" w:type="dxa"/>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出生年月</w:t>
            </w:r>
          </w:p>
        </w:tc>
        <w:tc>
          <w:tcPr>
            <w:tcW w:w="1421" w:type="dxa"/>
          </w:tcPr>
          <w:p>
            <w:pPr>
              <w:spacing w:line="500" w:lineRule="exact"/>
              <w:ind w:right="25" w:rightChars="12"/>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专    业</w:t>
            </w:r>
          </w:p>
        </w:tc>
        <w:tc>
          <w:tcPr>
            <w:tcW w:w="1420" w:type="dxa"/>
          </w:tcPr>
          <w:p>
            <w:pPr>
              <w:spacing w:line="500" w:lineRule="exact"/>
              <w:ind w:right="25" w:rightChars="12"/>
              <w:jc w:val="center"/>
              <w:rPr>
                <w:rFonts w:ascii="宋体" w:hAnsi="宋体" w:cs="宋体"/>
                <w:color w:val="auto"/>
                <w:szCs w:val="21"/>
              </w:rPr>
            </w:pPr>
          </w:p>
        </w:tc>
        <w:tc>
          <w:tcPr>
            <w:tcW w:w="1421" w:type="dxa"/>
            <w:gridSpan w:val="3"/>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学   历</w:t>
            </w:r>
          </w:p>
        </w:tc>
        <w:tc>
          <w:tcPr>
            <w:tcW w:w="1420" w:type="dxa"/>
          </w:tcPr>
          <w:p>
            <w:pPr>
              <w:spacing w:line="500" w:lineRule="exact"/>
              <w:ind w:right="25" w:rightChars="12"/>
              <w:jc w:val="center"/>
              <w:rPr>
                <w:rFonts w:ascii="宋体" w:hAnsi="宋体" w:cs="宋体"/>
                <w:color w:val="auto"/>
                <w:szCs w:val="21"/>
              </w:rPr>
            </w:pPr>
          </w:p>
        </w:tc>
        <w:tc>
          <w:tcPr>
            <w:tcW w:w="1420" w:type="dxa"/>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职     称</w:t>
            </w:r>
          </w:p>
        </w:tc>
        <w:tc>
          <w:tcPr>
            <w:tcW w:w="1421" w:type="dxa"/>
          </w:tcPr>
          <w:p>
            <w:pPr>
              <w:spacing w:line="500" w:lineRule="exact"/>
              <w:ind w:right="25" w:rightChars="12"/>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何时参加工作</w:t>
            </w:r>
          </w:p>
        </w:tc>
        <w:tc>
          <w:tcPr>
            <w:tcW w:w="7102" w:type="dxa"/>
            <w:gridSpan w:val="7"/>
          </w:tcPr>
          <w:p>
            <w:pPr>
              <w:spacing w:line="500" w:lineRule="exact"/>
              <w:ind w:right="25" w:rightChars="12"/>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何时进入公司</w:t>
            </w:r>
          </w:p>
        </w:tc>
        <w:tc>
          <w:tcPr>
            <w:tcW w:w="7102" w:type="dxa"/>
            <w:gridSpan w:val="7"/>
          </w:tcPr>
          <w:p>
            <w:pPr>
              <w:spacing w:line="500" w:lineRule="exact"/>
              <w:ind w:right="25" w:rightChars="12"/>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从事项目年限</w:t>
            </w:r>
          </w:p>
        </w:tc>
        <w:tc>
          <w:tcPr>
            <w:tcW w:w="7102" w:type="dxa"/>
            <w:gridSpan w:val="7"/>
          </w:tcPr>
          <w:p>
            <w:pPr>
              <w:spacing w:line="500" w:lineRule="exact"/>
              <w:ind w:right="25" w:rightChars="12"/>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22" w:type="dxa"/>
            <w:gridSpan w:val="8"/>
          </w:tcPr>
          <w:p>
            <w:pPr>
              <w:spacing w:line="500" w:lineRule="exact"/>
              <w:ind w:right="25" w:rightChars="12"/>
              <w:jc w:val="center"/>
              <w:rPr>
                <w:rFonts w:ascii="宋体" w:hAnsi="宋体" w:cs="宋体"/>
                <w:b/>
                <w:color w:val="auto"/>
                <w:szCs w:val="21"/>
              </w:rPr>
            </w:pPr>
            <w:r>
              <w:rPr>
                <w:rFonts w:hint="eastAsia" w:ascii="宋体" w:hAnsi="宋体" w:cs="宋体"/>
                <w:color w:val="auto"/>
                <w:szCs w:val="21"/>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业主单位</w:t>
            </w:r>
          </w:p>
        </w:tc>
        <w:tc>
          <w:tcPr>
            <w:tcW w:w="1928" w:type="dxa"/>
            <w:gridSpan w:val="2"/>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项目名称</w:t>
            </w:r>
          </w:p>
        </w:tc>
        <w:tc>
          <w:tcPr>
            <w:tcW w:w="720" w:type="dxa"/>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规模</w:t>
            </w:r>
          </w:p>
        </w:tc>
        <w:tc>
          <w:tcPr>
            <w:tcW w:w="1613" w:type="dxa"/>
            <w:gridSpan w:val="2"/>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合同时间</w:t>
            </w:r>
          </w:p>
        </w:tc>
        <w:tc>
          <w:tcPr>
            <w:tcW w:w="2841" w:type="dxa"/>
            <w:gridSpan w:val="2"/>
          </w:tcPr>
          <w:p>
            <w:pPr>
              <w:spacing w:line="500" w:lineRule="exact"/>
              <w:ind w:right="25" w:rightChars="12"/>
              <w:jc w:val="center"/>
              <w:rPr>
                <w:rFonts w:ascii="宋体" w:hAnsi="宋体" w:cs="宋体"/>
                <w:color w:val="auto"/>
                <w:szCs w:val="21"/>
              </w:rPr>
            </w:pPr>
            <w:r>
              <w:rPr>
                <w:rFonts w:hint="eastAsia" w:ascii="宋体" w:hAnsi="宋体" w:cs="宋体"/>
                <w:color w:val="auto"/>
                <w:szCs w:val="21"/>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360" w:lineRule="auto"/>
              <w:ind w:right="25" w:rightChars="12"/>
              <w:jc w:val="center"/>
              <w:rPr>
                <w:rFonts w:ascii="宋体" w:hAnsi="宋体" w:cs="宋体"/>
                <w:b/>
                <w:color w:val="auto"/>
                <w:szCs w:val="21"/>
              </w:rPr>
            </w:pPr>
          </w:p>
        </w:tc>
        <w:tc>
          <w:tcPr>
            <w:tcW w:w="1928" w:type="dxa"/>
            <w:gridSpan w:val="2"/>
          </w:tcPr>
          <w:p>
            <w:pPr>
              <w:spacing w:line="360" w:lineRule="auto"/>
              <w:ind w:right="25" w:rightChars="12"/>
              <w:jc w:val="center"/>
              <w:rPr>
                <w:rFonts w:ascii="宋体" w:hAnsi="宋体" w:cs="宋体"/>
                <w:b/>
                <w:color w:val="auto"/>
                <w:szCs w:val="21"/>
              </w:rPr>
            </w:pPr>
          </w:p>
        </w:tc>
        <w:tc>
          <w:tcPr>
            <w:tcW w:w="720" w:type="dxa"/>
          </w:tcPr>
          <w:p>
            <w:pPr>
              <w:spacing w:line="360" w:lineRule="auto"/>
              <w:ind w:right="25" w:rightChars="12"/>
              <w:jc w:val="center"/>
              <w:rPr>
                <w:rFonts w:ascii="宋体" w:hAnsi="宋体" w:cs="宋体"/>
                <w:b/>
                <w:color w:val="auto"/>
                <w:szCs w:val="21"/>
              </w:rPr>
            </w:pPr>
          </w:p>
        </w:tc>
        <w:tc>
          <w:tcPr>
            <w:tcW w:w="1613" w:type="dxa"/>
            <w:gridSpan w:val="2"/>
          </w:tcPr>
          <w:p>
            <w:pPr>
              <w:spacing w:line="360" w:lineRule="auto"/>
              <w:ind w:right="25" w:rightChars="12"/>
              <w:jc w:val="center"/>
              <w:rPr>
                <w:rFonts w:ascii="宋体" w:hAnsi="宋体" w:cs="宋体"/>
                <w:b/>
                <w:color w:val="auto"/>
                <w:szCs w:val="21"/>
              </w:rPr>
            </w:pPr>
          </w:p>
        </w:tc>
        <w:tc>
          <w:tcPr>
            <w:tcW w:w="2841" w:type="dxa"/>
            <w:gridSpan w:val="2"/>
          </w:tcPr>
          <w:p>
            <w:pPr>
              <w:spacing w:line="360" w:lineRule="auto"/>
              <w:ind w:right="25" w:rightChars="12"/>
              <w:jc w:val="center"/>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rFonts w:ascii="宋体" w:hAnsi="宋体" w:cs="宋体"/>
                <w:b/>
                <w:color w:val="auto"/>
                <w:szCs w:val="21"/>
              </w:rPr>
            </w:pPr>
          </w:p>
        </w:tc>
        <w:tc>
          <w:tcPr>
            <w:tcW w:w="1928" w:type="dxa"/>
            <w:gridSpan w:val="2"/>
          </w:tcPr>
          <w:p>
            <w:pPr>
              <w:spacing w:line="580" w:lineRule="exact"/>
              <w:ind w:right="25" w:rightChars="12"/>
              <w:jc w:val="center"/>
              <w:rPr>
                <w:rFonts w:ascii="宋体" w:hAnsi="宋体" w:cs="宋体"/>
                <w:b/>
                <w:color w:val="auto"/>
                <w:szCs w:val="21"/>
              </w:rPr>
            </w:pPr>
          </w:p>
        </w:tc>
        <w:tc>
          <w:tcPr>
            <w:tcW w:w="720" w:type="dxa"/>
          </w:tcPr>
          <w:p>
            <w:pPr>
              <w:spacing w:line="580" w:lineRule="exact"/>
              <w:ind w:right="25" w:rightChars="12"/>
              <w:jc w:val="center"/>
              <w:rPr>
                <w:rFonts w:ascii="宋体" w:hAnsi="宋体" w:cs="宋体"/>
                <w:b/>
                <w:color w:val="auto"/>
                <w:szCs w:val="21"/>
              </w:rPr>
            </w:pPr>
          </w:p>
        </w:tc>
        <w:tc>
          <w:tcPr>
            <w:tcW w:w="1613" w:type="dxa"/>
            <w:gridSpan w:val="2"/>
          </w:tcPr>
          <w:p>
            <w:pPr>
              <w:spacing w:line="580" w:lineRule="exact"/>
              <w:ind w:right="25" w:rightChars="12"/>
              <w:jc w:val="center"/>
              <w:rPr>
                <w:rFonts w:ascii="宋体" w:hAnsi="宋体" w:cs="宋体"/>
                <w:b/>
                <w:color w:val="auto"/>
                <w:szCs w:val="21"/>
              </w:rPr>
            </w:pPr>
          </w:p>
        </w:tc>
        <w:tc>
          <w:tcPr>
            <w:tcW w:w="2841" w:type="dxa"/>
            <w:gridSpan w:val="2"/>
          </w:tcPr>
          <w:p>
            <w:pPr>
              <w:spacing w:line="580" w:lineRule="exact"/>
              <w:ind w:right="25" w:rightChars="12"/>
              <w:jc w:val="center"/>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rFonts w:ascii="宋体" w:hAnsi="宋体" w:cs="宋体"/>
                <w:b/>
                <w:color w:val="auto"/>
                <w:szCs w:val="21"/>
              </w:rPr>
            </w:pPr>
          </w:p>
        </w:tc>
        <w:tc>
          <w:tcPr>
            <w:tcW w:w="1928" w:type="dxa"/>
            <w:gridSpan w:val="2"/>
          </w:tcPr>
          <w:p>
            <w:pPr>
              <w:spacing w:line="580" w:lineRule="exact"/>
              <w:ind w:right="25" w:rightChars="12"/>
              <w:jc w:val="center"/>
              <w:rPr>
                <w:rFonts w:ascii="宋体" w:hAnsi="宋体" w:cs="宋体"/>
                <w:b/>
                <w:color w:val="auto"/>
                <w:szCs w:val="21"/>
              </w:rPr>
            </w:pPr>
          </w:p>
        </w:tc>
        <w:tc>
          <w:tcPr>
            <w:tcW w:w="720" w:type="dxa"/>
          </w:tcPr>
          <w:p>
            <w:pPr>
              <w:spacing w:line="580" w:lineRule="exact"/>
              <w:ind w:right="25" w:rightChars="12"/>
              <w:jc w:val="center"/>
              <w:rPr>
                <w:rFonts w:ascii="宋体" w:hAnsi="宋体" w:cs="宋体"/>
                <w:b/>
                <w:color w:val="auto"/>
                <w:szCs w:val="21"/>
              </w:rPr>
            </w:pPr>
          </w:p>
        </w:tc>
        <w:tc>
          <w:tcPr>
            <w:tcW w:w="1613" w:type="dxa"/>
            <w:gridSpan w:val="2"/>
          </w:tcPr>
          <w:p>
            <w:pPr>
              <w:spacing w:line="580" w:lineRule="exact"/>
              <w:ind w:right="25" w:rightChars="12"/>
              <w:jc w:val="center"/>
              <w:rPr>
                <w:rFonts w:ascii="宋体" w:hAnsi="宋体" w:cs="宋体"/>
                <w:b/>
                <w:color w:val="auto"/>
                <w:szCs w:val="21"/>
              </w:rPr>
            </w:pPr>
          </w:p>
        </w:tc>
        <w:tc>
          <w:tcPr>
            <w:tcW w:w="2841" w:type="dxa"/>
            <w:gridSpan w:val="2"/>
          </w:tcPr>
          <w:p>
            <w:pPr>
              <w:spacing w:line="580" w:lineRule="exact"/>
              <w:ind w:right="25" w:rightChars="12"/>
              <w:jc w:val="center"/>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rFonts w:ascii="宋体" w:hAnsi="宋体" w:cs="宋体"/>
                <w:b/>
                <w:color w:val="auto"/>
                <w:szCs w:val="21"/>
              </w:rPr>
            </w:pPr>
          </w:p>
        </w:tc>
        <w:tc>
          <w:tcPr>
            <w:tcW w:w="1928" w:type="dxa"/>
            <w:gridSpan w:val="2"/>
          </w:tcPr>
          <w:p>
            <w:pPr>
              <w:spacing w:line="580" w:lineRule="exact"/>
              <w:ind w:right="25" w:rightChars="12"/>
              <w:jc w:val="center"/>
              <w:rPr>
                <w:rFonts w:ascii="宋体" w:hAnsi="宋体" w:cs="宋体"/>
                <w:b/>
                <w:color w:val="auto"/>
                <w:szCs w:val="21"/>
              </w:rPr>
            </w:pPr>
          </w:p>
        </w:tc>
        <w:tc>
          <w:tcPr>
            <w:tcW w:w="720" w:type="dxa"/>
          </w:tcPr>
          <w:p>
            <w:pPr>
              <w:spacing w:line="580" w:lineRule="exact"/>
              <w:ind w:right="25" w:rightChars="12"/>
              <w:jc w:val="center"/>
              <w:rPr>
                <w:rFonts w:ascii="宋体" w:hAnsi="宋体" w:cs="宋体"/>
                <w:b/>
                <w:color w:val="auto"/>
                <w:szCs w:val="21"/>
              </w:rPr>
            </w:pPr>
          </w:p>
        </w:tc>
        <w:tc>
          <w:tcPr>
            <w:tcW w:w="1613" w:type="dxa"/>
            <w:gridSpan w:val="2"/>
          </w:tcPr>
          <w:p>
            <w:pPr>
              <w:spacing w:line="580" w:lineRule="exact"/>
              <w:ind w:right="25" w:rightChars="12"/>
              <w:jc w:val="center"/>
              <w:rPr>
                <w:rFonts w:ascii="宋体" w:hAnsi="宋体" w:cs="宋体"/>
                <w:b/>
                <w:color w:val="auto"/>
                <w:szCs w:val="21"/>
              </w:rPr>
            </w:pPr>
          </w:p>
        </w:tc>
        <w:tc>
          <w:tcPr>
            <w:tcW w:w="2841" w:type="dxa"/>
            <w:gridSpan w:val="2"/>
          </w:tcPr>
          <w:p>
            <w:pPr>
              <w:spacing w:line="580" w:lineRule="exact"/>
              <w:ind w:right="25" w:rightChars="12"/>
              <w:jc w:val="center"/>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rFonts w:ascii="宋体" w:hAnsi="宋体" w:cs="宋体"/>
                <w:b/>
                <w:color w:val="auto"/>
                <w:szCs w:val="21"/>
              </w:rPr>
            </w:pPr>
          </w:p>
        </w:tc>
        <w:tc>
          <w:tcPr>
            <w:tcW w:w="1928" w:type="dxa"/>
            <w:gridSpan w:val="2"/>
          </w:tcPr>
          <w:p>
            <w:pPr>
              <w:spacing w:line="580" w:lineRule="exact"/>
              <w:ind w:right="25" w:rightChars="12"/>
              <w:jc w:val="center"/>
              <w:rPr>
                <w:rFonts w:ascii="宋体" w:hAnsi="宋体" w:cs="宋体"/>
                <w:b/>
                <w:color w:val="auto"/>
                <w:szCs w:val="21"/>
              </w:rPr>
            </w:pPr>
          </w:p>
        </w:tc>
        <w:tc>
          <w:tcPr>
            <w:tcW w:w="720" w:type="dxa"/>
          </w:tcPr>
          <w:p>
            <w:pPr>
              <w:spacing w:line="580" w:lineRule="exact"/>
              <w:ind w:right="25" w:rightChars="12"/>
              <w:jc w:val="center"/>
              <w:rPr>
                <w:rFonts w:ascii="宋体" w:hAnsi="宋体" w:cs="宋体"/>
                <w:b/>
                <w:color w:val="auto"/>
                <w:szCs w:val="21"/>
              </w:rPr>
            </w:pPr>
          </w:p>
        </w:tc>
        <w:tc>
          <w:tcPr>
            <w:tcW w:w="1613" w:type="dxa"/>
            <w:gridSpan w:val="2"/>
          </w:tcPr>
          <w:p>
            <w:pPr>
              <w:spacing w:line="580" w:lineRule="exact"/>
              <w:ind w:right="25" w:rightChars="12"/>
              <w:jc w:val="center"/>
              <w:rPr>
                <w:rFonts w:ascii="宋体" w:hAnsi="宋体" w:cs="宋体"/>
                <w:b/>
                <w:color w:val="auto"/>
                <w:szCs w:val="21"/>
              </w:rPr>
            </w:pPr>
          </w:p>
        </w:tc>
        <w:tc>
          <w:tcPr>
            <w:tcW w:w="2841" w:type="dxa"/>
            <w:gridSpan w:val="2"/>
          </w:tcPr>
          <w:p>
            <w:pPr>
              <w:spacing w:line="580" w:lineRule="exact"/>
              <w:ind w:right="25" w:rightChars="12"/>
              <w:jc w:val="center"/>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rFonts w:ascii="宋体" w:hAnsi="宋体" w:cs="宋体"/>
                <w:b/>
                <w:color w:val="auto"/>
                <w:szCs w:val="21"/>
              </w:rPr>
            </w:pPr>
          </w:p>
        </w:tc>
        <w:tc>
          <w:tcPr>
            <w:tcW w:w="1928" w:type="dxa"/>
            <w:gridSpan w:val="2"/>
          </w:tcPr>
          <w:p>
            <w:pPr>
              <w:spacing w:line="580" w:lineRule="exact"/>
              <w:ind w:right="25" w:rightChars="12"/>
              <w:jc w:val="center"/>
              <w:rPr>
                <w:rFonts w:ascii="宋体" w:hAnsi="宋体" w:cs="宋体"/>
                <w:b/>
                <w:color w:val="auto"/>
                <w:szCs w:val="21"/>
              </w:rPr>
            </w:pPr>
          </w:p>
        </w:tc>
        <w:tc>
          <w:tcPr>
            <w:tcW w:w="720" w:type="dxa"/>
          </w:tcPr>
          <w:p>
            <w:pPr>
              <w:spacing w:line="580" w:lineRule="exact"/>
              <w:ind w:right="25" w:rightChars="12"/>
              <w:jc w:val="center"/>
              <w:rPr>
                <w:rFonts w:ascii="宋体" w:hAnsi="宋体" w:cs="宋体"/>
                <w:b/>
                <w:color w:val="auto"/>
                <w:szCs w:val="21"/>
              </w:rPr>
            </w:pPr>
          </w:p>
        </w:tc>
        <w:tc>
          <w:tcPr>
            <w:tcW w:w="1613" w:type="dxa"/>
            <w:gridSpan w:val="2"/>
          </w:tcPr>
          <w:p>
            <w:pPr>
              <w:spacing w:line="580" w:lineRule="exact"/>
              <w:ind w:right="25" w:rightChars="12"/>
              <w:jc w:val="center"/>
              <w:rPr>
                <w:rFonts w:ascii="宋体" w:hAnsi="宋体" w:cs="宋体"/>
                <w:b/>
                <w:color w:val="auto"/>
                <w:szCs w:val="21"/>
              </w:rPr>
            </w:pPr>
          </w:p>
        </w:tc>
        <w:tc>
          <w:tcPr>
            <w:tcW w:w="2841" w:type="dxa"/>
            <w:gridSpan w:val="2"/>
          </w:tcPr>
          <w:p>
            <w:pPr>
              <w:spacing w:line="580" w:lineRule="exact"/>
              <w:ind w:right="25" w:rightChars="12"/>
              <w:jc w:val="center"/>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rFonts w:ascii="宋体" w:hAnsi="宋体" w:cs="宋体"/>
                <w:b/>
                <w:color w:val="auto"/>
                <w:szCs w:val="21"/>
              </w:rPr>
            </w:pPr>
          </w:p>
        </w:tc>
        <w:tc>
          <w:tcPr>
            <w:tcW w:w="1928" w:type="dxa"/>
            <w:gridSpan w:val="2"/>
          </w:tcPr>
          <w:p>
            <w:pPr>
              <w:spacing w:line="580" w:lineRule="exact"/>
              <w:ind w:right="25" w:rightChars="12"/>
              <w:jc w:val="center"/>
              <w:rPr>
                <w:rFonts w:ascii="宋体" w:hAnsi="宋体" w:cs="宋体"/>
                <w:b/>
                <w:color w:val="auto"/>
                <w:szCs w:val="21"/>
              </w:rPr>
            </w:pPr>
          </w:p>
        </w:tc>
        <w:tc>
          <w:tcPr>
            <w:tcW w:w="720" w:type="dxa"/>
          </w:tcPr>
          <w:p>
            <w:pPr>
              <w:spacing w:line="580" w:lineRule="exact"/>
              <w:ind w:right="25" w:rightChars="12"/>
              <w:jc w:val="center"/>
              <w:rPr>
                <w:rFonts w:ascii="宋体" w:hAnsi="宋体" w:cs="宋体"/>
                <w:b/>
                <w:color w:val="auto"/>
                <w:szCs w:val="21"/>
              </w:rPr>
            </w:pPr>
          </w:p>
        </w:tc>
        <w:tc>
          <w:tcPr>
            <w:tcW w:w="1613" w:type="dxa"/>
            <w:gridSpan w:val="2"/>
          </w:tcPr>
          <w:p>
            <w:pPr>
              <w:spacing w:line="580" w:lineRule="exact"/>
              <w:ind w:right="25" w:rightChars="12"/>
              <w:jc w:val="center"/>
              <w:rPr>
                <w:rFonts w:ascii="宋体" w:hAnsi="宋体" w:cs="宋体"/>
                <w:b/>
                <w:color w:val="auto"/>
                <w:szCs w:val="21"/>
              </w:rPr>
            </w:pPr>
          </w:p>
        </w:tc>
        <w:tc>
          <w:tcPr>
            <w:tcW w:w="2841" w:type="dxa"/>
            <w:gridSpan w:val="2"/>
          </w:tcPr>
          <w:p>
            <w:pPr>
              <w:spacing w:line="580" w:lineRule="exact"/>
              <w:ind w:right="25" w:rightChars="12"/>
              <w:jc w:val="center"/>
              <w:rPr>
                <w:rFonts w:ascii="宋体" w:hAnsi="宋体" w:cs="宋体"/>
                <w:b/>
                <w:color w:val="auto"/>
                <w:szCs w:val="21"/>
              </w:rPr>
            </w:pPr>
          </w:p>
        </w:tc>
      </w:tr>
    </w:tbl>
    <w:p>
      <w:pPr>
        <w:rPr>
          <w:rFonts w:ascii="宋体" w:hAnsi="宋体" w:cs="宋体"/>
          <w:color w:val="auto"/>
          <w:szCs w:val="21"/>
        </w:rPr>
      </w:pPr>
    </w:p>
    <w:p>
      <w:pPr>
        <w:spacing w:line="0" w:lineRule="atLeast"/>
        <w:rPr>
          <w:rFonts w:ascii="宋体" w:hAnsi="宋体" w:cs="宋体"/>
          <w:color w:val="auto"/>
          <w:szCs w:val="21"/>
        </w:rPr>
      </w:pPr>
    </w:p>
    <w:p>
      <w:pPr>
        <w:widowControl/>
        <w:spacing w:line="360" w:lineRule="auto"/>
        <w:ind w:firstLine="5460" w:firstLineChars="2600"/>
        <w:jc w:val="left"/>
        <w:rPr>
          <w:rFonts w:ascii="宋体" w:hAnsi="宋体" w:cs="宋体"/>
          <w:color w:val="auto"/>
          <w:szCs w:val="21"/>
        </w:rPr>
      </w:pPr>
      <w:r>
        <w:rPr>
          <w:rFonts w:hint="eastAsia" w:ascii="宋体" w:hAnsi="宋体" w:cs="宋体"/>
          <w:color w:val="auto"/>
          <w:szCs w:val="21"/>
        </w:rPr>
        <w:t>投 标 人（盖章）：</w:t>
      </w:r>
    </w:p>
    <w:p>
      <w:pPr>
        <w:pStyle w:val="16"/>
        <w:spacing w:line="360" w:lineRule="auto"/>
        <w:ind w:firstLine="5548" w:firstLineChars="2642"/>
        <w:rPr>
          <w:rFonts w:hAnsi="宋体" w:cs="宋体"/>
          <w:color w:val="auto"/>
          <w:spacing w:val="0"/>
          <w:sz w:val="21"/>
          <w:szCs w:val="21"/>
        </w:rPr>
      </w:pPr>
      <w:r>
        <w:rPr>
          <w:rFonts w:hint="eastAsia" w:hAnsi="宋体" w:cs="宋体"/>
          <w:color w:val="auto"/>
          <w:spacing w:val="0"/>
          <w:sz w:val="21"/>
          <w:szCs w:val="21"/>
        </w:rPr>
        <w:t>日    期：</w:t>
      </w:r>
    </w:p>
    <w:p>
      <w:pPr>
        <w:pStyle w:val="16"/>
        <w:spacing w:line="360" w:lineRule="auto"/>
        <w:rPr>
          <w:rFonts w:hAnsi="宋体" w:cs="宋体"/>
          <w:color w:val="auto"/>
          <w:sz w:val="21"/>
          <w:szCs w:val="21"/>
        </w:rPr>
      </w:pPr>
      <w:r>
        <w:rPr>
          <w:rFonts w:hint="eastAsia" w:hAnsi="宋体" w:cs="宋体"/>
          <w:color w:val="auto"/>
          <w:sz w:val="21"/>
          <w:szCs w:val="21"/>
        </w:rPr>
        <w:br w:type="page"/>
      </w:r>
      <w:r>
        <w:rPr>
          <w:rFonts w:hint="eastAsia" w:hAnsi="宋体" w:cs="宋体"/>
          <w:b/>
          <w:bCs/>
          <w:color w:val="auto"/>
          <w:sz w:val="21"/>
          <w:szCs w:val="21"/>
        </w:rPr>
        <w:t>10.项目人员配置</w:t>
      </w:r>
    </w:p>
    <w:p>
      <w:pPr>
        <w:spacing w:before="120" w:after="120"/>
        <w:jc w:val="center"/>
        <w:rPr>
          <w:b/>
          <w:bCs/>
          <w:color w:val="auto"/>
          <w:spacing w:val="20"/>
          <w:sz w:val="30"/>
          <w:szCs w:val="30"/>
        </w:rPr>
      </w:pPr>
      <w:r>
        <w:rPr>
          <w:b/>
          <w:bCs/>
          <w:color w:val="auto"/>
          <w:spacing w:val="20"/>
          <w:sz w:val="30"/>
          <w:szCs w:val="30"/>
        </w:rPr>
        <w:t>项目人员配置表</w:t>
      </w:r>
    </w:p>
    <w:tbl>
      <w:tblPr>
        <w:tblStyle w:val="39"/>
        <w:tblW w:w="0" w:type="auto"/>
        <w:tblInd w:w="2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67"/>
        <w:gridCol w:w="1134"/>
        <w:gridCol w:w="709"/>
        <w:gridCol w:w="1418"/>
        <w:gridCol w:w="1559"/>
        <w:gridCol w:w="1984"/>
        <w:gridCol w:w="156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567"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color w:val="auto"/>
                <w:szCs w:val="21"/>
              </w:rPr>
            </w:pPr>
            <w:r>
              <w:rPr>
                <w:color w:val="auto"/>
                <w:szCs w:val="21"/>
              </w:rPr>
              <w:t>序号</w:t>
            </w:r>
          </w:p>
        </w:tc>
        <w:tc>
          <w:tcPr>
            <w:tcW w:w="1134"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color w:val="auto"/>
                <w:szCs w:val="21"/>
              </w:rPr>
            </w:pPr>
            <w:r>
              <w:rPr>
                <w:color w:val="auto"/>
                <w:szCs w:val="21"/>
              </w:rPr>
              <w:t>姓名</w:t>
            </w:r>
          </w:p>
        </w:tc>
        <w:tc>
          <w:tcPr>
            <w:tcW w:w="709"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color w:val="auto"/>
                <w:szCs w:val="21"/>
              </w:rPr>
            </w:pPr>
            <w:r>
              <w:rPr>
                <w:color w:val="auto"/>
                <w:szCs w:val="21"/>
              </w:rPr>
              <w:t>性别</w:t>
            </w:r>
          </w:p>
        </w:tc>
        <w:tc>
          <w:tcPr>
            <w:tcW w:w="1418"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color w:val="auto"/>
                <w:szCs w:val="21"/>
              </w:rPr>
            </w:pPr>
            <w:r>
              <w:rPr>
                <w:color w:val="auto"/>
                <w:szCs w:val="21"/>
              </w:rPr>
              <w:t>职称</w:t>
            </w:r>
          </w:p>
        </w:tc>
        <w:tc>
          <w:tcPr>
            <w:tcW w:w="1559"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color w:val="auto"/>
                <w:szCs w:val="21"/>
              </w:rPr>
            </w:pPr>
            <w:r>
              <w:rPr>
                <w:color w:val="auto"/>
                <w:szCs w:val="21"/>
              </w:rPr>
              <w:t>专业</w:t>
            </w:r>
          </w:p>
        </w:tc>
        <w:tc>
          <w:tcPr>
            <w:tcW w:w="1984"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color w:val="auto"/>
                <w:szCs w:val="21"/>
              </w:rPr>
            </w:pPr>
            <w:r>
              <w:rPr>
                <w:color w:val="auto"/>
                <w:szCs w:val="21"/>
              </w:rPr>
              <w:t>联系电话</w:t>
            </w:r>
          </w:p>
        </w:tc>
        <w:tc>
          <w:tcPr>
            <w:tcW w:w="1560"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color w:val="auto"/>
                <w:szCs w:val="21"/>
              </w:rPr>
            </w:pPr>
            <w:r>
              <w:rPr>
                <w:color w:val="auto"/>
                <w:szCs w:val="21"/>
              </w:rPr>
              <w:t>分工</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Borders>
              <w:top w:val="single" w:color="auto" w:sz="4" w:space="0"/>
            </w:tcBorders>
            <w:tcMar>
              <w:left w:w="28" w:type="dxa"/>
              <w:right w:w="28" w:type="dxa"/>
            </w:tcMar>
            <w:vAlign w:val="center"/>
          </w:tcPr>
          <w:p>
            <w:pPr>
              <w:spacing w:line="500" w:lineRule="exact"/>
              <w:ind w:right="25" w:rightChars="12"/>
              <w:jc w:val="center"/>
              <w:rPr>
                <w:color w:val="auto"/>
                <w:szCs w:val="21"/>
              </w:rPr>
            </w:pPr>
            <w:r>
              <w:rPr>
                <w:color w:val="auto"/>
                <w:szCs w:val="21"/>
              </w:rPr>
              <w:t>1</w:t>
            </w:r>
          </w:p>
        </w:tc>
        <w:tc>
          <w:tcPr>
            <w:tcW w:w="1134" w:type="dxa"/>
            <w:tcBorders>
              <w:top w:val="single" w:color="auto" w:sz="4" w:space="0"/>
            </w:tcBorders>
            <w:tcMar>
              <w:left w:w="28" w:type="dxa"/>
              <w:right w:w="28" w:type="dxa"/>
            </w:tcMar>
            <w:vAlign w:val="center"/>
          </w:tcPr>
          <w:p>
            <w:pPr>
              <w:spacing w:line="500" w:lineRule="exact"/>
              <w:ind w:right="25" w:rightChars="12"/>
              <w:jc w:val="center"/>
              <w:rPr>
                <w:color w:val="auto"/>
                <w:szCs w:val="21"/>
              </w:rPr>
            </w:pPr>
          </w:p>
        </w:tc>
        <w:tc>
          <w:tcPr>
            <w:tcW w:w="709" w:type="dxa"/>
            <w:tcBorders>
              <w:top w:val="single" w:color="auto" w:sz="4" w:space="0"/>
            </w:tcBorders>
            <w:tcMar>
              <w:left w:w="28" w:type="dxa"/>
              <w:right w:w="28" w:type="dxa"/>
            </w:tcMar>
            <w:vAlign w:val="center"/>
          </w:tcPr>
          <w:p>
            <w:pPr>
              <w:spacing w:line="500" w:lineRule="exact"/>
              <w:ind w:right="25" w:rightChars="12"/>
              <w:jc w:val="center"/>
              <w:rPr>
                <w:color w:val="auto"/>
                <w:szCs w:val="21"/>
              </w:rPr>
            </w:pPr>
          </w:p>
        </w:tc>
        <w:tc>
          <w:tcPr>
            <w:tcW w:w="1418" w:type="dxa"/>
            <w:tcBorders>
              <w:top w:val="single" w:color="auto" w:sz="4" w:space="0"/>
            </w:tcBorders>
            <w:tcMar>
              <w:left w:w="28" w:type="dxa"/>
              <w:right w:w="28" w:type="dxa"/>
            </w:tcMar>
            <w:vAlign w:val="center"/>
          </w:tcPr>
          <w:p>
            <w:pPr>
              <w:spacing w:line="500" w:lineRule="exact"/>
              <w:ind w:right="25" w:rightChars="12"/>
              <w:jc w:val="center"/>
              <w:rPr>
                <w:color w:val="auto"/>
                <w:szCs w:val="21"/>
              </w:rPr>
            </w:pPr>
          </w:p>
        </w:tc>
        <w:tc>
          <w:tcPr>
            <w:tcW w:w="1559" w:type="dxa"/>
            <w:tcBorders>
              <w:top w:val="single" w:color="auto" w:sz="4" w:space="0"/>
            </w:tcBorders>
            <w:tcMar>
              <w:left w:w="28" w:type="dxa"/>
              <w:right w:w="28" w:type="dxa"/>
            </w:tcMar>
            <w:vAlign w:val="center"/>
          </w:tcPr>
          <w:p>
            <w:pPr>
              <w:spacing w:line="500" w:lineRule="exact"/>
              <w:ind w:right="25" w:rightChars="12"/>
              <w:jc w:val="center"/>
              <w:rPr>
                <w:color w:val="auto"/>
                <w:szCs w:val="21"/>
              </w:rPr>
            </w:pPr>
          </w:p>
        </w:tc>
        <w:tc>
          <w:tcPr>
            <w:tcW w:w="1984" w:type="dxa"/>
            <w:tcBorders>
              <w:top w:val="single" w:color="auto" w:sz="4" w:space="0"/>
            </w:tcBorders>
            <w:tcMar>
              <w:left w:w="28" w:type="dxa"/>
              <w:right w:w="28" w:type="dxa"/>
            </w:tcMar>
            <w:vAlign w:val="center"/>
          </w:tcPr>
          <w:p>
            <w:pPr>
              <w:spacing w:line="500" w:lineRule="exact"/>
              <w:ind w:right="25" w:rightChars="12"/>
              <w:jc w:val="center"/>
              <w:rPr>
                <w:color w:val="auto"/>
                <w:szCs w:val="21"/>
              </w:rPr>
            </w:pPr>
          </w:p>
        </w:tc>
        <w:tc>
          <w:tcPr>
            <w:tcW w:w="1560" w:type="dxa"/>
            <w:tcBorders>
              <w:top w:val="single" w:color="auto" w:sz="4" w:space="0"/>
            </w:tcBorders>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color w:val="auto"/>
                <w:szCs w:val="21"/>
              </w:rPr>
            </w:pPr>
            <w:r>
              <w:rPr>
                <w:color w:val="auto"/>
                <w:szCs w:val="21"/>
              </w:rPr>
              <w:t>2</w:t>
            </w:r>
          </w:p>
        </w:tc>
        <w:tc>
          <w:tcPr>
            <w:tcW w:w="1134" w:type="dxa"/>
            <w:tcMar>
              <w:left w:w="28" w:type="dxa"/>
              <w:right w:w="28" w:type="dxa"/>
            </w:tcMar>
            <w:vAlign w:val="center"/>
          </w:tcPr>
          <w:p>
            <w:pPr>
              <w:spacing w:line="500" w:lineRule="exact"/>
              <w:ind w:right="25" w:rightChars="12"/>
              <w:jc w:val="center"/>
              <w:rPr>
                <w:color w:val="auto"/>
                <w:szCs w:val="21"/>
              </w:rPr>
            </w:pPr>
          </w:p>
        </w:tc>
        <w:tc>
          <w:tcPr>
            <w:tcW w:w="709" w:type="dxa"/>
            <w:tcMar>
              <w:left w:w="28" w:type="dxa"/>
              <w:right w:w="28" w:type="dxa"/>
            </w:tcMar>
            <w:vAlign w:val="center"/>
          </w:tcPr>
          <w:p>
            <w:pPr>
              <w:spacing w:line="500" w:lineRule="exact"/>
              <w:ind w:right="25" w:rightChars="12"/>
              <w:jc w:val="center"/>
              <w:rPr>
                <w:color w:val="auto"/>
                <w:szCs w:val="21"/>
              </w:rPr>
            </w:pPr>
          </w:p>
        </w:tc>
        <w:tc>
          <w:tcPr>
            <w:tcW w:w="1418" w:type="dxa"/>
            <w:tcMar>
              <w:left w:w="28" w:type="dxa"/>
              <w:right w:w="28" w:type="dxa"/>
            </w:tcMar>
            <w:vAlign w:val="center"/>
          </w:tcPr>
          <w:p>
            <w:pPr>
              <w:spacing w:line="500" w:lineRule="exact"/>
              <w:ind w:right="25" w:rightChars="12"/>
              <w:jc w:val="center"/>
              <w:rPr>
                <w:color w:val="auto"/>
                <w:szCs w:val="21"/>
              </w:rPr>
            </w:pPr>
          </w:p>
        </w:tc>
        <w:tc>
          <w:tcPr>
            <w:tcW w:w="1559" w:type="dxa"/>
            <w:tcMar>
              <w:left w:w="28" w:type="dxa"/>
              <w:right w:w="28" w:type="dxa"/>
            </w:tcMar>
            <w:vAlign w:val="center"/>
          </w:tcPr>
          <w:p>
            <w:pPr>
              <w:spacing w:line="500" w:lineRule="exact"/>
              <w:ind w:right="25" w:rightChars="12"/>
              <w:jc w:val="center"/>
              <w:rPr>
                <w:color w:val="auto"/>
                <w:szCs w:val="21"/>
              </w:rPr>
            </w:pPr>
          </w:p>
        </w:tc>
        <w:tc>
          <w:tcPr>
            <w:tcW w:w="1984" w:type="dxa"/>
            <w:tcMar>
              <w:left w:w="28" w:type="dxa"/>
              <w:right w:w="28" w:type="dxa"/>
            </w:tcMar>
            <w:vAlign w:val="center"/>
          </w:tcPr>
          <w:p>
            <w:pPr>
              <w:spacing w:line="500" w:lineRule="exact"/>
              <w:ind w:right="25" w:rightChars="12"/>
              <w:jc w:val="center"/>
              <w:rPr>
                <w:color w:val="auto"/>
                <w:szCs w:val="21"/>
              </w:rPr>
            </w:pPr>
          </w:p>
        </w:tc>
        <w:tc>
          <w:tcPr>
            <w:tcW w:w="1560" w:type="dxa"/>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color w:val="auto"/>
                <w:szCs w:val="21"/>
              </w:rPr>
            </w:pPr>
            <w:r>
              <w:rPr>
                <w:color w:val="auto"/>
                <w:szCs w:val="21"/>
              </w:rPr>
              <w:t>3</w:t>
            </w:r>
          </w:p>
        </w:tc>
        <w:tc>
          <w:tcPr>
            <w:tcW w:w="1134" w:type="dxa"/>
            <w:tcMar>
              <w:left w:w="28" w:type="dxa"/>
              <w:right w:w="28" w:type="dxa"/>
            </w:tcMar>
            <w:vAlign w:val="center"/>
          </w:tcPr>
          <w:p>
            <w:pPr>
              <w:spacing w:line="500" w:lineRule="exact"/>
              <w:ind w:right="25" w:rightChars="12"/>
              <w:jc w:val="center"/>
              <w:rPr>
                <w:color w:val="auto"/>
                <w:szCs w:val="21"/>
              </w:rPr>
            </w:pPr>
          </w:p>
        </w:tc>
        <w:tc>
          <w:tcPr>
            <w:tcW w:w="709" w:type="dxa"/>
            <w:tcMar>
              <w:left w:w="28" w:type="dxa"/>
              <w:right w:w="28" w:type="dxa"/>
            </w:tcMar>
            <w:vAlign w:val="center"/>
          </w:tcPr>
          <w:p>
            <w:pPr>
              <w:spacing w:line="500" w:lineRule="exact"/>
              <w:ind w:right="25" w:rightChars="12"/>
              <w:jc w:val="center"/>
              <w:rPr>
                <w:color w:val="auto"/>
                <w:szCs w:val="21"/>
              </w:rPr>
            </w:pPr>
          </w:p>
        </w:tc>
        <w:tc>
          <w:tcPr>
            <w:tcW w:w="1418" w:type="dxa"/>
            <w:tcMar>
              <w:left w:w="28" w:type="dxa"/>
              <w:right w:w="28" w:type="dxa"/>
            </w:tcMar>
            <w:vAlign w:val="center"/>
          </w:tcPr>
          <w:p>
            <w:pPr>
              <w:spacing w:line="500" w:lineRule="exact"/>
              <w:ind w:right="25" w:rightChars="12"/>
              <w:jc w:val="center"/>
              <w:rPr>
                <w:color w:val="auto"/>
                <w:szCs w:val="21"/>
              </w:rPr>
            </w:pPr>
          </w:p>
        </w:tc>
        <w:tc>
          <w:tcPr>
            <w:tcW w:w="1559" w:type="dxa"/>
            <w:tcMar>
              <w:left w:w="28" w:type="dxa"/>
              <w:right w:w="28" w:type="dxa"/>
            </w:tcMar>
            <w:vAlign w:val="center"/>
          </w:tcPr>
          <w:p>
            <w:pPr>
              <w:spacing w:line="500" w:lineRule="exact"/>
              <w:ind w:right="25" w:rightChars="12"/>
              <w:jc w:val="center"/>
              <w:rPr>
                <w:color w:val="auto"/>
                <w:szCs w:val="21"/>
              </w:rPr>
            </w:pPr>
          </w:p>
        </w:tc>
        <w:tc>
          <w:tcPr>
            <w:tcW w:w="1984" w:type="dxa"/>
            <w:tcMar>
              <w:left w:w="28" w:type="dxa"/>
              <w:right w:w="28" w:type="dxa"/>
            </w:tcMar>
            <w:vAlign w:val="center"/>
          </w:tcPr>
          <w:p>
            <w:pPr>
              <w:spacing w:line="500" w:lineRule="exact"/>
              <w:ind w:right="25" w:rightChars="12"/>
              <w:jc w:val="center"/>
              <w:rPr>
                <w:color w:val="auto"/>
                <w:szCs w:val="21"/>
              </w:rPr>
            </w:pPr>
          </w:p>
        </w:tc>
        <w:tc>
          <w:tcPr>
            <w:tcW w:w="1560" w:type="dxa"/>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color w:val="auto"/>
                <w:szCs w:val="21"/>
              </w:rPr>
            </w:pPr>
            <w:r>
              <w:rPr>
                <w:color w:val="auto"/>
                <w:szCs w:val="21"/>
              </w:rPr>
              <w:t>4</w:t>
            </w:r>
          </w:p>
        </w:tc>
        <w:tc>
          <w:tcPr>
            <w:tcW w:w="1134" w:type="dxa"/>
            <w:tcMar>
              <w:left w:w="28" w:type="dxa"/>
              <w:right w:w="28" w:type="dxa"/>
            </w:tcMar>
            <w:vAlign w:val="center"/>
          </w:tcPr>
          <w:p>
            <w:pPr>
              <w:spacing w:line="500" w:lineRule="exact"/>
              <w:ind w:right="25" w:rightChars="12"/>
              <w:jc w:val="center"/>
              <w:rPr>
                <w:color w:val="auto"/>
                <w:szCs w:val="21"/>
              </w:rPr>
            </w:pPr>
          </w:p>
        </w:tc>
        <w:tc>
          <w:tcPr>
            <w:tcW w:w="709" w:type="dxa"/>
            <w:tcMar>
              <w:left w:w="28" w:type="dxa"/>
              <w:right w:w="28" w:type="dxa"/>
            </w:tcMar>
            <w:vAlign w:val="center"/>
          </w:tcPr>
          <w:p>
            <w:pPr>
              <w:spacing w:line="500" w:lineRule="exact"/>
              <w:ind w:right="25" w:rightChars="12"/>
              <w:jc w:val="center"/>
              <w:rPr>
                <w:color w:val="auto"/>
                <w:szCs w:val="21"/>
              </w:rPr>
            </w:pPr>
          </w:p>
        </w:tc>
        <w:tc>
          <w:tcPr>
            <w:tcW w:w="1418" w:type="dxa"/>
            <w:tcMar>
              <w:left w:w="28" w:type="dxa"/>
              <w:right w:w="28" w:type="dxa"/>
            </w:tcMar>
            <w:vAlign w:val="center"/>
          </w:tcPr>
          <w:p>
            <w:pPr>
              <w:spacing w:line="500" w:lineRule="exact"/>
              <w:ind w:right="25" w:rightChars="12"/>
              <w:jc w:val="center"/>
              <w:rPr>
                <w:color w:val="auto"/>
                <w:szCs w:val="21"/>
              </w:rPr>
            </w:pPr>
          </w:p>
        </w:tc>
        <w:tc>
          <w:tcPr>
            <w:tcW w:w="1559" w:type="dxa"/>
            <w:tcMar>
              <w:left w:w="28" w:type="dxa"/>
              <w:right w:w="28" w:type="dxa"/>
            </w:tcMar>
            <w:vAlign w:val="center"/>
          </w:tcPr>
          <w:p>
            <w:pPr>
              <w:spacing w:line="500" w:lineRule="exact"/>
              <w:ind w:right="25" w:rightChars="12"/>
              <w:jc w:val="center"/>
              <w:rPr>
                <w:color w:val="auto"/>
                <w:szCs w:val="21"/>
              </w:rPr>
            </w:pPr>
          </w:p>
        </w:tc>
        <w:tc>
          <w:tcPr>
            <w:tcW w:w="1984" w:type="dxa"/>
            <w:tcMar>
              <w:left w:w="28" w:type="dxa"/>
              <w:right w:w="28" w:type="dxa"/>
            </w:tcMar>
            <w:vAlign w:val="center"/>
          </w:tcPr>
          <w:p>
            <w:pPr>
              <w:spacing w:line="500" w:lineRule="exact"/>
              <w:ind w:right="25" w:rightChars="12"/>
              <w:jc w:val="center"/>
              <w:rPr>
                <w:color w:val="auto"/>
                <w:szCs w:val="21"/>
              </w:rPr>
            </w:pPr>
          </w:p>
        </w:tc>
        <w:tc>
          <w:tcPr>
            <w:tcW w:w="1560" w:type="dxa"/>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color w:val="auto"/>
                <w:szCs w:val="21"/>
              </w:rPr>
            </w:pPr>
            <w:r>
              <w:rPr>
                <w:color w:val="auto"/>
                <w:szCs w:val="21"/>
              </w:rPr>
              <w:t>5</w:t>
            </w:r>
          </w:p>
        </w:tc>
        <w:tc>
          <w:tcPr>
            <w:tcW w:w="1134" w:type="dxa"/>
            <w:tcMar>
              <w:left w:w="28" w:type="dxa"/>
              <w:right w:w="28" w:type="dxa"/>
            </w:tcMar>
            <w:vAlign w:val="center"/>
          </w:tcPr>
          <w:p>
            <w:pPr>
              <w:spacing w:line="500" w:lineRule="exact"/>
              <w:ind w:right="25" w:rightChars="12"/>
              <w:jc w:val="center"/>
              <w:rPr>
                <w:color w:val="auto"/>
                <w:szCs w:val="21"/>
              </w:rPr>
            </w:pPr>
          </w:p>
        </w:tc>
        <w:tc>
          <w:tcPr>
            <w:tcW w:w="709" w:type="dxa"/>
            <w:tcMar>
              <w:left w:w="28" w:type="dxa"/>
              <w:right w:w="28" w:type="dxa"/>
            </w:tcMar>
            <w:vAlign w:val="center"/>
          </w:tcPr>
          <w:p>
            <w:pPr>
              <w:spacing w:line="500" w:lineRule="exact"/>
              <w:ind w:right="25" w:rightChars="12"/>
              <w:jc w:val="center"/>
              <w:rPr>
                <w:color w:val="auto"/>
                <w:szCs w:val="21"/>
              </w:rPr>
            </w:pPr>
          </w:p>
        </w:tc>
        <w:tc>
          <w:tcPr>
            <w:tcW w:w="1418" w:type="dxa"/>
            <w:tcMar>
              <w:left w:w="28" w:type="dxa"/>
              <w:right w:w="28" w:type="dxa"/>
            </w:tcMar>
            <w:vAlign w:val="center"/>
          </w:tcPr>
          <w:p>
            <w:pPr>
              <w:spacing w:line="500" w:lineRule="exact"/>
              <w:ind w:right="25" w:rightChars="12"/>
              <w:jc w:val="center"/>
              <w:rPr>
                <w:color w:val="auto"/>
                <w:szCs w:val="21"/>
              </w:rPr>
            </w:pPr>
          </w:p>
        </w:tc>
        <w:tc>
          <w:tcPr>
            <w:tcW w:w="1559" w:type="dxa"/>
            <w:tcMar>
              <w:left w:w="28" w:type="dxa"/>
              <w:right w:w="28" w:type="dxa"/>
            </w:tcMar>
            <w:vAlign w:val="center"/>
          </w:tcPr>
          <w:p>
            <w:pPr>
              <w:spacing w:line="500" w:lineRule="exact"/>
              <w:ind w:right="25" w:rightChars="12"/>
              <w:jc w:val="center"/>
              <w:rPr>
                <w:color w:val="auto"/>
                <w:szCs w:val="21"/>
              </w:rPr>
            </w:pPr>
          </w:p>
        </w:tc>
        <w:tc>
          <w:tcPr>
            <w:tcW w:w="1984" w:type="dxa"/>
            <w:tcMar>
              <w:left w:w="28" w:type="dxa"/>
              <w:right w:w="28" w:type="dxa"/>
            </w:tcMar>
            <w:vAlign w:val="center"/>
          </w:tcPr>
          <w:p>
            <w:pPr>
              <w:spacing w:line="500" w:lineRule="exact"/>
              <w:ind w:right="25" w:rightChars="12"/>
              <w:jc w:val="center"/>
              <w:rPr>
                <w:color w:val="auto"/>
                <w:szCs w:val="21"/>
              </w:rPr>
            </w:pPr>
          </w:p>
        </w:tc>
        <w:tc>
          <w:tcPr>
            <w:tcW w:w="1560" w:type="dxa"/>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color w:val="auto"/>
                <w:szCs w:val="21"/>
              </w:rPr>
            </w:pPr>
            <w:r>
              <w:rPr>
                <w:color w:val="auto"/>
                <w:szCs w:val="21"/>
              </w:rPr>
              <w:t>6</w:t>
            </w:r>
          </w:p>
        </w:tc>
        <w:tc>
          <w:tcPr>
            <w:tcW w:w="1134" w:type="dxa"/>
            <w:tcMar>
              <w:left w:w="28" w:type="dxa"/>
              <w:right w:w="28" w:type="dxa"/>
            </w:tcMar>
            <w:vAlign w:val="center"/>
          </w:tcPr>
          <w:p>
            <w:pPr>
              <w:spacing w:line="500" w:lineRule="exact"/>
              <w:ind w:right="25" w:rightChars="12"/>
              <w:jc w:val="center"/>
              <w:rPr>
                <w:color w:val="auto"/>
                <w:szCs w:val="21"/>
              </w:rPr>
            </w:pPr>
          </w:p>
        </w:tc>
        <w:tc>
          <w:tcPr>
            <w:tcW w:w="709" w:type="dxa"/>
            <w:tcMar>
              <w:left w:w="28" w:type="dxa"/>
              <w:right w:w="28" w:type="dxa"/>
            </w:tcMar>
            <w:vAlign w:val="center"/>
          </w:tcPr>
          <w:p>
            <w:pPr>
              <w:spacing w:line="500" w:lineRule="exact"/>
              <w:ind w:right="25" w:rightChars="12"/>
              <w:jc w:val="center"/>
              <w:rPr>
                <w:color w:val="auto"/>
                <w:szCs w:val="21"/>
              </w:rPr>
            </w:pPr>
          </w:p>
        </w:tc>
        <w:tc>
          <w:tcPr>
            <w:tcW w:w="1418" w:type="dxa"/>
            <w:tcMar>
              <w:left w:w="28" w:type="dxa"/>
              <w:right w:w="28" w:type="dxa"/>
            </w:tcMar>
            <w:vAlign w:val="center"/>
          </w:tcPr>
          <w:p>
            <w:pPr>
              <w:spacing w:line="500" w:lineRule="exact"/>
              <w:ind w:right="25" w:rightChars="12"/>
              <w:jc w:val="center"/>
              <w:rPr>
                <w:color w:val="auto"/>
                <w:szCs w:val="21"/>
              </w:rPr>
            </w:pPr>
          </w:p>
        </w:tc>
        <w:tc>
          <w:tcPr>
            <w:tcW w:w="1559" w:type="dxa"/>
            <w:tcMar>
              <w:left w:w="28" w:type="dxa"/>
              <w:right w:w="28" w:type="dxa"/>
            </w:tcMar>
            <w:vAlign w:val="center"/>
          </w:tcPr>
          <w:p>
            <w:pPr>
              <w:spacing w:line="500" w:lineRule="exact"/>
              <w:ind w:right="25" w:rightChars="12"/>
              <w:jc w:val="center"/>
              <w:rPr>
                <w:color w:val="auto"/>
                <w:szCs w:val="21"/>
              </w:rPr>
            </w:pPr>
          </w:p>
        </w:tc>
        <w:tc>
          <w:tcPr>
            <w:tcW w:w="1984" w:type="dxa"/>
            <w:tcMar>
              <w:left w:w="28" w:type="dxa"/>
              <w:right w:w="28" w:type="dxa"/>
            </w:tcMar>
            <w:vAlign w:val="center"/>
          </w:tcPr>
          <w:p>
            <w:pPr>
              <w:spacing w:line="500" w:lineRule="exact"/>
              <w:ind w:right="25" w:rightChars="12"/>
              <w:jc w:val="center"/>
              <w:rPr>
                <w:color w:val="auto"/>
                <w:szCs w:val="21"/>
              </w:rPr>
            </w:pPr>
          </w:p>
        </w:tc>
        <w:tc>
          <w:tcPr>
            <w:tcW w:w="1560" w:type="dxa"/>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color w:val="auto"/>
                <w:szCs w:val="21"/>
              </w:rPr>
            </w:pPr>
            <w:r>
              <w:rPr>
                <w:color w:val="auto"/>
                <w:szCs w:val="21"/>
              </w:rPr>
              <w:t>7</w:t>
            </w:r>
          </w:p>
        </w:tc>
        <w:tc>
          <w:tcPr>
            <w:tcW w:w="1134" w:type="dxa"/>
            <w:tcMar>
              <w:left w:w="28" w:type="dxa"/>
              <w:right w:w="28" w:type="dxa"/>
            </w:tcMar>
            <w:vAlign w:val="center"/>
          </w:tcPr>
          <w:p>
            <w:pPr>
              <w:spacing w:line="500" w:lineRule="exact"/>
              <w:ind w:right="25" w:rightChars="12"/>
              <w:jc w:val="center"/>
              <w:rPr>
                <w:color w:val="auto"/>
                <w:szCs w:val="21"/>
              </w:rPr>
            </w:pPr>
          </w:p>
        </w:tc>
        <w:tc>
          <w:tcPr>
            <w:tcW w:w="709" w:type="dxa"/>
            <w:tcMar>
              <w:left w:w="28" w:type="dxa"/>
              <w:right w:w="28" w:type="dxa"/>
            </w:tcMar>
            <w:vAlign w:val="center"/>
          </w:tcPr>
          <w:p>
            <w:pPr>
              <w:spacing w:line="500" w:lineRule="exact"/>
              <w:ind w:right="25" w:rightChars="12"/>
              <w:jc w:val="center"/>
              <w:rPr>
                <w:color w:val="auto"/>
                <w:szCs w:val="21"/>
              </w:rPr>
            </w:pPr>
          </w:p>
        </w:tc>
        <w:tc>
          <w:tcPr>
            <w:tcW w:w="1418" w:type="dxa"/>
            <w:tcMar>
              <w:left w:w="28" w:type="dxa"/>
              <w:right w:w="28" w:type="dxa"/>
            </w:tcMar>
            <w:vAlign w:val="center"/>
          </w:tcPr>
          <w:p>
            <w:pPr>
              <w:spacing w:line="500" w:lineRule="exact"/>
              <w:ind w:right="25" w:rightChars="12"/>
              <w:jc w:val="center"/>
              <w:rPr>
                <w:color w:val="auto"/>
                <w:szCs w:val="21"/>
              </w:rPr>
            </w:pPr>
          </w:p>
        </w:tc>
        <w:tc>
          <w:tcPr>
            <w:tcW w:w="1559" w:type="dxa"/>
            <w:tcMar>
              <w:left w:w="28" w:type="dxa"/>
              <w:right w:w="28" w:type="dxa"/>
            </w:tcMar>
            <w:vAlign w:val="center"/>
          </w:tcPr>
          <w:p>
            <w:pPr>
              <w:spacing w:line="500" w:lineRule="exact"/>
              <w:ind w:right="25" w:rightChars="12"/>
              <w:jc w:val="center"/>
              <w:rPr>
                <w:color w:val="auto"/>
                <w:szCs w:val="21"/>
              </w:rPr>
            </w:pPr>
          </w:p>
        </w:tc>
        <w:tc>
          <w:tcPr>
            <w:tcW w:w="1984" w:type="dxa"/>
            <w:tcMar>
              <w:left w:w="28" w:type="dxa"/>
              <w:right w:w="28" w:type="dxa"/>
            </w:tcMar>
            <w:vAlign w:val="center"/>
          </w:tcPr>
          <w:p>
            <w:pPr>
              <w:spacing w:line="500" w:lineRule="exact"/>
              <w:ind w:right="25" w:rightChars="12"/>
              <w:jc w:val="center"/>
              <w:rPr>
                <w:color w:val="auto"/>
                <w:szCs w:val="21"/>
              </w:rPr>
            </w:pPr>
          </w:p>
        </w:tc>
        <w:tc>
          <w:tcPr>
            <w:tcW w:w="1560" w:type="dxa"/>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25" w:hRule="atLeast"/>
        </w:trPr>
        <w:tc>
          <w:tcPr>
            <w:tcW w:w="567" w:type="dxa"/>
            <w:tcMar>
              <w:left w:w="28" w:type="dxa"/>
              <w:right w:w="28" w:type="dxa"/>
            </w:tcMar>
            <w:vAlign w:val="center"/>
          </w:tcPr>
          <w:p>
            <w:pPr>
              <w:spacing w:line="500" w:lineRule="exact"/>
              <w:ind w:right="25" w:rightChars="12"/>
              <w:jc w:val="center"/>
              <w:rPr>
                <w:color w:val="auto"/>
                <w:szCs w:val="21"/>
              </w:rPr>
            </w:pPr>
            <w:r>
              <w:rPr>
                <w:rFonts w:hint="eastAsia"/>
                <w:color w:val="auto"/>
                <w:szCs w:val="21"/>
              </w:rPr>
              <w:t>9</w:t>
            </w:r>
          </w:p>
        </w:tc>
        <w:tc>
          <w:tcPr>
            <w:tcW w:w="1134" w:type="dxa"/>
            <w:tcMar>
              <w:left w:w="28" w:type="dxa"/>
              <w:right w:w="28" w:type="dxa"/>
            </w:tcMar>
            <w:vAlign w:val="center"/>
          </w:tcPr>
          <w:p>
            <w:pPr>
              <w:spacing w:line="500" w:lineRule="exact"/>
              <w:ind w:right="25" w:rightChars="12"/>
              <w:jc w:val="center"/>
              <w:rPr>
                <w:color w:val="auto"/>
                <w:szCs w:val="21"/>
              </w:rPr>
            </w:pPr>
          </w:p>
        </w:tc>
        <w:tc>
          <w:tcPr>
            <w:tcW w:w="709" w:type="dxa"/>
            <w:tcMar>
              <w:left w:w="28" w:type="dxa"/>
              <w:right w:w="28" w:type="dxa"/>
            </w:tcMar>
            <w:vAlign w:val="center"/>
          </w:tcPr>
          <w:p>
            <w:pPr>
              <w:spacing w:line="500" w:lineRule="exact"/>
              <w:ind w:right="25" w:rightChars="12"/>
              <w:jc w:val="center"/>
              <w:rPr>
                <w:color w:val="auto"/>
                <w:szCs w:val="21"/>
              </w:rPr>
            </w:pPr>
          </w:p>
        </w:tc>
        <w:tc>
          <w:tcPr>
            <w:tcW w:w="1418" w:type="dxa"/>
            <w:tcMar>
              <w:left w:w="28" w:type="dxa"/>
              <w:right w:w="28" w:type="dxa"/>
            </w:tcMar>
            <w:vAlign w:val="center"/>
          </w:tcPr>
          <w:p>
            <w:pPr>
              <w:spacing w:line="500" w:lineRule="exact"/>
              <w:ind w:right="25" w:rightChars="12"/>
              <w:jc w:val="center"/>
              <w:rPr>
                <w:color w:val="auto"/>
                <w:szCs w:val="21"/>
              </w:rPr>
            </w:pPr>
          </w:p>
        </w:tc>
        <w:tc>
          <w:tcPr>
            <w:tcW w:w="1559" w:type="dxa"/>
            <w:tcMar>
              <w:left w:w="28" w:type="dxa"/>
              <w:right w:w="28" w:type="dxa"/>
            </w:tcMar>
            <w:vAlign w:val="center"/>
          </w:tcPr>
          <w:p>
            <w:pPr>
              <w:spacing w:line="500" w:lineRule="exact"/>
              <w:ind w:right="25" w:rightChars="12"/>
              <w:jc w:val="center"/>
              <w:rPr>
                <w:color w:val="auto"/>
                <w:szCs w:val="21"/>
              </w:rPr>
            </w:pPr>
          </w:p>
        </w:tc>
        <w:tc>
          <w:tcPr>
            <w:tcW w:w="1984" w:type="dxa"/>
            <w:tcMar>
              <w:left w:w="28" w:type="dxa"/>
              <w:right w:w="28" w:type="dxa"/>
            </w:tcMar>
            <w:vAlign w:val="center"/>
          </w:tcPr>
          <w:p>
            <w:pPr>
              <w:spacing w:line="500" w:lineRule="exact"/>
              <w:ind w:right="25" w:rightChars="12"/>
              <w:jc w:val="center"/>
              <w:rPr>
                <w:color w:val="auto"/>
                <w:szCs w:val="21"/>
              </w:rPr>
            </w:pPr>
          </w:p>
        </w:tc>
        <w:tc>
          <w:tcPr>
            <w:tcW w:w="1560" w:type="dxa"/>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color w:val="auto"/>
                <w:szCs w:val="21"/>
              </w:rPr>
            </w:pPr>
            <w:r>
              <w:rPr>
                <w:rFonts w:hint="eastAsia"/>
                <w:color w:val="auto"/>
                <w:szCs w:val="21"/>
              </w:rPr>
              <w:t>9</w:t>
            </w:r>
          </w:p>
        </w:tc>
        <w:tc>
          <w:tcPr>
            <w:tcW w:w="1134" w:type="dxa"/>
            <w:tcMar>
              <w:left w:w="28" w:type="dxa"/>
              <w:right w:w="28" w:type="dxa"/>
            </w:tcMar>
            <w:vAlign w:val="center"/>
          </w:tcPr>
          <w:p>
            <w:pPr>
              <w:spacing w:line="500" w:lineRule="exact"/>
              <w:ind w:right="25" w:rightChars="12"/>
              <w:jc w:val="center"/>
              <w:rPr>
                <w:color w:val="auto"/>
                <w:szCs w:val="21"/>
              </w:rPr>
            </w:pPr>
          </w:p>
        </w:tc>
        <w:tc>
          <w:tcPr>
            <w:tcW w:w="709" w:type="dxa"/>
            <w:tcMar>
              <w:left w:w="28" w:type="dxa"/>
              <w:right w:w="28" w:type="dxa"/>
            </w:tcMar>
            <w:vAlign w:val="center"/>
          </w:tcPr>
          <w:p>
            <w:pPr>
              <w:spacing w:line="500" w:lineRule="exact"/>
              <w:ind w:right="25" w:rightChars="12"/>
              <w:jc w:val="center"/>
              <w:rPr>
                <w:color w:val="auto"/>
                <w:szCs w:val="21"/>
              </w:rPr>
            </w:pPr>
          </w:p>
        </w:tc>
        <w:tc>
          <w:tcPr>
            <w:tcW w:w="1418" w:type="dxa"/>
            <w:tcMar>
              <w:left w:w="28" w:type="dxa"/>
              <w:right w:w="28" w:type="dxa"/>
            </w:tcMar>
            <w:vAlign w:val="center"/>
          </w:tcPr>
          <w:p>
            <w:pPr>
              <w:spacing w:line="500" w:lineRule="exact"/>
              <w:ind w:right="25" w:rightChars="12"/>
              <w:jc w:val="center"/>
              <w:rPr>
                <w:color w:val="auto"/>
                <w:szCs w:val="21"/>
              </w:rPr>
            </w:pPr>
          </w:p>
        </w:tc>
        <w:tc>
          <w:tcPr>
            <w:tcW w:w="1559" w:type="dxa"/>
            <w:tcMar>
              <w:left w:w="28" w:type="dxa"/>
              <w:right w:w="28" w:type="dxa"/>
            </w:tcMar>
            <w:vAlign w:val="center"/>
          </w:tcPr>
          <w:p>
            <w:pPr>
              <w:spacing w:line="500" w:lineRule="exact"/>
              <w:ind w:right="25" w:rightChars="12"/>
              <w:jc w:val="center"/>
              <w:rPr>
                <w:color w:val="auto"/>
                <w:szCs w:val="21"/>
              </w:rPr>
            </w:pPr>
          </w:p>
        </w:tc>
        <w:tc>
          <w:tcPr>
            <w:tcW w:w="1984" w:type="dxa"/>
            <w:tcMar>
              <w:left w:w="28" w:type="dxa"/>
              <w:right w:w="28" w:type="dxa"/>
            </w:tcMar>
            <w:vAlign w:val="center"/>
          </w:tcPr>
          <w:p>
            <w:pPr>
              <w:spacing w:line="500" w:lineRule="exact"/>
              <w:ind w:right="25" w:rightChars="12"/>
              <w:jc w:val="center"/>
              <w:rPr>
                <w:color w:val="auto"/>
                <w:szCs w:val="21"/>
              </w:rPr>
            </w:pPr>
          </w:p>
        </w:tc>
        <w:tc>
          <w:tcPr>
            <w:tcW w:w="1560" w:type="dxa"/>
            <w:tcMar>
              <w:left w:w="28" w:type="dxa"/>
              <w:right w:w="28" w:type="dxa"/>
            </w:tcMar>
            <w:vAlign w:val="center"/>
          </w:tcPr>
          <w:p>
            <w:pPr>
              <w:spacing w:line="500" w:lineRule="exact"/>
              <w:ind w:right="25" w:rightChars="12"/>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color w:val="auto"/>
                <w:szCs w:val="21"/>
              </w:rPr>
            </w:pPr>
            <w:r>
              <w:rPr>
                <w:rFonts w:hint="eastAsia"/>
                <w:color w:val="auto"/>
                <w:szCs w:val="21"/>
              </w:rPr>
              <w:t>10</w:t>
            </w:r>
          </w:p>
        </w:tc>
        <w:tc>
          <w:tcPr>
            <w:tcW w:w="1134" w:type="dxa"/>
            <w:tcMar>
              <w:left w:w="28" w:type="dxa"/>
              <w:right w:w="28" w:type="dxa"/>
            </w:tcMar>
            <w:vAlign w:val="center"/>
          </w:tcPr>
          <w:p>
            <w:pPr>
              <w:spacing w:line="500" w:lineRule="exact"/>
              <w:ind w:right="25" w:rightChars="12"/>
              <w:jc w:val="center"/>
              <w:rPr>
                <w:color w:val="auto"/>
                <w:szCs w:val="21"/>
              </w:rPr>
            </w:pPr>
          </w:p>
        </w:tc>
        <w:tc>
          <w:tcPr>
            <w:tcW w:w="709" w:type="dxa"/>
            <w:tcMar>
              <w:left w:w="28" w:type="dxa"/>
              <w:right w:w="28" w:type="dxa"/>
            </w:tcMar>
            <w:vAlign w:val="center"/>
          </w:tcPr>
          <w:p>
            <w:pPr>
              <w:spacing w:line="500" w:lineRule="exact"/>
              <w:ind w:right="25" w:rightChars="12"/>
              <w:jc w:val="center"/>
              <w:rPr>
                <w:color w:val="auto"/>
                <w:szCs w:val="21"/>
              </w:rPr>
            </w:pPr>
          </w:p>
        </w:tc>
        <w:tc>
          <w:tcPr>
            <w:tcW w:w="1418" w:type="dxa"/>
            <w:tcMar>
              <w:left w:w="28" w:type="dxa"/>
              <w:right w:w="28" w:type="dxa"/>
            </w:tcMar>
            <w:vAlign w:val="center"/>
          </w:tcPr>
          <w:p>
            <w:pPr>
              <w:spacing w:line="500" w:lineRule="exact"/>
              <w:ind w:right="25" w:rightChars="12"/>
              <w:jc w:val="center"/>
              <w:rPr>
                <w:color w:val="auto"/>
                <w:szCs w:val="21"/>
              </w:rPr>
            </w:pPr>
          </w:p>
        </w:tc>
        <w:tc>
          <w:tcPr>
            <w:tcW w:w="1559" w:type="dxa"/>
            <w:tcMar>
              <w:left w:w="28" w:type="dxa"/>
              <w:right w:w="28" w:type="dxa"/>
            </w:tcMar>
            <w:vAlign w:val="center"/>
          </w:tcPr>
          <w:p>
            <w:pPr>
              <w:spacing w:line="500" w:lineRule="exact"/>
              <w:ind w:right="25" w:rightChars="12"/>
              <w:jc w:val="center"/>
              <w:rPr>
                <w:color w:val="auto"/>
                <w:szCs w:val="21"/>
              </w:rPr>
            </w:pPr>
          </w:p>
        </w:tc>
        <w:tc>
          <w:tcPr>
            <w:tcW w:w="1984" w:type="dxa"/>
            <w:tcMar>
              <w:left w:w="28" w:type="dxa"/>
              <w:right w:w="28" w:type="dxa"/>
            </w:tcMar>
            <w:vAlign w:val="center"/>
          </w:tcPr>
          <w:p>
            <w:pPr>
              <w:spacing w:line="500" w:lineRule="exact"/>
              <w:ind w:right="25" w:rightChars="12"/>
              <w:jc w:val="center"/>
              <w:rPr>
                <w:color w:val="auto"/>
                <w:szCs w:val="21"/>
              </w:rPr>
            </w:pPr>
          </w:p>
        </w:tc>
        <w:tc>
          <w:tcPr>
            <w:tcW w:w="1560" w:type="dxa"/>
            <w:tcMar>
              <w:left w:w="28" w:type="dxa"/>
              <w:right w:w="28" w:type="dxa"/>
            </w:tcMar>
            <w:vAlign w:val="center"/>
          </w:tcPr>
          <w:p>
            <w:pPr>
              <w:spacing w:line="500" w:lineRule="exact"/>
              <w:ind w:right="25" w:rightChars="12"/>
              <w:jc w:val="center"/>
              <w:rPr>
                <w:color w:val="auto"/>
                <w:szCs w:val="21"/>
              </w:rPr>
            </w:pPr>
          </w:p>
        </w:tc>
      </w:tr>
    </w:tbl>
    <w:p>
      <w:pPr>
        <w:pStyle w:val="16"/>
        <w:widowControl/>
        <w:spacing w:line="360" w:lineRule="auto"/>
        <w:ind w:firstLine="0"/>
        <w:jc w:val="left"/>
        <w:rPr>
          <w:rFonts w:ascii="Times New Roman"/>
          <w:b/>
          <w:color w:val="auto"/>
        </w:rPr>
      </w:pPr>
    </w:p>
    <w:p>
      <w:pPr>
        <w:pStyle w:val="16"/>
        <w:widowControl/>
        <w:spacing w:line="360" w:lineRule="auto"/>
        <w:ind w:firstLine="0"/>
        <w:jc w:val="left"/>
        <w:rPr>
          <w:rFonts w:ascii="Times New Roman"/>
          <w:b/>
          <w:color w:val="auto"/>
        </w:rPr>
      </w:pPr>
    </w:p>
    <w:p>
      <w:pPr>
        <w:spacing w:line="0" w:lineRule="atLeast"/>
        <w:rPr>
          <w:rFonts w:eastAsia="仿宋_GB2312"/>
          <w:color w:val="auto"/>
          <w:sz w:val="24"/>
        </w:rPr>
      </w:pPr>
    </w:p>
    <w:p>
      <w:pPr>
        <w:widowControl/>
        <w:spacing w:line="360" w:lineRule="auto"/>
        <w:ind w:firstLine="5460" w:firstLineChars="2600"/>
        <w:jc w:val="left"/>
        <w:rPr>
          <w:rFonts w:ascii="宋体" w:hAnsi="宋体" w:cs="宋体"/>
          <w:color w:val="auto"/>
          <w:szCs w:val="21"/>
        </w:rPr>
      </w:pPr>
      <w:r>
        <w:rPr>
          <w:rFonts w:hint="eastAsia" w:ascii="宋体" w:hAnsi="宋体" w:cs="宋体"/>
          <w:color w:val="auto"/>
          <w:szCs w:val="21"/>
        </w:rPr>
        <w:t>投 标 人（盖章）：</w:t>
      </w:r>
    </w:p>
    <w:p>
      <w:pPr>
        <w:pStyle w:val="16"/>
        <w:spacing w:line="360" w:lineRule="auto"/>
        <w:ind w:firstLine="5548" w:firstLineChars="2642"/>
        <w:rPr>
          <w:rFonts w:hAnsi="宋体" w:cs="宋体"/>
          <w:color w:val="auto"/>
          <w:spacing w:val="0"/>
          <w:sz w:val="21"/>
          <w:szCs w:val="21"/>
        </w:rPr>
      </w:pPr>
      <w:r>
        <w:rPr>
          <w:rFonts w:hint="eastAsia" w:hAnsi="宋体" w:cs="宋体"/>
          <w:color w:val="auto"/>
          <w:spacing w:val="0"/>
          <w:sz w:val="21"/>
          <w:szCs w:val="21"/>
        </w:rPr>
        <w:t>日    期：</w:t>
      </w:r>
    </w:p>
    <w:p>
      <w:pPr>
        <w:ind w:firstLine="3360" w:firstLineChars="1600"/>
        <w:rPr>
          <w:color w:val="auto"/>
        </w:rPr>
      </w:pPr>
      <w:r>
        <w:rPr>
          <w:color w:val="auto"/>
        </w:rPr>
        <w:br w:type="page"/>
      </w:r>
    </w:p>
    <w:p>
      <w:pPr>
        <w:rPr>
          <w:rFonts w:ascii="宋体" w:hAnsi="宋体" w:cs="宋体"/>
          <w:b/>
          <w:color w:val="auto"/>
          <w:szCs w:val="21"/>
        </w:rPr>
      </w:pPr>
      <w:r>
        <w:rPr>
          <w:rFonts w:hint="eastAsia" w:ascii="宋体" w:hAnsi="宋体" w:cs="宋体"/>
          <w:b/>
          <w:color w:val="auto"/>
          <w:szCs w:val="21"/>
        </w:rPr>
        <w:t>11.技术条款偏离表</w:t>
      </w:r>
    </w:p>
    <w:p>
      <w:pPr>
        <w:snapToGrid w:val="0"/>
        <w:spacing w:line="360" w:lineRule="auto"/>
        <w:jc w:val="center"/>
        <w:rPr>
          <w:rFonts w:ascii="宋体" w:hAnsi="宋体" w:cs="宋体"/>
          <w:b/>
          <w:color w:val="auto"/>
          <w:szCs w:val="21"/>
        </w:rPr>
      </w:pPr>
    </w:p>
    <w:p>
      <w:pPr>
        <w:snapToGrid w:val="0"/>
        <w:spacing w:line="360" w:lineRule="auto"/>
        <w:jc w:val="center"/>
        <w:rPr>
          <w:rFonts w:ascii="宋体" w:hAnsi="宋体" w:cs="宋体"/>
          <w:b/>
          <w:color w:val="auto"/>
          <w:sz w:val="30"/>
          <w:szCs w:val="30"/>
        </w:rPr>
      </w:pPr>
      <w:r>
        <w:rPr>
          <w:rFonts w:hint="eastAsia" w:ascii="宋体" w:hAnsi="宋体" w:cs="宋体"/>
          <w:b/>
          <w:color w:val="auto"/>
          <w:sz w:val="30"/>
          <w:szCs w:val="30"/>
        </w:rPr>
        <w:t>技术条款偏离表</w:t>
      </w:r>
    </w:p>
    <w:p>
      <w:pPr>
        <w:snapToGrid w:val="0"/>
        <w:spacing w:line="360" w:lineRule="auto"/>
        <w:rPr>
          <w:rFonts w:ascii="宋体" w:hAnsi="宋体" w:cs="宋体"/>
          <w:b/>
          <w:bCs/>
          <w:color w:val="auto"/>
          <w:szCs w:val="21"/>
        </w:rPr>
      </w:pPr>
      <w:r>
        <w:rPr>
          <w:rFonts w:hint="eastAsia" w:ascii="宋体" w:hAnsi="宋体" w:cs="宋体"/>
          <w:color w:val="auto"/>
          <w:szCs w:val="21"/>
        </w:rPr>
        <w:t xml:space="preserve">项目名称：                                     项目编号：                           </w:t>
      </w:r>
    </w:p>
    <w:tbl>
      <w:tblPr>
        <w:tblStyle w:val="39"/>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85"/>
        <w:gridCol w:w="2892"/>
        <w:gridCol w:w="2410"/>
        <w:gridCol w:w="24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8" w:hRule="atLeast"/>
          <w:tblHeader/>
        </w:trPr>
        <w:tc>
          <w:tcPr>
            <w:tcW w:w="1185" w:type="dxa"/>
            <w:vAlign w:val="center"/>
          </w:tcPr>
          <w:p>
            <w:pPr>
              <w:spacing w:line="400" w:lineRule="exact"/>
              <w:jc w:val="center"/>
              <w:rPr>
                <w:rFonts w:ascii="宋体" w:hAnsi="宋体" w:cs="宋体"/>
                <w:color w:val="auto"/>
              </w:rPr>
            </w:pPr>
            <w:r>
              <w:rPr>
                <w:rFonts w:hint="eastAsia" w:ascii="宋体" w:hAnsi="宋体" w:cs="宋体"/>
                <w:b/>
                <w:bCs/>
                <w:color w:val="auto"/>
                <w:szCs w:val="21"/>
              </w:rPr>
              <w:t>序号</w:t>
            </w:r>
          </w:p>
        </w:tc>
        <w:tc>
          <w:tcPr>
            <w:tcW w:w="2892" w:type="dxa"/>
            <w:vAlign w:val="center"/>
          </w:tcPr>
          <w:p>
            <w:pPr>
              <w:spacing w:line="400" w:lineRule="exact"/>
              <w:jc w:val="center"/>
              <w:rPr>
                <w:rFonts w:ascii="宋体" w:hAnsi="宋体" w:cs="宋体"/>
                <w:color w:val="auto"/>
              </w:rPr>
            </w:pPr>
            <w:r>
              <w:rPr>
                <w:rFonts w:hint="eastAsia" w:ascii="宋体" w:hAnsi="宋体" w:cs="宋体"/>
                <w:b/>
                <w:bCs/>
                <w:color w:val="auto"/>
                <w:szCs w:val="21"/>
              </w:rPr>
              <w:t>招标要求</w:t>
            </w:r>
          </w:p>
        </w:tc>
        <w:tc>
          <w:tcPr>
            <w:tcW w:w="2410" w:type="dxa"/>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投标响应</w:t>
            </w:r>
          </w:p>
        </w:tc>
        <w:tc>
          <w:tcPr>
            <w:tcW w:w="2410" w:type="dxa"/>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偏离情况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6" w:hRule="atLeast"/>
        </w:trPr>
        <w:tc>
          <w:tcPr>
            <w:tcW w:w="1185" w:type="dxa"/>
            <w:vAlign w:val="center"/>
          </w:tcPr>
          <w:p>
            <w:pPr>
              <w:widowControl/>
              <w:tabs>
                <w:tab w:val="left" w:pos="180"/>
                <w:tab w:val="left" w:pos="540"/>
              </w:tabs>
              <w:spacing w:line="400" w:lineRule="exact"/>
              <w:jc w:val="center"/>
              <w:rPr>
                <w:rFonts w:ascii="宋体" w:hAnsi="宋体" w:cs="宋体"/>
                <w:color w:val="auto"/>
              </w:rPr>
            </w:pPr>
          </w:p>
        </w:tc>
        <w:tc>
          <w:tcPr>
            <w:tcW w:w="2892" w:type="dxa"/>
          </w:tcPr>
          <w:p>
            <w:pPr>
              <w:widowControl/>
              <w:tabs>
                <w:tab w:val="left" w:pos="180"/>
                <w:tab w:val="left" w:pos="540"/>
              </w:tabs>
              <w:spacing w:line="400" w:lineRule="exact"/>
              <w:jc w:val="left"/>
              <w:rPr>
                <w:rFonts w:ascii="宋体" w:hAnsi="宋体" w:cs="宋体"/>
                <w:color w:val="auto"/>
              </w:rPr>
            </w:pPr>
          </w:p>
        </w:tc>
        <w:tc>
          <w:tcPr>
            <w:tcW w:w="2410" w:type="dxa"/>
          </w:tcPr>
          <w:p>
            <w:pPr>
              <w:widowControl/>
              <w:spacing w:line="400" w:lineRule="exact"/>
              <w:rPr>
                <w:rFonts w:ascii="宋体" w:hAnsi="宋体" w:cs="宋体"/>
                <w:b/>
                <w:bCs/>
                <w:color w:val="auto"/>
                <w:szCs w:val="21"/>
              </w:rPr>
            </w:pPr>
          </w:p>
        </w:tc>
        <w:tc>
          <w:tcPr>
            <w:tcW w:w="2410" w:type="dxa"/>
          </w:tcPr>
          <w:p>
            <w:pPr>
              <w:widowControl/>
              <w:spacing w:line="400" w:lineRule="exact"/>
              <w:rPr>
                <w:rFonts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宋体" w:hAnsi="宋体" w:cs="宋体"/>
                <w:color w:val="auto"/>
              </w:rPr>
            </w:pPr>
          </w:p>
        </w:tc>
        <w:tc>
          <w:tcPr>
            <w:tcW w:w="2892" w:type="dxa"/>
            <w:vAlign w:val="center"/>
          </w:tcPr>
          <w:p>
            <w:pPr>
              <w:widowControl/>
              <w:tabs>
                <w:tab w:val="left" w:pos="180"/>
                <w:tab w:val="left" w:pos="540"/>
              </w:tabs>
              <w:spacing w:line="400" w:lineRule="exact"/>
              <w:jc w:val="left"/>
              <w:rPr>
                <w:rFonts w:ascii="宋体" w:hAnsi="宋体" w:cs="宋体"/>
                <w:color w:val="auto"/>
              </w:rPr>
            </w:pPr>
          </w:p>
        </w:tc>
        <w:tc>
          <w:tcPr>
            <w:tcW w:w="2410" w:type="dxa"/>
          </w:tcPr>
          <w:p>
            <w:pPr>
              <w:widowControl/>
              <w:spacing w:line="400" w:lineRule="exact"/>
              <w:rPr>
                <w:rFonts w:ascii="宋体" w:hAnsi="宋体" w:cs="宋体"/>
                <w:b/>
                <w:bCs/>
                <w:color w:val="auto"/>
                <w:szCs w:val="21"/>
              </w:rPr>
            </w:pPr>
          </w:p>
        </w:tc>
        <w:tc>
          <w:tcPr>
            <w:tcW w:w="2410" w:type="dxa"/>
          </w:tcPr>
          <w:p>
            <w:pPr>
              <w:widowControl/>
              <w:spacing w:line="400" w:lineRule="exact"/>
              <w:rPr>
                <w:rFonts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宋体" w:hAnsi="宋体" w:cs="宋体"/>
                <w:color w:val="auto"/>
              </w:rPr>
            </w:pPr>
          </w:p>
        </w:tc>
        <w:tc>
          <w:tcPr>
            <w:tcW w:w="2892" w:type="dxa"/>
            <w:vAlign w:val="center"/>
          </w:tcPr>
          <w:p>
            <w:pPr>
              <w:widowControl/>
              <w:tabs>
                <w:tab w:val="left" w:pos="180"/>
                <w:tab w:val="left" w:pos="540"/>
              </w:tabs>
              <w:spacing w:line="400" w:lineRule="exact"/>
              <w:jc w:val="left"/>
              <w:rPr>
                <w:rFonts w:ascii="宋体" w:hAnsi="宋体" w:cs="宋体"/>
                <w:color w:val="auto"/>
              </w:rPr>
            </w:pPr>
          </w:p>
        </w:tc>
        <w:tc>
          <w:tcPr>
            <w:tcW w:w="2410" w:type="dxa"/>
          </w:tcPr>
          <w:p>
            <w:pPr>
              <w:widowControl/>
              <w:spacing w:line="400" w:lineRule="exact"/>
              <w:rPr>
                <w:rFonts w:ascii="宋体" w:hAnsi="宋体" w:cs="宋体"/>
                <w:b/>
                <w:bCs/>
                <w:color w:val="auto"/>
                <w:szCs w:val="21"/>
              </w:rPr>
            </w:pPr>
          </w:p>
        </w:tc>
        <w:tc>
          <w:tcPr>
            <w:tcW w:w="2410" w:type="dxa"/>
          </w:tcPr>
          <w:p>
            <w:pPr>
              <w:widowControl/>
              <w:spacing w:line="400" w:lineRule="exact"/>
              <w:rPr>
                <w:rFonts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宋体" w:hAnsi="宋体" w:cs="宋体"/>
                <w:color w:val="auto"/>
              </w:rPr>
            </w:pPr>
          </w:p>
        </w:tc>
        <w:tc>
          <w:tcPr>
            <w:tcW w:w="2892" w:type="dxa"/>
            <w:vAlign w:val="center"/>
          </w:tcPr>
          <w:p>
            <w:pPr>
              <w:widowControl/>
              <w:tabs>
                <w:tab w:val="left" w:pos="180"/>
                <w:tab w:val="left" w:pos="540"/>
              </w:tabs>
              <w:spacing w:line="400" w:lineRule="exact"/>
              <w:jc w:val="left"/>
              <w:rPr>
                <w:rFonts w:ascii="宋体" w:hAnsi="宋体" w:cs="宋体"/>
                <w:color w:val="auto"/>
              </w:rPr>
            </w:pPr>
          </w:p>
        </w:tc>
        <w:tc>
          <w:tcPr>
            <w:tcW w:w="2410" w:type="dxa"/>
          </w:tcPr>
          <w:p>
            <w:pPr>
              <w:widowControl/>
              <w:spacing w:line="400" w:lineRule="exact"/>
              <w:rPr>
                <w:rFonts w:ascii="宋体" w:hAnsi="宋体" w:cs="宋体"/>
                <w:b/>
                <w:bCs/>
                <w:color w:val="auto"/>
                <w:szCs w:val="21"/>
              </w:rPr>
            </w:pPr>
          </w:p>
        </w:tc>
        <w:tc>
          <w:tcPr>
            <w:tcW w:w="2410" w:type="dxa"/>
          </w:tcPr>
          <w:p>
            <w:pPr>
              <w:widowControl/>
              <w:spacing w:line="400" w:lineRule="exact"/>
              <w:rPr>
                <w:rFonts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s="宋体"/>
                <w:color w:val="auto"/>
              </w:rPr>
            </w:pPr>
          </w:p>
        </w:tc>
        <w:tc>
          <w:tcPr>
            <w:tcW w:w="2892" w:type="dxa"/>
            <w:vAlign w:val="center"/>
          </w:tcPr>
          <w:p>
            <w:pPr>
              <w:widowControl/>
              <w:spacing w:line="400" w:lineRule="exact"/>
              <w:rPr>
                <w:rFonts w:ascii="宋体" w:hAnsi="宋体" w:cs="宋体"/>
                <w:color w:val="auto"/>
              </w:rPr>
            </w:pPr>
          </w:p>
        </w:tc>
        <w:tc>
          <w:tcPr>
            <w:tcW w:w="2410" w:type="dxa"/>
          </w:tcPr>
          <w:p>
            <w:pPr>
              <w:widowControl/>
              <w:spacing w:line="400" w:lineRule="exact"/>
              <w:rPr>
                <w:rFonts w:ascii="宋体" w:hAnsi="宋体" w:cs="宋体"/>
                <w:b/>
                <w:bCs/>
                <w:color w:val="auto"/>
                <w:szCs w:val="21"/>
              </w:rPr>
            </w:pPr>
          </w:p>
        </w:tc>
        <w:tc>
          <w:tcPr>
            <w:tcW w:w="2410" w:type="dxa"/>
          </w:tcPr>
          <w:p>
            <w:pPr>
              <w:widowControl/>
              <w:spacing w:line="400" w:lineRule="exact"/>
              <w:rPr>
                <w:rFonts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s="宋体"/>
                <w:color w:val="auto"/>
              </w:rPr>
            </w:pPr>
          </w:p>
        </w:tc>
        <w:tc>
          <w:tcPr>
            <w:tcW w:w="2892" w:type="dxa"/>
            <w:vAlign w:val="center"/>
          </w:tcPr>
          <w:p>
            <w:pPr>
              <w:widowControl/>
              <w:spacing w:line="400" w:lineRule="exact"/>
              <w:rPr>
                <w:rFonts w:ascii="宋体" w:hAnsi="宋体" w:cs="宋体"/>
                <w:color w:val="auto"/>
              </w:rPr>
            </w:pPr>
          </w:p>
        </w:tc>
        <w:tc>
          <w:tcPr>
            <w:tcW w:w="2410" w:type="dxa"/>
          </w:tcPr>
          <w:p>
            <w:pPr>
              <w:widowControl/>
              <w:spacing w:line="400" w:lineRule="exact"/>
              <w:rPr>
                <w:rFonts w:ascii="宋体" w:hAnsi="宋体" w:cs="宋体"/>
                <w:b/>
                <w:bCs/>
                <w:color w:val="auto"/>
                <w:szCs w:val="21"/>
              </w:rPr>
            </w:pPr>
          </w:p>
        </w:tc>
        <w:tc>
          <w:tcPr>
            <w:tcW w:w="2410" w:type="dxa"/>
          </w:tcPr>
          <w:p>
            <w:pPr>
              <w:widowControl/>
              <w:spacing w:line="400" w:lineRule="exact"/>
              <w:rPr>
                <w:rFonts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s="宋体"/>
                <w:color w:val="auto"/>
              </w:rPr>
            </w:pPr>
          </w:p>
        </w:tc>
        <w:tc>
          <w:tcPr>
            <w:tcW w:w="2892" w:type="dxa"/>
            <w:vAlign w:val="center"/>
          </w:tcPr>
          <w:p>
            <w:pPr>
              <w:widowControl/>
              <w:spacing w:line="400" w:lineRule="exact"/>
              <w:rPr>
                <w:rFonts w:ascii="宋体" w:hAnsi="宋体" w:cs="宋体"/>
                <w:color w:val="auto"/>
              </w:rPr>
            </w:pPr>
          </w:p>
        </w:tc>
        <w:tc>
          <w:tcPr>
            <w:tcW w:w="2410" w:type="dxa"/>
          </w:tcPr>
          <w:p>
            <w:pPr>
              <w:widowControl/>
              <w:spacing w:line="400" w:lineRule="exact"/>
              <w:rPr>
                <w:rFonts w:ascii="宋体" w:hAnsi="宋体" w:cs="宋体"/>
                <w:b/>
                <w:bCs/>
                <w:color w:val="auto"/>
                <w:szCs w:val="21"/>
              </w:rPr>
            </w:pPr>
          </w:p>
        </w:tc>
        <w:tc>
          <w:tcPr>
            <w:tcW w:w="2410" w:type="dxa"/>
          </w:tcPr>
          <w:p>
            <w:pPr>
              <w:widowControl/>
              <w:spacing w:line="400" w:lineRule="exact"/>
              <w:rPr>
                <w:rFonts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s="宋体"/>
                <w:color w:val="auto"/>
              </w:rPr>
            </w:pPr>
          </w:p>
        </w:tc>
        <w:tc>
          <w:tcPr>
            <w:tcW w:w="2892" w:type="dxa"/>
            <w:vAlign w:val="center"/>
          </w:tcPr>
          <w:p>
            <w:pPr>
              <w:widowControl/>
              <w:spacing w:line="400" w:lineRule="exact"/>
              <w:rPr>
                <w:rFonts w:ascii="宋体" w:hAnsi="宋体" w:cs="宋体"/>
                <w:color w:val="auto"/>
              </w:rPr>
            </w:pPr>
          </w:p>
        </w:tc>
        <w:tc>
          <w:tcPr>
            <w:tcW w:w="2410" w:type="dxa"/>
          </w:tcPr>
          <w:p>
            <w:pPr>
              <w:widowControl/>
              <w:spacing w:line="400" w:lineRule="exact"/>
              <w:rPr>
                <w:rFonts w:ascii="宋体" w:hAnsi="宋体" w:cs="宋体"/>
                <w:b/>
                <w:bCs/>
                <w:color w:val="auto"/>
                <w:szCs w:val="21"/>
              </w:rPr>
            </w:pPr>
          </w:p>
        </w:tc>
        <w:tc>
          <w:tcPr>
            <w:tcW w:w="2410" w:type="dxa"/>
          </w:tcPr>
          <w:p>
            <w:pPr>
              <w:widowControl/>
              <w:spacing w:line="400" w:lineRule="exact"/>
              <w:rPr>
                <w:rFonts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s="宋体"/>
                <w:color w:val="auto"/>
              </w:rPr>
            </w:pPr>
          </w:p>
        </w:tc>
        <w:tc>
          <w:tcPr>
            <w:tcW w:w="2892" w:type="dxa"/>
            <w:vAlign w:val="center"/>
          </w:tcPr>
          <w:p>
            <w:pPr>
              <w:widowControl/>
              <w:spacing w:line="400" w:lineRule="exact"/>
              <w:rPr>
                <w:rFonts w:ascii="宋体" w:hAnsi="宋体" w:cs="宋体"/>
                <w:color w:val="auto"/>
              </w:rPr>
            </w:pPr>
          </w:p>
        </w:tc>
        <w:tc>
          <w:tcPr>
            <w:tcW w:w="2410" w:type="dxa"/>
          </w:tcPr>
          <w:p>
            <w:pPr>
              <w:widowControl/>
              <w:spacing w:line="400" w:lineRule="exact"/>
              <w:rPr>
                <w:rFonts w:ascii="宋体" w:hAnsi="宋体" w:cs="宋体"/>
                <w:b/>
                <w:bCs/>
                <w:color w:val="auto"/>
                <w:szCs w:val="21"/>
              </w:rPr>
            </w:pPr>
          </w:p>
        </w:tc>
        <w:tc>
          <w:tcPr>
            <w:tcW w:w="2410" w:type="dxa"/>
          </w:tcPr>
          <w:p>
            <w:pPr>
              <w:widowControl/>
              <w:spacing w:line="400" w:lineRule="exact"/>
              <w:rPr>
                <w:rFonts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s="宋体"/>
                <w:color w:val="auto"/>
              </w:rPr>
            </w:pPr>
          </w:p>
        </w:tc>
        <w:tc>
          <w:tcPr>
            <w:tcW w:w="2892" w:type="dxa"/>
            <w:vAlign w:val="center"/>
          </w:tcPr>
          <w:p>
            <w:pPr>
              <w:widowControl/>
              <w:spacing w:line="400" w:lineRule="exact"/>
              <w:rPr>
                <w:rFonts w:ascii="宋体" w:hAnsi="宋体" w:cs="宋体"/>
                <w:color w:val="auto"/>
              </w:rPr>
            </w:pPr>
          </w:p>
        </w:tc>
        <w:tc>
          <w:tcPr>
            <w:tcW w:w="2410" w:type="dxa"/>
          </w:tcPr>
          <w:p>
            <w:pPr>
              <w:widowControl/>
              <w:spacing w:line="400" w:lineRule="exact"/>
              <w:rPr>
                <w:rFonts w:ascii="宋体" w:hAnsi="宋体" w:cs="宋体"/>
                <w:b/>
                <w:bCs/>
                <w:color w:val="auto"/>
                <w:szCs w:val="21"/>
              </w:rPr>
            </w:pPr>
          </w:p>
        </w:tc>
        <w:tc>
          <w:tcPr>
            <w:tcW w:w="2410" w:type="dxa"/>
          </w:tcPr>
          <w:p>
            <w:pPr>
              <w:widowControl/>
              <w:spacing w:line="400" w:lineRule="exact"/>
              <w:rPr>
                <w:rFonts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s="宋体"/>
                <w:color w:val="auto"/>
              </w:rPr>
            </w:pPr>
          </w:p>
        </w:tc>
        <w:tc>
          <w:tcPr>
            <w:tcW w:w="2892" w:type="dxa"/>
            <w:vAlign w:val="center"/>
          </w:tcPr>
          <w:p>
            <w:pPr>
              <w:widowControl/>
              <w:spacing w:line="400" w:lineRule="exact"/>
              <w:rPr>
                <w:rFonts w:ascii="宋体" w:hAnsi="宋体" w:cs="宋体"/>
                <w:color w:val="auto"/>
              </w:rPr>
            </w:pPr>
          </w:p>
        </w:tc>
        <w:tc>
          <w:tcPr>
            <w:tcW w:w="2410" w:type="dxa"/>
          </w:tcPr>
          <w:p>
            <w:pPr>
              <w:widowControl/>
              <w:spacing w:line="400" w:lineRule="exact"/>
              <w:rPr>
                <w:rFonts w:ascii="宋体" w:hAnsi="宋体" w:cs="宋体"/>
                <w:b/>
                <w:bCs/>
                <w:color w:val="auto"/>
                <w:szCs w:val="21"/>
              </w:rPr>
            </w:pPr>
          </w:p>
        </w:tc>
        <w:tc>
          <w:tcPr>
            <w:tcW w:w="2410" w:type="dxa"/>
          </w:tcPr>
          <w:p>
            <w:pPr>
              <w:widowControl/>
              <w:spacing w:line="400" w:lineRule="exact"/>
              <w:rPr>
                <w:rFonts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s="宋体"/>
                <w:color w:val="auto"/>
              </w:rPr>
            </w:pPr>
          </w:p>
        </w:tc>
        <w:tc>
          <w:tcPr>
            <w:tcW w:w="2892" w:type="dxa"/>
            <w:vAlign w:val="center"/>
          </w:tcPr>
          <w:p>
            <w:pPr>
              <w:widowControl/>
              <w:spacing w:line="400" w:lineRule="exact"/>
              <w:rPr>
                <w:rFonts w:ascii="宋体" w:hAnsi="宋体" w:cs="宋体"/>
                <w:color w:val="auto"/>
              </w:rPr>
            </w:pPr>
          </w:p>
        </w:tc>
        <w:tc>
          <w:tcPr>
            <w:tcW w:w="2410" w:type="dxa"/>
          </w:tcPr>
          <w:p>
            <w:pPr>
              <w:widowControl/>
              <w:spacing w:line="400" w:lineRule="exact"/>
              <w:rPr>
                <w:rFonts w:ascii="宋体" w:hAnsi="宋体" w:cs="宋体"/>
                <w:b/>
                <w:bCs/>
                <w:color w:val="auto"/>
                <w:szCs w:val="21"/>
              </w:rPr>
            </w:pPr>
          </w:p>
        </w:tc>
        <w:tc>
          <w:tcPr>
            <w:tcW w:w="2410" w:type="dxa"/>
          </w:tcPr>
          <w:p>
            <w:pPr>
              <w:widowControl/>
              <w:spacing w:line="400" w:lineRule="exact"/>
              <w:rPr>
                <w:rFonts w:ascii="宋体" w:hAnsi="宋体" w:cs="宋体"/>
                <w:b/>
                <w:b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s="宋体"/>
                <w:color w:val="auto"/>
              </w:rPr>
            </w:pPr>
          </w:p>
        </w:tc>
        <w:tc>
          <w:tcPr>
            <w:tcW w:w="2892" w:type="dxa"/>
            <w:vAlign w:val="center"/>
          </w:tcPr>
          <w:p>
            <w:pPr>
              <w:widowControl/>
              <w:spacing w:line="400" w:lineRule="exact"/>
              <w:rPr>
                <w:rFonts w:ascii="宋体" w:hAnsi="宋体" w:cs="宋体"/>
                <w:color w:val="auto"/>
              </w:rPr>
            </w:pPr>
          </w:p>
        </w:tc>
        <w:tc>
          <w:tcPr>
            <w:tcW w:w="2410" w:type="dxa"/>
          </w:tcPr>
          <w:p>
            <w:pPr>
              <w:widowControl/>
              <w:spacing w:line="400" w:lineRule="exact"/>
              <w:rPr>
                <w:rFonts w:ascii="宋体" w:hAnsi="宋体" w:cs="宋体"/>
                <w:b/>
                <w:bCs/>
                <w:color w:val="auto"/>
                <w:szCs w:val="21"/>
              </w:rPr>
            </w:pPr>
          </w:p>
        </w:tc>
        <w:tc>
          <w:tcPr>
            <w:tcW w:w="2410" w:type="dxa"/>
          </w:tcPr>
          <w:p>
            <w:pPr>
              <w:widowControl/>
              <w:spacing w:line="400" w:lineRule="exact"/>
              <w:rPr>
                <w:rFonts w:ascii="宋体" w:hAnsi="宋体" w:cs="宋体"/>
                <w:b/>
                <w:bCs/>
                <w:color w:val="auto"/>
                <w:szCs w:val="21"/>
              </w:rPr>
            </w:pPr>
          </w:p>
        </w:tc>
      </w:tr>
    </w:tbl>
    <w:p>
      <w:pPr>
        <w:snapToGrid w:val="0"/>
        <w:spacing w:line="360" w:lineRule="auto"/>
        <w:rPr>
          <w:rFonts w:ascii="宋体" w:hAnsi="宋体" w:cs="宋体"/>
          <w:b/>
          <w:color w:val="auto"/>
          <w:szCs w:val="21"/>
        </w:rPr>
      </w:pPr>
      <w:r>
        <w:rPr>
          <w:rFonts w:hint="eastAsia" w:ascii="宋体" w:hAnsi="宋体" w:cs="宋体"/>
          <w:b/>
          <w:color w:val="auto"/>
          <w:szCs w:val="21"/>
        </w:rPr>
        <w:t>注：投标人应根据招标文件第二章采购需求中“技术相关”的要求逐条填写，并在“偏离情况”栏注明“正偏离”、“负偏离”或“无偏离”。</w:t>
      </w:r>
    </w:p>
    <w:p>
      <w:pPr>
        <w:snapToGrid w:val="0"/>
        <w:spacing w:line="360" w:lineRule="auto"/>
        <w:jc w:val="center"/>
        <w:rPr>
          <w:rFonts w:ascii="宋体" w:hAnsi="宋体" w:cs="宋体"/>
          <w:b/>
          <w:bCs/>
          <w:color w:val="auto"/>
          <w:sz w:val="24"/>
          <w:szCs w:val="21"/>
        </w:rPr>
      </w:pPr>
    </w:p>
    <w:p>
      <w:pPr>
        <w:widowControl/>
        <w:spacing w:line="360" w:lineRule="auto"/>
        <w:ind w:firstLine="5460" w:firstLineChars="2600"/>
        <w:jc w:val="left"/>
        <w:rPr>
          <w:rFonts w:ascii="宋体" w:hAnsi="宋体" w:cs="宋体"/>
          <w:color w:val="auto"/>
          <w:szCs w:val="21"/>
        </w:rPr>
      </w:pPr>
      <w:r>
        <w:rPr>
          <w:rFonts w:hint="eastAsia" w:ascii="宋体" w:hAnsi="宋体" w:cs="宋体"/>
          <w:color w:val="auto"/>
          <w:szCs w:val="21"/>
        </w:rPr>
        <w:t>投 标 人（盖章）：</w:t>
      </w:r>
    </w:p>
    <w:p>
      <w:pPr>
        <w:pStyle w:val="16"/>
        <w:spacing w:line="360" w:lineRule="auto"/>
        <w:ind w:firstLine="5548" w:firstLineChars="2642"/>
        <w:rPr>
          <w:rFonts w:hAnsi="宋体" w:cs="宋体"/>
          <w:color w:val="auto"/>
          <w:szCs w:val="21"/>
        </w:rPr>
        <w:sectPr>
          <w:headerReference r:id="rId9" w:type="default"/>
          <w:footerReference r:id="rId10" w:type="default"/>
          <w:pgSz w:w="11907" w:h="16840"/>
          <w:pgMar w:top="993" w:right="1474" w:bottom="1242" w:left="1474" w:header="851" w:footer="851" w:gutter="0"/>
          <w:cols w:space="720" w:num="1"/>
          <w:docGrid w:linePitch="312" w:charSpace="0"/>
        </w:sectPr>
      </w:pPr>
      <w:r>
        <w:rPr>
          <w:rFonts w:hint="eastAsia" w:hAnsi="宋体" w:cs="宋体"/>
          <w:color w:val="auto"/>
          <w:spacing w:val="0"/>
          <w:sz w:val="21"/>
          <w:szCs w:val="21"/>
        </w:rPr>
        <w:t>日    期：</w:t>
      </w:r>
    </w:p>
    <w:p>
      <w:pPr>
        <w:widowControl/>
        <w:spacing w:line="400" w:lineRule="exact"/>
        <w:rPr>
          <w:rFonts w:ascii="宋体" w:hAnsi="宋体" w:cs="宋体"/>
          <w:b/>
          <w:color w:val="auto"/>
          <w:szCs w:val="21"/>
        </w:rPr>
      </w:pPr>
      <w:bookmarkStart w:id="309" w:name="_Toc16851"/>
      <w:bookmarkStart w:id="310" w:name="_Toc9902"/>
      <w:bookmarkStart w:id="311" w:name="_Toc27584"/>
      <w:r>
        <w:rPr>
          <w:rFonts w:hint="eastAsia" w:ascii="宋体" w:hAnsi="宋体" w:cs="宋体"/>
          <w:b/>
          <w:color w:val="auto"/>
          <w:szCs w:val="21"/>
        </w:rPr>
        <w:t>12.投标函</w:t>
      </w:r>
    </w:p>
    <w:bookmarkEnd w:id="309"/>
    <w:bookmarkEnd w:id="310"/>
    <w:bookmarkEnd w:id="311"/>
    <w:p>
      <w:pPr>
        <w:rPr>
          <w:rFonts w:ascii="宋体" w:hAnsi="宋体" w:cs="宋体"/>
          <w:b/>
          <w:color w:val="auto"/>
        </w:rPr>
      </w:pPr>
    </w:p>
    <w:p>
      <w:pPr>
        <w:widowControl/>
        <w:spacing w:line="400" w:lineRule="exact"/>
        <w:jc w:val="center"/>
        <w:rPr>
          <w:rFonts w:ascii="宋体" w:hAnsi="宋体" w:cs="宋体"/>
          <w:b/>
          <w:color w:val="auto"/>
          <w:sz w:val="30"/>
          <w:szCs w:val="30"/>
        </w:rPr>
      </w:pPr>
      <w:r>
        <w:rPr>
          <w:rFonts w:hint="eastAsia" w:ascii="宋体" w:hAnsi="宋体" w:cs="宋体"/>
          <w:b/>
          <w:color w:val="auto"/>
          <w:sz w:val="30"/>
          <w:szCs w:val="30"/>
        </w:rPr>
        <w:t>投标函</w:t>
      </w:r>
    </w:p>
    <w:p>
      <w:pPr>
        <w:widowControl/>
        <w:spacing w:line="400" w:lineRule="exact"/>
        <w:jc w:val="center"/>
        <w:rPr>
          <w:rFonts w:ascii="宋体" w:hAnsi="宋体" w:cs="宋体"/>
          <w:b/>
          <w:color w:val="auto"/>
          <w:sz w:val="24"/>
        </w:rPr>
      </w:pPr>
    </w:p>
    <w:p>
      <w:pPr>
        <w:pStyle w:val="16"/>
        <w:widowControl/>
        <w:spacing w:line="360" w:lineRule="auto"/>
        <w:ind w:firstLine="0"/>
        <w:jc w:val="left"/>
        <w:rPr>
          <w:rFonts w:hAnsi="宋体" w:cs="宋体"/>
          <w:color w:val="auto"/>
          <w:sz w:val="21"/>
          <w:szCs w:val="21"/>
        </w:rPr>
      </w:pPr>
      <w:r>
        <w:rPr>
          <w:rFonts w:hint="eastAsia" w:hAnsi="宋体" w:cs="宋体"/>
          <w:color w:val="auto"/>
          <w:sz w:val="21"/>
          <w:szCs w:val="21"/>
        </w:rPr>
        <w:t>致：宁波国采招标咨询有限公司</w:t>
      </w:r>
    </w:p>
    <w:p>
      <w:pPr>
        <w:pStyle w:val="16"/>
        <w:widowControl/>
        <w:spacing w:line="360" w:lineRule="auto"/>
        <w:ind w:firstLine="404" w:firstLineChars="200"/>
        <w:jc w:val="left"/>
        <w:rPr>
          <w:rFonts w:hAnsi="宋体" w:cs="宋体"/>
          <w:color w:val="auto"/>
          <w:sz w:val="21"/>
          <w:szCs w:val="21"/>
        </w:rPr>
      </w:pPr>
      <w:r>
        <w:rPr>
          <w:rFonts w:hint="eastAsia" w:hAnsi="宋体" w:cs="宋体"/>
          <w:color w:val="auto"/>
          <w:sz w:val="21"/>
          <w:szCs w:val="21"/>
          <w:u w:val="single"/>
        </w:rPr>
        <w:t>（投标人全称）</w:t>
      </w:r>
      <w:r>
        <w:rPr>
          <w:rFonts w:hint="eastAsia" w:hAnsi="宋体" w:cs="宋体"/>
          <w:color w:val="auto"/>
          <w:sz w:val="21"/>
          <w:szCs w:val="21"/>
        </w:rPr>
        <w:t>授权</w:t>
      </w:r>
      <w:r>
        <w:rPr>
          <w:rFonts w:hint="eastAsia" w:hAnsi="宋体" w:cs="宋体"/>
          <w:color w:val="auto"/>
          <w:sz w:val="21"/>
          <w:szCs w:val="21"/>
          <w:u w:val="single"/>
        </w:rPr>
        <w:t>（授权代表姓名、职务）</w:t>
      </w:r>
      <w:r>
        <w:rPr>
          <w:rFonts w:hint="eastAsia" w:hAnsi="宋体" w:cs="宋体"/>
          <w:color w:val="auto"/>
          <w:sz w:val="21"/>
          <w:szCs w:val="21"/>
        </w:rPr>
        <w:t>为本公司合法代理人，参加贵方组织的</w:t>
      </w:r>
      <w:r>
        <w:rPr>
          <w:rFonts w:hint="eastAsia" w:hAnsi="宋体" w:cs="宋体"/>
          <w:color w:val="auto"/>
          <w:sz w:val="21"/>
          <w:szCs w:val="21"/>
          <w:u w:val="single"/>
        </w:rPr>
        <w:t>（项目编号、项目名称）</w:t>
      </w:r>
      <w:r>
        <w:rPr>
          <w:rFonts w:hint="eastAsia" w:hAnsi="宋体" w:cs="宋体"/>
          <w:color w:val="auto"/>
          <w:sz w:val="21"/>
          <w:szCs w:val="21"/>
        </w:rPr>
        <w:t>招投标活动，代表本公司（单位）处理招投标活动中的一切事宜，在此：</w:t>
      </w:r>
    </w:p>
    <w:p>
      <w:pPr>
        <w:pStyle w:val="16"/>
        <w:widowControl/>
        <w:spacing w:line="360" w:lineRule="auto"/>
        <w:ind w:firstLine="0"/>
        <w:jc w:val="left"/>
        <w:rPr>
          <w:rFonts w:hAnsi="宋体" w:cs="宋体"/>
          <w:color w:val="auto"/>
          <w:sz w:val="21"/>
          <w:szCs w:val="21"/>
        </w:rPr>
      </w:pPr>
      <w:r>
        <w:rPr>
          <w:rFonts w:hint="eastAsia" w:hAnsi="宋体" w:cs="宋体"/>
          <w:color w:val="auto"/>
          <w:sz w:val="21"/>
          <w:szCs w:val="21"/>
        </w:rPr>
        <w:t>1、提供招标文件中“投标须知”规定的全部投标文件：</w:t>
      </w:r>
    </w:p>
    <w:p>
      <w:pPr>
        <w:pStyle w:val="16"/>
        <w:widowControl/>
        <w:spacing w:line="360" w:lineRule="auto"/>
        <w:jc w:val="left"/>
        <w:rPr>
          <w:rFonts w:hAnsi="宋体" w:cs="宋体"/>
          <w:color w:val="auto"/>
          <w:sz w:val="21"/>
          <w:szCs w:val="21"/>
        </w:rPr>
      </w:pPr>
      <w:r>
        <w:rPr>
          <w:rFonts w:hint="eastAsia" w:hAnsi="宋体" w:cs="宋体"/>
          <w:color w:val="auto"/>
          <w:sz w:val="21"/>
          <w:szCs w:val="21"/>
        </w:rPr>
        <w:t>（1）上传到政府采购云平台的电子投标文件（含资格证明文件、商务技术文件、报价文件）1份。</w:t>
      </w:r>
    </w:p>
    <w:p>
      <w:pPr>
        <w:pStyle w:val="16"/>
        <w:widowControl/>
        <w:spacing w:line="360" w:lineRule="auto"/>
        <w:jc w:val="left"/>
        <w:rPr>
          <w:rFonts w:hAnsi="宋体" w:cs="宋体"/>
          <w:color w:val="auto"/>
          <w:sz w:val="21"/>
          <w:szCs w:val="21"/>
        </w:rPr>
      </w:pPr>
      <w:r>
        <w:rPr>
          <w:rFonts w:hint="eastAsia" w:hAnsi="宋体" w:cs="宋体"/>
          <w:color w:val="auto"/>
          <w:sz w:val="21"/>
          <w:szCs w:val="21"/>
        </w:rPr>
        <w:t>（2）以U盘存储的电子备份投标文件（含资格证明文件、商务技术文件、报价文件）1份。</w:t>
      </w:r>
    </w:p>
    <w:p>
      <w:pPr>
        <w:pStyle w:val="16"/>
        <w:widowControl/>
        <w:spacing w:line="360" w:lineRule="auto"/>
        <w:ind w:firstLine="0"/>
        <w:jc w:val="left"/>
        <w:rPr>
          <w:rFonts w:hAnsi="宋体" w:cs="宋体"/>
          <w:color w:val="auto"/>
          <w:sz w:val="21"/>
          <w:szCs w:val="21"/>
        </w:rPr>
      </w:pPr>
      <w:r>
        <w:rPr>
          <w:rFonts w:hint="eastAsia" w:hAnsi="宋体" w:cs="宋体"/>
          <w:color w:val="auto"/>
          <w:sz w:val="21"/>
          <w:szCs w:val="21"/>
        </w:rPr>
        <w:t>2、据此函，签字代表宣布并承诺如下：</w:t>
      </w:r>
    </w:p>
    <w:p>
      <w:pPr>
        <w:pStyle w:val="16"/>
        <w:widowControl/>
        <w:numPr>
          <w:ilvl w:val="0"/>
          <w:numId w:val="15"/>
        </w:numPr>
        <w:spacing w:line="360" w:lineRule="auto"/>
        <w:jc w:val="left"/>
        <w:rPr>
          <w:rFonts w:hAnsi="宋体" w:cs="宋体"/>
          <w:color w:val="auto"/>
          <w:sz w:val="21"/>
          <w:szCs w:val="21"/>
          <w:u w:val="single"/>
        </w:rPr>
      </w:pPr>
      <w:r>
        <w:rPr>
          <w:rFonts w:hint="eastAsia" w:hAnsi="宋体" w:cs="宋体"/>
          <w:color w:val="auto"/>
          <w:sz w:val="21"/>
          <w:szCs w:val="21"/>
        </w:rPr>
        <w:t>我方对招标项目愿以</w:t>
      </w:r>
      <w:r>
        <w:rPr>
          <w:rFonts w:hint="eastAsia" w:hAnsi="宋体" w:cs="宋体"/>
          <w:color w:val="auto"/>
          <w:sz w:val="21"/>
          <w:szCs w:val="21"/>
          <w:u w:val="single"/>
        </w:rPr>
        <w:t>开标一览表中报价金额</w:t>
      </w:r>
      <w:r>
        <w:rPr>
          <w:rFonts w:hint="eastAsia" w:hAnsi="宋体" w:cs="宋体"/>
          <w:color w:val="auto"/>
          <w:sz w:val="21"/>
          <w:szCs w:val="21"/>
        </w:rPr>
        <w:t>承担招标文件规定内容。</w:t>
      </w:r>
    </w:p>
    <w:p>
      <w:pPr>
        <w:pStyle w:val="16"/>
        <w:widowControl/>
        <w:spacing w:line="360" w:lineRule="auto"/>
        <w:ind w:left="715" w:leftChars="100" w:hanging="505" w:hangingChars="250"/>
        <w:jc w:val="left"/>
        <w:rPr>
          <w:rFonts w:hAnsi="宋体" w:cs="宋体"/>
          <w:color w:val="auto"/>
          <w:sz w:val="21"/>
          <w:szCs w:val="21"/>
        </w:rPr>
      </w:pPr>
      <w:r>
        <w:rPr>
          <w:rFonts w:hint="eastAsia" w:hAnsi="宋体" w:cs="宋体"/>
          <w:color w:val="auto"/>
          <w:sz w:val="21"/>
          <w:szCs w:val="21"/>
        </w:rPr>
        <w:t>（2）本报价已经包含了所供货物应纳的税金及招标文件规定的报价方式应包含的其它费用。本报价在投标有效期内固定不变，并在合同有效期内不受利率波动的影响。</w:t>
      </w:r>
    </w:p>
    <w:p>
      <w:pPr>
        <w:pStyle w:val="16"/>
        <w:widowControl/>
        <w:spacing w:line="360" w:lineRule="auto"/>
        <w:ind w:firstLine="202" w:firstLineChars="100"/>
        <w:jc w:val="left"/>
        <w:rPr>
          <w:rFonts w:hAnsi="宋体" w:cs="宋体"/>
          <w:color w:val="auto"/>
          <w:sz w:val="21"/>
          <w:szCs w:val="21"/>
        </w:rPr>
      </w:pPr>
      <w:r>
        <w:rPr>
          <w:rFonts w:hint="eastAsia" w:hAnsi="宋体" w:cs="宋体"/>
          <w:color w:val="auto"/>
          <w:sz w:val="21"/>
          <w:szCs w:val="21"/>
        </w:rPr>
        <w:t>（3）本投标自开标之日起</w:t>
      </w:r>
      <w:r>
        <w:rPr>
          <w:rFonts w:hint="eastAsia" w:hAnsi="宋体" w:cs="宋体"/>
          <w:color w:val="auto"/>
          <w:sz w:val="21"/>
          <w:szCs w:val="21"/>
          <w:u w:val="single"/>
        </w:rPr>
        <w:t xml:space="preserve"> 90 </w:t>
      </w:r>
      <w:r>
        <w:rPr>
          <w:rFonts w:hint="eastAsia" w:hAnsi="宋体" w:cs="宋体"/>
          <w:color w:val="auto"/>
          <w:sz w:val="21"/>
          <w:szCs w:val="21"/>
        </w:rPr>
        <w:t>天内有效。</w:t>
      </w:r>
    </w:p>
    <w:p>
      <w:pPr>
        <w:pStyle w:val="16"/>
        <w:widowControl/>
        <w:spacing w:line="360" w:lineRule="auto"/>
        <w:ind w:left="715" w:leftChars="100" w:hanging="505" w:hangingChars="250"/>
        <w:jc w:val="left"/>
        <w:rPr>
          <w:rFonts w:hAnsi="宋体" w:cs="宋体"/>
          <w:color w:val="auto"/>
          <w:sz w:val="21"/>
          <w:szCs w:val="21"/>
        </w:rPr>
      </w:pPr>
      <w:r>
        <w:rPr>
          <w:rFonts w:hint="eastAsia" w:hAnsi="宋体" w:cs="宋体"/>
          <w:color w:val="auto"/>
          <w:sz w:val="21"/>
          <w:szCs w:val="21"/>
        </w:rPr>
        <w:t>（4）我们已详细审查全部招标文件及有关的澄清/修改文件(若有的话)，我们完全理解并同意放弃对这方面提出任何异议的权利。保证遵守招标文件有关条款规定。</w:t>
      </w:r>
    </w:p>
    <w:p>
      <w:pPr>
        <w:pStyle w:val="16"/>
        <w:widowControl/>
        <w:spacing w:line="360" w:lineRule="auto"/>
        <w:ind w:left="715" w:leftChars="100" w:hanging="505" w:hangingChars="250"/>
        <w:jc w:val="left"/>
        <w:rPr>
          <w:rFonts w:hAnsi="宋体" w:cs="宋体"/>
          <w:color w:val="auto"/>
          <w:sz w:val="21"/>
          <w:szCs w:val="21"/>
        </w:rPr>
      </w:pPr>
      <w:r>
        <w:rPr>
          <w:rFonts w:hint="eastAsia" w:hAnsi="宋体" w:cs="宋体"/>
          <w:color w:val="auto"/>
          <w:sz w:val="21"/>
          <w:szCs w:val="21"/>
        </w:rPr>
        <w:t>（5）保证在中标后忠实地执行与招标人所签署的合同，并承担合同规定的责任义务。保证在中标后按照招标文件的规定支付中标服务费。</w:t>
      </w:r>
    </w:p>
    <w:p>
      <w:pPr>
        <w:pStyle w:val="16"/>
        <w:widowControl/>
        <w:spacing w:line="360" w:lineRule="auto"/>
        <w:ind w:firstLine="202" w:firstLineChars="100"/>
        <w:jc w:val="left"/>
        <w:rPr>
          <w:rFonts w:hAnsi="宋体" w:cs="宋体"/>
          <w:color w:val="auto"/>
          <w:sz w:val="21"/>
          <w:szCs w:val="21"/>
        </w:rPr>
      </w:pPr>
      <w:r>
        <w:rPr>
          <w:rFonts w:hint="eastAsia" w:hAnsi="宋体" w:cs="宋体"/>
          <w:color w:val="auto"/>
          <w:sz w:val="21"/>
          <w:szCs w:val="21"/>
        </w:rPr>
        <w:t>（6）承诺应贵方要求提供任何与该项目投标有关的数据、情况和技术资料。</w:t>
      </w:r>
    </w:p>
    <w:p>
      <w:pPr>
        <w:pStyle w:val="16"/>
        <w:widowControl/>
        <w:spacing w:line="360" w:lineRule="auto"/>
        <w:ind w:left="614" w:leftChars="100" w:hanging="404" w:hangingChars="200"/>
        <w:jc w:val="left"/>
        <w:rPr>
          <w:rFonts w:hAnsi="宋体" w:cs="宋体"/>
          <w:color w:val="auto"/>
          <w:sz w:val="21"/>
          <w:szCs w:val="21"/>
        </w:rPr>
      </w:pPr>
      <w:r>
        <w:rPr>
          <w:rFonts w:hint="eastAsia" w:hAnsi="宋体" w:cs="宋体"/>
          <w:color w:val="auto"/>
          <w:sz w:val="21"/>
          <w:szCs w:val="21"/>
        </w:rPr>
        <w:t>（7）我们承诺，与为招标人采购本次招标的货物进行设计、编制规范和其他文件所委托的咨询公司或其附属机构无任何直接或间接的关联。</w:t>
      </w:r>
    </w:p>
    <w:p>
      <w:pPr>
        <w:pStyle w:val="16"/>
        <w:widowControl/>
        <w:spacing w:line="360" w:lineRule="auto"/>
        <w:ind w:firstLine="0"/>
        <w:jc w:val="left"/>
        <w:rPr>
          <w:rFonts w:hAnsi="宋体" w:cs="宋体"/>
          <w:color w:val="auto"/>
          <w:sz w:val="21"/>
          <w:szCs w:val="21"/>
        </w:rPr>
      </w:pPr>
      <w:r>
        <w:rPr>
          <w:rFonts w:hint="eastAsia" w:hAnsi="宋体" w:cs="宋体"/>
          <w:color w:val="auto"/>
          <w:sz w:val="21"/>
          <w:szCs w:val="21"/>
        </w:rPr>
        <w:t>3、我们郑重声明：</w:t>
      </w:r>
    </w:p>
    <w:p>
      <w:pPr>
        <w:pStyle w:val="16"/>
        <w:widowControl/>
        <w:spacing w:line="360" w:lineRule="auto"/>
        <w:ind w:firstLine="404" w:firstLineChars="200"/>
        <w:jc w:val="left"/>
        <w:rPr>
          <w:rFonts w:hAnsi="宋体" w:cs="宋体"/>
          <w:color w:val="auto"/>
          <w:sz w:val="21"/>
          <w:szCs w:val="21"/>
        </w:rPr>
      </w:pPr>
      <w:r>
        <w:rPr>
          <w:rFonts w:hint="eastAsia" w:hAnsi="宋体" w:cs="宋体"/>
          <w:color w:val="auto"/>
          <w:sz w:val="21"/>
          <w:szCs w:val="21"/>
        </w:rPr>
        <w:t>我公司符合有关法律法规规定的参加采购活动应当具备的条件：具有健全的财务会计制度、依法缴纳税收和社会保障资金、参加本次采购活动之前的三年内，在经营活动中无重大违法活动。</w:t>
      </w:r>
    </w:p>
    <w:p>
      <w:pPr>
        <w:pStyle w:val="16"/>
        <w:widowControl/>
        <w:spacing w:line="360" w:lineRule="auto"/>
        <w:ind w:firstLine="0"/>
        <w:jc w:val="left"/>
        <w:rPr>
          <w:rFonts w:hAnsi="宋体" w:cs="宋体"/>
          <w:color w:val="auto"/>
          <w:sz w:val="21"/>
          <w:szCs w:val="21"/>
        </w:rPr>
      </w:pPr>
      <w:r>
        <w:rPr>
          <w:rFonts w:hint="eastAsia" w:hAnsi="宋体" w:cs="宋体"/>
          <w:color w:val="auto"/>
          <w:sz w:val="21"/>
          <w:szCs w:val="21"/>
        </w:rPr>
        <w:t>4、与本投标有关的一切往来通讯请寄：</w:t>
      </w:r>
    </w:p>
    <w:p>
      <w:pPr>
        <w:pStyle w:val="16"/>
        <w:widowControl/>
        <w:spacing w:line="360" w:lineRule="auto"/>
        <w:jc w:val="left"/>
        <w:rPr>
          <w:rFonts w:hAnsi="宋体" w:cs="宋体"/>
          <w:color w:val="auto"/>
          <w:sz w:val="21"/>
          <w:szCs w:val="21"/>
        </w:rPr>
      </w:pPr>
      <w:r>
        <w:rPr>
          <w:rFonts w:hint="eastAsia" w:hAnsi="宋体" w:cs="宋体"/>
          <w:color w:val="auto"/>
          <w:sz w:val="21"/>
          <w:szCs w:val="21"/>
        </w:rPr>
        <w:t>地址：</w:t>
      </w:r>
    </w:p>
    <w:p>
      <w:pPr>
        <w:pStyle w:val="16"/>
        <w:widowControl/>
        <w:spacing w:line="360" w:lineRule="auto"/>
        <w:jc w:val="left"/>
        <w:rPr>
          <w:rFonts w:hAnsi="宋体" w:cs="宋体"/>
          <w:color w:val="auto"/>
          <w:sz w:val="21"/>
          <w:szCs w:val="21"/>
        </w:rPr>
      </w:pPr>
      <w:r>
        <w:rPr>
          <w:rFonts w:hint="eastAsia" w:hAnsi="宋体" w:cs="宋体"/>
          <w:color w:val="auto"/>
          <w:sz w:val="21"/>
          <w:szCs w:val="21"/>
        </w:rPr>
        <w:t>邮编：</w:t>
      </w:r>
    </w:p>
    <w:p>
      <w:pPr>
        <w:pStyle w:val="16"/>
        <w:widowControl/>
        <w:spacing w:line="360" w:lineRule="auto"/>
        <w:jc w:val="left"/>
        <w:rPr>
          <w:rFonts w:hAnsi="宋体" w:cs="宋体"/>
          <w:color w:val="auto"/>
          <w:sz w:val="21"/>
          <w:szCs w:val="21"/>
        </w:rPr>
      </w:pPr>
      <w:r>
        <w:rPr>
          <w:rFonts w:hint="eastAsia" w:hAnsi="宋体" w:cs="宋体"/>
          <w:color w:val="auto"/>
          <w:sz w:val="21"/>
          <w:szCs w:val="21"/>
        </w:rPr>
        <w:t>电话：</w:t>
      </w:r>
    </w:p>
    <w:p>
      <w:pPr>
        <w:pStyle w:val="16"/>
        <w:widowControl/>
        <w:spacing w:line="360" w:lineRule="auto"/>
        <w:jc w:val="left"/>
        <w:rPr>
          <w:rFonts w:hAnsi="宋体" w:cs="宋体"/>
          <w:color w:val="auto"/>
          <w:sz w:val="21"/>
          <w:szCs w:val="21"/>
          <w:u w:val="single"/>
        </w:rPr>
      </w:pPr>
      <w:r>
        <w:rPr>
          <w:rFonts w:hint="eastAsia" w:hAnsi="宋体" w:cs="宋体"/>
          <w:color w:val="auto"/>
          <w:sz w:val="21"/>
          <w:szCs w:val="21"/>
        </w:rPr>
        <w:t>传真：</w:t>
      </w:r>
    </w:p>
    <w:p>
      <w:pPr>
        <w:pStyle w:val="16"/>
        <w:widowControl/>
        <w:spacing w:line="360" w:lineRule="auto"/>
        <w:ind w:firstLine="0"/>
        <w:jc w:val="left"/>
        <w:rPr>
          <w:rFonts w:hAnsi="宋体" w:cs="宋体"/>
          <w:color w:val="auto"/>
          <w:sz w:val="21"/>
          <w:szCs w:val="21"/>
        </w:rPr>
      </w:pPr>
    </w:p>
    <w:p>
      <w:pPr>
        <w:pStyle w:val="16"/>
        <w:snapToGrid w:val="0"/>
        <w:spacing w:line="360" w:lineRule="auto"/>
        <w:ind w:firstLine="3518" w:firstLineChars="1742"/>
        <w:rPr>
          <w:rFonts w:hAnsi="宋体" w:cs="宋体"/>
          <w:color w:val="auto"/>
          <w:sz w:val="21"/>
          <w:szCs w:val="21"/>
        </w:rPr>
      </w:pPr>
      <w:r>
        <w:rPr>
          <w:rFonts w:hint="eastAsia" w:hAnsi="宋体" w:cs="宋体"/>
          <w:color w:val="auto"/>
          <w:sz w:val="21"/>
          <w:szCs w:val="21"/>
        </w:rPr>
        <w:t>投标人（盖章）：</w:t>
      </w:r>
    </w:p>
    <w:p>
      <w:pPr>
        <w:pStyle w:val="16"/>
        <w:widowControl/>
        <w:spacing w:line="360" w:lineRule="auto"/>
        <w:ind w:firstLine="3518" w:firstLineChars="1742"/>
        <w:jc w:val="left"/>
        <w:rPr>
          <w:rFonts w:hAnsi="宋体" w:cs="宋体"/>
          <w:color w:val="auto"/>
          <w:sz w:val="21"/>
          <w:szCs w:val="21"/>
        </w:rPr>
      </w:pPr>
      <w:r>
        <w:rPr>
          <w:rFonts w:hint="eastAsia" w:hAnsi="宋体" w:cs="宋体"/>
          <w:color w:val="auto"/>
          <w:sz w:val="21"/>
          <w:szCs w:val="21"/>
        </w:rPr>
        <w:t>日    期：</w:t>
      </w:r>
    </w:p>
    <w:p>
      <w:pPr>
        <w:spacing w:line="360" w:lineRule="auto"/>
        <w:jc w:val="left"/>
        <w:rPr>
          <w:rFonts w:ascii="宋体" w:hAnsi="宋体" w:cs="宋体"/>
          <w:b/>
          <w:color w:val="auto"/>
          <w:szCs w:val="21"/>
        </w:rPr>
      </w:pPr>
      <w:r>
        <w:rPr>
          <w:rFonts w:hint="eastAsia" w:ascii="宋体" w:hAnsi="宋体" w:cs="宋体"/>
          <w:color w:val="auto"/>
          <w:sz w:val="24"/>
        </w:rPr>
        <w:br w:type="page"/>
      </w:r>
      <w:r>
        <w:rPr>
          <w:rFonts w:hint="eastAsia" w:ascii="宋体" w:hAnsi="宋体" w:cs="宋体"/>
          <w:b/>
          <w:color w:val="auto"/>
          <w:szCs w:val="21"/>
        </w:rPr>
        <w:t>13.开标一览表</w:t>
      </w:r>
    </w:p>
    <w:p>
      <w:pPr>
        <w:spacing w:line="240" w:lineRule="exact"/>
        <w:rPr>
          <w:rFonts w:ascii="宋体" w:hAnsi="宋体" w:cs="宋体"/>
          <w:b/>
          <w:color w:val="auto"/>
          <w:szCs w:val="21"/>
        </w:rPr>
      </w:pPr>
    </w:p>
    <w:p>
      <w:pPr>
        <w:spacing w:line="360" w:lineRule="auto"/>
        <w:jc w:val="center"/>
        <w:rPr>
          <w:rFonts w:ascii="宋体" w:hAnsi="宋体" w:cs="宋体"/>
          <w:b/>
          <w:color w:val="auto"/>
          <w:sz w:val="30"/>
          <w:szCs w:val="30"/>
        </w:rPr>
      </w:pPr>
      <w:r>
        <w:rPr>
          <w:rFonts w:hint="eastAsia" w:ascii="宋体" w:hAnsi="宋体" w:cs="宋体"/>
          <w:b/>
          <w:color w:val="auto"/>
          <w:sz w:val="30"/>
          <w:szCs w:val="30"/>
        </w:rPr>
        <w:t>开标一览表</w:t>
      </w:r>
    </w:p>
    <w:p>
      <w:pPr>
        <w:pStyle w:val="16"/>
        <w:spacing w:line="360" w:lineRule="auto"/>
        <w:ind w:left="-178" w:leftChars="-85" w:firstLine="525" w:firstLineChars="250"/>
        <w:rPr>
          <w:rFonts w:hAnsi="宋体" w:cs="宋体"/>
          <w:color w:val="auto"/>
          <w:spacing w:val="0"/>
          <w:kern w:val="2"/>
          <w:sz w:val="21"/>
          <w:szCs w:val="21"/>
        </w:rPr>
      </w:pPr>
      <w:r>
        <w:rPr>
          <w:rFonts w:hint="eastAsia" w:hAnsi="宋体" w:cs="宋体"/>
          <w:color w:val="auto"/>
          <w:spacing w:val="0"/>
          <w:kern w:val="2"/>
          <w:sz w:val="21"/>
          <w:szCs w:val="21"/>
        </w:rPr>
        <w:t>项目编号：</w:t>
      </w:r>
      <w:r>
        <w:rPr>
          <w:rFonts w:hint="eastAsia" w:hAnsi="宋体" w:cs="宋体"/>
          <w:color w:val="auto"/>
          <w:spacing w:val="0"/>
          <w:kern w:val="2"/>
          <w:sz w:val="21"/>
          <w:szCs w:val="21"/>
          <w:u w:val="single"/>
        </w:rPr>
        <w:t xml:space="preserve">                  </w:t>
      </w:r>
      <w:r>
        <w:rPr>
          <w:rFonts w:hint="eastAsia" w:hAnsi="宋体" w:cs="宋体"/>
          <w:color w:val="auto"/>
          <w:spacing w:val="0"/>
          <w:kern w:val="2"/>
          <w:sz w:val="21"/>
          <w:szCs w:val="21"/>
        </w:rPr>
        <w:t>项目名称：</w:t>
      </w:r>
      <w:r>
        <w:rPr>
          <w:rFonts w:hint="eastAsia" w:hAnsi="宋体" w:cs="宋体"/>
          <w:color w:val="auto"/>
          <w:spacing w:val="0"/>
          <w:kern w:val="2"/>
          <w:sz w:val="21"/>
          <w:szCs w:val="21"/>
          <w:u w:val="single"/>
        </w:rPr>
        <w:t xml:space="preserve">                       </w:t>
      </w:r>
      <w:r>
        <w:rPr>
          <w:rFonts w:hint="eastAsia" w:hAnsi="宋体" w:cs="宋体"/>
          <w:color w:val="auto"/>
          <w:spacing w:val="0"/>
          <w:kern w:val="2"/>
          <w:sz w:val="21"/>
          <w:szCs w:val="21"/>
        </w:rPr>
        <w:t>单位：</w:t>
      </w:r>
      <w:r>
        <w:rPr>
          <w:rFonts w:hint="eastAsia" w:hAnsi="宋体" w:cs="宋体"/>
          <w:color w:val="auto"/>
          <w:spacing w:val="0"/>
          <w:kern w:val="2"/>
          <w:sz w:val="21"/>
          <w:szCs w:val="21"/>
          <w:lang w:val="en-US" w:eastAsia="zh-CN"/>
        </w:rPr>
        <w:t xml:space="preserve">人民币 </w:t>
      </w:r>
      <w:r>
        <w:rPr>
          <w:rFonts w:hint="eastAsia" w:hAnsi="宋体" w:cs="宋体"/>
          <w:color w:val="auto"/>
          <w:spacing w:val="0"/>
          <w:kern w:val="2"/>
          <w:sz w:val="21"/>
          <w:szCs w:val="21"/>
        </w:rPr>
        <w:t>元</w:t>
      </w:r>
    </w:p>
    <w:tbl>
      <w:tblPr>
        <w:tblStyle w:val="39"/>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040"/>
        <w:gridCol w:w="1768"/>
        <w:gridCol w:w="3130"/>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944" w:type="dxa"/>
            <w:tcBorders>
              <w:top w:val="single" w:color="auto" w:sz="4" w:space="0"/>
              <w:left w:val="single" w:color="auto" w:sz="4" w:space="0"/>
              <w:bottom w:val="single" w:color="auto" w:sz="4" w:space="0"/>
              <w:right w:val="single" w:color="auto" w:sz="4" w:space="0"/>
            </w:tcBorders>
            <w:vAlign w:val="bottom"/>
          </w:tcPr>
          <w:p>
            <w:pPr>
              <w:pStyle w:val="35"/>
              <w:widowControl w:val="0"/>
              <w:snapToGrid w:val="0"/>
              <w:spacing w:before="0" w:beforeAutospacing="0" w:after="120" w:afterAutospacing="0"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序号</w:t>
            </w:r>
          </w:p>
        </w:tc>
        <w:tc>
          <w:tcPr>
            <w:tcW w:w="2040" w:type="dxa"/>
            <w:tcBorders>
              <w:top w:val="single" w:color="auto" w:sz="4" w:space="0"/>
              <w:left w:val="single" w:color="auto" w:sz="4" w:space="0"/>
              <w:bottom w:val="single" w:color="auto" w:sz="4" w:space="0"/>
              <w:right w:val="single" w:color="auto" w:sz="4" w:space="0"/>
            </w:tcBorders>
            <w:vAlign w:val="bottom"/>
          </w:tcPr>
          <w:p>
            <w:pPr>
              <w:pStyle w:val="35"/>
              <w:widowControl w:val="0"/>
              <w:snapToGrid w:val="0"/>
              <w:spacing w:before="0" w:beforeAutospacing="0" w:after="120" w:afterAutospacing="0"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采购内容</w:t>
            </w:r>
          </w:p>
        </w:tc>
        <w:tc>
          <w:tcPr>
            <w:tcW w:w="1768" w:type="dxa"/>
            <w:tcBorders>
              <w:top w:val="single" w:color="auto" w:sz="4" w:space="0"/>
              <w:left w:val="single" w:color="auto" w:sz="4" w:space="0"/>
              <w:right w:val="single" w:color="auto" w:sz="4" w:space="0"/>
            </w:tcBorders>
            <w:vAlign w:val="bottom"/>
          </w:tcPr>
          <w:p>
            <w:pPr>
              <w:pStyle w:val="35"/>
              <w:widowControl w:val="0"/>
              <w:spacing w:before="0" w:beforeAutospacing="0" w:after="120" w:afterAutospacing="0" w:line="360" w:lineRule="auto"/>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单价限价</w:t>
            </w:r>
          </w:p>
        </w:tc>
        <w:tc>
          <w:tcPr>
            <w:tcW w:w="3130" w:type="dxa"/>
            <w:tcBorders>
              <w:top w:val="single" w:color="auto" w:sz="4" w:space="0"/>
              <w:left w:val="single" w:color="auto" w:sz="4" w:space="0"/>
              <w:right w:val="single" w:color="auto" w:sz="4" w:space="0"/>
            </w:tcBorders>
            <w:vAlign w:val="bottom"/>
          </w:tcPr>
          <w:p>
            <w:pPr>
              <w:pStyle w:val="35"/>
              <w:widowControl w:val="0"/>
              <w:snapToGrid w:val="0"/>
              <w:spacing w:before="0" w:beforeAutospacing="0" w:after="120" w:afterAutospacing="0"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单价</w:t>
            </w:r>
            <w:r>
              <w:rPr>
                <w:rFonts w:hint="eastAsia" w:ascii="宋体" w:hAnsi="宋体" w:eastAsia="宋体" w:cs="宋体"/>
                <w:b/>
                <w:bCs/>
                <w:color w:val="auto"/>
                <w:kern w:val="2"/>
                <w:sz w:val="21"/>
                <w:szCs w:val="21"/>
                <w:lang w:val="en-US" w:eastAsia="zh-CN" w:bidi="ar-SA"/>
              </w:rPr>
              <w:t>报价</w:t>
            </w:r>
          </w:p>
        </w:tc>
        <w:tc>
          <w:tcPr>
            <w:tcW w:w="1733" w:type="dxa"/>
            <w:tcBorders>
              <w:top w:val="single" w:color="auto" w:sz="4" w:space="0"/>
              <w:left w:val="single" w:color="auto" w:sz="4" w:space="0"/>
              <w:bottom w:val="single" w:color="auto" w:sz="4" w:space="0"/>
              <w:right w:val="single" w:color="auto" w:sz="4" w:space="0"/>
            </w:tcBorders>
            <w:vAlign w:val="bottom"/>
          </w:tcPr>
          <w:p>
            <w:pPr>
              <w:pStyle w:val="35"/>
              <w:widowControl w:val="0"/>
              <w:snapToGrid w:val="0"/>
              <w:spacing w:before="0" w:beforeAutospacing="0" w:after="120" w:afterAutospacing="0" w:line="360" w:lineRule="auto"/>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944" w:type="dxa"/>
            <w:tcBorders>
              <w:top w:val="single" w:color="auto" w:sz="4" w:space="0"/>
              <w:left w:val="single" w:color="auto" w:sz="4" w:space="0"/>
              <w:bottom w:val="single" w:color="auto" w:sz="4" w:space="0"/>
              <w:right w:val="single" w:color="auto" w:sz="4" w:space="0"/>
            </w:tcBorders>
            <w:vAlign w:val="center"/>
          </w:tcPr>
          <w:p>
            <w:pPr>
              <w:pStyle w:val="35"/>
              <w:widowControl w:val="0"/>
              <w:snapToGrid w:val="0"/>
              <w:spacing w:before="0" w:beforeAutospacing="0" w:after="120" w:afterAutospacing="0" w:line="360" w:lineRule="auto"/>
              <w:ind w:firstLine="42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2040" w:type="dxa"/>
            <w:tcBorders>
              <w:top w:val="single" w:color="auto" w:sz="4" w:space="0"/>
              <w:left w:val="single" w:color="auto" w:sz="4" w:space="0"/>
              <w:bottom w:val="single" w:color="auto" w:sz="4" w:space="0"/>
              <w:right w:val="single" w:color="auto" w:sz="4" w:space="0"/>
            </w:tcBorders>
            <w:vAlign w:val="bottom"/>
          </w:tcPr>
          <w:p>
            <w:pPr>
              <w:pStyle w:val="35"/>
              <w:widowControl w:val="0"/>
              <w:spacing w:before="0" w:beforeAutospacing="0" w:after="120" w:afterAutospacing="0" w:line="360" w:lineRule="auto"/>
              <w:jc w:val="center"/>
              <w:rPr>
                <w:rFonts w:ascii="宋体" w:hAnsi="宋体" w:cs="宋体"/>
                <w:color w:val="auto"/>
                <w:sz w:val="21"/>
                <w:szCs w:val="21"/>
              </w:rPr>
            </w:pPr>
            <w:r>
              <w:rPr>
                <w:rFonts w:hint="eastAsia" w:ascii="宋体" w:hAnsi="宋体" w:cs="宋体"/>
                <w:color w:val="auto"/>
                <w:sz w:val="21"/>
                <w:szCs w:val="21"/>
              </w:rPr>
              <w:t>宁波市第三次全国土壤普查剖面样点调查采集</w:t>
            </w:r>
          </w:p>
        </w:tc>
        <w:tc>
          <w:tcPr>
            <w:tcW w:w="1768" w:type="dxa"/>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每个样点20040元</w:t>
            </w:r>
          </w:p>
        </w:tc>
        <w:tc>
          <w:tcPr>
            <w:tcW w:w="3130" w:type="dxa"/>
            <w:tcBorders>
              <w:left w:val="single" w:color="auto" w:sz="4" w:space="0"/>
              <w:bottom w:val="single" w:color="auto" w:sz="4" w:space="0"/>
              <w:right w:val="single" w:color="auto" w:sz="4" w:space="0"/>
            </w:tcBorders>
            <w:vAlign w:val="center"/>
          </w:tcPr>
          <w:p>
            <w:pPr>
              <w:pStyle w:val="35"/>
              <w:widowControl w:val="0"/>
              <w:spacing w:before="0" w:beforeAutospacing="0" w:after="120" w:afterAutospacing="0" w:line="360" w:lineRule="auto"/>
              <w:jc w:val="left"/>
              <w:rPr>
                <w:rFonts w:ascii="宋体" w:hAnsi="宋体" w:cs="宋体"/>
                <w:color w:val="auto"/>
                <w:sz w:val="21"/>
                <w:szCs w:val="21"/>
              </w:rPr>
            </w:pPr>
            <w:r>
              <w:rPr>
                <w:rFonts w:hint="eastAsia" w:ascii="宋体" w:hAnsi="宋体" w:cs="宋体"/>
                <w:color w:val="auto"/>
                <w:sz w:val="21"/>
                <w:szCs w:val="21"/>
              </w:rPr>
              <w:t>小写：</w:t>
            </w:r>
          </w:p>
          <w:p>
            <w:pPr>
              <w:pStyle w:val="35"/>
              <w:widowControl w:val="0"/>
              <w:spacing w:before="0" w:beforeAutospacing="0" w:after="120" w:afterAutospacing="0" w:line="360" w:lineRule="auto"/>
              <w:jc w:val="left"/>
              <w:rPr>
                <w:rFonts w:ascii="宋体" w:hAnsi="宋体" w:cs="宋体"/>
                <w:color w:val="auto"/>
                <w:sz w:val="21"/>
                <w:szCs w:val="21"/>
              </w:rPr>
            </w:pPr>
          </w:p>
          <w:p>
            <w:pPr>
              <w:pStyle w:val="35"/>
              <w:widowControl w:val="0"/>
              <w:spacing w:before="0" w:beforeAutospacing="0" w:after="120" w:afterAutospacing="0" w:line="360" w:lineRule="auto"/>
              <w:jc w:val="left"/>
              <w:rPr>
                <w:rFonts w:ascii="宋体" w:hAnsi="宋体" w:cs="宋体"/>
                <w:color w:val="auto"/>
                <w:sz w:val="21"/>
                <w:szCs w:val="21"/>
              </w:rPr>
            </w:pPr>
            <w:r>
              <w:rPr>
                <w:rFonts w:hint="eastAsia" w:ascii="宋体" w:hAnsi="宋体" w:cs="宋体"/>
                <w:color w:val="auto"/>
                <w:sz w:val="21"/>
                <w:szCs w:val="21"/>
              </w:rPr>
              <w:t>大写：</w:t>
            </w:r>
          </w:p>
        </w:tc>
        <w:tc>
          <w:tcPr>
            <w:tcW w:w="1733" w:type="dxa"/>
            <w:tcBorders>
              <w:top w:val="single" w:color="auto" w:sz="4" w:space="0"/>
              <w:left w:val="single" w:color="auto" w:sz="4" w:space="0"/>
              <w:bottom w:val="single" w:color="auto" w:sz="4" w:space="0"/>
              <w:right w:val="single" w:color="auto" w:sz="4" w:space="0"/>
            </w:tcBorders>
            <w:vAlign w:val="center"/>
          </w:tcPr>
          <w:p>
            <w:pPr>
              <w:pStyle w:val="35"/>
              <w:widowControl w:val="0"/>
              <w:spacing w:before="0" w:beforeAutospacing="0" w:after="120" w:afterAutospacing="0" w:line="360" w:lineRule="auto"/>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2984" w:type="dxa"/>
            <w:gridSpan w:val="2"/>
            <w:tcBorders>
              <w:top w:val="single" w:color="auto" w:sz="4" w:space="0"/>
              <w:left w:val="single" w:color="auto" w:sz="4" w:space="0"/>
              <w:bottom w:val="single" w:color="auto" w:sz="4" w:space="0"/>
              <w:right w:val="single" w:color="auto" w:sz="4" w:space="0"/>
            </w:tcBorders>
            <w:vAlign w:val="center"/>
          </w:tcPr>
          <w:p>
            <w:pPr>
              <w:pStyle w:val="35"/>
              <w:widowControl w:val="0"/>
              <w:snapToGrid w:val="0"/>
              <w:spacing w:before="0" w:beforeAutospacing="0" w:after="120" w:afterAutospacing="0" w:line="360" w:lineRule="auto"/>
              <w:ind w:firstLine="404"/>
              <w:jc w:val="center"/>
              <w:rPr>
                <w:rFonts w:ascii="宋体" w:hAnsi="宋体" w:cs="宋体"/>
                <w:color w:val="auto"/>
                <w:spacing w:val="-4"/>
                <w:kern w:val="2"/>
                <w:sz w:val="21"/>
                <w:szCs w:val="21"/>
              </w:rPr>
            </w:pPr>
            <w:r>
              <w:rPr>
                <w:rFonts w:hint="eastAsia" w:ascii="宋体" w:hAnsi="宋体" w:cs="宋体"/>
                <w:color w:val="auto"/>
                <w:spacing w:val="-4"/>
                <w:kern w:val="2"/>
                <w:sz w:val="21"/>
                <w:szCs w:val="21"/>
              </w:rPr>
              <w:t>投标声明</w:t>
            </w:r>
          </w:p>
        </w:tc>
        <w:tc>
          <w:tcPr>
            <w:tcW w:w="6631" w:type="dxa"/>
            <w:gridSpan w:val="3"/>
            <w:tcBorders>
              <w:top w:val="single" w:color="auto" w:sz="4" w:space="0"/>
              <w:left w:val="single" w:color="auto" w:sz="4" w:space="0"/>
              <w:bottom w:val="single" w:color="auto" w:sz="4" w:space="0"/>
              <w:right w:val="single" w:color="auto" w:sz="4" w:space="0"/>
            </w:tcBorders>
            <w:vAlign w:val="top"/>
          </w:tcPr>
          <w:p>
            <w:pPr>
              <w:pStyle w:val="35"/>
              <w:widowControl w:val="0"/>
              <w:spacing w:before="0" w:beforeAutospacing="0" w:after="120" w:afterAutospacing="0" w:line="360" w:lineRule="auto"/>
              <w:ind w:firstLine="404"/>
              <w:rPr>
                <w:rFonts w:ascii="宋体" w:hAnsi="宋体" w:cs="宋体"/>
                <w:color w:val="auto"/>
                <w:spacing w:val="-4"/>
                <w:kern w:val="2"/>
                <w:sz w:val="21"/>
                <w:szCs w:val="21"/>
              </w:rPr>
            </w:pPr>
          </w:p>
        </w:tc>
      </w:tr>
    </w:tbl>
    <w:p>
      <w:pPr>
        <w:snapToGrid w:val="0"/>
        <w:spacing w:before="50" w:after="50"/>
        <w:jc w:val="left"/>
        <w:rPr>
          <w:rFonts w:ascii="宋体" w:hAnsi="宋体" w:cs="宋体"/>
          <w:color w:val="auto"/>
          <w:szCs w:val="21"/>
        </w:rPr>
      </w:pPr>
      <w:r>
        <w:rPr>
          <w:rFonts w:hint="eastAsia" w:ascii="宋体" w:hAnsi="宋体" w:cs="宋体"/>
          <w:color w:val="auto"/>
          <w:szCs w:val="21"/>
        </w:rPr>
        <w:t>注： 1、报价一经涂改，应在涂改处加盖单位公章或者由法定代表人或授权委托人签字或盖章，否则其投标作无效标处理。</w:t>
      </w:r>
    </w:p>
    <w:p>
      <w:pPr>
        <w:pStyle w:val="16"/>
        <w:spacing w:line="360" w:lineRule="auto"/>
        <w:ind w:left="-178" w:leftChars="-85" w:firstLine="507" w:firstLineChars="250"/>
        <w:rPr>
          <w:rFonts w:hint="default" w:hAnsi="宋体" w:eastAsia="宋体" w:cs="宋体"/>
          <w:b/>
          <w:bCs/>
          <w:color w:val="auto"/>
          <w:sz w:val="21"/>
          <w:szCs w:val="21"/>
          <w:lang w:val="en-US" w:eastAsia="zh-CN"/>
        </w:rPr>
      </w:pPr>
      <w:r>
        <w:rPr>
          <w:rFonts w:hint="eastAsia" w:hAnsi="宋体" w:cs="宋体"/>
          <w:b/>
          <w:bCs/>
          <w:color w:val="auto"/>
          <w:sz w:val="21"/>
          <w:szCs w:val="21"/>
          <w:lang w:val="en-US" w:eastAsia="zh-CN"/>
        </w:rPr>
        <w:t>2、本项目报价为单价报价，投标人中标金额为所分配的工作片区样点个数*中标单价。</w:t>
      </w:r>
    </w:p>
    <w:p>
      <w:pPr>
        <w:spacing w:line="400" w:lineRule="exact"/>
        <w:rPr>
          <w:rFonts w:ascii="宋体" w:hAnsi="宋体" w:cs="宋体"/>
          <w:color w:val="auto"/>
          <w:szCs w:val="21"/>
        </w:rPr>
      </w:pPr>
    </w:p>
    <w:p>
      <w:pPr>
        <w:widowControl/>
        <w:spacing w:line="360" w:lineRule="auto"/>
        <w:ind w:firstLine="2730" w:firstLineChars="1300"/>
        <w:jc w:val="left"/>
        <w:rPr>
          <w:rFonts w:ascii="宋体" w:hAnsi="宋体" w:cs="宋体"/>
          <w:color w:val="auto"/>
          <w:szCs w:val="21"/>
        </w:rPr>
      </w:pPr>
      <w:r>
        <w:rPr>
          <w:rFonts w:hint="eastAsia" w:ascii="宋体" w:hAnsi="宋体" w:cs="宋体"/>
          <w:color w:val="auto"/>
          <w:szCs w:val="21"/>
        </w:rPr>
        <w:t>投 标 人（盖章）：</w:t>
      </w:r>
    </w:p>
    <w:p>
      <w:pPr>
        <w:pStyle w:val="16"/>
        <w:snapToGrid w:val="0"/>
        <w:spacing w:line="360" w:lineRule="auto"/>
        <w:ind w:firstLine="2730" w:firstLineChars="1300"/>
        <w:rPr>
          <w:rFonts w:ascii="Times New Roman"/>
          <w:color w:val="auto"/>
          <w:spacing w:val="0"/>
          <w:sz w:val="21"/>
          <w:szCs w:val="21"/>
        </w:rPr>
      </w:pPr>
      <w:r>
        <w:rPr>
          <w:rFonts w:ascii="Times New Roman"/>
          <w:color w:val="auto"/>
          <w:spacing w:val="0"/>
          <w:sz w:val="21"/>
          <w:szCs w:val="21"/>
        </w:rPr>
        <w:t>日    期：</w:t>
      </w:r>
    </w:p>
    <w:p>
      <w:pPr>
        <w:spacing w:line="411" w:lineRule="exact"/>
        <w:ind w:right="6"/>
        <w:rPr>
          <w:b/>
          <w:color w:val="auto"/>
          <w:szCs w:val="21"/>
        </w:rPr>
      </w:pPr>
      <w:r>
        <w:rPr>
          <w:rFonts w:hint="eastAsia" w:ascii="宋体" w:hAnsi="宋体" w:cs="宋体"/>
          <w:b/>
          <w:bCs/>
          <w:color w:val="auto"/>
          <w:szCs w:val="21"/>
        </w:rPr>
        <w:br w:type="page"/>
      </w:r>
      <w:r>
        <w:rPr>
          <w:rFonts w:hint="eastAsia" w:ascii="宋体" w:hAnsi="宋体" w:cs="宋体"/>
          <w:b/>
          <w:bCs/>
          <w:color w:val="auto"/>
          <w:sz w:val="18"/>
          <w:szCs w:val="18"/>
        </w:rPr>
        <w:t>1</w:t>
      </w:r>
      <w:r>
        <w:rPr>
          <w:rFonts w:hint="eastAsia" w:ascii="宋体" w:hAnsi="宋体" w:cs="宋体"/>
          <w:b/>
          <w:bCs/>
          <w:color w:val="auto"/>
          <w:sz w:val="18"/>
          <w:szCs w:val="18"/>
          <w:lang w:val="en-US" w:eastAsia="zh-CN"/>
        </w:rPr>
        <w:t>4</w:t>
      </w:r>
      <w:r>
        <w:rPr>
          <w:rFonts w:hint="eastAsia" w:ascii="宋体" w:hAnsi="宋体" w:cs="宋体"/>
          <w:b/>
          <w:bCs/>
          <w:color w:val="auto"/>
          <w:sz w:val="18"/>
          <w:szCs w:val="18"/>
        </w:rPr>
        <w:t>.</w:t>
      </w:r>
      <w:r>
        <w:rPr>
          <w:b/>
          <w:bCs/>
          <w:color w:val="auto"/>
          <w:szCs w:val="21"/>
        </w:rPr>
        <w:t>中小企业声明函</w:t>
      </w:r>
    </w:p>
    <w:p>
      <w:pPr>
        <w:spacing w:line="411" w:lineRule="exact"/>
        <w:ind w:right="6"/>
        <w:jc w:val="center"/>
        <w:rPr>
          <w:b/>
          <w:color w:val="auto"/>
          <w:sz w:val="30"/>
          <w:szCs w:val="30"/>
        </w:rPr>
      </w:pPr>
      <w:r>
        <w:rPr>
          <w:b/>
          <w:color w:val="auto"/>
          <w:sz w:val="30"/>
          <w:szCs w:val="30"/>
        </w:rPr>
        <w:t>中小企业声明函</w:t>
      </w:r>
    </w:p>
    <w:p>
      <w:pPr>
        <w:spacing w:line="200" w:lineRule="exact"/>
        <w:rPr>
          <w:rFonts w:eastAsia="Times New Roman"/>
          <w:color w:val="auto"/>
        </w:rPr>
      </w:pPr>
    </w:p>
    <w:p>
      <w:pPr>
        <w:spacing w:line="200" w:lineRule="exact"/>
        <w:rPr>
          <w:rFonts w:eastAsia="Times New Roman"/>
          <w:color w:val="auto"/>
        </w:rPr>
      </w:pPr>
    </w:p>
    <w:p>
      <w:pPr>
        <w:spacing w:line="318" w:lineRule="exact"/>
        <w:rPr>
          <w:rFonts w:eastAsia="Times New Roman"/>
          <w:color w:val="auto"/>
        </w:rPr>
      </w:pPr>
    </w:p>
    <w:p>
      <w:pPr>
        <w:spacing w:line="492" w:lineRule="exact"/>
        <w:ind w:left="360" w:right="366" w:firstLine="641"/>
        <w:rPr>
          <w:color w:val="auto"/>
          <w:szCs w:val="21"/>
        </w:rPr>
      </w:pPr>
      <w:r>
        <w:rPr>
          <w:color w:val="auto"/>
          <w:szCs w:val="21"/>
        </w:rPr>
        <w:t>本公司（联合体）郑重声明，根据《政府采购促进中小企业发展管理办法》（财库﹝2020﹞46号）的规定，本公司（联合体）参加</w:t>
      </w:r>
      <w:r>
        <w:rPr>
          <w:color w:val="auto"/>
          <w:szCs w:val="21"/>
          <w:u w:val="single"/>
        </w:rPr>
        <w:t>（单位名称）</w:t>
      </w:r>
      <w:r>
        <w:rPr>
          <w:color w:val="auto"/>
          <w:szCs w:val="21"/>
        </w:rPr>
        <w:t>的</w:t>
      </w:r>
      <w:r>
        <w:rPr>
          <w:color w:val="auto"/>
          <w:szCs w:val="21"/>
          <w:u w:val="single"/>
        </w:rPr>
        <w:t>（项目名称）</w:t>
      </w:r>
      <w:r>
        <w:rPr>
          <w:color w:val="auto"/>
          <w:szCs w:val="21"/>
        </w:rPr>
        <w:t>采购活动，服务全部由符合政策要求的中小企业承接）。相关企业（含联合体中的中小企业、签订分包意向协议的中小企业）的具体情况如下：</w:t>
      </w:r>
    </w:p>
    <w:p>
      <w:pPr>
        <w:spacing w:line="492" w:lineRule="exact"/>
        <w:ind w:left="360" w:right="366" w:firstLine="641"/>
        <w:rPr>
          <w:color w:val="auto"/>
          <w:szCs w:val="21"/>
        </w:rPr>
      </w:pPr>
      <w:r>
        <w:rPr>
          <w:color w:val="auto"/>
          <w:szCs w:val="21"/>
        </w:rPr>
        <w:t>1</w:t>
      </w:r>
      <w:r>
        <w:rPr>
          <w:rFonts w:hint="eastAsia"/>
          <w:color w:val="auto"/>
          <w:szCs w:val="21"/>
        </w:rPr>
        <w:t>、</w:t>
      </w:r>
      <w:r>
        <w:rPr>
          <w:color w:val="auto"/>
          <w:szCs w:val="21"/>
          <w:u w:val="single"/>
        </w:rPr>
        <w:t>（标的名称）</w:t>
      </w:r>
      <w:r>
        <w:rPr>
          <w:color w:val="auto"/>
          <w:szCs w:val="21"/>
        </w:rPr>
        <w:t>，属于</w:t>
      </w:r>
      <w:r>
        <w:rPr>
          <w:rFonts w:hint="eastAsia"/>
          <w:color w:val="auto"/>
          <w:szCs w:val="21"/>
          <w:u w:val="single"/>
        </w:rPr>
        <w:t xml:space="preserve">其他未列明行业 </w:t>
      </w:r>
      <w:r>
        <w:rPr>
          <w:color w:val="auto"/>
          <w:szCs w:val="21"/>
        </w:rPr>
        <w:t>；承接企业为</w:t>
      </w:r>
      <w:r>
        <w:rPr>
          <w:color w:val="auto"/>
          <w:szCs w:val="21"/>
          <w:u w:val="single"/>
        </w:rPr>
        <w:t>（企业名称）</w:t>
      </w:r>
      <w:r>
        <w:rPr>
          <w:color w:val="auto"/>
          <w:szCs w:val="21"/>
        </w:rPr>
        <w:t>，从业人员</w:t>
      </w:r>
      <w:r>
        <w:rPr>
          <w:color w:val="auto"/>
          <w:szCs w:val="21"/>
          <w:u w:val="single"/>
        </w:rPr>
        <w:t xml:space="preserve">  </w:t>
      </w:r>
      <w:r>
        <w:rPr>
          <w:color w:val="auto"/>
          <w:szCs w:val="21"/>
        </w:rPr>
        <w:t>人，营业 收入为</w:t>
      </w:r>
      <w:r>
        <w:rPr>
          <w:color w:val="auto"/>
          <w:szCs w:val="21"/>
          <w:u w:val="single"/>
        </w:rPr>
        <w:t xml:space="preserve">  </w:t>
      </w:r>
      <w:r>
        <w:rPr>
          <w:color w:val="auto"/>
          <w:szCs w:val="21"/>
        </w:rPr>
        <w:t>万元，资产总额为</w:t>
      </w:r>
      <w:r>
        <w:rPr>
          <w:color w:val="auto"/>
          <w:szCs w:val="21"/>
          <w:u w:val="single"/>
        </w:rPr>
        <w:t xml:space="preserve">   </w:t>
      </w:r>
      <w:r>
        <w:rPr>
          <w:color w:val="auto"/>
          <w:szCs w:val="21"/>
        </w:rPr>
        <w:t xml:space="preserve">万元，属于 </w:t>
      </w:r>
      <w:r>
        <w:rPr>
          <w:color w:val="auto"/>
          <w:szCs w:val="21"/>
          <w:u w:val="single"/>
        </w:rPr>
        <w:t>（中型企业、小型企业、微型企业）</w:t>
      </w:r>
      <w:r>
        <w:rPr>
          <w:color w:val="auto"/>
          <w:szCs w:val="21"/>
        </w:rPr>
        <w:t xml:space="preserve">； </w:t>
      </w:r>
    </w:p>
    <w:p>
      <w:pPr>
        <w:spacing w:line="492" w:lineRule="exact"/>
        <w:ind w:left="360" w:right="366" w:firstLine="641"/>
        <w:rPr>
          <w:color w:val="auto"/>
          <w:szCs w:val="21"/>
        </w:rPr>
      </w:pPr>
      <w:r>
        <w:rPr>
          <w:color w:val="auto"/>
          <w:szCs w:val="21"/>
        </w:rPr>
        <w:t>……</w:t>
      </w:r>
    </w:p>
    <w:p>
      <w:pPr>
        <w:spacing w:line="455" w:lineRule="exact"/>
        <w:ind w:left="360" w:right="366" w:firstLine="646"/>
        <w:rPr>
          <w:color w:val="auto"/>
          <w:szCs w:val="21"/>
        </w:rPr>
      </w:pPr>
      <w:r>
        <w:rPr>
          <w:color w:val="auto"/>
          <w:szCs w:val="21"/>
        </w:rPr>
        <w:t>以上企业，不属于大企业的分支机构，不存在控股股东为大企业的情形，也不存在与大企业的负责人为同一人的情形。</w:t>
      </w:r>
    </w:p>
    <w:p>
      <w:pPr>
        <w:spacing w:line="196" w:lineRule="exact"/>
        <w:rPr>
          <w:color w:val="auto"/>
          <w:szCs w:val="21"/>
        </w:rPr>
      </w:pPr>
    </w:p>
    <w:p>
      <w:pPr>
        <w:spacing w:line="423" w:lineRule="exact"/>
        <w:ind w:left="360" w:right="366" w:firstLine="641"/>
        <w:rPr>
          <w:color w:val="auto"/>
          <w:szCs w:val="21"/>
        </w:rPr>
      </w:pPr>
      <w:r>
        <w:rPr>
          <w:color w:val="auto"/>
          <w:szCs w:val="21"/>
        </w:rPr>
        <w:t>本企业对上述声明内容的真实性负责。如有虚假，将依法承担相应责任。</w:t>
      </w:r>
    </w:p>
    <w:p>
      <w:pPr>
        <w:spacing w:line="188" w:lineRule="exact"/>
        <w:rPr>
          <w:color w:val="auto"/>
          <w:szCs w:val="21"/>
        </w:rPr>
      </w:pPr>
    </w:p>
    <w:p>
      <w:pPr>
        <w:spacing w:line="366" w:lineRule="exact"/>
        <w:ind w:left="4200" w:firstLine="210" w:firstLineChars="100"/>
        <w:rPr>
          <w:color w:val="auto"/>
          <w:szCs w:val="21"/>
        </w:rPr>
      </w:pPr>
    </w:p>
    <w:p>
      <w:pPr>
        <w:spacing w:line="366" w:lineRule="exact"/>
        <w:ind w:left="4200" w:firstLine="210" w:firstLineChars="100"/>
        <w:rPr>
          <w:color w:val="auto"/>
          <w:szCs w:val="21"/>
        </w:rPr>
      </w:pPr>
    </w:p>
    <w:p>
      <w:pPr>
        <w:spacing w:line="366" w:lineRule="exact"/>
        <w:ind w:left="4200" w:firstLine="210" w:firstLineChars="100"/>
        <w:rPr>
          <w:color w:val="auto"/>
          <w:szCs w:val="21"/>
        </w:rPr>
      </w:pPr>
      <w:r>
        <w:rPr>
          <w:color w:val="auto"/>
          <w:szCs w:val="21"/>
        </w:rPr>
        <w:t>企业名称（盖章）：</w:t>
      </w:r>
    </w:p>
    <w:p>
      <w:pPr>
        <w:spacing w:line="175" w:lineRule="exact"/>
        <w:rPr>
          <w:color w:val="auto"/>
          <w:szCs w:val="21"/>
        </w:rPr>
      </w:pPr>
    </w:p>
    <w:p>
      <w:pPr>
        <w:spacing w:line="588" w:lineRule="exact"/>
        <w:ind w:firstLine="4410" w:firstLineChars="2100"/>
        <w:rPr>
          <w:color w:val="auto"/>
          <w:szCs w:val="21"/>
        </w:rPr>
      </w:pPr>
      <w:r>
        <w:rPr>
          <w:color w:val="auto"/>
          <w:szCs w:val="21"/>
        </w:rPr>
        <w:t>日</w:t>
      </w:r>
      <w:r>
        <w:rPr>
          <w:rFonts w:hint="eastAsia"/>
          <w:color w:val="auto"/>
          <w:szCs w:val="21"/>
        </w:rPr>
        <w:t xml:space="preserve">  </w:t>
      </w:r>
      <w:r>
        <w:rPr>
          <w:color w:val="auto"/>
          <w:szCs w:val="21"/>
        </w:rPr>
        <w:t>期：</w:t>
      </w:r>
    </w:p>
    <w:p>
      <w:pPr>
        <w:pStyle w:val="74"/>
        <w:rPr>
          <w:color w:val="auto"/>
          <w:szCs w:val="21"/>
        </w:rPr>
      </w:pPr>
    </w:p>
    <w:p>
      <w:pPr>
        <w:pStyle w:val="74"/>
        <w:rPr>
          <w:color w:val="auto"/>
          <w:szCs w:val="21"/>
        </w:rPr>
      </w:pPr>
    </w:p>
    <w:p>
      <w:pPr>
        <w:pStyle w:val="74"/>
        <w:rPr>
          <w:color w:val="auto"/>
          <w:szCs w:val="21"/>
        </w:rPr>
      </w:pPr>
    </w:p>
    <w:p>
      <w:pPr>
        <w:pStyle w:val="74"/>
        <w:rPr>
          <w:color w:val="auto"/>
          <w:szCs w:val="21"/>
        </w:rPr>
      </w:pPr>
    </w:p>
    <w:p>
      <w:pPr>
        <w:pStyle w:val="74"/>
        <w:rPr>
          <w:color w:val="auto"/>
          <w:szCs w:val="21"/>
        </w:rPr>
      </w:pPr>
    </w:p>
    <w:p>
      <w:pPr>
        <w:pStyle w:val="74"/>
        <w:rPr>
          <w:color w:val="auto"/>
          <w:szCs w:val="21"/>
        </w:rPr>
      </w:pPr>
    </w:p>
    <w:p>
      <w:pPr>
        <w:snapToGrid w:val="0"/>
        <w:spacing w:line="360" w:lineRule="auto"/>
        <w:jc w:val="left"/>
        <w:rPr>
          <w:color w:val="auto"/>
          <w:spacing w:val="6"/>
          <w:szCs w:val="21"/>
        </w:rPr>
      </w:pPr>
      <w:r>
        <w:rPr>
          <w:color w:val="auto"/>
          <w:spacing w:val="6"/>
          <w:szCs w:val="21"/>
        </w:rPr>
        <w:t xml:space="preserve"> 说明：</w:t>
      </w:r>
    </w:p>
    <w:p>
      <w:pPr>
        <w:snapToGrid w:val="0"/>
        <w:spacing w:line="360" w:lineRule="auto"/>
        <w:jc w:val="left"/>
        <w:rPr>
          <w:color w:val="auto"/>
          <w:spacing w:val="6"/>
          <w:szCs w:val="21"/>
        </w:rPr>
      </w:pPr>
      <w:r>
        <w:rPr>
          <w:color w:val="auto"/>
          <w:spacing w:val="6"/>
          <w:szCs w:val="21"/>
        </w:rPr>
        <w:t>1从业人员、营业收入、资产总额填报上一年度数据，无上一年度数据的新成立企业可不填报。</w:t>
      </w:r>
    </w:p>
    <w:p>
      <w:pPr>
        <w:snapToGrid w:val="0"/>
        <w:spacing w:line="360" w:lineRule="auto"/>
        <w:jc w:val="left"/>
        <w:rPr>
          <w:color w:val="auto"/>
          <w:spacing w:val="6"/>
          <w:szCs w:val="21"/>
        </w:rPr>
      </w:pPr>
      <w:r>
        <w:rPr>
          <w:color w:val="auto"/>
          <w:spacing w:val="6"/>
          <w:szCs w:val="21"/>
        </w:rPr>
        <w:t>2、</w:t>
      </w:r>
      <w:r>
        <w:rPr>
          <w:rFonts w:hint="eastAsia"/>
          <w:color w:val="auto"/>
          <w:spacing w:val="6"/>
          <w:szCs w:val="21"/>
        </w:rPr>
        <w:t>投标人</w:t>
      </w:r>
      <w:r>
        <w:rPr>
          <w:color w:val="auto"/>
          <w:spacing w:val="6"/>
          <w:szCs w:val="21"/>
        </w:rPr>
        <w:t>根据采购文件规定的采购标的对应的中小企业划分标准所属行业，对照中小微行业划型标准规定（根据工信部联企业〔2011〕300号制定）如实填写。</w:t>
      </w:r>
    </w:p>
    <w:p>
      <w:pPr>
        <w:snapToGrid w:val="0"/>
        <w:spacing w:line="360" w:lineRule="auto"/>
        <w:jc w:val="left"/>
        <w:rPr>
          <w:color w:val="auto"/>
          <w:spacing w:val="6"/>
          <w:szCs w:val="21"/>
        </w:rPr>
        <w:sectPr>
          <w:headerReference r:id="rId11" w:type="default"/>
          <w:footerReference r:id="rId12" w:type="default"/>
          <w:pgSz w:w="11907" w:h="16840"/>
          <w:pgMar w:top="1276" w:right="1474" w:bottom="1242" w:left="1474" w:header="720" w:footer="720" w:gutter="0"/>
          <w:cols w:space="720" w:num="1"/>
          <w:docGrid w:linePitch="285" w:charSpace="0"/>
        </w:sectPr>
      </w:pPr>
      <w:r>
        <w:rPr>
          <w:color w:val="auto"/>
          <w:spacing w:val="6"/>
          <w:szCs w:val="21"/>
        </w:rPr>
        <w:t>3、投标人提供的声明函与事实不符的，依据《政府采购法》第七十七条第一款的规定追究法律责任,如若中标本声明函随中标结果予以公示。</w:t>
      </w:r>
    </w:p>
    <w:p>
      <w:pPr>
        <w:jc w:val="center"/>
        <w:rPr>
          <w:rFonts w:ascii="宋体" w:hAnsi="宋体" w:cs="宋体"/>
          <w:b/>
          <w:color w:val="auto"/>
          <w:sz w:val="30"/>
          <w:szCs w:val="30"/>
        </w:rPr>
      </w:pPr>
      <w:r>
        <w:rPr>
          <w:rFonts w:hint="eastAsia" w:ascii="宋体" w:hAnsi="宋体" w:cs="宋体"/>
          <w:b/>
          <w:color w:val="auto"/>
          <w:sz w:val="30"/>
          <w:szCs w:val="30"/>
        </w:rPr>
        <w:t>中小企业划型标准规定（工信部联企业[2011]300号）</w:t>
      </w:r>
    </w:p>
    <w:p>
      <w:pPr>
        <w:pStyle w:val="246"/>
        <w:snapToGrid w:val="0"/>
        <w:spacing w:before="120" w:after="120" w:line="440" w:lineRule="exact"/>
        <w:jc w:val="center"/>
        <w:rPr>
          <w:rFonts w:hAnsi="宋体" w:cs="宋体"/>
          <w:b/>
          <w:color w:val="auto"/>
          <w:sz w:val="28"/>
          <w:szCs w:val="28"/>
          <w:shd w:val="clear" w:color="FFFFFF" w:fill="D9D9D9"/>
        </w:rPr>
      </w:pPr>
      <w:r>
        <w:rPr>
          <w:rFonts w:hint="eastAsia" w:hAnsi="宋体" w:cs="宋体"/>
          <w:color w:val="auto"/>
        </w:rPr>
        <w:drawing>
          <wp:anchor distT="0" distB="0" distL="114300" distR="114300" simplePos="0" relativeHeight="251663360" behindDoc="1" locked="0" layoutInCell="1" allowOverlap="1">
            <wp:simplePos x="0" y="0"/>
            <wp:positionH relativeFrom="column">
              <wp:posOffset>265430</wp:posOffset>
            </wp:positionH>
            <wp:positionV relativeFrom="page">
              <wp:posOffset>1236980</wp:posOffset>
            </wp:positionV>
            <wp:extent cx="8989060" cy="5436870"/>
            <wp:effectExtent l="19050" t="0" r="2540" b="0"/>
            <wp:wrapNone/>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noChangeArrowheads="1"/>
                    </pic:cNvPicPr>
                  </pic:nvPicPr>
                  <pic:blipFill>
                    <a:blip r:embed="rId16"/>
                    <a:srcRect/>
                    <a:stretch>
                      <a:fillRect/>
                    </a:stretch>
                  </pic:blipFill>
                  <pic:spPr>
                    <a:xfrm>
                      <a:off x="0" y="0"/>
                      <a:ext cx="8989060" cy="5436870"/>
                    </a:xfrm>
                    <a:prstGeom prst="rect">
                      <a:avLst/>
                    </a:prstGeom>
                    <a:noFill/>
                    <a:ln w="9525" cmpd="sng">
                      <a:noFill/>
                      <a:miter lim="800000"/>
                      <a:headEnd/>
                      <a:tailEnd/>
                    </a:ln>
                  </pic:spPr>
                </pic:pic>
              </a:graphicData>
            </a:graphic>
          </wp:anchor>
        </w:drawing>
      </w:r>
    </w:p>
    <w:p>
      <w:pPr>
        <w:pStyle w:val="74"/>
        <w:rPr>
          <w:color w:val="auto"/>
        </w:rPr>
        <w:sectPr>
          <w:pgSz w:w="16840" w:h="11907" w:orient="landscape"/>
          <w:pgMar w:top="1474" w:right="1276" w:bottom="1474" w:left="1242" w:header="720" w:footer="720" w:gutter="0"/>
          <w:cols w:space="720" w:num="1"/>
          <w:docGrid w:linePitch="285" w:charSpace="0"/>
        </w:sectPr>
      </w:pPr>
    </w:p>
    <w:p>
      <w:pPr>
        <w:pStyle w:val="16"/>
        <w:spacing w:line="520" w:lineRule="exact"/>
        <w:jc w:val="center"/>
        <w:rPr>
          <w:rFonts w:ascii="Times New Roman"/>
          <w:b/>
          <w:color w:val="auto"/>
          <w:sz w:val="21"/>
          <w:szCs w:val="21"/>
        </w:rPr>
      </w:pPr>
      <w:bookmarkStart w:id="312" w:name="OLE_LINK14"/>
      <w:bookmarkStart w:id="313" w:name="OLE_LINK13"/>
    </w:p>
    <w:p>
      <w:pPr>
        <w:pStyle w:val="16"/>
        <w:spacing w:line="520" w:lineRule="exact"/>
        <w:jc w:val="center"/>
        <w:rPr>
          <w:rFonts w:ascii="Times New Roman"/>
          <w:b/>
          <w:color w:val="auto"/>
          <w:sz w:val="32"/>
          <w:szCs w:val="32"/>
        </w:rPr>
      </w:pPr>
      <w:r>
        <w:rPr>
          <w:rFonts w:ascii="Times New Roman"/>
          <w:b/>
          <w:color w:val="auto"/>
          <w:sz w:val="32"/>
          <w:szCs w:val="32"/>
        </w:rPr>
        <w:t>残疾人福利性单位声明函</w:t>
      </w:r>
    </w:p>
    <w:bookmarkEnd w:id="312"/>
    <w:bookmarkEnd w:id="313"/>
    <w:p>
      <w:pPr>
        <w:spacing w:line="588" w:lineRule="exact"/>
        <w:rPr>
          <w:b/>
          <w:color w:val="auto"/>
          <w:spacing w:val="6"/>
          <w:szCs w:val="21"/>
        </w:rPr>
      </w:pPr>
    </w:p>
    <w:p>
      <w:pPr>
        <w:spacing w:line="588" w:lineRule="exact"/>
        <w:ind w:firstLine="444" w:firstLineChars="200"/>
        <w:rPr>
          <w:color w:val="auto"/>
          <w:spacing w:val="6"/>
          <w:szCs w:val="21"/>
        </w:rPr>
      </w:pPr>
      <w:r>
        <w:rPr>
          <w:color w:val="auto"/>
          <w:spacing w:val="6"/>
          <w:szCs w:val="21"/>
        </w:rPr>
        <w:t>本单位郑重声明，根据《财政部民政部中国残疾人联合会关于促进残疾人就业政府采购政策的通知》（财库</w:t>
      </w:r>
      <w:r>
        <w:rPr>
          <w:color w:val="auto"/>
          <w:szCs w:val="21"/>
        </w:rPr>
        <w:t>〔2017〕 141</w:t>
      </w:r>
      <w:r>
        <w:rPr>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color w:val="auto"/>
          <w:spacing w:val="6"/>
          <w:szCs w:val="21"/>
        </w:rPr>
      </w:pPr>
      <w:r>
        <w:rPr>
          <w:color w:val="auto"/>
          <w:spacing w:val="6"/>
          <w:szCs w:val="21"/>
        </w:rPr>
        <w:t>本单位对上述声明的真实性负责。如有虚假，将依法承担相应责任。</w:t>
      </w:r>
    </w:p>
    <w:p>
      <w:pPr>
        <w:spacing w:line="588" w:lineRule="exact"/>
        <w:ind w:firstLine="444" w:firstLineChars="200"/>
        <w:rPr>
          <w:color w:val="auto"/>
          <w:spacing w:val="6"/>
          <w:szCs w:val="21"/>
        </w:rPr>
      </w:pPr>
    </w:p>
    <w:p>
      <w:pPr>
        <w:spacing w:line="588" w:lineRule="exact"/>
        <w:ind w:firstLine="444" w:firstLineChars="200"/>
        <w:rPr>
          <w:color w:val="auto"/>
          <w:spacing w:val="6"/>
          <w:szCs w:val="21"/>
        </w:rPr>
      </w:pPr>
    </w:p>
    <w:p>
      <w:pPr>
        <w:tabs>
          <w:tab w:val="left" w:pos="4860"/>
        </w:tabs>
        <w:spacing w:line="588" w:lineRule="exact"/>
        <w:ind w:right="1560" w:firstLine="444" w:firstLineChars="200"/>
        <w:jc w:val="center"/>
        <w:rPr>
          <w:color w:val="auto"/>
          <w:spacing w:val="6"/>
          <w:szCs w:val="21"/>
        </w:rPr>
      </w:pPr>
      <w:r>
        <w:rPr>
          <w:rFonts w:hint="eastAsia"/>
          <w:color w:val="auto"/>
          <w:spacing w:val="6"/>
          <w:szCs w:val="21"/>
        </w:rPr>
        <w:t xml:space="preserve">                       </w:t>
      </w:r>
      <w:r>
        <w:rPr>
          <w:color w:val="auto"/>
          <w:spacing w:val="6"/>
          <w:szCs w:val="21"/>
        </w:rPr>
        <w:t>单位名称（盖章）：</w:t>
      </w:r>
    </w:p>
    <w:p>
      <w:pPr>
        <w:tabs>
          <w:tab w:val="left" w:pos="4860"/>
        </w:tabs>
        <w:spacing w:line="588" w:lineRule="exact"/>
        <w:ind w:right="1560" w:firstLine="444" w:firstLineChars="200"/>
        <w:jc w:val="center"/>
        <w:rPr>
          <w:color w:val="auto"/>
          <w:spacing w:val="6"/>
          <w:szCs w:val="21"/>
        </w:rPr>
      </w:pPr>
      <w:r>
        <w:rPr>
          <w:rFonts w:hint="eastAsia"/>
          <w:color w:val="auto"/>
          <w:spacing w:val="6"/>
          <w:szCs w:val="21"/>
        </w:rPr>
        <w:t xml:space="preserve">               </w:t>
      </w:r>
      <w:r>
        <w:rPr>
          <w:color w:val="auto"/>
          <w:spacing w:val="6"/>
          <w:szCs w:val="21"/>
        </w:rPr>
        <w:t>日</w:t>
      </w:r>
      <w:r>
        <w:rPr>
          <w:rFonts w:hint="eastAsia"/>
          <w:color w:val="auto"/>
          <w:spacing w:val="6"/>
          <w:szCs w:val="21"/>
        </w:rPr>
        <w:t xml:space="preserve">    </w:t>
      </w:r>
      <w:r>
        <w:rPr>
          <w:color w:val="auto"/>
          <w:spacing w:val="6"/>
          <w:szCs w:val="21"/>
        </w:rPr>
        <w:t>期：</w:t>
      </w:r>
    </w:p>
    <w:p>
      <w:pPr>
        <w:pStyle w:val="74"/>
        <w:rPr>
          <w:color w:val="auto"/>
          <w:spacing w:val="6"/>
          <w:sz w:val="24"/>
        </w:rPr>
      </w:pPr>
    </w:p>
    <w:p>
      <w:pPr>
        <w:pStyle w:val="74"/>
        <w:rPr>
          <w:color w:val="auto"/>
          <w:spacing w:val="6"/>
          <w:sz w:val="24"/>
        </w:rPr>
      </w:pPr>
    </w:p>
    <w:p>
      <w:pPr>
        <w:pStyle w:val="74"/>
        <w:rPr>
          <w:color w:val="auto"/>
          <w:spacing w:val="6"/>
          <w:sz w:val="24"/>
        </w:rPr>
      </w:pPr>
    </w:p>
    <w:p>
      <w:pPr>
        <w:pStyle w:val="74"/>
        <w:rPr>
          <w:color w:val="auto"/>
          <w:spacing w:val="6"/>
          <w:sz w:val="24"/>
        </w:rPr>
      </w:pPr>
    </w:p>
    <w:p>
      <w:pPr>
        <w:pStyle w:val="74"/>
        <w:rPr>
          <w:color w:val="auto"/>
          <w:spacing w:val="6"/>
          <w:sz w:val="24"/>
        </w:rPr>
      </w:pPr>
    </w:p>
    <w:p>
      <w:pPr>
        <w:pStyle w:val="74"/>
        <w:rPr>
          <w:color w:val="auto"/>
          <w:spacing w:val="6"/>
          <w:sz w:val="24"/>
        </w:rPr>
      </w:pPr>
    </w:p>
    <w:p>
      <w:pPr>
        <w:pStyle w:val="74"/>
        <w:rPr>
          <w:color w:val="auto"/>
          <w:spacing w:val="6"/>
          <w:sz w:val="24"/>
        </w:rPr>
      </w:pPr>
    </w:p>
    <w:p>
      <w:pPr>
        <w:rPr>
          <w:color w:val="auto"/>
          <w:sz w:val="24"/>
        </w:rPr>
      </w:pPr>
    </w:p>
    <w:p>
      <w:pPr>
        <w:rPr>
          <w:color w:val="auto"/>
        </w:rPr>
      </w:pPr>
      <w:bookmarkStart w:id="314" w:name="_Toc12969"/>
      <w:r>
        <w:rPr>
          <w:color w:val="auto"/>
        </w:rPr>
        <w:t>享受政府采购支持政策的残疾人福利性单位应当同时满足以下条件：</w:t>
      </w:r>
      <w:bookmarkEnd w:id="314"/>
    </w:p>
    <w:p>
      <w:pPr>
        <w:rPr>
          <w:color w:val="auto"/>
        </w:rPr>
      </w:pPr>
      <w:bookmarkStart w:id="315" w:name="_Toc25652"/>
      <w:r>
        <w:rPr>
          <w:color w:val="auto"/>
        </w:rPr>
        <w:t>（一）安置的残疾人占本单位在职职工人数的比例不低于25%（含25%），并且安置的残疾人人数不少于10人（含10人）；</w:t>
      </w:r>
      <w:bookmarkEnd w:id="315"/>
    </w:p>
    <w:p>
      <w:pPr>
        <w:rPr>
          <w:color w:val="auto"/>
        </w:rPr>
      </w:pPr>
      <w:bookmarkStart w:id="316" w:name="_Toc9051"/>
      <w:r>
        <w:rPr>
          <w:color w:val="auto"/>
        </w:rPr>
        <w:t>（二）依法与安置的每位残疾人签订了一年以上（含一年）的劳动合同或服务协议；</w:t>
      </w:r>
      <w:bookmarkEnd w:id="316"/>
    </w:p>
    <w:p>
      <w:pPr>
        <w:rPr>
          <w:color w:val="auto"/>
        </w:rPr>
      </w:pPr>
      <w:bookmarkStart w:id="317" w:name="_Toc16065"/>
      <w:r>
        <w:rPr>
          <w:color w:val="auto"/>
        </w:rPr>
        <w:t>（三）为安置的每位残疾人按月足额缴纳了基本养老保险、基本医疗保险、失业保险、工伤保险和生育保险等社会保险费；</w:t>
      </w:r>
      <w:bookmarkEnd w:id="317"/>
    </w:p>
    <w:p>
      <w:pPr>
        <w:rPr>
          <w:color w:val="auto"/>
        </w:rPr>
      </w:pPr>
      <w:bookmarkStart w:id="318" w:name="_Toc9585"/>
      <w:r>
        <w:rPr>
          <w:color w:val="auto"/>
        </w:rPr>
        <w:t>（四）通过银行等金融机构向安置的每位残疾人，按月支付了不低于单位所在区县适用的经省级人民政府批准的月最低工资标准的工资；</w:t>
      </w:r>
      <w:bookmarkEnd w:id="318"/>
    </w:p>
    <w:p>
      <w:pPr>
        <w:rPr>
          <w:color w:val="auto"/>
        </w:rPr>
      </w:pPr>
      <w:bookmarkStart w:id="319" w:name="_Toc15466"/>
      <w:r>
        <w:rPr>
          <w:color w:val="auto"/>
        </w:rPr>
        <w:t>（五）提供本单位制造的货物、承担的工程或者服务（以下简称产品），或者提供其他残疾人福利性单位制造的货物（不包括使用非残疾人福利性单位注册商标的货物）。</w:t>
      </w:r>
      <w:bookmarkEnd w:id="319"/>
    </w:p>
    <w:p>
      <w:pPr>
        <w:rPr>
          <w:color w:val="auto"/>
          <w:sz w:val="24"/>
          <w:szCs w:val="44"/>
        </w:rPr>
      </w:pPr>
      <w:bookmarkStart w:id="320" w:name="_Toc30032"/>
      <w:r>
        <w:rPr>
          <w:color w:val="auto"/>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bookmarkEnd w:id="320"/>
    </w:p>
    <w:p>
      <w:pPr>
        <w:pStyle w:val="4"/>
        <w:spacing w:before="0" w:after="0" w:line="360" w:lineRule="auto"/>
        <w:jc w:val="center"/>
        <w:rPr>
          <w:rFonts w:ascii="宋体" w:hAnsi="宋体" w:cs="宋体"/>
          <w:color w:val="auto"/>
          <w:sz w:val="18"/>
          <w:szCs w:val="18"/>
        </w:rPr>
      </w:pPr>
    </w:p>
    <w:p>
      <w:pPr>
        <w:pStyle w:val="4"/>
        <w:spacing w:before="0" w:after="0" w:line="360" w:lineRule="auto"/>
        <w:jc w:val="center"/>
        <w:rPr>
          <w:rFonts w:ascii="宋体" w:hAnsi="宋体" w:cs="宋体"/>
          <w:color w:val="auto"/>
          <w:sz w:val="18"/>
          <w:szCs w:val="18"/>
        </w:rPr>
      </w:pPr>
    </w:p>
    <w:p>
      <w:pPr>
        <w:rPr>
          <w:rFonts w:ascii="宋体" w:hAnsi="宋体" w:cs="宋体"/>
          <w:color w:val="auto"/>
          <w:sz w:val="18"/>
          <w:szCs w:val="18"/>
        </w:rPr>
      </w:pPr>
    </w:p>
    <w:sectPr>
      <w:headerReference r:id="rId13" w:type="default"/>
      <w:footerReference r:id="rId14" w:type="default"/>
      <w:pgSz w:w="11907" w:h="16840"/>
      <w:pgMar w:top="1276" w:right="1474" w:bottom="1242" w:left="1474"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00"/>
    <w:family w:val="swiss"/>
    <w:pitch w:val="default"/>
    <w:sig w:usb0="00000000" w:usb1="00000000" w:usb2="00000000" w:usb3="00000000" w:csb0="00040000" w:csb1="00000000"/>
  </w:font>
  <w:font w:name="楷体_GB2312">
    <w:altName w:val="楷体"/>
    <w:panose1 w:val="00000000000000000000"/>
    <w:charset w:val="00"/>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42</w:t>
    </w:r>
    <w:r>
      <w:rPr>
        <w:lang w:val="zh-CN"/>
      </w:rP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4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lPy1MoBAACaAwAADgAAAAAAAAABACAAAAAeAQAAZHJzL2Uyb0Rv&#10;Yy54bWxQSwUGAAAAAAYABgBZAQAAWg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21</w:t>
                          </w:r>
                          <w:r>
                            <w:fldChar w:fldCharType="end"/>
                          </w:r>
                        </w:p>
                      </w:txbxContent>
                    </wps:txbx>
                    <wps:bodyPr wrap="none" lIns="0" tIns="0" rIns="0" bIns="0" upright="1">
                      <a:spAutoFit/>
                    </wps:bodyPr>
                  </wps:wsp>
                </a:graphicData>
              </a:graphic>
            </wp:anchor>
          </w:drawing>
        </mc:Choice>
        <mc:Fallback>
          <w:pict>
            <v:shape id="文本框 4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6K7cXsoBAACaAwAADgAAAAAAAAABACAAAAAeAQAAZHJzL2Uyb0Rv&#10;Yy54bWxQSwUGAAAAAAYABgBZAQAAWg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21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jc w:val="center"/>
                          </w:pPr>
                        </w:p>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kyR6ckBAACa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Jc&#10;ZX/6ADW23QdsTMM7P+TeKQ+YzLIHFW1+oyCCdXT3fHVXDomI/NF6tV5XWBJYmw+Iwx4+DxHSe+kt&#10;yUFDI15fcZWfPkIaW+eWPM35O20M5nlt3D8JxMwZlrmPHHOUhv0wEd/79ox6erz5hjpcdErMB4fG&#10;5iWZgzgH+zk4hqgPHVJbFl4Qbo8JSRRuecIIOw3GKyvqpvXKO/H4XLoefqnt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WTJHpyQEAAJoDAAAOAAAAAAAAAAEAIAAAAB4BAABkcnMvZTJvRG9j&#10;LnhtbFBLBQYAAAAABgAGAFkBAABZBQAAAAA=&#10;">
              <v:fill on="f" focussize="0,0"/>
              <v:stroke on="f"/>
              <v:imagedata o:title=""/>
              <o:lock v:ext="edit" aspectratio="f"/>
              <v:textbox inset="0mm,0mm,0mm,0mm" style="mso-fit-shape-to-text:t;">
                <w:txbxContent>
                  <w:p>
                    <w:pPr>
                      <w:pStyle w:val="25"/>
                      <w:jc w:val="center"/>
                    </w:pPr>
                  </w:p>
                  <w:p/>
                </w:txbxContent>
              </v:textbox>
            </v:shape>
          </w:pict>
        </mc:Fallback>
      </mc:AlternateContent>
    </w:r>
  </w:p>
  <w:p>
    <w:pPr>
      <w:pStyle w:val="2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23</w:t>
                          </w:r>
                          <w:r>
                            <w:fldChar w:fldCharType="end"/>
                          </w:r>
                        </w:p>
                      </w:txbxContent>
                    </wps:txbx>
                    <wps:bodyPr wrap="none" lIns="0" tIns="0" rIns="0" bIns="0" upright="1">
                      <a:spAutoFit/>
                    </wps:bodyPr>
                  </wps:wsp>
                </a:graphicData>
              </a:graphic>
            </wp:anchor>
          </w:drawing>
        </mc:Choice>
        <mc:Fallback>
          <w:pict>
            <v:shape id="文本框 4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qDSC8oBAACaAwAADgAAAAAAAAABACAAAAAeAQAAZHJzL2Uyb0Rv&#10;Yy54bWxQSwUGAAAAAAYABgBZAQAAWg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23</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jc w:val="center"/>
                          </w:pPr>
                        </w:p>
                        <w:p/>
                      </w:txbxContent>
                    </wps:txbx>
                    <wps:bodyPr wrap="none" lIns="0" tIns="0" rIns="0" bIns="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hSlJ/yQEAAJoDAAAOAAAAAAAAAAEAIAAAAB4BAABkcnMvZTJvRG9j&#10;LnhtbFBLBQYAAAAABgAGAFkBAABZBQAAAAA=&#10;">
              <v:fill on="f" focussize="0,0"/>
              <v:stroke on="f"/>
              <v:imagedata o:title=""/>
              <o:lock v:ext="edit" aspectratio="f"/>
              <v:textbox inset="0mm,0mm,0mm,0mm" style="mso-fit-shape-to-text:t;">
                <w:txbxContent>
                  <w:p>
                    <w:pPr>
                      <w:pStyle w:val="25"/>
                      <w:jc w:val="center"/>
                    </w:pPr>
                  </w:p>
                  <w:p/>
                </w:txbxContent>
              </v:textbox>
            </v:shape>
          </w:pict>
        </mc:Fallback>
      </mc:AlternateContent>
    </w:r>
  </w:p>
  <w:p>
    <w:pPr>
      <w:pStyle w:val="2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5"/>
                          </w:pPr>
                          <w:r>
                            <w:fldChar w:fldCharType="begin"/>
                          </w:r>
                          <w:r>
                            <w:instrText xml:space="preserve"> PAGE  \* MERGEFORMAT </w:instrText>
                          </w:r>
                          <w:r>
                            <w:fldChar w:fldCharType="separate"/>
                          </w:r>
                          <w:r>
                            <w:t>46</w:t>
                          </w:r>
                          <w:r>
                            <w:fldChar w:fldCharType="end"/>
                          </w:r>
                        </w:p>
                      </w:txbxContent>
                    </wps:txbx>
                    <wps:bodyPr wrap="none" lIns="0" tIns="0" rIns="0" bIns="0">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IPoQscBAACcAwAADgAAAAAAAAABACAAAAAeAQAAZHJzL2Uyb0RvYy54&#10;bWxQSwUGAAAAAAYABgBZAQAAVw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46</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5"/>
                            <w:jc w:val="center"/>
                          </w:pPr>
                        </w:p>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5yUGyscBAACcAwAADgAAAAAAAAABACAAAAAeAQAAZHJzL2Uyb0RvYy54&#10;bWxQSwUGAAAAAAYABgBZAQAAVwUAAAAA&#10;">
              <v:fill on="f" focussize="0,0"/>
              <v:stroke on="f"/>
              <v:imagedata o:title=""/>
              <o:lock v:ext="edit" aspectratio="f"/>
              <v:textbox inset="0mm,0mm,0mm,0mm" style="mso-fit-shape-to-text:t;">
                <w:txbxContent>
                  <w:p>
                    <w:pPr>
                      <w:pStyle w:val="25"/>
                      <w:jc w:val="center"/>
                    </w:pPr>
                  </w:p>
                  <w:p/>
                </w:txbxContent>
              </v:textbox>
            </v:shape>
          </w:pict>
        </mc:Fallback>
      </mc:AlternateContent>
    </w:r>
  </w:p>
  <w:p>
    <w:pPr>
      <w:pStyle w:val="2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47</w:t>
                          </w:r>
                          <w:r>
                            <w:fldChar w:fldCharType="end"/>
                          </w:r>
                        </w:p>
                      </w:txbxContent>
                    </wps:txbx>
                    <wps:bodyPr wrap="none" lIns="0" tIns="0" rIns="0" bIns="0" upright="1">
                      <a:spAutoFit/>
                    </wps:bodyPr>
                  </wps:wsp>
                </a:graphicData>
              </a:graphic>
            </wp:anchor>
          </w:drawing>
        </mc:Choice>
        <mc:Fallback>
          <w:pict>
            <v:shape id="文本框 47"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3ZcNyQEAAJoDAAAOAAAAAAAAAAEAIAAAAB4BAABkcnMvZTJvRG9j&#10;LnhtbFBLBQYAAAAABgAGAFkBAABZBQ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47</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jc w:val="center"/>
                          </w:pPr>
                        </w:p>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xNskBAACa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y&#10;de5PH6DGtIeAiWm48wNuzewHdGbZg4o2f1EQwTh293ztrhwSEfnRerVeVxgSGJsviM8en4cI6a30&#10;lmSjoRHHV7rKT+8hjalzSq7m/L02pozQuL8ciJk9LHMfOWYrDfthErT37Rn19Dj5hjpcdErMO4eN&#10;zUsyG3E29rNxDFEfOqS2LLwg3B4TkijccoURdiqMIyvqpvXKO/HnvWQ9/l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qv7E2yQEAAJoDAAAOAAAAAAAAAAEAIAAAAB4BAABkcnMvZTJvRG9j&#10;LnhtbFBLBQYAAAAABgAGAFkBAABZBQAAAAA=&#10;">
              <v:fill on="f" focussize="0,0"/>
              <v:stroke on="f"/>
              <v:imagedata o:title=""/>
              <o:lock v:ext="edit" aspectratio="f"/>
              <v:textbox inset="0mm,0mm,0mm,0mm" style="mso-fit-shape-to-text:t;">
                <w:txbxContent>
                  <w:p>
                    <w:pPr>
                      <w:pStyle w:val="25"/>
                      <w:jc w:val="center"/>
                    </w:pPr>
                  </w:p>
                  <w:p/>
                </w:txbxContent>
              </v:textbox>
            </v:shape>
          </w:pict>
        </mc:Fallback>
      </mc:AlternateContent>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BC2F8"/>
    <w:multiLevelType w:val="singleLevel"/>
    <w:tmpl w:val="97BBC2F8"/>
    <w:lvl w:ilvl="0" w:tentative="0">
      <w:start w:val="1"/>
      <w:numFmt w:val="decimal"/>
      <w:lvlText w:val="%1."/>
      <w:lvlJc w:val="left"/>
      <w:pPr>
        <w:ind w:left="425" w:hanging="425"/>
      </w:pPr>
      <w:rPr>
        <w:rFonts w:hint="default"/>
      </w:rPr>
    </w:lvl>
  </w:abstractNum>
  <w:abstractNum w:abstractNumId="1">
    <w:nsid w:val="A337256B"/>
    <w:multiLevelType w:val="singleLevel"/>
    <w:tmpl w:val="A337256B"/>
    <w:lvl w:ilvl="0" w:tentative="0">
      <w:start w:val="1"/>
      <w:numFmt w:val="decimal"/>
      <w:lvlText w:val="%1."/>
      <w:lvlJc w:val="left"/>
      <w:pPr>
        <w:ind w:left="425" w:hanging="425"/>
      </w:pPr>
      <w:rPr>
        <w:rFonts w:hint="default"/>
      </w:rPr>
    </w:lvl>
  </w:abstractNum>
  <w:abstractNum w:abstractNumId="2">
    <w:nsid w:val="ACCE5455"/>
    <w:multiLevelType w:val="singleLevel"/>
    <w:tmpl w:val="ACCE5455"/>
    <w:lvl w:ilvl="0" w:tentative="0">
      <w:start w:val="1"/>
      <w:numFmt w:val="decimal"/>
      <w:lvlText w:val="%1."/>
      <w:lvlJc w:val="left"/>
      <w:pPr>
        <w:ind w:left="425" w:hanging="425"/>
      </w:pPr>
      <w:rPr>
        <w:rFonts w:hint="default"/>
      </w:rPr>
    </w:lvl>
  </w:abstractNum>
  <w:abstractNum w:abstractNumId="3">
    <w:nsid w:val="C57ED7E3"/>
    <w:multiLevelType w:val="singleLevel"/>
    <w:tmpl w:val="C57ED7E3"/>
    <w:lvl w:ilvl="0" w:tentative="0">
      <w:start w:val="1"/>
      <w:numFmt w:val="decimal"/>
      <w:lvlText w:val="(%1)"/>
      <w:lvlJc w:val="left"/>
      <w:pPr>
        <w:ind w:left="425" w:hanging="425"/>
      </w:pPr>
      <w:rPr>
        <w:rFonts w:hint="default"/>
      </w:rPr>
    </w:lvl>
  </w:abstractNum>
  <w:abstractNum w:abstractNumId="4">
    <w:nsid w:val="D684109A"/>
    <w:multiLevelType w:val="multilevel"/>
    <w:tmpl w:val="D684109A"/>
    <w:lvl w:ilvl="0" w:tentative="0">
      <w:start w:val="1"/>
      <w:numFmt w:val="decimal"/>
      <w:lvlText w:val="（%1）"/>
      <w:lvlJc w:val="left"/>
      <w:pPr>
        <w:tabs>
          <w:tab w:val="left" w:pos="715"/>
        </w:tabs>
        <w:ind w:left="715" w:hanging="505"/>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5">
    <w:nsid w:val="FEFB83F7"/>
    <w:multiLevelType w:val="singleLevel"/>
    <w:tmpl w:val="FEFB83F7"/>
    <w:lvl w:ilvl="0" w:tentative="0">
      <w:start w:val="6"/>
      <w:numFmt w:val="chineseCounting"/>
      <w:suff w:val="space"/>
      <w:lvlText w:val="第%1章"/>
      <w:lvlJc w:val="left"/>
      <w:rPr>
        <w:rFonts w:hint="eastAsia"/>
      </w:rPr>
    </w:lvl>
  </w:abstractNum>
  <w:abstractNum w:abstractNumId="6">
    <w:nsid w:val="0304E995"/>
    <w:multiLevelType w:val="singleLevel"/>
    <w:tmpl w:val="0304E995"/>
    <w:lvl w:ilvl="0" w:tentative="0">
      <w:start w:val="1"/>
      <w:numFmt w:val="decimal"/>
      <w:lvlText w:val="%1."/>
      <w:lvlJc w:val="left"/>
      <w:pPr>
        <w:ind w:left="425" w:hanging="425"/>
      </w:pPr>
      <w:rPr>
        <w:rFonts w:hint="default"/>
      </w:rPr>
    </w:lvl>
  </w:abstractNum>
  <w:abstractNum w:abstractNumId="7">
    <w:nsid w:val="06410482"/>
    <w:multiLevelType w:val="singleLevel"/>
    <w:tmpl w:val="06410482"/>
    <w:lvl w:ilvl="0" w:tentative="0">
      <w:start w:val="1"/>
      <w:numFmt w:val="decimal"/>
      <w:lvlText w:val="%1."/>
      <w:lvlJc w:val="left"/>
      <w:pPr>
        <w:ind w:left="425" w:hanging="425"/>
      </w:pPr>
      <w:rPr>
        <w:rFonts w:hint="default" w:ascii="宋体" w:hAnsi="宋体" w:eastAsia="宋体" w:cs="宋体"/>
        <w:color w:val="auto"/>
        <w:sz w:val="21"/>
        <w:szCs w:val="21"/>
      </w:rPr>
    </w:lvl>
  </w:abstractNum>
  <w:abstractNum w:abstractNumId="8">
    <w:nsid w:val="1654C7ED"/>
    <w:multiLevelType w:val="singleLevel"/>
    <w:tmpl w:val="1654C7ED"/>
    <w:lvl w:ilvl="0" w:tentative="0">
      <w:start w:val="1"/>
      <w:numFmt w:val="decimal"/>
      <w:lvlText w:val="%1."/>
      <w:lvlJc w:val="left"/>
      <w:pPr>
        <w:ind w:left="425" w:hanging="425"/>
      </w:pPr>
      <w:rPr>
        <w:rFonts w:hint="default"/>
      </w:rPr>
    </w:lvl>
  </w:abstractNum>
  <w:abstractNum w:abstractNumId="9">
    <w:nsid w:val="2238B4E0"/>
    <w:multiLevelType w:val="singleLevel"/>
    <w:tmpl w:val="2238B4E0"/>
    <w:lvl w:ilvl="0" w:tentative="0">
      <w:start w:val="1"/>
      <w:numFmt w:val="decimal"/>
      <w:lvlText w:val="%1."/>
      <w:lvlJc w:val="left"/>
      <w:pPr>
        <w:ind w:left="425" w:hanging="425"/>
      </w:pPr>
      <w:rPr>
        <w:rFonts w:hint="default"/>
      </w:rPr>
    </w:lvl>
  </w:abstractNum>
  <w:abstractNum w:abstractNumId="10">
    <w:nsid w:val="24B79058"/>
    <w:multiLevelType w:val="singleLevel"/>
    <w:tmpl w:val="24B79058"/>
    <w:lvl w:ilvl="0" w:tentative="0">
      <w:start w:val="1"/>
      <w:numFmt w:val="decimal"/>
      <w:lvlText w:val="%1."/>
      <w:lvlJc w:val="left"/>
      <w:pPr>
        <w:ind w:left="425" w:hanging="425"/>
      </w:pPr>
      <w:rPr>
        <w:rFonts w:hint="default"/>
      </w:rPr>
    </w:lvl>
  </w:abstractNum>
  <w:abstractNum w:abstractNumId="11">
    <w:nsid w:val="2D301059"/>
    <w:multiLevelType w:val="singleLevel"/>
    <w:tmpl w:val="2D301059"/>
    <w:lvl w:ilvl="0" w:tentative="0">
      <w:start w:val="1"/>
      <w:numFmt w:val="chineseCounting"/>
      <w:suff w:val="nothing"/>
      <w:lvlText w:val="%1、"/>
      <w:lvlJc w:val="left"/>
      <w:pPr>
        <w:ind w:left="0" w:firstLine="420"/>
      </w:pPr>
      <w:rPr>
        <w:rFonts w:hint="eastAsia"/>
      </w:rPr>
    </w:lvl>
  </w:abstractNum>
  <w:abstractNum w:abstractNumId="12">
    <w:nsid w:val="3C2E6DAC"/>
    <w:multiLevelType w:val="singleLevel"/>
    <w:tmpl w:val="3C2E6DAC"/>
    <w:lvl w:ilvl="0" w:tentative="0">
      <w:start w:val="1"/>
      <w:numFmt w:val="decimal"/>
      <w:lvlText w:val="%1."/>
      <w:lvlJc w:val="left"/>
      <w:pPr>
        <w:ind w:left="425" w:hanging="425"/>
      </w:pPr>
      <w:rPr>
        <w:rFonts w:hint="default"/>
      </w:rPr>
    </w:lvl>
  </w:abstractNum>
  <w:abstractNum w:abstractNumId="13">
    <w:nsid w:val="4F4C7801"/>
    <w:multiLevelType w:val="singleLevel"/>
    <w:tmpl w:val="4F4C7801"/>
    <w:lvl w:ilvl="0" w:tentative="0">
      <w:start w:val="6"/>
      <w:numFmt w:val="chineseCounting"/>
      <w:suff w:val="nothing"/>
      <w:lvlText w:val="%1、"/>
      <w:lvlJc w:val="left"/>
      <w:rPr>
        <w:rFonts w:hint="eastAsia"/>
      </w:rPr>
    </w:lvl>
  </w:abstractNum>
  <w:abstractNum w:abstractNumId="14">
    <w:nsid w:val="6573C479"/>
    <w:multiLevelType w:val="singleLevel"/>
    <w:tmpl w:val="6573C479"/>
    <w:lvl w:ilvl="0" w:tentative="0">
      <w:start w:val="1"/>
      <w:numFmt w:val="decimal"/>
      <w:lvlText w:val="%1."/>
      <w:lvlJc w:val="left"/>
      <w:pPr>
        <w:ind w:left="425" w:hanging="425"/>
      </w:pPr>
      <w:rPr>
        <w:rFonts w:hint="default"/>
      </w:rPr>
    </w:lvl>
  </w:abstractNum>
  <w:num w:numId="1">
    <w:abstractNumId w:val="11"/>
  </w:num>
  <w:num w:numId="2">
    <w:abstractNumId w:val="7"/>
  </w:num>
  <w:num w:numId="3">
    <w:abstractNumId w:val="2"/>
  </w:num>
  <w:num w:numId="4">
    <w:abstractNumId w:val="14"/>
  </w:num>
  <w:num w:numId="5">
    <w:abstractNumId w:val="9"/>
  </w:num>
  <w:num w:numId="6">
    <w:abstractNumId w:val="8"/>
  </w:num>
  <w:num w:numId="7">
    <w:abstractNumId w:val="3"/>
  </w:num>
  <w:num w:numId="8">
    <w:abstractNumId w:val="0"/>
  </w:num>
  <w:num w:numId="9">
    <w:abstractNumId w:val="12"/>
  </w:num>
  <w:num w:numId="10">
    <w:abstractNumId w:val="6"/>
  </w:num>
  <w:num w:numId="11">
    <w:abstractNumId w:val="10"/>
  </w:num>
  <w:num w:numId="12">
    <w:abstractNumId w:val="13"/>
  </w:num>
  <w:num w:numId="13">
    <w:abstractNumId w:val="1"/>
  </w:num>
  <w:num w:numId="14">
    <w:abstractNumId w:val="5"/>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fy">
    <w15:presenceInfo w15:providerId="None" w15:userId="mfy"/>
  </w15:person>
  <w15:person w15:author="Mawzh">
    <w15:presenceInfo w15:providerId="None" w15:userId="Mawz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NzJkYzdiNjlhOWM1NTg5ZDY1MTk0ZWQ2ODg1YjMifQ=="/>
  </w:docVars>
  <w:rsids>
    <w:rsidRoot w:val="001439E3"/>
    <w:rsid w:val="000018F6"/>
    <w:rsid w:val="00007555"/>
    <w:rsid w:val="00007C20"/>
    <w:rsid w:val="00007E5F"/>
    <w:rsid w:val="00012349"/>
    <w:rsid w:val="00012AEE"/>
    <w:rsid w:val="00012BF3"/>
    <w:rsid w:val="00012C9F"/>
    <w:rsid w:val="00013191"/>
    <w:rsid w:val="000152BD"/>
    <w:rsid w:val="00016E5B"/>
    <w:rsid w:val="00017ADD"/>
    <w:rsid w:val="0002373B"/>
    <w:rsid w:val="00024329"/>
    <w:rsid w:val="000256D8"/>
    <w:rsid w:val="00026B94"/>
    <w:rsid w:val="000271E7"/>
    <w:rsid w:val="00027255"/>
    <w:rsid w:val="000276D0"/>
    <w:rsid w:val="000279D7"/>
    <w:rsid w:val="00027B64"/>
    <w:rsid w:val="00030A43"/>
    <w:rsid w:val="000310B6"/>
    <w:rsid w:val="00031FDB"/>
    <w:rsid w:val="00033F5E"/>
    <w:rsid w:val="00041D53"/>
    <w:rsid w:val="0004351F"/>
    <w:rsid w:val="0004418C"/>
    <w:rsid w:val="00045734"/>
    <w:rsid w:val="000460B6"/>
    <w:rsid w:val="00046A9C"/>
    <w:rsid w:val="000479FF"/>
    <w:rsid w:val="00051AE2"/>
    <w:rsid w:val="0005301B"/>
    <w:rsid w:val="000540F4"/>
    <w:rsid w:val="0005509D"/>
    <w:rsid w:val="00056633"/>
    <w:rsid w:val="000568C4"/>
    <w:rsid w:val="000572B3"/>
    <w:rsid w:val="00057C7C"/>
    <w:rsid w:val="00060411"/>
    <w:rsid w:val="0006085B"/>
    <w:rsid w:val="0006493A"/>
    <w:rsid w:val="00065D58"/>
    <w:rsid w:val="00065FC4"/>
    <w:rsid w:val="000660AC"/>
    <w:rsid w:val="00066102"/>
    <w:rsid w:val="000704DD"/>
    <w:rsid w:val="00073814"/>
    <w:rsid w:val="00074067"/>
    <w:rsid w:val="00074B96"/>
    <w:rsid w:val="00076D74"/>
    <w:rsid w:val="00076D9F"/>
    <w:rsid w:val="000771F8"/>
    <w:rsid w:val="00080C31"/>
    <w:rsid w:val="00081328"/>
    <w:rsid w:val="000815A6"/>
    <w:rsid w:val="00081F25"/>
    <w:rsid w:val="000824AE"/>
    <w:rsid w:val="00083E1A"/>
    <w:rsid w:val="00084A00"/>
    <w:rsid w:val="00085239"/>
    <w:rsid w:val="00086FBB"/>
    <w:rsid w:val="0008743B"/>
    <w:rsid w:val="00091B01"/>
    <w:rsid w:val="00093C6D"/>
    <w:rsid w:val="0009619A"/>
    <w:rsid w:val="000A0D3B"/>
    <w:rsid w:val="000A253C"/>
    <w:rsid w:val="000A3965"/>
    <w:rsid w:val="000A3985"/>
    <w:rsid w:val="000A3B0D"/>
    <w:rsid w:val="000A40C6"/>
    <w:rsid w:val="000A4754"/>
    <w:rsid w:val="000A7433"/>
    <w:rsid w:val="000A74AD"/>
    <w:rsid w:val="000A796B"/>
    <w:rsid w:val="000B0334"/>
    <w:rsid w:val="000B0B05"/>
    <w:rsid w:val="000B0B8E"/>
    <w:rsid w:val="000B0D00"/>
    <w:rsid w:val="000B0DF4"/>
    <w:rsid w:val="000B1AC7"/>
    <w:rsid w:val="000B1DFC"/>
    <w:rsid w:val="000B3D29"/>
    <w:rsid w:val="000B5B96"/>
    <w:rsid w:val="000B794A"/>
    <w:rsid w:val="000C0DBC"/>
    <w:rsid w:val="000C16D5"/>
    <w:rsid w:val="000C5EC0"/>
    <w:rsid w:val="000C6496"/>
    <w:rsid w:val="000C74E8"/>
    <w:rsid w:val="000C76F6"/>
    <w:rsid w:val="000C7C45"/>
    <w:rsid w:val="000D03D2"/>
    <w:rsid w:val="000D06C1"/>
    <w:rsid w:val="000D06DD"/>
    <w:rsid w:val="000D074E"/>
    <w:rsid w:val="000D1716"/>
    <w:rsid w:val="000D3E4C"/>
    <w:rsid w:val="000D41A7"/>
    <w:rsid w:val="000D43DF"/>
    <w:rsid w:val="000D442A"/>
    <w:rsid w:val="000D5A6F"/>
    <w:rsid w:val="000D7001"/>
    <w:rsid w:val="000E02E9"/>
    <w:rsid w:val="000E28C4"/>
    <w:rsid w:val="000E339F"/>
    <w:rsid w:val="000E3FF9"/>
    <w:rsid w:val="000E4396"/>
    <w:rsid w:val="000F02DE"/>
    <w:rsid w:val="000F1862"/>
    <w:rsid w:val="000F25BB"/>
    <w:rsid w:val="000F2B61"/>
    <w:rsid w:val="000F3A18"/>
    <w:rsid w:val="000F432C"/>
    <w:rsid w:val="000F576E"/>
    <w:rsid w:val="000F664C"/>
    <w:rsid w:val="000F72AD"/>
    <w:rsid w:val="00101555"/>
    <w:rsid w:val="00101E31"/>
    <w:rsid w:val="001026FD"/>
    <w:rsid w:val="00103245"/>
    <w:rsid w:val="0010383D"/>
    <w:rsid w:val="0010556B"/>
    <w:rsid w:val="0011033E"/>
    <w:rsid w:val="001128F6"/>
    <w:rsid w:val="00112D3B"/>
    <w:rsid w:val="001138CE"/>
    <w:rsid w:val="0011512C"/>
    <w:rsid w:val="0011515B"/>
    <w:rsid w:val="00115A71"/>
    <w:rsid w:val="001169A0"/>
    <w:rsid w:val="001175DB"/>
    <w:rsid w:val="00120C9D"/>
    <w:rsid w:val="00120FF4"/>
    <w:rsid w:val="00122125"/>
    <w:rsid w:val="00123804"/>
    <w:rsid w:val="00124DF7"/>
    <w:rsid w:val="00124FE1"/>
    <w:rsid w:val="0012576B"/>
    <w:rsid w:val="00127E5A"/>
    <w:rsid w:val="001301B5"/>
    <w:rsid w:val="0013096D"/>
    <w:rsid w:val="001318FC"/>
    <w:rsid w:val="0013194A"/>
    <w:rsid w:val="0013241C"/>
    <w:rsid w:val="00133B7C"/>
    <w:rsid w:val="001362B9"/>
    <w:rsid w:val="00137501"/>
    <w:rsid w:val="001439E3"/>
    <w:rsid w:val="001440ED"/>
    <w:rsid w:val="00144532"/>
    <w:rsid w:val="00144621"/>
    <w:rsid w:val="001447D0"/>
    <w:rsid w:val="00145635"/>
    <w:rsid w:val="0015027D"/>
    <w:rsid w:val="00151365"/>
    <w:rsid w:val="00151612"/>
    <w:rsid w:val="00152DCB"/>
    <w:rsid w:val="00153EE1"/>
    <w:rsid w:val="001541B4"/>
    <w:rsid w:val="0015432B"/>
    <w:rsid w:val="00160224"/>
    <w:rsid w:val="001610FE"/>
    <w:rsid w:val="0016304F"/>
    <w:rsid w:val="00167419"/>
    <w:rsid w:val="00170223"/>
    <w:rsid w:val="00172432"/>
    <w:rsid w:val="00172516"/>
    <w:rsid w:val="00173BD2"/>
    <w:rsid w:val="00173E58"/>
    <w:rsid w:val="0017411F"/>
    <w:rsid w:val="00174AF7"/>
    <w:rsid w:val="001753FF"/>
    <w:rsid w:val="00176612"/>
    <w:rsid w:val="00177A7E"/>
    <w:rsid w:val="001808F6"/>
    <w:rsid w:val="00180F4E"/>
    <w:rsid w:val="00180F90"/>
    <w:rsid w:val="00183754"/>
    <w:rsid w:val="00184457"/>
    <w:rsid w:val="001845F0"/>
    <w:rsid w:val="00184D0F"/>
    <w:rsid w:val="00184F9A"/>
    <w:rsid w:val="001862BA"/>
    <w:rsid w:val="0018688D"/>
    <w:rsid w:val="00186F4E"/>
    <w:rsid w:val="001874BA"/>
    <w:rsid w:val="001904AB"/>
    <w:rsid w:val="00191903"/>
    <w:rsid w:val="00193198"/>
    <w:rsid w:val="001945CA"/>
    <w:rsid w:val="00197956"/>
    <w:rsid w:val="00197991"/>
    <w:rsid w:val="001A29A1"/>
    <w:rsid w:val="001A3082"/>
    <w:rsid w:val="001A36F1"/>
    <w:rsid w:val="001A58AC"/>
    <w:rsid w:val="001A765D"/>
    <w:rsid w:val="001A78ED"/>
    <w:rsid w:val="001A7B63"/>
    <w:rsid w:val="001B0677"/>
    <w:rsid w:val="001B0942"/>
    <w:rsid w:val="001B0C9C"/>
    <w:rsid w:val="001B1699"/>
    <w:rsid w:val="001B29B2"/>
    <w:rsid w:val="001B6A36"/>
    <w:rsid w:val="001B7CC3"/>
    <w:rsid w:val="001C37E4"/>
    <w:rsid w:val="001C5394"/>
    <w:rsid w:val="001C6618"/>
    <w:rsid w:val="001C6911"/>
    <w:rsid w:val="001D226F"/>
    <w:rsid w:val="001D34D0"/>
    <w:rsid w:val="001D545A"/>
    <w:rsid w:val="001D5ED4"/>
    <w:rsid w:val="001D74EE"/>
    <w:rsid w:val="001D764D"/>
    <w:rsid w:val="001E030C"/>
    <w:rsid w:val="001E0984"/>
    <w:rsid w:val="001E2B27"/>
    <w:rsid w:val="001E5FC5"/>
    <w:rsid w:val="001E7042"/>
    <w:rsid w:val="001F041C"/>
    <w:rsid w:val="001F062C"/>
    <w:rsid w:val="001F4C7C"/>
    <w:rsid w:val="001F4F06"/>
    <w:rsid w:val="001F60B3"/>
    <w:rsid w:val="001F60F0"/>
    <w:rsid w:val="001F670D"/>
    <w:rsid w:val="001F679D"/>
    <w:rsid w:val="001F78EC"/>
    <w:rsid w:val="001F7A6C"/>
    <w:rsid w:val="00200620"/>
    <w:rsid w:val="00200808"/>
    <w:rsid w:val="0020106F"/>
    <w:rsid w:val="002047C5"/>
    <w:rsid w:val="0020528F"/>
    <w:rsid w:val="00207898"/>
    <w:rsid w:val="00207960"/>
    <w:rsid w:val="00207983"/>
    <w:rsid w:val="0021092F"/>
    <w:rsid w:val="002111F5"/>
    <w:rsid w:val="00211449"/>
    <w:rsid w:val="0021304A"/>
    <w:rsid w:val="00214501"/>
    <w:rsid w:val="002150E7"/>
    <w:rsid w:val="00215D5C"/>
    <w:rsid w:val="00216895"/>
    <w:rsid w:val="00217978"/>
    <w:rsid w:val="00220740"/>
    <w:rsid w:val="00221AE0"/>
    <w:rsid w:val="00222AD4"/>
    <w:rsid w:val="00224C68"/>
    <w:rsid w:val="00230A77"/>
    <w:rsid w:val="00231F34"/>
    <w:rsid w:val="002322C1"/>
    <w:rsid w:val="00232CED"/>
    <w:rsid w:val="002363F8"/>
    <w:rsid w:val="0023688D"/>
    <w:rsid w:val="00236BBB"/>
    <w:rsid w:val="0023730C"/>
    <w:rsid w:val="002375DD"/>
    <w:rsid w:val="002405AE"/>
    <w:rsid w:val="00241FB9"/>
    <w:rsid w:val="002514F6"/>
    <w:rsid w:val="00251508"/>
    <w:rsid w:val="00251A5D"/>
    <w:rsid w:val="00251F7E"/>
    <w:rsid w:val="002521D9"/>
    <w:rsid w:val="00252BCD"/>
    <w:rsid w:val="0025587D"/>
    <w:rsid w:val="00256785"/>
    <w:rsid w:val="00256892"/>
    <w:rsid w:val="002568C3"/>
    <w:rsid w:val="00260985"/>
    <w:rsid w:val="002615CB"/>
    <w:rsid w:val="00262C52"/>
    <w:rsid w:val="00264886"/>
    <w:rsid w:val="0026526D"/>
    <w:rsid w:val="002653ED"/>
    <w:rsid w:val="00266542"/>
    <w:rsid w:val="0026723B"/>
    <w:rsid w:val="00267FF7"/>
    <w:rsid w:val="00272D08"/>
    <w:rsid w:val="00272D84"/>
    <w:rsid w:val="00273D49"/>
    <w:rsid w:val="00274181"/>
    <w:rsid w:val="00277823"/>
    <w:rsid w:val="0027787E"/>
    <w:rsid w:val="00277932"/>
    <w:rsid w:val="00277D7E"/>
    <w:rsid w:val="002802CD"/>
    <w:rsid w:val="002813CF"/>
    <w:rsid w:val="00281AB0"/>
    <w:rsid w:val="00281E91"/>
    <w:rsid w:val="0028217D"/>
    <w:rsid w:val="00282492"/>
    <w:rsid w:val="002826B2"/>
    <w:rsid w:val="00282ED1"/>
    <w:rsid w:val="00284691"/>
    <w:rsid w:val="00284DDC"/>
    <w:rsid w:val="002851BF"/>
    <w:rsid w:val="00286876"/>
    <w:rsid w:val="00287F94"/>
    <w:rsid w:val="00290E7A"/>
    <w:rsid w:val="00291263"/>
    <w:rsid w:val="0029146B"/>
    <w:rsid w:val="00292F58"/>
    <w:rsid w:val="00293446"/>
    <w:rsid w:val="00293AD9"/>
    <w:rsid w:val="002945ED"/>
    <w:rsid w:val="00295033"/>
    <w:rsid w:val="00295F10"/>
    <w:rsid w:val="00296C48"/>
    <w:rsid w:val="00296DCF"/>
    <w:rsid w:val="002A3109"/>
    <w:rsid w:val="002A447D"/>
    <w:rsid w:val="002A57B8"/>
    <w:rsid w:val="002A667D"/>
    <w:rsid w:val="002A7CCC"/>
    <w:rsid w:val="002B1FEF"/>
    <w:rsid w:val="002B235D"/>
    <w:rsid w:val="002B2781"/>
    <w:rsid w:val="002B30AF"/>
    <w:rsid w:val="002B3D12"/>
    <w:rsid w:val="002B6DB9"/>
    <w:rsid w:val="002B7CF6"/>
    <w:rsid w:val="002C2250"/>
    <w:rsid w:val="002C23B8"/>
    <w:rsid w:val="002C5151"/>
    <w:rsid w:val="002C56C5"/>
    <w:rsid w:val="002C5A5F"/>
    <w:rsid w:val="002C5C95"/>
    <w:rsid w:val="002D1AA5"/>
    <w:rsid w:val="002D2CBB"/>
    <w:rsid w:val="002D38B1"/>
    <w:rsid w:val="002D40E3"/>
    <w:rsid w:val="002D4916"/>
    <w:rsid w:val="002D5699"/>
    <w:rsid w:val="002D5930"/>
    <w:rsid w:val="002D7EAE"/>
    <w:rsid w:val="002D7F2F"/>
    <w:rsid w:val="002E0BC4"/>
    <w:rsid w:val="002E2759"/>
    <w:rsid w:val="002E2F07"/>
    <w:rsid w:val="002E3E0E"/>
    <w:rsid w:val="002E403B"/>
    <w:rsid w:val="002E45BD"/>
    <w:rsid w:val="002E5E0B"/>
    <w:rsid w:val="002E620C"/>
    <w:rsid w:val="002E7C7C"/>
    <w:rsid w:val="002F0A83"/>
    <w:rsid w:val="002F2B41"/>
    <w:rsid w:val="002F4748"/>
    <w:rsid w:val="002F4AFA"/>
    <w:rsid w:val="002F60AA"/>
    <w:rsid w:val="002F643A"/>
    <w:rsid w:val="002F6981"/>
    <w:rsid w:val="0030178B"/>
    <w:rsid w:val="003019A0"/>
    <w:rsid w:val="003034B6"/>
    <w:rsid w:val="0030395D"/>
    <w:rsid w:val="00303CF1"/>
    <w:rsid w:val="00303F77"/>
    <w:rsid w:val="0030638A"/>
    <w:rsid w:val="003069DB"/>
    <w:rsid w:val="00311469"/>
    <w:rsid w:val="00312462"/>
    <w:rsid w:val="00313052"/>
    <w:rsid w:val="003145C9"/>
    <w:rsid w:val="0031698E"/>
    <w:rsid w:val="0032127D"/>
    <w:rsid w:val="003221FD"/>
    <w:rsid w:val="003227DE"/>
    <w:rsid w:val="00324281"/>
    <w:rsid w:val="0032516D"/>
    <w:rsid w:val="00331114"/>
    <w:rsid w:val="003313A7"/>
    <w:rsid w:val="00331865"/>
    <w:rsid w:val="003334E5"/>
    <w:rsid w:val="003351B7"/>
    <w:rsid w:val="003369F1"/>
    <w:rsid w:val="00340E75"/>
    <w:rsid w:val="00341A1E"/>
    <w:rsid w:val="00342744"/>
    <w:rsid w:val="00344665"/>
    <w:rsid w:val="00346625"/>
    <w:rsid w:val="00347025"/>
    <w:rsid w:val="003475CD"/>
    <w:rsid w:val="00347FA7"/>
    <w:rsid w:val="003501C7"/>
    <w:rsid w:val="00350EA5"/>
    <w:rsid w:val="003523EA"/>
    <w:rsid w:val="00352508"/>
    <w:rsid w:val="00354198"/>
    <w:rsid w:val="00355CE9"/>
    <w:rsid w:val="00356486"/>
    <w:rsid w:val="00357708"/>
    <w:rsid w:val="00357C0B"/>
    <w:rsid w:val="0036096C"/>
    <w:rsid w:val="0036116F"/>
    <w:rsid w:val="00361D31"/>
    <w:rsid w:val="003620E0"/>
    <w:rsid w:val="003633E2"/>
    <w:rsid w:val="003637CC"/>
    <w:rsid w:val="00365364"/>
    <w:rsid w:val="00365555"/>
    <w:rsid w:val="0036649D"/>
    <w:rsid w:val="00366A29"/>
    <w:rsid w:val="003674BD"/>
    <w:rsid w:val="00367AE3"/>
    <w:rsid w:val="0037091D"/>
    <w:rsid w:val="003710EC"/>
    <w:rsid w:val="003714DC"/>
    <w:rsid w:val="00371E72"/>
    <w:rsid w:val="0037261D"/>
    <w:rsid w:val="00373253"/>
    <w:rsid w:val="003746C1"/>
    <w:rsid w:val="00375368"/>
    <w:rsid w:val="00375CA8"/>
    <w:rsid w:val="00375E95"/>
    <w:rsid w:val="00375EA2"/>
    <w:rsid w:val="003763EE"/>
    <w:rsid w:val="003775DD"/>
    <w:rsid w:val="00382A84"/>
    <w:rsid w:val="003831EC"/>
    <w:rsid w:val="0038398E"/>
    <w:rsid w:val="003839E7"/>
    <w:rsid w:val="00384447"/>
    <w:rsid w:val="003850D5"/>
    <w:rsid w:val="0038574B"/>
    <w:rsid w:val="00385AFE"/>
    <w:rsid w:val="003869D6"/>
    <w:rsid w:val="0039122B"/>
    <w:rsid w:val="00393AE4"/>
    <w:rsid w:val="00394438"/>
    <w:rsid w:val="00395739"/>
    <w:rsid w:val="00395889"/>
    <w:rsid w:val="00395B29"/>
    <w:rsid w:val="00396ED5"/>
    <w:rsid w:val="003A2651"/>
    <w:rsid w:val="003A26AB"/>
    <w:rsid w:val="003A5C6A"/>
    <w:rsid w:val="003A6FAF"/>
    <w:rsid w:val="003B2FAA"/>
    <w:rsid w:val="003B31CD"/>
    <w:rsid w:val="003B33CF"/>
    <w:rsid w:val="003B3F6B"/>
    <w:rsid w:val="003B476C"/>
    <w:rsid w:val="003B492F"/>
    <w:rsid w:val="003B4E05"/>
    <w:rsid w:val="003B4E4B"/>
    <w:rsid w:val="003B52A6"/>
    <w:rsid w:val="003B6691"/>
    <w:rsid w:val="003C03D0"/>
    <w:rsid w:val="003C04DF"/>
    <w:rsid w:val="003C1003"/>
    <w:rsid w:val="003C1E9C"/>
    <w:rsid w:val="003C245B"/>
    <w:rsid w:val="003C2F7E"/>
    <w:rsid w:val="003C345E"/>
    <w:rsid w:val="003C4454"/>
    <w:rsid w:val="003C559E"/>
    <w:rsid w:val="003C5622"/>
    <w:rsid w:val="003C7E14"/>
    <w:rsid w:val="003D01CC"/>
    <w:rsid w:val="003D12DE"/>
    <w:rsid w:val="003D1CFF"/>
    <w:rsid w:val="003D46D6"/>
    <w:rsid w:val="003D4E20"/>
    <w:rsid w:val="003D5C49"/>
    <w:rsid w:val="003E0DF6"/>
    <w:rsid w:val="003E2C81"/>
    <w:rsid w:val="003E2FD9"/>
    <w:rsid w:val="003E47DD"/>
    <w:rsid w:val="003E602A"/>
    <w:rsid w:val="003E6A2B"/>
    <w:rsid w:val="003E6E04"/>
    <w:rsid w:val="003F2712"/>
    <w:rsid w:val="003F31A3"/>
    <w:rsid w:val="003F3D07"/>
    <w:rsid w:val="003F4550"/>
    <w:rsid w:val="003F49AE"/>
    <w:rsid w:val="003F5748"/>
    <w:rsid w:val="003F641E"/>
    <w:rsid w:val="003F7149"/>
    <w:rsid w:val="003F7A3B"/>
    <w:rsid w:val="003F7FDD"/>
    <w:rsid w:val="00400886"/>
    <w:rsid w:val="004029FC"/>
    <w:rsid w:val="0040305E"/>
    <w:rsid w:val="00404BFB"/>
    <w:rsid w:val="00404EAB"/>
    <w:rsid w:val="00405B1A"/>
    <w:rsid w:val="0041008E"/>
    <w:rsid w:val="0041370D"/>
    <w:rsid w:val="00417D3C"/>
    <w:rsid w:val="00417FFD"/>
    <w:rsid w:val="004200DD"/>
    <w:rsid w:val="0042106E"/>
    <w:rsid w:val="00422982"/>
    <w:rsid w:val="00422B4B"/>
    <w:rsid w:val="00430E82"/>
    <w:rsid w:val="00431E42"/>
    <w:rsid w:val="00432088"/>
    <w:rsid w:val="004320D8"/>
    <w:rsid w:val="00433C2F"/>
    <w:rsid w:val="00434717"/>
    <w:rsid w:val="00434B58"/>
    <w:rsid w:val="00434DB7"/>
    <w:rsid w:val="004356B7"/>
    <w:rsid w:val="004364DD"/>
    <w:rsid w:val="00436E52"/>
    <w:rsid w:val="0043783E"/>
    <w:rsid w:val="0044041E"/>
    <w:rsid w:val="004416D1"/>
    <w:rsid w:val="00444F7A"/>
    <w:rsid w:val="00445A51"/>
    <w:rsid w:val="00447304"/>
    <w:rsid w:val="004478D1"/>
    <w:rsid w:val="004515D1"/>
    <w:rsid w:val="004543E0"/>
    <w:rsid w:val="00454654"/>
    <w:rsid w:val="004553FE"/>
    <w:rsid w:val="00456F6A"/>
    <w:rsid w:val="004571A2"/>
    <w:rsid w:val="00460546"/>
    <w:rsid w:val="00461416"/>
    <w:rsid w:val="00461678"/>
    <w:rsid w:val="004616EF"/>
    <w:rsid w:val="00461C1B"/>
    <w:rsid w:val="0046219F"/>
    <w:rsid w:val="004622BD"/>
    <w:rsid w:val="00462DBC"/>
    <w:rsid w:val="00463781"/>
    <w:rsid w:val="00464190"/>
    <w:rsid w:val="0046508B"/>
    <w:rsid w:val="00467068"/>
    <w:rsid w:val="0047013A"/>
    <w:rsid w:val="00470AF6"/>
    <w:rsid w:val="00470DB8"/>
    <w:rsid w:val="004742BE"/>
    <w:rsid w:val="0048019C"/>
    <w:rsid w:val="00481054"/>
    <w:rsid w:val="00481C5B"/>
    <w:rsid w:val="00482763"/>
    <w:rsid w:val="004844B6"/>
    <w:rsid w:val="0048460A"/>
    <w:rsid w:val="00484E56"/>
    <w:rsid w:val="0049163F"/>
    <w:rsid w:val="00492755"/>
    <w:rsid w:val="00492B48"/>
    <w:rsid w:val="004934EC"/>
    <w:rsid w:val="0049689A"/>
    <w:rsid w:val="004A0D8E"/>
    <w:rsid w:val="004A175D"/>
    <w:rsid w:val="004A346B"/>
    <w:rsid w:val="004A55F9"/>
    <w:rsid w:val="004A5912"/>
    <w:rsid w:val="004A5F61"/>
    <w:rsid w:val="004A7D75"/>
    <w:rsid w:val="004B0231"/>
    <w:rsid w:val="004B0638"/>
    <w:rsid w:val="004B08F8"/>
    <w:rsid w:val="004B13BB"/>
    <w:rsid w:val="004B1449"/>
    <w:rsid w:val="004B56BF"/>
    <w:rsid w:val="004B650D"/>
    <w:rsid w:val="004B71BF"/>
    <w:rsid w:val="004B71CF"/>
    <w:rsid w:val="004C2180"/>
    <w:rsid w:val="004C2CD3"/>
    <w:rsid w:val="004C3B48"/>
    <w:rsid w:val="004C4FB1"/>
    <w:rsid w:val="004C6CF0"/>
    <w:rsid w:val="004C7406"/>
    <w:rsid w:val="004D0AB1"/>
    <w:rsid w:val="004D1020"/>
    <w:rsid w:val="004D164A"/>
    <w:rsid w:val="004D355E"/>
    <w:rsid w:val="004D3D86"/>
    <w:rsid w:val="004D4215"/>
    <w:rsid w:val="004D6457"/>
    <w:rsid w:val="004D6899"/>
    <w:rsid w:val="004D75DD"/>
    <w:rsid w:val="004D7813"/>
    <w:rsid w:val="004E07D5"/>
    <w:rsid w:val="004E108F"/>
    <w:rsid w:val="004E3750"/>
    <w:rsid w:val="004E3FDA"/>
    <w:rsid w:val="004E622F"/>
    <w:rsid w:val="004F0139"/>
    <w:rsid w:val="004F1883"/>
    <w:rsid w:val="004F27BA"/>
    <w:rsid w:val="004F432D"/>
    <w:rsid w:val="004F5A9F"/>
    <w:rsid w:val="004F720B"/>
    <w:rsid w:val="004F7BF8"/>
    <w:rsid w:val="0050013E"/>
    <w:rsid w:val="00500570"/>
    <w:rsid w:val="00502C90"/>
    <w:rsid w:val="005049BE"/>
    <w:rsid w:val="00505DBF"/>
    <w:rsid w:val="0050662C"/>
    <w:rsid w:val="005069CC"/>
    <w:rsid w:val="00507D53"/>
    <w:rsid w:val="00507EFE"/>
    <w:rsid w:val="0051412D"/>
    <w:rsid w:val="00517DC9"/>
    <w:rsid w:val="0052196A"/>
    <w:rsid w:val="005221CB"/>
    <w:rsid w:val="00522806"/>
    <w:rsid w:val="00524377"/>
    <w:rsid w:val="00524491"/>
    <w:rsid w:val="00526460"/>
    <w:rsid w:val="00526E21"/>
    <w:rsid w:val="00527FC0"/>
    <w:rsid w:val="00530621"/>
    <w:rsid w:val="00530944"/>
    <w:rsid w:val="00530EF8"/>
    <w:rsid w:val="00531C1E"/>
    <w:rsid w:val="00533AF8"/>
    <w:rsid w:val="005340D4"/>
    <w:rsid w:val="005341E7"/>
    <w:rsid w:val="0053511F"/>
    <w:rsid w:val="00535391"/>
    <w:rsid w:val="00535CFD"/>
    <w:rsid w:val="00536507"/>
    <w:rsid w:val="00537812"/>
    <w:rsid w:val="00541A3B"/>
    <w:rsid w:val="00541B5B"/>
    <w:rsid w:val="00541FFD"/>
    <w:rsid w:val="005428E0"/>
    <w:rsid w:val="00546DAA"/>
    <w:rsid w:val="00547683"/>
    <w:rsid w:val="005509CF"/>
    <w:rsid w:val="0055232E"/>
    <w:rsid w:val="005525A8"/>
    <w:rsid w:val="005539F5"/>
    <w:rsid w:val="00555588"/>
    <w:rsid w:val="005568C0"/>
    <w:rsid w:val="00556CE0"/>
    <w:rsid w:val="0055719E"/>
    <w:rsid w:val="0055736F"/>
    <w:rsid w:val="0056103F"/>
    <w:rsid w:val="00561A6F"/>
    <w:rsid w:val="00562BD2"/>
    <w:rsid w:val="00562F32"/>
    <w:rsid w:val="00563B21"/>
    <w:rsid w:val="005644FC"/>
    <w:rsid w:val="00564796"/>
    <w:rsid w:val="00567069"/>
    <w:rsid w:val="00573260"/>
    <w:rsid w:val="005751B3"/>
    <w:rsid w:val="00576326"/>
    <w:rsid w:val="00577662"/>
    <w:rsid w:val="005811F0"/>
    <w:rsid w:val="00581521"/>
    <w:rsid w:val="00582980"/>
    <w:rsid w:val="00583468"/>
    <w:rsid w:val="005835C7"/>
    <w:rsid w:val="00583BB5"/>
    <w:rsid w:val="00584049"/>
    <w:rsid w:val="0058444F"/>
    <w:rsid w:val="00584BC6"/>
    <w:rsid w:val="00584C5A"/>
    <w:rsid w:val="005850F1"/>
    <w:rsid w:val="0058533F"/>
    <w:rsid w:val="00585A1B"/>
    <w:rsid w:val="00586DDD"/>
    <w:rsid w:val="005870A9"/>
    <w:rsid w:val="0058741A"/>
    <w:rsid w:val="005874D9"/>
    <w:rsid w:val="005876C7"/>
    <w:rsid w:val="0059012B"/>
    <w:rsid w:val="0059167C"/>
    <w:rsid w:val="005922FD"/>
    <w:rsid w:val="005931A4"/>
    <w:rsid w:val="005931C5"/>
    <w:rsid w:val="00594917"/>
    <w:rsid w:val="0059533F"/>
    <w:rsid w:val="005A0748"/>
    <w:rsid w:val="005A1D44"/>
    <w:rsid w:val="005A1EBB"/>
    <w:rsid w:val="005A1EF4"/>
    <w:rsid w:val="005A26D6"/>
    <w:rsid w:val="005A37E9"/>
    <w:rsid w:val="005A6B55"/>
    <w:rsid w:val="005A71D2"/>
    <w:rsid w:val="005A7E37"/>
    <w:rsid w:val="005B1705"/>
    <w:rsid w:val="005B1765"/>
    <w:rsid w:val="005B1EA6"/>
    <w:rsid w:val="005B2556"/>
    <w:rsid w:val="005B3170"/>
    <w:rsid w:val="005B42F4"/>
    <w:rsid w:val="005B46F3"/>
    <w:rsid w:val="005B53EC"/>
    <w:rsid w:val="005C1B9D"/>
    <w:rsid w:val="005C250E"/>
    <w:rsid w:val="005C2704"/>
    <w:rsid w:val="005C38F3"/>
    <w:rsid w:val="005C3A50"/>
    <w:rsid w:val="005C41CA"/>
    <w:rsid w:val="005C5AEA"/>
    <w:rsid w:val="005C6947"/>
    <w:rsid w:val="005D02C5"/>
    <w:rsid w:val="005D0FD0"/>
    <w:rsid w:val="005D1E58"/>
    <w:rsid w:val="005D30B2"/>
    <w:rsid w:val="005D56EC"/>
    <w:rsid w:val="005D6EBA"/>
    <w:rsid w:val="005E040C"/>
    <w:rsid w:val="005E121D"/>
    <w:rsid w:val="005E15EF"/>
    <w:rsid w:val="005E1C44"/>
    <w:rsid w:val="005E2260"/>
    <w:rsid w:val="005E3CCB"/>
    <w:rsid w:val="005E4CB0"/>
    <w:rsid w:val="005E6760"/>
    <w:rsid w:val="005E6E1B"/>
    <w:rsid w:val="005E73A0"/>
    <w:rsid w:val="005E76CC"/>
    <w:rsid w:val="005E7F47"/>
    <w:rsid w:val="005F004A"/>
    <w:rsid w:val="005F20A9"/>
    <w:rsid w:val="005F22FD"/>
    <w:rsid w:val="005F48D4"/>
    <w:rsid w:val="005F616E"/>
    <w:rsid w:val="005F757F"/>
    <w:rsid w:val="006001F5"/>
    <w:rsid w:val="00600424"/>
    <w:rsid w:val="00601478"/>
    <w:rsid w:val="00602332"/>
    <w:rsid w:val="00602E3C"/>
    <w:rsid w:val="006047F1"/>
    <w:rsid w:val="00605D81"/>
    <w:rsid w:val="00607495"/>
    <w:rsid w:val="0060789E"/>
    <w:rsid w:val="00607D86"/>
    <w:rsid w:val="006112B1"/>
    <w:rsid w:val="006141F7"/>
    <w:rsid w:val="00616DDA"/>
    <w:rsid w:val="006176F8"/>
    <w:rsid w:val="006220A2"/>
    <w:rsid w:val="006220E0"/>
    <w:rsid w:val="00622B02"/>
    <w:rsid w:val="006244F1"/>
    <w:rsid w:val="0062459A"/>
    <w:rsid w:val="006255CA"/>
    <w:rsid w:val="00625A78"/>
    <w:rsid w:val="00626050"/>
    <w:rsid w:val="006264CF"/>
    <w:rsid w:val="00627E6A"/>
    <w:rsid w:val="00630084"/>
    <w:rsid w:val="00630D4F"/>
    <w:rsid w:val="00631392"/>
    <w:rsid w:val="0063231F"/>
    <w:rsid w:val="006328C3"/>
    <w:rsid w:val="00632ECF"/>
    <w:rsid w:val="00633358"/>
    <w:rsid w:val="00635055"/>
    <w:rsid w:val="0063672E"/>
    <w:rsid w:val="006422D2"/>
    <w:rsid w:val="00642E0F"/>
    <w:rsid w:val="006436B3"/>
    <w:rsid w:val="00644001"/>
    <w:rsid w:val="0065103D"/>
    <w:rsid w:val="00651EE8"/>
    <w:rsid w:val="00654FE9"/>
    <w:rsid w:val="006562E3"/>
    <w:rsid w:val="00661547"/>
    <w:rsid w:val="0066173F"/>
    <w:rsid w:val="006635AF"/>
    <w:rsid w:val="00664854"/>
    <w:rsid w:val="00664BCC"/>
    <w:rsid w:val="00665BAD"/>
    <w:rsid w:val="00665DBB"/>
    <w:rsid w:val="00666B97"/>
    <w:rsid w:val="006679FE"/>
    <w:rsid w:val="00667EE7"/>
    <w:rsid w:val="006715ED"/>
    <w:rsid w:val="00671D32"/>
    <w:rsid w:val="00674757"/>
    <w:rsid w:val="006759D9"/>
    <w:rsid w:val="00677A5C"/>
    <w:rsid w:val="00683947"/>
    <w:rsid w:val="006844F1"/>
    <w:rsid w:val="00685003"/>
    <w:rsid w:val="00687533"/>
    <w:rsid w:val="0069134D"/>
    <w:rsid w:val="00691DA9"/>
    <w:rsid w:val="00691FCE"/>
    <w:rsid w:val="00692935"/>
    <w:rsid w:val="00693D6A"/>
    <w:rsid w:val="006947B0"/>
    <w:rsid w:val="00694D5B"/>
    <w:rsid w:val="00694E14"/>
    <w:rsid w:val="006968F1"/>
    <w:rsid w:val="00697CEC"/>
    <w:rsid w:val="006A0406"/>
    <w:rsid w:val="006A2C6F"/>
    <w:rsid w:val="006A6430"/>
    <w:rsid w:val="006A748A"/>
    <w:rsid w:val="006A7CCA"/>
    <w:rsid w:val="006B318A"/>
    <w:rsid w:val="006B3270"/>
    <w:rsid w:val="006B6A1B"/>
    <w:rsid w:val="006C1020"/>
    <w:rsid w:val="006C1102"/>
    <w:rsid w:val="006C1C9F"/>
    <w:rsid w:val="006C36AD"/>
    <w:rsid w:val="006C4D69"/>
    <w:rsid w:val="006C6991"/>
    <w:rsid w:val="006C6CD6"/>
    <w:rsid w:val="006C6F66"/>
    <w:rsid w:val="006C7F4C"/>
    <w:rsid w:val="006D04BC"/>
    <w:rsid w:val="006D0BD6"/>
    <w:rsid w:val="006D1642"/>
    <w:rsid w:val="006D265B"/>
    <w:rsid w:val="006D46DD"/>
    <w:rsid w:val="006D68A7"/>
    <w:rsid w:val="006E1DFF"/>
    <w:rsid w:val="006E5B89"/>
    <w:rsid w:val="006E5C30"/>
    <w:rsid w:val="006E5DFC"/>
    <w:rsid w:val="006E7D2C"/>
    <w:rsid w:val="006E7DD6"/>
    <w:rsid w:val="006F3589"/>
    <w:rsid w:val="006F3A86"/>
    <w:rsid w:val="006F4158"/>
    <w:rsid w:val="006F4A94"/>
    <w:rsid w:val="006F519E"/>
    <w:rsid w:val="006F5C3B"/>
    <w:rsid w:val="006F746E"/>
    <w:rsid w:val="006F7D23"/>
    <w:rsid w:val="006F7D57"/>
    <w:rsid w:val="0070183B"/>
    <w:rsid w:val="00702510"/>
    <w:rsid w:val="0070349E"/>
    <w:rsid w:val="007037B7"/>
    <w:rsid w:val="00706E2F"/>
    <w:rsid w:val="00707365"/>
    <w:rsid w:val="0070760B"/>
    <w:rsid w:val="00710933"/>
    <w:rsid w:val="007117DE"/>
    <w:rsid w:val="00711BF7"/>
    <w:rsid w:val="00712A88"/>
    <w:rsid w:val="007166FC"/>
    <w:rsid w:val="007208F2"/>
    <w:rsid w:val="00720BE6"/>
    <w:rsid w:val="0072231F"/>
    <w:rsid w:val="00722A64"/>
    <w:rsid w:val="007238E6"/>
    <w:rsid w:val="00723D99"/>
    <w:rsid w:val="00727BBD"/>
    <w:rsid w:val="00731214"/>
    <w:rsid w:val="007331F9"/>
    <w:rsid w:val="00733566"/>
    <w:rsid w:val="0073364E"/>
    <w:rsid w:val="00733DDC"/>
    <w:rsid w:val="007344A5"/>
    <w:rsid w:val="00735740"/>
    <w:rsid w:val="00736641"/>
    <w:rsid w:val="0073746A"/>
    <w:rsid w:val="007377CF"/>
    <w:rsid w:val="007416BB"/>
    <w:rsid w:val="0074174D"/>
    <w:rsid w:val="00741941"/>
    <w:rsid w:val="0074229D"/>
    <w:rsid w:val="0074244C"/>
    <w:rsid w:val="007433EA"/>
    <w:rsid w:val="00743D46"/>
    <w:rsid w:val="00746E76"/>
    <w:rsid w:val="007509AA"/>
    <w:rsid w:val="00751338"/>
    <w:rsid w:val="00752193"/>
    <w:rsid w:val="00752A4E"/>
    <w:rsid w:val="0075302F"/>
    <w:rsid w:val="0075437F"/>
    <w:rsid w:val="00754792"/>
    <w:rsid w:val="00755870"/>
    <w:rsid w:val="00757304"/>
    <w:rsid w:val="00762030"/>
    <w:rsid w:val="0076471E"/>
    <w:rsid w:val="00764AA5"/>
    <w:rsid w:val="007653CF"/>
    <w:rsid w:val="00765A9E"/>
    <w:rsid w:val="00767952"/>
    <w:rsid w:val="0077163C"/>
    <w:rsid w:val="00771B6F"/>
    <w:rsid w:val="00772A35"/>
    <w:rsid w:val="00772C46"/>
    <w:rsid w:val="00772CF1"/>
    <w:rsid w:val="00775D20"/>
    <w:rsid w:val="00781772"/>
    <w:rsid w:val="00784C18"/>
    <w:rsid w:val="00785832"/>
    <w:rsid w:val="00786107"/>
    <w:rsid w:val="007863BC"/>
    <w:rsid w:val="0078790B"/>
    <w:rsid w:val="007879B3"/>
    <w:rsid w:val="00792F73"/>
    <w:rsid w:val="0079543A"/>
    <w:rsid w:val="00795E11"/>
    <w:rsid w:val="0079625E"/>
    <w:rsid w:val="00796DA9"/>
    <w:rsid w:val="007A10B3"/>
    <w:rsid w:val="007A1645"/>
    <w:rsid w:val="007A1D31"/>
    <w:rsid w:val="007A30D8"/>
    <w:rsid w:val="007A3A01"/>
    <w:rsid w:val="007A3F36"/>
    <w:rsid w:val="007A5B03"/>
    <w:rsid w:val="007A6354"/>
    <w:rsid w:val="007A76D2"/>
    <w:rsid w:val="007A7D62"/>
    <w:rsid w:val="007B056A"/>
    <w:rsid w:val="007B0C35"/>
    <w:rsid w:val="007B0E8A"/>
    <w:rsid w:val="007B1114"/>
    <w:rsid w:val="007B16C7"/>
    <w:rsid w:val="007B2905"/>
    <w:rsid w:val="007B2F4A"/>
    <w:rsid w:val="007B3654"/>
    <w:rsid w:val="007B41BA"/>
    <w:rsid w:val="007B5FEB"/>
    <w:rsid w:val="007C021D"/>
    <w:rsid w:val="007C027B"/>
    <w:rsid w:val="007C1B16"/>
    <w:rsid w:val="007C302B"/>
    <w:rsid w:val="007C410A"/>
    <w:rsid w:val="007C411B"/>
    <w:rsid w:val="007C4BC3"/>
    <w:rsid w:val="007C5A9C"/>
    <w:rsid w:val="007C716F"/>
    <w:rsid w:val="007C7553"/>
    <w:rsid w:val="007D138A"/>
    <w:rsid w:val="007D2980"/>
    <w:rsid w:val="007D2A8E"/>
    <w:rsid w:val="007D3F03"/>
    <w:rsid w:val="007D4940"/>
    <w:rsid w:val="007D50C6"/>
    <w:rsid w:val="007D5262"/>
    <w:rsid w:val="007D6430"/>
    <w:rsid w:val="007D6837"/>
    <w:rsid w:val="007D708D"/>
    <w:rsid w:val="007D76D7"/>
    <w:rsid w:val="007E0C17"/>
    <w:rsid w:val="007E1E9A"/>
    <w:rsid w:val="007E28E6"/>
    <w:rsid w:val="007E2F88"/>
    <w:rsid w:val="007F0FE8"/>
    <w:rsid w:val="007F4636"/>
    <w:rsid w:val="007F519A"/>
    <w:rsid w:val="007F53D0"/>
    <w:rsid w:val="007F57E7"/>
    <w:rsid w:val="008000C2"/>
    <w:rsid w:val="0080086E"/>
    <w:rsid w:val="00800AF8"/>
    <w:rsid w:val="00801F5C"/>
    <w:rsid w:val="00802742"/>
    <w:rsid w:val="0080314F"/>
    <w:rsid w:val="0080376C"/>
    <w:rsid w:val="00805AED"/>
    <w:rsid w:val="008076C8"/>
    <w:rsid w:val="00814A7C"/>
    <w:rsid w:val="00816B35"/>
    <w:rsid w:val="0082130A"/>
    <w:rsid w:val="008228D6"/>
    <w:rsid w:val="008239D0"/>
    <w:rsid w:val="00825450"/>
    <w:rsid w:val="00830FAC"/>
    <w:rsid w:val="00831A3F"/>
    <w:rsid w:val="0083293D"/>
    <w:rsid w:val="00835FEB"/>
    <w:rsid w:val="0083712D"/>
    <w:rsid w:val="00840242"/>
    <w:rsid w:val="00840392"/>
    <w:rsid w:val="00840907"/>
    <w:rsid w:val="0084093A"/>
    <w:rsid w:val="008417B0"/>
    <w:rsid w:val="00842AAB"/>
    <w:rsid w:val="008447FA"/>
    <w:rsid w:val="008460E0"/>
    <w:rsid w:val="008467A0"/>
    <w:rsid w:val="00846C85"/>
    <w:rsid w:val="008470A4"/>
    <w:rsid w:val="0084740E"/>
    <w:rsid w:val="008505C7"/>
    <w:rsid w:val="00851559"/>
    <w:rsid w:val="00852044"/>
    <w:rsid w:val="00853259"/>
    <w:rsid w:val="00853432"/>
    <w:rsid w:val="008535FE"/>
    <w:rsid w:val="00853E4F"/>
    <w:rsid w:val="008541CE"/>
    <w:rsid w:val="00854269"/>
    <w:rsid w:val="008548CF"/>
    <w:rsid w:val="00856322"/>
    <w:rsid w:val="0086070F"/>
    <w:rsid w:val="00860F1A"/>
    <w:rsid w:val="008616A3"/>
    <w:rsid w:val="0086181A"/>
    <w:rsid w:val="00861924"/>
    <w:rsid w:val="0086258F"/>
    <w:rsid w:val="00862E26"/>
    <w:rsid w:val="00863DBE"/>
    <w:rsid w:val="00864751"/>
    <w:rsid w:val="00865129"/>
    <w:rsid w:val="00865AE5"/>
    <w:rsid w:val="008663AF"/>
    <w:rsid w:val="00867496"/>
    <w:rsid w:val="0086765D"/>
    <w:rsid w:val="00870574"/>
    <w:rsid w:val="00870B08"/>
    <w:rsid w:val="00872D1D"/>
    <w:rsid w:val="00873125"/>
    <w:rsid w:val="0087340E"/>
    <w:rsid w:val="00874204"/>
    <w:rsid w:val="00874689"/>
    <w:rsid w:val="00874948"/>
    <w:rsid w:val="00874C06"/>
    <w:rsid w:val="008772E4"/>
    <w:rsid w:val="00877564"/>
    <w:rsid w:val="00877785"/>
    <w:rsid w:val="008803C7"/>
    <w:rsid w:val="0088074A"/>
    <w:rsid w:val="00881345"/>
    <w:rsid w:val="008814F4"/>
    <w:rsid w:val="00881A8E"/>
    <w:rsid w:val="00882390"/>
    <w:rsid w:val="00883B2F"/>
    <w:rsid w:val="008852F2"/>
    <w:rsid w:val="008862BC"/>
    <w:rsid w:val="00890406"/>
    <w:rsid w:val="00892B3B"/>
    <w:rsid w:val="008936F4"/>
    <w:rsid w:val="00893C3B"/>
    <w:rsid w:val="00893C89"/>
    <w:rsid w:val="00893D34"/>
    <w:rsid w:val="008944DB"/>
    <w:rsid w:val="0089594D"/>
    <w:rsid w:val="008A0318"/>
    <w:rsid w:val="008A0EBE"/>
    <w:rsid w:val="008A0F94"/>
    <w:rsid w:val="008A294B"/>
    <w:rsid w:val="008A3B9D"/>
    <w:rsid w:val="008A7641"/>
    <w:rsid w:val="008B145B"/>
    <w:rsid w:val="008B1766"/>
    <w:rsid w:val="008B23BA"/>
    <w:rsid w:val="008B4884"/>
    <w:rsid w:val="008B4BC7"/>
    <w:rsid w:val="008B4D0A"/>
    <w:rsid w:val="008B5457"/>
    <w:rsid w:val="008B62A3"/>
    <w:rsid w:val="008B65D9"/>
    <w:rsid w:val="008B7953"/>
    <w:rsid w:val="008C0AAD"/>
    <w:rsid w:val="008C0B44"/>
    <w:rsid w:val="008C28E7"/>
    <w:rsid w:val="008C35F5"/>
    <w:rsid w:val="008C3B72"/>
    <w:rsid w:val="008C3E88"/>
    <w:rsid w:val="008C47E0"/>
    <w:rsid w:val="008C4C58"/>
    <w:rsid w:val="008C567F"/>
    <w:rsid w:val="008C6ABE"/>
    <w:rsid w:val="008C6F53"/>
    <w:rsid w:val="008C794D"/>
    <w:rsid w:val="008D379D"/>
    <w:rsid w:val="008D4631"/>
    <w:rsid w:val="008D4A63"/>
    <w:rsid w:val="008D6A1B"/>
    <w:rsid w:val="008D7706"/>
    <w:rsid w:val="008E173B"/>
    <w:rsid w:val="008E1C37"/>
    <w:rsid w:val="008E23B8"/>
    <w:rsid w:val="008E2A03"/>
    <w:rsid w:val="008E523C"/>
    <w:rsid w:val="008E5E6E"/>
    <w:rsid w:val="008E6776"/>
    <w:rsid w:val="008E6B9A"/>
    <w:rsid w:val="008E7B77"/>
    <w:rsid w:val="008F0308"/>
    <w:rsid w:val="008F49D4"/>
    <w:rsid w:val="008F6C10"/>
    <w:rsid w:val="008F73C1"/>
    <w:rsid w:val="008F7F23"/>
    <w:rsid w:val="009006D0"/>
    <w:rsid w:val="00901550"/>
    <w:rsid w:val="00901BF1"/>
    <w:rsid w:val="00902E45"/>
    <w:rsid w:val="0090332F"/>
    <w:rsid w:val="00903E72"/>
    <w:rsid w:val="00907C5C"/>
    <w:rsid w:val="00910699"/>
    <w:rsid w:val="00912A0D"/>
    <w:rsid w:val="00912D98"/>
    <w:rsid w:val="00916143"/>
    <w:rsid w:val="00917652"/>
    <w:rsid w:val="00921BEC"/>
    <w:rsid w:val="0092311A"/>
    <w:rsid w:val="009258DB"/>
    <w:rsid w:val="0092772C"/>
    <w:rsid w:val="00927796"/>
    <w:rsid w:val="00931679"/>
    <w:rsid w:val="009321E2"/>
    <w:rsid w:val="009332BB"/>
    <w:rsid w:val="00935318"/>
    <w:rsid w:val="00935B8D"/>
    <w:rsid w:val="0093617A"/>
    <w:rsid w:val="009366F4"/>
    <w:rsid w:val="00936DDC"/>
    <w:rsid w:val="009371ED"/>
    <w:rsid w:val="00937C77"/>
    <w:rsid w:val="0094001E"/>
    <w:rsid w:val="00942117"/>
    <w:rsid w:val="009436FC"/>
    <w:rsid w:val="0094537A"/>
    <w:rsid w:val="00945845"/>
    <w:rsid w:val="0094591D"/>
    <w:rsid w:val="00950E5E"/>
    <w:rsid w:val="00950FD3"/>
    <w:rsid w:val="009522FD"/>
    <w:rsid w:val="0095447D"/>
    <w:rsid w:val="009544F5"/>
    <w:rsid w:val="00954B0A"/>
    <w:rsid w:val="0095605D"/>
    <w:rsid w:val="00956696"/>
    <w:rsid w:val="00956769"/>
    <w:rsid w:val="00956E98"/>
    <w:rsid w:val="009571A0"/>
    <w:rsid w:val="0096087E"/>
    <w:rsid w:val="0096146C"/>
    <w:rsid w:val="009626AA"/>
    <w:rsid w:val="009628C2"/>
    <w:rsid w:val="0096304C"/>
    <w:rsid w:val="009634FF"/>
    <w:rsid w:val="00963527"/>
    <w:rsid w:val="0096375D"/>
    <w:rsid w:val="00963E5A"/>
    <w:rsid w:val="00964626"/>
    <w:rsid w:val="00964C75"/>
    <w:rsid w:val="00964C9F"/>
    <w:rsid w:val="00965B8C"/>
    <w:rsid w:val="00966F27"/>
    <w:rsid w:val="00970325"/>
    <w:rsid w:val="009704FA"/>
    <w:rsid w:val="009708C6"/>
    <w:rsid w:val="00970B0C"/>
    <w:rsid w:val="00970FBD"/>
    <w:rsid w:val="00971A3A"/>
    <w:rsid w:val="00971C43"/>
    <w:rsid w:val="00972DEE"/>
    <w:rsid w:val="00973162"/>
    <w:rsid w:val="009737D6"/>
    <w:rsid w:val="009746F5"/>
    <w:rsid w:val="009749DE"/>
    <w:rsid w:val="00974A4C"/>
    <w:rsid w:val="00975FAE"/>
    <w:rsid w:val="0097632E"/>
    <w:rsid w:val="00976B05"/>
    <w:rsid w:val="00976D3F"/>
    <w:rsid w:val="009774A9"/>
    <w:rsid w:val="00977804"/>
    <w:rsid w:val="00977D20"/>
    <w:rsid w:val="009806D2"/>
    <w:rsid w:val="009823B5"/>
    <w:rsid w:val="009830D9"/>
    <w:rsid w:val="00985CCA"/>
    <w:rsid w:val="009879D8"/>
    <w:rsid w:val="00987EBF"/>
    <w:rsid w:val="00990D66"/>
    <w:rsid w:val="00990DE9"/>
    <w:rsid w:val="009914ED"/>
    <w:rsid w:val="009915A3"/>
    <w:rsid w:val="00992CAB"/>
    <w:rsid w:val="00994766"/>
    <w:rsid w:val="0099530A"/>
    <w:rsid w:val="00995CB9"/>
    <w:rsid w:val="00996DFF"/>
    <w:rsid w:val="009A14A8"/>
    <w:rsid w:val="009A1A0F"/>
    <w:rsid w:val="009A232C"/>
    <w:rsid w:val="009A23FC"/>
    <w:rsid w:val="009A42C4"/>
    <w:rsid w:val="009A447B"/>
    <w:rsid w:val="009A4962"/>
    <w:rsid w:val="009A5713"/>
    <w:rsid w:val="009A6334"/>
    <w:rsid w:val="009B0596"/>
    <w:rsid w:val="009B088C"/>
    <w:rsid w:val="009B1FCB"/>
    <w:rsid w:val="009B2A4A"/>
    <w:rsid w:val="009B31A9"/>
    <w:rsid w:val="009B49F1"/>
    <w:rsid w:val="009B59F7"/>
    <w:rsid w:val="009B5E69"/>
    <w:rsid w:val="009B729E"/>
    <w:rsid w:val="009C106A"/>
    <w:rsid w:val="009C18CA"/>
    <w:rsid w:val="009C2151"/>
    <w:rsid w:val="009C36B8"/>
    <w:rsid w:val="009C4CA6"/>
    <w:rsid w:val="009C5CB6"/>
    <w:rsid w:val="009C5F6A"/>
    <w:rsid w:val="009C6C6A"/>
    <w:rsid w:val="009D2279"/>
    <w:rsid w:val="009D22D0"/>
    <w:rsid w:val="009D23D0"/>
    <w:rsid w:val="009D2A07"/>
    <w:rsid w:val="009D3ADF"/>
    <w:rsid w:val="009D4A69"/>
    <w:rsid w:val="009D77F1"/>
    <w:rsid w:val="009E397C"/>
    <w:rsid w:val="009E438D"/>
    <w:rsid w:val="009E4C92"/>
    <w:rsid w:val="009E6A2D"/>
    <w:rsid w:val="009E6A4C"/>
    <w:rsid w:val="009E6B07"/>
    <w:rsid w:val="009F0DAD"/>
    <w:rsid w:val="009F13DB"/>
    <w:rsid w:val="009F2059"/>
    <w:rsid w:val="009F37F1"/>
    <w:rsid w:val="009F41AF"/>
    <w:rsid w:val="009F6A18"/>
    <w:rsid w:val="009F6DEB"/>
    <w:rsid w:val="009F7FFB"/>
    <w:rsid w:val="00A0064B"/>
    <w:rsid w:val="00A01320"/>
    <w:rsid w:val="00A037AA"/>
    <w:rsid w:val="00A0479F"/>
    <w:rsid w:val="00A0593B"/>
    <w:rsid w:val="00A05C40"/>
    <w:rsid w:val="00A0606B"/>
    <w:rsid w:val="00A073F0"/>
    <w:rsid w:val="00A10848"/>
    <w:rsid w:val="00A11839"/>
    <w:rsid w:val="00A11EF4"/>
    <w:rsid w:val="00A122AA"/>
    <w:rsid w:val="00A1625F"/>
    <w:rsid w:val="00A174FB"/>
    <w:rsid w:val="00A178D3"/>
    <w:rsid w:val="00A179FE"/>
    <w:rsid w:val="00A2025A"/>
    <w:rsid w:val="00A21072"/>
    <w:rsid w:val="00A2140C"/>
    <w:rsid w:val="00A227E7"/>
    <w:rsid w:val="00A24754"/>
    <w:rsid w:val="00A2484F"/>
    <w:rsid w:val="00A25E37"/>
    <w:rsid w:val="00A263A8"/>
    <w:rsid w:val="00A310C5"/>
    <w:rsid w:val="00A313C9"/>
    <w:rsid w:val="00A31501"/>
    <w:rsid w:val="00A31A05"/>
    <w:rsid w:val="00A33985"/>
    <w:rsid w:val="00A34611"/>
    <w:rsid w:val="00A3693F"/>
    <w:rsid w:val="00A37835"/>
    <w:rsid w:val="00A40B6B"/>
    <w:rsid w:val="00A416F3"/>
    <w:rsid w:val="00A42630"/>
    <w:rsid w:val="00A42631"/>
    <w:rsid w:val="00A428AC"/>
    <w:rsid w:val="00A43DA3"/>
    <w:rsid w:val="00A44119"/>
    <w:rsid w:val="00A4450E"/>
    <w:rsid w:val="00A4550E"/>
    <w:rsid w:val="00A45D5C"/>
    <w:rsid w:val="00A47C6D"/>
    <w:rsid w:val="00A51E8A"/>
    <w:rsid w:val="00A53EBB"/>
    <w:rsid w:val="00A55BED"/>
    <w:rsid w:val="00A571E2"/>
    <w:rsid w:val="00A57CA0"/>
    <w:rsid w:val="00A61302"/>
    <w:rsid w:val="00A61673"/>
    <w:rsid w:val="00A619A3"/>
    <w:rsid w:val="00A61D59"/>
    <w:rsid w:val="00A629A3"/>
    <w:rsid w:val="00A632FB"/>
    <w:rsid w:val="00A651C1"/>
    <w:rsid w:val="00A65954"/>
    <w:rsid w:val="00A70511"/>
    <w:rsid w:val="00A71F3C"/>
    <w:rsid w:val="00A72A2B"/>
    <w:rsid w:val="00A77589"/>
    <w:rsid w:val="00A8057D"/>
    <w:rsid w:val="00A825BA"/>
    <w:rsid w:val="00A84028"/>
    <w:rsid w:val="00A84995"/>
    <w:rsid w:val="00A84EF6"/>
    <w:rsid w:val="00A8601C"/>
    <w:rsid w:val="00A8729F"/>
    <w:rsid w:val="00A916B9"/>
    <w:rsid w:val="00A91BF1"/>
    <w:rsid w:val="00A923F7"/>
    <w:rsid w:val="00A92738"/>
    <w:rsid w:val="00A93291"/>
    <w:rsid w:val="00A935F6"/>
    <w:rsid w:val="00A93B2C"/>
    <w:rsid w:val="00A93BFF"/>
    <w:rsid w:val="00A96376"/>
    <w:rsid w:val="00A968E7"/>
    <w:rsid w:val="00AA0FDE"/>
    <w:rsid w:val="00AA2A08"/>
    <w:rsid w:val="00AA4060"/>
    <w:rsid w:val="00AA6633"/>
    <w:rsid w:val="00AB1F9A"/>
    <w:rsid w:val="00AB275C"/>
    <w:rsid w:val="00AB3795"/>
    <w:rsid w:val="00AB52D9"/>
    <w:rsid w:val="00AB5373"/>
    <w:rsid w:val="00AB53B7"/>
    <w:rsid w:val="00AB6CA6"/>
    <w:rsid w:val="00AC1AD5"/>
    <w:rsid w:val="00AC226E"/>
    <w:rsid w:val="00AC3652"/>
    <w:rsid w:val="00AC4139"/>
    <w:rsid w:val="00AC52A1"/>
    <w:rsid w:val="00AC623B"/>
    <w:rsid w:val="00AC6311"/>
    <w:rsid w:val="00AD2AFD"/>
    <w:rsid w:val="00AD40D5"/>
    <w:rsid w:val="00AD587E"/>
    <w:rsid w:val="00AE1B09"/>
    <w:rsid w:val="00AE1D2D"/>
    <w:rsid w:val="00AE2679"/>
    <w:rsid w:val="00AE3198"/>
    <w:rsid w:val="00AE4B73"/>
    <w:rsid w:val="00AE5BF3"/>
    <w:rsid w:val="00AF0944"/>
    <w:rsid w:val="00AF2162"/>
    <w:rsid w:val="00AF4840"/>
    <w:rsid w:val="00AF4854"/>
    <w:rsid w:val="00AF48D6"/>
    <w:rsid w:val="00AF5076"/>
    <w:rsid w:val="00AF791F"/>
    <w:rsid w:val="00B00D8F"/>
    <w:rsid w:val="00B028DE"/>
    <w:rsid w:val="00B036C8"/>
    <w:rsid w:val="00B04301"/>
    <w:rsid w:val="00B06464"/>
    <w:rsid w:val="00B07C91"/>
    <w:rsid w:val="00B07F41"/>
    <w:rsid w:val="00B11BBC"/>
    <w:rsid w:val="00B11C35"/>
    <w:rsid w:val="00B12565"/>
    <w:rsid w:val="00B12AEC"/>
    <w:rsid w:val="00B12BE9"/>
    <w:rsid w:val="00B14795"/>
    <w:rsid w:val="00B15690"/>
    <w:rsid w:val="00B15BAB"/>
    <w:rsid w:val="00B1693C"/>
    <w:rsid w:val="00B16AA0"/>
    <w:rsid w:val="00B25E2A"/>
    <w:rsid w:val="00B267B7"/>
    <w:rsid w:val="00B270C6"/>
    <w:rsid w:val="00B27A10"/>
    <w:rsid w:val="00B31180"/>
    <w:rsid w:val="00B31A46"/>
    <w:rsid w:val="00B32151"/>
    <w:rsid w:val="00B33490"/>
    <w:rsid w:val="00B334F2"/>
    <w:rsid w:val="00B34451"/>
    <w:rsid w:val="00B34962"/>
    <w:rsid w:val="00B34E00"/>
    <w:rsid w:val="00B3683E"/>
    <w:rsid w:val="00B36A65"/>
    <w:rsid w:val="00B40D48"/>
    <w:rsid w:val="00B41761"/>
    <w:rsid w:val="00B429B5"/>
    <w:rsid w:val="00B42DAA"/>
    <w:rsid w:val="00B45982"/>
    <w:rsid w:val="00B51098"/>
    <w:rsid w:val="00B515E6"/>
    <w:rsid w:val="00B51664"/>
    <w:rsid w:val="00B51AE8"/>
    <w:rsid w:val="00B52A6B"/>
    <w:rsid w:val="00B54195"/>
    <w:rsid w:val="00B54768"/>
    <w:rsid w:val="00B5759C"/>
    <w:rsid w:val="00B60B92"/>
    <w:rsid w:val="00B60D1C"/>
    <w:rsid w:val="00B61DD4"/>
    <w:rsid w:val="00B634CA"/>
    <w:rsid w:val="00B6447E"/>
    <w:rsid w:val="00B65E95"/>
    <w:rsid w:val="00B66219"/>
    <w:rsid w:val="00B66E0B"/>
    <w:rsid w:val="00B67453"/>
    <w:rsid w:val="00B67D81"/>
    <w:rsid w:val="00B67E9E"/>
    <w:rsid w:val="00B67EA2"/>
    <w:rsid w:val="00B702B3"/>
    <w:rsid w:val="00B712C3"/>
    <w:rsid w:val="00B71E1F"/>
    <w:rsid w:val="00B722F5"/>
    <w:rsid w:val="00B7271B"/>
    <w:rsid w:val="00B73028"/>
    <w:rsid w:val="00B74D55"/>
    <w:rsid w:val="00B77541"/>
    <w:rsid w:val="00B775B0"/>
    <w:rsid w:val="00B8102E"/>
    <w:rsid w:val="00B817E7"/>
    <w:rsid w:val="00B81D70"/>
    <w:rsid w:val="00B82DD8"/>
    <w:rsid w:val="00B838CA"/>
    <w:rsid w:val="00B83B05"/>
    <w:rsid w:val="00B83D01"/>
    <w:rsid w:val="00B84BB5"/>
    <w:rsid w:val="00B86244"/>
    <w:rsid w:val="00B905DE"/>
    <w:rsid w:val="00B90806"/>
    <w:rsid w:val="00B911C2"/>
    <w:rsid w:val="00B93F69"/>
    <w:rsid w:val="00B94B25"/>
    <w:rsid w:val="00B95289"/>
    <w:rsid w:val="00B95803"/>
    <w:rsid w:val="00B964E9"/>
    <w:rsid w:val="00B96D3A"/>
    <w:rsid w:val="00BA39E9"/>
    <w:rsid w:val="00BA74DE"/>
    <w:rsid w:val="00BA77D6"/>
    <w:rsid w:val="00BB00C9"/>
    <w:rsid w:val="00BB1058"/>
    <w:rsid w:val="00BB10E6"/>
    <w:rsid w:val="00BB3B46"/>
    <w:rsid w:val="00BB7820"/>
    <w:rsid w:val="00BC01E2"/>
    <w:rsid w:val="00BC1435"/>
    <w:rsid w:val="00BC37AE"/>
    <w:rsid w:val="00BC3E69"/>
    <w:rsid w:val="00BC57AD"/>
    <w:rsid w:val="00BC6D8B"/>
    <w:rsid w:val="00BC7657"/>
    <w:rsid w:val="00BD0F57"/>
    <w:rsid w:val="00BD16C4"/>
    <w:rsid w:val="00BD1EED"/>
    <w:rsid w:val="00BD2BCF"/>
    <w:rsid w:val="00BD445A"/>
    <w:rsid w:val="00BD6465"/>
    <w:rsid w:val="00BD66A8"/>
    <w:rsid w:val="00BD7BE7"/>
    <w:rsid w:val="00BE0BBA"/>
    <w:rsid w:val="00BE221B"/>
    <w:rsid w:val="00BE2D4F"/>
    <w:rsid w:val="00BE37ED"/>
    <w:rsid w:val="00BE59AD"/>
    <w:rsid w:val="00BE5BD3"/>
    <w:rsid w:val="00BE6EBE"/>
    <w:rsid w:val="00BE6F75"/>
    <w:rsid w:val="00BE7196"/>
    <w:rsid w:val="00BE71A4"/>
    <w:rsid w:val="00BE768B"/>
    <w:rsid w:val="00BF0007"/>
    <w:rsid w:val="00BF0018"/>
    <w:rsid w:val="00BF1774"/>
    <w:rsid w:val="00BF230B"/>
    <w:rsid w:val="00BF2E07"/>
    <w:rsid w:val="00BF3B36"/>
    <w:rsid w:val="00BF4B13"/>
    <w:rsid w:val="00BF6B0E"/>
    <w:rsid w:val="00C03957"/>
    <w:rsid w:val="00C048E6"/>
    <w:rsid w:val="00C05B75"/>
    <w:rsid w:val="00C0704E"/>
    <w:rsid w:val="00C070CB"/>
    <w:rsid w:val="00C10711"/>
    <w:rsid w:val="00C12562"/>
    <w:rsid w:val="00C12A15"/>
    <w:rsid w:val="00C1440D"/>
    <w:rsid w:val="00C15A36"/>
    <w:rsid w:val="00C16E9D"/>
    <w:rsid w:val="00C1756D"/>
    <w:rsid w:val="00C17646"/>
    <w:rsid w:val="00C207F9"/>
    <w:rsid w:val="00C22570"/>
    <w:rsid w:val="00C22A11"/>
    <w:rsid w:val="00C22C03"/>
    <w:rsid w:val="00C23949"/>
    <w:rsid w:val="00C2414F"/>
    <w:rsid w:val="00C3041F"/>
    <w:rsid w:val="00C30C4F"/>
    <w:rsid w:val="00C316B6"/>
    <w:rsid w:val="00C31B4E"/>
    <w:rsid w:val="00C31D44"/>
    <w:rsid w:val="00C370C4"/>
    <w:rsid w:val="00C40E93"/>
    <w:rsid w:val="00C419E7"/>
    <w:rsid w:val="00C42823"/>
    <w:rsid w:val="00C42F02"/>
    <w:rsid w:val="00C45C0E"/>
    <w:rsid w:val="00C462B0"/>
    <w:rsid w:val="00C504ED"/>
    <w:rsid w:val="00C5167C"/>
    <w:rsid w:val="00C51DE6"/>
    <w:rsid w:val="00C52333"/>
    <w:rsid w:val="00C548D1"/>
    <w:rsid w:val="00C6046A"/>
    <w:rsid w:val="00C61AB3"/>
    <w:rsid w:val="00C61B14"/>
    <w:rsid w:val="00C62341"/>
    <w:rsid w:val="00C62F6D"/>
    <w:rsid w:val="00C634EC"/>
    <w:rsid w:val="00C64A8B"/>
    <w:rsid w:val="00C66878"/>
    <w:rsid w:val="00C67260"/>
    <w:rsid w:val="00C702AE"/>
    <w:rsid w:val="00C704B4"/>
    <w:rsid w:val="00C7075E"/>
    <w:rsid w:val="00C707C7"/>
    <w:rsid w:val="00C70801"/>
    <w:rsid w:val="00C70BFC"/>
    <w:rsid w:val="00C70EAA"/>
    <w:rsid w:val="00C71278"/>
    <w:rsid w:val="00C71397"/>
    <w:rsid w:val="00C71DB3"/>
    <w:rsid w:val="00C74902"/>
    <w:rsid w:val="00C76AEA"/>
    <w:rsid w:val="00C77616"/>
    <w:rsid w:val="00C80407"/>
    <w:rsid w:val="00C805EB"/>
    <w:rsid w:val="00C81C8A"/>
    <w:rsid w:val="00C826E1"/>
    <w:rsid w:val="00C86951"/>
    <w:rsid w:val="00C875B3"/>
    <w:rsid w:val="00C8789D"/>
    <w:rsid w:val="00C93922"/>
    <w:rsid w:val="00C961D3"/>
    <w:rsid w:val="00C96378"/>
    <w:rsid w:val="00C97051"/>
    <w:rsid w:val="00C97309"/>
    <w:rsid w:val="00CA1B3B"/>
    <w:rsid w:val="00CA2346"/>
    <w:rsid w:val="00CA278C"/>
    <w:rsid w:val="00CA3413"/>
    <w:rsid w:val="00CA3F2B"/>
    <w:rsid w:val="00CA4F70"/>
    <w:rsid w:val="00CA5D2A"/>
    <w:rsid w:val="00CB002E"/>
    <w:rsid w:val="00CB0ED5"/>
    <w:rsid w:val="00CB3B81"/>
    <w:rsid w:val="00CB3DBD"/>
    <w:rsid w:val="00CB674C"/>
    <w:rsid w:val="00CC24CB"/>
    <w:rsid w:val="00CC2E0C"/>
    <w:rsid w:val="00CC40B1"/>
    <w:rsid w:val="00CC4FE6"/>
    <w:rsid w:val="00CC5B1F"/>
    <w:rsid w:val="00CC7C59"/>
    <w:rsid w:val="00CC7D0E"/>
    <w:rsid w:val="00CD0176"/>
    <w:rsid w:val="00CD1484"/>
    <w:rsid w:val="00CD1CD4"/>
    <w:rsid w:val="00CD3930"/>
    <w:rsid w:val="00CD4D00"/>
    <w:rsid w:val="00CD56CE"/>
    <w:rsid w:val="00CD62DA"/>
    <w:rsid w:val="00CD6B0E"/>
    <w:rsid w:val="00CD6F64"/>
    <w:rsid w:val="00CE1222"/>
    <w:rsid w:val="00CE179E"/>
    <w:rsid w:val="00CE1D73"/>
    <w:rsid w:val="00CE3690"/>
    <w:rsid w:val="00CE4337"/>
    <w:rsid w:val="00CE6B9E"/>
    <w:rsid w:val="00CE6D42"/>
    <w:rsid w:val="00CE722C"/>
    <w:rsid w:val="00CE7846"/>
    <w:rsid w:val="00CF2E3A"/>
    <w:rsid w:val="00CF47A5"/>
    <w:rsid w:val="00CF4E1B"/>
    <w:rsid w:val="00CF5314"/>
    <w:rsid w:val="00CF5486"/>
    <w:rsid w:val="00CF61A0"/>
    <w:rsid w:val="00D01B24"/>
    <w:rsid w:val="00D027F3"/>
    <w:rsid w:val="00D028FF"/>
    <w:rsid w:val="00D02C5C"/>
    <w:rsid w:val="00D02DE1"/>
    <w:rsid w:val="00D03453"/>
    <w:rsid w:val="00D053C2"/>
    <w:rsid w:val="00D05DD9"/>
    <w:rsid w:val="00D0768D"/>
    <w:rsid w:val="00D11DC6"/>
    <w:rsid w:val="00D11FC0"/>
    <w:rsid w:val="00D12D2F"/>
    <w:rsid w:val="00D13031"/>
    <w:rsid w:val="00D13FAE"/>
    <w:rsid w:val="00D15174"/>
    <w:rsid w:val="00D1649D"/>
    <w:rsid w:val="00D21FBC"/>
    <w:rsid w:val="00D24FDA"/>
    <w:rsid w:val="00D26180"/>
    <w:rsid w:val="00D268D3"/>
    <w:rsid w:val="00D27713"/>
    <w:rsid w:val="00D27EDD"/>
    <w:rsid w:val="00D30304"/>
    <w:rsid w:val="00D313E8"/>
    <w:rsid w:val="00D32874"/>
    <w:rsid w:val="00D332AE"/>
    <w:rsid w:val="00D33CFE"/>
    <w:rsid w:val="00D343B8"/>
    <w:rsid w:val="00D36018"/>
    <w:rsid w:val="00D362DB"/>
    <w:rsid w:val="00D3777E"/>
    <w:rsid w:val="00D4059F"/>
    <w:rsid w:val="00D411F2"/>
    <w:rsid w:val="00D41E88"/>
    <w:rsid w:val="00D43473"/>
    <w:rsid w:val="00D434CB"/>
    <w:rsid w:val="00D4381B"/>
    <w:rsid w:val="00D43B6F"/>
    <w:rsid w:val="00D43BCF"/>
    <w:rsid w:val="00D44FEE"/>
    <w:rsid w:val="00D47684"/>
    <w:rsid w:val="00D50E09"/>
    <w:rsid w:val="00D51C7C"/>
    <w:rsid w:val="00D528D7"/>
    <w:rsid w:val="00D53B89"/>
    <w:rsid w:val="00D56EBE"/>
    <w:rsid w:val="00D575A2"/>
    <w:rsid w:val="00D57EA6"/>
    <w:rsid w:val="00D609EC"/>
    <w:rsid w:val="00D61289"/>
    <w:rsid w:val="00D6129E"/>
    <w:rsid w:val="00D61F57"/>
    <w:rsid w:val="00D62AD0"/>
    <w:rsid w:val="00D63BB1"/>
    <w:rsid w:val="00D659E5"/>
    <w:rsid w:val="00D66146"/>
    <w:rsid w:val="00D66809"/>
    <w:rsid w:val="00D675B5"/>
    <w:rsid w:val="00D67BD1"/>
    <w:rsid w:val="00D703D2"/>
    <w:rsid w:val="00D708EE"/>
    <w:rsid w:val="00D71CFD"/>
    <w:rsid w:val="00D73C9A"/>
    <w:rsid w:val="00D74A2C"/>
    <w:rsid w:val="00D74EEA"/>
    <w:rsid w:val="00D75F64"/>
    <w:rsid w:val="00D77F08"/>
    <w:rsid w:val="00D81215"/>
    <w:rsid w:val="00D81E8B"/>
    <w:rsid w:val="00D82154"/>
    <w:rsid w:val="00D82166"/>
    <w:rsid w:val="00D83F0A"/>
    <w:rsid w:val="00D84168"/>
    <w:rsid w:val="00D84650"/>
    <w:rsid w:val="00D86B70"/>
    <w:rsid w:val="00D87229"/>
    <w:rsid w:val="00D90B51"/>
    <w:rsid w:val="00D92461"/>
    <w:rsid w:val="00D924C5"/>
    <w:rsid w:val="00D92B77"/>
    <w:rsid w:val="00D92C26"/>
    <w:rsid w:val="00D92FDA"/>
    <w:rsid w:val="00D94128"/>
    <w:rsid w:val="00D9783D"/>
    <w:rsid w:val="00D97B6F"/>
    <w:rsid w:val="00D97C72"/>
    <w:rsid w:val="00D97DB5"/>
    <w:rsid w:val="00DA107F"/>
    <w:rsid w:val="00DA18F2"/>
    <w:rsid w:val="00DA2615"/>
    <w:rsid w:val="00DA3EF2"/>
    <w:rsid w:val="00DA4377"/>
    <w:rsid w:val="00DB05F8"/>
    <w:rsid w:val="00DB0AF4"/>
    <w:rsid w:val="00DB0FE6"/>
    <w:rsid w:val="00DC1639"/>
    <w:rsid w:val="00DC1803"/>
    <w:rsid w:val="00DC2DD3"/>
    <w:rsid w:val="00DC4755"/>
    <w:rsid w:val="00DC5F04"/>
    <w:rsid w:val="00DC71AE"/>
    <w:rsid w:val="00DD1988"/>
    <w:rsid w:val="00DD2CB3"/>
    <w:rsid w:val="00DD38DE"/>
    <w:rsid w:val="00DD4404"/>
    <w:rsid w:val="00DD45F6"/>
    <w:rsid w:val="00DD5631"/>
    <w:rsid w:val="00DD5FC9"/>
    <w:rsid w:val="00DD700D"/>
    <w:rsid w:val="00DE143A"/>
    <w:rsid w:val="00DE3796"/>
    <w:rsid w:val="00DE3A27"/>
    <w:rsid w:val="00DE3A9B"/>
    <w:rsid w:val="00DE5FAB"/>
    <w:rsid w:val="00DE64D2"/>
    <w:rsid w:val="00DE75E3"/>
    <w:rsid w:val="00DF1905"/>
    <w:rsid w:val="00DF1961"/>
    <w:rsid w:val="00DF30F3"/>
    <w:rsid w:val="00DF3B3C"/>
    <w:rsid w:val="00DF3B56"/>
    <w:rsid w:val="00DF3D56"/>
    <w:rsid w:val="00DF46D3"/>
    <w:rsid w:val="00DF5901"/>
    <w:rsid w:val="00DF60EA"/>
    <w:rsid w:val="00DF6EE2"/>
    <w:rsid w:val="00DF7B7E"/>
    <w:rsid w:val="00DF7C33"/>
    <w:rsid w:val="00E02A88"/>
    <w:rsid w:val="00E04933"/>
    <w:rsid w:val="00E04ED0"/>
    <w:rsid w:val="00E0583E"/>
    <w:rsid w:val="00E07310"/>
    <w:rsid w:val="00E07613"/>
    <w:rsid w:val="00E07CD6"/>
    <w:rsid w:val="00E11969"/>
    <w:rsid w:val="00E12D39"/>
    <w:rsid w:val="00E132D9"/>
    <w:rsid w:val="00E13A63"/>
    <w:rsid w:val="00E13ED5"/>
    <w:rsid w:val="00E153BA"/>
    <w:rsid w:val="00E15BFE"/>
    <w:rsid w:val="00E16E5C"/>
    <w:rsid w:val="00E1789A"/>
    <w:rsid w:val="00E211A0"/>
    <w:rsid w:val="00E21E41"/>
    <w:rsid w:val="00E22931"/>
    <w:rsid w:val="00E22CBE"/>
    <w:rsid w:val="00E24A2E"/>
    <w:rsid w:val="00E26D00"/>
    <w:rsid w:val="00E27F14"/>
    <w:rsid w:val="00E30D9A"/>
    <w:rsid w:val="00E31152"/>
    <w:rsid w:val="00E319A2"/>
    <w:rsid w:val="00E32138"/>
    <w:rsid w:val="00E32AA3"/>
    <w:rsid w:val="00E330FE"/>
    <w:rsid w:val="00E336DC"/>
    <w:rsid w:val="00E37B4C"/>
    <w:rsid w:val="00E37B95"/>
    <w:rsid w:val="00E402B7"/>
    <w:rsid w:val="00E40732"/>
    <w:rsid w:val="00E42E8D"/>
    <w:rsid w:val="00E46BF9"/>
    <w:rsid w:val="00E47A4A"/>
    <w:rsid w:val="00E47DB4"/>
    <w:rsid w:val="00E5043A"/>
    <w:rsid w:val="00E51C07"/>
    <w:rsid w:val="00E522FE"/>
    <w:rsid w:val="00E5295E"/>
    <w:rsid w:val="00E52F76"/>
    <w:rsid w:val="00E5395A"/>
    <w:rsid w:val="00E53D2B"/>
    <w:rsid w:val="00E5428A"/>
    <w:rsid w:val="00E54379"/>
    <w:rsid w:val="00E546D8"/>
    <w:rsid w:val="00E5472D"/>
    <w:rsid w:val="00E54E88"/>
    <w:rsid w:val="00E55560"/>
    <w:rsid w:val="00E55CF3"/>
    <w:rsid w:val="00E560BB"/>
    <w:rsid w:val="00E57C45"/>
    <w:rsid w:val="00E602EB"/>
    <w:rsid w:val="00E60BB9"/>
    <w:rsid w:val="00E62ED7"/>
    <w:rsid w:val="00E64088"/>
    <w:rsid w:val="00E64350"/>
    <w:rsid w:val="00E643C1"/>
    <w:rsid w:val="00E64B6D"/>
    <w:rsid w:val="00E65380"/>
    <w:rsid w:val="00E657D7"/>
    <w:rsid w:val="00E66138"/>
    <w:rsid w:val="00E67178"/>
    <w:rsid w:val="00E70665"/>
    <w:rsid w:val="00E7290C"/>
    <w:rsid w:val="00E72B0F"/>
    <w:rsid w:val="00E75635"/>
    <w:rsid w:val="00E7597B"/>
    <w:rsid w:val="00E76078"/>
    <w:rsid w:val="00E77FA0"/>
    <w:rsid w:val="00E80E34"/>
    <w:rsid w:val="00E8173C"/>
    <w:rsid w:val="00E81B51"/>
    <w:rsid w:val="00E81F45"/>
    <w:rsid w:val="00E82386"/>
    <w:rsid w:val="00E83487"/>
    <w:rsid w:val="00E834E9"/>
    <w:rsid w:val="00E85580"/>
    <w:rsid w:val="00E8602D"/>
    <w:rsid w:val="00E86249"/>
    <w:rsid w:val="00E8633D"/>
    <w:rsid w:val="00E914C1"/>
    <w:rsid w:val="00E92783"/>
    <w:rsid w:val="00E927A9"/>
    <w:rsid w:val="00E92829"/>
    <w:rsid w:val="00E9534E"/>
    <w:rsid w:val="00E95DA9"/>
    <w:rsid w:val="00E96544"/>
    <w:rsid w:val="00E96CB6"/>
    <w:rsid w:val="00EA0A73"/>
    <w:rsid w:val="00EA0FCB"/>
    <w:rsid w:val="00EA3F4F"/>
    <w:rsid w:val="00EA6662"/>
    <w:rsid w:val="00EA736B"/>
    <w:rsid w:val="00EB25D1"/>
    <w:rsid w:val="00EB2F2B"/>
    <w:rsid w:val="00EB2FA9"/>
    <w:rsid w:val="00EB30BA"/>
    <w:rsid w:val="00EB3985"/>
    <w:rsid w:val="00EB3F23"/>
    <w:rsid w:val="00EB6397"/>
    <w:rsid w:val="00EB6943"/>
    <w:rsid w:val="00EC25A2"/>
    <w:rsid w:val="00EC2B7E"/>
    <w:rsid w:val="00EC37D0"/>
    <w:rsid w:val="00EC4B06"/>
    <w:rsid w:val="00EC60DB"/>
    <w:rsid w:val="00EC7248"/>
    <w:rsid w:val="00EC7D2A"/>
    <w:rsid w:val="00ED1B84"/>
    <w:rsid w:val="00ED243F"/>
    <w:rsid w:val="00ED2E86"/>
    <w:rsid w:val="00ED38DB"/>
    <w:rsid w:val="00ED3B18"/>
    <w:rsid w:val="00ED515A"/>
    <w:rsid w:val="00ED7647"/>
    <w:rsid w:val="00EE0ADF"/>
    <w:rsid w:val="00EE2B32"/>
    <w:rsid w:val="00EE342A"/>
    <w:rsid w:val="00EE5510"/>
    <w:rsid w:val="00EE63BD"/>
    <w:rsid w:val="00EE644F"/>
    <w:rsid w:val="00EE6756"/>
    <w:rsid w:val="00EE68BC"/>
    <w:rsid w:val="00EE68C6"/>
    <w:rsid w:val="00EE7E9C"/>
    <w:rsid w:val="00EF2BC6"/>
    <w:rsid w:val="00EF426A"/>
    <w:rsid w:val="00EF4E89"/>
    <w:rsid w:val="00EF547E"/>
    <w:rsid w:val="00EF78AA"/>
    <w:rsid w:val="00EF7DB8"/>
    <w:rsid w:val="00F00B51"/>
    <w:rsid w:val="00F03FE9"/>
    <w:rsid w:val="00F0467C"/>
    <w:rsid w:val="00F047B2"/>
    <w:rsid w:val="00F06689"/>
    <w:rsid w:val="00F0788E"/>
    <w:rsid w:val="00F07CF8"/>
    <w:rsid w:val="00F10A12"/>
    <w:rsid w:val="00F1218A"/>
    <w:rsid w:val="00F12EC6"/>
    <w:rsid w:val="00F14C02"/>
    <w:rsid w:val="00F14E83"/>
    <w:rsid w:val="00F15EB6"/>
    <w:rsid w:val="00F1676C"/>
    <w:rsid w:val="00F214FF"/>
    <w:rsid w:val="00F223DB"/>
    <w:rsid w:val="00F224D3"/>
    <w:rsid w:val="00F22719"/>
    <w:rsid w:val="00F23C88"/>
    <w:rsid w:val="00F255D2"/>
    <w:rsid w:val="00F25C90"/>
    <w:rsid w:val="00F26647"/>
    <w:rsid w:val="00F26943"/>
    <w:rsid w:val="00F26A19"/>
    <w:rsid w:val="00F27F3E"/>
    <w:rsid w:val="00F3002C"/>
    <w:rsid w:val="00F30B92"/>
    <w:rsid w:val="00F33F86"/>
    <w:rsid w:val="00F352B9"/>
    <w:rsid w:val="00F358BB"/>
    <w:rsid w:val="00F35E90"/>
    <w:rsid w:val="00F3680A"/>
    <w:rsid w:val="00F36853"/>
    <w:rsid w:val="00F37F2A"/>
    <w:rsid w:val="00F42053"/>
    <w:rsid w:val="00F42624"/>
    <w:rsid w:val="00F43C83"/>
    <w:rsid w:val="00F43D29"/>
    <w:rsid w:val="00F454AA"/>
    <w:rsid w:val="00F45885"/>
    <w:rsid w:val="00F45890"/>
    <w:rsid w:val="00F47154"/>
    <w:rsid w:val="00F47BD8"/>
    <w:rsid w:val="00F50209"/>
    <w:rsid w:val="00F5085A"/>
    <w:rsid w:val="00F51095"/>
    <w:rsid w:val="00F53460"/>
    <w:rsid w:val="00F536F6"/>
    <w:rsid w:val="00F543F0"/>
    <w:rsid w:val="00F54E88"/>
    <w:rsid w:val="00F558DA"/>
    <w:rsid w:val="00F55A30"/>
    <w:rsid w:val="00F60DD0"/>
    <w:rsid w:val="00F613DE"/>
    <w:rsid w:val="00F619E9"/>
    <w:rsid w:val="00F6267F"/>
    <w:rsid w:val="00F6300D"/>
    <w:rsid w:val="00F630BD"/>
    <w:rsid w:val="00F64EFF"/>
    <w:rsid w:val="00F66BE0"/>
    <w:rsid w:val="00F6752D"/>
    <w:rsid w:val="00F710DD"/>
    <w:rsid w:val="00F71B0F"/>
    <w:rsid w:val="00F73199"/>
    <w:rsid w:val="00F73229"/>
    <w:rsid w:val="00F740F2"/>
    <w:rsid w:val="00F745DC"/>
    <w:rsid w:val="00F7480E"/>
    <w:rsid w:val="00F74C34"/>
    <w:rsid w:val="00F763FF"/>
    <w:rsid w:val="00F7781A"/>
    <w:rsid w:val="00F779FA"/>
    <w:rsid w:val="00F77B84"/>
    <w:rsid w:val="00F80014"/>
    <w:rsid w:val="00F812FD"/>
    <w:rsid w:val="00F8224B"/>
    <w:rsid w:val="00F82A01"/>
    <w:rsid w:val="00F82A89"/>
    <w:rsid w:val="00F84E26"/>
    <w:rsid w:val="00F85C1A"/>
    <w:rsid w:val="00F86A2C"/>
    <w:rsid w:val="00F87D35"/>
    <w:rsid w:val="00F92578"/>
    <w:rsid w:val="00F93376"/>
    <w:rsid w:val="00F94E9F"/>
    <w:rsid w:val="00F95E4E"/>
    <w:rsid w:val="00F977BD"/>
    <w:rsid w:val="00FA11EB"/>
    <w:rsid w:val="00FA178E"/>
    <w:rsid w:val="00FA1C22"/>
    <w:rsid w:val="00FA30A6"/>
    <w:rsid w:val="00FA30DC"/>
    <w:rsid w:val="00FA442C"/>
    <w:rsid w:val="00FA4BC7"/>
    <w:rsid w:val="00FA6E45"/>
    <w:rsid w:val="00FB02A7"/>
    <w:rsid w:val="00FB0B24"/>
    <w:rsid w:val="00FB0E98"/>
    <w:rsid w:val="00FB556A"/>
    <w:rsid w:val="00FC055B"/>
    <w:rsid w:val="00FC3EF1"/>
    <w:rsid w:val="00FC4DDE"/>
    <w:rsid w:val="00FC56DB"/>
    <w:rsid w:val="00FC5B1C"/>
    <w:rsid w:val="00FD0317"/>
    <w:rsid w:val="00FD0881"/>
    <w:rsid w:val="00FD1254"/>
    <w:rsid w:val="00FD21CD"/>
    <w:rsid w:val="00FD2372"/>
    <w:rsid w:val="00FD59EA"/>
    <w:rsid w:val="00FD6C1C"/>
    <w:rsid w:val="00FD72BE"/>
    <w:rsid w:val="00FE0A8F"/>
    <w:rsid w:val="00FE0EE9"/>
    <w:rsid w:val="00FE141F"/>
    <w:rsid w:val="00FE2A78"/>
    <w:rsid w:val="00FE2AA6"/>
    <w:rsid w:val="00FE2D93"/>
    <w:rsid w:val="00FE3D26"/>
    <w:rsid w:val="00FE4347"/>
    <w:rsid w:val="00FE4D69"/>
    <w:rsid w:val="00FE5588"/>
    <w:rsid w:val="00FE5C0A"/>
    <w:rsid w:val="00FE5CEA"/>
    <w:rsid w:val="00FF0446"/>
    <w:rsid w:val="00FF0A66"/>
    <w:rsid w:val="00FF0F03"/>
    <w:rsid w:val="00FF4D6A"/>
    <w:rsid w:val="00FF5631"/>
    <w:rsid w:val="00FF6566"/>
    <w:rsid w:val="00FF6F35"/>
    <w:rsid w:val="0147778C"/>
    <w:rsid w:val="01673FB9"/>
    <w:rsid w:val="018C3887"/>
    <w:rsid w:val="01962906"/>
    <w:rsid w:val="01CA4A80"/>
    <w:rsid w:val="01D95A6E"/>
    <w:rsid w:val="01F42C24"/>
    <w:rsid w:val="01F560F7"/>
    <w:rsid w:val="01FE5F5A"/>
    <w:rsid w:val="024F2124"/>
    <w:rsid w:val="0263446B"/>
    <w:rsid w:val="0278113C"/>
    <w:rsid w:val="02817632"/>
    <w:rsid w:val="02881E0B"/>
    <w:rsid w:val="02DC5CB3"/>
    <w:rsid w:val="03082F4B"/>
    <w:rsid w:val="03415F2E"/>
    <w:rsid w:val="035179D4"/>
    <w:rsid w:val="03AF786B"/>
    <w:rsid w:val="03C62B22"/>
    <w:rsid w:val="03CF75C5"/>
    <w:rsid w:val="042B0B43"/>
    <w:rsid w:val="044E26FD"/>
    <w:rsid w:val="046D5990"/>
    <w:rsid w:val="046F64E6"/>
    <w:rsid w:val="047D3225"/>
    <w:rsid w:val="04877EA0"/>
    <w:rsid w:val="04963415"/>
    <w:rsid w:val="04B2293A"/>
    <w:rsid w:val="04D05033"/>
    <w:rsid w:val="04DE3029"/>
    <w:rsid w:val="04FB0AD5"/>
    <w:rsid w:val="05116610"/>
    <w:rsid w:val="0518502E"/>
    <w:rsid w:val="054B530E"/>
    <w:rsid w:val="054D142B"/>
    <w:rsid w:val="054E3147"/>
    <w:rsid w:val="056F2492"/>
    <w:rsid w:val="05A14057"/>
    <w:rsid w:val="05B9052D"/>
    <w:rsid w:val="05C45033"/>
    <w:rsid w:val="05D610DF"/>
    <w:rsid w:val="05D6735B"/>
    <w:rsid w:val="062C1CA4"/>
    <w:rsid w:val="06740B7E"/>
    <w:rsid w:val="068812B9"/>
    <w:rsid w:val="06960CAC"/>
    <w:rsid w:val="06BF09A4"/>
    <w:rsid w:val="071674F4"/>
    <w:rsid w:val="07190E1E"/>
    <w:rsid w:val="071D689A"/>
    <w:rsid w:val="073C75CA"/>
    <w:rsid w:val="075D1A9E"/>
    <w:rsid w:val="076E12E1"/>
    <w:rsid w:val="078F7797"/>
    <w:rsid w:val="079A613C"/>
    <w:rsid w:val="07C57D65"/>
    <w:rsid w:val="07E41AB2"/>
    <w:rsid w:val="08047140"/>
    <w:rsid w:val="080F44DF"/>
    <w:rsid w:val="08353C69"/>
    <w:rsid w:val="08420CAE"/>
    <w:rsid w:val="087921F6"/>
    <w:rsid w:val="08836BD0"/>
    <w:rsid w:val="088C0C07"/>
    <w:rsid w:val="08A234FA"/>
    <w:rsid w:val="08C61221"/>
    <w:rsid w:val="08EB572B"/>
    <w:rsid w:val="08F30F30"/>
    <w:rsid w:val="08FC490C"/>
    <w:rsid w:val="0935436E"/>
    <w:rsid w:val="096A10D1"/>
    <w:rsid w:val="098F1CD1"/>
    <w:rsid w:val="099334E8"/>
    <w:rsid w:val="09A339CE"/>
    <w:rsid w:val="09CF0FE3"/>
    <w:rsid w:val="09F908E8"/>
    <w:rsid w:val="09FC6C3A"/>
    <w:rsid w:val="0A072C70"/>
    <w:rsid w:val="0A1001AF"/>
    <w:rsid w:val="0A56459C"/>
    <w:rsid w:val="0A61019F"/>
    <w:rsid w:val="0A627C3D"/>
    <w:rsid w:val="0A7C45C4"/>
    <w:rsid w:val="0AAE4FC2"/>
    <w:rsid w:val="0AB80DB3"/>
    <w:rsid w:val="0ABD3F63"/>
    <w:rsid w:val="0AE572E2"/>
    <w:rsid w:val="0B3257E6"/>
    <w:rsid w:val="0B6251C3"/>
    <w:rsid w:val="0B71709D"/>
    <w:rsid w:val="0B8B0798"/>
    <w:rsid w:val="0BCBD797"/>
    <w:rsid w:val="0BDE2A9B"/>
    <w:rsid w:val="0C0350B1"/>
    <w:rsid w:val="0C2506CA"/>
    <w:rsid w:val="0C626972"/>
    <w:rsid w:val="0C6F22B4"/>
    <w:rsid w:val="0C9C64B3"/>
    <w:rsid w:val="0CA67DDA"/>
    <w:rsid w:val="0CB63A50"/>
    <w:rsid w:val="0CBD4DA7"/>
    <w:rsid w:val="0CFD0FF0"/>
    <w:rsid w:val="0D3A1F53"/>
    <w:rsid w:val="0D4F2349"/>
    <w:rsid w:val="0D70006B"/>
    <w:rsid w:val="0D797032"/>
    <w:rsid w:val="0D9C2C0E"/>
    <w:rsid w:val="0DA87805"/>
    <w:rsid w:val="0DF222E2"/>
    <w:rsid w:val="0DF800F6"/>
    <w:rsid w:val="0E0A2F49"/>
    <w:rsid w:val="0E146C48"/>
    <w:rsid w:val="0E282263"/>
    <w:rsid w:val="0E305316"/>
    <w:rsid w:val="0E453549"/>
    <w:rsid w:val="0E593334"/>
    <w:rsid w:val="0E5D5AB4"/>
    <w:rsid w:val="0E651252"/>
    <w:rsid w:val="0EB02034"/>
    <w:rsid w:val="0EBB5316"/>
    <w:rsid w:val="0EBD352B"/>
    <w:rsid w:val="0EEE04DB"/>
    <w:rsid w:val="0EF319AC"/>
    <w:rsid w:val="0F000E74"/>
    <w:rsid w:val="0F0A1266"/>
    <w:rsid w:val="0F1A3EBC"/>
    <w:rsid w:val="0F2C7FC2"/>
    <w:rsid w:val="0F566A87"/>
    <w:rsid w:val="0F5E0421"/>
    <w:rsid w:val="0F827226"/>
    <w:rsid w:val="0F8302A7"/>
    <w:rsid w:val="0FC0169B"/>
    <w:rsid w:val="0FEB5A8F"/>
    <w:rsid w:val="0FED14FF"/>
    <w:rsid w:val="0FEE4D5C"/>
    <w:rsid w:val="1044757D"/>
    <w:rsid w:val="10A25B64"/>
    <w:rsid w:val="10EA1EE2"/>
    <w:rsid w:val="10EA5A3E"/>
    <w:rsid w:val="110A60E1"/>
    <w:rsid w:val="111A1DE5"/>
    <w:rsid w:val="112F45C9"/>
    <w:rsid w:val="11430BC2"/>
    <w:rsid w:val="1173178C"/>
    <w:rsid w:val="117A14B8"/>
    <w:rsid w:val="118C7802"/>
    <w:rsid w:val="11BA4F21"/>
    <w:rsid w:val="11C042F5"/>
    <w:rsid w:val="11D32976"/>
    <w:rsid w:val="121E62E8"/>
    <w:rsid w:val="12241E36"/>
    <w:rsid w:val="125134D8"/>
    <w:rsid w:val="125A6BF4"/>
    <w:rsid w:val="126A01E5"/>
    <w:rsid w:val="1280703B"/>
    <w:rsid w:val="128D2377"/>
    <w:rsid w:val="128E2265"/>
    <w:rsid w:val="128E4AD9"/>
    <w:rsid w:val="12A367ED"/>
    <w:rsid w:val="12C5264E"/>
    <w:rsid w:val="12CC5D44"/>
    <w:rsid w:val="12E51C2E"/>
    <w:rsid w:val="131F5965"/>
    <w:rsid w:val="136234D2"/>
    <w:rsid w:val="13653503"/>
    <w:rsid w:val="136734AF"/>
    <w:rsid w:val="13B742FC"/>
    <w:rsid w:val="13CC5E67"/>
    <w:rsid w:val="13D446CA"/>
    <w:rsid w:val="14040491"/>
    <w:rsid w:val="141440BC"/>
    <w:rsid w:val="142B46CE"/>
    <w:rsid w:val="142D3C38"/>
    <w:rsid w:val="143311F3"/>
    <w:rsid w:val="145E745C"/>
    <w:rsid w:val="146E0DBE"/>
    <w:rsid w:val="14740441"/>
    <w:rsid w:val="148C5AA4"/>
    <w:rsid w:val="149E2F85"/>
    <w:rsid w:val="14A50AFF"/>
    <w:rsid w:val="14C82E93"/>
    <w:rsid w:val="14CA6724"/>
    <w:rsid w:val="14F16AD5"/>
    <w:rsid w:val="14FC10A1"/>
    <w:rsid w:val="15233396"/>
    <w:rsid w:val="152B4368"/>
    <w:rsid w:val="15352DAC"/>
    <w:rsid w:val="153A4BA1"/>
    <w:rsid w:val="15592189"/>
    <w:rsid w:val="15596C13"/>
    <w:rsid w:val="15B57A54"/>
    <w:rsid w:val="15D53161"/>
    <w:rsid w:val="16027CCE"/>
    <w:rsid w:val="16612C47"/>
    <w:rsid w:val="167F2C0C"/>
    <w:rsid w:val="1696175B"/>
    <w:rsid w:val="169A1E93"/>
    <w:rsid w:val="16B22AB8"/>
    <w:rsid w:val="16C91B54"/>
    <w:rsid w:val="16E66EF8"/>
    <w:rsid w:val="16FA0B7D"/>
    <w:rsid w:val="17175C31"/>
    <w:rsid w:val="171C5A0F"/>
    <w:rsid w:val="172C13A5"/>
    <w:rsid w:val="175D340E"/>
    <w:rsid w:val="17611FBC"/>
    <w:rsid w:val="178A7433"/>
    <w:rsid w:val="17942BA8"/>
    <w:rsid w:val="17AC14CE"/>
    <w:rsid w:val="17B5059B"/>
    <w:rsid w:val="180E5741"/>
    <w:rsid w:val="184C6FDF"/>
    <w:rsid w:val="18C30841"/>
    <w:rsid w:val="18D14309"/>
    <w:rsid w:val="18D357E6"/>
    <w:rsid w:val="19074F22"/>
    <w:rsid w:val="19390925"/>
    <w:rsid w:val="194A3CD0"/>
    <w:rsid w:val="195C14A3"/>
    <w:rsid w:val="19642A0C"/>
    <w:rsid w:val="19826922"/>
    <w:rsid w:val="198A0A0F"/>
    <w:rsid w:val="198D3541"/>
    <w:rsid w:val="199B14FE"/>
    <w:rsid w:val="19A31422"/>
    <w:rsid w:val="19B7202C"/>
    <w:rsid w:val="19D3104D"/>
    <w:rsid w:val="19D454DE"/>
    <w:rsid w:val="1A3468B8"/>
    <w:rsid w:val="1A602602"/>
    <w:rsid w:val="1A626914"/>
    <w:rsid w:val="1A634337"/>
    <w:rsid w:val="1A6C1351"/>
    <w:rsid w:val="1AA75E2A"/>
    <w:rsid w:val="1B026355"/>
    <w:rsid w:val="1B0C7EDF"/>
    <w:rsid w:val="1B171298"/>
    <w:rsid w:val="1B2D759B"/>
    <w:rsid w:val="1B420B2B"/>
    <w:rsid w:val="1B661988"/>
    <w:rsid w:val="1B7C7BDB"/>
    <w:rsid w:val="1BBA688F"/>
    <w:rsid w:val="1BCD15A0"/>
    <w:rsid w:val="1BEB00C0"/>
    <w:rsid w:val="1BFC2ACA"/>
    <w:rsid w:val="1C1147C7"/>
    <w:rsid w:val="1C381E41"/>
    <w:rsid w:val="1C450915"/>
    <w:rsid w:val="1C5D6A81"/>
    <w:rsid w:val="1C746F93"/>
    <w:rsid w:val="1C897268"/>
    <w:rsid w:val="1CB95130"/>
    <w:rsid w:val="1CC26834"/>
    <w:rsid w:val="1CD06430"/>
    <w:rsid w:val="1D2C4085"/>
    <w:rsid w:val="1D6667E2"/>
    <w:rsid w:val="1D727CAC"/>
    <w:rsid w:val="1D81772B"/>
    <w:rsid w:val="1D8B0AA5"/>
    <w:rsid w:val="1D917769"/>
    <w:rsid w:val="1D9951B1"/>
    <w:rsid w:val="1DBD34BE"/>
    <w:rsid w:val="1DE7780E"/>
    <w:rsid w:val="1E0D5462"/>
    <w:rsid w:val="1E265494"/>
    <w:rsid w:val="1E2E78B2"/>
    <w:rsid w:val="1E4075E6"/>
    <w:rsid w:val="1EEA12FF"/>
    <w:rsid w:val="1EED1242"/>
    <w:rsid w:val="1F4B6242"/>
    <w:rsid w:val="1F51429B"/>
    <w:rsid w:val="1F5D309B"/>
    <w:rsid w:val="1F6B41EE"/>
    <w:rsid w:val="1F767E64"/>
    <w:rsid w:val="1F7C5367"/>
    <w:rsid w:val="1FB21E1D"/>
    <w:rsid w:val="1FBC2C9C"/>
    <w:rsid w:val="1FCF0779"/>
    <w:rsid w:val="1FE850F8"/>
    <w:rsid w:val="20087C8F"/>
    <w:rsid w:val="205242F2"/>
    <w:rsid w:val="205E3F98"/>
    <w:rsid w:val="207974F2"/>
    <w:rsid w:val="20B63B8F"/>
    <w:rsid w:val="20BF399A"/>
    <w:rsid w:val="20C928EC"/>
    <w:rsid w:val="20F97919"/>
    <w:rsid w:val="211A5A75"/>
    <w:rsid w:val="2123697B"/>
    <w:rsid w:val="216F08FF"/>
    <w:rsid w:val="217F41C9"/>
    <w:rsid w:val="21A54C65"/>
    <w:rsid w:val="21A553F5"/>
    <w:rsid w:val="21B739BF"/>
    <w:rsid w:val="21C651BF"/>
    <w:rsid w:val="21D5478D"/>
    <w:rsid w:val="21D8287C"/>
    <w:rsid w:val="223847FD"/>
    <w:rsid w:val="22414A3A"/>
    <w:rsid w:val="22702C63"/>
    <w:rsid w:val="22713098"/>
    <w:rsid w:val="22A00653"/>
    <w:rsid w:val="22A507B8"/>
    <w:rsid w:val="22C31939"/>
    <w:rsid w:val="22CB42BB"/>
    <w:rsid w:val="22F015DA"/>
    <w:rsid w:val="22FD3FC8"/>
    <w:rsid w:val="231648FD"/>
    <w:rsid w:val="232442AC"/>
    <w:rsid w:val="23654FF2"/>
    <w:rsid w:val="237304E8"/>
    <w:rsid w:val="23A423C5"/>
    <w:rsid w:val="23B13994"/>
    <w:rsid w:val="23B45B5D"/>
    <w:rsid w:val="23CD36CA"/>
    <w:rsid w:val="23DA26CA"/>
    <w:rsid w:val="23DD33C1"/>
    <w:rsid w:val="23E97DD8"/>
    <w:rsid w:val="240C37BD"/>
    <w:rsid w:val="2435126F"/>
    <w:rsid w:val="244D0B05"/>
    <w:rsid w:val="2464692E"/>
    <w:rsid w:val="2465536E"/>
    <w:rsid w:val="247D6D03"/>
    <w:rsid w:val="24AD3772"/>
    <w:rsid w:val="24C67EF0"/>
    <w:rsid w:val="24DA743A"/>
    <w:rsid w:val="24F24C2E"/>
    <w:rsid w:val="24F77B95"/>
    <w:rsid w:val="2504539C"/>
    <w:rsid w:val="25835C69"/>
    <w:rsid w:val="258E62E3"/>
    <w:rsid w:val="25A46DCB"/>
    <w:rsid w:val="25C334C9"/>
    <w:rsid w:val="25EE47E0"/>
    <w:rsid w:val="266100F9"/>
    <w:rsid w:val="267C3185"/>
    <w:rsid w:val="26A2623F"/>
    <w:rsid w:val="26EE7DCF"/>
    <w:rsid w:val="27152F3F"/>
    <w:rsid w:val="2722588C"/>
    <w:rsid w:val="272E4657"/>
    <w:rsid w:val="276174F2"/>
    <w:rsid w:val="27673E35"/>
    <w:rsid w:val="27A209C9"/>
    <w:rsid w:val="27AD407B"/>
    <w:rsid w:val="27B10D21"/>
    <w:rsid w:val="27B758FC"/>
    <w:rsid w:val="27CD52BF"/>
    <w:rsid w:val="27D512E6"/>
    <w:rsid w:val="27E47234"/>
    <w:rsid w:val="27EC7E96"/>
    <w:rsid w:val="28437E97"/>
    <w:rsid w:val="284969B4"/>
    <w:rsid w:val="2858552C"/>
    <w:rsid w:val="28632F74"/>
    <w:rsid w:val="2880213C"/>
    <w:rsid w:val="289B7923"/>
    <w:rsid w:val="2932067B"/>
    <w:rsid w:val="29326B29"/>
    <w:rsid w:val="29370A81"/>
    <w:rsid w:val="294511F9"/>
    <w:rsid w:val="29591217"/>
    <w:rsid w:val="297B3BC8"/>
    <w:rsid w:val="2993452B"/>
    <w:rsid w:val="29AA764F"/>
    <w:rsid w:val="29E1006B"/>
    <w:rsid w:val="2A465F84"/>
    <w:rsid w:val="2A8923EA"/>
    <w:rsid w:val="2A923D24"/>
    <w:rsid w:val="2AA607D0"/>
    <w:rsid w:val="2B1D1968"/>
    <w:rsid w:val="2B287437"/>
    <w:rsid w:val="2B7F2D54"/>
    <w:rsid w:val="2B8B15E1"/>
    <w:rsid w:val="2BB41B83"/>
    <w:rsid w:val="2BDA58ED"/>
    <w:rsid w:val="2BF56343"/>
    <w:rsid w:val="2BF70A98"/>
    <w:rsid w:val="2C0130F7"/>
    <w:rsid w:val="2C041C52"/>
    <w:rsid w:val="2C083572"/>
    <w:rsid w:val="2C1161CD"/>
    <w:rsid w:val="2C232DDB"/>
    <w:rsid w:val="2C49301B"/>
    <w:rsid w:val="2C4C53A8"/>
    <w:rsid w:val="2C8E2658"/>
    <w:rsid w:val="2CCA5598"/>
    <w:rsid w:val="2D0A773C"/>
    <w:rsid w:val="2D803CC1"/>
    <w:rsid w:val="2D86674E"/>
    <w:rsid w:val="2DB553C8"/>
    <w:rsid w:val="2DE723CD"/>
    <w:rsid w:val="2DE90247"/>
    <w:rsid w:val="2DEA30CA"/>
    <w:rsid w:val="2DFA6139"/>
    <w:rsid w:val="2E012291"/>
    <w:rsid w:val="2E01768D"/>
    <w:rsid w:val="2E395FF5"/>
    <w:rsid w:val="2E3C1BBC"/>
    <w:rsid w:val="2E497DF1"/>
    <w:rsid w:val="2E9E0092"/>
    <w:rsid w:val="2EAD435F"/>
    <w:rsid w:val="2ECB275B"/>
    <w:rsid w:val="2ED13014"/>
    <w:rsid w:val="2F005368"/>
    <w:rsid w:val="2F5F28D3"/>
    <w:rsid w:val="2F664EA5"/>
    <w:rsid w:val="2F713895"/>
    <w:rsid w:val="2F7C778B"/>
    <w:rsid w:val="2F8043A7"/>
    <w:rsid w:val="2F9B262E"/>
    <w:rsid w:val="2FA505D5"/>
    <w:rsid w:val="2FA8213E"/>
    <w:rsid w:val="2FAE6402"/>
    <w:rsid w:val="2FBF1F67"/>
    <w:rsid w:val="2FFA3A98"/>
    <w:rsid w:val="301E5379"/>
    <w:rsid w:val="302E3742"/>
    <w:rsid w:val="30365F2A"/>
    <w:rsid w:val="304C0AD3"/>
    <w:rsid w:val="306D421A"/>
    <w:rsid w:val="306F68A2"/>
    <w:rsid w:val="30711881"/>
    <w:rsid w:val="30A34BEA"/>
    <w:rsid w:val="30B314AD"/>
    <w:rsid w:val="30BB2AFC"/>
    <w:rsid w:val="30CB64B6"/>
    <w:rsid w:val="30DC5078"/>
    <w:rsid w:val="30E87EA8"/>
    <w:rsid w:val="30F5164D"/>
    <w:rsid w:val="312D2B91"/>
    <w:rsid w:val="313E763F"/>
    <w:rsid w:val="31442AF1"/>
    <w:rsid w:val="314B39CC"/>
    <w:rsid w:val="319A7ADF"/>
    <w:rsid w:val="31B04317"/>
    <w:rsid w:val="31BA2011"/>
    <w:rsid w:val="31EE7CEC"/>
    <w:rsid w:val="31F2256C"/>
    <w:rsid w:val="32300752"/>
    <w:rsid w:val="3234700A"/>
    <w:rsid w:val="3239692A"/>
    <w:rsid w:val="324D5651"/>
    <w:rsid w:val="325C7F92"/>
    <w:rsid w:val="32764F2C"/>
    <w:rsid w:val="32794A1C"/>
    <w:rsid w:val="329A78CE"/>
    <w:rsid w:val="32C2639D"/>
    <w:rsid w:val="32CE61B4"/>
    <w:rsid w:val="32F12805"/>
    <w:rsid w:val="32F14DB6"/>
    <w:rsid w:val="32F97067"/>
    <w:rsid w:val="33394D0A"/>
    <w:rsid w:val="333A412B"/>
    <w:rsid w:val="333B34CD"/>
    <w:rsid w:val="33446DD8"/>
    <w:rsid w:val="334632DD"/>
    <w:rsid w:val="335055B1"/>
    <w:rsid w:val="336B3469"/>
    <w:rsid w:val="33773F02"/>
    <w:rsid w:val="33814366"/>
    <w:rsid w:val="33841FEE"/>
    <w:rsid w:val="342F78A1"/>
    <w:rsid w:val="34331F89"/>
    <w:rsid w:val="34421FEE"/>
    <w:rsid w:val="34784F8C"/>
    <w:rsid w:val="347942F8"/>
    <w:rsid w:val="34855EAD"/>
    <w:rsid w:val="34A02734"/>
    <w:rsid w:val="34D71598"/>
    <w:rsid w:val="34FB2194"/>
    <w:rsid w:val="351D5B33"/>
    <w:rsid w:val="352E51E0"/>
    <w:rsid w:val="35936690"/>
    <w:rsid w:val="35A746BA"/>
    <w:rsid w:val="35B24F50"/>
    <w:rsid w:val="35B644DE"/>
    <w:rsid w:val="35F21F74"/>
    <w:rsid w:val="36121410"/>
    <w:rsid w:val="36205A53"/>
    <w:rsid w:val="36503727"/>
    <w:rsid w:val="365732C7"/>
    <w:rsid w:val="365B2966"/>
    <w:rsid w:val="366A2FFA"/>
    <w:rsid w:val="36D14CE5"/>
    <w:rsid w:val="37146FBC"/>
    <w:rsid w:val="37171B6B"/>
    <w:rsid w:val="372C4753"/>
    <w:rsid w:val="373567FD"/>
    <w:rsid w:val="375A5E5A"/>
    <w:rsid w:val="376D2DA2"/>
    <w:rsid w:val="37A53D82"/>
    <w:rsid w:val="37B24C58"/>
    <w:rsid w:val="37C815BB"/>
    <w:rsid w:val="3825617F"/>
    <w:rsid w:val="38396895"/>
    <w:rsid w:val="383A61C8"/>
    <w:rsid w:val="386046B4"/>
    <w:rsid w:val="38767A34"/>
    <w:rsid w:val="38C0421E"/>
    <w:rsid w:val="38E94049"/>
    <w:rsid w:val="38EF1AE5"/>
    <w:rsid w:val="38EF7568"/>
    <w:rsid w:val="392F2843"/>
    <w:rsid w:val="39403D9C"/>
    <w:rsid w:val="394E3E34"/>
    <w:rsid w:val="39601EEB"/>
    <w:rsid w:val="396B3311"/>
    <w:rsid w:val="39CA37A1"/>
    <w:rsid w:val="39EC14B8"/>
    <w:rsid w:val="39F20B9C"/>
    <w:rsid w:val="39F806F0"/>
    <w:rsid w:val="3A233BEC"/>
    <w:rsid w:val="3A303079"/>
    <w:rsid w:val="3A3659E4"/>
    <w:rsid w:val="3A745FED"/>
    <w:rsid w:val="3A8B4D1C"/>
    <w:rsid w:val="3A9815BF"/>
    <w:rsid w:val="3A987D9D"/>
    <w:rsid w:val="3A9F1456"/>
    <w:rsid w:val="3AA06FEA"/>
    <w:rsid w:val="3AA85D33"/>
    <w:rsid w:val="3ACA4B42"/>
    <w:rsid w:val="3AF37331"/>
    <w:rsid w:val="3AFF3D8E"/>
    <w:rsid w:val="3B4756B8"/>
    <w:rsid w:val="3B4B47A2"/>
    <w:rsid w:val="3BADF5DD"/>
    <w:rsid w:val="3BB05953"/>
    <w:rsid w:val="3BBC656F"/>
    <w:rsid w:val="3BBD01CF"/>
    <w:rsid w:val="3BC2523E"/>
    <w:rsid w:val="3BCE01E9"/>
    <w:rsid w:val="3BE5773F"/>
    <w:rsid w:val="3C084E29"/>
    <w:rsid w:val="3C353904"/>
    <w:rsid w:val="3C4D5B55"/>
    <w:rsid w:val="3C4E0CC8"/>
    <w:rsid w:val="3C5D54E7"/>
    <w:rsid w:val="3C6F3118"/>
    <w:rsid w:val="3C7945E5"/>
    <w:rsid w:val="3CC26750"/>
    <w:rsid w:val="3CDE3DFA"/>
    <w:rsid w:val="3CE546D9"/>
    <w:rsid w:val="3CF278A5"/>
    <w:rsid w:val="3D440FF8"/>
    <w:rsid w:val="3D751C3F"/>
    <w:rsid w:val="3DA9265A"/>
    <w:rsid w:val="3DB20341"/>
    <w:rsid w:val="3DBE3BCB"/>
    <w:rsid w:val="3DC85659"/>
    <w:rsid w:val="3DCB1198"/>
    <w:rsid w:val="3DD27E02"/>
    <w:rsid w:val="3DFF08E6"/>
    <w:rsid w:val="3E0543FF"/>
    <w:rsid w:val="3E146E06"/>
    <w:rsid w:val="3E1D685B"/>
    <w:rsid w:val="3E442382"/>
    <w:rsid w:val="3E810EE1"/>
    <w:rsid w:val="3E8E35FE"/>
    <w:rsid w:val="3EA04EC4"/>
    <w:rsid w:val="3EA06374"/>
    <w:rsid w:val="3EB3D5A7"/>
    <w:rsid w:val="3EC70197"/>
    <w:rsid w:val="3EC93F10"/>
    <w:rsid w:val="3EDF120C"/>
    <w:rsid w:val="3F0E2561"/>
    <w:rsid w:val="3F18630B"/>
    <w:rsid w:val="3F207A73"/>
    <w:rsid w:val="3F405508"/>
    <w:rsid w:val="3F4E1E62"/>
    <w:rsid w:val="3F6412A7"/>
    <w:rsid w:val="3FB3108D"/>
    <w:rsid w:val="3FC13F5F"/>
    <w:rsid w:val="3FD61FFF"/>
    <w:rsid w:val="3FDDAFCF"/>
    <w:rsid w:val="40212FAA"/>
    <w:rsid w:val="405051A0"/>
    <w:rsid w:val="40641CD5"/>
    <w:rsid w:val="40923879"/>
    <w:rsid w:val="40B750E3"/>
    <w:rsid w:val="40BE25F5"/>
    <w:rsid w:val="40BE4B3A"/>
    <w:rsid w:val="413B181B"/>
    <w:rsid w:val="4148409D"/>
    <w:rsid w:val="415264A2"/>
    <w:rsid w:val="4157061F"/>
    <w:rsid w:val="416666BA"/>
    <w:rsid w:val="418E76E2"/>
    <w:rsid w:val="41A01319"/>
    <w:rsid w:val="41A22F19"/>
    <w:rsid w:val="41C406EF"/>
    <w:rsid w:val="41D103D1"/>
    <w:rsid w:val="41F52311"/>
    <w:rsid w:val="422053F8"/>
    <w:rsid w:val="428D2FFF"/>
    <w:rsid w:val="42E85909"/>
    <w:rsid w:val="42F56FEC"/>
    <w:rsid w:val="42FF5365"/>
    <w:rsid w:val="436A0A4C"/>
    <w:rsid w:val="438165AA"/>
    <w:rsid w:val="438E5809"/>
    <w:rsid w:val="43903EB3"/>
    <w:rsid w:val="43D562A2"/>
    <w:rsid w:val="43FB7B8B"/>
    <w:rsid w:val="44065ED8"/>
    <w:rsid w:val="440C3942"/>
    <w:rsid w:val="440F51E1"/>
    <w:rsid w:val="441508D3"/>
    <w:rsid w:val="444E32FE"/>
    <w:rsid w:val="44521F62"/>
    <w:rsid w:val="44853D64"/>
    <w:rsid w:val="448F1EDB"/>
    <w:rsid w:val="449048B7"/>
    <w:rsid w:val="449C7063"/>
    <w:rsid w:val="44A77065"/>
    <w:rsid w:val="44C17678"/>
    <w:rsid w:val="44EA721B"/>
    <w:rsid w:val="44FF28BE"/>
    <w:rsid w:val="45036AF3"/>
    <w:rsid w:val="454962DB"/>
    <w:rsid w:val="458549C3"/>
    <w:rsid w:val="45A42773"/>
    <w:rsid w:val="45AB0A76"/>
    <w:rsid w:val="45CF4C28"/>
    <w:rsid w:val="45E72943"/>
    <w:rsid w:val="46507749"/>
    <w:rsid w:val="465B7BFE"/>
    <w:rsid w:val="466A4950"/>
    <w:rsid w:val="46812283"/>
    <w:rsid w:val="468C2B19"/>
    <w:rsid w:val="46935C55"/>
    <w:rsid w:val="46A7286E"/>
    <w:rsid w:val="46AC6430"/>
    <w:rsid w:val="46B01D4D"/>
    <w:rsid w:val="46E07DE0"/>
    <w:rsid w:val="46F56910"/>
    <w:rsid w:val="46F6017F"/>
    <w:rsid w:val="46F73721"/>
    <w:rsid w:val="47370CD6"/>
    <w:rsid w:val="473E2065"/>
    <w:rsid w:val="47486A40"/>
    <w:rsid w:val="474927B8"/>
    <w:rsid w:val="47507FEA"/>
    <w:rsid w:val="477C7511"/>
    <w:rsid w:val="477D4101"/>
    <w:rsid w:val="477E5B3E"/>
    <w:rsid w:val="477F4EA8"/>
    <w:rsid w:val="47946D1D"/>
    <w:rsid w:val="47AD0F98"/>
    <w:rsid w:val="47BB323A"/>
    <w:rsid w:val="47C9045D"/>
    <w:rsid w:val="47DD1AE4"/>
    <w:rsid w:val="47F81DD7"/>
    <w:rsid w:val="48303924"/>
    <w:rsid w:val="48560562"/>
    <w:rsid w:val="486677BF"/>
    <w:rsid w:val="486D24D6"/>
    <w:rsid w:val="487855E9"/>
    <w:rsid w:val="48B53C20"/>
    <w:rsid w:val="48B56357"/>
    <w:rsid w:val="48BE52CD"/>
    <w:rsid w:val="48EA3B26"/>
    <w:rsid w:val="48F43FEC"/>
    <w:rsid w:val="48FA3D80"/>
    <w:rsid w:val="4900334A"/>
    <w:rsid w:val="490F50D4"/>
    <w:rsid w:val="4915511B"/>
    <w:rsid w:val="49462CBF"/>
    <w:rsid w:val="494C74B9"/>
    <w:rsid w:val="494E174B"/>
    <w:rsid w:val="49552597"/>
    <w:rsid w:val="496F7754"/>
    <w:rsid w:val="49CA7BE0"/>
    <w:rsid w:val="49EE02F1"/>
    <w:rsid w:val="49F20EE5"/>
    <w:rsid w:val="49FA378D"/>
    <w:rsid w:val="4A0D15A8"/>
    <w:rsid w:val="4A271687"/>
    <w:rsid w:val="4A275032"/>
    <w:rsid w:val="4A543409"/>
    <w:rsid w:val="4A5E657A"/>
    <w:rsid w:val="4A5F084F"/>
    <w:rsid w:val="4A6022F2"/>
    <w:rsid w:val="4A734907"/>
    <w:rsid w:val="4A8C30E7"/>
    <w:rsid w:val="4A984FE8"/>
    <w:rsid w:val="4A9D11F3"/>
    <w:rsid w:val="4AA240B3"/>
    <w:rsid w:val="4AC1133B"/>
    <w:rsid w:val="4AC51E5D"/>
    <w:rsid w:val="4AEC039D"/>
    <w:rsid w:val="4AFC7BF7"/>
    <w:rsid w:val="4B1E288D"/>
    <w:rsid w:val="4B366D87"/>
    <w:rsid w:val="4B555BCF"/>
    <w:rsid w:val="4B5B0112"/>
    <w:rsid w:val="4B726C78"/>
    <w:rsid w:val="4B982B57"/>
    <w:rsid w:val="4B9A352F"/>
    <w:rsid w:val="4BD60159"/>
    <w:rsid w:val="4BD765E4"/>
    <w:rsid w:val="4C187DFB"/>
    <w:rsid w:val="4C711791"/>
    <w:rsid w:val="4CA95F3B"/>
    <w:rsid w:val="4CFF52BD"/>
    <w:rsid w:val="4D0E0863"/>
    <w:rsid w:val="4D42212D"/>
    <w:rsid w:val="4D4351D2"/>
    <w:rsid w:val="4D94072D"/>
    <w:rsid w:val="4E34552D"/>
    <w:rsid w:val="4E4801A7"/>
    <w:rsid w:val="4E5B6AE5"/>
    <w:rsid w:val="4E656129"/>
    <w:rsid w:val="4E794CE9"/>
    <w:rsid w:val="4E7E0EBE"/>
    <w:rsid w:val="4E856251"/>
    <w:rsid w:val="4EA61AF4"/>
    <w:rsid w:val="4ECC2490"/>
    <w:rsid w:val="4F02718D"/>
    <w:rsid w:val="4F1F7941"/>
    <w:rsid w:val="4F200983"/>
    <w:rsid w:val="4F215E18"/>
    <w:rsid w:val="4F5F6115"/>
    <w:rsid w:val="4F950C90"/>
    <w:rsid w:val="4FAD000E"/>
    <w:rsid w:val="4FDD0D75"/>
    <w:rsid w:val="4FDE40E5"/>
    <w:rsid w:val="50007078"/>
    <w:rsid w:val="500460B5"/>
    <w:rsid w:val="505E32AE"/>
    <w:rsid w:val="509671E9"/>
    <w:rsid w:val="50985B4F"/>
    <w:rsid w:val="50D636E3"/>
    <w:rsid w:val="50DA01A5"/>
    <w:rsid w:val="51057093"/>
    <w:rsid w:val="51137E0A"/>
    <w:rsid w:val="512C2E09"/>
    <w:rsid w:val="5143298A"/>
    <w:rsid w:val="517448D5"/>
    <w:rsid w:val="51844B18"/>
    <w:rsid w:val="51C62677"/>
    <w:rsid w:val="51EC03B2"/>
    <w:rsid w:val="51FE17FF"/>
    <w:rsid w:val="52092722"/>
    <w:rsid w:val="520A4E9E"/>
    <w:rsid w:val="52241ABE"/>
    <w:rsid w:val="52325A5C"/>
    <w:rsid w:val="524E1B27"/>
    <w:rsid w:val="52730BA7"/>
    <w:rsid w:val="529C4870"/>
    <w:rsid w:val="52B407FC"/>
    <w:rsid w:val="52BB450C"/>
    <w:rsid w:val="52CA29FF"/>
    <w:rsid w:val="52D47D21"/>
    <w:rsid w:val="53044F6C"/>
    <w:rsid w:val="5310055D"/>
    <w:rsid w:val="5311062D"/>
    <w:rsid w:val="5369061B"/>
    <w:rsid w:val="53696E48"/>
    <w:rsid w:val="53BC79E2"/>
    <w:rsid w:val="53E83FB7"/>
    <w:rsid w:val="541B7D16"/>
    <w:rsid w:val="541C1E6D"/>
    <w:rsid w:val="54351B0C"/>
    <w:rsid w:val="543D5452"/>
    <w:rsid w:val="544A759D"/>
    <w:rsid w:val="545A5F13"/>
    <w:rsid w:val="5470084A"/>
    <w:rsid w:val="547922C6"/>
    <w:rsid w:val="5486329D"/>
    <w:rsid w:val="54A0435F"/>
    <w:rsid w:val="54BD4AE0"/>
    <w:rsid w:val="54F25EDE"/>
    <w:rsid w:val="54FE72D7"/>
    <w:rsid w:val="55051F4E"/>
    <w:rsid w:val="5523289A"/>
    <w:rsid w:val="553D758D"/>
    <w:rsid w:val="557D122B"/>
    <w:rsid w:val="55832398"/>
    <w:rsid w:val="55A231C5"/>
    <w:rsid w:val="55C26D39"/>
    <w:rsid w:val="55C91693"/>
    <w:rsid w:val="55E34CE0"/>
    <w:rsid w:val="55E77D6B"/>
    <w:rsid w:val="55E91D0C"/>
    <w:rsid w:val="56097CE2"/>
    <w:rsid w:val="560A6202"/>
    <w:rsid w:val="56141583"/>
    <w:rsid w:val="56666AE7"/>
    <w:rsid w:val="56686CCF"/>
    <w:rsid w:val="566C61A7"/>
    <w:rsid w:val="56706461"/>
    <w:rsid w:val="56874EA6"/>
    <w:rsid w:val="569B4633"/>
    <w:rsid w:val="56CA77C3"/>
    <w:rsid w:val="56D36F6E"/>
    <w:rsid w:val="56F02C50"/>
    <w:rsid w:val="56FA587C"/>
    <w:rsid w:val="56FE41D4"/>
    <w:rsid w:val="57321E5D"/>
    <w:rsid w:val="576356FC"/>
    <w:rsid w:val="576505D5"/>
    <w:rsid w:val="577C5F8C"/>
    <w:rsid w:val="579849AF"/>
    <w:rsid w:val="57E20DDE"/>
    <w:rsid w:val="58040CF4"/>
    <w:rsid w:val="581D6EAB"/>
    <w:rsid w:val="58361B9A"/>
    <w:rsid w:val="58541988"/>
    <w:rsid w:val="58896EB8"/>
    <w:rsid w:val="589265DB"/>
    <w:rsid w:val="58954386"/>
    <w:rsid w:val="589C4E3D"/>
    <w:rsid w:val="58B06B3A"/>
    <w:rsid w:val="58C425E6"/>
    <w:rsid w:val="59075493"/>
    <w:rsid w:val="594420CF"/>
    <w:rsid w:val="59487D11"/>
    <w:rsid w:val="595F338A"/>
    <w:rsid w:val="596F344B"/>
    <w:rsid w:val="59941FB8"/>
    <w:rsid w:val="59947FB5"/>
    <w:rsid w:val="59997B6D"/>
    <w:rsid w:val="59A37542"/>
    <w:rsid w:val="59B2556C"/>
    <w:rsid w:val="59EB6880"/>
    <w:rsid w:val="5A0B4B4A"/>
    <w:rsid w:val="5A1A4E57"/>
    <w:rsid w:val="5A247391"/>
    <w:rsid w:val="5A3D56B7"/>
    <w:rsid w:val="5A4C6878"/>
    <w:rsid w:val="5A590F4D"/>
    <w:rsid w:val="5A926519"/>
    <w:rsid w:val="5A9745F8"/>
    <w:rsid w:val="5AC72703"/>
    <w:rsid w:val="5AC7773A"/>
    <w:rsid w:val="5ADE0A5C"/>
    <w:rsid w:val="5AE52765"/>
    <w:rsid w:val="5AF4364C"/>
    <w:rsid w:val="5B210CCD"/>
    <w:rsid w:val="5B2A2BD4"/>
    <w:rsid w:val="5B4E4CAB"/>
    <w:rsid w:val="5B590DC3"/>
    <w:rsid w:val="5B6B68B1"/>
    <w:rsid w:val="5B7E383C"/>
    <w:rsid w:val="5B8636D0"/>
    <w:rsid w:val="5B9F2591"/>
    <w:rsid w:val="5BA13C98"/>
    <w:rsid w:val="5BE33BB6"/>
    <w:rsid w:val="5BE34B31"/>
    <w:rsid w:val="5BF5061D"/>
    <w:rsid w:val="5BF7F996"/>
    <w:rsid w:val="5C25755E"/>
    <w:rsid w:val="5C43500E"/>
    <w:rsid w:val="5C4C1FE2"/>
    <w:rsid w:val="5C6A78BA"/>
    <w:rsid w:val="5C703027"/>
    <w:rsid w:val="5C8B76D7"/>
    <w:rsid w:val="5CAE01E8"/>
    <w:rsid w:val="5CC741DE"/>
    <w:rsid w:val="5CE75E65"/>
    <w:rsid w:val="5CF06035"/>
    <w:rsid w:val="5D1E0517"/>
    <w:rsid w:val="5D5D0CAA"/>
    <w:rsid w:val="5D6F3629"/>
    <w:rsid w:val="5D8A5BAC"/>
    <w:rsid w:val="5E6C7060"/>
    <w:rsid w:val="5E7268CC"/>
    <w:rsid w:val="5E7F24F9"/>
    <w:rsid w:val="5E7F8164"/>
    <w:rsid w:val="5EA10F4E"/>
    <w:rsid w:val="5EBA601D"/>
    <w:rsid w:val="5EBF093E"/>
    <w:rsid w:val="5EC901A0"/>
    <w:rsid w:val="5F2711D9"/>
    <w:rsid w:val="5F2B66F1"/>
    <w:rsid w:val="5F3538F6"/>
    <w:rsid w:val="5F6B7317"/>
    <w:rsid w:val="5F715127"/>
    <w:rsid w:val="5F8C5A10"/>
    <w:rsid w:val="5FA35D58"/>
    <w:rsid w:val="5FE21609"/>
    <w:rsid w:val="5FE424DC"/>
    <w:rsid w:val="5FE71540"/>
    <w:rsid w:val="5FFE2B3D"/>
    <w:rsid w:val="60003E51"/>
    <w:rsid w:val="60121E89"/>
    <w:rsid w:val="601F1848"/>
    <w:rsid w:val="604D47E9"/>
    <w:rsid w:val="60575AEE"/>
    <w:rsid w:val="606C15C7"/>
    <w:rsid w:val="60730B79"/>
    <w:rsid w:val="60C8065F"/>
    <w:rsid w:val="60D970BA"/>
    <w:rsid w:val="60F35066"/>
    <w:rsid w:val="612F3857"/>
    <w:rsid w:val="61533267"/>
    <w:rsid w:val="61546475"/>
    <w:rsid w:val="61642270"/>
    <w:rsid w:val="616E35D2"/>
    <w:rsid w:val="61AE7C31"/>
    <w:rsid w:val="61F5032B"/>
    <w:rsid w:val="61FC39E8"/>
    <w:rsid w:val="62044D81"/>
    <w:rsid w:val="62273488"/>
    <w:rsid w:val="622A5268"/>
    <w:rsid w:val="6230263F"/>
    <w:rsid w:val="62387C78"/>
    <w:rsid w:val="625978FB"/>
    <w:rsid w:val="626F0F50"/>
    <w:rsid w:val="629F4388"/>
    <w:rsid w:val="62A4517E"/>
    <w:rsid w:val="62AC775F"/>
    <w:rsid w:val="62CB68E6"/>
    <w:rsid w:val="62D741DA"/>
    <w:rsid w:val="62F228E1"/>
    <w:rsid w:val="63164CC1"/>
    <w:rsid w:val="632D0C84"/>
    <w:rsid w:val="633608FE"/>
    <w:rsid w:val="63630D5C"/>
    <w:rsid w:val="63715118"/>
    <w:rsid w:val="63AD6150"/>
    <w:rsid w:val="63BC2837"/>
    <w:rsid w:val="63D3125A"/>
    <w:rsid w:val="63E21506"/>
    <w:rsid w:val="641B630F"/>
    <w:rsid w:val="642571AD"/>
    <w:rsid w:val="642C57E1"/>
    <w:rsid w:val="643A2D32"/>
    <w:rsid w:val="64731CBC"/>
    <w:rsid w:val="64740A1C"/>
    <w:rsid w:val="649134D3"/>
    <w:rsid w:val="64B25724"/>
    <w:rsid w:val="64B25A4D"/>
    <w:rsid w:val="64C37868"/>
    <w:rsid w:val="650538AD"/>
    <w:rsid w:val="65645206"/>
    <w:rsid w:val="656B0332"/>
    <w:rsid w:val="6580503D"/>
    <w:rsid w:val="65953340"/>
    <w:rsid w:val="65962C14"/>
    <w:rsid w:val="65A806DA"/>
    <w:rsid w:val="65B5420A"/>
    <w:rsid w:val="65BF1EE8"/>
    <w:rsid w:val="65EB3B6F"/>
    <w:rsid w:val="65F925B0"/>
    <w:rsid w:val="66154481"/>
    <w:rsid w:val="66191129"/>
    <w:rsid w:val="662A2F72"/>
    <w:rsid w:val="662F17B4"/>
    <w:rsid w:val="663366B5"/>
    <w:rsid w:val="66462035"/>
    <w:rsid w:val="66482158"/>
    <w:rsid w:val="66494928"/>
    <w:rsid w:val="667B6071"/>
    <w:rsid w:val="669E7FD2"/>
    <w:rsid w:val="66BB5028"/>
    <w:rsid w:val="66C2703B"/>
    <w:rsid w:val="66DC6F96"/>
    <w:rsid w:val="66DE55BF"/>
    <w:rsid w:val="670275BC"/>
    <w:rsid w:val="673218A0"/>
    <w:rsid w:val="67463480"/>
    <w:rsid w:val="676D703C"/>
    <w:rsid w:val="67830B5B"/>
    <w:rsid w:val="67B10E9F"/>
    <w:rsid w:val="67C04F3D"/>
    <w:rsid w:val="67EC4487"/>
    <w:rsid w:val="67FF2CF3"/>
    <w:rsid w:val="68102598"/>
    <w:rsid w:val="684A4EFC"/>
    <w:rsid w:val="68561275"/>
    <w:rsid w:val="68664B20"/>
    <w:rsid w:val="689B4A7A"/>
    <w:rsid w:val="68AA7102"/>
    <w:rsid w:val="693469CC"/>
    <w:rsid w:val="6942558D"/>
    <w:rsid w:val="697F233D"/>
    <w:rsid w:val="698257CF"/>
    <w:rsid w:val="699363F4"/>
    <w:rsid w:val="69C53AC8"/>
    <w:rsid w:val="69CA5B71"/>
    <w:rsid w:val="69CF11C8"/>
    <w:rsid w:val="69F72209"/>
    <w:rsid w:val="69F853B1"/>
    <w:rsid w:val="6A1E7B44"/>
    <w:rsid w:val="6A21394F"/>
    <w:rsid w:val="6A2A37E1"/>
    <w:rsid w:val="6A3328D3"/>
    <w:rsid w:val="6A696B49"/>
    <w:rsid w:val="6A941E18"/>
    <w:rsid w:val="6AA4723D"/>
    <w:rsid w:val="6AAE39A0"/>
    <w:rsid w:val="6AD02697"/>
    <w:rsid w:val="6B040585"/>
    <w:rsid w:val="6B1440E7"/>
    <w:rsid w:val="6B2D6B1F"/>
    <w:rsid w:val="6B4C43FE"/>
    <w:rsid w:val="6B670B25"/>
    <w:rsid w:val="6B6E79DE"/>
    <w:rsid w:val="6B7819EF"/>
    <w:rsid w:val="6B8930F1"/>
    <w:rsid w:val="6B8B1732"/>
    <w:rsid w:val="6B8F10C1"/>
    <w:rsid w:val="6B921B5F"/>
    <w:rsid w:val="6BC90652"/>
    <w:rsid w:val="6C00528B"/>
    <w:rsid w:val="6C0A466D"/>
    <w:rsid w:val="6C354153"/>
    <w:rsid w:val="6C3A69EF"/>
    <w:rsid w:val="6C482DD8"/>
    <w:rsid w:val="6C77379F"/>
    <w:rsid w:val="6C9C389B"/>
    <w:rsid w:val="6CA125CA"/>
    <w:rsid w:val="6CA83959"/>
    <w:rsid w:val="6CBF6E0D"/>
    <w:rsid w:val="6CDE28F8"/>
    <w:rsid w:val="6D01750D"/>
    <w:rsid w:val="6D0456FB"/>
    <w:rsid w:val="6D093549"/>
    <w:rsid w:val="6D0C4D25"/>
    <w:rsid w:val="6D0F1C2A"/>
    <w:rsid w:val="6D3A2BDC"/>
    <w:rsid w:val="6DCA33AD"/>
    <w:rsid w:val="6DE05374"/>
    <w:rsid w:val="6DEA7FA1"/>
    <w:rsid w:val="6E07328C"/>
    <w:rsid w:val="6E0F7981"/>
    <w:rsid w:val="6E3D156E"/>
    <w:rsid w:val="6E443B55"/>
    <w:rsid w:val="6E4C2947"/>
    <w:rsid w:val="6E51210E"/>
    <w:rsid w:val="6E5F5EFE"/>
    <w:rsid w:val="6E9B3E8E"/>
    <w:rsid w:val="6EB7D759"/>
    <w:rsid w:val="6ED8726A"/>
    <w:rsid w:val="6F1D6D8D"/>
    <w:rsid w:val="6F4E7ED8"/>
    <w:rsid w:val="6F581895"/>
    <w:rsid w:val="6F840FCB"/>
    <w:rsid w:val="6F957D9A"/>
    <w:rsid w:val="6FB54CBF"/>
    <w:rsid w:val="6FCE59E4"/>
    <w:rsid w:val="6FE426E6"/>
    <w:rsid w:val="6FF21F24"/>
    <w:rsid w:val="6FFE45DF"/>
    <w:rsid w:val="700E7A48"/>
    <w:rsid w:val="7011405C"/>
    <w:rsid w:val="701E0061"/>
    <w:rsid w:val="70237AD7"/>
    <w:rsid w:val="704B1971"/>
    <w:rsid w:val="70855E93"/>
    <w:rsid w:val="70926701"/>
    <w:rsid w:val="70B678F6"/>
    <w:rsid w:val="70CB40BA"/>
    <w:rsid w:val="70D07F52"/>
    <w:rsid w:val="710B2708"/>
    <w:rsid w:val="711A35E8"/>
    <w:rsid w:val="71285EA9"/>
    <w:rsid w:val="715A2A8E"/>
    <w:rsid w:val="716233E1"/>
    <w:rsid w:val="71A617A0"/>
    <w:rsid w:val="71CB34A9"/>
    <w:rsid w:val="71F32927"/>
    <w:rsid w:val="71F81DCD"/>
    <w:rsid w:val="71FC3A2A"/>
    <w:rsid w:val="722E221A"/>
    <w:rsid w:val="72330117"/>
    <w:rsid w:val="7250526E"/>
    <w:rsid w:val="7282400E"/>
    <w:rsid w:val="72BB5A21"/>
    <w:rsid w:val="72C0176B"/>
    <w:rsid w:val="72C57F04"/>
    <w:rsid w:val="72C82C09"/>
    <w:rsid w:val="72F273E9"/>
    <w:rsid w:val="73025D8D"/>
    <w:rsid w:val="730D092D"/>
    <w:rsid w:val="73100768"/>
    <w:rsid w:val="73117F70"/>
    <w:rsid w:val="732B6F1A"/>
    <w:rsid w:val="73397A01"/>
    <w:rsid w:val="73A17354"/>
    <w:rsid w:val="73A660AD"/>
    <w:rsid w:val="73CA6DB7"/>
    <w:rsid w:val="73EF1744"/>
    <w:rsid w:val="74072BE0"/>
    <w:rsid w:val="74424693"/>
    <w:rsid w:val="74483D9C"/>
    <w:rsid w:val="74597C2E"/>
    <w:rsid w:val="74606AC5"/>
    <w:rsid w:val="746C5BB4"/>
    <w:rsid w:val="748C67DB"/>
    <w:rsid w:val="74A436B7"/>
    <w:rsid w:val="74B81C7F"/>
    <w:rsid w:val="74C12626"/>
    <w:rsid w:val="74C23AFE"/>
    <w:rsid w:val="74D87F9C"/>
    <w:rsid w:val="74E44835"/>
    <w:rsid w:val="74E4574A"/>
    <w:rsid w:val="74EB2596"/>
    <w:rsid w:val="74EE0377"/>
    <w:rsid w:val="74EE7775"/>
    <w:rsid w:val="751353F0"/>
    <w:rsid w:val="75271ADB"/>
    <w:rsid w:val="75330480"/>
    <w:rsid w:val="75422471"/>
    <w:rsid w:val="754E2B4A"/>
    <w:rsid w:val="75864A53"/>
    <w:rsid w:val="75A1188D"/>
    <w:rsid w:val="75DB1837"/>
    <w:rsid w:val="75E03EEC"/>
    <w:rsid w:val="75F53987"/>
    <w:rsid w:val="75F714AD"/>
    <w:rsid w:val="75FE8DBE"/>
    <w:rsid w:val="76047841"/>
    <w:rsid w:val="76272E23"/>
    <w:rsid w:val="76342B91"/>
    <w:rsid w:val="763A62CD"/>
    <w:rsid w:val="765B5EE0"/>
    <w:rsid w:val="765E2B78"/>
    <w:rsid w:val="767C19B2"/>
    <w:rsid w:val="76B03EE1"/>
    <w:rsid w:val="76B512F4"/>
    <w:rsid w:val="76D90BB3"/>
    <w:rsid w:val="772C1C69"/>
    <w:rsid w:val="77492EAE"/>
    <w:rsid w:val="777F9F48"/>
    <w:rsid w:val="77936C82"/>
    <w:rsid w:val="77A73835"/>
    <w:rsid w:val="77D807CB"/>
    <w:rsid w:val="78107F3E"/>
    <w:rsid w:val="783A1420"/>
    <w:rsid w:val="784142FD"/>
    <w:rsid w:val="786A6761"/>
    <w:rsid w:val="78725F7F"/>
    <w:rsid w:val="787C54EB"/>
    <w:rsid w:val="78C0202A"/>
    <w:rsid w:val="78C064CE"/>
    <w:rsid w:val="78DA1DD6"/>
    <w:rsid w:val="78FD5500"/>
    <w:rsid w:val="792D437D"/>
    <w:rsid w:val="795F6ED9"/>
    <w:rsid w:val="796353ED"/>
    <w:rsid w:val="798D3D8B"/>
    <w:rsid w:val="79A97746"/>
    <w:rsid w:val="79B27370"/>
    <w:rsid w:val="79CD26EE"/>
    <w:rsid w:val="7A0C1712"/>
    <w:rsid w:val="7A1542B7"/>
    <w:rsid w:val="7A15509B"/>
    <w:rsid w:val="7A2465E9"/>
    <w:rsid w:val="7A2A48D3"/>
    <w:rsid w:val="7A901C38"/>
    <w:rsid w:val="7AA96EF6"/>
    <w:rsid w:val="7AB931D5"/>
    <w:rsid w:val="7AE521B9"/>
    <w:rsid w:val="7AF93CBA"/>
    <w:rsid w:val="7B1741EB"/>
    <w:rsid w:val="7B55315C"/>
    <w:rsid w:val="7B5A65D9"/>
    <w:rsid w:val="7B715FDC"/>
    <w:rsid w:val="7B783B37"/>
    <w:rsid w:val="7B851DD5"/>
    <w:rsid w:val="7B911A04"/>
    <w:rsid w:val="7BBFC817"/>
    <w:rsid w:val="7BCB2820"/>
    <w:rsid w:val="7BE17EF8"/>
    <w:rsid w:val="7BFB6D89"/>
    <w:rsid w:val="7C1C3A1B"/>
    <w:rsid w:val="7C3C1002"/>
    <w:rsid w:val="7C3F7CF0"/>
    <w:rsid w:val="7C5675D4"/>
    <w:rsid w:val="7C661A55"/>
    <w:rsid w:val="7C694787"/>
    <w:rsid w:val="7C6D6A29"/>
    <w:rsid w:val="7C7C1E3D"/>
    <w:rsid w:val="7C880220"/>
    <w:rsid w:val="7CC94B63"/>
    <w:rsid w:val="7CCD524A"/>
    <w:rsid w:val="7CDFEF79"/>
    <w:rsid w:val="7CE076F9"/>
    <w:rsid w:val="7CE209E7"/>
    <w:rsid w:val="7CE44792"/>
    <w:rsid w:val="7D183B71"/>
    <w:rsid w:val="7D352CF7"/>
    <w:rsid w:val="7D4905E1"/>
    <w:rsid w:val="7D6547B5"/>
    <w:rsid w:val="7DA65174"/>
    <w:rsid w:val="7DC66335"/>
    <w:rsid w:val="7DCC5EC9"/>
    <w:rsid w:val="7DD00F61"/>
    <w:rsid w:val="7DE75549"/>
    <w:rsid w:val="7DF7859C"/>
    <w:rsid w:val="7E0A3FF3"/>
    <w:rsid w:val="7E286CCD"/>
    <w:rsid w:val="7E7F320C"/>
    <w:rsid w:val="7E9B156F"/>
    <w:rsid w:val="7EA42556"/>
    <w:rsid w:val="7EA95998"/>
    <w:rsid w:val="7EB04601"/>
    <w:rsid w:val="7EBC14E6"/>
    <w:rsid w:val="7ECB73D7"/>
    <w:rsid w:val="7EEC2333"/>
    <w:rsid w:val="7EF330A4"/>
    <w:rsid w:val="7EF7625A"/>
    <w:rsid w:val="7F116EB5"/>
    <w:rsid w:val="7F1E431F"/>
    <w:rsid w:val="7F2C21C7"/>
    <w:rsid w:val="7F2D04AB"/>
    <w:rsid w:val="7F470C50"/>
    <w:rsid w:val="7F511C2E"/>
    <w:rsid w:val="7F583FDB"/>
    <w:rsid w:val="7F5C2B0E"/>
    <w:rsid w:val="7F5E7A87"/>
    <w:rsid w:val="7F645AFC"/>
    <w:rsid w:val="7F7AEAE7"/>
    <w:rsid w:val="7F8C7F08"/>
    <w:rsid w:val="7F985AAF"/>
    <w:rsid w:val="7FA7649F"/>
    <w:rsid w:val="7FB32B81"/>
    <w:rsid w:val="7FB87492"/>
    <w:rsid w:val="7FBA5A25"/>
    <w:rsid w:val="7FCB5142"/>
    <w:rsid w:val="7FDDD8AB"/>
    <w:rsid w:val="7FFE219F"/>
    <w:rsid w:val="99FD713B"/>
    <w:rsid w:val="9FFFC215"/>
    <w:rsid w:val="A4E72445"/>
    <w:rsid w:val="ABFE4360"/>
    <w:rsid w:val="BD3D4CDC"/>
    <w:rsid w:val="BDE72652"/>
    <w:rsid w:val="BFF5A9F4"/>
    <w:rsid w:val="C2FF773C"/>
    <w:rsid w:val="C6AD4FE6"/>
    <w:rsid w:val="CBDCAC3D"/>
    <w:rsid w:val="D69F6F51"/>
    <w:rsid w:val="D77FA4D7"/>
    <w:rsid w:val="D7DB0876"/>
    <w:rsid w:val="D7DDB621"/>
    <w:rsid w:val="DCCF5BA3"/>
    <w:rsid w:val="DF763202"/>
    <w:rsid w:val="DFB5C16D"/>
    <w:rsid w:val="DFFB880D"/>
    <w:rsid w:val="E2DD5369"/>
    <w:rsid w:val="E3C826EB"/>
    <w:rsid w:val="E5EE3E23"/>
    <w:rsid w:val="E7AE79B1"/>
    <w:rsid w:val="E92F0A6B"/>
    <w:rsid w:val="E9B3F8DE"/>
    <w:rsid w:val="EFFBFB31"/>
    <w:rsid w:val="F565C320"/>
    <w:rsid w:val="F7550B7B"/>
    <w:rsid w:val="F77F6CF0"/>
    <w:rsid w:val="F7FFD65A"/>
    <w:rsid w:val="F96B3E5A"/>
    <w:rsid w:val="FAFE20E7"/>
    <w:rsid w:val="FC767E5F"/>
    <w:rsid w:val="FEF886EB"/>
    <w:rsid w:val="FEF91212"/>
    <w:rsid w:val="FF5F0D76"/>
    <w:rsid w:val="FFBFA17E"/>
    <w:rsid w:val="FFDB8D4E"/>
    <w:rsid w:val="FFF7C8B3"/>
    <w:rsid w:val="FFF7D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0"/>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51"/>
    <w:qFormat/>
    <w:uiPriority w:val="0"/>
    <w:pPr>
      <w:keepNext/>
      <w:keepLines/>
      <w:tabs>
        <w:tab w:val="left" w:pos="576"/>
      </w:tabs>
      <w:spacing w:before="260" w:after="260" w:line="412" w:lineRule="auto"/>
      <w:ind w:left="576" w:hanging="576"/>
      <w:outlineLvl w:val="1"/>
    </w:pPr>
    <w:rPr>
      <w:rFonts w:ascii="Arial" w:hAnsi="Arial" w:eastAsia="黑体"/>
      <w:b/>
      <w:bCs/>
      <w:kern w:val="0"/>
      <w:sz w:val="32"/>
      <w:szCs w:val="32"/>
    </w:rPr>
  </w:style>
  <w:style w:type="paragraph" w:styleId="6">
    <w:name w:val="heading 3"/>
    <w:basedOn w:val="1"/>
    <w:next w:val="1"/>
    <w:link w:val="52"/>
    <w:qFormat/>
    <w:uiPriority w:val="0"/>
    <w:pPr>
      <w:keepNext/>
      <w:keepLines/>
      <w:tabs>
        <w:tab w:val="left" w:pos="720"/>
      </w:tabs>
      <w:spacing w:before="260" w:after="260" w:line="415" w:lineRule="auto"/>
      <w:ind w:left="720" w:hanging="720"/>
      <w:outlineLvl w:val="2"/>
    </w:pPr>
    <w:rPr>
      <w:b/>
      <w:bCs/>
      <w:kern w:val="0"/>
      <w:sz w:val="32"/>
      <w:szCs w:val="32"/>
    </w:rPr>
  </w:style>
  <w:style w:type="paragraph" w:styleId="7">
    <w:name w:val="heading 4"/>
    <w:basedOn w:val="1"/>
    <w:next w:val="1"/>
    <w:link w:val="53"/>
    <w:qFormat/>
    <w:uiPriority w:val="0"/>
    <w:pPr>
      <w:keepNext/>
      <w:keepLines/>
      <w:spacing w:before="280" w:after="290" w:line="372" w:lineRule="auto"/>
      <w:outlineLvl w:val="3"/>
    </w:pPr>
    <w:rPr>
      <w:rFonts w:ascii="Arial" w:hAnsi="Arial" w:eastAsia="黑体"/>
      <w:b/>
      <w:bCs/>
      <w:kern w:val="0"/>
      <w:sz w:val="28"/>
      <w:szCs w:val="28"/>
    </w:rPr>
  </w:style>
  <w:style w:type="paragraph" w:styleId="8">
    <w:name w:val="heading 5"/>
    <w:basedOn w:val="1"/>
    <w:next w:val="1"/>
    <w:link w:val="54"/>
    <w:qFormat/>
    <w:uiPriority w:val="0"/>
    <w:pPr>
      <w:keepNext/>
      <w:keepLines/>
      <w:spacing w:before="280" w:after="290" w:line="372" w:lineRule="auto"/>
      <w:outlineLvl w:val="4"/>
    </w:pPr>
    <w:rPr>
      <w:b/>
      <w:bCs/>
      <w:kern w:val="0"/>
      <w:sz w:val="28"/>
      <w:szCs w:val="28"/>
    </w:rPr>
  </w:style>
  <w:style w:type="paragraph" w:styleId="9">
    <w:name w:val="heading 6"/>
    <w:basedOn w:val="1"/>
    <w:next w:val="1"/>
    <w:qFormat/>
    <w:uiPriority w:val="0"/>
    <w:pPr>
      <w:keepNext/>
      <w:keepLines/>
      <w:tabs>
        <w:tab w:val="left" w:pos="1873"/>
      </w:tabs>
      <w:spacing w:before="160" w:after="120"/>
      <w:outlineLvl w:val="5"/>
    </w:pPr>
    <w:rPr>
      <w:rFonts w:eastAsia="黑体"/>
      <w:b/>
      <w:bCs/>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9"/>
    <w:qFormat/>
    <w:uiPriority w:val="0"/>
    <w:pPr>
      <w:spacing w:after="120"/>
    </w:pPr>
    <w:rPr>
      <w:kern w:val="0"/>
      <w:sz w:val="28"/>
    </w:rPr>
  </w:style>
  <w:style w:type="paragraph" w:styleId="3">
    <w:name w:val="Body Text First Indent"/>
    <w:basedOn w:val="2"/>
    <w:next w:val="1"/>
    <w:qFormat/>
    <w:uiPriority w:val="0"/>
    <w:pPr>
      <w:ind w:firstLine="420" w:firstLineChars="100"/>
    </w:pPr>
  </w:style>
  <w:style w:type="paragraph" w:styleId="10">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1">
    <w:name w:val="Normal Indent"/>
    <w:basedOn w:val="1"/>
    <w:next w:val="1"/>
    <w:qFormat/>
    <w:uiPriority w:val="0"/>
    <w:pPr>
      <w:tabs>
        <w:tab w:val="left" w:pos="2040"/>
      </w:tabs>
      <w:ind w:firstLine="420"/>
    </w:pPr>
    <w:rPr>
      <w:szCs w:val="20"/>
    </w:rPr>
  </w:style>
  <w:style w:type="paragraph" w:styleId="12">
    <w:name w:val="caption"/>
    <w:basedOn w:val="1"/>
    <w:next w:val="1"/>
    <w:qFormat/>
    <w:uiPriority w:val="0"/>
    <w:pPr>
      <w:tabs>
        <w:tab w:val="left" w:pos="780"/>
      </w:tabs>
      <w:spacing w:before="152" w:after="160"/>
    </w:pPr>
    <w:rPr>
      <w:rFonts w:ascii="Arial" w:hAnsi="Arial" w:eastAsia="黑体" w:cs="Arial"/>
      <w:sz w:val="20"/>
      <w:szCs w:val="20"/>
    </w:rPr>
  </w:style>
  <w:style w:type="paragraph" w:styleId="13">
    <w:name w:val="Document Map"/>
    <w:basedOn w:val="1"/>
    <w:link w:val="55"/>
    <w:qFormat/>
    <w:uiPriority w:val="0"/>
    <w:pPr>
      <w:shd w:val="clear" w:color="auto" w:fill="000080"/>
    </w:pPr>
    <w:rPr>
      <w:kern w:val="0"/>
      <w:sz w:val="20"/>
    </w:rPr>
  </w:style>
  <w:style w:type="paragraph" w:styleId="14">
    <w:name w:val="annotation text"/>
    <w:basedOn w:val="1"/>
    <w:link w:val="56"/>
    <w:qFormat/>
    <w:uiPriority w:val="0"/>
    <w:pPr>
      <w:jc w:val="left"/>
    </w:pPr>
    <w:rPr>
      <w:kern w:val="0"/>
      <w:sz w:val="20"/>
      <w:szCs w:val="20"/>
    </w:rPr>
  </w:style>
  <w:style w:type="paragraph" w:styleId="15">
    <w:name w:val="Body Text 3"/>
    <w:basedOn w:val="1"/>
    <w:link w:val="57"/>
    <w:qFormat/>
    <w:uiPriority w:val="0"/>
    <w:pPr>
      <w:tabs>
        <w:tab w:val="left" w:pos="1620"/>
      </w:tabs>
      <w:snapToGrid w:val="0"/>
      <w:spacing w:before="50" w:after="50"/>
    </w:pPr>
    <w:rPr>
      <w:rFonts w:eastAsia="仿宋_GB2312"/>
      <w:b/>
      <w:bCs/>
      <w:kern w:val="0"/>
      <w:sz w:val="24"/>
      <w:szCs w:val="20"/>
    </w:rPr>
  </w:style>
  <w:style w:type="paragraph" w:styleId="16">
    <w:name w:val="Body Text Indent"/>
    <w:basedOn w:val="1"/>
    <w:next w:val="17"/>
    <w:link w:val="58"/>
    <w:qFormat/>
    <w:uiPriority w:val="0"/>
    <w:pPr>
      <w:spacing w:line="200" w:lineRule="exact"/>
      <w:ind w:firstLine="301"/>
    </w:pPr>
    <w:rPr>
      <w:rFonts w:ascii="宋体"/>
      <w:spacing w:val="-4"/>
      <w:kern w:val="0"/>
      <w:sz w:val="18"/>
      <w:szCs w:val="20"/>
    </w:rPr>
  </w:style>
  <w:style w:type="paragraph" w:styleId="17">
    <w:name w:val="envelope return"/>
    <w:basedOn w:val="1"/>
    <w:unhideWhenUsed/>
    <w:qFormat/>
    <w:uiPriority w:val="99"/>
    <w:pPr>
      <w:snapToGrid w:val="0"/>
      <w:spacing w:line="280" w:lineRule="exact"/>
    </w:pPr>
    <w:rPr>
      <w:rFonts w:ascii="Arial" w:hAnsi="Arial"/>
    </w:rPr>
  </w:style>
  <w:style w:type="paragraph" w:styleId="18">
    <w:name w:val="List Number 3"/>
    <w:basedOn w:val="1"/>
    <w:qFormat/>
    <w:uiPriority w:val="0"/>
    <w:pPr>
      <w:tabs>
        <w:tab w:val="left" w:pos="1200"/>
      </w:tabs>
      <w:ind w:left="1200" w:hanging="360"/>
    </w:pPr>
  </w:style>
  <w:style w:type="paragraph" w:styleId="19">
    <w:name w:val="List 2"/>
    <w:basedOn w:val="1"/>
    <w:qFormat/>
    <w:uiPriority w:val="0"/>
    <w:pPr>
      <w:tabs>
        <w:tab w:val="left" w:pos="1620"/>
      </w:tabs>
      <w:ind w:left="400" w:leftChars="200" w:hanging="200" w:hangingChars="200"/>
    </w:pPr>
    <w:rPr>
      <w:sz w:val="28"/>
    </w:rPr>
  </w:style>
  <w:style w:type="paragraph" w:styleId="20">
    <w:name w:val="toc 3"/>
    <w:basedOn w:val="1"/>
    <w:next w:val="1"/>
    <w:qFormat/>
    <w:uiPriority w:val="39"/>
    <w:pPr>
      <w:ind w:left="400" w:leftChars="400"/>
    </w:pPr>
  </w:style>
  <w:style w:type="paragraph" w:styleId="21">
    <w:name w:val="Plain Text"/>
    <w:basedOn w:val="1"/>
    <w:next w:val="1"/>
    <w:link w:val="59"/>
    <w:qFormat/>
    <w:uiPriority w:val="0"/>
    <w:pPr>
      <w:spacing w:beforeLines="50" w:afterLines="50" w:line="400" w:lineRule="exact"/>
    </w:pPr>
    <w:rPr>
      <w:rFonts w:ascii="宋体"/>
      <w:kern w:val="0"/>
      <w:sz w:val="24"/>
    </w:rPr>
  </w:style>
  <w:style w:type="paragraph" w:styleId="22">
    <w:name w:val="Date"/>
    <w:basedOn w:val="1"/>
    <w:next w:val="1"/>
    <w:link w:val="60"/>
    <w:qFormat/>
    <w:uiPriority w:val="0"/>
    <w:pPr>
      <w:tabs>
        <w:tab w:val="left" w:pos="2040"/>
      </w:tabs>
      <w:ind w:left="2500" w:leftChars="2500"/>
    </w:pPr>
    <w:rPr>
      <w:rFonts w:eastAsia="楷体_GB2312"/>
      <w:kern w:val="0"/>
      <w:sz w:val="32"/>
      <w:szCs w:val="20"/>
    </w:rPr>
  </w:style>
  <w:style w:type="paragraph" w:styleId="23">
    <w:name w:val="Body Text Indent 2"/>
    <w:basedOn w:val="1"/>
    <w:link w:val="61"/>
    <w:qFormat/>
    <w:uiPriority w:val="0"/>
    <w:pPr>
      <w:snapToGrid w:val="0"/>
      <w:ind w:firstLine="225" w:firstLineChars="225"/>
    </w:pPr>
    <w:rPr>
      <w:rFonts w:ascii="仿宋_GB2312" w:hAnsi="仿宋_GB2312"/>
      <w:b/>
      <w:bCs/>
      <w:color w:val="000000"/>
      <w:kern w:val="0"/>
      <w:sz w:val="24"/>
    </w:rPr>
  </w:style>
  <w:style w:type="paragraph" w:styleId="24">
    <w:name w:val="Balloon Text"/>
    <w:basedOn w:val="1"/>
    <w:link w:val="62"/>
    <w:qFormat/>
    <w:uiPriority w:val="99"/>
    <w:rPr>
      <w:kern w:val="0"/>
      <w:sz w:val="18"/>
      <w:szCs w:val="18"/>
    </w:rPr>
  </w:style>
  <w:style w:type="paragraph" w:styleId="25">
    <w:name w:val="footer"/>
    <w:basedOn w:val="1"/>
    <w:link w:val="63"/>
    <w:unhideWhenUsed/>
    <w:qFormat/>
    <w:uiPriority w:val="99"/>
    <w:pPr>
      <w:tabs>
        <w:tab w:val="center" w:pos="4153"/>
        <w:tab w:val="right" w:pos="8306"/>
      </w:tabs>
      <w:snapToGrid w:val="0"/>
      <w:jc w:val="left"/>
    </w:pPr>
    <w:rPr>
      <w:kern w:val="0"/>
      <w:sz w:val="18"/>
      <w:szCs w:val="18"/>
    </w:rPr>
  </w:style>
  <w:style w:type="paragraph" w:styleId="26">
    <w:name w:val="header"/>
    <w:basedOn w:val="1"/>
    <w:link w:val="6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qFormat/>
    <w:uiPriority w:val="39"/>
  </w:style>
  <w:style w:type="paragraph" w:styleId="28">
    <w:name w:val="Subtitle"/>
    <w:basedOn w:val="1"/>
    <w:next w:val="1"/>
    <w:link w:val="65"/>
    <w:qFormat/>
    <w:uiPriority w:val="0"/>
    <w:pPr>
      <w:spacing w:before="240" w:after="60" w:line="312" w:lineRule="auto"/>
      <w:jc w:val="center"/>
      <w:outlineLvl w:val="1"/>
    </w:pPr>
    <w:rPr>
      <w:rFonts w:ascii="Cambria" w:hAnsi="Cambria"/>
      <w:b/>
      <w:bCs/>
      <w:kern w:val="28"/>
      <w:sz w:val="32"/>
      <w:szCs w:val="32"/>
    </w:rPr>
  </w:style>
  <w:style w:type="paragraph" w:styleId="29">
    <w:name w:val="List"/>
    <w:basedOn w:val="1"/>
    <w:qFormat/>
    <w:uiPriority w:val="0"/>
    <w:pPr>
      <w:ind w:left="200" w:hanging="200" w:hangingChars="200"/>
    </w:pPr>
    <w:rPr>
      <w:sz w:val="28"/>
    </w:rPr>
  </w:style>
  <w:style w:type="paragraph" w:styleId="30">
    <w:name w:val="toc 6"/>
    <w:basedOn w:val="1"/>
    <w:next w:val="1"/>
    <w:qFormat/>
    <w:uiPriority w:val="0"/>
    <w:pPr>
      <w:ind w:left="1400"/>
    </w:pPr>
    <w:rPr>
      <w:rFonts w:ascii="Calibri"/>
      <w:sz w:val="18"/>
      <w:szCs w:val="18"/>
    </w:rPr>
  </w:style>
  <w:style w:type="paragraph" w:styleId="31">
    <w:name w:val="Body Text Indent 3"/>
    <w:basedOn w:val="1"/>
    <w:link w:val="66"/>
    <w:qFormat/>
    <w:uiPriority w:val="0"/>
    <w:pPr>
      <w:tabs>
        <w:tab w:val="left" w:pos="780"/>
      </w:tabs>
      <w:snapToGrid w:val="0"/>
      <w:ind w:firstLine="200" w:firstLineChars="200"/>
      <w:jc w:val="left"/>
    </w:pPr>
    <w:rPr>
      <w:rFonts w:ascii="仿宋_GB2312" w:eastAsia="仿宋_GB2312"/>
      <w:color w:val="000000"/>
      <w:kern w:val="0"/>
      <w:sz w:val="24"/>
    </w:rPr>
  </w:style>
  <w:style w:type="paragraph" w:styleId="32">
    <w:name w:val="toc 2"/>
    <w:basedOn w:val="1"/>
    <w:next w:val="1"/>
    <w:qFormat/>
    <w:uiPriority w:val="39"/>
    <w:pPr>
      <w:ind w:left="200" w:leftChars="200"/>
    </w:pPr>
  </w:style>
  <w:style w:type="paragraph" w:styleId="33">
    <w:name w:val="Body Text 2"/>
    <w:basedOn w:val="1"/>
    <w:link w:val="67"/>
    <w:qFormat/>
    <w:uiPriority w:val="0"/>
    <w:pPr>
      <w:widowControl/>
      <w:snapToGrid w:val="0"/>
      <w:spacing w:before="50" w:afterLines="50" w:line="400" w:lineRule="exact"/>
      <w:jc w:val="left"/>
    </w:pPr>
    <w:rPr>
      <w:rFonts w:ascii="宋体"/>
      <w:color w:val="000000"/>
      <w:kern w:val="0"/>
      <w:sz w:val="24"/>
    </w:rPr>
  </w:style>
  <w:style w:type="paragraph" w:styleId="34">
    <w:name w:val="HTML Preformatted"/>
    <w:basedOn w:val="1"/>
    <w:link w:val="68"/>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5">
    <w:name w:val="Normal (Web)"/>
    <w:basedOn w:val="1"/>
    <w:qFormat/>
    <w:uiPriority w:val="0"/>
    <w:pPr>
      <w:widowControl/>
      <w:spacing w:before="100" w:beforeAutospacing="1" w:after="100" w:afterAutospacing="1"/>
      <w:jc w:val="left"/>
    </w:pPr>
    <w:rPr>
      <w:kern w:val="0"/>
      <w:sz w:val="24"/>
    </w:rPr>
  </w:style>
  <w:style w:type="paragraph" w:styleId="36">
    <w:name w:val="Title"/>
    <w:basedOn w:val="1"/>
    <w:next w:val="1"/>
    <w:qFormat/>
    <w:uiPriority w:val="0"/>
    <w:pPr>
      <w:spacing w:before="240" w:after="60"/>
      <w:jc w:val="center"/>
      <w:outlineLvl w:val="0"/>
    </w:pPr>
    <w:rPr>
      <w:rFonts w:ascii="Cambria" w:hAnsi="Cambria"/>
      <w:b/>
      <w:sz w:val="32"/>
    </w:rPr>
  </w:style>
  <w:style w:type="paragraph" w:styleId="37">
    <w:name w:val="annotation subject"/>
    <w:basedOn w:val="14"/>
    <w:next w:val="14"/>
    <w:link w:val="69"/>
    <w:qFormat/>
    <w:uiPriority w:val="0"/>
  </w:style>
  <w:style w:type="paragraph" w:styleId="38">
    <w:name w:val="Body Text First Indent 2"/>
    <w:basedOn w:val="16"/>
    <w:next w:val="1"/>
    <w:link w:val="70"/>
    <w:unhideWhenUsed/>
    <w:qFormat/>
    <w:uiPriority w:val="99"/>
    <w:pPr>
      <w:spacing w:after="120" w:line="240" w:lineRule="auto"/>
      <w:ind w:left="420" w:leftChars="200" w:firstLine="420" w:firstLineChars="200"/>
    </w:pPr>
    <w:rPr>
      <w:rFonts w:ascii="Times New Roman"/>
      <w:kern w:val="2"/>
      <w:sz w:val="21"/>
      <w:szCs w:val="24"/>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qFormat/>
    <w:uiPriority w:val="0"/>
  </w:style>
  <w:style w:type="character" w:styleId="44">
    <w:name w:val="FollowedHyperlink"/>
    <w:qFormat/>
    <w:uiPriority w:val="99"/>
    <w:rPr>
      <w:color w:val="800080"/>
      <w:u w:val="single"/>
    </w:rPr>
  </w:style>
  <w:style w:type="character" w:styleId="45">
    <w:name w:val="Emphasis"/>
    <w:qFormat/>
    <w:uiPriority w:val="20"/>
    <w:rPr>
      <w:color w:val="CC0000"/>
    </w:rPr>
  </w:style>
  <w:style w:type="character" w:styleId="46">
    <w:name w:val="HTML Acronym"/>
    <w:qFormat/>
    <w:uiPriority w:val="0"/>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customStyle="1" w:styleId="49">
    <w:name w:val="正文文本 Char2"/>
    <w:link w:val="2"/>
    <w:qFormat/>
    <w:uiPriority w:val="0"/>
    <w:rPr>
      <w:rFonts w:ascii="Times New Roman" w:hAnsi="Times New Roman" w:eastAsia="宋体" w:cs="Times New Roman"/>
      <w:sz w:val="28"/>
      <w:szCs w:val="24"/>
    </w:rPr>
  </w:style>
  <w:style w:type="character" w:customStyle="1" w:styleId="50">
    <w:name w:val="标题 1 Char2"/>
    <w:link w:val="4"/>
    <w:qFormat/>
    <w:uiPriority w:val="0"/>
    <w:rPr>
      <w:rFonts w:ascii="Times New Roman" w:hAnsi="Times New Roman" w:eastAsia="宋体" w:cs="Times New Roman"/>
      <w:b/>
      <w:bCs/>
      <w:kern w:val="44"/>
      <w:sz w:val="44"/>
      <w:szCs w:val="44"/>
    </w:rPr>
  </w:style>
  <w:style w:type="character" w:customStyle="1" w:styleId="51">
    <w:name w:val="标题 2 Char2"/>
    <w:link w:val="5"/>
    <w:qFormat/>
    <w:uiPriority w:val="0"/>
    <w:rPr>
      <w:rFonts w:ascii="Arial" w:hAnsi="Arial" w:eastAsia="黑体"/>
      <w:b/>
      <w:bCs/>
      <w:sz w:val="32"/>
      <w:szCs w:val="32"/>
    </w:rPr>
  </w:style>
  <w:style w:type="character" w:customStyle="1" w:styleId="52">
    <w:name w:val="标题 3 Char2"/>
    <w:link w:val="6"/>
    <w:qFormat/>
    <w:uiPriority w:val="0"/>
    <w:rPr>
      <w:b/>
      <w:bCs/>
      <w:sz w:val="32"/>
      <w:szCs w:val="32"/>
    </w:rPr>
  </w:style>
  <w:style w:type="character" w:customStyle="1" w:styleId="53">
    <w:name w:val="标题 4 Char2"/>
    <w:link w:val="7"/>
    <w:qFormat/>
    <w:uiPriority w:val="0"/>
    <w:rPr>
      <w:rFonts w:ascii="Arial" w:hAnsi="Arial" w:eastAsia="黑体" w:cs="Times New Roman"/>
      <w:b/>
      <w:bCs/>
      <w:sz w:val="28"/>
      <w:szCs w:val="28"/>
    </w:rPr>
  </w:style>
  <w:style w:type="character" w:customStyle="1" w:styleId="54">
    <w:name w:val="标题 5 Char2"/>
    <w:link w:val="8"/>
    <w:qFormat/>
    <w:uiPriority w:val="0"/>
    <w:rPr>
      <w:rFonts w:ascii="Times New Roman" w:hAnsi="Times New Roman" w:eastAsia="宋体" w:cs="Times New Roman"/>
      <w:b/>
      <w:bCs/>
      <w:sz w:val="28"/>
      <w:szCs w:val="28"/>
    </w:rPr>
  </w:style>
  <w:style w:type="character" w:customStyle="1" w:styleId="55">
    <w:name w:val="文档结构图 Char2"/>
    <w:link w:val="13"/>
    <w:qFormat/>
    <w:uiPriority w:val="0"/>
    <w:rPr>
      <w:rFonts w:ascii="Times New Roman" w:hAnsi="Times New Roman" w:eastAsia="宋体" w:cs="Times New Roman"/>
      <w:szCs w:val="24"/>
      <w:shd w:val="clear" w:color="auto" w:fill="000080"/>
    </w:rPr>
  </w:style>
  <w:style w:type="character" w:customStyle="1" w:styleId="56">
    <w:name w:val="批注文字 Char3"/>
    <w:link w:val="14"/>
    <w:qFormat/>
    <w:uiPriority w:val="0"/>
    <w:rPr>
      <w:rFonts w:ascii="Times New Roman" w:hAnsi="Times New Roman" w:eastAsia="宋体" w:cs="Times New Roman"/>
      <w:szCs w:val="20"/>
    </w:rPr>
  </w:style>
  <w:style w:type="character" w:customStyle="1" w:styleId="57">
    <w:name w:val="正文文本 3 Char2"/>
    <w:link w:val="15"/>
    <w:qFormat/>
    <w:uiPriority w:val="0"/>
    <w:rPr>
      <w:rFonts w:eastAsia="仿宋_GB2312"/>
      <w:b/>
      <w:bCs/>
      <w:sz w:val="24"/>
    </w:rPr>
  </w:style>
  <w:style w:type="character" w:customStyle="1" w:styleId="58">
    <w:name w:val="正文文本缩进 Char2"/>
    <w:link w:val="16"/>
    <w:qFormat/>
    <w:uiPriority w:val="0"/>
    <w:rPr>
      <w:rFonts w:ascii="宋体" w:hAnsi="Times New Roman" w:eastAsia="宋体" w:cs="Times New Roman"/>
      <w:spacing w:val="-4"/>
      <w:sz w:val="18"/>
      <w:szCs w:val="20"/>
    </w:rPr>
  </w:style>
  <w:style w:type="character" w:customStyle="1" w:styleId="59">
    <w:name w:val="纯文本 Char3"/>
    <w:link w:val="21"/>
    <w:qFormat/>
    <w:uiPriority w:val="0"/>
    <w:rPr>
      <w:rFonts w:ascii="宋体" w:hAnsi="Times New Roman" w:eastAsia="宋体" w:cs="Times New Roman"/>
      <w:sz w:val="24"/>
      <w:szCs w:val="24"/>
    </w:rPr>
  </w:style>
  <w:style w:type="character" w:customStyle="1" w:styleId="60">
    <w:name w:val="日期 Char2"/>
    <w:link w:val="22"/>
    <w:qFormat/>
    <w:uiPriority w:val="0"/>
    <w:rPr>
      <w:rFonts w:eastAsia="楷体_GB2312"/>
      <w:sz w:val="32"/>
    </w:rPr>
  </w:style>
  <w:style w:type="character" w:customStyle="1" w:styleId="61">
    <w:name w:val="正文文本缩进 2 Char2"/>
    <w:link w:val="23"/>
    <w:qFormat/>
    <w:uiPriority w:val="0"/>
    <w:rPr>
      <w:rFonts w:ascii="仿宋_GB2312" w:hAnsi="仿宋_GB2312" w:eastAsia="宋体" w:cs="Times New Roman"/>
      <w:b/>
      <w:bCs/>
      <w:color w:val="000000"/>
      <w:sz w:val="24"/>
      <w:szCs w:val="24"/>
    </w:rPr>
  </w:style>
  <w:style w:type="character" w:customStyle="1" w:styleId="62">
    <w:name w:val="批注框文本 Char2"/>
    <w:link w:val="24"/>
    <w:qFormat/>
    <w:uiPriority w:val="99"/>
    <w:rPr>
      <w:rFonts w:ascii="Times New Roman" w:hAnsi="Times New Roman" w:eastAsia="宋体" w:cs="Times New Roman"/>
      <w:sz w:val="18"/>
      <w:szCs w:val="18"/>
    </w:rPr>
  </w:style>
  <w:style w:type="character" w:customStyle="1" w:styleId="63">
    <w:name w:val="页脚 Char3"/>
    <w:link w:val="25"/>
    <w:qFormat/>
    <w:uiPriority w:val="99"/>
    <w:rPr>
      <w:sz w:val="18"/>
      <w:szCs w:val="18"/>
    </w:rPr>
  </w:style>
  <w:style w:type="character" w:customStyle="1" w:styleId="64">
    <w:name w:val="页眉 Char2"/>
    <w:link w:val="26"/>
    <w:qFormat/>
    <w:uiPriority w:val="99"/>
    <w:rPr>
      <w:sz w:val="18"/>
      <w:szCs w:val="18"/>
    </w:rPr>
  </w:style>
  <w:style w:type="character" w:customStyle="1" w:styleId="65">
    <w:name w:val="副标题 Char3"/>
    <w:link w:val="28"/>
    <w:qFormat/>
    <w:uiPriority w:val="0"/>
    <w:rPr>
      <w:rFonts w:ascii="Cambria" w:hAnsi="Cambria"/>
      <w:b/>
      <w:bCs/>
      <w:kern w:val="28"/>
      <w:sz w:val="32"/>
      <w:szCs w:val="32"/>
    </w:rPr>
  </w:style>
  <w:style w:type="character" w:customStyle="1" w:styleId="66">
    <w:name w:val="正文文本缩进 3 Char2"/>
    <w:link w:val="31"/>
    <w:qFormat/>
    <w:uiPriority w:val="0"/>
    <w:rPr>
      <w:rFonts w:ascii="仿宋_GB2312" w:eastAsia="仿宋_GB2312"/>
      <w:color w:val="000000"/>
      <w:sz w:val="24"/>
      <w:szCs w:val="24"/>
    </w:rPr>
  </w:style>
  <w:style w:type="character" w:customStyle="1" w:styleId="67">
    <w:name w:val="正文文本 2 Char2"/>
    <w:link w:val="33"/>
    <w:qFormat/>
    <w:uiPriority w:val="0"/>
    <w:rPr>
      <w:rFonts w:ascii="宋体" w:hAnsi="Times New Roman" w:eastAsia="宋体" w:cs="Times New Roman"/>
      <w:color w:val="000000"/>
      <w:sz w:val="24"/>
      <w:szCs w:val="24"/>
    </w:rPr>
  </w:style>
  <w:style w:type="character" w:customStyle="1" w:styleId="68">
    <w:name w:val="HTML 预设格式 Char2"/>
    <w:link w:val="34"/>
    <w:qFormat/>
    <w:uiPriority w:val="0"/>
    <w:rPr>
      <w:rFonts w:ascii="宋体" w:hAnsi="宋体" w:cs="宋体"/>
      <w:sz w:val="24"/>
      <w:szCs w:val="24"/>
    </w:rPr>
  </w:style>
  <w:style w:type="character" w:customStyle="1" w:styleId="69">
    <w:name w:val="批注主题 Char2"/>
    <w:link w:val="37"/>
    <w:qFormat/>
    <w:uiPriority w:val="0"/>
    <w:rPr>
      <w:rFonts w:ascii="Times New Roman" w:hAnsi="Times New Roman" w:eastAsia="宋体" w:cs="Times New Roman"/>
      <w:szCs w:val="20"/>
    </w:rPr>
  </w:style>
  <w:style w:type="character" w:customStyle="1" w:styleId="70">
    <w:name w:val="正文首行缩进 2 Char1"/>
    <w:link w:val="38"/>
    <w:qFormat/>
    <w:uiPriority w:val="99"/>
    <w:rPr>
      <w:rFonts w:ascii="Times New Roman" w:hAnsi="Times New Roman" w:eastAsia="宋体" w:cs="Times New Roman"/>
      <w:spacing w:val="-4"/>
      <w:kern w:val="2"/>
      <w:sz w:val="21"/>
      <w:szCs w:val="24"/>
    </w:rPr>
  </w:style>
  <w:style w:type="paragraph" w:customStyle="1" w:styleId="71">
    <w:name w:val="样式 正文首行缩进 2 + Arial"/>
    <w:basedOn w:val="1"/>
    <w:next w:val="1"/>
    <w:qFormat/>
    <w:uiPriority w:val="0"/>
    <w:pPr>
      <w:spacing w:after="120" w:line="320" w:lineRule="atLeast"/>
      <w:ind w:firstLine="200"/>
    </w:pPr>
    <w:rPr>
      <w:rFonts w:ascii="Arial" w:hAnsi="Arial"/>
      <w:kern w:val="0"/>
    </w:rPr>
  </w:style>
  <w:style w:type="character" w:customStyle="1" w:styleId="72">
    <w:name w:val="标题 2 字符"/>
    <w:qFormat/>
    <w:uiPriority w:val="0"/>
    <w:rPr>
      <w:rFonts w:ascii="Cambria" w:hAnsi="Cambria" w:eastAsia="宋体" w:cs="Times New Roman"/>
      <w:b/>
      <w:bCs/>
      <w:sz w:val="32"/>
      <w:szCs w:val="32"/>
    </w:rPr>
  </w:style>
  <w:style w:type="paragraph" w:customStyle="1" w:styleId="73">
    <w:name w:val="正文缩进1"/>
    <w:basedOn w:val="1"/>
    <w:qFormat/>
    <w:uiPriority w:val="0"/>
    <w:pPr>
      <w:spacing w:beforeLines="50" w:afterLines="50" w:line="300" w:lineRule="auto"/>
      <w:ind w:firstLine="480"/>
    </w:pPr>
    <w:rPr>
      <w:kern w:val="0"/>
      <w:lang w:val="zh-CN"/>
    </w:rPr>
  </w:style>
  <w:style w:type="paragraph" w:customStyle="1" w:styleId="74">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75">
    <w:name w:val="正文文本缩进 Char"/>
    <w:qFormat/>
    <w:uiPriority w:val="99"/>
    <w:rPr>
      <w:rFonts w:ascii="宋体" w:hAnsi="Times New Roman" w:eastAsia="宋体" w:cs="Times New Roman"/>
      <w:spacing w:val="-4"/>
      <w:sz w:val="18"/>
      <w:szCs w:val="20"/>
    </w:rPr>
  </w:style>
  <w:style w:type="character" w:customStyle="1" w:styleId="76">
    <w:name w:val="文档结构图 Char1"/>
    <w:qFormat/>
    <w:uiPriority w:val="0"/>
    <w:rPr>
      <w:rFonts w:ascii="Times New Roman" w:hAnsi="Times New Roman" w:eastAsia="宋体" w:cs="Times New Roman"/>
      <w:szCs w:val="24"/>
      <w:shd w:val="clear" w:color="auto" w:fill="000080"/>
    </w:rPr>
  </w:style>
  <w:style w:type="character" w:customStyle="1" w:styleId="77">
    <w:name w:val="日期 Char"/>
    <w:qFormat/>
    <w:uiPriority w:val="0"/>
    <w:rPr>
      <w:rFonts w:ascii="Times New Roman" w:hAnsi="Times New Roman" w:eastAsia="楷体_GB2312"/>
      <w:sz w:val="32"/>
    </w:rPr>
  </w:style>
  <w:style w:type="character" w:customStyle="1" w:styleId="78">
    <w:name w:val="HTML 预设格式 Char"/>
    <w:qFormat/>
    <w:uiPriority w:val="0"/>
    <w:rPr>
      <w:rFonts w:ascii="宋体" w:hAnsi="宋体" w:cs="宋体"/>
      <w:sz w:val="24"/>
      <w:szCs w:val="24"/>
    </w:rPr>
  </w:style>
  <w:style w:type="character" w:customStyle="1" w:styleId="79">
    <w:name w:val="标准文本 Char"/>
    <w:link w:val="80"/>
    <w:qFormat/>
    <w:locked/>
    <w:uiPriority w:val="0"/>
    <w:rPr>
      <w:lang w:val="zh-CN"/>
    </w:rPr>
  </w:style>
  <w:style w:type="paragraph" w:customStyle="1" w:styleId="80">
    <w:name w:val="标准文本"/>
    <w:basedOn w:val="1"/>
    <w:link w:val="79"/>
    <w:qFormat/>
    <w:uiPriority w:val="0"/>
    <w:pPr>
      <w:widowControl/>
      <w:spacing w:line="360" w:lineRule="auto"/>
      <w:ind w:firstLine="480" w:firstLineChars="200"/>
      <w:jc w:val="left"/>
    </w:pPr>
    <w:rPr>
      <w:kern w:val="0"/>
      <w:sz w:val="20"/>
      <w:szCs w:val="20"/>
      <w:lang w:val="zh-CN"/>
    </w:rPr>
  </w:style>
  <w:style w:type="character" w:customStyle="1" w:styleId="81">
    <w:name w:val="apple-style-span"/>
    <w:qFormat/>
    <w:uiPriority w:val="0"/>
  </w:style>
  <w:style w:type="character" w:customStyle="1" w:styleId="82">
    <w:name w:val="正文文本缩进 2 Char"/>
    <w:qFormat/>
    <w:uiPriority w:val="0"/>
    <w:rPr>
      <w:rFonts w:ascii="仿宋_GB2312" w:hAnsi="仿宋_GB2312" w:eastAsia="宋体" w:cs="Times New Roman"/>
      <w:b/>
      <w:bCs/>
      <w:color w:val="000000"/>
      <w:sz w:val="24"/>
      <w:szCs w:val="24"/>
    </w:rPr>
  </w:style>
  <w:style w:type="character" w:customStyle="1" w:styleId="83">
    <w:name w:val="副标题 Char"/>
    <w:qFormat/>
    <w:uiPriority w:val="0"/>
    <w:rPr>
      <w:rFonts w:ascii="Cambria" w:hAnsi="Cambria"/>
      <w:b/>
      <w:bCs/>
      <w:kern w:val="28"/>
      <w:sz w:val="32"/>
      <w:szCs w:val="32"/>
    </w:rPr>
  </w:style>
  <w:style w:type="character" w:customStyle="1" w:styleId="84">
    <w:name w:val="font221"/>
    <w:qFormat/>
    <w:uiPriority w:val="0"/>
    <w:rPr>
      <w:rFonts w:hint="eastAsia" w:ascii="宋体" w:hAnsi="宋体" w:eastAsia="宋体" w:cs="宋体"/>
      <w:color w:val="000000"/>
      <w:sz w:val="18"/>
      <w:szCs w:val="18"/>
      <w:u w:val="none"/>
    </w:rPr>
  </w:style>
  <w:style w:type="character" w:customStyle="1" w:styleId="85">
    <w:name w:val="批注文字 Char1"/>
    <w:qFormat/>
    <w:uiPriority w:val="0"/>
    <w:rPr>
      <w:rFonts w:ascii="Times New Roman" w:hAnsi="Times New Roman" w:eastAsia="宋体" w:cs="Times New Roman"/>
      <w:szCs w:val="20"/>
    </w:rPr>
  </w:style>
  <w:style w:type="character" w:customStyle="1" w:styleId="86">
    <w:name w:val="标题 2 Char1"/>
    <w:qFormat/>
    <w:uiPriority w:val="0"/>
    <w:rPr>
      <w:rFonts w:ascii="Arial" w:hAnsi="Arial" w:eastAsia="黑体"/>
      <w:b/>
      <w:bCs/>
      <w:sz w:val="32"/>
      <w:szCs w:val="32"/>
    </w:rPr>
  </w:style>
  <w:style w:type="character" w:customStyle="1" w:styleId="87">
    <w:name w:val="页眉 Char"/>
    <w:qFormat/>
    <w:uiPriority w:val="99"/>
    <w:rPr>
      <w:sz w:val="18"/>
      <w:szCs w:val="18"/>
    </w:rPr>
  </w:style>
  <w:style w:type="character" w:styleId="88">
    <w:name w:val="Placeholder Text"/>
    <w:semiHidden/>
    <w:qFormat/>
    <w:uiPriority w:val="99"/>
    <w:rPr>
      <w:color w:val="808080"/>
    </w:rPr>
  </w:style>
  <w:style w:type="character" w:customStyle="1" w:styleId="89">
    <w:name w:val="正文文本缩进 2 Char1"/>
    <w:qFormat/>
    <w:uiPriority w:val="0"/>
    <w:rPr>
      <w:rFonts w:ascii="仿宋_GB2312" w:hAnsi="仿宋_GB2312" w:eastAsia="宋体" w:cs="Times New Roman"/>
      <w:b/>
      <w:bCs/>
      <w:color w:val="000000"/>
      <w:sz w:val="24"/>
      <w:szCs w:val="24"/>
    </w:rPr>
  </w:style>
  <w:style w:type="character" w:customStyle="1" w:styleId="90">
    <w:name w:val="正文文本 2 Char"/>
    <w:qFormat/>
    <w:uiPriority w:val="0"/>
    <w:rPr>
      <w:rFonts w:ascii="宋体" w:hAnsi="Times New Roman" w:eastAsia="宋体" w:cs="Times New Roman"/>
      <w:color w:val="000000"/>
      <w:sz w:val="24"/>
      <w:szCs w:val="24"/>
    </w:rPr>
  </w:style>
  <w:style w:type="character" w:customStyle="1" w:styleId="91">
    <w:name w:val="标题 2 Char"/>
    <w:qFormat/>
    <w:uiPriority w:val="0"/>
    <w:rPr>
      <w:rFonts w:ascii="Arial" w:hAnsi="Arial" w:eastAsia="黑体"/>
      <w:b/>
      <w:bCs/>
      <w:sz w:val="32"/>
      <w:szCs w:val="32"/>
    </w:rPr>
  </w:style>
  <w:style w:type="character" w:customStyle="1" w:styleId="92">
    <w:name w:val="纯文本 字符1"/>
    <w:qFormat/>
    <w:uiPriority w:val="0"/>
    <w:rPr>
      <w:rFonts w:ascii="宋体" w:hAnsi="Courier New" w:eastAsia="宋体"/>
      <w:kern w:val="2"/>
      <w:sz w:val="24"/>
      <w:szCs w:val="24"/>
      <w:lang w:val="en-US" w:eastAsia="zh-CN" w:bidi="ar-SA"/>
    </w:rPr>
  </w:style>
  <w:style w:type="character" w:customStyle="1" w:styleId="93">
    <w:name w:val="正文首行缩进 2 Char"/>
    <w:qFormat/>
    <w:uiPriority w:val="99"/>
  </w:style>
  <w:style w:type="character" w:customStyle="1" w:styleId="94">
    <w:name w:val="HTML 预设格式 Char1"/>
    <w:qFormat/>
    <w:uiPriority w:val="0"/>
    <w:rPr>
      <w:rFonts w:ascii="宋体" w:hAnsi="宋体" w:cs="宋体"/>
      <w:sz w:val="24"/>
      <w:szCs w:val="24"/>
    </w:rPr>
  </w:style>
  <w:style w:type="character" w:customStyle="1" w:styleId="95">
    <w:name w:val="正文文本缩进 3 Char"/>
    <w:qFormat/>
    <w:uiPriority w:val="0"/>
    <w:rPr>
      <w:rFonts w:ascii="仿宋_GB2312" w:hAnsi="Times New Roman" w:eastAsia="仿宋_GB2312"/>
      <w:color w:val="000000"/>
      <w:sz w:val="24"/>
      <w:szCs w:val="24"/>
    </w:rPr>
  </w:style>
  <w:style w:type="character" w:customStyle="1" w:styleId="96">
    <w:name w:val="批注框文本 Char"/>
    <w:qFormat/>
    <w:uiPriority w:val="99"/>
    <w:rPr>
      <w:rFonts w:ascii="Times New Roman" w:hAnsi="Times New Roman" w:eastAsia="宋体" w:cs="Times New Roman"/>
      <w:sz w:val="18"/>
      <w:szCs w:val="18"/>
    </w:rPr>
  </w:style>
  <w:style w:type="character" w:customStyle="1" w:styleId="97">
    <w:name w:val="批注文字 Char"/>
    <w:qFormat/>
    <w:uiPriority w:val="0"/>
    <w:rPr>
      <w:rFonts w:ascii="Times New Roman" w:hAnsi="Times New Roman" w:eastAsia="宋体" w:cs="Times New Roman"/>
      <w:szCs w:val="20"/>
    </w:rPr>
  </w:style>
  <w:style w:type="character" w:customStyle="1" w:styleId="98">
    <w:name w:val="NormalCharacter"/>
    <w:qFormat/>
    <w:uiPriority w:val="0"/>
    <w:rPr>
      <w:kern w:val="2"/>
      <w:sz w:val="21"/>
      <w:szCs w:val="24"/>
      <w:lang w:val="en-US" w:eastAsia="zh-CN" w:bidi="ar-SA"/>
    </w:rPr>
  </w:style>
  <w:style w:type="character" w:customStyle="1" w:styleId="99">
    <w:name w:val="标题 1 Char1"/>
    <w:qFormat/>
    <w:uiPriority w:val="0"/>
    <w:rPr>
      <w:rFonts w:ascii="Times New Roman" w:hAnsi="Times New Roman" w:eastAsia="宋体" w:cs="Times New Roman"/>
      <w:b/>
      <w:bCs/>
      <w:kern w:val="44"/>
      <w:sz w:val="44"/>
      <w:szCs w:val="44"/>
    </w:rPr>
  </w:style>
  <w:style w:type="character" w:customStyle="1" w:styleId="100">
    <w:name w:val="纯文本 Char1"/>
    <w:qFormat/>
    <w:uiPriority w:val="0"/>
    <w:rPr>
      <w:rFonts w:ascii="宋体" w:hAnsi="Times New Roman" w:eastAsia="宋体" w:cs="Times New Roman"/>
      <w:sz w:val="24"/>
      <w:szCs w:val="24"/>
    </w:rPr>
  </w:style>
  <w:style w:type="character" w:customStyle="1" w:styleId="101">
    <w:name w:val="标题 3 Char1"/>
    <w:qFormat/>
    <w:uiPriority w:val="0"/>
    <w:rPr>
      <w:b/>
      <w:bCs/>
      <w:sz w:val="32"/>
      <w:szCs w:val="32"/>
    </w:rPr>
  </w:style>
  <w:style w:type="character" w:customStyle="1" w:styleId="102">
    <w:name w:val="纯文本 字符"/>
    <w:qFormat/>
    <w:uiPriority w:val="0"/>
    <w:rPr>
      <w:rFonts w:ascii="宋体" w:hAnsi="Times New Roman" w:eastAsia="宋体" w:cs="Times New Roman"/>
      <w:sz w:val="24"/>
      <w:szCs w:val="24"/>
    </w:rPr>
  </w:style>
  <w:style w:type="character" w:customStyle="1" w:styleId="103">
    <w:name w:val="标题 3 Char"/>
    <w:qFormat/>
    <w:uiPriority w:val="0"/>
    <w:rPr>
      <w:rFonts w:ascii="Times New Roman" w:hAnsi="Times New Roman"/>
      <w:b/>
      <w:bCs/>
      <w:sz w:val="32"/>
      <w:szCs w:val="32"/>
    </w:rPr>
  </w:style>
  <w:style w:type="character" w:customStyle="1" w:styleId="104">
    <w:name w:val="批注主题 Char"/>
    <w:qFormat/>
    <w:uiPriority w:val="0"/>
    <w:rPr>
      <w:rFonts w:ascii="Times New Roman" w:hAnsi="Times New Roman" w:eastAsia="宋体" w:cs="Times New Roman"/>
      <w:szCs w:val="20"/>
    </w:rPr>
  </w:style>
  <w:style w:type="character" w:customStyle="1" w:styleId="105">
    <w:name w:val="正文文本 Char1"/>
    <w:qFormat/>
    <w:uiPriority w:val="0"/>
    <w:rPr>
      <w:rFonts w:ascii="Times New Roman" w:hAnsi="Times New Roman" w:eastAsia="宋体" w:cs="Times New Roman"/>
      <w:sz w:val="28"/>
      <w:szCs w:val="24"/>
    </w:rPr>
  </w:style>
  <w:style w:type="character" w:customStyle="1" w:styleId="106">
    <w:name w:val="正文文本缩进 3 Char1"/>
    <w:qFormat/>
    <w:uiPriority w:val="0"/>
    <w:rPr>
      <w:rFonts w:ascii="仿宋_GB2312" w:eastAsia="仿宋_GB2312"/>
      <w:color w:val="000000"/>
      <w:sz w:val="24"/>
      <w:szCs w:val="24"/>
    </w:rPr>
  </w:style>
  <w:style w:type="character" w:customStyle="1" w:styleId="107">
    <w:name w:val="批注文字 Char2"/>
    <w:qFormat/>
    <w:uiPriority w:val="0"/>
    <w:rPr>
      <w:rFonts w:ascii="Times New Roman" w:hAnsi="Times New Roman" w:eastAsia="宋体" w:cs="Times New Roman"/>
      <w:szCs w:val="20"/>
    </w:rPr>
  </w:style>
  <w:style w:type="character" w:customStyle="1" w:styleId="108">
    <w:name w:val="标题 5 Char1"/>
    <w:qFormat/>
    <w:uiPriority w:val="0"/>
    <w:rPr>
      <w:rFonts w:ascii="Times New Roman" w:hAnsi="Times New Roman" w:eastAsia="宋体" w:cs="Times New Roman"/>
      <w:b/>
      <w:bCs/>
      <w:sz w:val="28"/>
      <w:szCs w:val="28"/>
    </w:rPr>
  </w:style>
  <w:style w:type="character" w:customStyle="1" w:styleId="109">
    <w:name w:val="style7"/>
    <w:qFormat/>
    <w:uiPriority w:val="0"/>
  </w:style>
  <w:style w:type="character" w:customStyle="1" w:styleId="110">
    <w:name w:val="标题 4 Char"/>
    <w:qFormat/>
    <w:uiPriority w:val="0"/>
    <w:rPr>
      <w:rFonts w:ascii="Arial" w:hAnsi="Arial" w:eastAsia="黑体" w:cs="Times New Roman"/>
      <w:b/>
      <w:bCs/>
      <w:sz w:val="28"/>
      <w:szCs w:val="28"/>
    </w:rPr>
  </w:style>
  <w:style w:type="character" w:customStyle="1" w:styleId="111">
    <w:name w:val="font171"/>
    <w:qFormat/>
    <w:uiPriority w:val="0"/>
    <w:rPr>
      <w:rFonts w:hint="default" w:ascii="Wingdings 2" w:hAnsi="Wingdings 2" w:eastAsia="Wingdings 2" w:cs="Wingdings 2"/>
      <w:color w:val="000000"/>
      <w:sz w:val="18"/>
      <w:szCs w:val="18"/>
      <w:u w:val="none"/>
    </w:rPr>
  </w:style>
  <w:style w:type="character" w:customStyle="1" w:styleId="112">
    <w:name w:val="样式 标题 1合同标题卷标题H1h1Level 1 Topic HeadingH11H12H111H13H1... Char"/>
    <w:qFormat/>
    <w:uiPriority w:val="0"/>
    <w:rPr>
      <w:rFonts w:ascii="宋体" w:eastAsia="宋体"/>
      <w:b/>
      <w:bCs/>
      <w:kern w:val="44"/>
      <w:sz w:val="24"/>
      <w:szCs w:val="44"/>
      <w:lang w:val="en-US" w:eastAsia="zh-CN" w:bidi="ar-SA"/>
    </w:rPr>
  </w:style>
  <w:style w:type="character" w:customStyle="1" w:styleId="113">
    <w:name w:val="页眉 Char1"/>
    <w:qFormat/>
    <w:uiPriority w:val="99"/>
    <w:rPr>
      <w:sz w:val="18"/>
      <w:szCs w:val="18"/>
    </w:rPr>
  </w:style>
  <w:style w:type="character" w:customStyle="1" w:styleId="114">
    <w:name w:val="标题 1 Char"/>
    <w:qFormat/>
    <w:uiPriority w:val="0"/>
    <w:rPr>
      <w:rFonts w:ascii="Times New Roman" w:hAnsi="Times New Roman" w:eastAsia="宋体" w:cs="Times New Roman"/>
      <w:b/>
      <w:bCs/>
      <w:kern w:val="44"/>
      <w:sz w:val="44"/>
      <w:szCs w:val="44"/>
    </w:rPr>
  </w:style>
  <w:style w:type="character" w:customStyle="1" w:styleId="115">
    <w:name w:val="正文文本 Char"/>
    <w:qFormat/>
    <w:uiPriority w:val="0"/>
    <w:rPr>
      <w:rFonts w:ascii="Times New Roman" w:hAnsi="Times New Roman" w:eastAsia="宋体" w:cs="Times New Roman"/>
      <w:sz w:val="28"/>
      <w:szCs w:val="24"/>
    </w:rPr>
  </w:style>
  <w:style w:type="character" w:customStyle="1" w:styleId="116">
    <w:name w:val="unnamed1"/>
    <w:qFormat/>
    <w:uiPriority w:val="0"/>
  </w:style>
  <w:style w:type="character" w:customStyle="1" w:styleId="117">
    <w:name w:val="页脚 Char"/>
    <w:qFormat/>
    <w:uiPriority w:val="99"/>
    <w:rPr>
      <w:sz w:val="18"/>
      <w:szCs w:val="18"/>
    </w:rPr>
  </w:style>
  <w:style w:type="character" w:customStyle="1" w:styleId="118">
    <w:name w:val="正文文本 3 Char"/>
    <w:qFormat/>
    <w:uiPriority w:val="0"/>
    <w:rPr>
      <w:rFonts w:ascii="Times New Roman" w:hAnsi="Times New Roman" w:eastAsia="仿宋_GB2312"/>
      <w:b/>
      <w:bCs/>
      <w:sz w:val="24"/>
    </w:rPr>
  </w:style>
  <w:style w:type="character" w:customStyle="1" w:styleId="119">
    <w:name w:val="页脚 Char1"/>
    <w:qFormat/>
    <w:uiPriority w:val="99"/>
    <w:rPr>
      <w:sz w:val="18"/>
      <w:szCs w:val="18"/>
    </w:rPr>
  </w:style>
  <w:style w:type="character" w:customStyle="1" w:styleId="120">
    <w:name w:val="日期 Char1"/>
    <w:qFormat/>
    <w:uiPriority w:val="0"/>
    <w:rPr>
      <w:rFonts w:eastAsia="楷体_GB2312"/>
      <w:sz w:val="32"/>
    </w:rPr>
  </w:style>
  <w:style w:type="character" w:customStyle="1" w:styleId="121">
    <w:name w:val="标题 4 Char1"/>
    <w:qFormat/>
    <w:uiPriority w:val="0"/>
    <w:rPr>
      <w:rFonts w:ascii="Arial" w:hAnsi="Arial" w:eastAsia="黑体" w:cs="Times New Roman"/>
      <w:b/>
      <w:bCs/>
      <w:sz w:val="28"/>
      <w:szCs w:val="28"/>
    </w:rPr>
  </w:style>
  <w:style w:type="character" w:customStyle="1" w:styleId="122">
    <w:name w:val="标题 5 Char"/>
    <w:qFormat/>
    <w:uiPriority w:val="0"/>
    <w:rPr>
      <w:rFonts w:ascii="Times New Roman" w:hAnsi="Times New Roman" w:eastAsia="宋体" w:cs="Times New Roman"/>
      <w:b/>
      <w:bCs/>
      <w:sz w:val="28"/>
      <w:szCs w:val="28"/>
    </w:rPr>
  </w:style>
  <w:style w:type="character" w:customStyle="1" w:styleId="123">
    <w:name w:val="列出段落 Char"/>
    <w:qFormat/>
    <w:uiPriority w:val="34"/>
    <w:rPr>
      <w:kern w:val="2"/>
      <w:sz w:val="21"/>
      <w:szCs w:val="22"/>
    </w:rPr>
  </w:style>
  <w:style w:type="character" w:customStyle="1" w:styleId="124">
    <w:name w:val="纯文本 Char"/>
    <w:qFormat/>
    <w:uiPriority w:val="0"/>
    <w:rPr>
      <w:rFonts w:ascii="宋体" w:hAnsi="Times New Roman" w:eastAsia="宋体" w:cs="Times New Roman"/>
      <w:sz w:val="24"/>
      <w:szCs w:val="24"/>
    </w:rPr>
  </w:style>
  <w:style w:type="character" w:customStyle="1" w:styleId="125">
    <w:name w:val="批注主题 Char1"/>
    <w:qFormat/>
    <w:uiPriority w:val="0"/>
    <w:rPr>
      <w:rFonts w:ascii="Times New Roman" w:hAnsi="Times New Roman" w:eastAsia="宋体" w:cs="Times New Roman"/>
      <w:szCs w:val="20"/>
    </w:rPr>
  </w:style>
  <w:style w:type="character" w:customStyle="1" w:styleId="126">
    <w:name w:val="font211"/>
    <w:qFormat/>
    <w:uiPriority w:val="0"/>
    <w:rPr>
      <w:rFonts w:hint="eastAsia" w:ascii="宋体" w:hAnsi="宋体" w:eastAsia="宋体" w:cs="宋体"/>
      <w:color w:val="000000"/>
      <w:sz w:val="20"/>
      <w:szCs w:val="20"/>
      <w:u w:val="none"/>
    </w:rPr>
  </w:style>
  <w:style w:type="character" w:customStyle="1" w:styleId="127">
    <w:name w:val="ca-32"/>
    <w:qFormat/>
    <w:uiPriority w:val="0"/>
  </w:style>
  <w:style w:type="character" w:customStyle="1" w:styleId="128">
    <w:name w:val="文档结构图 Char"/>
    <w:qFormat/>
    <w:uiPriority w:val="0"/>
    <w:rPr>
      <w:rFonts w:ascii="Times New Roman" w:hAnsi="Times New Roman" w:eastAsia="宋体" w:cs="Times New Roman"/>
      <w:szCs w:val="24"/>
      <w:shd w:val="clear" w:color="auto" w:fill="000080"/>
    </w:rPr>
  </w:style>
  <w:style w:type="character" w:customStyle="1" w:styleId="129">
    <w:name w:val="副标题 Char1"/>
    <w:qFormat/>
    <w:uiPriority w:val="11"/>
    <w:rPr>
      <w:rFonts w:ascii="Cambria" w:hAnsi="Cambria" w:eastAsia="宋体" w:cs="Times New Roman"/>
      <w:b/>
      <w:bCs/>
      <w:kern w:val="28"/>
      <w:sz w:val="32"/>
      <w:szCs w:val="32"/>
    </w:rPr>
  </w:style>
  <w:style w:type="character" w:customStyle="1" w:styleId="130">
    <w:name w:val="页脚 Char2"/>
    <w:qFormat/>
    <w:uiPriority w:val="99"/>
    <w:rPr>
      <w:sz w:val="18"/>
      <w:szCs w:val="18"/>
    </w:rPr>
  </w:style>
  <w:style w:type="character" w:customStyle="1" w:styleId="131">
    <w:name w:val="纯文本 Char2"/>
    <w:qFormat/>
    <w:uiPriority w:val="0"/>
    <w:rPr>
      <w:rFonts w:ascii="宋体" w:hAnsi="Times New Roman" w:eastAsia="宋体" w:cs="Times New Roman"/>
      <w:sz w:val="24"/>
      <w:szCs w:val="24"/>
    </w:rPr>
  </w:style>
  <w:style w:type="character" w:customStyle="1" w:styleId="132">
    <w:name w:val="列出段落 Char1"/>
    <w:qFormat/>
    <w:uiPriority w:val="34"/>
    <w:rPr>
      <w:kern w:val="2"/>
      <w:sz w:val="21"/>
      <w:szCs w:val="22"/>
    </w:rPr>
  </w:style>
  <w:style w:type="character" w:customStyle="1" w:styleId="133">
    <w:name w:val="正文文本缩进 Char1"/>
    <w:qFormat/>
    <w:uiPriority w:val="0"/>
    <w:rPr>
      <w:rFonts w:ascii="宋体" w:hAnsi="Times New Roman" w:eastAsia="宋体" w:cs="Times New Roman"/>
      <w:spacing w:val="-4"/>
      <w:sz w:val="18"/>
      <w:szCs w:val="20"/>
    </w:rPr>
  </w:style>
  <w:style w:type="character" w:customStyle="1" w:styleId="134">
    <w:name w:val="TableItem Char"/>
    <w:link w:val="135"/>
    <w:qFormat/>
    <w:uiPriority w:val="0"/>
    <w:rPr>
      <w:rFonts w:ascii="Verdana" w:hAnsi="Verdana" w:eastAsia="等线" w:cs="Verdana"/>
      <w:b/>
      <w:bCs/>
      <w:color w:val="538135"/>
      <w:spacing w:val="-10"/>
      <w:sz w:val="16"/>
      <w:szCs w:val="28"/>
      <w:lang w:val="en-US" w:eastAsia="zh-CN" w:bidi="ar-SA"/>
    </w:rPr>
  </w:style>
  <w:style w:type="paragraph" w:customStyle="1" w:styleId="135">
    <w:name w:val="TableItem"/>
    <w:link w:val="134"/>
    <w:qFormat/>
    <w:uiPriority w:val="0"/>
    <w:rPr>
      <w:rFonts w:ascii="Verdana" w:hAnsi="Verdana" w:eastAsia="等线" w:cs="Verdana"/>
      <w:b/>
      <w:bCs/>
      <w:color w:val="538135"/>
      <w:spacing w:val="-10"/>
      <w:sz w:val="16"/>
      <w:szCs w:val="28"/>
      <w:lang w:val="en-US" w:eastAsia="zh-CN" w:bidi="ar-SA"/>
    </w:rPr>
  </w:style>
  <w:style w:type="character" w:customStyle="1" w:styleId="136">
    <w:name w:val="列出段落 Char2"/>
    <w:link w:val="137"/>
    <w:qFormat/>
    <w:uiPriority w:val="34"/>
    <w:rPr>
      <w:kern w:val="2"/>
      <w:sz w:val="21"/>
      <w:szCs w:val="22"/>
    </w:rPr>
  </w:style>
  <w:style w:type="paragraph" w:styleId="137">
    <w:name w:val="List Paragraph"/>
    <w:basedOn w:val="1"/>
    <w:link w:val="136"/>
    <w:qFormat/>
    <w:uiPriority w:val="34"/>
    <w:pPr>
      <w:tabs>
        <w:tab w:val="left" w:pos="360"/>
      </w:tabs>
      <w:ind w:left="360" w:hanging="360"/>
    </w:pPr>
    <w:rPr>
      <w:szCs w:val="22"/>
    </w:rPr>
  </w:style>
  <w:style w:type="character" w:customStyle="1" w:styleId="138">
    <w:name w:val="副标题 字符"/>
    <w:qFormat/>
    <w:uiPriority w:val="99"/>
    <w:rPr>
      <w:rFonts w:ascii="宋体" w:hAnsi="Tahoma" w:cs="宋体"/>
      <w:i/>
      <w:iCs/>
      <w:sz w:val="36"/>
      <w:szCs w:val="36"/>
      <w:lang w:val="en-AU"/>
    </w:rPr>
  </w:style>
  <w:style w:type="character" w:customStyle="1" w:styleId="139">
    <w:name w:val="正文文本 3 Char1"/>
    <w:qFormat/>
    <w:uiPriority w:val="0"/>
    <w:rPr>
      <w:rFonts w:eastAsia="仿宋_GB2312"/>
      <w:b/>
      <w:bCs/>
      <w:sz w:val="24"/>
    </w:rPr>
  </w:style>
  <w:style w:type="character" w:customStyle="1" w:styleId="140">
    <w:name w:val="副标题 Char2"/>
    <w:qFormat/>
    <w:uiPriority w:val="0"/>
    <w:rPr>
      <w:rFonts w:ascii="Cambria" w:hAnsi="Cambria"/>
      <w:b/>
      <w:bCs/>
      <w:kern w:val="28"/>
      <w:sz w:val="32"/>
      <w:szCs w:val="32"/>
    </w:rPr>
  </w:style>
  <w:style w:type="character" w:customStyle="1" w:styleId="141">
    <w:name w:val="c_title1"/>
    <w:qFormat/>
    <w:uiPriority w:val="0"/>
    <w:rPr>
      <w:rFonts w:ascii="黑体" w:eastAsia="黑体"/>
      <w:color w:val="03005C"/>
      <w:sz w:val="30"/>
      <w:szCs w:val="30"/>
      <w:u w:val="none"/>
    </w:rPr>
  </w:style>
  <w:style w:type="character" w:customStyle="1" w:styleId="142">
    <w:name w:val="批注框文本 Char1"/>
    <w:qFormat/>
    <w:uiPriority w:val="99"/>
    <w:rPr>
      <w:rFonts w:ascii="Times New Roman" w:hAnsi="Times New Roman" w:eastAsia="宋体" w:cs="Times New Roman"/>
      <w:sz w:val="18"/>
      <w:szCs w:val="18"/>
    </w:rPr>
  </w:style>
  <w:style w:type="character" w:customStyle="1" w:styleId="143">
    <w:name w:val="bookmark-item"/>
    <w:qFormat/>
    <w:uiPriority w:val="0"/>
  </w:style>
  <w:style w:type="character" w:customStyle="1" w:styleId="144">
    <w:name w:val="正文文本 2 Char1"/>
    <w:qFormat/>
    <w:uiPriority w:val="0"/>
    <w:rPr>
      <w:rFonts w:ascii="宋体" w:hAnsi="Times New Roman" w:eastAsia="宋体" w:cs="Times New Roman"/>
      <w:color w:val="000000"/>
      <w:sz w:val="24"/>
      <w:szCs w:val="24"/>
    </w:rPr>
  </w:style>
  <w:style w:type="character" w:customStyle="1" w:styleId="145">
    <w:name w:val="font14zd"/>
    <w:qFormat/>
    <w:uiPriority w:val="0"/>
    <w:rPr>
      <w:rFonts w:ascii="Times New Roman" w:hAnsi="Times New Roman" w:eastAsia="宋体" w:cs="Times New Roman"/>
    </w:rPr>
  </w:style>
  <w:style w:type="paragraph" w:customStyle="1" w:styleId="146">
    <w:name w:val="正文1"/>
    <w:qFormat/>
    <w:uiPriority w:val="0"/>
    <w:pPr>
      <w:jc w:val="both"/>
    </w:pPr>
    <w:rPr>
      <w:rFonts w:ascii="Times New Roman" w:hAnsi="Times New Roman" w:eastAsia="宋体" w:cs="宋体"/>
      <w:kern w:val="2"/>
      <w:sz w:val="21"/>
      <w:szCs w:val="21"/>
      <w:lang w:val="en-US" w:eastAsia="zh-CN" w:bidi="ar-SA"/>
    </w:rPr>
  </w:style>
  <w:style w:type="paragraph" w:customStyle="1" w:styleId="147">
    <w:name w:val="font7"/>
    <w:basedOn w:val="1"/>
    <w:qFormat/>
    <w:uiPriority w:val="0"/>
    <w:pPr>
      <w:widowControl/>
      <w:spacing w:before="100" w:beforeAutospacing="1" w:after="100" w:afterAutospacing="1" w:line="280" w:lineRule="exact"/>
      <w:jc w:val="left"/>
    </w:pPr>
    <w:rPr>
      <w:kern w:val="0"/>
      <w:sz w:val="20"/>
      <w:szCs w:val="20"/>
    </w:rPr>
  </w:style>
  <w:style w:type="paragraph" w:customStyle="1" w:styleId="148">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49">
    <w:name w:val="xl8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50">
    <w:name w:val="Char21"/>
    <w:basedOn w:val="1"/>
    <w:qFormat/>
    <w:uiPriority w:val="0"/>
    <w:pPr>
      <w:jc w:val="left"/>
    </w:pPr>
    <w:rPr>
      <w:rFonts w:ascii="仿宋_GB2312" w:hAnsi="宋体" w:eastAsia="仿宋_GB2312" w:cs="Arial"/>
      <w:b/>
      <w:sz w:val="32"/>
      <w:szCs w:val="32"/>
    </w:rPr>
  </w:style>
  <w:style w:type="paragraph" w:customStyle="1" w:styleId="151">
    <w:name w:val="font8"/>
    <w:basedOn w:val="1"/>
    <w:qFormat/>
    <w:uiPriority w:val="0"/>
    <w:pPr>
      <w:widowControl/>
      <w:spacing w:before="100" w:beforeAutospacing="1" w:after="100" w:afterAutospacing="1" w:line="280" w:lineRule="exact"/>
      <w:jc w:val="left"/>
    </w:pPr>
    <w:rPr>
      <w:b/>
      <w:bCs/>
      <w:kern w:val="0"/>
      <w:sz w:val="32"/>
      <w:szCs w:val="32"/>
    </w:rPr>
  </w:style>
  <w:style w:type="paragraph" w:customStyle="1" w:styleId="152">
    <w:name w:val="pa-1"/>
    <w:basedOn w:val="1"/>
    <w:qFormat/>
    <w:uiPriority w:val="0"/>
    <w:pPr>
      <w:widowControl/>
      <w:spacing w:before="100" w:beforeAutospacing="1" w:after="100" w:afterAutospacing="1"/>
      <w:jc w:val="left"/>
    </w:pPr>
    <w:rPr>
      <w:rFonts w:ascii="宋体" w:cs="宋体"/>
      <w:kern w:val="0"/>
      <w:sz w:val="24"/>
    </w:rPr>
  </w:style>
  <w:style w:type="paragraph" w:customStyle="1" w:styleId="15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rFonts w:ascii="宋体" w:hAnsi="宋体" w:cs="宋体"/>
      <w:kern w:val="0"/>
      <w:sz w:val="20"/>
      <w:szCs w:val="20"/>
    </w:rPr>
  </w:style>
  <w:style w:type="paragraph" w:customStyle="1" w:styleId="154">
    <w:name w:val="Char Char Char Char1"/>
    <w:basedOn w:val="1"/>
    <w:qFormat/>
    <w:uiPriority w:val="0"/>
    <w:pPr>
      <w:widowControl/>
      <w:spacing w:after="160" w:line="240" w:lineRule="exact"/>
      <w:jc w:val="left"/>
    </w:pPr>
    <w:rPr>
      <w:rFonts w:ascii="宋体" w:hAnsi="宋体" w:cs="Arial"/>
      <w:szCs w:val="21"/>
    </w:rPr>
  </w:style>
  <w:style w:type="paragraph" w:customStyle="1" w:styleId="155">
    <w:name w:val="xl89"/>
    <w:basedOn w:val="1"/>
    <w:qFormat/>
    <w:uiPriority w:val="0"/>
    <w:pPr>
      <w:widowControl/>
      <w:pBdr>
        <w:top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56">
    <w:name w:val="p0"/>
    <w:basedOn w:val="1"/>
    <w:qFormat/>
    <w:uiPriority w:val="0"/>
    <w:pPr>
      <w:widowControl/>
    </w:pPr>
    <w:rPr>
      <w:kern w:val="0"/>
      <w:szCs w:val="21"/>
    </w:rPr>
  </w:style>
  <w:style w:type="paragraph" w:customStyle="1" w:styleId="15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b/>
      <w:bCs/>
      <w:kern w:val="0"/>
      <w:sz w:val="20"/>
      <w:szCs w:val="20"/>
    </w:rPr>
  </w:style>
  <w:style w:type="paragraph" w:customStyle="1" w:styleId="158">
    <w:name w:val="xl86"/>
    <w:basedOn w:val="1"/>
    <w:qFormat/>
    <w:uiPriority w:val="0"/>
    <w:pPr>
      <w:widowControl/>
      <w:shd w:val="clear" w:color="000000" w:fill="FFFFFF"/>
      <w:spacing w:before="100" w:beforeAutospacing="1" w:after="100" w:afterAutospacing="1" w:line="280" w:lineRule="exact"/>
      <w:jc w:val="center"/>
    </w:pPr>
    <w:rPr>
      <w:b/>
      <w:bCs/>
      <w:kern w:val="0"/>
      <w:sz w:val="32"/>
      <w:szCs w:val="32"/>
    </w:rPr>
  </w:style>
  <w:style w:type="paragraph" w:customStyle="1" w:styleId="159">
    <w:name w:val="Char1 Char Char Char1"/>
    <w:basedOn w:val="1"/>
    <w:qFormat/>
    <w:uiPriority w:val="0"/>
    <w:pPr>
      <w:tabs>
        <w:tab w:val="left" w:pos="840"/>
      </w:tabs>
      <w:ind w:left="840" w:hanging="420"/>
      <w:jc w:val="left"/>
    </w:pPr>
    <w:rPr>
      <w:rFonts w:ascii="宋体" w:hAnsi="宋体" w:cs="Arial"/>
      <w:sz w:val="24"/>
    </w:rPr>
  </w:style>
  <w:style w:type="paragraph" w:customStyle="1" w:styleId="160">
    <w:name w:val="op_mapdots_left"/>
    <w:basedOn w:val="1"/>
    <w:qFormat/>
    <w:uiPriority w:val="0"/>
    <w:pPr>
      <w:widowControl/>
      <w:jc w:val="left"/>
    </w:pPr>
    <w:rPr>
      <w:rFonts w:ascii="宋体" w:cs="宋体"/>
      <w:kern w:val="0"/>
      <w:sz w:val="24"/>
    </w:rPr>
  </w:style>
  <w:style w:type="paragraph" w:customStyle="1" w:styleId="161">
    <w:name w:val="列出段落2"/>
    <w:basedOn w:val="1"/>
    <w:qFormat/>
    <w:uiPriority w:val="34"/>
    <w:pPr>
      <w:spacing w:line="300" w:lineRule="auto"/>
      <w:ind w:firstLine="420" w:firstLineChars="200"/>
    </w:pPr>
    <w:rPr>
      <w:rFonts w:ascii="宋体"/>
      <w:kern w:val="0"/>
      <w:sz w:val="24"/>
      <w:szCs w:val="20"/>
    </w:rPr>
  </w:style>
  <w:style w:type="paragraph" w:customStyle="1" w:styleId="162">
    <w:name w:val="样式 样式 标题 2 + 宋体 行距: 最小值 20 磅 + 段前: 0.5 行 段后: 0.5 行"/>
    <w:basedOn w:val="1"/>
    <w:qFormat/>
    <w:uiPriority w:val="0"/>
    <w:pPr>
      <w:keepNext/>
      <w:keepLines/>
      <w:tabs>
        <w:tab w:val="left" w:pos="567"/>
      </w:tabs>
      <w:spacing w:before="120" w:after="120"/>
      <w:jc w:val="center"/>
      <w:outlineLvl w:val="1"/>
    </w:pPr>
    <w:rPr>
      <w:rFonts w:eastAsia="仿宋_GB2312"/>
      <w:b/>
      <w:w w:val="80"/>
      <w:sz w:val="28"/>
      <w:szCs w:val="32"/>
    </w:rPr>
  </w:style>
  <w:style w:type="paragraph" w:customStyle="1" w:styleId="163">
    <w:name w:val="xl85"/>
    <w:basedOn w:val="1"/>
    <w:qFormat/>
    <w:uiPriority w:val="0"/>
    <w:pPr>
      <w:widowControl/>
      <w:pBdr>
        <w:left w:val="single" w:color="auto" w:sz="4" w:space="0"/>
        <w:bottom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64">
    <w:name w:val="msolistparagraph"/>
    <w:basedOn w:val="1"/>
    <w:qFormat/>
    <w:uiPriority w:val="0"/>
    <w:pPr>
      <w:spacing w:line="280" w:lineRule="exact"/>
      <w:ind w:firstLine="420" w:firstLineChars="200"/>
    </w:pPr>
    <w:rPr>
      <w:rFonts w:ascii="Calibri" w:hAnsi="Calibri"/>
      <w:sz w:val="22"/>
      <w:szCs w:val="22"/>
    </w:rPr>
  </w:style>
  <w:style w:type="paragraph" w:customStyle="1" w:styleId="165">
    <w:name w:val="xl9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rFonts w:ascii="宋体" w:hAnsi="宋体" w:cs="宋体"/>
      <w:b/>
      <w:bCs/>
      <w:kern w:val="0"/>
      <w:sz w:val="20"/>
      <w:szCs w:val="20"/>
    </w:rPr>
  </w:style>
  <w:style w:type="paragraph" w:customStyle="1" w:styleId="166">
    <w:name w:val="Default"/>
    <w:next w:val="167"/>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67">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68">
    <w:name w:val="正文段"/>
    <w:basedOn w:val="1"/>
    <w:qFormat/>
    <w:uiPriority w:val="0"/>
    <w:pPr>
      <w:widowControl/>
      <w:snapToGrid w:val="0"/>
      <w:spacing w:afterLines="50"/>
      <w:ind w:firstLine="200" w:firstLineChars="200"/>
    </w:pPr>
    <w:rPr>
      <w:kern w:val="0"/>
      <w:sz w:val="24"/>
      <w:szCs w:val="20"/>
    </w:rPr>
  </w:style>
  <w:style w:type="paragraph" w:customStyle="1" w:styleId="169">
    <w:name w:val="xl9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70">
    <w:name w:val="Char1"/>
    <w:basedOn w:val="1"/>
    <w:qFormat/>
    <w:uiPriority w:val="0"/>
    <w:rPr>
      <w:rFonts w:ascii="Tahoma" w:hAnsi="Tahoma"/>
      <w:sz w:val="24"/>
      <w:szCs w:val="20"/>
    </w:rPr>
  </w:style>
  <w:style w:type="paragraph" w:customStyle="1" w:styleId="17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72">
    <w:name w:val="纯文本1"/>
    <w:basedOn w:val="1"/>
    <w:qFormat/>
    <w:uiPriority w:val="0"/>
    <w:pPr>
      <w:spacing w:beforeLines="50" w:afterLines="50" w:line="400" w:lineRule="exact"/>
    </w:pPr>
    <w:rPr>
      <w:rFonts w:ascii="宋体" w:hAnsi="Courier New"/>
      <w:sz w:val="24"/>
    </w:rPr>
  </w:style>
  <w:style w:type="paragraph" w:customStyle="1" w:styleId="173">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174">
    <w:name w:val="xl79"/>
    <w:basedOn w:val="1"/>
    <w:qFormat/>
    <w:uiPriority w:val="0"/>
    <w:pPr>
      <w:widowControl/>
      <w:pBdr>
        <w:bottom w:val="single" w:color="auto" w:sz="4" w:space="0"/>
        <w:right w:val="single" w:color="auto" w:sz="4" w:space="0"/>
      </w:pBdr>
      <w:shd w:val="clear" w:color="000000" w:fill="FFFFFF"/>
      <w:spacing w:before="100" w:beforeAutospacing="1" w:after="100" w:afterAutospacing="1" w:line="280" w:lineRule="exact"/>
      <w:jc w:val="left"/>
    </w:pPr>
    <w:rPr>
      <w:kern w:val="0"/>
      <w:sz w:val="20"/>
      <w:szCs w:val="20"/>
    </w:rPr>
  </w:style>
  <w:style w:type="paragraph" w:customStyle="1" w:styleId="175">
    <w:name w:val="table_lines"/>
    <w:basedOn w:val="1"/>
    <w:qFormat/>
    <w:uiPriority w:val="0"/>
    <w:rPr>
      <w:szCs w:val="20"/>
    </w:rPr>
  </w:style>
  <w:style w:type="paragraph" w:customStyle="1" w:styleId="176">
    <w:name w:val="列出段落1"/>
    <w:basedOn w:val="1"/>
    <w:qFormat/>
    <w:uiPriority w:val="0"/>
    <w:pPr>
      <w:ind w:firstLine="420" w:firstLineChars="200"/>
    </w:pPr>
    <w:rPr>
      <w:rFonts w:ascii="Calibri" w:hAnsi="Calibri"/>
      <w:szCs w:val="21"/>
    </w:rPr>
  </w:style>
  <w:style w:type="paragraph" w:customStyle="1" w:styleId="177">
    <w:name w:val="xl80"/>
    <w:basedOn w:val="1"/>
    <w:qFormat/>
    <w:uiPriority w:val="0"/>
    <w:pPr>
      <w:widowControl/>
      <w:shd w:val="clear" w:color="000000" w:fill="FFFFFF"/>
      <w:spacing w:before="100" w:beforeAutospacing="1" w:after="100" w:afterAutospacing="1" w:line="280" w:lineRule="exact"/>
      <w:jc w:val="center"/>
    </w:pPr>
    <w:rPr>
      <w:kern w:val="0"/>
      <w:sz w:val="20"/>
      <w:szCs w:val="20"/>
    </w:rPr>
  </w:style>
  <w:style w:type="paragraph" w:customStyle="1" w:styleId="178">
    <w:name w:val="xl8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79">
    <w:name w:val="列出段落111"/>
    <w:basedOn w:val="1"/>
    <w:qFormat/>
    <w:uiPriority w:val="0"/>
    <w:pPr>
      <w:ind w:firstLine="200" w:firstLineChars="200"/>
    </w:pPr>
    <w:rPr>
      <w:rFonts w:ascii="Calibri" w:hAnsi="Calibri"/>
      <w:szCs w:val="22"/>
    </w:rPr>
  </w:style>
  <w:style w:type="paragraph" w:customStyle="1" w:styleId="180">
    <w:name w:val="xl81"/>
    <w:basedOn w:val="1"/>
    <w:qFormat/>
    <w:uiPriority w:val="0"/>
    <w:pPr>
      <w:widowControl/>
      <w:pBdr>
        <w:left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1">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2">
    <w:name w:val="_Style 86"/>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83">
    <w:name w:val="xl29"/>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184">
    <w:name w:val="xl6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b/>
      <w:bCs/>
      <w:kern w:val="0"/>
      <w:sz w:val="20"/>
      <w:szCs w:val="20"/>
    </w:rPr>
  </w:style>
  <w:style w:type="paragraph" w:customStyle="1" w:styleId="185">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rFonts w:ascii="宋体" w:hAnsi="宋体" w:cs="宋体"/>
      <w:b/>
      <w:bCs/>
      <w:kern w:val="0"/>
      <w:sz w:val="20"/>
      <w:szCs w:val="20"/>
    </w:rPr>
  </w:style>
  <w:style w:type="paragraph" w:customStyle="1" w:styleId="186">
    <w:name w:val="style9"/>
    <w:basedOn w:val="1"/>
    <w:qFormat/>
    <w:uiPriority w:val="0"/>
    <w:pPr>
      <w:widowControl/>
      <w:spacing w:before="100" w:beforeAutospacing="1" w:after="100" w:afterAutospacing="1"/>
      <w:jc w:val="left"/>
    </w:pPr>
    <w:rPr>
      <w:rFonts w:ascii="宋体" w:cs="宋体"/>
      <w:kern w:val="0"/>
      <w:sz w:val="24"/>
    </w:rPr>
  </w:style>
  <w:style w:type="paragraph" w:customStyle="1" w:styleId="187">
    <w:name w:val="xl8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8">
    <w:name w:val="xl84"/>
    <w:basedOn w:val="1"/>
    <w:qFormat/>
    <w:uiPriority w:val="0"/>
    <w:pPr>
      <w:widowControl/>
      <w:pBdr>
        <w:lef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9">
    <w:name w:val="333"/>
    <w:basedOn w:val="1"/>
    <w:qFormat/>
    <w:uiPriority w:val="0"/>
    <w:pPr>
      <w:adjustRightInd w:val="0"/>
      <w:spacing w:line="312" w:lineRule="atLeast"/>
      <w:textAlignment w:val="baseline"/>
    </w:pPr>
    <w:rPr>
      <w:kern w:val="0"/>
      <w:szCs w:val="20"/>
    </w:rPr>
  </w:style>
  <w:style w:type="paragraph" w:customStyle="1" w:styleId="190">
    <w:name w:val="Char1 Char Char Char"/>
    <w:basedOn w:val="1"/>
    <w:qFormat/>
    <w:uiPriority w:val="0"/>
    <w:pPr>
      <w:tabs>
        <w:tab w:val="left" w:pos="840"/>
      </w:tabs>
      <w:ind w:left="840" w:hanging="420"/>
    </w:pPr>
    <w:rPr>
      <w:sz w:val="24"/>
    </w:rPr>
  </w:style>
  <w:style w:type="paragraph" w:customStyle="1" w:styleId="191">
    <w:name w:val="纯文本2"/>
    <w:basedOn w:val="1"/>
    <w:qFormat/>
    <w:uiPriority w:val="0"/>
    <w:pPr>
      <w:spacing w:beforeLines="50" w:afterLines="50" w:line="400" w:lineRule="exact"/>
    </w:pPr>
    <w:rPr>
      <w:rFonts w:ascii="宋体" w:hAnsi="Courier New"/>
      <w:sz w:val="24"/>
    </w:rPr>
  </w:style>
  <w:style w:type="paragraph" w:customStyle="1" w:styleId="192">
    <w:name w:val="列出段落11"/>
    <w:basedOn w:val="1"/>
    <w:qFormat/>
    <w:uiPriority w:val="0"/>
    <w:pPr>
      <w:ind w:firstLine="200" w:firstLineChars="200"/>
      <w:jc w:val="left"/>
    </w:pPr>
    <w:rPr>
      <w:rFonts w:ascii="Calibri" w:hAnsi="Calibri" w:cs="Arial"/>
      <w:szCs w:val="22"/>
    </w:rPr>
  </w:style>
  <w:style w:type="paragraph" w:customStyle="1" w:styleId="193">
    <w:name w:val="TOC Heading"/>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94">
    <w:name w:val="xl6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95">
    <w:name w:val="xl9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96">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97">
    <w:name w:val="Char3"/>
    <w:basedOn w:val="1"/>
    <w:qFormat/>
    <w:uiPriority w:val="0"/>
    <w:pPr>
      <w:ind w:firstLine="200" w:firstLineChars="200"/>
      <w:jc w:val="left"/>
    </w:pPr>
    <w:rPr>
      <w:rFonts w:ascii="幼圆" w:hAnsi="宋体" w:eastAsia="幼圆" w:cs="幼圆"/>
      <w:sz w:val="24"/>
      <w:szCs w:val="21"/>
    </w:rPr>
  </w:style>
  <w:style w:type="paragraph" w:customStyle="1" w:styleId="198">
    <w:name w:val="xl9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99">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200">
    <w:name w:val="Char"/>
    <w:basedOn w:val="1"/>
    <w:qFormat/>
    <w:uiPriority w:val="0"/>
    <w:pPr>
      <w:ind w:firstLine="200" w:firstLineChars="200"/>
    </w:pPr>
    <w:rPr>
      <w:rFonts w:ascii="幼圆" w:eastAsia="幼圆" w:cs="幼圆"/>
      <w:sz w:val="24"/>
      <w:szCs w:val="20"/>
    </w:rPr>
  </w:style>
  <w:style w:type="paragraph" w:customStyle="1" w:styleId="201">
    <w:name w:val="table_1stline"/>
    <w:basedOn w:val="1"/>
    <w:qFormat/>
    <w:uiPriority w:val="0"/>
    <w:pPr>
      <w:spacing w:before="120"/>
    </w:pPr>
    <w:rPr>
      <w:bCs/>
      <w:szCs w:val="20"/>
    </w:rPr>
  </w:style>
  <w:style w:type="paragraph" w:customStyle="1" w:styleId="202">
    <w:name w:val="font9"/>
    <w:basedOn w:val="1"/>
    <w:qFormat/>
    <w:uiPriority w:val="0"/>
    <w:pPr>
      <w:widowControl/>
      <w:spacing w:before="100" w:beforeAutospacing="1" w:after="100" w:afterAutospacing="1" w:line="280" w:lineRule="exact"/>
      <w:jc w:val="left"/>
    </w:pPr>
    <w:rPr>
      <w:rFonts w:ascii="宋体" w:hAnsi="宋体" w:cs="宋体"/>
      <w:b/>
      <w:bCs/>
      <w:kern w:val="0"/>
      <w:sz w:val="32"/>
      <w:szCs w:val="32"/>
    </w:rPr>
  </w:style>
  <w:style w:type="paragraph" w:customStyle="1" w:styleId="203">
    <w:name w:val="UserStyle_66"/>
    <w:basedOn w:val="1"/>
    <w:qFormat/>
    <w:uiPriority w:val="0"/>
    <w:pPr>
      <w:spacing w:line="280" w:lineRule="exact"/>
    </w:pPr>
    <w:rPr>
      <w:kern w:val="0"/>
      <w:szCs w:val="21"/>
    </w:rPr>
  </w:style>
  <w:style w:type="paragraph" w:customStyle="1" w:styleId="204">
    <w:name w:val="xl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05">
    <w:name w:val="Char Char Char Char Char Char"/>
    <w:basedOn w:val="1"/>
    <w:qFormat/>
    <w:uiPriority w:val="0"/>
    <w:pPr>
      <w:ind w:firstLine="200" w:firstLineChars="200"/>
    </w:pPr>
    <w:rPr>
      <w:rFonts w:ascii="Tahoma" w:hAnsi="Tahoma"/>
      <w:sz w:val="24"/>
      <w:szCs w:val="20"/>
    </w:rPr>
  </w:style>
  <w:style w:type="paragraph" w:customStyle="1" w:styleId="20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07">
    <w:name w:val="xl7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08">
    <w:name w:val="p15"/>
    <w:basedOn w:val="1"/>
    <w:qFormat/>
    <w:uiPriority w:val="0"/>
    <w:pPr>
      <w:widowControl/>
    </w:pPr>
    <w:rPr>
      <w:kern w:val="0"/>
      <w:szCs w:val="21"/>
    </w:rPr>
  </w:style>
  <w:style w:type="paragraph" w:customStyle="1" w:styleId="209">
    <w:name w:val="zhouzhe jianjie txt"/>
    <w:basedOn w:val="1"/>
    <w:qFormat/>
    <w:uiPriority w:val="0"/>
    <w:pPr>
      <w:spacing w:line="240" w:lineRule="exact"/>
      <w:jc w:val="left"/>
    </w:pPr>
    <w:rPr>
      <w:rFonts w:ascii="宋体" w:hAnsi="宋体" w:eastAsia="Times New Roman" w:cs="Arial"/>
      <w:sz w:val="15"/>
      <w:szCs w:val="15"/>
    </w:rPr>
  </w:style>
  <w:style w:type="paragraph" w:customStyle="1" w:styleId="210">
    <w:name w:val="自由格式 A"/>
    <w:qFormat/>
    <w:uiPriority w:val="0"/>
    <w:rPr>
      <w:rFonts w:ascii="Helvetica" w:hAnsi="Helvetica" w:eastAsia="ヒラギノ角ゴ Pro W3" w:cs="Times New Roman"/>
      <w:color w:val="000000"/>
      <w:sz w:val="24"/>
      <w:lang w:val="en-US" w:eastAsia="zh-CN" w:bidi="ar-SA"/>
    </w:rPr>
  </w:style>
  <w:style w:type="paragraph" w:customStyle="1" w:styleId="211">
    <w:name w:val="Char Char Char Char"/>
    <w:basedOn w:val="1"/>
    <w:qFormat/>
    <w:uiPriority w:val="0"/>
    <w:pPr>
      <w:widowControl/>
      <w:spacing w:after="160" w:line="240" w:lineRule="exact"/>
      <w:jc w:val="left"/>
    </w:pPr>
    <w:rPr>
      <w:szCs w:val="20"/>
    </w:rPr>
  </w:style>
  <w:style w:type="paragraph" w:customStyle="1" w:styleId="212">
    <w:name w:val="_Style 77"/>
    <w:basedOn w:val="1"/>
    <w:next w:val="137"/>
    <w:qFormat/>
    <w:uiPriority w:val="34"/>
    <w:pPr>
      <w:tabs>
        <w:tab w:val="left" w:pos="360"/>
      </w:tabs>
      <w:spacing w:line="280" w:lineRule="exact"/>
      <w:ind w:left="360" w:hanging="360"/>
    </w:pPr>
    <w:rPr>
      <w:rFonts w:ascii="Calibri" w:hAnsi="Calibri"/>
      <w:szCs w:val="22"/>
    </w:rPr>
  </w:style>
  <w:style w:type="paragraph" w:customStyle="1" w:styleId="21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14">
    <w:name w:val="Char11"/>
    <w:basedOn w:val="1"/>
    <w:qFormat/>
    <w:uiPriority w:val="0"/>
  </w:style>
  <w:style w:type="paragraph" w:customStyle="1" w:styleId="215">
    <w:name w:val="样式1"/>
    <w:basedOn w:val="7"/>
    <w:qFormat/>
    <w:uiPriority w:val="0"/>
  </w:style>
  <w:style w:type="paragraph" w:customStyle="1" w:styleId="216">
    <w:name w:val="tgt2"/>
    <w:basedOn w:val="1"/>
    <w:qFormat/>
    <w:uiPriority w:val="0"/>
    <w:pPr>
      <w:widowControl/>
      <w:spacing w:after="150" w:line="360" w:lineRule="auto"/>
      <w:jc w:val="left"/>
    </w:pPr>
    <w:rPr>
      <w:rFonts w:ascii="宋体" w:cs="宋体"/>
      <w:b/>
      <w:bCs/>
      <w:kern w:val="0"/>
      <w:sz w:val="36"/>
      <w:szCs w:val="36"/>
    </w:rPr>
  </w:style>
  <w:style w:type="paragraph" w:customStyle="1" w:styleId="217">
    <w:name w:val="font5"/>
    <w:basedOn w:val="1"/>
    <w:qFormat/>
    <w:uiPriority w:val="0"/>
    <w:pPr>
      <w:widowControl/>
      <w:spacing w:before="100" w:beforeAutospacing="1" w:after="100" w:afterAutospacing="1" w:line="280" w:lineRule="exact"/>
      <w:jc w:val="left"/>
    </w:pPr>
    <w:rPr>
      <w:rFonts w:ascii="宋体" w:hAnsi="宋体" w:cs="宋体"/>
      <w:kern w:val="0"/>
      <w:sz w:val="18"/>
      <w:szCs w:val="18"/>
    </w:rPr>
  </w:style>
  <w:style w:type="paragraph" w:customStyle="1" w:styleId="218">
    <w:name w:val="xl72"/>
    <w:basedOn w:val="1"/>
    <w:qFormat/>
    <w:uiPriority w:val="0"/>
    <w:pPr>
      <w:widowControl/>
      <w:pBdr>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19">
    <w:name w:val="Char Char Char Char Char Char Char Char Char Char Char Char1 Char"/>
    <w:basedOn w:val="13"/>
    <w:qFormat/>
    <w:uiPriority w:val="0"/>
    <w:rPr>
      <w:rFonts w:ascii="Tahoma" w:hAnsi="Tahoma"/>
      <w:sz w:val="24"/>
    </w:rPr>
  </w:style>
  <w:style w:type="paragraph" w:customStyle="1" w:styleId="220">
    <w:name w:val="Char Char Char Char Char Char1"/>
    <w:basedOn w:val="1"/>
    <w:qFormat/>
    <w:uiPriority w:val="0"/>
    <w:pPr>
      <w:ind w:firstLine="200" w:firstLineChars="200"/>
      <w:jc w:val="left"/>
    </w:pPr>
    <w:rPr>
      <w:rFonts w:ascii="Tahoma" w:hAnsi="Tahoma" w:cs="Arial"/>
      <w:sz w:val="24"/>
      <w:szCs w:val="21"/>
    </w:rPr>
  </w:style>
  <w:style w:type="paragraph" w:customStyle="1" w:styleId="221">
    <w:name w:val="正文－恩普"/>
    <w:basedOn w:val="11"/>
    <w:qFormat/>
    <w:uiPriority w:val="0"/>
    <w:pPr>
      <w:widowControl/>
      <w:spacing w:afterLines="50" w:line="360" w:lineRule="auto"/>
      <w:ind w:firstLine="480" w:firstLineChars="200"/>
      <w:jc w:val="left"/>
    </w:pPr>
    <w:rPr>
      <w:kern w:val="0"/>
      <w:sz w:val="24"/>
    </w:rPr>
  </w:style>
  <w:style w:type="paragraph" w:customStyle="1" w:styleId="222">
    <w:name w:val="默认段落字体 Para Char Char Char Char Char Char Char Char Char1 Char Char Char Char"/>
    <w:basedOn w:val="1"/>
    <w:qFormat/>
    <w:uiPriority w:val="0"/>
    <w:rPr>
      <w:rFonts w:ascii="Tahoma" w:hAnsi="Tahoma"/>
      <w:sz w:val="24"/>
      <w:szCs w:val="20"/>
    </w:rPr>
  </w:style>
  <w:style w:type="paragraph" w:customStyle="1" w:styleId="22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kern w:val="0"/>
      <w:sz w:val="20"/>
      <w:szCs w:val="20"/>
    </w:rPr>
  </w:style>
  <w:style w:type="paragraph" w:customStyle="1" w:styleId="224">
    <w:name w:val="xl7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25">
    <w:name w:val="xl73"/>
    <w:basedOn w:val="1"/>
    <w:qFormat/>
    <w:uiPriority w:val="0"/>
    <w:pPr>
      <w:widowControl/>
      <w:pBdr>
        <w:top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26">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27">
    <w:name w:val="Char2"/>
    <w:basedOn w:val="1"/>
    <w:qFormat/>
    <w:uiPriority w:val="0"/>
    <w:rPr>
      <w:rFonts w:ascii="仿宋_GB2312" w:eastAsia="仿宋_GB2312"/>
      <w:b/>
      <w:sz w:val="32"/>
      <w:szCs w:val="32"/>
    </w:rPr>
  </w:style>
  <w:style w:type="paragraph" w:customStyle="1" w:styleId="228">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229">
    <w:name w:val="xl65"/>
    <w:basedOn w:val="1"/>
    <w:qFormat/>
    <w:uiPriority w:val="0"/>
    <w:pPr>
      <w:widowControl/>
      <w:shd w:val="clear" w:color="000000" w:fill="FFFFFF"/>
      <w:spacing w:before="100" w:beforeAutospacing="1" w:after="100" w:afterAutospacing="1" w:line="280" w:lineRule="exact"/>
      <w:jc w:val="left"/>
    </w:pPr>
    <w:rPr>
      <w:kern w:val="0"/>
      <w:sz w:val="20"/>
      <w:szCs w:val="20"/>
    </w:rPr>
  </w:style>
  <w:style w:type="paragraph" w:customStyle="1" w:styleId="230">
    <w:name w:val="xl92"/>
    <w:basedOn w:val="1"/>
    <w:qFormat/>
    <w:uiPriority w:val="0"/>
    <w:pPr>
      <w:widowControl/>
      <w:pBdr>
        <w:top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231">
    <w:name w:val="font6"/>
    <w:basedOn w:val="1"/>
    <w:qFormat/>
    <w:uiPriority w:val="0"/>
    <w:pPr>
      <w:widowControl/>
      <w:spacing w:before="100" w:beforeAutospacing="1" w:after="100" w:afterAutospacing="1" w:line="280" w:lineRule="exact"/>
      <w:jc w:val="left"/>
    </w:pPr>
    <w:rPr>
      <w:rFonts w:ascii="宋体" w:hAnsi="宋体" w:cs="宋体"/>
      <w:kern w:val="0"/>
      <w:sz w:val="20"/>
      <w:szCs w:val="20"/>
    </w:rPr>
  </w:style>
  <w:style w:type="paragraph" w:customStyle="1" w:styleId="232">
    <w:name w:val="_Style 148"/>
    <w:basedOn w:val="1"/>
    <w:next w:val="137"/>
    <w:qFormat/>
    <w:uiPriority w:val="34"/>
    <w:pPr>
      <w:tabs>
        <w:tab w:val="left" w:pos="360"/>
      </w:tabs>
      <w:ind w:left="360" w:hanging="360"/>
    </w:pPr>
    <w:rPr>
      <w:rFonts w:ascii="Calibri" w:hAnsi="Calibri"/>
      <w:szCs w:val="22"/>
    </w:rPr>
  </w:style>
  <w:style w:type="paragraph" w:customStyle="1" w:styleId="233">
    <w:name w:val="Char Char Char Char Char Char Char Char Char Char Char Char1 Char1"/>
    <w:basedOn w:val="13"/>
    <w:qFormat/>
    <w:uiPriority w:val="0"/>
    <w:pPr>
      <w:jc w:val="left"/>
    </w:pPr>
    <w:rPr>
      <w:rFonts w:ascii="Tahoma" w:hAnsi="Tahoma" w:cs="Arial"/>
      <w:sz w:val="24"/>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kern w:val="0"/>
      <w:sz w:val="20"/>
      <w:szCs w:val="20"/>
    </w:rPr>
  </w:style>
  <w:style w:type="paragraph" w:customStyle="1" w:styleId="235">
    <w:name w:val="*正文"/>
    <w:basedOn w:val="1"/>
    <w:qFormat/>
    <w:uiPriority w:val="0"/>
    <w:pPr>
      <w:spacing w:line="360" w:lineRule="auto"/>
      <w:ind w:firstLine="420"/>
    </w:pPr>
    <w:rPr>
      <w:rFonts w:ascii="仿宋" w:hAnsi="仿宋" w:eastAsia="仿宋"/>
      <w:sz w:val="24"/>
    </w:rPr>
  </w:style>
  <w:style w:type="paragraph" w:customStyle="1" w:styleId="236">
    <w:name w:val="WPSOffice手动目录 1"/>
    <w:qFormat/>
    <w:uiPriority w:val="0"/>
    <w:rPr>
      <w:rFonts w:ascii="Calibri" w:hAnsi="Calibri" w:eastAsia="宋体" w:cs="Times New Roman"/>
      <w:lang w:val="en-US" w:eastAsia="zh-CN" w:bidi="ar-SA"/>
    </w:rPr>
  </w:style>
  <w:style w:type="paragraph" w:customStyle="1" w:styleId="237">
    <w:name w:val="Other|1"/>
    <w:basedOn w:val="1"/>
    <w:qFormat/>
    <w:uiPriority w:val="0"/>
    <w:pPr>
      <w:spacing w:line="314" w:lineRule="exact"/>
      <w:ind w:firstLine="160"/>
    </w:pPr>
    <w:rPr>
      <w:rFonts w:ascii="宋体" w:hAnsi="宋体" w:cs="宋体"/>
      <w:sz w:val="20"/>
      <w:szCs w:val="20"/>
      <w:lang w:val="zh-TW" w:eastAsia="zh-TW" w:bidi="zh-TW"/>
    </w:rPr>
  </w:style>
  <w:style w:type="paragraph" w:customStyle="1" w:styleId="238">
    <w:name w:val="表格文字"/>
    <w:basedOn w:val="1"/>
    <w:next w:val="1"/>
    <w:qFormat/>
    <w:uiPriority w:val="0"/>
    <w:pPr>
      <w:jc w:val="center"/>
    </w:pPr>
    <w:rPr>
      <w:sz w:val="24"/>
      <w:szCs w:val="20"/>
    </w:rPr>
  </w:style>
  <w:style w:type="paragraph" w:customStyle="1" w:styleId="239">
    <w:name w:val="my正文"/>
    <w:basedOn w:val="1"/>
    <w:qFormat/>
    <w:uiPriority w:val="0"/>
    <w:pPr>
      <w:spacing w:before="120" w:after="120" w:line="360" w:lineRule="auto"/>
      <w:ind w:right="210" w:rightChars="100" w:firstLine="540"/>
    </w:pPr>
    <w:rPr>
      <w:rFonts w:eastAsia="仿宋_GB2312"/>
      <w:sz w:val="28"/>
      <w:lang w:val="zh-CN"/>
    </w:rPr>
  </w:style>
  <w:style w:type="character" w:customStyle="1" w:styleId="240">
    <w:name w:val="font31"/>
    <w:qFormat/>
    <w:uiPriority w:val="0"/>
    <w:rPr>
      <w:rFonts w:hint="eastAsia" w:ascii="宋体" w:hAnsi="宋体" w:eastAsia="宋体" w:cs="宋体"/>
      <w:b/>
      <w:color w:val="000000"/>
      <w:sz w:val="16"/>
      <w:szCs w:val="16"/>
      <w:u w:val="none"/>
    </w:rPr>
  </w:style>
  <w:style w:type="character" w:customStyle="1" w:styleId="241">
    <w:name w:val="font01"/>
    <w:qFormat/>
    <w:uiPriority w:val="0"/>
    <w:rPr>
      <w:rFonts w:hint="eastAsia" w:ascii="宋体" w:hAnsi="宋体" w:eastAsia="宋体" w:cs="宋体"/>
      <w:b/>
      <w:color w:val="333333"/>
      <w:sz w:val="24"/>
      <w:szCs w:val="24"/>
      <w:u w:val="none"/>
    </w:rPr>
  </w:style>
  <w:style w:type="paragraph" w:customStyle="1" w:styleId="242">
    <w:name w:val="正文文字"/>
    <w:basedOn w:val="1"/>
    <w:next w:val="1"/>
    <w:qFormat/>
    <w:uiPriority w:val="0"/>
    <w:pPr>
      <w:autoSpaceDE w:val="0"/>
      <w:autoSpaceDN w:val="0"/>
      <w:adjustRightInd w:val="0"/>
      <w:jc w:val="left"/>
    </w:pPr>
    <w:rPr>
      <w:rFonts w:ascii="宋体"/>
      <w:kern w:val="0"/>
      <w:sz w:val="24"/>
    </w:rPr>
  </w:style>
  <w:style w:type="paragraph" w:customStyle="1" w:styleId="243">
    <w:name w:val="表题注"/>
    <w:next w:val="1"/>
    <w:qFormat/>
    <w:uiPriority w:val="99"/>
    <w:pPr>
      <w:spacing w:before="60" w:after="60"/>
      <w:ind w:left="-289" w:firstLine="289"/>
      <w:jc w:val="center"/>
    </w:pPr>
    <w:rPr>
      <w:rFonts w:ascii="黑体" w:hAnsi="Times New Roman" w:eastAsia="黑体" w:cs="Times New Roman"/>
      <w:sz w:val="24"/>
      <w:lang w:val="en-US" w:eastAsia="zh-CN" w:bidi="ar-SA"/>
    </w:rPr>
  </w:style>
  <w:style w:type="paragraph" w:customStyle="1" w:styleId="244">
    <w:name w:val="公文"/>
    <w:basedOn w:val="1"/>
    <w:qFormat/>
    <w:uiPriority w:val="0"/>
    <w:pPr>
      <w:ind w:firstLine="640" w:firstLineChars="200"/>
    </w:pPr>
    <w:rPr>
      <w:rFonts w:ascii="仿宋_GB2312" w:hAnsi="仿宋_GB2312" w:eastAsia="仿宋_GB2312"/>
      <w:sz w:val="32"/>
    </w:rPr>
  </w:style>
  <w:style w:type="paragraph" w:customStyle="1" w:styleId="24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46">
    <w:name w:val="纯文本21"/>
    <w:basedOn w:val="1"/>
    <w:qFormat/>
    <w:uiPriority w:val="0"/>
    <w:pPr>
      <w:spacing w:beforeLines="50" w:afterLines="50" w:line="400" w:lineRule="exact"/>
    </w:pPr>
    <w:rPr>
      <w:rFonts w:ascii="宋体" w:hAnsi="Courier New"/>
      <w:sz w:val="24"/>
    </w:rPr>
  </w:style>
  <w:style w:type="character" w:customStyle="1" w:styleId="247">
    <w:name w:val="flname8"/>
    <w:qFormat/>
    <w:uiPriority w:val="99"/>
    <w:rPr>
      <w:rFonts w:hint="default" w:ascii="Times New Roman" w:hAnsi="Times New Roman" w:cs="Times New Roman"/>
    </w:rPr>
  </w:style>
  <w:style w:type="paragraph" w:customStyle="1" w:styleId="248">
    <w:name w:val="首行缩进"/>
    <w:basedOn w:val="1"/>
    <w:qFormat/>
    <w:uiPriority w:val="0"/>
    <w:pPr>
      <w:ind w:firstLine="480" w:firstLineChars="200"/>
    </w:pPr>
    <w:rPr>
      <w:rFonts w:ascii="Calibri" w:hAnsi="Calibri"/>
      <w:lang w:val="zh-CN"/>
    </w:rPr>
  </w:style>
  <w:style w:type="character" w:customStyle="1" w:styleId="249">
    <w:name w:val="font21"/>
    <w:qFormat/>
    <w:uiPriority w:val="0"/>
    <w:rPr>
      <w:rFonts w:hint="eastAsia" w:ascii="宋体" w:hAnsi="宋体" w:eastAsia="宋体"/>
      <w:color w:val="000000"/>
      <w:sz w:val="18"/>
      <w:u w:val="none"/>
    </w:rPr>
  </w:style>
  <w:style w:type="character" w:customStyle="1" w:styleId="250">
    <w:name w:val="UserStyle_169"/>
    <w:qFormat/>
    <w:uiPriority w:val="0"/>
  </w:style>
  <w:style w:type="paragraph" w:customStyle="1" w:styleId="251">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San-Elepow CON.</Company>
  <Pages>47</Pages>
  <Words>27394</Words>
  <Characters>28766</Characters>
  <Lines>228</Lines>
  <Paragraphs>64</Paragraphs>
  <TotalTime>31</TotalTime>
  <ScaleCrop>false</ScaleCrop>
  <LinksUpToDate>false</LinksUpToDate>
  <CharactersWithSpaces>30426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2023-06-28T17:44:00Z</dcterms:created>
  <dc:creator>yan</dc:creator>
  <cp:lastModifiedBy>mfy</cp:lastModifiedBy>
  <cp:lastPrinted>2023-07-12T01:50:00Z</cp:lastPrinted>
  <dcterms:modified xsi:type="dcterms:W3CDTF">2023-07-13T05:49:34Z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60E9BBD20F8F47A9B58D25D0A0AEB5B4_13</vt:lpwstr>
  </property>
</Properties>
</file>