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20" w:beforeLines="50"/>
        <w:jc w:val="center"/>
        <w:rPr>
          <w:rFonts w:hint="eastAsia" w:ascii="宋体" w:hAnsi="宋体" w:eastAsia="宋体" w:cs="宋体"/>
          <w:b/>
          <w:sz w:val="72"/>
          <w:szCs w:val="72"/>
          <w:lang w:eastAsia="zh-CN"/>
        </w:rPr>
      </w:pPr>
      <w:r>
        <w:rPr>
          <w:rFonts w:hint="eastAsia" w:ascii="宋体" w:hAnsi="宋体" w:eastAsia="宋体" w:cs="宋体"/>
          <w:b/>
          <w:sz w:val="72"/>
          <w:szCs w:val="72"/>
          <w:lang w:eastAsia="zh-CN"/>
        </w:rPr>
        <w:drawing>
          <wp:inline distT="0" distB="0" distL="114300" distR="114300">
            <wp:extent cx="5551170" cy="8030845"/>
            <wp:effectExtent l="0" t="0" r="11430" b="8255"/>
            <wp:docPr id="5" name="图片 5" descr="01e2bd446b0541fee7eaa6ec4de05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1e2bd446b0541fee7eaa6ec4de057e"/>
                    <pic:cNvPicPr>
                      <a:picLocks noChangeAspect="1"/>
                    </pic:cNvPicPr>
                  </pic:nvPicPr>
                  <pic:blipFill>
                    <a:blip r:embed="rId12"/>
                    <a:stretch>
                      <a:fillRect/>
                    </a:stretch>
                  </pic:blipFill>
                  <pic:spPr>
                    <a:xfrm>
                      <a:off x="0" y="0"/>
                      <a:ext cx="5551170" cy="8030845"/>
                    </a:xfrm>
                    <a:prstGeom prst="rect">
                      <a:avLst/>
                    </a:prstGeom>
                  </pic:spPr>
                </pic:pic>
              </a:graphicData>
            </a:graphic>
          </wp:inline>
        </w:drawing>
      </w:r>
    </w:p>
    <w:p>
      <w:pPr>
        <w:spacing w:before="120" w:beforeLines="50"/>
        <w:jc w:val="center"/>
        <w:rPr>
          <w:rFonts w:ascii="宋体" w:hAnsi="宋体" w:cs="宋体"/>
          <w:b/>
          <w:sz w:val="72"/>
          <w:szCs w:val="72"/>
        </w:rPr>
      </w:pPr>
    </w:p>
    <w:p>
      <w:pPr>
        <w:snapToGrid w:val="0"/>
        <w:spacing w:line="480" w:lineRule="auto"/>
        <w:jc w:val="center"/>
        <w:rPr>
          <w:rFonts w:ascii="宋体" w:hAnsi="宋体" w:cs="宋体"/>
          <w:sz w:val="30"/>
          <w:szCs w:val="20"/>
        </w:rPr>
      </w:pPr>
      <w:bookmarkStart w:id="105" w:name="_GoBack"/>
      <w:bookmarkEnd w:id="105"/>
      <w:r>
        <w:rPr>
          <w:rFonts w:hint="eastAsia" w:ascii="宋体" w:hAnsi="宋体" w:cs="宋体"/>
          <w:b/>
          <w:sz w:val="52"/>
          <w:szCs w:val="52"/>
        </w:rPr>
        <w:t>目    录</w:t>
      </w:r>
    </w:p>
    <w:p>
      <w:pPr>
        <w:pStyle w:val="36"/>
        <w:tabs>
          <w:tab w:val="right" w:leader="dot" w:pos="8302"/>
        </w:tabs>
        <w:spacing w:line="480" w:lineRule="auto"/>
        <w:rPr>
          <w:rFonts w:ascii="宋体" w:hAnsi="宋体" w:cs="宋体"/>
          <w:sz w:val="36"/>
          <w:szCs w:val="36"/>
        </w:rPr>
      </w:pPr>
    </w:p>
    <w:p>
      <w:pPr>
        <w:pStyle w:val="36"/>
        <w:tabs>
          <w:tab w:val="right" w:leader="dot" w:pos="8312"/>
        </w:tabs>
        <w:spacing w:line="360" w:lineRule="auto"/>
        <w:rPr>
          <w:sz w:val="28"/>
          <w:szCs w:val="36"/>
        </w:rPr>
      </w:pPr>
      <w:r>
        <w:rPr>
          <w:rFonts w:hint="eastAsia" w:ascii="宋体" w:hAnsi="宋体" w:cs="宋体"/>
          <w:sz w:val="96"/>
          <w:szCs w:val="96"/>
        </w:rPr>
        <w:fldChar w:fldCharType="begin"/>
      </w:r>
      <w:r>
        <w:rPr>
          <w:rFonts w:hint="eastAsia" w:ascii="宋体" w:hAnsi="宋体" w:cs="宋体"/>
          <w:sz w:val="96"/>
          <w:szCs w:val="96"/>
        </w:rPr>
        <w:instrText xml:space="preserve">TOC \o "1-1" \h \u </w:instrText>
      </w:r>
      <w:r>
        <w:rPr>
          <w:rFonts w:hint="eastAsia" w:ascii="宋体" w:hAnsi="宋体" w:cs="宋体"/>
          <w:sz w:val="96"/>
          <w:szCs w:val="96"/>
        </w:rPr>
        <w:fldChar w:fldCharType="separate"/>
      </w:r>
      <w:r>
        <w:fldChar w:fldCharType="begin"/>
      </w:r>
      <w:r>
        <w:instrText xml:space="preserve"> HYPERLINK \l "_Toc21355" </w:instrText>
      </w:r>
      <w:r>
        <w:fldChar w:fldCharType="separate"/>
      </w:r>
      <w:r>
        <w:rPr>
          <w:rFonts w:hAnsi="宋体" w:cs="宋体"/>
          <w:sz w:val="28"/>
          <w:szCs w:val="44"/>
        </w:rPr>
        <w:t>第一章  公开招标公告</w:t>
      </w:r>
      <w:r>
        <w:rPr>
          <w:sz w:val="28"/>
          <w:szCs w:val="36"/>
        </w:rPr>
        <w:tab/>
      </w:r>
      <w:r>
        <w:rPr>
          <w:sz w:val="28"/>
          <w:szCs w:val="36"/>
        </w:rPr>
        <w:fldChar w:fldCharType="begin"/>
      </w:r>
      <w:r>
        <w:rPr>
          <w:sz w:val="28"/>
          <w:szCs w:val="36"/>
        </w:rPr>
        <w:instrText xml:space="preserve"> PAGEREF _Toc21355 \h </w:instrText>
      </w:r>
      <w:r>
        <w:rPr>
          <w:sz w:val="28"/>
          <w:szCs w:val="36"/>
        </w:rPr>
        <w:fldChar w:fldCharType="separate"/>
      </w:r>
      <w:r>
        <w:rPr>
          <w:sz w:val="28"/>
          <w:szCs w:val="36"/>
        </w:rPr>
        <w:t>3</w:t>
      </w:r>
      <w:r>
        <w:rPr>
          <w:sz w:val="28"/>
          <w:szCs w:val="36"/>
        </w:rPr>
        <w:fldChar w:fldCharType="end"/>
      </w:r>
      <w:r>
        <w:rPr>
          <w:sz w:val="28"/>
          <w:szCs w:val="36"/>
        </w:rPr>
        <w:fldChar w:fldCharType="end"/>
      </w:r>
    </w:p>
    <w:p>
      <w:pPr>
        <w:pStyle w:val="36"/>
        <w:tabs>
          <w:tab w:val="right" w:leader="dot" w:pos="8312"/>
        </w:tabs>
        <w:spacing w:line="360" w:lineRule="auto"/>
        <w:rPr>
          <w:sz w:val="28"/>
          <w:szCs w:val="36"/>
        </w:rPr>
      </w:pPr>
      <w:r>
        <w:fldChar w:fldCharType="begin"/>
      </w:r>
      <w:r>
        <w:instrText xml:space="preserve"> HYPERLINK \l "_Toc12683" </w:instrText>
      </w:r>
      <w:r>
        <w:fldChar w:fldCharType="separate"/>
      </w:r>
      <w:r>
        <w:rPr>
          <w:rFonts w:hint="eastAsia" w:ascii="宋体" w:hAnsi="宋体" w:cs="宋体"/>
          <w:sz w:val="28"/>
          <w:szCs w:val="44"/>
        </w:rPr>
        <w:t>第二章  采购需求</w:t>
      </w:r>
      <w:r>
        <w:rPr>
          <w:sz w:val="28"/>
          <w:szCs w:val="36"/>
        </w:rPr>
        <w:tab/>
      </w:r>
      <w:r>
        <w:rPr>
          <w:sz w:val="28"/>
          <w:szCs w:val="36"/>
        </w:rPr>
        <w:fldChar w:fldCharType="begin"/>
      </w:r>
      <w:r>
        <w:rPr>
          <w:sz w:val="28"/>
          <w:szCs w:val="36"/>
        </w:rPr>
        <w:instrText xml:space="preserve"> PAGEREF _Toc12683 \h </w:instrText>
      </w:r>
      <w:r>
        <w:rPr>
          <w:sz w:val="28"/>
          <w:szCs w:val="36"/>
        </w:rPr>
        <w:fldChar w:fldCharType="separate"/>
      </w:r>
      <w:r>
        <w:rPr>
          <w:sz w:val="28"/>
          <w:szCs w:val="36"/>
        </w:rPr>
        <w:t>7</w:t>
      </w:r>
      <w:r>
        <w:rPr>
          <w:sz w:val="28"/>
          <w:szCs w:val="36"/>
        </w:rPr>
        <w:fldChar w:fldCharType="end"/>
      </w:r>
      <w:r>
        <w:rPr>
          <w:sz w:val="28"/>
          <w:szCs w:val="36"/>
        </w:rPr>
        <w:fldChar w:fldCharType="end"/>
      </w:r>
    </w:p>
    <w:p>
      <w:pPr>
        <w:pStyle w:val="36"/>
        <w:tabs>
          <w:tab w:val="right" w:leader="dot" w:pos="8312"/>
        </w:tabs>
        <w:spacing w:line="360" w:lineRule="auto"/>
        <w:rPr>
          <w:sz w:val="28"/>
          <w:szCs w:val="36"/>
        </w:rPr>
      </w:pPr>
      <w:r>
        <w:fldChar w:fldCharType="begin"/>
      </w:r>
      <w:r>
        <w:instrText xml:space="preserve"> HYPERLINK \l "_Toc12657" </w:instrText>
      </w:r>
      <w:r>
        <w:fldChar w:fldCharType="separate"/>
      </w:r>
      <w:r>
        <w:rPr>
          <w:rFonts w:hint="eastAsia" w:ascii="宋体" w:hAnsi="宋体" w:cs="宋体"/>
          <w:sz w:val="28"/>
          <w:szCs w:val="44"/>
        </w:rPr>
        <w:t>第三章  供应商须知</w:t>
      </w:r>
      <w:r>
        <w:rPr>
          <w:sz w:val="28"/>
          <w:szCs w:val="36"/>
        </w:rPr>
        <w:tab/>
      </w:r>
      <w:r>
        <w:rPr>
          <w:sz w:val="28"/>
          <w:szCs w:val="36"/>
        </w:rPr>
        <w:fldChar w:fldCharType="begin"/>
      </w:r>
      <w:r>
        <w:rPr>
          <w:sz w:val="28"/>
          <w:szCs w:val="36"/>
        </w:rPr>
        <w:instrText xml:space="preserve"> PAGEREF _Toc12657 \h </w:instrText>
      </w:r>
      <w:r>
        <w:rPr>
          <w:sz w:val="28"/>
          <w:szCs w:val="36"/>
        </w:rPr>
        <w:fldChar w:fldCharType="separate"/>
      </w:r>
      <w:r>
        <w:rPr>
          <w:sz w:val="28"/>
          <w:szCs w:val="36"/>
        </w:rPr>
        <w:t>7</w:t>
      </w:r>
      <w:r>
        <w:rPr>
          <w:sz w:val="28"/>
          <w:szCs w:val="36"/>
        </w:rPr>
        <w:fldChar w:fldCharType="end"/>
      </w:r>
      <w:r>
        <w:rPr>
          <w:sz w:val="28"/>
          <w:szCs w:val="36"/>
        </w:rPr>
        <w:fldChar w:fldCharType="end"/>
      </w:r>
    </w:p>
    <w:p>
      <w:pPr>
        <w:pStyle w:val="36"/>
        <w:tabs>
          <w:tab w:val="right" w:leader="dot" w:pos="8312"/>
        </w:tabs>
        <w:spacing w:line="360" w:lineRule="auto"/>
        <w:rPr>
          <w:sz w:val="28"/>
          <w:szCs w:val="36"/>
        </w:rPr>
      </w:pPr>
      <w:r>
        <w:fldChar w:fldCharType="begin"/>
      </w:r>
      <w:r>
        <w:instrText xml:space="preserve"> HYPERLINK \l "_Toc25438" </w:instrText>
      </w:r>
      <w:r>
        <w:fldChar w:fldCharType="separate"/>
      </w:r>
      <w:r>
        <w:rPr>
          <w:rFonts w:hint="eastAsia" w:ascii="宋体" w:hAnsi="宋体" w:cs="宋体"/>
          <w:bCs/>
          <w:sz w:val="28"/>
          <w:szCs w:val="44"/>
        </w:rPr>
        <w:t>第四章  评标办法及评分标准</w:t>
      </w:r>
      <w:r>
        <w:rPr>
          <w:sz w:val="28"/>
          <w:szCs w:val="36"/>
        </w:rPr>
        <w:tab/>
      </w:r>
      <w:r>
        <w:rPr>
          <w:sz w:val="28"/>
          <w:szCs w:val="36"/>
        </w:rPr>
        <w:fldChar w:fldCharType="begin"/>
      </w:r>
      <w:r>
        <w:rPr>
          <w:sz w:val="28"/>
          <w:szCs w:val="36"/>
        </w:rPr>
        <w:instrText xml:space="preserve"> PAGEREF _Toc25438 \h </w:instrText>
      </w:r>
      <w:r>
        <w:rPr>
          <w:sz w:val="28"/>
          <w:szCs w:val="36"/>
        </w:rPr>
        <w:fldChar w:fldCharType="separate"/>
      </w:r>
      <w:r>
        <w:rPr>
          <w:sz w:val="28"/>
          <w:szCs w:val="36"/>
        </w:rPr>
        <w:t>19</w:t>
      </w:r>
      <w:r>
        <w:rPr>
          <w:sz w:val="28"/>
          <w:szCs w:val="36"/>
        </w:rPr>
        <w:fldChar w:fldCharType="end"/>
      </w:r>
      <w:r>
        <w:rPr>
          <w:sz w:val="28"/>
          <w:szCs w:val="36"/>
        </w:rPr>
        <w:fldChar w:fldCharType="end"/>
      </w:r>
    </w:p>
    <w:p>
      <w:pPr>
        <w:pStyle w:val="36"/>
        <w:tabs>
          <w:tab w:val="right" w:leader="dot" w:pos="8312"/>
        </w:tabs>
        <w:spacing w:line="360" w:lineRule="auto"/>
        <w:rPr>
          <w:sz w:val="28"/>
          <w:szCs w:val="36"/>
        </w:rPr>
      </w:pPr>
      <w:r>
        <w:fldChar w:fldCharType="begin"/>
      </w:r>
      <w:r>
        <w:instrText xml:space="preserve"> HYPERLINK \l "_Toc30567" </w:instrText>
      </w:r>
      <w:r>
        <w:fldChar w:fldCharType="separate"/>
      </w:r>
      <w:r>
        <w:rPr>
          <w:rFonts w:hint="eastAsia" w:ascii="宋体" w:hAnsi="宋体" w:cs="宋体"/>
          <w:sz w:val="28"/>
          <w:szCs w:val="44"/>
        </w:rPr>
        <w:t>第五章  政府采购合同主要条款</w:t>
      </w:r>
      <w:r>
        <w:rPr>
          <w:sz w:val="28"/>
          <w:szCs w:val="36"/>
        </w:rPr>
        <w:tab/>
      </w:r>
      <w:r>
        <w:rPr>
          <w:sz w:val="28"/>
          <w:szCs w:val="36"/>
        </w:rPr>
        <w:fldChar w:fldCharType="begin"/>
      </w:r>
      <w:r>
        <w:rPr>
          <w:sz w:val="28"/>
          <w:szCs w:val="36"/>
        </w:rPr>
        <w:instrText xml:space="preserve"> PAGEREF _Toc30567 \h </w:instrText>
      </w:r>
      <w:r>
        <w:rPr>
          <w:sz w:val="28"/>
          <w:szCs w:val="36"/>
        </w:rPr>
        <w:fldChar w:fldCharType="separate"/>
      </w:r>
      <w:r>
        <w:rPr>
          <w:sz w:val="28"/>
          <w:szCs w:val="36"/>
        </w:rPr>
        <w:t>27</w:t>
      </w:r>
      <w:r>
        <w:rPr>
          <w:sz w:val="28"/>
          <w:szCs w:val="36"/>
        </w:rPr>
        <w:fldChar w:fldCharType="end"/>
      </w:r>
      <w:r>
        <w:rPr>
          <w:sz w:val="28"/>
          <w:szCs w:val="36"/>
        </w:rPr>
        <w:fldChar w:fldCharType="end"/>
      </w:r>
    </w:p>
    <w:p>
      <w:pPr>
        <w:pStyle w:val="36"/>
        <w:tabs>
          <w:tab w:val="right" w:leader="dot" w:pos="8312"/>
        </w:tabs>
        <w:spacing w:line="360" w:lineRule="auto"/>
        <w:rPr>
          <w:sz w:val="28"/>
          <w:szCs w:val="36"/>
        </w:rPr>
      </w:pPr>
      <w:r>
        <w:fldChar w:fldCharType="begin"/>
      </w:r>
      <w:r>
        <w:instrText xml:space="preserve"> HYPERLINK \l "_Toc16846" </w:instrText>
      </w:r>
      <w:r>
        <w:fldChar w:fldCharType="separate"/>
      </w:r>
      <w:r>
        <w:rPr>
          <w:rFonts w:hAnsi="宋体" w:cs="宋体"/>
          <w:bCs/>
          <w:sz w:val="28"/>
        </w:rPr>
        <w:t xml:space="preserve">第六章 </w:t>
      </w:r>
      <w:r>
        <w:rPr>
          <w:rFonts w:hint="eastAsia" w:hAnsi="宋体" w:cs="宋体"/>
          <w:bCs/>
          <w:sz w:val="28"/>
        </w:rPr>
        <w:t xml:space="preserve"> </w:t>
      </w:r>
      <w:r>
        <w:rPr>
          <w:rFonts w:hAnsi="宋体" w:cs="宋体"/>
          <w:bCs/>
          <w:sz w:val="28"/>
        </w:rPr>
        <w:t>投标文件格式</w:t>
      </w:r>
      <w:r>
        <w:rPr>
          <w:sz w:val="28"/>
          <w:szCs w:val="36"/>
        </w:rPr>
        <w:tab/>
      </w:r>
      <w:r>
        <w:rPr>
          <w:sz w:val="28"/>
          <w:szCs w:val="36"/>
        </w:rPr>
        <w:fldChar w:fldCharType="begin"/>
      </w:r>
      <w:r>
        <w:rPr>
          <w:sz w:val="28"/>
          <w:szCs w:val="36"/>
        </w:rPr>
        <w:instrText xml:space="preserve"> PAGEREF _Toc16846 \h </w:instrText>
      </w:r>
      <w:r>
        <w:rPr>
          <w:sz w:val="28"/>
          <w:szCs w:val="36"/>
        </w:rPr>
        <w:fldChar w:fldCharType="separate"/>
      </w:r>
      <w:r>
        <w:rPr>
          <w:sz w:val="28"/>
          <w:szCs w:val="36"/>
        </w:rPr>
        <w:t>32</w:t>
      </w:r>
      <w:r>
        <w:rPr>
          <w:sz w:val="28"/>
          <w:szCs w:val="36"/>
        </w:rPr>
        <w:fldChar w:fldCharType="end"/>
      </w:r>
      <w:r>
        <w:rPr>
          <w:sz w:val="28"/>
          <w:szCs w:val="36"/>
        </w:rPr>
        <w:fldChar w:fldCharType="end"/>
      </w:r>
    </w:p>
    <w:p>
      <w:pPr>
        <w:spacing w:line="360" w:lineRule="auto"/>
        <w:rPr>
          <w:rFonts w:ascii="宋体" w:hAnsi="宋体" w:cs="宋体"/>
          <w:sz w:val="48"/>
          <w:szCs w:val="48"/>
        </w:rPr>
      </w:pPr>
      <w:r>
        <w:rPr>
          <w:rFonts w:hint="eastAsia" w:ascii="宋体" w:hAnsi="宋体" w:cs="宋体"/>
          <w:sz w:val="28"/>
          <w:szCs w:val="96"/>
        </w:rPr>
        <w:fldChar w:fldCharType="end"/>
      </w:r>
    </w:p>
    <w:p>
      <w:pPr>
        <w:pStyle w:val="28"/>
        <w:snapToGrid w:val="0"/>
        <w:spacing w:before="0" w:beforeLines="0" w:after="0" w:afterLines="0" w:line="360" w:lineRule="auto"/>
        <w:rPr>
          <w:rFonts w:hint="default" w:hAnsi="宋体" w:cs="宋体"/>
          <w:b/>
          <w:sz w:val="40"/>
          <w:szCs w:val="40"/>
        </w:rPr>
        <w:sectPr>
          <w:headerReference r:id="rId4" w:type="first"/>
          <w:footerReference r:id="rId6" w:type="first"/>
          <w:headerReference r:id="rId3" w:type="default"/>
          <w:footerReference r:id="rId5" w:type="default"/>
          <w:pgSz w:w="11906" w:h="16838"/>
          <w:pgMar w:top="1474" w:right="1797" w:bottom="1247" w:left="1797" w:header="851" w:footer="851" w:gutter="0"/>
          <w:pgBorders>
            <w:top w:val="none" w:sz="0" w:space="0"/>
            <w:left w:val="none" w:sz="0" w:space="0"/>
            <w:bottom w:val="none" w:sz="0" w:space="0"/>
            <w:right w:val="none" w:sz="0" w:space="0"/>
          </w:pgBorders>
          <w:pgNumType w:start="1"/>
          <w:cols w:space="720" w:num="1"/>
          <w:titlePg/>
          <w:docGrid w:linePitch="312" w:charSpace="0"/>
        </w:sectPr>
      </w:pPr>
    </w:p>
    <w:p>
      <w:pPr>
        <w:pStyle w:val="28"/>
        <w:snapToGrid w:val="0"/>
        <w:spacing w:before="0" w:beforeLines="0" w:after="0" w:afterLines="0" w:line="360" w:lineRule="auto"/>
        <w:jc w:val="center"/>
        <w:outlineLvl w:val="0"/>
        <w:rPr>
          <w:rFonts w:hint="default" w:hAnsi="宋体" w:cs="宋体"/>
          <w:b/>
          <w:sz w:val="32"/>
          <w:szCs w:val="32"/>
        </w:rPr>
      </w:pPr>
      <w:bookmarkStart w:id="0" w:name="_Toc14924"/>
      <w:bookmarkStart w:id="1" w:name="_Toc21355"/>
      <w:r>
        <w:rPr>
          <w:rFonts w:hAnsi="宋体" w:cs="宋体"/>
          <w:b/>
          <w:sz w:val="32"/>
          <w:szCs w:val="32"/>
        </w:rPr>
        <w:t xml:space="preserve">第一章  </w:t>
      </w:r>
      <w:bookmarkEnd w:id="0"/>
      <w:r>
        <w:rPr>
          <w:rFonts w:hAnsi="宋体" w:cs="宋体"/>
          <w:b/>
          <w:sz w:val="32"/>
          <w:szCs w:val="32"/>
        </w:rPr>
        <w:t>公开招标公告</w:t>
      </w:r>
      <w:bookmarkEnd w:id="1"/>
    </w:p>
    <w:p>
      <w:pPr>
        <w:pStyle w:val="28"/>
        <w:snapToGrid w:val="0"/>
        <w:spacing w:before="0" w:beforeLines="0" w:after="0" w:afterLines="0" w:line="360" w:lineRule="auto"/>
        <w:jc w:val="center"/>
        <w:outlineLvl w:val="0"/>
        <w:rPr>
          <w:rFonts w:hint="default" w:hAnsi="宋体" w:cs="宋体"/>
          <w:b/>
          <w:sz w:val="32"/>
          <w:szCs w:val="32"/>
        </w:rPr>
      </w:pPr>
    </w:p>
    <w:tbl>
      <w:tblPr>
        <w:tblStyle w:val="49"/>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8940" w:type="dxa"/>
          </w:tcPr>
          <w:p>
            <w:pPr>
              <w:spacing w:line="360" w:lineRule="auto"/>
              <w:rPr>
                <w:rFonts w:ascii="宋体" w:hAnsi="宋体" w:cs="宋体"/>
                <w:szCs w:val="21"/>
              </w:rPr>
            </w:pPr>
            <w:r>
              <w:rPr>
                <w:rFonts w:hint="eastAsia" w:ascii="宋体" w:hAnsi="宋体" w:cs="宋体"/>
                <w:szCs w:val="21"/>
              </w:rPr>
              <w:t>项目概况：</w:t>
            </w:r>
          </w:p>
          <w:p>
            <w:pPr>
              <w:spacing w:line="360" w:lineRule="auto"/>
              <w:ind w:firstLine="420" w:firstLineChars="200"/>
              <w:rPr>
                <w:rFonts w:ascii="宋体" w:hAnsi="宋体" w:cs="宋体"/>
                <w:szCs w:val="21"/>
              </w:rPr>
            </w:pPr>
            <w:r>
              <w:rPr>
                <w:rFonts w:hint="eastAsia" w:ascii="宋体" w:hAnsi="宋体" w:cs="宋体"/>
                <w:szCs w:val="21"/>
                <w:u w:val="single"/>
              </w:rPr>
              <w:t>（</w:t>
            </w:r>
            <w:r>
              <w:rPr>
                <w:rFonts w:hint="eastAsia" w:ascii="宋体" w:hAnsi="宋体" w:cs="宋体"/>
                <w:szCs w:val="21"/>
                <w:u w:val="single"/>
                <w:lang w:eastAsia="zh-CN"/>
              </w:rPr>
              <w:t>海曙区农药包装废弃物、废弃农用薄膜等农业固体废物回收处置项目</w:t>
            </w:r>
            <w:r>
              <w:rPr>
                <w:rFonts w:hint="eastAsia" w:ascii="宋体" w:hAnsi="宋体" w:cs="宋体"/>
                <w:szCs w:val="21"/>
                <w:u w:val="single"/>
              </w:rPr>
              <w:t>）</w:t>
            </w:r>
            <w:r>
              <w:rPr>
                <w:rFonts w:hint="eastAsia" w:ascii="宋体" w:hAnsi="宋体" w:cs="宋体"/>
                <w:szCs w:val="21"/>
              </w:rPr>
              <w:t>招标项目的潜在投标人应在政府采购云平台</w:t>
            </w:r>
            <w:r>
              <w:rPr>
                <w:rFonts w:hint="eastAsia" w:ascii="宋体" w:hAnsi="宋体" w:cs="宋体"/>
                <w:szCs w:val="21"/>
                <w:u w:val="single"/>
              </w:rPr>
              <w:t>（www.zcygov.cn）</w:t>
            </w:r>
            <w:r>
              <w:rPr>
                <w:rFonts w:hint="eastAsia" w:ascii="宋体" w:hAnsi="宋体" w:cs="宋体"/>
                <w:szCs w:val="21"/>
              </w:rPr>
              <w:t>获取（下载）采购文件，并于</w:t>
            </w:r>
            <w:r>
              <w:rPr>
                <w:rFonts w:hint="eastAsia" w:ascii="宋体" w:hAnsi="宋体" w:cs="宋体"/>
                <w:szCs w:val="21"/>
                <w:u w:val="single"/>
              </w:rPr>
              <w:t>202</w:t>
            </w:r>
            <w:r>
              <w:rPr>
                <w:rFonts w:hint="eastAsia" w:ascii="宋体" w:hAnsi="宋体" w:cs="宋体"/>
                <w:szCs w:val="21"/>
                <w:u w:val="single"/>
                <w:lang w:val="en-US" w:eastAsia="zh-CN"/>
              </w:rPr>
              <w:t>4</w:t>
            </w:r>
            <w:r>
              <w:rPr>
                <w:rFonts w:hint="eastAsia" w:ascii="宋体" w:hAnsi="宋体" w:cs="宋体"/>
                <w:bCs/>
                <w:szCs w:val="21"/>
                <w:u w:val="single"/>
              </w:rPr>
              <w:t>年</w:t>
            </w:r>
            <w:r>
              <w:rPr>
                <w:rFonts w:hint="eastAsia" w:ascii="宋体" w:hAnsi="宋体" w:cs="宋体"/>
                <w:bCs/>
                <w:szCs w:val="21"/>
                <w:u w:val="single"/>
                <w:lang w:val="en-US" w:eastAsia="zh-CN"/>
              </w:rPr>
              <w:t>3</w:t>
            </w:r>
            <w:r>
              <w:rPr>
                <w:rFonts w:hint="eastAsia" w:ascii="宋体" w:hAnsi="宋体" w:cs="宋体"/>
                <w:bCs/>
                <w:szCs w:val="21"/>
                <w:u w:val="single"/>
              </w:rPr>
              <w:t>月</w:t>
            </w:r>
            <w:r>
              <w:rPr>
                <w:rFonts w:hint="eastAsia" w:ascii="宋体" w:hAnsi="宋体" w:cs="宋体"/>
                <w:bCs/>
                <w:szCs w:val="21"/>
                <w:u w:val="single"/>
                <w:lang w:val="en-US" w:eastAsia="zh-CN"/>
              </w:rPr>
              <w:t>18</w:t>
            </w:r>
            <w:r>
              <w:rPr>
                <w:rFonts w:hint="eastAsia" w:ascii="宋体" w:hAnsi="宋体" w:cs="宋体"/>
                <w:bCs/>
                <w:szCs w:val="21"/>
                <w:u w:val="single"/>
              </w:rPr>
              <w:t>日14：00（北京时间）</w:t>
            </w:r>
            <w:r>
              <w:rPr>
                <w:rFonts w:hint="eastAsia" w:ascii="宋体" w:hAnsi="宋体" w:cs="宋体"/>
                <w:bCs/>
                <w:szCs w:val="21"/>
              </w:rPr>
              <w:t>前递交（上传）投标文件</w:t>
            </w:r>
            <w:r>
              <w:rPr>
                <w:rFonts w:hint="eastAsia" w:ascii="宋体" w:hAnsi="宋体" w:cs="宋体"/>
                <w:szCs w:val="21"/>
              </w:rPr>
              <w:t>。</w:t>
            </w:r>
          </w:p>
        </w:tc>
      </w:tr>
    </w:tbl>
    <w:p>
      <w:pPr>
        <w:pStyle w:val="5"/>
        <w:spacing w:before="0" w:after="0" w:line="360" w:lineRule="auto"/>
        <w:rPr>
          <w:rFonts w:ascii="宋体" w:hAnsi="宋体" w:eastAsia="宋体" w:cs="宋体"/>
          <w:bCs w:val="0"/>
          <w:sz w:val="21"/>
          <w:szCs w:val="21"/>
        </w:rPr>
      </w:pPr>
      <w:bookmarkStart w:id="2" w:name="_Toc28359079"/>
      <w:bookmarkStart w:id="3" w:name="_Toc35393790"/>
      <w:bookmarkStart w:id="4" w:name="_Toc35393621"/>
      <w:bookmarkStart w:id="5" w:name="_Toc28359002"/>
      <w:bookmarkStart w:id="6" w:name="_Hlk24379207"/>
      <w:r>
        <w:rPr>
          <w:rFonts w:hint="eastAsia" w:ascii="宋体" w:hAnsi="宋体" w:eastAsia="宋体" w:cs="宋体"/>
          <w:bCs w:val="0"/>
          <w:sz w:val="21"/>
          <w:szCs w:val="21"/>
        </w:rPr>
        <w:t>一、项目基本情况</w:t>
      </w:r>
      <w:bookmarkEnd w:id="2"/>
      <w:bookmarkEnd w:id="3"/>
      <w:bookmarkEnd w:id="4"/>
      <w:bookmarkEnd w:id="5"/>
    </w:p>
    <w:p>
      <w:pPr>
        <w:spacing w:line="360" w:lineRule="auto"/>
        <w:ind w:firstLine="420" w:firstLineChars="200"/>
        <w:rPr>
          <w:rFonts w:ascii="宋体" w:hAnsi="宋体" w:cs="宋体"/>
          <w:szCs w:val="21"/>
        </w:rPr>
      </w:pPr>
      <w:r>
        <w:rPr>
          <w:rFonts w:hint="eastAsia" w:ascii="宋体" w:hAnsi="宋体" w:cs="宋体"/>
          <w:szCs w:val="21"/>
        </w:rPr>
        <w:t>1.项目编号：</w:t>
      </w:r>
      <w:r>
        <w:rPr>
          <w:rFonts w:hint="eastAsia" w:ascii="宋体" w:hAnsi="宋体" w:cs="宋体"/>
          <w:szCs w:val="21"/>
          <w:lang w:eastAsia="zh-CN"/>
        </w:rPr>
        <w:t>2024NBHSWT049</w:t>
      </w:r>
      <w:r>
        <w:rPr>
          <w:rFonts w:hint="eastAsia" w:ascii="宋体" w:hAnsi="宋体" w:cs="宋体"/>
          <w:szCs w:val="21"/>
        </w:rPr>
        <w:t xml:space="preserve">          </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szCs w:val="21"/>
        </w:rPr>
        <w:t>2.项目名</w:t>
      </w:r>
      <w:r>
        <w:rPr>
          <w:rFonts w:hint="eastAsia" w:ascii="宋体" w:hAnsi="宋体" w:cs="宋体"/>
          <w:color w:val="auto"/>
          <w:szCs w:val="21"/>
        </w:rPr>
        <w:t>称：</w:t>
      </w:r>
      <w:r>
        <w:rPr>
          <w:rFonts w:hint="eastAsia" w:ascii="宋体" w:hAnsi="宋体" w:cs="宋体"/>
          <w:color w:val="auto"/>
          <w:szCs w:val="21"/>
          <w:lang w:eastAsia="zh-CN"/>
        </w:rPr>
        <w:t>海曙区农药包装废弃物、废弃农用薄膜等农业固体废物回收处置项目</w:t>
      </w:r>
    </w:p>
    <w:bookmarkEnd w:id="6"/>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3.预算金额（元）：</w:t>
      </w:r>
      <w:r>
        <w:rPr>
          <w:rFonts w:hint="eastAsia" w:ascii="宋体" w:hAnsi="宋体" w:cs="宋体"/>
          <w:color w:val="auto"/>
          <w:szCs w:val="21"/>
          <w:lang w:val="en-US" w:eastAsia="zh-CN"/>
        </w:rPr>
        <w:t>800000</w:t>
      </w:r>
    </w:p>
    <w:p>
      <w:pPr>
        <w:spacing w:line="360" w:lineRule="auto"/>
        <w:ind w:firstLine="420" w:firstLineChars="200"/>
        <w:rPr>
          <w:rFonts w:hint="default" w:ascii="宋体" w:hAnsi="宋体" w:cs="宋体"/>
          <w:color w:val="auto"/>
          <w:szCs w:val="21"/>
          <w:shd w:val="clear" w:color="auto" w:fill="FFFFFF"/>
          <w:lang w:val="en-US"/>
        </w:rPr>
      </w:pPr>
      <w:r>
        <w:rPr>
          <w:rFonts w:hint="eastAsia" w:ascii="宋体" w:hAnsi="宋体" w:cs="宋体"/>
          <w:color w:val="auto"/>
          <w:szCs w:val="21"/>
        </w:rPr>
        <w:t>4.最高限价（元）：</w:t>
      </w:r>
      <w:r>
        <w:rPr>
          <w:rFonts w:hint="eastAsia" w:ascii="宋体" w:hAnsi="宋体" w:cs="宋体"/>
          <w:color w:val="auto"/>
          <w:szCs w:val="21"/>
          <w:lang w:val="en-US" w:eastAsia="zh-CN"/>
        </w:rPr>
        <w:t>800000</w:t>
      </w:r>
    </w:p>
    <w:p>
      <w:pPr>
        <w:spacing w:line="360" w:lineRule="auto"/>
        <w:ind w:firstLine="420" w:firstLineChars="200"/>
        <w:rPr>
          <w:rFonts w:ascii="宋体" w:hAnsi="宋体" w:cs="宋体"/>
          <w:color w:val="auto"/>
          <w:szCs w:val="21"/>
        </w:rPr>
      </w:pPr>
      <w:r>
        <w:rPr>
          <w:rFonts w:hint="eastAsia" w:ascii="宋体" w:hAnsi="宋体" w:cs="宋体"/>
          <w:color w:val="auto"/>
          <w:szCs w:val="21"/>
        </w:rPr>
        <w:t>5.采购需求：</w:t>
      </w:r>
    </w:p>
    <w:p>
      <w:pPr>
        <w:spacing w:line="360" w:lineRule="auto"/>
        <w:ind w:firstLine="420" w:firstLineChars="200"/>
        <w:rPr>
          <w:rFonts w:ascii="宋体" w:hAnsi="宋体" w:cs="宋体"/>
          <w:color w:val="auto"/>
          <w:szCs w:val="21"/>
        </w:rPr>
      </w:pPr>
      <w:bookmarkStart w:id="7" w:name="_Toc28359080"/>
      <w:bookmarkStart w:id="8" w:name="_Toc35393622"/>
      <w:bookmarkStart w:id="9" w:name="_Toc28359003"/>
      <w:bookmarkStart w:id="10" w:name="_Toc35393791"/>
      <w:r>
        <w:rPr>
          <w:rFonts w:hint="eastAsia" w:ascii="宋体" w:hAnsi="宋体" w:cs="宋体"/>
          <w:color w:val="auto"/>
          <w:szCs w:val="21"/>
        </w:rPr>
        <w:t>标项名称: </w:t>
      </w:r>
      <w:r>
        <w:rPr>
          <w:rFonts w:hint="eastAsia" w:ascii="宋体" w:hAnsi="宋体" w:cs="宋体"/>
          <w:color w:val="auto"/>
          <w:szCs w:val="21"/>
          <w:lang w:eastAsia="zh-CN"/>
        </w:rPr>
        <w:t>海曙区农药包装废弃物、废弃农用薄膜等农业固体废物回收处置项目</w:t>
      </w:r>
      <w:r>
        <w:rPr>
          <w:rFonts w:hint="eastAsia" w:ascii="宋体" w:hAnsi="宋体" w:cs="宋体"/>
          <w:color w:val="auto"/>
          <w:szCs w:val="21"/>
        </w:rPr>
        <w:t> </w:t>
      </w:r>
    </w:p>
    <w:p>
      <w:pPr>
        <w:spacing w:line="360" w:lineRule="auto"/>
        <w:ind w:firstLine="420" w:firstLineChars="200"/>
        <w:rPr>
          <w:rFonts w:ascii="宋体" w:hAnsi="宋体" w:cs="宋体"/>
          <w:color w:val="auto"/>
          <w:szCs w:val="21"/>
        </w:rPr>
      </w:pPr>
      <w:r>
        <w:rPr>
          <w:rFonts w:hint="eastAsia" w:ascii="宋体" w:hAnsi="宋体" w:cs="宋体"/>
          <w:color w:val="auto"/>
          <w:szCs w:val="21"/>
        </w:rPr>
        <w:t>数量:</w:t>
      </w:r>
      <w:r>
        <w:rPr>
          <w:rFonts w:hint="eastAsia" w:ascii="宋体" w:hAnsi="宋体" w:cs="宋体"/>
          <w:color w:val="auto"/>
          <w:szCs w:val="21"/>
          <w:lang w:val="en-US" w:eastAsia="zh-CN"/>
        </w:rPr>
        <w:t>不限</w:t>
      </w:r>
      <w:r>
        <w:rPr>
          <w:rFonts w:hint="eastAsia" w:ascii="宋体" w:hAnsi="宋体" w:cs="宋体"/>
          <w:color w:val="auto"/>
          <w:szCs w:val="21"/>
        </w:rPr>
        <w:t> </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预算金额（元）:</w:t>
      </w:r>
      <w:r>
        <w:rPr>
          <w:rFonts w:hint="eastAsia" w:ascii="宋体" w:hAnsi="宋体" w:cs="宋体"/>
          <w:color w:val="auto"/>
          <w:szCs w:val="21"/>
          <w:lang w:val="en-US" w:eastAsia="zh-CN"/>
        </w:rPr>
        <w:t>800000</w:t>
      </w:r>
    </w:p>
    <w:p>
      <w:pPr>
        <w:spacing w:line="360" w:lineRule="auto"/>
        <w:ind w:firstLine="420" w:firstLineChars="200"/>
        <w:rPr>
          <w:rFonts w:ascii="宋体" w:hAnsi="宋体" w:cs="宋体"/>
          <w:color w:val="auto"/>
          <w:szCs w:val="21"/>
        </w:rPr>
      </w:pPr>
      <w:r>
        <w:rPr>
          <w:rFonts w:hint="eastAsia" w:ascii="宋体" w:hAnsi="宋体" w:cs="宋体"/>
          <w:color w:val="auto"/>
          <w:szCs w:val="21"/>
        </w:rPr>
        <w:t>简要规格描述或项目基本概况介绍、用途：</w:t>
      </w:r>
      <w:r>
        <w:rPr>
          <w:rFonts w:hint="eastAsia"/>
          <w:color w:val="auto"/>
          <w:highlight w:val="none"/>
          <w:lang w:eastAsia="zh-CN"/>
        </w:rPr>
        <w:t>对海曙区农药包装废弃物、废弃农用薄膜等农业固体废物</w:t>
      </w:r>
      <w:r>
        <w:rPr>
          <w:rFonts w:hint="eastAsia"/>
          <w:color w:val="auto"/>
          <w:highlight w:val="none"/>
        </w:rPr>
        <w:t xml:space="preserve">按照相关政策规定科学、合法、合理进行回收处置（详见第二章 </w:t>
      </w:r>
      <w:r>
        <w:rPr>
          <w:rFonts w:hint="eastAsia"/>
          <w:color w:val="auto"/>
          <w:highlight w:val="none"/>
          <w:lang w:val="en-US" w:eastAsia="zh-CN"/>
        </w:rPr>
        <w:t>采购</w:t>
      </w:r>
      <w:r>
        <w:rPr>
          <w:rFonts w:hint="eastAsia"/>
          <w:color w:val="auto"/>
          <w:highlight w:val="none"/>
        </w:rPr>
        <w:t>需求）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备注：</w:t>
      </w:r>
      <w:r>
        <w:rPr>
          <w:rFonts w:hint="eastAsia" w:ascii="宋体" w:hAnsi="宋体" w:cs="宋体"/>
          <w:color w:val="auto"/>
          <w:szCs w:val="21"/>
          <w:lang w:val="en-US" w:eastAsia="zh-CN"/>
        </w:rPr>
        <w:t>一年预算金额800000元，三年预算金额2400000元。</w:t>
      </w:r>
      <w:r>
        <w:rPr>
          <w:rFonts w:hint="eastAsia" w:ascii="宋体" w:hAnsi="宋体" w:cs="宋体"/>
          <w:color w:val="auto"/>
          <w:szCs w:val="21"/>
        </w:rPr>
        <w:t> </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6</w:t>
      </w:r>
      <w:r>
        <w:rPr>
          <w:rFonts w:ascii="宋体" w:hAnsi="宋体" w:cs="宋体"/>
          <w:color w:val="auto"/>
          <w:szCs w:val="21"/>
        </w:rPr>
        <w:t>.</w:t>
      </w:r>
      <w:r>
        <w:rPr>
          <w:rFonts w:hint="eastAsia" w:ascii="宋体" w:hAnsi="宋体" w:cs="宋体"/>
          <w:color w:val="auto"/>
          <w:szCs w:val="21"/>
        </w:rPr>
        <w:t>合同履约期限：自合同签订之日起三年，合同一年一签，采购人根据中标人在上年度合同履约、考核情况及资金落实情况等决定是否续签</w:t>
      </w:r>
      <w:r>
        <w:rPr>
          <w:rFonts w:hint="eastAsia" w:ascii="宋体" w:hAnsi="宋体" w:cs="宋体"/>
          <w:color w:val="auto"/>
          <w:szCs w:val="21"/>
          <w:lang w:eastAsia="zh-CN"/>
        </w:rPr>
        <w:t>。</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rPr>
        <w:t>7</w:t>
      </w:r>
      <w:r>
        <w:rPr>
          <w:rFonts w:ascii="宋体" w:hAnsi="宋体" w:cs="宋体"/>
          <w:color w:val="auto"/>
          <w:szCs w:val="21"/>
        </w:rPr>
        <w:t>.</w:t>
      </w:r>
      <w:r>
        <w:rPr>
          <w:rFonts w:hint="eastAsia" w:ascii="宋体" w:hAnsi="宋体" w:cs="宋体"/>
          <w:color w:val="auto"/>
          <w:szCs w:val="21"/>
        </w:rPr>
        <w:t>本项目（否）</w:t>
      </w:r>
      <w:r>
        <w:rPr>
          <w:rFonts w:hint="eastAsia" w:ascii="宋体" w:hAnsi="宋体" w:cs="宋体"/>
          <w:color w:val="auto"/>
          <w:szCs w:val="21"/>
          <w:shd w:val="clear" w:color="auto" w:fill="FFFFFF"/>
        </w:rPr>
        <w:t>接受联合体投标。</w:t>
      </w:r>
    </w:p>
    <w:p>
      <w:pPr>
        <w:pStyle w:val="5"/>
        <w:spacing w:before="0" w:after="0" w:line="360" w:lineRule="auto"/>
        <w:rPr>
          <w:rFonts w:ascii="宋体" w:hAnsi="宋体" w:eastAsia="宋体" w:cs="宋体"/>
          <w:bCs w:val="0"/>
          <w:color w:val="auto"/>
          <w:sz w:val="21"/>
          <w:szCs w:val="21"/>
        </w:rPr>
      </w:pPr>
      <w:r>
        <w:rPr>
          <w:rFonts w:hint="eastAsia" w:ascii="宋体" w:hAnsi="宋体" w:eastAsia="宋体" w:cs="宋体"/>
          <w:bCs w:val="0"/>
          <w:color w:val="auto"/>
          <w:sz w:val="21"/>
          <w:szCs w:val="21"/>
        </w:rPr>
        <w:t>二、申请人的资格要求：</w:t>
      </w:r>
      <w:bookmarkEnd w:id="7"/>
      <w:bookmarkEnd w:id="8"/>
      <w:bookmarkEnd w:id="9"/>
      <w:bookmarkEnd w:id="10"/>
    </w:p>
    <w:p>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wordWrap w:val="0"/>
        <w:spacing w:line="360" w:lineRule="auto"/>
        <w:ind w:firstLine="420" w:firstLineChars="200"/>
        <w:rPr>
          <w:rFonts w:hint="eastAsia" w:ascii="宋体" w:hAnsi="宋体" w:eastAsia="宋体" w:cs="宋体"/>
          <w:color w:val="auto"/>
          <w:szCs w:val="21"/>
        </w:rPr>
      </w:pPr>
      <w:bookmarkStart w:id="11" w:name="_Toc28359081"/>
      <w:bookmarkStart w:id="12" w:name="_Toc28359004"/>
      <w:r>
        <w:rPr>
          <w:rFonts w:hint="eastAsia" w:ascii="宋体" w:hAnsi="宋体" w:eastAsia="宋体" w:cs="宋体"/>
          <w:color w:val="auto"/>
          <w:szCs w:val="21"/>
        </w:rPr>
        <w:t>2.落实政府采购政策需满足的资格要求：</w:t>
      </w:r>
      <w:bookmarkStart w:id="13" w:name="_Hlk128741364"/>
      <w:r>
        <w:rPr>
          <w:rFonts w:hint="eastAsia" w:ascii="宋体" w:hAnsi="宋体" w:eastAsia="宋体" w:cs="宋体"/>
          <w:color w:val="auto"/>
          <w:szCs w:val="21"/>
        </w:rPr>
        <w:t>专门面向中小企业</w:t>
      </w:r>
      <w:bookmarkEnd w:id="13"/>
      <w:r>
        <w:rPr>
          <w:rFonts w:hint="eastAsia" w:ascii="宋体" w:hAnsi="宋体" w:eastAsia="宋体" w:cs="宋体"/>
          <w:color w:val="auto"/>
          <w:szCs w:val="21"/>
        </w:rPr>
        <w:t>。</w:t>
      </w:r>
    </w:p>
    <w:p>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3.本项目的特定资格要求：投标人须具有有效的《农药经营许可证》；该特定条件的法律法规依据：《农药管理条例》（2022年修订）及《浙江省人民政府办公厅关于印发浙江省</w:t>
      </w:r>
      <w:r>
        <w:rPr>
          <w:rFonts w:hint="eastAsia" w:ascii="宋体" w:hAnsi="宋体" w:eastAsia="宋体" w:cs="宋体"/>
          <w:color w:val="auto"/>
          <w:szCs w:val="21"/>
          <w:lang w:eastAsia="zh-CN"/>
        </w:rPr>
        <w:t>农药包装废弃物</w:t>
      </w:r>
      <w:r>
        <w:rPr>
          <w:rFonts w:hint="eastAsia" w:ascii="宋体" w:hAnsi="宋体" w:eastAsia="宋体" w:cs="宋体"/>
          <w:color w:val="auto"/>
          <w:szCs w:val="21"/>
        </w:rPr>
        <w:t>回收和集中处置试行办法的通知》（浙政办发[2015]82号）。</w:t>
      </w:r>
    </w:p>
    <w:p>
      <w:pPr>
        <w:pStyle w:val="3"/>
      </w:pPr>
    </w:p>
    <w:p>
      <w:pPr>
        <w:pStyle w:val="5"/>
        <w:spacing w:before="0" w:after="0" w:line="360" w:lineRule="auto"/>
        <w:rPr>
          <w:rFonts w:hint="eastAsia" w:ascii="宋体" w:hAnsi="宋体" w:eastAsia="宋体" w:cs="宋体"/>
          <w:bCs w:val="0"/>
          <w:sz w:val="21"/>
          <w:szCs w:val="21"/>
          <w:lang w:eastAsia="zh-CN"/>
        </w:rPr>
      </w:pPr>
      <w:bookmarkStart w:id="14" w:name="_Toc35393792"/>
      <w:bookmarkStart w:id="15" w:name="_Toc35393623"/>
      <w:r>
        <w:rPr>
          <w:rFonts w:hint="eastAsia" w:ascii="宋体" w:hAnsi="宋体" w:eastAsia="宋体" w:cs="宋体"/>
          <w:bCs w:val="0"/>
          <w:sz w:val="21"/>
          <w:szCs w:val="21"/>
        </w:rPr>
        <w:t>三、获取</w:t>
      </w:r>
      <w:bookmarkEnd w:id="11"/>
      <w:bookmarkEnd w:id="12"/>
      <w:bookmarkEnd w:id="14"/>
      <w:bookmarkEnd w:id="15"/>
      <w:r>
        <w:rPr>
          <w:rFonts w:hint="eastAsia" w:ascii="宋体" w:hAnsi="宋体" w:eastAsia="宋体" w:cs="宋体"/>
          <w:bCs w:val="0"/>
          <w:sz w:val="21"/>
          <w:szCs w:val="21"/>
          <w:lang w:eastAsia="zh-CN"/>
        </w:rPr>
        <w:t>采购文件</w:t>
      </w:r>
    </w:p>
    <w:p>
      <w:pPr>
        <w:spacing w:line="360" w:lineRule="auto"/>
        <w:ind w:firstLine="540"/>
        <w:rPr>
          <w:rFonts w:ascii="宋体" w:hAnsi="宋体" w:cs="宋体"/>
          <w:szCs w:val="21"/>
        </w:rPr>
      </w:pPr>
      <w:r>
        <w:rPr>
          <w:rFonts w:hint="eastAsia" w:ascii="宋体" w:hAnsi="宋体" w:cs="宋体"/>
          <w:szCs w:val="21"/>
        </w:rPr>
        <w:t>1.时间：</w:t>
      </w:r>
      <w:r>
        <w:rPr>
          <w:rFonts w:hint="eastAsia" w:ascii="宋体" w:hAnsi="宋体" w:cs="宋体"/>
          <w:szCs w:val="21"/>
          <w:u w:val="single"/>
        </w:rPr>
        <w:t>202</w:t>
      </w:r>
      <w:r>
        <w:rPr>
          <w:rFonts w:hint="eastAsia" w:ascii="宋体" w:hAnsi="宋体" w:cs="宋体"/>
          <w:szCs w:val="21"/>
          <w:u w:val="single"/>
          <w:lang w:val="en-US" w:eastAsia="zh-CN"/>
        </w:rPr>
        <w:t>4</w:t>
      </w:r>
      <w:r>
        <w:rPr>
          <w:rFonts w:hint="eastAsia" w:ascii="宋体" w:hAnsi="宋体" w:cs="宋体"/>
          <w:bCs/>
          <w:szCs w:val="21"/>
          <w:u w:val="single"/>
        </w:rPr>
        <w:t>年</w:t>
      </w:r>
      <w:r>
        <w:rPr>
          <w:rFonts w:hint="eastAsia" w:ascii="宋体" w:hAnsi="宋体" w:cs="宋体"/>
          <w:bCs/>
          <w:szCs w:val="21"/>
          <w:u w:val="single"/>
          <w:lang w:val="en-US" w:eastAsia="zh-CN"/>
        </w:rPr>
        <w:t>2</w:t>
      </w:r>
      <w:r>
        <w:rPr>
          <w:rFonts w:hint="eastAsia" w:ascii="宋体" w:hAnsi="宋体" w:cs="宋体"/>
          <w:bCs/>
          <w:szCs w:val="21"/>
          <w:u w:val="single"/>
        </w:rPr>
        <w:t>月</w:t>
      </w:r>
      <w:r>
        <w:rPr>
          <w:rFonts w:hint="eastAsia" w:ascii="宋体" w:hAnsi="宋体" w:cs="宋体"/>
          <w:bCs/>
          <w:szCs w:val="21"/>
          <w:u w:val="single"/>
          <w:lang w:val="en-US" w:eastAsia="zh-CN"/>
        </w:rPr>
        <w:t>26</w:t>
      </w:r>
      <w:r>
        <w:rPr>
          <w:rFonts w:hint="eastAsia" w:ascii="宋体" w:hAnsi="宋体" w:cs="宋体"/>
          <w:bCs/>
          <w:szCs w:val="21"/>
          <w:u w:val="single"/>
        </w:rPr>
        <w:t>日</w:t>
      </w:r>
      <w:r>
        <w:rPr>
          <w:rFonts w:hint="eastAsia" w:ascii="宋体" w:hAnsi="宋体" w:cs="宋体"/>
          <w:szCs w:val="21"/>
        </w:rPr>
        <w:t>至</w:t>
      </w:r>
      <w:r>
        <w:rPr>
          <w:rFonts w:hint="eastAsia" w:ascii="宋体" w:hAnsi="宋体" w:cs="宋体"/>
          <w:szCs w:val="21"/>
          <w:u w:val="single"/>
        </w:rPr>
        <w:t>202</w:t>
      </w:r>
      <w:r>
        <w:rPr>
          <w:rFonts w:hint="eastAsia" w:ascii="宋体" w:hAnsi="宋体" w:cs="宋体"/>
          <w:szCs w:val="21"/>
          <w:u w:val="single"/>
          <w:lang w:val="en-US" w:eastAsia="zh-CN"/>
        </w:rPr>
        <w:t>4</w:t>
      </w:r>
      <w:r>
        <w:rPr>
          <w:rFonts w:hint="eastAsia" w:ascii="宋体" w:hAnsi="宋体" w:cs="宋体"/>
          <w:bCs/>
          <w:szCs w:val="21"/>
          <w:u w:val="single"/>
        </w:rPr>
        <w:t>年</w:t>
      </w:r>
      <w:r>
        <w:rPr>
          <w:rFonts w:hint="eastAsia" w:ascii="宋体" w:hAnsi="宋体" w:cs="宋体"/>
          <w:bCs/>
          <w:szCs w:val="21"/>
          <w:u w:val="single"/>
          <w:lang w:val="en-US" w:eastAsia="zh-CN"/>
        </w:rPr>
        <w:t>3</w:t>
      </w:r>
      <w:r>
        <w:rPr>
          <w:rFonts w:hint="eastAsia" w:ascii="宋体" w:hAnsi="宋体" w:cs="宋体"/>
          <w:bCs/>
          <w:szCs w:val="21"/>
          <w:u w:val="single"/>
        </w:rPr>
        <w:t>月</w:t>
      </w:r>
      <w:r>
        <w:rPr>
          <w:rFonts w:hint="eastAsia" w:ascii="宋体" w:hAnsi="宋体" w:cs="宋体"/>
          <w:bCs/>
          <w:szCs w:val="21"/>
          <w:u w:val="single"/>
          <w:lang w:val="en-US" w:eastAsia="zh-CN"/>
        </w:rPr>
        <w:t>4</w:t>
      </w:r>
      <w:r>
        <w:rPr>
          <w:rFonts w:hint="eastAsia" w:ascii="宋体" w:hAnsi="宋体" w:cs="宋体"/>
          <w:bCs/>
          <w:szCs w:val="21"/>
          <w:u w:val="single"/>
        </w:rPr>
        <w:t xml:space="preserve"> 日</w:t>
      </w:r>
      <w:r>
        <w:rPr>
          <w:rFonts w:hint="eastAsia" w:ascii="宋体" w:hAnsi="宋体" w:cs="宋体"/>
          <w:szCs w:val="21"/>
        </w:rPr>
        <w:t>，每天上午</w:t>
      </w:r>
      <w:r>
        <w:rPr>
          <w:rFonts w:hint="eastAsia" w:ascii="宋体" w:hAnsi="宋体" w:cs="宋体"/>
          <w:szCs w:val="21"/>
          <w:u w:val="single"/>
        </w:rPr>
        <w:t>00:00</w:t>
      </w:r>
      <w:r>
        <w:rPr>
          <w:rFonts w:hint="eastAsia" w:ascii="宋体" w:hAnsi="宋体" w:cs="宋体"/>
          <w:szCs w:val="21"/>
        </w:rPr>
        <w:t>至</w:t>
      </w:r>
      <w:r>
        <w:rPr>
          <w:rFonts w:hint="eastAsia" w:ascii="宋体" w:hAnsi="宋体" w:cs="宋体"/>
          <w:szCs w:val="21"/>
          <w:u w:val="single"/>
        </w:rPr>
        <w:t>12:00</w:t>
      </w:r>
      <w:r>
        <w:rPr>
          <w:rFonts w:hint="eastAsia" w:ascii="宋体" w:hAnsi="宋体" w:cs="宋体"/>
          <w:szCs w:val="21"/>
        </w:rPr>
        <w:t>，下午</w:t>
      </w:r>
      <w:r>
        <w:rPr>
          <w:rFonts w:hint="eastAsia" w:ascii="宋体" w:hAnsi="宋体" w:cs="宋体"/>
          <w:szCs w:val="21"/>
          <w:u w:val="single"/>
        </w:rPr>
        <w:t>12:00</w:t>
      </w:r>
      <w:r>
        <w:rPr>
          <w:rFonts w:hint="eastAsia" w:ascii="宋体" w:hAnsi="宋体" w:cs="宋体"/>
          <w:szCs w:val="21"/>
        </w:rPr>
        <w:t>至</w:t>
      </w:r>
      <w:r>
        <w:rPr>
          <w:rFonts w:hint="eastAsia" w:ascii="宋体" w:hAnsi="宋体" w:cs="宋体"/>
          <w:szCs w:val="21"/>
          <w:u w:val="single"/>
        </w:rPr>
        <w:t>23:59</w:t>
      </w:r>
      <w:r>
        <w:rPr>
          <w:rFonts w:hint="eastAsia" w:ascii="宋体" w:hAnsi="宋体" w:cs="宋体"/>
          <w:szCs w:val="21"/>
        </w:rPr>
        <w:t>（北京时间，线上获取法定节假日均可，线下获取文件法定节假日除外）。</w:t>
      </w:r>
    </w:p>
    <w:p>
      <w:pPr>
        <w:spacing w:line="360" w:lineRule="auto"/>
        <w:ind w:firstLine="540"/>
        <w:rPr>
          <w:rFonts w:ascii="宋体" w:hAnsi="宋体" w:cs="宋体"/>
          <w:szCs w:val="21"/>
          <w:u w:val="single"/>
        </w:rPr>
      </w:pPr>
      <w:r>
        <w:rPr>
          <w:rFonts w:hint="eastAsia" w:ascii="宋体" w:hAnsi="宋体" w:cs="宋体"/>
          <w:szCs w:val="21"/>
        </w:rPr>
        <w:t>2.地点（网址）：政府采购云平台（www.zcygov.cn）。</w:t>
      </w:r>
    </w:p>
    <w:p>
      <w:pPr>
        <w:spacing w:line="360" w:lineRule="auto"/>
        <w:ind w:firstLine="540"/>
        <w:rPr>
          <w:rFonts w:ascii="宋体" w:hAnsi="宋体" w:cs="宋体"/>
          <w:szCs w:val="21"/>
          <w:u w:val="single"/>
        </w:rPr>
      </w:pPr>
      <w:r>
        <w:rPr>
          <w:rFonts w:hint="eastAsia" w:ascii="宋体" w:hAnsi="宋体" w:cs="宋体"/>
          <w:szCs w:val="21"/>
        </w:rPr>
        <w:t>3.方式：供应商登录政采云平台https://www.zcygov.cn/在线申请获取</w:t>
      </w:r>
      <w:r>
        <w:rPr>
          <w:rFonts w:hint="eastAsia" w:ascii="宋体" w:hAnsi="宋体" w:cs="宋体"/>
          <w:szCs w:val="21"/>
          <w:lang w:eastAsia="zh-CN"/>
        </w:rPr>
        <w:t>采购文件</w:t>
      </w:r>
      <w:r>
        <w:rPr>
          <w:rFonts w:hint="eastAsia" w:ascii="宋体" w:hAnsi="宋体" w:cs="宋体"/>
          <w:szCs w:val="21"/>
        </w:rPr>
        <w:t>（进入“项目采购”应用，在获取采购文件菜单中选择项目，申请获取采购文件）。供应商未在规定时间内或未按上述方式获取</w:t>
      </w:r>
      <w:r>
        <w:rPr>
          <w:rFonts w:hint="eastAsia" w:ascii="宋体" w:hAnsi="宋体" w:cs="宋体"/>
          <w:szCs w:val="21"/>
          <w:lang w:eastAsia="zh-CN"/>
        </w:rPr>
        <w:t>采购文件</w:t>
      </w:r>
      <w:r>
        <w:rPr>
          <w:rFonts w:hint="eastAsia" w:ascii="宋体" w:hAnsi="宋体" w:cs="宋体"/>
          <w:szCs w:val="21"/>
        </w:rPr>
        <w:t>的，其投标无效。</w:t>
      </w:r>
    </w:p>
    <w:p>
      <w:pPr>
        <w:spacing w:line="360" w:lineRule="auto"/>
        <w:ind w:firstLine="540"/>
        <w:rPr>
          <w:rFonts w:ascii="宋体" w:hAnsi="宋体" w:cs="宋体"/>
          <w:szCs w:val="21"/>
        </w:rPr>
      </w:pPr>
      <w:r>
        <w:rPr>
          <w:rFonts w:hint="eastAsia" w:ascii="宋体" w:hAnsi="宋体" w:cs="宋体"/>
          <w:szCs w:val="21"/>
        </w:rPr>
        <w:t>4.售价（元）：0</w:t>
      </w:r>
    </w:p>
    <w:p>
      <w:pPr>
        <w:pStyle w:val="5"/>
        <w:spacing w:before="0" w:after="0" w:line="360" w:lineRule="auto"/>
        <w:rPr>
          <w:rFonts w:ascii="宋体" w:hAnsi="宋体" w:eastAsia="宋体" w:cs="宋体"/>
          <w:bCs w:val="0"/>
          <w:sz w:val="21"/>
          <w:szCs w:val="21"/>
        </w:rPr>
      </w:pPr>
      <w:bookmarkStart w:id="16" w:name="_Toc28359082"/>
      <w:bookmarkStart w:id="17" w:name="_Toc28359005"/>
      <w:bookmarkStart w:id="18" w:name="_Toc35393793"/>
      <w:bookmarkStart w:id="19" w:name="_Toc35393624"/>
      <w:r>
        <w:rPr>
          <w:rFonts w:hint="eastAsia" w:ascii="宋体" w:hAnsi="宋体" w:eastAsia="宋体" w:cs="宋体"/>
          <w:bCs w:val="0"/>
          <w:sz w:val="21"/>
          <w:szCs w:val="21"/>
        </w:rPr>
        <w:t>四、提交投标文件</w:t>
      </w:r>
      <w:bookmarkEnd w:id="16"/>
      <w:bookmarkEnd w:id="17"/>
      <w:r>
        <w:rPr>
          <w:rFonts w:hint="eastAsia" w:ascii="宋体" w:hAnsi="宋体" w:eastAsia="宋体" w:cs="宋体"/>
          <w:bCs w:val="0"/>
          <w:sz w:val="21"/>
          <w:szCs w:val="21"/>
        </w:rPr>
        <w:t>截止时间、开标时间和地点</w:t>
      </w:r>
      <w:bookmarkEnd w:id="18"/>
      <w:bookmarkEnd w:id="19"/>
    </w:p>
    <w:p>
      <w:pPr>
        <w:spacing w:line="336" w:lineRule="auto"/>
        <w:ind w:firstLine="540"/>
        <w:rPr>
          <w:rFonts w:ascii="宋体" w:hAnsi="宋体" w:cs="宋体"/>
          <w:szCs w:val="21"/>
        </w:rPr>
      </w:pPr>
      <w:r>
        <w:rPr>
          <w:rFonts w:hint="eastAsia" w:ascii="宋体" w:hAnsi="宋体" w:cs="宋体"/>
          <w:szCs w:val="21"/>
        </w:rPr>
        <w:t>1.提交投标文件截止时间：</w:t>
      </w:r>
      <w:r>
        <w:rPr>
          <w:rFonts w:hint="eastAsia" w:ascii="宋体" w:hAnsi="宋体" w:cs="宋体"/>
          <w:szCs w:val="21"/>
          <w:u w:val="single"/>
        </w:rPr>
        <w:t>202</w:t>
      </w:r>
      <w:r>
        <w:rPr>
          <w:rFonts w:hint="eastAsia" w:ascii="宋体" w:hAnsi="宋体" w:cs="宋体"/>
          <w:szCs w:val="21"/>
          <w:u w:val="single"/>
          <w:lang w:val="en-US" w:eastAsia="zh-CN"/>
        </w:rPr>
        <w:t>4</w:t>
      </w:r>
      <w:r>
        <w:rPr>
          <w:rFonts w:hint="eastAsia" w:ascii="宋体" w:hAnsi="宋体" w:cs="宋体"/>
          <w:bCs/>
          <w:szCs w:val="21"/>
          <w:u w:val="single"/>
        </w:rPr>
        <w:t>年</w:t>
      </w:r>
      <w:r>
        <w:rPr>
          <w:rFonts w:hint="eastAsia" w:ascii="宋体" w:hAnsi="宋体" w:cs="宋体"/>
          <w:bCs/>
          <w:szCs w:val="21"/>
          <w:u w:val="single"/>
          <w:lang w:val="en-US" w:eastAsia="zh-CN"/>
        </w:rPr>
        <w:t>3</w:t>
      </w:r>
      <w:r>
        <w:rPr>
          <w:rFonts w:hint="eastAsia" w:ascii="宋体" w:hAnsi="宋体" w:cs="宋体"/>
          <w:bCs/>
          <w:szCs w:val="21"/>
          <w:u w:val="single"/>
        </w:rPr>
        <w:t xml:space="preserve"> 月</w:t>
      </w:r>
      <w:r>
        <w:rPr>
          <w:rFonts w:hint="eastAsia" w:ascii="宋体" w:hAnsi="宋体" w:cs="宋体"/>
          <w:bCs/>
          <w:szCs w:val="21"/>
          <w:u w:val="single"/>
          <w:lang w:val="en-US" w:eastAsia="zh-CN"/>
        </w:rPr>
        <w:t>18</w:t>
      </w:r>
      <w:r>
        <w:rPr>
          <w:rFonts w:hint="eastAsia" w:ascii="宋体" w:hAnsi="宋体" w:cs="宋体"/>
          <w:bCs/>
          <w:szCs w:val="21"/>
          <w:u w:val="single"/>
        </w:rPr>
        <w:t>日</w:t>
      </w:r>
      <w:r>
        <w:rPr>
          <w:rFonts w:hint="eastAsia" w:ascii="宋体" w:hAnsi="宋体" w:cs="宋体"/>
          <w:szCs w:val="21"/>
          <w:u w:val="single"/>
        </w:rPr>
        <w:t>14：00</w:t>
      </w:r>
      <w:r>
        <w:rPr>
          <w:rFonts w:hint="eastAsia" w:ascii="宋体" w:hAnsi="宋体" w:cs="宋体"/>
          <w:szCs w:val="21"/>
        </w:rPr>
        <w:t>（北京时间）。</w:t>
      </w:r>
    </w:p>
    <w:p>
      <w:pPr>
        <w:spacing w:line="336" w:lineRule="auto"/>
        <w:ind w:firstLine="540"/>
        <w:rPr>
          <w:rFonts w:ascii="宋体" w:hAnsi="宋体" w:cs="宋体"/>
          <w:szCs w:val="21"/>
        </w:rPr>
      </w:pPr>
      <w:r>
        <w:rPr>
          <w:rFonts w:hint="eastAsia" w:ascii="宋体" w:hAnsi="宋体" w:cs="宋体"/>
          <w:szCs w:val="21"/>
        </w:rPr>
        <w:t>2.投标地点（网址）：</w:t>
      </w:r>
      <w:r>
        <w:rPr>
          <w:rFonts w:hint="eastAsia" w:ascii="宋体" w:hAnsi="宋体" w:cs="宋体"/>
          <w:szCs w:val="21"/>
          <w:u w:val="single"/>
        </w:rPr>
        <w:t>宁波市海曙区公共资源交易中心二楼开标室[宁波市海曙区气象路58号(南门上)]。政府采购云平台（http://www.zcygov.cn/）。</w:t>
      </w:r>
    </w:p>
    <w:p>
      <w:pPr>
        <w:spacing w:line="336" w:lineRule="auto"/>
        <w:ind w:firstLine="540"/>
        <w:rPr>
          <w:rFonts w:ascii="宋体" w:hAnsi="宋体" w:cs="宋体"/>
          <w:szCs w:val="21"/>
        </w:rPr>
      </w:pPr>
      <w:r>
        <w:rPr>
          <w:rFonts w:hint="eastAsia" w:ascii="宋体" w:hAnsi="宋体" w:cs="宋体"/>
          <w:szCs w:val="21"/>
        </w:rPr>
        <w:t>3.开标时间：</w:t>
      </w:r>
      <w:r>
        <w:rPr>
          <w:rFonts w:hint="eastAsia" w:ascii="宋体" w:hAnsi="宋体" w:cs="宋体"/>
          <w:szCs w:val="21"/>
          <w:u w:val="single"/>
        </w:rPr>
        <w:t>202</w:t>
      </w:r>
      <w:r>
        <w:rPr>
          <w:rFonts w:hint="eastAsia" w:ascii="宋体" w:hAnsi="宋体" w:cs="宋体"/>
          <w:szCs w:val="21"/>
          <w:u w:val="single"/>
          <w:lang w:val="en-US" w:eastAsia="zh-CN"/>
        </w:rPr>
        <w:t>4</w:t>
      </w:r>
      <w:r>
        <w:rPr>
          <w:rFonts w:hint="eastAsia" w:ascii="宋体" w:hAnsi="宋体" w:cs="宋体"/>
          <w:bCs/>
          <w:szCs w:val="21"/>
          <w:u w:val="single"/>
        </w:rPr>
        <w:t>年</w:t>
      </w:r>
      <w:r>
        <w:rPr>
          <w:rFonts w:hint="eastAsia" w:ascii="宋体" w:hAnsi="宋体" w:cs="宋体"/>
          <w:bCs/>
          <w:szCs w:val="21"/>
          <w:u w:val="single"/>
          <w:lang w:val="en-US" w:eastAsia="zh-CN"/>
        </w:rPr>
        <w:t>3</w:t>
      </w:r>
      <w:r>
        <w:rPr>
          <w:rFonts w:hint="eastAsia" w:ascii="宋体" w:hAnsi="宋体" w:cs="宋体"/>
          <w:bCs/>
          <w:szCs w:val="21"/>
          <w:u w:val="single"/>
        </w:rPr>
        <w:t>月</w:t>
      </w:r>
      <w:r>
        <w:rPr>
          <w:rFonts w:hint="eastAsia" w:ascii="宋体" w:hAnsi="宋体" w:cs="宋体"/>
          <w:bCs/>
          <w:szCs w:val="21"/>
          <w:u w:val="single"/>
          <w:lang w:val="en-US" w:eastAsia="zh-CN"/>
        </w:rPr>
        <w:t>18</w:t>
      </w:r>
      <w:r>
        <w:rPr>
          <w:rFonts w:hint="eastAsia" w:ascii="宋体" w:hAnsi="宋体" w:cs="宋体"/>
          <w:bCs/>
          <w:szCs w:val="21"/>
          <w:u w:val="single"/>
        </w:rPr>
        <w:t>日</w:t>
      </w:r>
      <w:r>
        <w:rPr>
          <w:rFonts w:hint="eastAsia" w:ascii="宋体" w:hAnsi="宋体" w:cs="宋体"/>
          <w:szCs w:val="21"/>
          <w:u w:val="single"/>
        </w:rPr>
        <w:t xml:space="preserve">14：00  </w:t>
      </w:r>
      <w:r>
        <w:rPr>
          <w:rFonts w:hint="eastAsia" w:ascii="宋体" w:hAnsi="宋体" w:cs="宋体"/>
          <w:szCs w:val="21"/>
        </w:rPr>
        <w:t xml:space="preserve">  </w:t>
      </w:r>
      <w:r>
        <w:rPr>
          <w:rFonts w:hint="eastAsia" w:ascii="宋体" w:hAnsi="宋体" w:cs="宋体"/>
          <w:szCs w:val="21"/>
          <w:u w:val="single"/>
        </w:rPr>
        <w:t xml:space="preserve">      </w:t>
      </w:r>
    </w:p>
    <w:p>
      <w:pPr>
        <w:spacing w:line="360" w:lineRule="auto"/>
        <w:ind w:firstLine="540"/>
        <w:rPr>
          <w:rFonts w:ascii="宋体" w:hAnsi="宋体" w:cs="宋体"/>
          <w:szCs w:val="21"/>
          <w:u w:val="single"/>
        </w:rPr>
      </w:pPr>
      <w:r>
        <w:rPr>
          <w:rFonts w:hint="eastAsia" w:ascii="宋体" w:hAnsi="宋体" w:cs="宋体"/>
          <w:szCs w:val="21"/>
        </w:rPr>
        <w:t>4.开标地点（网址）：</w:t>
      </w:r>
      <w:r>
        <w:rPr>
          <w:rFonts w:hint="eastAsia" w:ascii="宋体" w:hAnsi="宋体" w:cs="宋体"/>
          <w:szCs w:val="21"/>
          <w:u w:val="single"/>
        </w:rPr>
        <w:t>宁波市海曙区公共资源交易中心二楼开标室[宁波市海曙区气象路58号(南门上)]。政府采购云平台（http://www.zcygov.cn/）。</w:t>
      </w:r>
    </w:p>
    <w:p>
      <w:pPr>
        <w:pStyle w:val="5"/>
        <w:spacing w:before="0" w:after="0" w:line="360" w:lineRule="auto"/>
        <w:rPr>
          <w:rFonts w:ascii="宋体" w:hAnsi="宋体" w:eastAsia="宋体" w:cs="宋体"/>
          <w:bCs w:val="0"/>
          <w:sz w:val="21"/>
          <w:szCs w:val="21"/>
        </w:rPr>
      </w:pPr>
      <w:bookmarkStart w:id="20" w:name="_Toc35393625"/>
      <w:bookmarkStart w:id="21" w:name="_Toc28359084"/>
      <w:bookmarkStart w:id="22" w:name="_Toc35393794"/>
      <w:bookmarkStart w:id="23" w:name="_Toc28359007"/>
      <w:r>
        <w:rPr>
          <w:rFonts w:hint="eastAsia" w:ascii="宋体" w:hAnsi="宋体" w:eastAsia="宋体" w:cs="宋体"/>
          <w:bCs w:val="0"/>
          <w:sz w:val="21"/>
          <w:szCs w:val="21"/>
        </w:rPr>
        <w:t>五、公告期限</w:t>
      </w:r>
      <w:bookmarkEnd w:id="20"/>
      <w:bookmarkEnd w:id="21"/>
      <w:bookmarkEnd w:id="22"/>
      <w:bookmarkEnd w:id="23"/>
    </w:p>
    <w:p>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pPr>
        <w:pStyle w:val="5"/>
        <w:spacing w:before="0" w:after="0" w:line="360" w:lineRule="auto"/>
        <w:rPr>
          <w:rFonts w:ascii="宋体" w:hAnsi="宋体" w:eastAsia="宋体" w:cs="宋体"/>
          <w:bCs w:val="0"/>
          <w:sz w:val="21"/>
          <w:szCs w:val="21"/>
        </w:rPr>
      </w:pPr>
      <w:bookmarkStart w:id="24" w:name="_Toc35393626"/>
      <w:bookmarkStart w:id="25" w:name="_Toc35393795"/>
      <w:r>
        <w:rPr>
          <w:rFonts w:hint="eastAsia" w:ascii="宋体" w:hAnsi="宋体" w:eastAsia="宋体" w:cs="宋体"/>
          <w:bCs w:val="0"/>
          <w:sz w:val="21"/>
          <w:szCs w:val="21"/>
        </w:rPr>
        <w:t>六、其他补充事宜</w:t>
      </w:r>
      <w:bookmarkEnd w:id="24"/>
      <w:bookmarkEnd w:id="25"/>
    </w:p>
    <w:p>
      <w:pPr>
        <w:widowControl/>
        <w:spacing w:line="336" w:lineRule="auto"/>
        <w:ind w:firstLine="420" w:firstLineChars="200"/>
        <w:rPr>
          <w:rFonts w:ascii="宋体" w:hAnsi="宋体" w:cs="宋体"/>
          <w:kern w:val="0"/>
          <w:szCs w:val="21"/>
        </w:rPr>
      </w:pPr>
      <w:r>
        <w:rPr>
          <w:rFonts w:hint="eastAsia" w:ascii="宋体" w:hAnsi="宋体" w:cs="宋体"/>
          <w:kern w:val="0"/>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2.其他事项：</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2.1落实的政策：</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2.1.1对小微企业的产品给予价格优惠（监狱企业、残疾人福利性单位视同小微企业；残疾人福利性单位属于小型、微型企业的，不重复享受政策）；（本项目不适用）</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2.2投标与开标注意事项</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2.2.1本项目实行网上投标，采用电子投标文件。若供应商参与投标，自行承担投标一切费用。</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2.2.2标前准备：因未办理CA数字证书等原因造成无法投标或投标失败等后果由供应商自行承担。</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2.2.3投标文件制作：</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2.2.3.1应按照本项目</w:t>
      </w:r>
      <w:r>
        <w:rPr>
          <w:rFonts w:hint="eastAsia" w:ascii="宋体" w:hAnsi="宋体" w:cs="宋体"/>
          <w:kern w:val="0"/>
          <w:szCs w:val="21"/>
          <w:lang w:eastAsia="zh-CN"/>
        </w:rPr>
        <w:t>采购文件</w:t>
      </w:r>
      <w:r>
        <w:rPr>
          <w:rFonts w:hint="eastAsia" w:ascii="宋体" w:hAnsi="宋体" w:cs="宋体"/>
          <w:kern w:val="0"/>
          <w:szCs w:val="21"/>
        </w:rPr>
        <w:t>和政府采购云平台的要求编制、加密并递交投标文件。供应商在使用系统进行投标的过程中遇到涉及平台使用的任何问题，可致电政府采购云平台技术支持热线咨询，联系方式：95763。</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2.2.3.2供应商通过政府采购云平台电子投标工具制作投标文件，电子投标工具请供应商自行前往浙江政府采购网下载并安装，投标文件制作具体流程详见政府采购云平台。</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2.2.3.3以U盘存储的电子备份投标文件1份，按政府采购云平台要求</w:t>
      </w:r>
      <w:r>
        <w:rPr>
          <w:rFonts w:hint="eastAsia" w:ascii="宋体" w:hAnsi="宋体" w:cs="宋体"/>
          <w:szCs w:val="21"/>
        </w:rPr>
        <w:t>制作的电子备份文件</w:t>
      </w:r>
      <w:r>
        <w:rPr>
          <w:rFonts w:hint="eastAsia" w:ascii="宋体" w:hAnsi="宋体" w:cs="宋体"/>
          <w:kern w:val="0"/>
          <w:szCs w:val="21"/>
        </w:rPr>
        <w:t>，以用于异常情况处理。</w:t>
      </w:r>
    </w:p>
    <w:p>
      <w:pPr>
        <w:snapToGrid w:val="0"/>
        <w:spacing w:line="360" w:lineRule="auto"/>
        <w:ind w:firstLine="420"/>
        <w:rPr>
          <w:rFonts w:ascii="宋体" w:hAnsi="宋体" w:cs="宋体"/>
          <w:bCs/>
          <w:szCs w:val="21"/>
        </w:rPr>
      </w:pPr>
      <w:r>
        <w:rPr>
          <w:rFonts w:hint="eastAsia" w:ascii="宋体" w:hAnsi="宋体" w:cs="宋体"/>
          <w:kern w:val="0"/>
          <w:szCs w:val="21"/>
        </w:rPr>
        <w:t>2.3本招标公告附件中的</w:t>
      </w:r>
      <w:r>
        <w:rPr>
          <w:rFonts w:hint="eastAsia" w:ascii="宋体" w:hAnsi="宋体" w:cs="宋体"/>
          <w:kern w:val="0"/>
          <w:szCs w:val="21"/>
          <w:lang w:eastAsia="zh-CN"/>
        </w:rPr>
        <w:t>采购文件</w:t>
      </w:r>
      <w:r>
        <w:rPr>
          <w:rFonts w:hint="eastAsia" w:ascii="宋体" w:hAnsi="宋体" w:cs="宋体"/>
          <w:kern w:val="0"/>
          <w:szCs w:val="21"/>
        </w:rPr>
        <w:t>仅供阅览使用，供应商应在规定的</w:t>
      </w:r>
      <w:r>
        <w:rPr>
          <w:rFonts w:hint="eastAsia" w:ascii="宋体" w:hAnsi="宋体" w:cs="宋体"/>
          <w:kern w:val="0"/>
          <w:szCs w:val="21"/>
          <w:lang w:eastAsia="zh-CN"/>
        </w:rPr>
        <w:t>采购文件</w:t>
      </w:r>
      <w:r>
        <w:rPr>
          <w:rFonts w:hint="eastAsia" w:ascii="宋体" w:hAnsi="宋体" w:cs="宋体"/>
          <w:kern w:val="0"/>
          <w:szCs w:val="21"/>
        </w:rPr>
        <w:t>获取期限内在政采云平台登录供应商注册的账号后获取</w:t>
      </w:r>
      <w:r>
        <w:rPr>
          <w:rFonts w:hint="eastAsia" w:ascii="宋体" w:hAnsi="宋体" w:cs="宋体"/>
          <w:kern w:val="0"/>
          <w:szCs w:val="21"/>
          <w:lang w:eastAsia="zh-CN"/>
        </w:rPr>
        <w:t>采购文件</w:t>
      </w:r>
      <w:r>
        <w:rPr>
          <w:rFonts w:hint="eastAsia" w:ascii="宋体" w:hAnsi="宋体" w:cs="宋体"/>
          <w:kern w:val="0"/>
          <w:szCs w:val="21"/>
        </w:rPr>
        <w:t>，未按上述方式获取</w:t>
      </w:r>
      <w:r>
        <w:rPr>
          <w:rFonts w:hint="eastAsia" w:ascii="宋体" w:hAnsi="宋体" w:cs="宋体"/>
          <w:kern w:val="0"/>
          <w:szCs w:val="21"/>
          <w:lang w:eastAsia="zh-CN"/>
        </w:rPr>
        <w:t>采购文件</w:t>
      </w:r>
      <w:r>
        <w:rPr>
          <w:rFonts w:hint="eastAsia" w:ascii="宋体" w:hAnsi="宋体" w:cs="宋体"/>
          <w:kern w:val="0"/>
          <w:szCs w:val="21"/>
        </w:rPr>
        <w:t>的，不得对</w:t>
      </w:r>
      <w:r>
        <w:rPr>
          <w:rFonts w:hint="eastAsia" w:ascii="宋体" w:hAnsi="宋体" w:cs="宋体"/>
          <w:kern w:val="0"/>
          <w:szCs w:val="21"/>
          <w:lang w:eastAsia="zh-CN"/>
        </w:rPr>
        <w:t>采购文件</w:t>
      </w:r>
      <w:r>
        <w:rPr>
          <w:rFonts w:hint="eastAsia" w:ascii="宋体" w:hAnsi="宋体" w:cs="宋体"/>
          <w:kern w:val="0"/>
          <w:szCs w:val="21"/>
        </w:rPr>
        <w:t>提起质疑投诉。</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2.4供应商应于投标截止时间前将电子投标文件上传到政府采购云平台www.zcygov.cn，未上传电子投标文件，视为供应商放弃投标。</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2.5供应商如提供</w:t>
      </w:r>
      <w:r>
        <w:rPr>
          <w:rFonts w:hint="eastAsia" w:ascii="宋体" w:hAnsi="宋体" w:eastAsia="宋体" w:cs="宋体"/>
          <w:kern w:val="0"/>
          <w:szCs w:val="21"/>
        </w:rPr>
        <w:t>备份投标文件的，应于提交投标文件截止时间前，将以U盘存储的电子备份投标文件密封，递交至宁波市海曙区公共资源交易中心二楼开标室</w:t>
      </w:r>
      <w:r>
        <w:rPr>
          <w:rFonts w:hint="eastAsia" w:ascii="宋体" w:hAnsi="宋体" w:eastAsia="宋体" w:cs="宋体"/>
          <w:kern w:val="0"/>
          <w:szCs w:val="21"/>
          <w:lang w:val="en-US" w:eastAsia="zh-CN"/>
        </w:rPr>
        <w:t>或开标前一天17:00</w:t>
      </w:r>
      <w:r>
        <w:rPr>
          <w:rFonts w:hint="eastAsia" w:ascii="宋体" w:hAnsi="宋体" w:eastAsia="宋体" w:cs="宋体"/>
          <w:kern w:val="0"/>
          <w:szCs w:val="21"/>
        </w:rPr>
        <w:t>寄到招标代理公司</w:t>
      </w:r>
      <w:r>
        <w:rPr>
          <w:rFonts w:hint="eastAsia" w:ascii="宋体" w:hAnsi="宋体" w:eastAsia="宋体" w:cs="宋体"/>
          <w:kern w:val="0"/>
          <w:szCs w:val="21"/>
          <w:lang w:eastAsia="zh-CN"/>
        </w:rPr>
        <w:t>，</w:t>
      </w:r>
      <w:r>
        <w:rPr>
          <w:rFonts w:hint="eastAsia" w:ascii="宋体" w:hAnsi="宋体" w:cs="宋体"/>
          <w:kern w:val="0"/>
          <w:szCs w:val="21"/>
        </w:rPr>
        <w:t>逾期送达或未密封将予以拒收。供应商仅提供电子备份投标文件的，投标无效。</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2.6采购代理机构将在</w:t>
      </w:r>
      <w:r>
        <w:rPr>
          <w:rFonts w:hint="eastAsia" w:ascii="宋体" w:hAnsi="宋体" w:cs="宋体"/>
          <w:kern w:val="0"/>
          <w:szCs w:val="21"/>
          <w:lang w:eastAsia="zh-CN"/>
        </w:rPr>
        <w:t>采购文件</w:t>
      </w:r>
      <w:r>
        <w:rPr>
          <w:rFonts w:hint="eastAsia" w:ascii="宋体" w:hAnsi="宋体" w:cs="宋体"/>
          <w:kern w:val="0"/>
          <w:szCs w:val="21"/>
        </w:rPr>
        <w:t>规定的开标时间通过政府采购云平台组织开标、开启投标文件，所有供应商均应准时在线参加。开标时间后30分钟内供应商可以登录政府采购云平台www.zcygov.cn，用“项目采购－开标评标”功能进行解密投标文件。</w:t>
      </w:r>
    </w:p>
    <w:p>
      <w:pPr>
        <w:widowControl/>
        <w:wordWrap w:val="0"/>
        <w:spacing w:line="360" w:lineRule="auto"/>
        <w:ind w:firstLine="420" w:firstLineChars="200"/>
        <w:rPr>
          <w:rFonts w:ascii="宋体" w:hAnsi="宋体" w:cs="宋体"/>
          <w:kern w:val="0"/>
          <w:szCs w:val="21"/>
        </w:rPr>
      </w:pPr>
      <w:r>
        <w:rPr>
          <w:rFonts w:hint="eastAsia" w:ascii="宋体" w:hAnsi="宋体" w:cs="宋体"/>
          <w:kern w:val="0"/>
          <w:szCs w:val="21"/>
        </w:rPr>
        <w:t>2.7本公告发布媒体：浙江省公共资源交易服务平台（https://ggzy.zj.gov.cn）、浙江政府采购网（zfcg.czt.zj.gov.cn）、宁波政府采购(www.nbzfcg.cn)、宁波市政务服务中心（海曙）（https://jyxt.zwb.ningbo.gov.cn:4011）。</w:t>
      </w:r>
    </w:p>
    <w:p>
      <w:pPr>
        <w:snapToGrid w:val="0"/>
        <w:spacing w:line="360" w:lineRule="auto"/>
        <w:ind w:firstLine="420"/>
        <w:rPr>
          <w:rFonts w:ascii="宋体" w:hAnsi="宋体" w:cs="宋体"/>
          <w:bCs/>
          <w:szCs w:val="21"/>
        </w:rPr>
      </w:pPr>
      <w:r>
        <w:rPr>
          <w:rFonts w:hint="eastAsia" w:ascii="宋体" w:hAnsi="宋体" w:cs="宋体"/>
          <w:bCs/>
          <w:szCs w:val="21"/>
        </w:rPr>
        <w:t>2.8海曙区“政采贷”助力中小企业金融服务，有需要的中标（成交）供应商请于网站</w:t>
      </w:r>
      <w:r>
        <w:rPr>
          <w:rFonts w:hint="eastAsia" w:ascii="宋体" w:hAnsi="宋体" w:cs="宋体"/>
          <w:kern w:val="0"/>
          <w:szCs w:val="21"/>
        </w:rPr>
        <w:t>http://haishu.nbggzy.cn/tzgg/360383.jhtml</w:t>
      </w:r>
      <w:r>
        <w:rPr>
          <w:rFonts w:hint="eastAsia" w:ascii="宋体" w:hAnsi="宋体" w:cs="宋体"/>
          <w:bCs/>
          <w:szCs w:val="21"/>
        </w:rPr>
        <w:t>办理具体业务。</w:t>
      </w:r>
    </w:p>
    <w:p>
      <w:pPr>
        <w:snapToGrid w:val="0"/>
        <w:spacing w:line="360" w:lineRule="auto"/>
        <w:ind w:firstLine="420"/>
        <w:rPr>
          <w:rFonts w:ascii="宋体" w:hAnsi="宋体" w:cs="宋体"/>
          <w:bCs/>
          <w:szCs w:val="21"/>
        </w:rPr>
      </w:pPr>
      <w:r>
        <w:rPr>
          <w:rFonts w:hint="eastAsia" w:ascii="宋体" w:hAnsi="宋体" w:cs="宋体"/>
          <w:bCs/>
          <w:szCs w:val="21"/>
        </w:rPr>
        <w:t>2.9本招标公告中二、申请人的资格要求：第一条中的“重大税收违法案件当事人名单”即为“重大税收违法失信主体”。</w:t>
      </w:r>
    </w:p>
    <w:p>
      <w:pPr>
        <w:snapToGrid w:val="0"/>
        <w:spacing w:line="360" w:lineRule="auto"/>
        <w:ind w:firstLine="420"/>
      </w:pPr>
      <w:r>
        <w:rPr>
          <w:rFonts w:hint="eastAsia" w:ascii="宋体" w:hAnsi="宋体" w:cs="宋体"/>
          <w:bCs/>
          <w:szCs w:val="21"/>
        </w:rPr>
        <w:t>2.10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5"/>
        <w:spacing w:before="0" w:after="0" w:line="360" w:lineRule="auto"/>
        <w:rPr>
          <w:rFonts w:ascii="宋体" w:hAnsi="宋体" w:eastAsia="宋体" w:cs="宋体"/>
          <w:bCs w:val="0"/>
          <w:sz w:val="21"/>
          <w:szCs w:val="21"/>
        </w:rPr>
      </w:pPr>
      <w:bookmarkStart w:id="26" w:name="_Toc28359085"/>
      <w:bookmarkStart w:id="27" w:name="_Toc28359008"/>
      <w:bookmarkStart w:id="28" w:name="_Toc35393796"/>
      <w:bookmarkStart w:id="29" w:name="_Toc35393627"/>
      <w:r>
        <w:rPr>
          <w:rFonts w:hint="eastAsia" w:ascii="宋体" w:hAnsi="宋体" w:eastAsia="宋体" w:cs="宋体"/>
          <w:bCs w:val="0"/>
          <w:sz w:val="21"/>
          <w:szCs w:val="21"/>
        </w:rPr>
        <w:t>七、对本次采购提出询问、质疑、投诉，请按以下方式联系。</w:t>
      </w:r>
      <w:bookmarkEnd w:id="26"/>
      <w:bookmarkEnd w:id="27"/>
      <w:bookmarkEnd w:id="28"/>
      <w:bookmarkEnd w:id="29"/>
    </w:p>
    <w:p>
      <w:pPr>
        <w:pStyle w:val="46"/>
        <w:adjustRightInd w:val="0"/>
        <w:snapToGrid w:val="0"/>
        <w:spacing w:before="0" w:beforeAutospacing="0" w:after="0" w:afterAutospacing="0" w:line="43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1.采购人信息</w:t>
      </w:r>
    </w:p>
    <w:p>
      <w:pPr>
        <w:pStyle w:val="46"/>
        <w:adjustRightInd w:val="0"/>
        <w:snapToGrid w:val="0"/>
        <w:spacing w:before="0" w:beforeAutospacing="0" w:after="0" w:afterAutospacing="0" w:line="430" w:lineRule="exact"/>
        <w:ind w:firstLine="420" w:firstLineChars="200"/>
        <w:rPr>
          <w:rFonts w:ascii="宋体" w:hAnsi="宋体" w:cs="宋体"/>
          <w:sz w:val="21"/>
          <w:szCs w:val="21"/>
        </w:rPr>
      </w:pPr>
      <w:r>
        <w:rPr>
          <w:rFonts w:hint="eastAsia" w:ascii="宋体" w:hAnsi="宋体" w:cs="宋体"/>
          <w:sz w:val="21"/>
          <w:szCs w:val="21"/>
        </w:rPr>
        <w:t>名    称：</w:t>
      </w:r>
      <w:r>
        <w:rPr>
          <w:rFonts w:hint="eastAsia" w:ascii="宋体" w:hAnsi="宋体" w:cs="宋体"/>
          <w:sz w:val="21"/>
          <w:szCs w:val="21"/>
          <w:lang w:eastAsia="zh-CN"/>
        </w:rPr>
        <w:t>宁波市海曙区农业农村局</w:t>
      </w:r>
      <w:r>
        <w:rPr>
          <w:rFonts w:hint="eastAsia" w:ascii="宋体" w:hAnsi="宋体" w:cs="宋体"/>
          <w:sz w:val="21"/>
          <w:szCs w:val="21"/>
        </w:rPr>
        <w:t xml:space="preserve"> 　</w:t>
      </w:r>
    </w:p>
    <w:p>
      <w:pPr>
        <w:pStyle w:val="46"/>
        <w:adjustRightInd w:val="0"/>
        <w:snapToGrid w:val="0"/>
        <w:spacing w:before="0" w:beforeAutospacing="0" w:after="0" w:afterAutospacing="0" w:line="430" w:lineRule="exact"/>
        <w:ind w:firstLine="420" w:firstLineChars="200"/>
        <w:rPr>
          <w:rFonts w:hint="default" w:ascii="宋体" w:hAnsi="宋体" w:eastAsia="宋体" w:cs="宋体"/>
          <w:sz w:val="21"/>
          <w:szCs w:val="21"/>
          <w:lang w:val="en-US" w:eastAsia="zh-CN"/>
        </w:rPr>
      </w:pPr>
      <w:r>
        <w:rPr>
          <w:rFonts w:hint="eastAsia" w:ascii="宋体" w:hAnsi="宋体" w:cs="宋体"/>
          <w:sz w:val="21"/>
          <w:szCs w:val="21"/>
        </w:rPr>
        <w:t xml:space="preserve">地    址： </w:t>
      </w:r>
      <w:r>
        <w:rPr>
          <w:rFonts w:hint="eastAsia" w:ascii="宋体" w:hAnsi="宋体" w:cs="宋体"/>
          <w:sz w:val="21"/>
          <w:szCs w:val="21"/>
          <w:lang w:val="en-US" w:eastAsia="zh-CN"/>
        </w:rPr>
        <w:t>海曙区雅戈尔大道1号</w:t>
      </w:r>
    </w:p>
    <w:p>
      <w:pPr>
        <w:pStyle w:val="46"/>
        <w:adjustRightInd w:val="0"/>
        <w:snapToGrid w:val="0"/>
        <w:spacing w:before="0" w:beforeAutospacing="0" w:after="0" w:afterAutospacing="0" w:line="430" w:lineRule="exact"/>
        <w:ind w:firstLine="420" w:firstLineChars="200"/>
        <w:rPr>
          <w:rFonts w:ascii="宋体" w:hAnsi="宋体" w:cs="宋体"/>
          <w:sz w:val="21"/>
          <w:szCs w:val="21"/>
        </w:rPr>
      </w:pPr>
      <w:r>
        <w:rPr>
          <w:rFonts w:hint="eastAsia" w:ascii="宋体" w:hAnsi="宋体" w:cs="宋体"/>
          <w:sz w:val="21"/>
          <w:szCs w:val="21"/>
        </w:rPr>
        <w:t>传     真：/  </w:t>
      </w:r>
    </w:p>
    <w:p>
      <w:pPr>
        <w:pStyle w:val="46"/>
        <w:adjustRightInd w:val="0"/>
        <w:snapToGrid w:val="0"/>
        <w:spacing w:before="0" w:beforeAutospacing="0" w:after="0" w:afterAutospacing="0" w:line="43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项目联系人（询问）：郑刚</w:t>
      </w:r>
    </w:p>
    <w:p>
      <w:pPr>
        <w:pStyle w:val="46"/>
        <w:adjustRightInd w:val="0"/>
        <w:snapToGrid w:val="0"/>
        <w:spacing w:before="0" w:beforeAutospacing="0" w:after="0" w:afterAutospacing="0" w:line="43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项目联系方式（询问）：0574</w:t>
      </w:r>
      <w:r>
        <w:rPr>
          <w:rFonts w:hint="eastAsia" w:ascii="宋体" w:hAnsi="宋体" w:cs="宋体"/>
          <w:sz w:val="21"/>
          <w:szCs w:val="21"/>
          <w:shd w:val="clear" w:color="auto" w:fill="FFFFFF"/>
          <w:lang w:val="en-US" w:eastAsia="zh-CN"/>
        </w:rPr>
        <w:t>-</w:t>
      </w:r>
      <w:r>
        <w:rPr>
          <w:rFonts w:hint="eastAsia" w:ascii="宋体" w:hAnsi="宋体" w:cs="宋体"/>
          <w:sz w:val="21"/>
          <w:szCs w:val="21"/>
          <w:shd w:val="clear" w:color="auto" w:fill="FFFFFF"/>
        </w:rPr>
        <w:t>89297193</w:t>
      </w:r>
    </w:p>
    <w:p>
      <w:pPr>
        <w:pStyle w:val="46"/>
        <w:adjustRightInd w:val="0"/>
        <w:snapToGrid w:val="0"/>
        <w:spacing w:before="0" w:beforeAutospacing="0" w:after="0" w:afterAutospacing="0" w:line="43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质疑联系人：施郭丽</w:t>
      </w:r>
    </w:p>
    <w:p>
      <w:pPr>
        <w:pStyle w:val="46"/>
        <w:adjustRightInd w:val="0"/>
        <w:snapToGrid w:val="0"/>
        <w:spacing w:before="0" w:beforeAutospacing="0" w:after="0" w:afterAutospacing="0" w:line="43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质疑联系方式：0574</w:t>
      </w:r>
      <w:r>
        <w:rPr>
          <w:rFonts w:hint="eastAsia" w:ascii="宋体" w:hAnsi="宋体" w:cs="宋体"/>
          <w:sz w:val="21"/>
          <w:szCs w:val="21"/>
          <w:shd w:val="clear" w:color="auto" w:fill="FFFFFF"/>
          <w:lang w:val="en-US" w:eastAsia="zh-CN"/>
        </w:rPr>
        <w:t>-</w:t>
      </w:r>
      <w:r>
        <w:rPr>
          <w:rFonts w:hint="eastAsia" w:ascii="宋体" w:hAnsi="宋体" w:cs="宋体"/>
          <w:sz w:val="21"/>
          <w:szCs w:val="21"/>
          <w:shd w:val="clear" w:color="auto" w:fill="FFFFFF"/>
        </w:rPr>
        <w:t>89297889</w:t>
      </w:r>
    </w:p>
    <w:p>
      <w:pPr>
        <w:pStyle w:val="46"/>
        <w:adjustRightInd w:val="0"/>
        <w:snapToGrid w:val="0"/>
        <w:spacing w:before="0" w:beforeAutospacing="0" w:after="0" w:afterAutospacing="0" w:line="43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2.采购代理机构信息            </w:t>
      </w:r>
    </w:p>
    <w:p>
      <w:pPr>
        <w:pStyle w:val="46"/>
        <w:adjustRightInd w:val="0"/>
        <w:snapToGrid w:val="0"/>
        <w:spacing w:before="0" w:beforeAutospacing="0" w:after="0" w:afterAutospacing="0" w:line="43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名    称：</w:t>
      </w:r>
      <w:r>
        <w:rPr>
          <w:rFonts w:hint="eastAsia" w:ascii="宋体" w:hAnsi="宋体" w:cs="宋体"/>
          <w:sz w:val="21"/>
          <w:szCs w:val="21"/>
          <w:shd w:val="clear" w:color="auto" w:fill="FFFFFF"/>
          <w:lang w:eastAsia="zh-CN"/>
        </w:rPr>
        <w:t>宁波瑞诚工程管理咨询有限公司</w:t>
      </w:r>
      <w:r>
        <w:rPr>
          <w:rFonts w:hint="eastAsia" w:ascii="宋体" w:hAnsi="宋体" w:cs="宋体"/>
          <w:sz w:val="21"/>
          <w:szCs w:val="21"/>
          <w:shd w:val="clear" w:color="auto" w:fill="FFFFFF"/>
        </w:rPr>
        <w:t>　             </w:t>
      </w:r>
    </w:p>
    <w:p>
      <w:pPr>
        <w:pStyle w:val="46"/>
        <w:adjustRightInd w:val="0"/>
        <w:snapToGrid w:val="0"/>
        <w:spacing w:before="0" w:beforeAutospacing="0" w:after="0" w:afterAutospacing="0" w:line="43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地    址：</w:t>
      </w:r>
      <w:r>
        <w:rPr>
          <w:rFonts w:hint="eastAsia" w:ascii="宋体" w:hAnsi="宋体" w:cs="宋体"/>
          <w:sz w:val="21"/>
          <w:szCs w:val="21"/>
          <w:shd w:val="clear" w:color="auto" w:fill="FFFFFF"/>
          <w:lang w:val="en-US" w:eastAsia="zh-CN"/>
        </w:rPr>
        <w:t>宁波市鄞州区城南商务大厦A座2001-1</w:t>
      </w:r>
      <w:r>
        <w:rPr>
          <w:rFonts w:hint="eastAsia" w:ascii="宋体" w:hAnsi="宋体" w:cs="宋体"/>
          <w:sz w:val="21"/>
          <w:szCs w:val="21"/>
          <w:shd w:val="clear" w:color="auto" w:fill="FFFFFF"/>
        </w:rPr>
        <w:t>           </w:t>
      </w:r>
    </w:p>
    <w:p>
      <w:pPr>
        <w:pStyle w:val="46"/>
        <w:adjustRightInd w:val="0"/>
        <w:snapToGrid w:val="0"/>
        <w:spacing w:before="0" w:beforeAutospacing="0" w:after="0" w:afterAutospacing="0" w:line="43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传     真：/             </w:t>
      </w:r>
    </w:p>
    <w:p>
      <w:pPr>
        <w:pStyle w:val="46"/>
        <w:adjustRightInd w:val="0"/>
        <w:snapToGrid w:val="0"/>
        <w:spacing w:before="0" w:beforeAutospacing="0" w:after="0" w:afterAutospacing="0" w:line="43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项目联系人（询问）：</w:t>
      </w:r>
      <w:r>
        <w:rPr>
          <w:rFonts w:hint="eastAsia" w:ascii="宋体" w:hAnsi="宋体" w:cs="宋体"/>
          <w:sz w:val="21"/>
          <w:szCs w:val="21"/>
          <w:shd w:val="clear" w:color="auto" w:fill="FFFFFF"/>
          <w:lang w:val="en-US" w:eastAsia="zh-CN"/>
        </w:rPr>
        <w:t>夏萍、黄云霞</w:t>
      </w:r>
      <w:r>
        <w:rPr>
          <w:rFonts w:hint="eastAsia" w:ascii="宋体" w:hAnsi="宋体" w:cs="宋体"/>
          <w:sz w:val="21"/>
          <w:szCs w:val="21"/>
          <w:shd w:val="clear" w:color="auto" w:fill="FFFFFF"/>
        </w:rPr>
        <w:t>         </w:t>
      </w:r>
    </w:p>
    <w:p>
      <w:pPr>
        <w:pStyle w:val="46"/>
        <w:adjustRightInd w:val="0"/>
        <w:snapToGrid w:val="0"/>
        <w:spacing w:before="0" w:beforeAutospacing="0" w:after="0" w:afterAutospacing="0" w:line="430" w:lineRule="exact"/>
        <w:ind w:firstLine="420" w:firstLineChars="200"/>
        <w:rPr>
          <w:rFonts w:hint="default" w:ascii="宋体" w:hAnsi="宋体" w:eastAsia="宋体" w:cs="宋体"/>
          <w:sz w:val="21"/>
          <w:szCs w:val="21"/>
          <w:shd w:val="clear" w:color="auto" w:fill="FFFFFF"/>
          <w:lang w:val="en-US" w:eastAsia="zh-CN"/>
        </w:rPr>
      </w:pPr>
      <w:r>
        <w:rPr>
          <w:rFonts w:hint="eastAsia" w:ascii="宋体" w:hAnsi="宋体" w:cs="宋体"/>
          <w:sz w:val="21"/>
          <w:szCs w:val="21"/>
          <w:shd w:val="clear" w:color="auto" w:fill="FFFFFF"/>
        </w:rPr>
        <w:t>项目联系方式（询问）：</w:t>
      </w:r>
      <w:r>
        <w:rPr>
          <w:rFonts w:hint="eastAsia" w:ascii="宋体" w:hAnsi="宋体" w:cs="宋体"/>
          <w:sz w:val="21"/>
          <w:szCs w:val="21"/>
          <w:shd w:val="clear" w:color="auto" w:fill="FFFFFF"/>
          <w:lang w:val="en-US" w:eastAsia="zh-CN"/>
        </w:rPr>
        <w:t>13586543489</w:t>
      </w:r>
    </w:p>
    <w:p>
      <w:pPr>
        <w:pStyle w:val="46"/>
        <w:adjustRightInd w:val="0"/>
        <w:snapToGrid w:val="0"/>
        <w:spacing w:before="0" w:beforeAutospacing="0" w:after="0" w:afterAutospacing="0" w:line="430" w:lineRule="exact"/>
        <w:ind w:firstLine="420" w:firstLineChars="200"/>
        <w:rPr>
          <w:rFonts w:hint="eastAsia" w:ascii="宋体" w:hAnsi="宋体" w:eastAsia="宋体" w:cs="宋体"/>
          <w:sz w:val="21"/>
          <w:szCs w:val="21"/>
          <w:shd w:val="clear" w:color="auto" w:fill="FFFFFF"/>
          <w:lang w:eastAsia="zh-CN"/>
        </w:rPr>
      </w:pPr>
      <w:r>
        <w:rPr>
          <w:rFonts w:hint="eastAsia" w:ascii="宋体" w:hAnsi="宋体" w:cs="宋体"/>
          <w:sz w:val="21"/>
          <w:szCs w:val="21"/>
          <w:shd w:val="clear" w:color="auto" w:fill="FFFFFF"/>
        </w:rPr>
        <w:t>质疑联系人：</w:t>
      </w:r>
      <w:r>
        <w:rPr>
          <w:rFonts w:hint="eastAsia" w:ascii="宋体" w:hAnsi="宋体" w:cs="宋体"/>
          <w:sz w:val="21"/>
          <w:szCs w:val="21"/>
          <w:shd w:val="clear" w:color="auto" w:fill="FFFFFF"/>
          <w:lang w:val="en-US" w:eastAsia="zh-CN"/>
        </w:rPr>
        <w:t>翁巧丽</w:t>
      </w:r>
    </w:p>
    <w:p>
      <w:pPr>
        <w:pStyle w:val="46"/>
        <w:adjustRightInd w:val="0"/>
        <w:snapToGrid w:val="0"/>
        <w:spacing w:before="0" w:beforeAutospacing="0" w:after="0" w:afterAutospacing="0" w:line="43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质疑联系方式：0574-87</w:t>
      </w:r>
      <w:r>
        <w:rPr>
          <w:rFonts w:hint="eastAsia" w:ascii="宋体" w:hAnsi="宋体" w:cs="宋体"/>
          <w:sz w:val="21"/>
          <w:szCs w:val="21"/>
          <w:shd w:val="clear" w:color="auto" w:fill="FFFFFF"/>
          <w:lang w:val="en-US" w:eastAsia="zh-CN"/>
        </w:rPr>
        <w:t>415502</w:t>
      </w:r>
      <w:r>
        <w:rPr>
          <w:rFonts w:hint="eastAsia" w:ascii="宋体" w:hAnsi="宋体" w:cs="宋体"/>
          <w:sz w:val="21"/>
          <w:szCs w:val="21"/>
          <w:shd w:val="clear" w:color="auto" w:fill="FFFFFF"/>
        </w:rPr>
        <w:t xml:space="preserve"> </w:t>
      </w:r>
    </w:p>
    <w:p>
      <w:pPr>
        <w:pStyle w:val="46"/>
        <w:adjustRightInd w:val="0"/>
        <w:snapToGrid w:val="0"/>
        <w:spacing w:before="0" w:beforeAutospacing="0" w:after="0" w:afterAutospacing="0" w:line="43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3.同级政府采购监督管理部门            </w:t>
      </w:r>
    </w:p>
    <w:p>
      <w:pPr>
        <w:pStyle w:val="46"/>
        <w:adjustRightInd w:val="0"/>
        <w:snapToGrid w:val="0"/>
        <w:spacing w:before="0" w:beforeAutospacing="0" w:after="0" w:afterAutospacing="0" w:line="43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名    称：宁波市海曙区政府采购管理办公室</w:t>
      </w:r>
    </w:p>
    <w:p>
      <w:pPr>
        <w:pStyle w:val="46"/>
        <w:adjustRightInd w:val="0"/>
        <w:snapToGrid w:val="0"/>
        <w:spacing w:before="0" w:beforeAutospacing="0" w:after="0" w:afterAutospacing="0" w:line="43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地    址：宁波市海曙区大梁街48号天之海大厦214</w:t>
      </w:r>
    </w:p>
    <w:p>
      <w:pPr>
        <w:pStyle w:val="46"/>
        <w:adjustRightInd w:val="0"/>
        <w:snapToGrid w:val="0"/>
        <w:spacing w:before="0" w:beforeAutospacing="0" w:after="0" w:afterAutospacing="0" w:line="43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传    真：/</w:t>
      </w:r>
    </w:p>
    <w:p>
      <w:pPr>
        <w:spacing w:line="43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联 系 人：王老师</w:t>
      </w:r>
    </w:p>
    <w:p>
      <w:pPr>
        <w:spacing w:line="43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监督投诉电话：0574-87297540</w:t>
      </w:r>
    </w:p>
    <w:p>
      <w:pPr>
        <w:spacing w:line="430" w:lineRule="exact"/>
        <w:ind w:firstLine="420" w:firstLineChars="200"/>
        <w:rPr>
          <w:rFonts w:ascii="宋体" w:hAnsi="宋体" w:cs="宋体"/>
          <w:szCs w:val="21"/>
          <w:lang w:val="zh-CN"/>
        </w:rPr>
      </w:pPr>
      <w:r>
        <w:rPr>
          <w:rFonts w:hint="eastAsia" w:ascii="宋体" w:hAnsi="宋体" w:cs="宋体"/>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spacing w:line="336" w:lineRule="auto"/>
        <w:jc w:val="center"/>
        <w:outlineLvl w:val="0"/>
        <w:rPr>
          <w:rFonts w:hAnsi="宋体" w:cs="宋体"/>
          <w:sz w:val="32"/>
          <w:szCs w:val="32"/>
        </w:rPr>
      </w:pPr>
      <w:r>
        <w:rPr>
          <w:rFonts w:hAnsi="宋体" w:cs="宋体"/>
          <w:b/>
          <w:bCs/>
          <w:sz w:val="32"/>
          <w:szCs w:val="32"/>
        </w:rPr>
        <w:br w:type="page"/>
      </w:r>
      <w:bookmarkStart w:id="30" w:name="_Toc12683"/>
      <w:r>
        <w:rPr>
          <w:rFonts w:hint="eastAsia" w:ascii="宋体" w:hAnsi="宋体" w:cs="宋体"/>
          <w:b/>
          <w:sz w:val="32"/>
          <w:szCs w:val="32"/>
        </w:rPr>
        <w:t>第二章  采购需求</w:t>
      </w:r>
      <w:bookmarkEnd w:id="30"/>
    </w:p>
    <w:p>
      <w:pPr>
        <w:snapToGrid w:val="0"/>
        <w:spacing w:line="360" w:lineRule="auto"/>
        <w:rPr>
          <w:rFonts w:hint="eastAsia" w:asciiTheme="majorEastAsia" w:hAnsiTheme="majorEastAsia" w:eastAsiaTheme="majorEastAsia" w:cstheme="majorEastAsia"/>
          <w:sz w:val="21"/>
          <w:szCs w:val="21"/>
          <w:highlight w:val="none"/>
        </w:rPr>
      </w:pPr>
      <w:bookmarkStart w:id="31" w:name="_Toc249338608"/>
      <w:bookmarkStart w:id="32" w:name="_Toc249337867"/>
      <w:bookmarkStart w:id="33" w:name="_Toc249338347"/>
      <w:bookmarkStart w:id="34" w:name="_Toc249338432"/>
      <w:bookmarkStart w:id="35" w:name="_Toc249338268"/>
      <w:bookmarkStart w:id="36" w:name="_Toc249337952"/>
      <w:bookmarkStart w:id="37" w:name="_Toc12657"/>
      <w:r>
        <w:rPr>
          <w:rFonts w:hint="eastAsia" w:asciiTheme="majorEastAsia" w:hAnsiTheme="majorEastAsia" w:eastAsiaTheme="majorEastAsia" w:cstheme="majorEastAsia"/>
          <w:b/>
          <w:bCs/>
          <w:sz w:val="21"/>
          <w:szCs w:val="21"/>
          <w:highlight w:val="none"/>
        </w:rPr>
        <w:t>1、作业服务内容</w:t>
      </w:r>
      <w:bookmarkEnd w:id="31"/>
      <w:bookmarkEnd w:id="32"/>
      <w:bookmarkEnd w:id="33"/>
      <w:bookmarkEnd w:id="34"/>
      <w:bookmarkEnd w:id="35"/>
      <w:bookmarkEnd w:id="36"/>
    </w:p>
    <w:p>
      <w:pPr>
        <w:snapToGrid w:val="0"/>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1.1作业服务内容</w:t>
      </w:r>
      <w:r>
        <w:rPr>
          <w:rFonts w:hint="eastAsia"/>
          <w:color w:val="auto"/>
          <w:highlight w:val="none"/>
          <w:lang w:eastAsia="zh-CN"/>
        </w:rPr>
        <w:t>对海曙区农药包装废弃物、废弃农用薄膜等农业固体废物</w:t>
      </w:r>
      <w:r>
        <w:rPr>
          <w:rFonts w:hint="eastAsia"/>
          <w:color w:val="auto"/>
          <w:highlight w:val="none"/>
        </w:rPr>
        <w:t>按照相关政策规定科学、合法、合理进行回收处置</w:t>
      </w:r>
      <w:r>
        <w:rPr>
          <w:rFonts w:hint="eastAsia" w:asciiTheme="majorEastAsia" w:hAnsiTheme="majorEastAsia" w:eastAsiaTheme="majorEastAsia" w:cstheme="majorEastAsia"/>
          <w:color w:val="auto"/>
          <w:sz w:val="21"/>
          <w:szCs w:val="21"/>
          <w:highlight w:val="none"/>
        </w:rPr>
        <w:t>。</w:t>
      </w:r>
    </w:p>
    <w:p>
      <w:pPr>
        <w:snapToGrid w:val="0"/>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1.2</w:t>
      </w:r>
      <w:r>
        <w:rPr>
          <w:rFonts w:hint="eastAsia"/>
          <w:color w:val="auto"/>
          <w:highlight w:val="none"/>
          <w:lang w:eastAsia="zh-CN"/>
        </w:rPr>
        <w:t>农业固体废物</w:t>
      </w:r>
      <w:r>
        <w:rPr>
          <w:rFonts w:hint="eastAsia" w:asciiTheme="majorEastAsia" w:hAnsiTheme="majorEastAsia" w:eastAsiaTheme="majorEastAsia" w:cstheme="majorEastAsia"/>
          <w:color w:val="auto"/>
          <w:sz w:val="21"/>
          <w:szCs w:val="21"/>
          <w:highlight w:val="none"/>
        </w:rPr>
        <w:t>是指在本行政区域内因农业生产产生的、不再具有使用价值而被废弃的</w:t>
      </w:r>
      <w:r>
        <w:rPr>
          <w:rFonts w:hint="eastAsia"/>
          <w:color w:val="auto"/>
          <w:highlight w:val="none"/>
          <w:lang w:eastAsia="zh-CN"/>
        </w:rPr>
        <w:t>农药包装废弃物、废弃农用薄膜等</w:t>
      </w:r>
      <w:r>
        <w:rPr>
          <w:rFonts w:hint="eastAsia" w:asciiTheme="majorEastAsia" w:hAnsiTheme="majorEastAsia" w:eastAsiaTheme="majorEastAsia" w:cstheme="majorEastAsia"/>
          <w:color w:val="auto"/>
          <w:sz w:val="21"/>
          <w:szCs w:val="21"/>
          <w:highlight w:val="none"/>
        </w:rPr>
        <w:t>，包括用塑料、玻璃等材料制作的瓶、桶、罐、袋等</w:t>
      </w:r>
      <w:r>
        <w:rPr>
          <w:rFonts w:hint="eastAsia" w:asciiTheme="majorEastAsia" w:hAnsiTheme="majorEastAsia" w:eastAsiaTheme="majorEastAsia" w:cstheme="majorEastAsia"/>
          <w:color w:val="auto"/>
          <w:sz w:val="21"/>
          <w:szCs w:val="21"/>
          <w:highlight w:val="none"/>
          <w:lang w:val="en-US" w:eastAsia="zh-CN"/>
        </w:rPr>
        <w:t>包装</w:t>
      </w:r>
      <w:r>
        <w:rPr>
          <w:rFonts w:hint="eastAsia" w:asciiTheme="majorEastAsia" w:hAnsiTheme="majorEastAsia" w:eastAsiaTheme="majorEastAsia" w:cstheme="majorEastAsia"/>
          <w:color w:val="auto"/>
          <w:sz w:val="21"/>
          <w:szCs w:val="21"/>
          <w:highlight w:val="none"/>
        </w:rPr>
        <w:t>器具。</w:t>
      </w:r>
    </w:p>
    <w:p>
      <w:pPr>
        <w:snapToGrid w:val="0"/>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1.3</w:t>
      </w:r>
      <w:r>
        <w:rPr>
          <w:rFonts w:hint="eastAsia" w:asciiTheme="majorEastAsia" w:hAnsiTheme="majorEastAsia" w:eastAsiaTheme="majorEastAsia" w:cstheme="majorEastAsia"/>
          <w:color w:val="auto"/>
          <w:sz w:val="21"/>
          <w:szCs w:val="21"/>
          <w:highlight w:val="none"/>
          <w:lang w:val="en-US" w:eastAsia="zh-CN"/>
        </w:rPr>
        <w:t>回收</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en-US" w:eastAsia="zh-CN"/>
        </w:rPr>
        <w:t>定期适时</w:t>
      </w:r>
      <w:r>
        <w:rPr>
          <w:rFonts w:hint="eastAsia" w:asciiTheme="majorEastAsia" w:hAnsiTheme="majorEastAsia" w:eastAsiaTheme="majorEastAsia" w:cstheme="majorEastAsia"/>
          <w:color w:val="auto"/>
          <w:sz w:val="21"/>
          <w:szCs w:val="21"/>
          <w:highlight w:val="none"/>
        </w:rPr>
        <w:t>归集各回收点回收的</w:t>
      </w:r>
      <w:r>
        <w:rPr>
          <w:rFonts w:hint="eastAsia"/>
          <w:color w:val="auto"/>
          <w:highlight w:val="none"/>
          <w:lang w:eastAsia="zh-CN"/>
        </w:rPr>
        <w:t>农业固体废物</w:t>
      </w:r>
      <w:r>
        <w:rPr>
          <w:rFonts w:hint="eastAsia" w:asciiTheme="majorEastAsia" w:hAnsiTheme="majorEastAsia" w:eastAsiaTheme="majorEastAsia" w:cstheme="majorEastAsia"/>
          <w:color w:val="auto"/>
          <w:sz w:val="21"/>
          <w:szCs w:val="21"/>
          <w:highlight w:val="none"/>
        </w:rPr>
        <w:t>，运送至指定仓库，按无害化处理的相关要求做好堆放、分拣、杂质去除、打包。</w:t>
      </w:r>
    </w:p>
    <w:p>
      <w:pPr>
        <w:snapToGrid w:val="0"/>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1.4</w:t>
      </w:r>
      <w:r>
        <w:rPr>
          <w:rFonts w:hint="eastAsia" w:asciiTheme="majorEastAsia" w:hAnsiTheme="majorEastAsia" w:eastAsiaTheme="majorEastAsia" w:cstheme="majorEastAsia"/>
          <w:color w:val="auto"/>
          <w:sz w:val="21"/>
          <w:szCs w:val="21"/>
          <w:highlight w:val="none"/>
          <w:lang w:val="en-US" w:eastAsia="zh-CN"/>
        </w:rPr>
        <w:t>运输</w:t>
      </w:r>
      <w:r>
        <w:rPr>
          <w:rFonts w:hint="eastAsia" w:asciiTheme="majorEastAsia" w:hAnsiTheme="majorEastAsia" w:eastAsiaTheme="majorEastAsia" w:cstheme="majorEastAsia"/>
          <w:color w:val="auto"/>
          <w:sz w:val="21"/>
          <w:szCs w:val="21"/>
          <w:highlight w:val="none"/>
        </w:rPr>
        <w:t>处置：将</w:t>
      </w:r>
      <w:r>
        <w:rPr>
          <w:rFonts w:hint="eastAsia" w:asciiTheme="majorEastAsia" w:hAnsiTheme="majorEastAsia" w:eastAsiaTheme="majorEastAsia" w:cstheme="majorEastAsia"/>
          <w:color w:val="auto"/>
          <w:sz w:val="21"/>
          <w:szCs w:val="21"/>
          <w:highlight w:val="none"/>
          <w:lang w:val="en-US" w:eastAsia="zh-CN"/>
        </w:rPr>
        <w:t>回收</w:t>
      </w:r>
      <w:r>
        <w:rPr>
          <w:rFonts w:hint="eastAsia" w:asciiTheme="majorEastAsia" w:hAnsiTheme="majorEastAsia" w:eastAsiaTheme="majorEastAsia" w:cstheme="majorEastAsia"/>
          <w:color w:val="auto"/>
          <w:sz w:val="21"/>
          <w:szCs w:val="21"/>
          <w:highlight w:val="none"/>
        </w:rPr>
        <w:t>打包后的</w:t>
      </w:r>
      <w:r>
        <w:rPr>
          <w:rFonts w:hint="eastAsia"/>
          <w:color w:val="auto"/>
          <w:highlight w:val="none"/>
          <w:lang w:eastAsia="zh-CN"/>
        </w:rPr>
        <w:t>农业固体废物</w:t>
      </w:r>
      <w:r>
        <w:rPr>
          <w:rFonts w:hint="eastAsia" w:asciiTheme="majorEastAsia" w:hAnsiTheme="majorEastAsia" w:eastAsiaTheme="majorEastAsia" w:cstheme="majorEastAsia"/>
          <w:color w:val="auto"/>
          <w:sz w:val="21"/>
          <w:szCs w:val="21"/>
          <w:highlight w:val="none"/>
        </w:rPr>
        <w:t>有计划地分期分批完成报批手续运送到具有法定资质的专业处置单位进行无害化处置。</w:t>
      </w:r>
    </w:p>
    <w:p>
      <w:pPr>
        <w:snapToGrid w:val="0"/>
        <w:spacing w:line="360" w:lineRule="auto"/>
        <w:ind w:firstLine="420" w:firstLineChars="20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1.5鉴于</w:t>
      </w:r>
      <w:r>
        <w:rPr>
          <w:rFonts w:hint="eastAsia" w:asciiTheme="majorEastAsia" w:hAnsiTheme="majorEastAsia" w:eastAsiaTheme="majorEastAsia" w:cstheme="majorEastAsia"/>
          <w:sz w:val="21"/>
          <w:szCs w:val="21"/>
          <w:highlight w:val="none"/>
          <w:lang w:eastAsia="zh-CN"/>
        </w:rPr>
        <w:t>农药包装废弃物</w:t>
      </w:r>
      <w:r>
        <w:rPr>
          <w:rFonts w:hint="eastAsia" w:asciiTheme="majorEastAsia" w:hAnsiTheme="majorEastAsia" w:eastAsiaTheme="majorEastAsia" w:cstheme="majorEastAsia"/>
          <w:sz w:val="21"/>
          <w:szCs w:val="21"/>
          <w:highlight w:val="none"/>
        </w:rPr>
        <w:t>有毒有害的特殊性，</w:t>
      </w:r>
      <w:r>
        <w:rPr>
          <w:rFonts w:hint="eastAsia" w:asciiTheme="majorEastAsia" w:hAnsiTheme="majorEastAsia" w:eastAsiaTheme="majorEastAsia" w:cstheme="majorEastAsia"/>
          <w:sz w:val="21"/>
          <w:szCs w:val="21"/>
          <w:highlight w:val="none"/>
          <w:lang w:val="en-US" w:eastAsia="zh-CN"/>
        </w:rPr>
        <w:t>供应商</w:t>
      </w:r>
      <w:r>
        <w:rPr>
          <w:rFonts w:hint="eastAsia" w:asciiTheme="majorEastAsia" w:hAnsiTheme="majorEastAsia" w:eastAsiaTheme="majorEastAsia" w:cstheme="majorEastAsia"/>
          <w:sz w:val="21"/>
          <w:szCs w:val="21"/>
          <w:highlight w:val="none"/>
        </w:rPr>
        <w:t>在</w:t>
      </w:r>
      <w:r>
        <w:rPr>
          <w:rFonts w:hint="eastAsia" w:asciiTheme="majorEastAsia" w:hAnsiTheme="majorEastAsia" w:eastAsiaTheme="majorEastAsia" w:cstheme="majorEastAsia"/>
          <w:sz w:val="21"/>
          <w:szCs w:val="21"/>
          <w:highlight w:val="none"/>
          <w:lang w:val="en-US" w:eastAsia="zh-CN"/>
        </w:rPr>
        <w:t>回收</w:t>
      </w:r>
      <w:r>
        <w:rPr>
          <w:rFonts w:hint="eastAsia" w:asciiTheme="majorEastAsia" w:hAnsiTheme="majorEastAsia" w:eastAsiaTheme="majorEastAsia" w:cstheme="majorEastAsia"/>
          <w:sz w:val="21"/>
          <w:szCs w:val="21"/>
          <w:highlight w:val="none"/>
        </w:rPr>
        <w:t>、运输、分拣、打包、储存过程中要注意生产安全，避免发生安全事故。</w:t>
      </w:r>
      <w:r>
        <w:rPr>
          <w:rFonts w:hint="eastAsia" w:asciiTheme="majorEastAsia" w:hAnsiTheme="majorEastAsia" w:eastAsiaTheme="majorEastAsia" w:cstheme="majorEastAsia"/>
          <w:color w:val="auto"/>
          <w:sz w:val="21"/>
          <w:szCs w:val="21"/>
          <w:highlight w:val="none"/>
        </w:rPr>
        <w:t>废弃包装物内如有残留物应做好集中</w:t>
      </w:r>
      <w:r>
        <w:rPr>
          <w:rFonts w:hint="eastAsia" w:asciiTheme="majorEastAsia" w:hAnsiTheme="majorEastAsia" w:eastAsiaTheme="majorEastAsia" w:cstheme="majorEastAsia"/>
          <w:color w:val="auto"/>
          <w:sz w:val="21"/>
          <w:szCs w:val="21"/>
          <w:highlight w:val="none"/>
          <w:lang w:val="en-US" w:eastAsia="zh-CN"/>
        </w:rPr>
        <w:t>回收</w:t>
      </w:r>
      <w:r>
        <w:rPr>
          <w:rFonts w:hint="eastAsia" w:asciiTheme="majorEastAsia" w:hAnsiTheme="majorEastAsia" w:eastAsiaTheme="majorEastAsia" w:cstheme="majorEastAsia"/>
          <w:color w:val="auto"/>
          <w:sz w:val="21"/>
          <w:szCs w:val="21"/>
          <w:highlight w:val="none"/>
        </w:rPr>
        <w:t>处置，不得随意排放污染环境。</w:t>
      </w:r>
    </w:p>
    <w:p>
      <w:pPr>
        <w:snapToGrid w:val="0"/>
        <w:spacing w:line="360" w:lineRule="auto"/>
        <w:ind w:firstLine="420" w:firstLineChars="20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1.6配合采购人及农业农村部门开展形式多样的社会宣传活动，提高</w:t>
      </w:r>
      <w:r>
        <w:rPr>
          <w:rFonts w:hint="eastAsia" w:asciiTheme="majorEastAsia" w:hAnsiTheme="majorEastAsia" w:eastAsiaTheme="majorEastAsia" w:cstheme="majorEastAsia"/>
          <w:sz w:val="21"/>
          <w:szCs w:val="21"/>
          <w:highlight w:val="none"/>
          <w:lang w:eastAsia="zh-CN"/>
        </w:rPr>
        <w:t>农药包装废弃物、废弃农用薄膜等农业固体废物</w:t>
      </w:r>
      <w:r>
        <w:rPr>
          <w:rFonts w:hint="eastAsia" w:asciiTheme="majorEastAsia" w:hAnsiTheme="majorEastAsia" w:eastAsiaTheme="majorEastAsia" w:cstheme="majorEastAsia"/>
          <w:sz w:val="21"/>
          <w:szCs w:val="21"/>
          <w:highlight w:val="none"/>
        </w:rPr>
        <w:t>回收工作知晓率，提升自觉回收责任意识。</w:t>
      </w:r>
    </w:p>
    <w:p>
      <w:pPr>
        <w:snapToGrid w:val="0"/>
        <w:spacing w:line="360" w:lineRule="auto"/>
        <w:ind w:firstLine="420" w:firstLineChars="200"/>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lang w:val="en-US" w:eastAsia="zh-CN"/>
        </w:rPr>
        <w:t>1.7</w:t>
      </w:r>
      <w:r>
        <w:rPr>
          <w:rFonts w:hint="eastAsia" w:asciiTheme="majorEastAsia" w:hAnsiTheme="majorEastAsia" w:eastAsiaTheme="majorEastAsia" w:cstheme="majorEastAsia"/>
          <w:sz w:val="21"/>
          <w:szCs w:val="21"/>
          <w:highlight w:val="none"/>
        </w:rPr>
        <w:t>积极配合上级组织的各项参观、检查、督查工作，配合采购人完成上级年度回收任务，年度回收任务由采购人在一季度告知</w:t>
      </w:r>
      <w:r>
        <w:rPr>
          <w:rFonts w:hint="eastAsia" w:asciiTheme="majorEastAsia" w:hAnsiTheme="majorEastAsia" w:eastAsiaTheme="majorEastAsia" w:cstheme="majorEastAsia"/>
          <w:sz w:val="21"/>
          <w:szCs w:val="21"/>
          <w:highlight w:val="none"/>
          <w:lang w:eastAsia="zh-CN"/>
        </w:rPr>
        <w:t>。</w:t>
      </w:r>
    </w:p>
    <w:p>
      <w:pPr>
        <w:snapToGrid w:val="0"/>
        <w:spacing w:line="360" w:lineRule="auto"/>
        <w:ind w:firstLine="420" w:firstLineChars="20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en-US" w:eastAsia="zh-CN"/>
        </w:rPr>
        <w:t>1.8</w:t>
      </w:r>
      <w:r>
        <w:rPr>
          <w:rFonts w:hint="eastAsia" w:asciiTheme="majorEastAsia" w:hAnsiTheme="majorEastAsia" w:eastAsiaTheme="majorEastAsia" w:cstheme="majorEastAsia"/>
          <w:sz w:val="21"/>
          <w:szCs w:val="21"/>
          <w:highlight w:val="none"/>
        </w:rPr>
        <w:t>采购人交代的其他工作内容，包括但不限于开展农田环境集中清理、协助采购人开展检查等。</w:t>
      </w:r>
    </w:p>
    <w:p>
      <w:pPr>
        <w:snapToGrid w:val="0"/>
        <w:spacing w:line="360" w:lineRule="auto"/>
        <w:rPr>
          <w:rFonts w:hint="eastAsia" w:asciiTheme="majorEastAsia" w:hAnsiTheme="majorEastAsia" w:eastAsiaTheme="majorEastAsia" w:cstheme="majorEastAsia"/>
          <w:b/>
          <w:bCs/>
          <w:sz w:val="21"/>
          <w:szCs w:val="21"/>
          <w:highlight w:val="none"/>
        </w:rPr>
      </w:pPr>
      <w:bookmarkStart w:id="38" w:name="_Toc249338349"/>
      <w:bookmarkStart w:id="39" w:name="_Toc249338434"/>
      <w:bookmarkStart w:id="40" w:name="_Toc249337869"/>
      <w:bookmarkStart w:id="41" w:name="_Toc249338610"/>
      <w:bookmarkStart w:id="42" w:name="_Toc249338270"/>
      <w:bookmarkStart w:id="43" w:name="_Toc249337954"/>
      <w:r>
        <w:rPr>
          <w:rFonts w:hint="eastAsia" w:asciiTheme="majorEastAsia" w:hAnsiTheme="majorEastAsia" w:eastAsiaTheme="majorEastAsia" w:cstheme="majorEastAsia"/>
          <w:b/>
          <w:bCs/>
          <w:sz w:val="21"/>
          <w:szCs w:val="21"/>
          <w:highlight w:val="none"/>
        </w:rPr>
        <w:t>2、固定设备场地要求</w:t>
      </w:r>
    </w:p>
    <w:bookmarkEnd w:id="38"/>
    <w:bookmarkEnd w:id="39"/>
    <w:bookmarkEnd w:id="40"/>
    <w:bookmarkEnd w:id="41"/>
    <w:bookmarkEnd w:id="42"/>
    <w:bookmarkEnd w:id="43"/>
    <w:p>
      <w:pPr>
        <w:snapToGrid w:val="0"/>
        <w:spacing w:line="360" w:lineRule="auto"/>
        <w:ind w:firstLine="420" w:firstLineChars="20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2.1收集运输专项作业车。</w:t>
      </w:r>
    </w:p>
    <w:p>
      <w:pPr>
        <w:snapToGrid w:val="0"/>
        <w:spacing w:line="360" w:lineRule="auto"/>
        <w:ind w:firstLine="420" w:firstLineChars="20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2.1.1 收集运输车配置：由供应商自行配置。</w:t>
      </w:r>
    </w:p>
    <w:p>
      <w:pPr>
        <w:snapToGrid w:val="0"/>
        <w:spacing w:line="360" w:lineRule="auto"/>
        <w:ind w:firstLine="420" w:firstLineChars="200"/>
        <w:rPr>
          <w:rFonts w:hint="eastAsia" w:asciiTheme="majorEastAsia" w:hAnsiTheme="majorEastAsia" w:eastAsiaTheme="majorEastAsia" w:cstheme="majorEastAsia"/>
          <w:color w:val="0070C0"/>
          <w:sz w:val="21"/>
          <w:szCs w:val="21"/>
          <w:highlight w:val="none"/>
        </w:rPr>
      </w:pPr>
      <w:r>
        <w:rPr>
          <w:rFonts w:hint="eastAsia" w:asciiTheme="majorEastAsia" w:hAnsiTheme="majorEastAsia" w:eastAsiaTheme="majorEastAsia" w:cstheme="majorEastAsia"/>
          <w:sz w:val="21"/>
          <w:szCs w:val="21"/>
          <w:highlight w:val="none"/>
        </w:rPr>
        <w:t>2.1.2 收集运输车类型：车辆性能良好，</w:t>
      </w:r>
      <w:r>
        <w:rPr>
          <w:rFonts w:hint="eastAsia" w:asciiTheme="majorEastAsia" w:hAnsiTheme="majorEastAsia" w:eastAsiaTheme="majorEastAsia" w:cstheme="majorEastAsia"/>
          <w:sz w:val="21"/>
          <w:szCs w:val="21"/>
          <w:highlight w:val="none"/>
          <w:lang w:val="en-US" w:eastAsia="zh-CN"/>
        </w:rPr>
        <w:t>对于散发异味、滴漏的农药包装废弃物的运输车辆应</w:t>
      </w:r>
      <w:r>
        <w:rPr>
          <w:rFonts w:hint="eastAsia" w:asciiTheme="majorEastAsia" w:hAnsiTheme="majorEastAsia" w:eastAsiaTheme="majorEastAsia" w:cstheme="majorEastAsia"/>
          <w:sz w:val="21"/>
          <w:szCs w:val="21"/>
          <w:highlight w:val="none"/>
        </w:rPr>
        <w:t>具有全封闭，防污水滴漏等功能。收集运输车有效装载能力应满足作业需要、适合服务区域内道路实际。</w:t>
      </w:r>
    </w:p>
    <w:p>
      <w:pPr>
        <w:snapToGrid w:val="0"/>
        <w:spacing w:line="360" w:lineRule="auto"/>
        <w:ind w:firstLine="420" w:firstLineChars="200"/>
        <w:rPr>
          <w:rFonts w:hint="default" w:asciiTheme="majorEastAsia" w:hAnsiTheme="majorEastAsia" w:eastAsiaTheme="majorEastAsia" w:cstheme="majorEastAsia"/>
          <w:color w:val="auto"/>
          <w:sz w:val="21"/>
          <w:szCs w:val="21"/>
          <w:highlight w:val="none"/>
          <w:lang w:val="en-US" w:eastAsia="zh-CN"/>
        </w:rPr>
      </w:pPr>
      <w:r>
        <w:rPr>
          <w:rFonts w:hint="eastAsia" w:ascii="Times New Roman" w:hAnsi="Times New Roman" w:eastAsia="宋体" w:cs="Times New Roman"/>
          <w:color w:val="auto"/>
          <w:highlight w:val="none"/>
          <w:lang w:val="en-US" w:eastAsia="zh-CN"/>
        </w:rPr>
        <w:t>2.1.3对回收车辆必须标贴统一标识和电话号码。</w:t>
      </w:r>
      <w:r>
        <w:rPr>
          <w:rFonts w:hint="eastAsia" w:asciiTheme="majorEastAsia" w:hAnsiTheme="majorEastAsia" w:eastAsiaTheme="majorEastAsia" w:cstheme="majorEastAsia"/>
          <w:color w:val="auto"/>
          <w:sz w:val="21"/>
          <w:szCs w:val="21"/>
          <w:highlight w:val="none"/>
          <w:lang w:val="en-US" w:eastAsia="zh-CN"/>
        </w:rPr>
        <w:t xml:space="preserve"> </w:t>
      </w:r>
    </w:p>
    <w:p>
      <w:pPr>
        <w:snapToGrid w:val="0"/>
        <w:spacing w:line="360" w:lineRule="auto"/>
        <w:rPr>
          <w:rFonts w:hint="eastAsia" w:asciiTheme="majorEastAsia" w:hAnsiTheme="majorEastAsia" w:eastAsiaTheme="majorEastAsia" w:cstheme="majorEastAsia"/>
          <w:bCs/>
          <w:sz w:val="21"/>
          <w:szCs w:val="21"/>
          <w:highlight w:val="none"/>
        </w:rPr>
      </w:pPr>
      <w:bookmarkStart w:id="44" w:name="_Toc249338435"/>
      <w:bookmarkStart w:id="45" w:name="_Toc249338271"/>
      <w:bookmarkStart w:id="46" w:name="_Toc249338611"/>
      <w:bookmarkStart w:id="47" w:name="_Toc249337870"/>
      <w:bookmarkStart w:id="48" w:name="_Toc249338350"/>
      <w:bookmarkStart w:id="49" w:name="_Toc249337955"/>
      <w:r>
        <w:rPr>
          <w:rFonts w:hint="eastAsia" w:asciiTheme="majorEastAsia" w:hAnsiTheme="majorEastAsia" w:eastAsiaTheme="majorEastAsia" w:cstheme="majorEastAsia"/>
          <w:bCs/>
          <w:sz w:val="21"/>
          <w:szCs w:val="21"/>
          <w:highlight w:val="none"/>
        </w:rPr>
        <w:t xml:space="preserve">    2.</w:t>
      </w:r>
      <w:r>
        <w:rPr>
          <w:rFonts w:hint="eastAsia" w:asciiTheme="majorEastAsia" w:hAnsiTheme="majorEastAsia" w:eastAsiaTheme="majorEastAsia" w:cstheme="majorEastAsia"/>
          <w:bCs/>
          <w:sz w:val="21"/>
          <w:szCs w:val="21"/>
          <w:highlight w:val="none"/>
          <w:lang w:val="en-US" w:eastAsia="zh-CN"/>
        </w:rPr>
        <w:t>2</w:t>
      </w:r>
      <w:r>
        <w:rPr>
          <w:rFonts w:hint="eastAsia" w:asciiTheme="majorEastAsia" w:hAnsiTheme="majorEastAsia" w:eastAsiaTheme="majorEastAsia" w:cstheme="majorEastAsia"/>
          <w:bCs/>
          <w:sz w:val="21"/>
          <w:szCs w:val="21"/>
          <w:highlight w:val="none"/>
        </w:rPr>
        <w:t>仓储场地要求</w:t>
      </w:r>
    </w:p>
    <w:p>
      <w:pPr>
        <w:snapToGrid w:val="0"/>
        <w:spacing w:line="360" w:lineRule="auto"/>
        <w:ind w:firstLine="420" w:firstLineChars="20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2.</w:t>
      </w:r>
      <w:r>
        <w:rPr>
          <w:rFonts w:hint="eastAsia" w:asciiTheme="majorEastAsia" w:hAnsiTheme="majorEastAsia" w:eastAsiaTheme="majorEastAsia" w:cstheme="majorEastAsia"/>
          <w:sz w:val="21"/>
          <w:szCs w:val="21"/>
          <w:highlight w:val="none"/>
          <w:lang w:val="en-US" w:eastAsia="zh-CN"/>
        </w:rPr>
        <w:t>2</w:t>
      </w:r>
      <w:r>
        <w:rPr>
          <w:rFonts w:hint="eastAsia" w:asciiTheme="majorEastAsia" w:hAnsiTheme="majorEastAsia" w:eastAsiaTheme="majorEastAsia" w:cstheme="majorEastAsia"/>
          <w:sz w:val="21"/>
          <w:szCs w:val="21"/>
          <w:highlight w:val="none"/>
        </w:rPr>
        <w:t>.1封闭式储存场地：要求专用，面积300㎡及以上</w:t>
      </w:r>
      <w:r>
        <w:rPr>
          <w:rFonts w:hint="eastAsia" w:asciiTheme="majorEastAsia" w:hAnsiTheme="majorEastAsia" w:eastAsiaTheme="majorEastAsia" w:cstheme="majorEastAsia"/>
          <w:sz w:val="21"/>
          <w:szCs w:val="21"/>
          <w:highlight w:val="none"/>
          <w:lang w:val="en-US" w:eastAsia="zh-CN"/>
        </w:rPr>
        <w:t>。</w:t>
      </w:r>
    </w:p>
    <w:p>
      <w:pPr>
        <w:snapToGrid w:val="0"/>
        <w:spacing w:line="360" w:lineRule="auto"/>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3、作业服务组织</w:t>
      </w:r>
      <w:bookmarkEnd w:id="44"/>
      <w:bookmarkEnd w:id="45"/>
      <w:bookmarkEnd w:id="46"/>
      <w:bookmarkEnd w:id="47"/>
      <w:bookmarkEnd w:id="48"/>
      <w:bookmarkEnd w:id="49"/>
      <w:r>
        <w:rPr>
          <w:rFonts w:hint="eastAsia" w:asciiTheme="majorEastAsia" w:hAnsiTheme="majorEastAsia" w:eastAsiaTheme="majorEastAsia" w:cstheme="majorEastAsia"/>
          <w:b/>
          <w:bCs/>
          <w:sz w:val="21"/>
          <w:szCs w:val="21"/>
          <w:highlight w:val="none"/>
        </w:rPr>
        <w:t>要求</w:t>
      </w:r>
    </w:p>
    <w:p>
      <w:pPr>
        <w:snapToGrid w:val="0"/>
        <w:spacing w:line="360" w:lineRule="auto"/>
        <w:ind w:firstLine="420" w:firstLineChars="20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3.1 必须具有固定的办公场所。</w:t>
      </w:r>
    </w:p>
    <w:p>
      <w:pPr>
        <w:snapToGrid w:val="0"/>
        <w:spacing w:line="360" w:lineRule="auto"/>
        <w:ind w:firstLine="420" w:firstLineChars="20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3.2必须配备1名项目负责人，从</w:t>
      </w:r>
      <w:r>
        <w:rPr>
          <w:rFonts w:hint="eastAsia" w:asciiTheme="majorEastAsia" w:hAnsiTheme="majorEastAsia" w:eastAsiaTheme="majorEastAsia" w:cstheme="majorEastAsia"/>
          <w:color w:val="auto"/>
          <w:sz w:val="21"/>
          <w:szCs w:val="21"/>
          <w:highlight w:val="none"/>
        </w:rPr>
        <w:t>事</w:t>
      </w:r>
      <w:r>
        <w:rPr>
          <w:rFonts w:hint="eastAsia" w:ascii="Times New Roman" w:hAnsi="Times New Roman" w:eastAsia="宋体" w:cs="Times New Roman"/>
          <w:color w:val="auto"/>
          <w:highlight w:val="none"/>
          <w:lang w:eastAsia="zh-CN"/>
        </w:rPr>
        <w:t>农业固体废物</w:t>
      </w:r>
      <w:r>
        <w:rPr>
          <w:rFonts w:hint="eastAsia" w:asciiTheme="majorEastAsia" w:hAnsiTheme="majorEastAsia" w:eastAsiaTheme="majorEastAsia" w:cstheme="majorEastAsia"/>
          <w:color w:val="auto"/>
          <w:sz w:val="21"/>
          <w:szCs w:val="21"/>
          <w:highlight w:val="none"/>
        </w:rPr>
        <w:t>回收与集</w:t>
      </w:r>
      <w:r>
        <w:rPr>
          <w:rFonts w:hint="eastAsia" w:asciiTheme="majorEastAsia" w:hAnsiTheme="majorEastAsia" w:eastAsiaTheme="majorEastAsia" w:cstheme="majorEastAsia"/>
          <w:sz w:val="21"/>
          <w:szCs w:val="21"/>
          <w:highlight w:val="none"/>
        </w:rPr>
        <w:t>中处置服务的组织、协调和内部考核工作，并配合采购人、农业农村部门布置的相关工作；必须配备1名统计、资料整理人员，可由公司管理人员兼任，按照区农业部门要求及时正确上报上级部门所需报表，并做好台账整理工作；</w:t>
      </w:r>
      <w:r>
        <w:rPr>
          <w:rFonts w:hint="eastAsia" w:asciiTheme="majorEastAsia" w:hAnsiTheme="majorEastAsia" w:eastAsiaTheme="majorEastAsia" w:cstheme="majorEastAsia"/>
          <w:sz w:val="21"/>
          <w:szCs w:val="21"/>
          <w:highlight w:val="none"/>
          <w:lang w:val="en-US" w:eastAsia="zh-CN"/>
        </w:rPr>
        <w:t>必须配备1名现场管理人员，组织</w:t>
      </w:r>
      <w:r>
        <w:rPr>
          <w:rFonts w:hint="eastAsia" w:asciiTheme="majorEastAsia" w:hAnsiTheme="majorEastAsia" w:eastAsiaTheme="majorEastAsia" w:cstheme="majorEastAsia"/>
          <w:color w:val="auto"/>
          <w:sz w:val="21"/>
          <w:szCs w:val="21"/>
          <w:highlight w:val="none"/>
          <w:lang w:val="en-US" w:eastAsia="zh-CN"/>
        </w:rPr>
        <w:t>、协调</w:t>
      </w:r>
      <w:r>
        <w:rPr>
          <w:rFonts w:hint="eastAsia" w:ascii="Times New Roman" w:hAnsi="Times New Roman" w:eastAsia="宋体" w:cs="Times New Roman"/>
          <w:color w:val="auto"/>
          <w:highlight w:val="none"/>
          <w:lang w:eastAsia="zh-CN"/>
        </w:rPr>
        <w:t>农业固体废物</w:t>
      </w:r>
      <w:r>
        <w:rPr>
          <w:rFonts w:hint="eastAsia" w:asciiTheme="majorEastAsia" w:hAnsiTheme="majorEastAsia" w:eastAsiaTheme="majorEastAsia" w:cstheme="majorEastAsia"/>
          <w:color w:val="auto"/>
          <w:sz w:val="21"/>
          <w:szCs w:val="21"/>
          <w:highlight w:val="none"/>
          <w:lang w:val="en-US" w:eastAsia="zh-CN"/>
        </w:rPr>
        <w:t>的现</w:t>
      </w:r>
      <w:r>
        <w:rPr>
          <w:rFonts w:hint="eastAsia" w:asciiTheme="majorEastAsia" w:hAnsiTheme="majorEastAsia" w:eastAsiaTheme="majorEastAsia" w:cstheme="majorEastAsia"/>
          <w:sz w:val="21"/>
          <w:szCs w:val="21"/>
          <w:highlight w:val="none"/>
          <w:lang w:val="en-US" w:eastAsia="zh-CN"/>
        </w:rPr>
        <w:t>场回收处置工作；必须配备1名仓储管理人员，负责仓库出入货物信息登记、日常管理、消防设施管理</w:t>
      </w:r>
      <w:r>
        <w:rPr>
          <w:rFonts w:hint="eastAsia" w:asciiTheme="majorEastAsia" w:hAnsiTheme="majorEastAsia" w:eastAsiaTheme="majorEastAsia" w:cstheme="majorEastAsia"/>
          <w:color w:val="auto"/>
          <w:sz w:val="21"/>
          <w:szCs w:val="21"/>
          <w:highlight w:val="none"/>
          <w:lang w:val="en-US" w:eastAsia="zh-CN"/>
        </w:rPr>
        <w:t>。</w:t>
      </w:r>
    </w:p>
    <w:p>
      <w:pPr>
        <w:snapToGrid w:val="0"/>
        <w:spacing w:line="360" w:lineRule="auto"/>
        <w:ind w:firstLine="420" w:firstLineChars="20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3.3必须配备专业的收集、运输、分拣、打包、统计、信息上报的相关作业人员。</w:t>
      </w:r>
    </w:p>
    <w:p>
      <w:pPr>
        <w:snapToGrid w:val="0"/>
        <w:spacing w:line="360" w:lineRule="auto"/>
        <w:ind w:firstLine="420" w:firstLineChars="20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3.4作业服务人员作业时必须穿戴专业防护服等安全防护装备。</w:t>
      </w:r>
    </w:p>
    <w:p>
      <w:pPr>
        <w:snapToGrid w:val="0"/>
        <w:spacing w:line="360" w:lineRule="auto"/>
        <w:ind w:firstLine="420" w:firstLineChars="20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 xml:space="preserve">3.5 应与作业服务人员签订劳动合同。其工作时间、工资（含社会保险）及福利、劳动保护等必须符合国家、省、市相关法规规定。 </w:t>
      </w:r>
      <w:bookmarkStart w:id="50" w:name="_Toc249338352"/>
      <w:bookmarkStart w:id="51" w:name="_Toc249338273"/>
      <w:bookmarkStart w:id="52" w:name="_Toc249338613"/>
      <w:bookmarkStart w:id="53" w:name="_Toc249338437"/>
      <w:bookmarkStart w:id="54" w:name="_Toc249337872"/>
      <w:bookmarkStart w:id="55" w:name="_Toc249337957"/>
    </w:p>
    <w:p>
      <w:pPr>
        <w:snapToGrid w:val="0"/>
        <w:spacing w:line="360" w:lineRule="auto"/>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4、回收</w:t>
      </w:r>
      <w:r>
        <w:rPr>
          <w:rFonts w:hint="eastAsia" w:asciiTheme="majorEastAsia" w:hAnsiTheme="majorEastAsia" w:eastAsiaTheme="majorEastAsia" w:cstheme="majorEastAsia"/>
          <w:b/>
          <w:bCs/>
          <w:sz w:val="21"/>
          <w:szCs w:val="21"/>
          <w:highlight w:val="none"/>
          <w:lang w:val="en-US" w:eastAsia="zh-CN"/>
        </w:rPr>
        <w:t>网络</w:t>
      </w:r>
      <w:r>
        <w:rPr>
          <w:rFonts w:hint="eastAsia" w:asciiTheme="majorEastAsia" w:hAnsiTheme="majorEastAsia" w:eastAsiaTheme="majorEastAsia" w:cstheme="majorEastAsia"/>
          <w:b/>
          <w:bCs/>
          <w:sz w:val="21"/>
          <w:szCs w:val="21"/>
          <w:highlight w:val="none"/>
        </w:rPr>
        <w:t>建设要求</w:t>
      </w:r>
    </w:p>
    <w:p>
      <w:pPr>
        <w:pStyle w:val="20"/>
        <w:spacing w:after="0" w:line="360"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4.1 回收</w:t>
      </w:r>
      <w:r>
        <w:rPr>
          <w:rFonts w:hint="eastAsia" w:asciiTheme="majorEastAsia" w:hAnsiTheme="majorEastAsia" w:eastAsiaTheme="majorEastAsia" w:cstheme="majorEastAsia"/>
          <w:sz w:val="21"/>
          <w:szCs w:val="21"/>
          <w:highlight w:val="none"/>
          <w:lang w:val="en-US" w:eastAsia="zh-CN"/>
        </w:rPr>
        <w:t>网络布局</w:t>
      </w:r>
      <w:r>
        <w:rPr>
          <w:rFonts w:hint="eastAsia" w:asciiTheme="majorEastAsia" w:hAnsiTheme="majorEastAsia" w:eastAsiaTheme="majorEastAsia" w:cstheme="majorEastAsia"/>
          <w:sz w:val="21"/>
          <w:szCs w:val="21"/>
          <w:highlight w:val="none"/>
        </w:rPr>
        <w:t>：因地制宜，根据</w:t>
      </w:r>
      <w:r>
        <w:rPr>
          <w:rFonts w:hint="eastAsia" w:asciiTheme="majorEastAsia" w:hAnsiTheme="majorEastAsia" w:eastAsiaTheme="majorEastAsia" w:cstheme="majorEastAsia"/>
          <w:sz w:val="21"/>
          <w:szCs w:val="21"/>
          <w:highlight w:val="none"/>
          <w:lang w:eastAsia="zh-CN"/>
        </w:rPr>
        <w:t>海曙区</w:t>
      </w:r>
      <w:r>
        <w:rPr>
          <w:rFonts w:hint="eastAsia" w:asciiTheme="majorEastAsia" w:hAnsiTheme="majorEastAsia" w:eastAsiaTheme="majorEastAsia" w:cstheme="majorEastAsia"/>
          <w:sz w:val="21"/>
          <w:szCs w:val="21"/>
          <w:highlight w:val="none"/>
        </w:rPr>
        <w:t>种植结构合理布局</w:t>
      </w:r>
      <w:r>
        <w:rPr>
          <w:rFonts w:hint="eastAsia" w:asciiTheme="majorEastAsia" w:hAnsiTheme="majorEastAsia" w:eastAsiaTheme="majorEastAsia" w:cstheme="majorEastAsia"/>
          <w:sz w:val="21"/>
          <w:szCs w:val="21"/>
          <w:highlight w:val="none"/>
          <w:lang w:eastAsia="zh-CN"/>
        </w:rPr>
        <w:t>农药包装废弃物</w:t>
      </w:r>
      <w:r>
        <w:rPr>
          <w:rFonts w:hint="eastAsia" w:asciiTheme="majorEastAsia" w:hAnsiTheme="majorEastAsia" w:eastAsiaTheme="majorEastAsia" w:cstheme="majorEastAsia"/>
          <w:sz w:val="21"/>
          <w:szCs w:val="21"/>
          <w:highlight w:val="none"/>
          <w:lang w:val="en-US" w:eastAsia="zh-CN"/>
        </w:rPr>
        <w:t>和</w:t>
      </w:r>
      <w:r>
        <w:rPr>
          <w:rFonts w:hint="eastAsia" w:asciiTheme="majorEastAsia" w:hAnsiTheme="majorEastAsia" w:eastAsiaTheme="majorEastAsia" w:cstheme="majorEastAsia"/>
          <w:sz w:val="21"/>
          <w:szCs w:val="21"/>
          <w:highlight w:val="none"/>
          <w:lang w:eastAsia="zh-CN"/>
        </w:rPr>
        <w:t>废弃农用薄膜</w:t>
      </w:r>
      <w:r>
        <w:rPr>
          <w:rFonts w:hint="eastAsia" w:asciiTheme="majorEastAsia" w:hAnsiTheme="majorEastAsia" w:eastAsiaTheme="majorEastAsia" w:cstheme="majorEastAsia"/>
          <w:sz w:val="21"/>
          <w:szCs w:val="21"/>
          <w:highlight w:val="none"/>
          <w:lang w:val="en-US" w:eastAsia="zh-CN"/>
        </w:rPr>
        <w:t>网络。1）在海曙区注册的农民专业合作社和家庭农场回收点应设尽设</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2）</w:t>
      </w:r>
      <w:r>
        <w:rPr>
          <w:rFonts w:hint="eastAsia" w:asciiTheme="majorEastAsia" w:hAnsiTheme="majorEastAsia" w:eastAsiaTheme="majorEastAsia" w:cstheme="majorEastAsia"/>
          <w:sz w:val="21"/>
          <w:szCs w:val="21"/>
          <w:highlight w:val="none"/>
        </w:rPr>
        <w:t>各农药经营网点设立</w:t>
      </w:r>
      <w:r>
        <w:rPr>
          <w:rFonts w:hint="eastAsia" w:asciiTheme="majorEastAsia" w:hAnsiTheme="majorEastAsia" w:eastAsiaTheme="majorEastAsia" w:cstheme="majorEastAsia"/>
          <w:sz w:val="21"/>
          <w:szCs w:val="21"/>
          <w:highlight w:val="none"/>
          <w:lang w:eastAsia="zh-CN"/>
        </w:rPr>
        <w:t>农药包装废弃物</w:t>
      </w:r>
      <w:r>
        <w:rPr>
          <w:rFonts w:hint="eastAsia" w:asciiTheme="majorEastAsia" w:hAnsiTheme="majorEastAsia" w:eastAsiaTheme="majorEastAsia" w:cstheme="majorEastAsia"/>
          <w:sz w:val="21"/>
          <w:szCs w:val="21"/>
          <w:highlight w:val="none"/>
        </w:rPr>
        <w:t>和</w:t>
      </w:r>
      <w:r>
        <w:rPr>
          <w:rFonts w:hint="eastAsia" w:asciiTheme="majorEastAsia" w:hAnsiTheme="majorEastAsia" w:eastAsiaTheme="majorEastAsia" w:cstheme="majorEastAsia"/>
          <w:sz w:val="21"/>
          <w:szCs w:val="21"/>
          <w:highlight w:val="none"/>
          <w:lang w:eastAsia="zh-CN"/>
        </w:rPr>
        <w:t>废弃农用薄膜</w:t>
      </w:r>
      <w:r>
        <w:rPr>
          <w:rFonts w:hint="eastAsia" w:asciiTheme="majorEastAsia" w:hAnsiTheme="majorEastAsia" w:eastAsiaTheme="majorEastAsia" w:cstheme="majorEastAsia"/>
          <w:sz w:val="21"/>
          <w:szCs w:val="21"/>
          <w:highlight w:val="none"/>
        </w:rPr>
        <w:t>回收点</w:t>
      </w:r>
      <w:r>
        <w:rPr>
          <w:rFonts w:hint="eastAsia" w:asciiTheme="majorEastAsia" w:hAnsiTheme="majorEastAsia" w:eastAsiaTheme="majorEastAsia" w:cstheme="majorEastAsia"/>
          <w:sz w:val="21"/>
          <w:szCs w:val="21"/>
          <w:highlight w:val="none"/>
          <w:lang w:eastAsia="zh-CN"/>
        </w:rPr>
        <w:t>。</w:t>
      </w:r>
    </w:p>
    <w:p>
      <w:pPr>
        <w:pStyle w:val="20"/>
        <w:spacing w:after="0" w:line="360"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4.2 回收</w:t>
      </w:r>
      <w:r>
        <w:rPr>
          <w:rFonts w:hint="eastAsia" w:asciiTheme="majorEastAsia" w:hAnsiTheme="majorEastAsia" w:eastAsiaTheme="majorEastAsia" w:cstheme="majorEastAsia"/>
          <w:sz w:val="21"/>
          <w:szCs w:val="21"/>
          <w:highlight w:val="none"/>
          <w:lang w:val="en-US" w:eastAsia="zh-CN"/>
        </w:rPr>
        <w:t>网点要求：</w:t>
      </w:r>
      <w:r>
        <w:rPr>
          <w:rFonts w:hint="eastAsia" w:asciiTheme="majorEastAsia" w:hAnsiTheme="majorEastAsia" w:eastAsiaTheme="majorEastAsia" w:cstheme="majorEastAsia"/>
          <w:sz w:val="21"/>
          <w:szCs w:val="21"/>
          <w:highlight w:val="none"/>
        </w:rPr>
        <w:t>各回收网点要求有专人负责并按要求做好回收工作。要有独立</w:t>
      </w:r>
      <w:r>
        <w:rPr>
          <w:rFonts w:hint="eastAsia" w:asciiTheme="majorEastAsia" w:hAnsiTheme="majorEastAsia" w:eastAsiaTheme="majorEastAsia" w:cstheme="majorEastAsia"/>
          <w:sz w:val="21"/>
          <w:szCs w:val="21"/>
          <w:highlight w:val="none"/>
          <w:lang w:val="en-US" w:eastAsia="zh-CN"/>
        </w:rPr>
        <w:t>的</w:t>
      </w:r>
      <w:r>
        <w:rPr>
          <w:rFonts w:hint="eastAsia" w:asciiTheme="majorEastAsia" w:hAnsiTheme="majorEastAsia" w:eastAsiaTheme="majorEastAsia" w:cstheme="majorEastAsia"/>
          <w:sz w:val="21"/>
          <w:szCs w:val="21"/>
          <w:highlight w:val="none"/>
          <w:lang w:eastAsia="zh-CN"/>
        </w:rPr>
        <w:t>农药包装废弃物</w:t>
      </w:r>
      <w:r>
        <w:rPr>
          <w:rFonts w:hint="eastAsia" w:asciiTheme="majorEastAsia" w:hAnsiTheme="majorEastAsia" w:eastAsiaTheme="majorEastAsia" w:cstheme="majorEastAsia"/>
          <w:sz w:val="21"/>
          <w:szCs w:val="21"/>
          <w:highlight w:val="none"/>
        </w:rPr>
        <w:t>和</w:t>
      </w:r>
      <w:r>
        <w:rPr>
          <w:rFonts w:hint="eastAsia" w:asciiTheme="majorEastAsia" w:hAnsiTheme="majorEastAsia" w:eastAsiaTheme="majorEastAsia" w:cstheme="majorEastAsia"/>
          <w:sz w:val="21"/>
          <w:szCs w:val="21"/>
          <w:highlight w:val="none"/>
          <w:lang w:eastAsia="zh-CN"/>
        </w:rPr>
        <w:t>废弃农用薄膜</w:t>
      </w:r>
      <w:r>
        <w:rPr>
          <w:rFonts w:hint="eastAsia" w:asciiTheme="majorEastAsia" w:hAnsiTheme="majorEastAsia" w:eastAsiaTheme="majorEastAsia" w:cstheme="majorEastAsia"/>
          <w:sz w:val="21"/>
          <w:szCs w:val="21"/>
          <w:highlight w:val="none"/>
        </w:rPr>
        <w:t>回收区域，区域内摆放回收专用</w:t>
      </w:r>
      <w:r>
        <w:rPr>
          <w:rFonts w:hint="eastAsia" w:asciiTheme="majorEastAsia" w:hAnsiTheme="majorEastAsia" w:eastAsiaTheme="majorEastAsia" w:cstheme="majorEastAsia"/>
          <w:sz w:val="21"/>
          <w:szCs w:val="21"/>
          <w:highlight w:val="none"/>
          <w:lang w:val="en-US" w:eastAsia="zh-CN"/>
        </w:rPr>
        <w:t>设施</w:t>
      </w:r>
      <w:r>
        <w:rPr>
          <w:rFonts w:hint="eastAsia" w:asciiTheme="majorEastAsia" w:hAnsiTheme="majorEastAsia" w:eastAsiaTheme="majorEastAsia" w:cstheme="majorEastAsia"/>
          <w:sz w:val="21"/>
          <w:szCs w:val="21"/>
          <w:highlight w:val="none"/>
        </w:rPr>
        <w:t>，并明示回收标准。</w:t>
      </w:r>
    </w:p>
    <w:p>
      <w:pPr>
        <w:snapToGrid w:val="0"/>
        <w:spacing w:line="360" w:lineRule="auto"/>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5、服务工作台账、记录</w:t>
      </w:r>
    </w:p>
    <w:p>
      <w:pPr>
        <w:pStyle w:val="20"/>
        <w:spacing w:after="0" w:line="360"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中标供应商应做好如下台账、记录：</w:t>
      </w:r>
    </w:p>
    <w:p>
      <w:pPr>
        <w:pStyle w:val="20"/>
        <w:spacing w:after="0" w:line="360"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5.1回收网点的布局；</w:t>
      </w:r>
    </w:p>
    <w:p>
      <w:pPr>
        <w:pStyle w:val="20"/>
        <w:spacing w:after="0" w:line="360"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5.2 网点回收内容、时间、数据、人员；</w:t>
      </w:r>
    </w:p>
    <w:p>
      <w:pPr>
        <w:pStyle w:val="20"/>
        <w:spacing w:after="0" w:line="360"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5.3 回收物集中入库内容、时间、数据、人员；</w:t>
      </w:r>
    </w:p>
    <w:p>
      <w:pPr>
        <w:pStyle w:val="20"/>
        <w:spacing w:after="0" w:line="360"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5.4回收物处置报批、出库、处理完的内容、时间、数据、人员。</w:t>
      </w:r>
    </w:p>
    <w:p>
      <w:pPr>
        <w:pStyle w:val="20"/>
        <w:spacing w:after="0" w:line="360"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5.5其他采购或农业农村部门要求的台账、记录。</w:t>
      </w:r>
    </w:p>
    <w:bookmarkEnd w:id="50"/>
    <w:bookmarkEnd w:id="51"/>
    <w:bookmarkEnd w:id="52"/>
    <w:bookmarkEnd w:id="53"/>
    <w:bookmarkEnd w:id="54"/>
    <w:bookmarkEnd w:id="55"/>
    <w:p>
      <w:pPr>
        <w:numPr>
          <w:ilvl w:val="0"/>
          <w:numId w:val="6"/>
        </w:numPr>
        <w:snapToGrid w:val="0"/>
        <w:spacing w:line="360" w:lineRule="auto"/>
        <w:rPr>
          <w:rFonts w:hint="eastAsia" w:asciiTheme="majorEastAsia" w:hAnsiTheme="majorEastAsia" w:eastAsiaTheme="majorEastAsia" w:cstheme="majorEastAsia"/>
          <w:b/>
          <w:bCs/>
          <w:sz w:val="21"/>
          <w:szCs w:val="21"/>
          <w:highlight w:val="none"/>
          <w:lang w:val="en-US" w:eastAsia="zh-CN"/>
        </w:rPr>
      </w:pPr>
      <w:r>
        <w:rPr>
          <w:rFonts w:hint="eastAsia" w:asciiTheme="majorEastAsia" w:hAnsiTheme="majorEastAsia" w:eastAsiaTheme="majorEastAsia" w:cstheme="majorEastAsia"/>
          <w:b/>
          <w:bCs/>
          <w:sz w:val="21"/>
          <w:szCs w:val="21"/>
          <w:highlight w:val="none"/>
          <w:lang w:val="en-US" w:eastAsia="zh-CN"/>
        </w:rPr>
        <w:t>考核办法</w:t>
      </w:r>
    </w:p>
    <w:p>
      <w:pPr>
        <w:pStyle w:val="20"/>
        <w:spacing w:after="0" w:line="360" w:lineRule="auto"/>
        <w:ind w:firstLine="482"/>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6.1与回收网点签订工作责任书，有回收但未签订的，每发现一家扣2000元。</w:t>
      </w:r>
    </w:p>
    <w:p>
      <w:pPr>
        <w:pStyle w:val="20"/>
        <w:spacing w:after="0" w:line="360" w:lineRule="auto"/>
        <w:ind w:firstLine="482"/>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6.2供应商的台帐记录不完整，存在弄虚作假等情况，每发现一次扣2000元。</w:t>
      </w:r>
    </w:p>
    <w:p>
      <w:pPr>
        <w:pStyle w:val="20"/>
        <w:spacing w:after="0" w:line="360" w:lineRule="auto"/>
        <w:ind w:firstLine="482"/>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6.3发现回收网点回收的农业固体废物存放超过一个月未进行运输处理的，每网点每次扣1000元。发现回收网点存在农业固体废物随地乱丢等破坏环境行为，每网点每次扣1000元。</w:t>
      </w:r>
    </w:p>
    <w:p>
      <w:pPr>
        <w:pStyle w:val="20"/>
        <w:spacing w:after="0" w:line="360" w:lineRule="auto"/>
        <w:ind w:firstLine="482"/>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6.4发现回收网点台帐不完整，存在虚报、漏报等情况，每网点每次扣500元，如连续两次发现上述情况，采购人有权要求回收网点整改。</w:t>
      </w:r>
    </w:p>
    <w:p>
      <w:pPr>
        <w:pStyle w:val="20"/>
        <w:spacing w:after="0" w:line="360" w:lineRule="auto"/>
        <w:ind w:firstLine="482"/>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6.5发现农业固体废物未进行处置，存在自行焚烧的每次扣5000元。收购数量与销毁数量不能相互印证等情况不予结算费用。如连续发现两次此种情况，依据有关法律法规处置。</w:t>
      </w:r>
    </w:p>
    <w:p>
      <w:pPr>
        <w:pStyle w:val="20"/>
        <w:spacing w:after="0" w:line="360" w:lineRule="auto"/>
        <w:ind w:firstLine="482"/>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6.6资金结算发现弄虚作假，依据有关法律法规处置。</w:t>
      </w:r>
    </w:p>
    <w:p>
      <w:pPr>
        <w:pStyle w:val="20"/>
        <w:spacing w:after="0" w:line="360" w:lineRule="auto"/>
        <w:ind w:firstLine="482"/>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6.7农业固体废物未使用废物运输专用车辆，导致污染环境等问题，每次扣5000元。</w:t>
      </w:r>
    </w:p>
    <w:p>
      <w:pPr>
        <w:pStyle w:val="20"/>
        <w:spacing w:after="0" w:line="360" w:lineRule="auto"/>
        <w:ind w:firstLine="482"/>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6.8回收物处置单位对回收的农业固体废物集中处置不符合相关环保标准，被环保机构检查发现，依据有关法律法规处置。</w:t>
      </w:r>
    </w:p>
    <w:p>
      <w:pPr>
        <w:pStyle w:val="21"/>
        <w:ind w:firstLine="420" w:firstLineChars="200"/>
        <w:rPr>
          <w:rFonts w:hint="default"/>
          <w:color w:val="auto"/>
          <w:lang w:val="en-US"/>
        </w:rPr>
      </w:pPr>
      <w:r>
        <w:rPr>
          <w:rFonts w:hint="eastAsia" w:asciiTheme="majorEastAsia" w:hAnsiTheme="majorEastAsia" w:eastAsiaTheme="majorEastAsia" w:cstheme="majorEastAsia"/>
          <w:color w:val="auto"/>
          <w:sz w:val="21"/>
          <w:szCs w:val="21"/>
          <w:highlight w:val="none"/>
          <w:lang w:val="en-US" w:eastAsia="zh-CN"/>
        </w:rPr>
        <w:t>6.9 以上累计扣款达到10000元时，采购人有权解除合同。</w:t>
      </w:r>
    </w:p>
    <w:p>
      <w:pPr>
        <w:spacing w:line="360" w:lineRule="auto"/>
        <w:rPr>
          <w:rFonts w:hint="eastAsia" w:asciiTheme="majorEastAsia" w:hAnsiTheme="majorEastAsia" w:eastAsiaTheme="majorEastAsia" w:cstheme="majorEastAsia"/>
          <w:b/>
          <w:sz w:val="24"/>
          <w:szCs w:val="24"/>
          <w:highlight w:val="none"/>
        </w:rPr>
      </w:pPr>
    </w:p>
    <w:p>
      <w:pPr>
        <w:spacing w:line="360" w:lineRule="auto"/>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八、商务要求</w:t>
      </w:r>
    </w:p>
    <w:tbl>
      <w:tblPr>
        <w:tblStyle w:val="49"/>
        <w:tblW w:w="0" w:type="auto"/>
        <w:tblInd w:w="-3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7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392" w:type="dxa"/>
            <w:vAlign w:val="center"/>
          </w:tcPr>
          <w:p>
            <w:pPr>
              <w:spacing w:line="400" w:lineRule="exact"/>
              <w:ind w:firstLine="420" w:firstLineChars="200"/>
              <w:rPr>
                <w:rFonts w:hint="eastAsia" w:asciiTheme="majorEastAsia" w:hAnsiTheme="majorEastAsia" w:eastAsiaTheme="majorEastAsia" w:cstheme="majorEastAsia"/>
                <w:bCs/>
                <w:sz w:val="21"/>
                <w:szCs w:val="21"/>
                <w:highlight w:val="none"/>
              </w:rPr>
            </w:pPr>
            <w:r>
              <w:rPr>
                <w:rFonts w:hint="eastAsia" w:asciiTheme="majorEastAsia" w:hAnsiTheme="majorEastAsia" w:eastAsiaTheme="majorEastAsia" w:cstheme="majorEastAsia"/>
                <w:sz w:val="21"/>
                <w:szCs w:val="21"/>
                <w:highlight w:val="none"/>
              </w:rPr>
              <w:t>项目</w:t>
            </w:r>
          </w:p>
        </w:tc>
        <w:tc>
          <w:tcPr>
            <w:tcW w:w="7930" w:type="dxa"/>
            <w:vAlign w:val="center"/>
          </w:tcPr>
          <w:p>
            <w:pPr>
              <w:spacing w:line="400" w:lineRule="exact"/>
              <w:ind w:firstLine="420" w:firstLineChars="200"/>
              <w:jc w:val="both"/>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采   购   文  件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392" w:type="dxa"/>
            <w:vAlign w:val="center"/>
          </w:tcPr>
          <w:p>
            <w:pPr>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服务期限</w:t>
            </w:r>
          </w:p>
        </w:tc>
        <w:tc>
          <w:tcPr>
            <w:tcW w:w="7930" w:type="dxa"/>
            <w:vAlign w:val="center"/>
          </w:tcPr>
          <w:p>
            <w:pPr>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lang w:eastAsia="zh-CN"/>
              </w:rPr>
              <w:t>自合同签订之日起三年，合同一年一签，采购人根据中标人在上年度合同履约、考核情况及资金落实情况等决定是否续签。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1392" w:type="dxa"/>
            <w:vAlign w:val="center"/>
          </w:tcPr>
          <w:p>
            <w:pPr>
              <w:jc w:val="center"/>
              <w:rPr>
                <w:rFonts w:hint="eastAsia" w:asciiTheme="majorEastAsia" w:hAnsiTheme="majorEastAsia" w:eastAsiaTheme="majorEastAsia" w:cstheme="majorEastAsia"/>
                <w:bCs/>
                <w:sz w:val="21"/>
                <w:szCs w:val="21"/>
                <w:highlight w:val="none"/>
              </w:rPr>
            </w:pPr>
            <w:r>
              <w:rPr>
                <w:rFonts w:hint="eastAsia" w:asciiTheme="majorEastAsia" w:hAnsiTheme="majorEastAsia" w:eastAsiaTheme="majorEastAsia" w:cstheme="majorEastAsia"/>
                <w:bCs/>
                <w:sz w:val="21"/>
                <w:szCs w:val="21"/>
                <w:highlight w:val="none"/>
              </w:rPr>
              <w:t>付款方式</w:t>
            </w:r>
          </w:p>
        </w:tc>
        <w:tc>
          <w:tcPr>
            <w:tcW w:w="7930" w:type="dxa"/>
            <w:vAlign w:val="center"/>
          </w:tcPr>
          <w:p>
            <w:pP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合同生效以及具备实施条件后7个工作日内支付合同总价的20%作为预付款。每半年结算一次</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根据供应商已完成的回收数量及运输处置数量按实结算，其中特种用具、准备期费用、宣传费及相关管理费税金利润等费用为包干价在年度合同期限满后进行支付</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如有扣罚款的，在支付时相应扣除。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92" w:type="dxa"/>
            <w:vAlign w:val="center"/>
          </w:tcPr>
          <w:p>
            <w:pPr>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分包</w:t>
            </w:r>
          </w:p>
        </w:tc>
        <w:tc>
          <w:tcPr>
            <w:tcW w:w="7930" w:type="dxa"/>
            <w:vAlign w:val="center"/>
          </w:tcPr>
          <w:p>
            <w:pPr>
              <w:jc w:val="lef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本项目不允许分包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392" w:type="dxa"/>
            <w:vAlign w:val="center"/>
          </w:tcPr>
          <w:p>
            <w:pPr>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合同终止</w:t>
            </w:r>
          </w:p>
        </w:tc>
        <w:tc>
          <w:tcPr>
            <w:tcW w:w="7930" w:type="dxa"/>
            <w:vAlign w:val="center"/>
          </w:tcPr>
          <w:p>
            <w:pP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1、未能在合同规定的期限内完成阶段进度工作的；</w:t>
            </w:r>
          </w:p>
          <w:p>
            <w:pP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2、未能履行合同规定的其它义务。</w:t>
            </w:r>
          </w:p>
        </w:tc>
      </w:tr>
    </w:tbl>
    <w:p>
      <w:pPr>
        <w:pStyle w:val="3"/>
        <w:ind w:firstLine="0"/>
        <w:rPr>
          <w:highlight w:val="none"/>
        </w:rPr>
      </w:pPr>
    </w:p>
    <w:p>
      <w:pPr>
        <w:autoSpaceDE w:val="0"/>
        <w:autoSpaceDN w:val="0"/>
        <w:spacing w:line="360" w:lineRule="auto"/>
        <w:jc w:val="center"/>
        <w:outlineLvl w:val="0"/>
        <w:rPr>
          <w:rFonts w:ascii="宋体" w:hAnsi="宋体" w:cs="宋体"/>
          <w:b/>
          <w:bCs/>
          <w:sz w:val="32"/>
          <w:szCs w:val="32"/>
        </w:rPr>
      </w:pPr>
      <w:r>
        <w:rPr>
          <w:rFonts w:hint="eastAsia" w:ascii="黑体" w:hAnsi="宋体" w:eastAsia="黑体"/>
          <w:color w:val="000000"/>
          <w:sz w:val="30"/>
          <w:szCs w:val="30"/>
          <w:highlight w:val="none"/>
        </w:rPr>
        <w:br w:type="page"/>
      </w:r>
      <w:r>
        <w:rPr>
          <w:rFonts w:hint="eastAsia" w:ascii="宋体" w:hAnsi="宋体" w:cs="宋体"/>
          <w:b/>
          <w:sz w:val="32"/>
          <w:szCs w:val="32"/>
        </w:rPr>
        <w:t>第三章  供应商须知</w:t>
      </w:r>
      <w:bookmarkEnd w:id="37"/>
    </w:p>
    <w:p>
      <w:pPr>
        <w:snapToGrid w:val="0"/>
        <w:ind w:left="238"/>
        <w:jc w:val="center"/>
        <w:rPr>
          <w:rFonts w:ascii="宋体" w:hAnsi="宋体" w:cs="宋体"/>
          <w:b/>
          <w:bCs/>
          <w:sz w:val="44"/>
          <w:szCs w:val="32"/>
        </w:rPr>
      </w:pPr>
      <w:bookmarkStart w:id="56" w:name="_Toc1665"/>
      <w:r>
        <w:rPr>
          <w:rFonts w:hint="eastAsia" w:ascii="宋体" w:hAnsi="宋体" w:cs="宋体"/>
          <w:b/>
          <w:sz w:val="28"/>
          <w:szCs w:val="28"/>
        </w:rPr>
        <w:t>前 附 表</w:t>
      </w:r>
      <w:bookmarkEnd w:id="56"/>
    </w:p>
    <w:tbl>
      <w:tblPr>
        <w:tblStyle w:val="49"/>
        <w:tblW w:w="8857" w:type="dxa"/>
        <w:tblInd w:w="-2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81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szCs w:val="21"/>
              </w:rPr>
            </w:pPr>
            <w:r>
              <w:rPr>
                <w:rFonts w:hint="eastAsia" w:ascii="宋体" w:hAnsi="宋体" w:cs="宋体"/>
                <w:b/>
                <w:szCs w:val="21"/>
              </w:rPr>
              <w:t>序号</w:t>
            </w:r>
          </w:p>
        </w:tc>
        <w:tc>
          <w:tcPr>
            <w:tcW w:w="810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szCs w:val="21"/>
              </w:rPr>
            </w:pPr>
            <w:r>
              <w:rPr>
                <w:rFonts w:hint="eastAsia" w:ascii="宋体" w:hAnsi="宋体" w:cs="宋体"/>
                <w:b/>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8"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zCs w:val="21"/>
              </w:rPr>
            </w:pPr>
            <w:r>
              <w:rPr>
                <w:rFonts w:hint="eastAsia" w:ascii="宋体" w:hAnsi="宋体" w:cs="宋体"/>
                <w:szCs w:val="21"/>
              </w:rPr>
              <w:t>★1</w:t>
            </w:r>
          </w:p>
        </w:tc>
        <w:tc>
          <w:tcPr>
            <w:tcW w:w="8107"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b/>
                <w:bCs/>
                <w:szCs w:val="21"/>
              </w:rPr>
            </w:pPr>
            <w:r>
              <w:rPr>
                <w:rFonts w:hint="eastAsia" w:ascii="宋体" w:hAnsi="宋体" w:cs="宋体"/>
                <w:b/>
                <w:bCs/>
                <w:szCs w:val="21"/>
              </w:rPr>
              <w:t>投标报价及费用：</w:t>
            </w:r>
          </w:p>
          <w:p>
            <w:pPr>
              <w:numPr>
                <w:ilvl w:val="0"/>
                <w:numId w:val="7"/>
              </w:numPr>
              <w:spacing w:line="336" w:lineRule="auto"/>
              <w:rPr>
                <w:rFonts w:ascii="宋体" w:hAnsi="宋体" w:cs="宋体"/>
                <w:szCs w:val="21"/>
              </w:rPr>
            </w:pPr>
            <w:r>
              <w:rPr>
                <w:rFonts w:hint="eastAsia" w:ascii="宋体" w:hAnsi="宋体" w:cs="宋体"/>
                <w:szCs w:val="21"/>
              </w:rPr>
              <w:t>本项目投标应采用含税人民币报价。</w:t>
            </w:r>
          </w:p>
          <w:p>
            <w:pPr>
              <w:pStyle w:val="18"/>
              <w:spacing w:line="312" w:lineRule="auto"/>
              <w:rPr>
                <w:rFonts w:ascii="宋体" w:hAnsi="宋体" w:cs="宋体"/>
                <w:szCs w:val="21"/>
              </w:rPr>
            </w:pPr>
            <w:r>
              <w:rPr>
                <w:rFonts w:hint="eastAsia" w:ascii="宋体" w:hAnsi="宋体" w:cs="宋体"/>
                <w:szCs w:val="22"/>
              </w:rPr>
              <w:t>2）本次投标报价是履行合同的最终价格，包含</w:t>
            </w:r>
            <w:r>
              <w:rPr>
                <w:rFonts w:hint="eastAsia" w:ascii="宋体" w:hAnsi="宋体" w:cs="宋体"/>
                <w:bCs/>
                <w:szCs w:val="21"/>
              </w:rPr>
              <w:t>完成服务涉及的全部费用。</w:t>
            </w:r>
          </w:p>
          <w:p>
            <w:pPr>
              <w:pStyle w:val="18"/>
              <w:spacing w:line="312" w:lineRule="auto"/>
              <w:rPr>
                <w:rFonts w:hint="eastAsia" w:ascii="宋体" w:hAnsi="宋体" w:cs="宋体"/>
                <w:b/>
                <w:bCs/>
                <w:szCs w:val="21"/>
              </w:rPr>
            </w:pPr>
            <w:r>
              <w:rPr>
                <w:rFonts w:hint="eastAsia" w:ascii="宋体" w:hAnsi="宋体" w:cs="宋体"/>
                <w:b/>
                <w:bCs/>
                <w:szCs w:val="21"/>
              </w:rPr>
              <w:t>3）最高限价</w:t>
            </w:r>
            <w:r>
              <w:rPr>
                <w:rFonts w:hint="eastAsia" w:ascii="宋体" w:hAnsi="宋体" w:cs="宋体"/>
                <w:b/>
                <w:bCs/>
                <w:szCs w:val="21"/>
                <w:lang w:val="en-US" w:eastAsia="zh-CN"/>
              </w:rPr>
              <w:t>如下，</w:t>
            </w:r>
            <w:r>
              <w:rPr>
                <w:rFonts w:hint="eastAsia" w:ascii="宋体" w:hAnsi="宋体" w:cs="宋体"/>
                <w:b/>
                <w:bCs/>
                <w:szCs w:val="21"/>
              </w:rPr>
              <w:t>超出最高限价</w:t>
            </w:r>
            <w:r>
              <w:rPr>
                <w:rFonts w:hint="eastAsia" w:ascii="宋体" w:hAnsi="宋体" w:cs="宋体"/>
                <w:b/>
                <w:bCs/>
                <w:szCs w:val="21"/>
                <w:lang w:eastAsia="zh-CN"/>
              </w:rPr>
              <w:t>（</w:t>
            </w:r>
            <w:r>
              <w:rPr>
                <w:rFonts w:hint="eastAsia" w:ascii="宋体" w:hAnsi="宋体" w:cs="宋体"/>
                <w:b/>
                <w:bCs/>
                <w:szCs w:val="21"/>
                <w:lang w:val="en-US" w:eastAsia="zh-CN"/>
              </w:rPr>
              <w:t>单价或总价</w:t>
            </w:r>
            <w:r>
              <w:rPr>
                <w:rFonts w:hint="eastAsia" w:ascii="宋体" w:hAnsi="宋体" w:cs="宋体"/>
                <w:b/>
                <w:bCs/>
                <w:szCs w:val="21"/>
                <w:lang w:eastAsia="zh-CN"/>
              </w:rPr>
              <w:t>）</w:t>
            </w:r>
            <w:r>
              <w:rPr>
                <w:rFonts w:hint="eastAsia" w:ascii="宋体" w:hAnsi="宋体" w:cs="宋体"/>
                <w:b/>
                <w:bCs/>
                <w:szCs w:val="21"/>
              </w:rPr>
              <w:t>的投标将作为无效标处理。</w:t>
            </w:r>
          </w:p>
          <w:tbl>
            <w:tblPr>
              <w:tblStyle w:val="49"/>
              <w:tblW w:w="7793"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33"/>
              <w:gridCol w:w="1140"/>
              <w:gridCol w:w="1140"/>
              <w:gridCol w:w="1140"/>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项目内容</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r>
                    <w:rPr>
                      <w:rFonts w:hint="eastAsia" w:ascii="宋体" w:hAnsi="宋体" w:cs="宋体"/>
                      <w:i w:val="0"/>
                      <w:iCs w:val="0"/>
                      <w:color w:val="000000"/>
                      <w:kern w:val="0"/>
                      <w:sz w:val="21"/>
                      <w:szCs w:val="21"/>
                      <w:u w:val="none"/>
                      <w:lang w:val="en-US" w:eastAsia="zh-CN" w:bidi="ar"/>
                    </w:rPr>
                    <w:t>（暂估）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最高限价单价</w:t>
                  </w:r>
                  <w:r>
                    <w:rPr>
                      <w:rFonts w:hint="eastAsia" w:ascii="宋体" w:hAnsi="宋体" w:cs="宋体"/>
                      <w:i w:val="0"/>
                      <w:iCs w:val="0"/>
                      <w:color w:val="000000"/>
                      <w:kern w:val="0"/>
                      <w:sz w:val="21"/>
                      <w:szCs w:val="21"/>
                      <w:u w:val="none"/>
                      <w:lang w:val="en-US" w:eastAsia="zh-CN" w:bidi="ar"/>
                    </w:rPr>
                    <w:t>（元）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最高限价</w:t>
                  </w:r>
                  <w:r>
                    <w:rPr>
                      <w:rFonts w:hint="eastAsia" w:ascii="宋体" w:hAnsi="宋体" w:cs="宋体"/>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农药瓶回收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830000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0.25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农药袋回收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430000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0.15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农药瓶、农药袋运输处置</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吨</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农膜回收处置费（按公斤计算）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特种用具、准备期费用、宣传费及相关管理费税金利润等费用</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一年总价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80</w:t>
                  </w:r>
                  <w:r>
                    <w:rPr>
                      <w:rFonts w:hint="eastAsia" w:ascii="宋体" w:hAnsi="宋体" w:eastAsia="宋体" w:cs="宋体"/>
                      <w:i w:val="0"/>
                      <w:iCs w:val="0"/>
                      <w:color w:val="auto"/>
                      <w:kern w:val="0"/>
                      <w:sz w:val="21"/>
                      <w:szCs w:val="21"/>
                      <w:u w:val="none"/>
                      <w:lang w:val="en-US" w:eastAsia="zh-CN" w:bidi="ar"/>
                    </w:rPr>
                    <w:t>0000</w:t>
                  </w:r>
                </w:p>
              </w:tc>
            </w:tr>
          </w:tbl>
          <w:p>
            <w:pPr>
              <w:spacing w:line="336" w:lineRule="auto"/>
              <w:rPr>
                <w:rFonts w:hint="default" w:ascii="宋体" w:hAnsi="宋体" w:eastAsia="宋体" w:cs="宋体"/>
                <w:b/>
                <w:bCs/>
                <w:color w:val="FF0000"/>
                <w:szCs w:val="21"/>
                <w:lang w:val="en-US" w:eastAsia="zh-CN"/>
              </w:rPr>
            </w:pPr>
            <w:r>
              <w:rPr>
                <w:rFonts w:hint="eastAsia" w:ascii="宋体" w:hAnsi="宋体" w:eastAsia="宋体" w:cs="宋体"/>
                <w:b/>
                <w:bCs/>
                <w:color w:val="auto"/>
                <w:szCs w:val="21"/>
                <w:lang w:val="en-US" w:eastAsia="zh-CN"/>
              </w:rPr>
              <w:t>注：特种用具、准备期费用、宣传费及相关管理费税金利润等</w:t>
            </w:r>
            <w:r>
              <w:rPr>
                <w:rFonts w:hint="eastAsia" w:ascii="宋体" w:hAnsi="宋体" w:cs="宋体"/>
                <w:b/>
                <w:bCs/>
                <w:color w:val="auto"/>
                <w:szCs w:val="21"/>
                <w:lang w:val="en-US" w:eastAsia="zh-CN"/>
              </w:rPr>
              <w:t>费用</w:t>
            </w:r>
            <w:r>
              <w:rPr>
                <w:rFonts w:hint="eastAsia" w:ascii="宋体" w:hAnsi="宋体" w:eastAsia="宋体" w:cs="宋体"/>
                <w:b/>
                <w:bCs/>
                <w:color w:val="auto"/>
                <w:szCs w:val="21"/>
                <w:lang w:val="en-US" w:eastAsia="zh-CN"/>
              </w:rPr>
              <w:t>为包干价</w:t>
            </w:r>
            <w:r>
              <w:rPr>
                <w:rFonts w:hint="eastAsia" w:ascii="宋体" w:hAnsi="宋体" w:cs="宋体"/>
                <w:b/>
                <w:bCs/>
                <w:color w:val="auto"/>
                <w:szCs w:val="21"/>
                <w:lang w:val="en-US" w:eastAsia="zh-CN"/>
              </w:rPr>
              <w:t>，其余回收处置费用根据实际数量按实结算</w:t>
            </w:r>
            <w:r>
              <w:rPr>
                <w:rFonts w:hint="eastAsia" w:ascii="宋体" w:hAnsi="宋体" w:eastAsia="宋体" w:cs="宋体"/>
                <w:b/>
                <w:bCs/>
                <w:color w:val="auto"/>
                <w:szCs w:val="21"/>
                <w:lang w:val="en-US" w:eastAsia="zh-CN"/>
              </w:rPr>
              <w:t>。</w:t>
            </w:r>
          </w:p>
          <w:p>
            <w:pPr>
              <w:spacing w:line="336" w:lineRule="auto"/>
              <w:rPr>
                <w:rFonts w:ascii="宋体" w:hAnsi="宋体" w:cs="宋体"/>
                <w:szCs w:val="21"/>
              </w:rPr>
            </w:pPr>
            <w:r>
              <w:rPr>
                <w:rFonts w:hint="eastAsia" w:ascii="宋体" w:hAnsi="宋体" w:cs="宋体"/>
                <w:szCs w:val="21"/>
              </w:rPr>
              <w:t>4）不论投标结果如何，供应商均应自行承担应承担的全部费用。</w:t>
            </w:r>
          </w:p>
          <w:p>
            <w:pPr>
              <w:spacing w:line="336" w:lineRule="auto"/>
              <w:rPr>
                <w:rFonts w:ascii="宋体" w:hAnsi="宋体" w:cs="宋体"/>
                <w:szCs w:val="21"/>
              </w:rPr>
            </w:pPr>
            <w:r>
              <w:rPr>
                <w:rFonts w:hint="eastAsia" w:ascii="宋体" w:hAnsi="宋体" w:cs="宋体"/>
                <w:szCs w:val="21"/>
              </w:rPr>
              <w:t>5）招标代理机构按照国家计委计价格【2002】1980号文件、发改价格【2011】534号文件规定的服务类招标费率标准下浮20%，以中标</w:t>
            </w:r>
            <w:r>
              <w:rPr>
                <w:rFonts w:hint="eastAsia" w:ascii="宋体" w:hAnsi="宋体" w:cs="宋体"/>
                <w:szCs w:val="21"/>
                <w:lang w:val="en-US" w:eastAsia="zh-CN"/>
              </w:rPr>
              <w:t>总金额</w:t>
            </w:r>
            <w:r>
              <w:rPr>
                <w:rFonts w:hint="eastAsia" w:ascii="宋体" w:hAnsi="宋体" w:cs="宋体"/>
                <w:szCs w:val="21"/>
              </w:rPr>
              <w:t>为基数向中标人收取中标服务费。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8107" w:type="dxa"/>
            <w:tcBorders>
              <w:top w:val="single" w:color="auto" w:sz="4" w:space="0"/>
              <w:left w:val="single" w:color="auto" w:sz="4" w:space="0"/>
              <w:bottom w:val="single" w:color="auto" w:sz="4" w:space="0"/>
              <w:right w:val="single" w:color="auto" w:sz="4" w:space="0"/>
            </w:tcBorders>
            <w:vAlign w:val="center"/>
          </w:tcPr>
          <w:p>
            <w:pPr>
              <w:spacing w:line="336" w:lineRule="auto"/>
              <w:rPr>
                <w:rFonts w:hint="eastAsia" w:ascii="宋体" w:hAnsi="宋体" w:cs="宋体"/>
                <w:szCs w:val="21"/>
              </w:rPr>
            </w:pPr>
            <w:r>
              <w:rPr>
                <w:rFonts w:hint="eastAsia" w:ascii="宋体" w:hAnsi="宋体" w:cs="宋体"/>
                <w:color w:val="000000"/>
                <w:szCs w:val="21"/>
                <w:highlight w:val="none"/>
              </w:rPr>
              <w:t>投标保证金：</w:t>
            </w:r>
            <w:r>
              <w:rPr>
                <w:rFonts w:hint="eastAsia" w:ascii="宋体" w:hAnsi="宋体" w:cs="宋体"/>
                <w:color w:val="000000"/>
                <w:szCs w:val="21"/>
                <w:highlight w:val="none"/>
                <w:lang w:val="en-US" w:eastAsia="zh-CN"/>
              </w:rPr>
              <w:t>免交</w:t>
            </w:r>
            <w:r>
              <w:rPr>
                <w:rFonts w:hint="eastAsia" w:ascii="宋体" w:hAnsi="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default" w:ascii="宋体" w:hAnsi="宋体" w:cs="宋体"/>
                <w:szCs w:val="21"/>
                <w:lang w:val="en-US" w:eastAsia="zh-CN"/>
              </w:rPr>
            </w:pPr>
            <w:r>
              <w:rPr>
                <w:rFonts w:hint="eastAsia" w:ascii="宋体" w:hAnsi="宋体" w:cs="宋体"/>
                <w:szCs w:val="21"/>
                <w:lang w:val="en-US" w:eastAsia="zh-CN"/>
              </w:rPr>
              <w:t>3</w:t>
            </w:r>
          </w:p>
        </w:tc>
        <w:tc>
          <w:tcPr>
            <w:tcW w:w="8107" w:type="dxa"/>
            <w:tcBorders>
              <w:top w:val="single" w:color="auto" w:sz="4" w:space="0"/>
              <w:left w:val="single" w:color="auto" w:sz="4" w:space="0"/>
              <w:bottom w:val="single" w:color="auto" w:sz="4" w:space="0"/>
              <w:right w:val="single" w:color="auto" w:sz="4" w:space="0"/>
            </w:tcBorders>
            <w:vAlign w:val="center"/>
          </w:tcPr>
          <w:p>
            <w:pPr>
              <w:spacing w:line="336" w:lineRule="auto"/>
              <w:rPr>
                <w:rFonts w:hint="eastAsia" w:ascii="宋体" w:hAnsi="宋体" w:cs="宋体"/>
                <w:color w:val="000000"/>
                <w:szCs w:val="21"/>
                <w:highlight w:val="none"/>
              </w:rPr>
            </w:pPr>
            <w:r>
              <w:rPr>
                <w:rFonts w:hint="eastAsia" w:ascii="宋体" w:hAnsi="宋体" w:cs="宋体"/>
                <w:color w:val="000000"/>
                <w:szCs w:val="21"/>
                <w:highlight w:val="none"/>
              </w:rPr>
              <w:t>现场踏勘（如有）：本项目不统一组织现场勘察，投标人可自行对本项目现场和周围环境进行勘察。勘察现场所发生的费用由投标人自己承担。不论何种原因所造成，在勘察过程中，投标人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0"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810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rFonts w:ascii="宋体" w:hAnsi="宋体" w:cs="宋体"/>
                <w:szCs w:val="21"/>
              </w:rPr>
            </w:pPr>
            <w:r>
              <w:rPr>
                <w:rFonts w:hint="eastAsia" w:ascii="宋体" w:hAnsi="宋体" w:cs="宋体"/>
                <w:szCs w:val="21"/>
              </w:rPr>
              <w:t>投标文件组成与份数：</w:t>
            </w:r>
          </w:p>
          <w:p>
            <w:pPr>
              <w:autoSpaceDE w:val="0"/>
              <w:autoSpaceDN w:val="0"/>
              <w:spacing w:line="288" w:lineRule="auto"/>
              <w:textAlignment w:val="bottom"/>
              <w:rPr>
                <w:rFonts w:ascii="宋体" w:hAnsi="宋体" w:cs="宋体"/>
                <w:szCs w:val="21"/>
              </w:rPr>
            </w:pPr>
            <w:r>
              <w:rPr>
                <w:rFonts w:hint="eastAsia" w:ascii="宋体" w:hAnsi="宋体" w:cs="宋体"/>
                <w:szCs w:val="21"/>
              </w:rPr>
              <w:t>（1）上传到政府采购云平台的电子投标文件（含资格文件、商务技术文件、报价文件）1份。</w:t>
            </w:r>
          </w:p>
          <w:p>
            <w:pPr>
              <w:autoSpaceDE w:val="0"/>
              <w:autoSpaceDN w:val="0"/>
              <w:spacing w:line="288" w:lineRule="auto"/>
              <w:textAlignment w:val="bottom"/>
              <w:rPr>
                <w:rFonts w:ascii="宋体" w:hAnsi="宋体" w:cs="宋体"/>
                <w:szCs w:val="21"/>
              </w:rPr>
            </w:pPr>
            <w:r>
              <w:rPr>
                <w:rFonts w:hint="eastAsia" w:ascii="宋体" w:hAnsi="宋体" w:cs="宋体"/>
                <w:szCs w:val="21"/>
              </w:rPr>
              <w:t>（2）以U盘存储的电子备份投标文件（含资格文件、商务技术文件、报价文件）1份。（电子备份投标文件不作实质性要求，是否提交由投标人自行决定，用于异常情况处理）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810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rFonts w:ascii="宋体" w:hAnsi="宋体" w:cs="宋体"/>
                <w:szCs w:val="21"/>
              </w:rPr>
            </w:pPr>
            <w:r>
              <w:rPr>
                <w:rFonts w:hint="eastAsia" w:ascii="宋体" w:hAnsi="宋体" w:cs="宋体"/>
                <w:szCs w:val="21"/>
              </w:rPr>
              <w:t>评标结果公示：评标结束后，评标结果公示网站详见《第一章 公开招标公告》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810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rFonts w:ascii="宋体" w:hAnsi="宋体" w:cs="宋体"/>
                <w:szCs w:val="21"/>
              </w:rPr>
            </w:pPr>
            <w:r>
              <w:rPr>
                <w:rFonts w:hint="eastAsia" w:ascii="宋体" w:hAnsi="宋体" w:cs="宋体"/>
                <w:szCs w:val="21"/>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default" w:ascii="宋体" w:hAnsi="宋体" w:cs="宋体"/>
                <w:szCs w:val="21"/>
                <w:lang w:val="en-US" w:eastAsia="zh-CN"/>
              </w:rPr>
            </w:pPr>
            <w:r>
              <w:rPr>
                <w:rFonts w:hint="eastAsia" w:ascii="宋体" w:hAnsi="宋体" w:cs="宋体"/>
                <w:szCs w:val="21"/>
                <w:lang w:val="en-US" w:eastAsia="zh-CN"/>
              </w:rPr>
              <w:t>7</w:t>
            </w:r>
          </w:p>
        </w:tc>
        <w:tc>
          <w:tcPr>
            <w:tcW w:w="810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rFonts w:hint="eastAsia" w:ascii="宋体" w:hAnsi="宋体" w:cs="宋体"/>
                <w:szCs w:val="21"/>
              </w:rPr>
            </w:pPr>
            <w:r>
              <w:rPr>
                <w:rFonts w:hint="eastAsia" w:ascii="宋体" w:hAnsi="宋体" w:cs="宋体"/>
                <w:color w:val="000000"/>
                <w:szCs w:val="21"/>
                <w:highlight w:val="none"/>
              </w:rPr>
              <w:t>履约保证金的金额：</w:t>
            </w:r>
            <w:r>
              <w:rPr>
                <w:rFonts w:hint="eastAsia" w:ascii="宋体" w:hAnsi="宋体" w:cs="宋体"/>
                <w:color w:val="000000"/>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810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rFonts w:ascii="宋体" w:hAnsi="宋体" w:cs="宋体"/>
                <w:szCs w:val="21"/>
              </w:rPr>
            </w:pPr>
            <w:r>
              <w:rPr>
                <w:rFonts w:hint="eastAsia" w:ascii="宋体" w:hAnsi="宋体" w:cs="宋体"/>
                <w:szCs w:val="21"/>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szCs w:val="21"/>
                <w:lang w:eastAsia="zh-CN"/>
              </w:rPr>
            </w:pPr>
            <w:r>
              <w:rPr>
                <w:rFonts w:hint="eastAsia" w:ascii="宋体" w:hAnsi="宋体" w:cs="宋体"/>
                <w:szCs w:val="21"/>
              </w:rPr>
              <w:t>★</w:t>
            </w:r>
            <w:r>
              <w:rPr>
                <w:rFonts w:hint="eastAsia" w:ascii="宋体" w:hAnsi="宋体" w:cs="宋体"/>
                <w:szCs w:val="21"/>
                <w:lang w:val="en-US" w:eastAsia="zh-CN"/>
              </w:rPr>
              <w:t>9</w:t>
            </w:r>
          </w:p>
        </w:tc>
        <w:tc>
          <w:tcPr>
            <w:tcW w:w="8107"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zCs w:val="21"/>
              </w:rPr>
            </w:pPr>
            <w:r>
              <w:rPr>
                <w:rFonts w:hint="eastAsia" w:ascii="宋体" w:hAnsi="宋体" w:cs="宋体"/>
                <w:szCs w:val="21"/>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885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jc w:val="left"/>
              <w:textAlignment w:val="bottom"/>
              <w:rPr>
                <w:rFonts w:ascii="宋体" w:hAnsi="宋体" w:cs="宋体"/>
                <w:b/>
                <w:bCs/>
                <w:szCs w:val="21"/>
              </w:rPr>
            </w:pPr>
            <w:r>
              <w:rPr>
                <w:rFonts w:hint="eastAsia" w:ascii="宋体" w:hAnsi="宋体" w:cs="宋体"/>
                <w:b/>
                <w:bCs/>
                <w:szCs w:val="21"/>
              </w:rPr>
              <w:t>解释：本</w:t>
            </w:r>
            <w:r>
              <w:rPr>
                <w:rFonts w:hint="eastAsia" w:ascii="宋体" w:hAnsi="宋体" w:cs="宋体"/>
                <w:b/>
                <w:bCs/>
                <w:szCs w:val="21"/>
                <w:lang w:eastAsia="zh-CN"/>
              </w:rPr>
              <w:t>采购文件</w:t>
            </w:r>
            <w:r>
              <w:rPr>
                <w:rFonts w:hint="eastAsia" w:ascii="宋体" w:hAnsi="宋体" w:cs="宋体"/>
                <w:b/>
                <w:bCs/>
                <w:szCs w:val="21"/>
              </w:rPr>
              <w:t>的解释权属于招标采购单位。</w:t>
            </w:r>
          </w:p>
        </w:tc>
      </w:tr>
    </w:tbl>
    <w:p>
      <w:pPr>
        <w:pStyle w:val="28"/>
        <w:snapToGrid w:val="0"/>
        <w:spacing w:before="0" w:beforeLines="0" w:after="0" w:afterLines="0" w:line="360" w:lineRule="auto"/>
        <w:rPr>
          <w:rFonts w:hint="default" w:hAnsi="宋体" w:cs="宋体"/>
          <w:b/>
        </w:rPr>
      </w:pPr>
    </w:p>
    <w:p>
      <w:pPr>
        <w:pStyle w:val="28"/>
        <w:snapToGrid w:val="0"/>
        <w:spacing w:before="0" w:beforeLines="0" w:after="0" w:afterLines="0" w:line="360" w:lineRule="auto"/>
        <w:rPr>
          <w:rFonts w:hint="default" w:hAnsi="宋体" w:cs="宋体"/>
          <w:b/>
        </w:rPr>
      </w:pPr>
    </w:p>
    <w:p>
      <w:pPr>
        <w:pStyle w:val="28"/>
        <w:snapToGrid w:val="0"/>
        <w:spacing w:before="0" w:beforeLines="0" w:after="0" w:afterLines="0" w:line="360" w:lineRule="auto"/>
        <w:rPr>
          <w:rFonts w:hint="default" w:hAnsi="宋体" w:cs="宋体"/>
          <w:b/>
        </w:rPr>
      </w:pPr>
    </w:p>
    <w:p>
      <w:pPr>
        <w:pStyle w:val="28"/>
        <w:snapToGrid w:val="0"/>
        <w:spacing w:before="0" w:beforeLines="0" w:after="0" w:afterLines="0" w:line="360" w:lineRule="auto"/>
        <w:rPr>
          <w:rFonts w:hint="default" w:hAnsi="宋体" w:cs="宋体"/>
          <w:b/>
        </w:rPr>
      </w:pPr>
    </w:p>
    <w:p>
      <w:pPr>
        <w:pStyle w:val="28"/>
        <w:snapToGrid w:val="0"/>
        <w:spacing w:before="0" w:beforeLines="0" w:after="0" w:afterLines="0" w:line="360" w:lineRule="auto"/>
        <w:rPr>
          <w:rFonts w:hint="default" w:hAnsi="宋体" w:cs="宋体"/>
          <w:b/>
        </w:rPr>
      </w:pPr>
    </w:p>
    <w:p>
      <w:pPr>
        <w:pStyle w:val="28"/>
        <w:snapToGrid w:val="0"/>
        <w:spacing w:before="0" w:beforeLines="0" w:after="0" w:afterLines="0" w:line="360" w:lineRule="auto"/>
        <w:rPr>
          <w:rFonts w:hint="default" w:hAnsi="宋体" w:cs="宋体"/>
          <w:b/>
        </w:rPr>
      </w:pPr>
    </w:p>
    <w:p>
      <w:pPr>
        <w:pStyle w:val="28"/>
        <w:snapToGrid w:val="0"/>
        <w:spacing w:before="0" w:beforeLines="0" w:after="0" w:afterLines="0" w:line="360" w:lineRule="auto"/>
        <w:rPr>
          <w:rFonts w:hint="default" w:hAnsi="宋体" w:cs="宋体"/>
          <w:b/>
        </w:rPr>
      </w:pPr>
    </w:p>
    <w:p>
      <w:pPr>
        <w:pStyle w:val="28"/>
        <w:snapToGrid w:val="0"/>
        <w:spacing w:before="0" w:beforeLines="0" w:after="0" w:afterLines="0" w:line="360" w:lineRule="auto"/>
        <w:rPr>
          <w:rFonts w:hint="default" w:hAnsi="宋体" w:cs="宋体"/>
          <w:b/>
        </w:rPr>
      </w:pPr>
    </w:p>
    <w:p>
      <w:pPr>
        <w:pStyle w:val="28"/>
        <w:snapToGrid w:val="0"/>
        <w:spacing w:before="0" w:beforeLines="0" w:after="0" w:afterLines="0" w:line="360" w:lineRule="auto"/>
        <w:rPr>
          <w:rFonts w:hint="default" w:hAnsi="宋体" w:cs="宋体"/>
          <w:b/>
        </w:rPr>
      </w:pPr>
    </w:p>
    <w:p>
      <w:pPr>
        <w:pStyle w:val="28"/>
        <w:snapToGrid w:val="0"/>
        <w:spacing w:before="0" w:beforeLines="0" w:after="0" w:afterLines="0" w:line="360" w:lineRule="auto"/>
        <w:rPr>
          <w:rFonts w:hint="default" w:hAnsi="宋体" w:cs="宋体"/>
          <w:b/>
        </w:rPr>
      </w:pPr>
    </w:p>
    <w:p>
      <w:pPr>
        <w:pStyle w:val="28"/>
        <w:snapToGrid w:val="0"/>
        <w:spacing w:before="0" w:beforeLines="0" w:after="0" w:afterLines="0" w:line="360" w:lineRule="auto"/>
        <w:rPr>
          <w:rFonts w:hint="default" w:hAnsi="宋体" w:cs="宋体"/>
          <w:b/>
        </w:rPr>
      </w:pPr>
    </w:p>
    <w:p>
      <w:pPr>
        <w:pStyle w:val="28"/>
        <w:snapToGrid w:val="0"/>
        <w:spacing w:before="0" w:beforeLines="0" w:after="0" w:afterLines="0" w:line="360" w:lineRule="auto"/>
        <w:rPr>
          <w:rFonts w:hint="default" w:hAnsi="宋体" w:cs="宋体"/>
          <w:b/>
        </w:rPr>
      </w:pPr>
    </w:p>
    <w:p>
      <w:pPr>
        <w:pStyle w:val="28"/>
        <w:snapToGrid w:val="0"/>
        <w:spacing w:before="0" w:beforeLines="0" w:after="0" w:afterLines="0" w:line="360" w:lineRule="auto"/>
        <w:rPr>
          <w:rFonts w:hint="default" w:hAnsi="宋体" w:cs="宋体"/>
          <w:b/>
        </w:rPr>
      </w:pPr>
    </w:p>
    <w:p>
      <w:pPr>
        <w:pStyle w:val="28"/>
        <w:snapToGrid w:val="0"/>
        <w:spacing w:before="0" w:beforeLines="0" w:after="0" w:afterLines="0" w:line="360" w:lineRule="auto"/>
        <w:rPr>
          <w:rFonts w:hint="default" w:hAnsi="宋体" w:cs="宋体"/>
          <w:b/>
        </w:rPr>
      </w:pPr>
    </w:p>
    <w:p>
      <w:pPr>
        <w:pStyle w:val="28"/>
        <w:snapToGrid w:val="0"/>
        <w:spacing w:before="0" w:beforeLines="0" w:after="0" w:afterLines="0" w:line="360" w:lineRule="auto"/>
        <w:rPr>
          <w:rFonts w:hint="default" w:hAnsi="宋体" w:cs="宋体"/>
          <w:b/>
        </w:rPr>
      </w:pPr>
    </w:p>
    <w:p>
      <w:pPr>
        <w:pStyle w:val="28"/>
        <w:snapToGrid w:val="0"/>
        <w:spacing w:before="0" w:beforeLines="0" w:after="0" w:afterLines="0" w:line="360" w:lineRule="auto"/>
        <w:rPr>
          <w:rFonts w:hint="default" w:hAnsi="宋体" w:cs="宋体"/>
          <w:b/>
        </w:rPr>
      </w:pPr>
    </w:p>
    <w:p>
      <w:pPr>
        <w:pStyle w:val="28"/>
        <w:snapToGrid w:val="0"/>
        <w:spacing w:before="0" w:beforeLines="0" w:after="0" w:afterLines="0" w:line="360" w:lineRule="auto"/>
        <w:rPr>
          <w:rFonts w:hint="default" w:hAnsi="宋体" w:cs="宋体"/>
          <w:b/>
        </w:rPr>
      </w:pPr>
    </w:p>
    <w:p>
      <w:pPr>
        <w:pStyle w:val="28"/>
        <w:snapToGrid w:val="0"/>
        <w:spacing w:before="0" w:beforeLines="0" w:after="0" w:afterLines="0" w:line="360" w:lineRule="auto"/>
        <w:rPr>
          <w:rFonts w:hint="default" w:hAnsi="宋体" w:cs="宋体"/>
          <w:b/>
        </w:rPr>
      </w:pPr>
    </w:p>
    <w:p>
      <w:pPr>
        <w:pStyle w:val="28"/>
        <w:snapToGrid w:val="0"/>
        <w:spacing w:before="0" w:beforeLines="0" w:after="0" w:afterLines="0" w:line="360" w:lineRule="auto"/>
        <w:rPr>
          <w:rFonts w:hint="default" w:hAnsi="宋体" w:cs="宋体"/>
          <w:b/>
        </w:rPr>
      </w:pPr>
    </w:p>
    <w:p>
      <w:pPr>
        <w:pStyle w:val="28"/>
        <w:snapToGrid w:val="0"/>
        <w:spacing w:before="0" w:beforeLines="0" w:after="0" w:afterLines="0" w:line="360" w:lineRule="auto"/>
        <w:rPr>
          <w:rFonts w:hint="default" w:hAnsi="宋体" w:cs="宋体"/>
          <w:b/>
        </w:rPr>
      </w:pPr>
    </w:p>
    <w:p>
      <w:pPr>
        <w:pStyle w:val="28"/>
        <w:snapToGrid w:val="0"/>
        <w:spacing w:before="0" w:beforeLines="0" w:after="0" w:afterLines="0" w:line="360" w:lineRule="auto"/>
        <w:rPr>
          <w:rFonts w:hint="default" w:hAnsi="宋体" w:cs="宋体"/>
          <w:b/>
        </w:rPr>
      </w:pPr>
    </w:p>
    <w:p>
      <w:pPr>
        <w:pStyle w:val="28"/>
        <w:snapToGrid w:val="0"/>
        <w:spacing w:before="0" w:beforeLines="0" w:after="0" w:afterLines="0" w:line="360" w:lineRule="auto"/>
        <w:rPr>
          <w:rFonts w:hint="default" w:hAnsi="宋体" w:cs="宋体"/>
          <w:b/>
        </w:rPr>
      </w:pPr>
    </w:p>
    <w:p>
      <w:pPr>
        <w:pStyle w:val="28"/>
        <w:snapToGrid w:val="0"/>
        <w:spacing w:before="0" w:beforeLines="0" w:after="0" w:afterLines="0" w:line="360" w:lineRule="auto"/>
        <w:rPr>
          <w:rFonts w:hint="default" w:hAnsi="宋体" w:cs="宋体"/>
          <w:b/>
        </w:rPr>
      </w:pPr>
    </w:p>
    <w:p>
      <w:pPr>
        <w:pStyle w:val="28"/>
        <w:snapToGrid w:val="0"/>
        <w:spacing w:before="0" w:beforeLines="0" w:after="0" w:afterLines="0" w:line="360" w:lineRule="auto"/>
        <w:rPr>
          <w:rFonts w:hint="default" w:hAnsi="宋体" w:cs="宋体"/>
          <w:b/>
        </w:rPr>
      </w:pPr>
    </w:p>
    <w:p>
      <w:pPr>
        <w:pStyle w:val="28"/>
        <w:snapToGrid w:val="0"/>
        <w:spacing w:before="0" w:beforeLines="0" w:after="0" w:afterLines="0" w:line="360" w:lineRule="auto"/>
        <w:rPr>
          <w:rFonts w:hint="default" w:hAnsi="宋体" w:cs="宋体"/>
          <w:b/>
        </w:rPr>
      </w:pPr>
    </w:p>
    <w:p>
      <w:pPr>
        <w:pStyle w:val="28"/>
        <w:snapToGrid w:val="0"/>
        <w:spacing w:before="0" w:beforeLines="0" w:after="0" w:afterLines="0" w:line="360" w:lineRule="auto"/>
        <w:rPr>
          <w:rFonts w:hint="default" w:hAnsi="宋体" w:cs="宋体"/>
          <w:b/>
        </w:rPr>
      </w:pPr>
      <w:r>
        <w:rPr>
          <w:rFonts w:hAnsi="宋体" w:cs="宋体"/>
          <w:b/>
        </w:rPr>
        <w:t>一   总  则</w:t>
      </w:r>
    </w:p>
    <w:p>
      <w:pPr>
        <w:snapToGrid w:val="0"/>
        <w:spacing w:line="360" w:lineRule="auto"/>
        <w:ind w:firstLine="413" w:firstLineChars="196"/>
        <w:jc w:val="left"/>
        <w:rPr>
          <w:rFonts w:ascii="宋体" w:hAnsi="宋体" w:cs="宋体"/>
          <w:b/>
          <w:szCs w:val="21"/>
        </w:rPr>
      </w:pPr>
      <w:bookmarkStart w:id="57" w:name="_Toc1476"/>
      <w:r>
        <w:rPr>
          <w:rFonts w:hint="eastAsia" w:ascii="宋体" w:hAnsi="宋体" w:cs="宋体"/>
          <w:b/>
          <w:szCs w:val="21"/>
        </w:rPr>
        <w:t>（一） 适用范围</w:t>
      </w:r>
      <w:bookmarkEnd w:id="57"/>
    </w:p>
    <w:p>
      <w:pPr>
        <w:snapToGrid w:val="0"/>
        <w:spacing w:line="360" w:lineRule="auto"/>
        <w:ind w:firstLine="420" w:firstLineChars="200"/>
        <w:jc w:val="left"/>
        <w:rPr>
          <w:rFonts w:ascii="宋体" w:hAnsi="宋体" w:cs="宋体"/>
          <w:szCs w:val="21"/>
        </w:rPr>
      </w:pPr>
      <w:r>
        <w:rPr>
          <w:rFonts w:hint="eastAsia" w:ascii="宋体" w:hAnsi="宋体" w:cs="宋体"/>
          <w:szCs w:val="21"/>
        </w:rPr>
        <w:t>本</w:t>
      </w:r>
      <w:r>
        <w:rPr>
          <w:rFonts w:hint="eastAsia" w:ascii="宋体" w:hAnsi="宋体" w:cs="宋体"/>
          <w:szCs w:val="21"/>
          <w:lang w:eastAsia="zh-CN"/>
        </w:rPr>
        <w:t>采购文件</w:t>
      </w:r>
      <w:r>
        <w:rPr>
          <w:rFonts w:hint="eastAsia" w:ascii="宋体" w:hAnsi="宋体" w:cs="宋体"/>
          <w:szCs w:val="21"/>
        </w:rPr>
        <w:t>适用于本项目的招标、投标、评标、定标、验收、合同履约、付款等行为（法律、法规另有规定的，从其规定）。</w:t>
      </w:r>
      <w:r>
        <w:rPr>
          <w:rFonts w:hint="eastAsia" w:ascii="宋体" w:hAnsi="宋体" w:cs="Arial"/>
          <w:szCs w:val="21"/>
        </w:rPr>
        <w:t>除非另有规定和说明，本须知中的“供应商”一词亦指联合体各方。</w:t>
      </w:r>
    </w:p>
    <w:p>
      <w:pPr>
        <w:snapToGrid w:val="0"/>
        <w:spacing w:line="360" w:lineRule="auto"/>
        <w:ind w:firstLine="310" w:firstLineChars="147"/>
        <w:jc w:val="left"/>
        <w:rPr>
          <w:rFonts w:ascii="宋体" w:hAnsi="宋体" w:cs="宋体"/>
          <w:b/>
          <w:szCs w:val="21"/>
        </w:rPr>
      </w:pPr>
      <w:bookmarkStart w:id="58" w:name="_Toc7571"/>
      <w:r>
        <w:rPr>
          <w:rFonts w:hint="eastAsia" w:ascii="宋体" w:hAnsi="宋体" w:cs="宋体"/>
          <w:b/>
          <w:szCs w:val="21"/>
        </w:rPr>
        <w:t>（二）定义</w:t>
      </w:r>
      <w:bookmarkEnd w:id="58"/>
    </w:p>
    <w:p>
      <w:pPr>
        <w:snapToGrid w:val="0"/>
        <w:spacing w:line="360" w:lineRule="auto"/>
        <w:ind w:firstLine="420" w:firstLineChars="200"/>
        <w:jc w:val="left"/>
        <w:rPr>
          <w:rFonts w:ascii="宋体" w:hAnsi="宋体" w:cs="宋体"/>
          <w:szCs w:val="21"/>
        </w:rPr>
      </w:pPr>
      <w:r>
        <w:rPr>
          <w:rFonts w:hint="eastAsia" w:ascii="宋体" w:hAnsi="宋体" w:cs="宋体"/>
          <w:szCs w:val="21"/>
        </w:rPr>
        <w:t>1.“招标采购单位”系指组织本次招标的采购代理机构和采购人。</w:t>
      </w:r>
    </w:p>
    <w:p>
      <w:pPr>
        <w:snapToGrid w:val="0"/>
        <w:spacing w:line="360" w:lineRule="auto"/>
        <w:ind w:firstLine="420" w:firstLineChars="200"/>
        <w:jc w:val="left"/>
        <w:rPr>
          <w:rFonts w:ascii="宋体" w:hAnsi="宋体" w:cs="宋体"/>
          <w:szCs w:val="21"/>
        </w:rPr>
      </w:pPr>
      <w:r>
        <w:rPr>
          <w:rFonts w:hint="eastAsia" w:ascii="宋体" w:hAnsi="宋体" w:cs="宋体"/>
          <w:szCs w:val="21"/>
        </w:rPr>
        <w:t>2.“供应商”系指向采购人提交投标文件的单位或个人。</w:t>
      </w:r>
    </w:p>
    <w:p>
      <w:pPr>
        <w:snapToGrid w:val="0"/>
        <w:spacing w:line="360" w:lineRule="auto"/>
        <w:ind w:firstLine="420" w:firstLineChars="200"/>
        <w:jc w:val="left"/>
        <w:rPr>
          <w:rFonts w:ascii="宋体" w:hAnsi="宋体" w:cs="宋体"/>
          <w:szCs w:val="21"/>
        </w:rPr>
      </w:pPr>
      <w:r>
        <w:rPr>
          <w:rFonts w:hint="eastAsia" w:ascii="宋体" w:hAnsi="宋体" w:cs="宋体"/>
          <w:szCs w:val="21"/>
        </w:rPr>
        <w:t>3.“产品”系指供应商按</w:t>
      </w:r>
      <w:r>
        <w:rPr>
          <w:rFonts w:hint="eastAsia" w:ascii="宋体" w:hAnsi="宋体" w:cs="宋体"/>
          <w:szCs w:val="21"/>
          <w:lang w:eastAsia="zh-CN"/>
        </w:rPr>
        <w:t>采购文件</w:t>
      </w:r>
      <w:r>
        <w:rPr>
          <w:rFonts w:hint="eastAsia" w:ascii="宋体" w:hAnsi="宋体" w:cs="宋体"/>
          <w:szCs w:val="21"/>
        </w:rPr>
        <w:t>规定，须向采购人提供的一切设备、保险、税金、备品备件、工具、手册及其它有关技术资料和材料。</w:t>
      </w:r>
    </w:p>
    <w:p>
      <w:pPr>
        <w:snapToGrid w:val="0"/>
        <w:spacing w:line="360" w:lineRule="auto"/>
        <w:ind w:firstLine="420" w:firstLineChars="200"/>
        <w:jc w:val="left"/>
        <w:rPr>
          <w:rFonts w:ascii="宋体" w:hAnsi="宋体" w:cs="宋体"/>
          <w:szCs w:val="21"/>
        </w:rPr>
      </w:pPr>
      <w:r>
        <w:rPr>
          <w:rFonts w:hint="eastAsia" w:ascii="宋体" w:hAnsi="宋体" w:cs="宋体"/>
          <w:szCs w:val="21"/>
        </w:rPr>
        <w:t>4.“服务”系指</w:t>
      </w:r>
      <w:r>
        <w:rPr>
          <w:rFonts w:hint="eastAsia" w:ascii="宋体" w:hAnsi="宋体" w:cs="宋体"/>
          <w:szCs w:val="21"/>
          <w:lang w:eastAsia="zh-CN"/>
        </w:rPr>
        <w:t>采购文件</w:t>
      </w:r>
      <w:r>
        <w:rPr>
          <w:rFonts w:hint="eastAsia" w:ascii="宋体" w:hAnsi="宋体" w:cs="宋体"/>
          <w:szCs w:val="21"/>
        </w:rPr>
        <w:t>规定供应商须承担的安装、调试、技术协助、校准、培训、技术指导以及其他类似的义务。</w:t>
      </w:r>
    </w:p>
    <w:p>
      <w:pPr>
        <w:snapToGrid w:val="0"/>
        <w:spacing w:line="360" w:lineRule="auto"/>
        <w:ind w:firstLine="420" w:firstLineChars="200"/>
        <w:jc w:val="left"/>
        <w:rPr>
          <w:rFonts w:ascii="宋体" w:hAnsi="宋体" w:cs="宋体"/>
          <w:szCs w:val="21"/>
        </w:rPr>
      </w:pPr>
      <w:r>
        <w:rPr>
          <w:rFonts w:hint="eastAsia" w:ascii="宋体" w:hAnsi="宋体" w:cs="宋体"/>
          <w:szCs w:val="21"/>
        </w:rPr>
        <w:t>5.“项目”系指供应商按</w:t>
      </w:r>
      <w:r>
        <w:rPr>
          <w:rFonts w:hint="eastAsia" w:ascii="宋体" w:hAnsi="宋体" w:cs="宋体"/>
          <w:szCs w:val="21"/>
          <w:lang w:eastAsia="zh-CN"/>
        </w:rPr>
        <w:t>采购文件</w:t>
      </w:r>
      <w:r>
        <w:rPr>
          <w:rFonts w:hint="eastAsia" w:ascii="宋体" w:hAnsi="宋体" w:cs="宋体"/>
          <w:szCs w:val="21"/>
        </w:rPr>
        <w:t>规定向采购人提供的产品和服务。</w:t>
      </w:r>
    </w:p>
    <w:p>
      <w:pPr>
        <w:snapToGrid w:val="0"/>
        <w:spacing w:line="360" w:lineRule="auto"/>
        <w:ind w:firstLine="420" w:firstLineChars="200"/>
        <w:jc w:val="left"/>
        <w:rPr>
          <w:rFonts w:ascii="宋体" w:hAnsi="宋体" w:cs="宋体"/>
          <w:szCs w:val="21"/>
        </w:rPr>
      </w:pPr>
      <w:bookmarkStart w:id="59" w:name="_Toc20685"/>
      <w:r>
        <w:rPr>
          <w:rFonts w:hint="eastAsia" w:ascii="宋体" w:hAnsi="宋体" w:cs="宋体"/>
          <w:szCs w:val="21"/>
        </w:rPr>
        <w:t>6、“书面形式”包括信函、传真、电函等。</w:t>
      </w:r>
    </w:p>
    <w:p>
      <w:pPr>
        <w:snapToGrid w:val="0"/>
        <w:spacing w:line="360" w:lineRule="auto"/>
        <w:ind w:firstLine="420" w:firstLineChars="200"/>
        <w:jc w:val="left"/>
        <w:rPr>
          <w:rFonts w:ascii="宋体" w:hAnsi="宋体" w:cs="宋体"/>
          <w:szCs w:val="21"/>
        </w:rPr>
      </w:pPr>
      <w:r>
        <w:rPr>
          <w:rFonts w:hint="eastAsia" w:ascii="宋体" w:hAnsi="宋体" w:cs="宋体"/>
          <w:szCs w:val="21"/>
        </w:rPr>
        <w:t>7、“★”系指实质性要求条款，供应商的投标对任何带“★”号的重要商务和技术条款的偏离和未作实质性响应都将直接导致投标无效。</w:t>
      </w:r>
    </w:p>
    <w:p>
      <w:pPr>
        <w:snapToGrid w:val="0"/>
        <w:spacing w:line="360" w:lineRule="auto"/>
        <w:ind w:firstLine="413" w:firstLineChars="196"/>
        <w:jc w:val="left"/>
        <w:rPr>
          <w:rFonts w:ascii="宋体" w:hAnsi="宋体" w:cs="宋体"/>
          <w:b/>
          <w:szCs w:val="21"/>
        </w:rPr>
      </w:pPr>
      <w:r>
        <w:rPr>
          <w:rFonts w:hint="eastAsia" w:ascii="宋体" w:hAnsi="宋体" w:cs="宋体"/>
          <w:b/>
          <w:szCs w:val="21"/>
        </w:rPr>
        <w:t>（三）招标方式</w:t>
      </w:r>
      <w:bookmarkEnd w:id="59"/>
    </w:p>
    <w:p>
      <w:pPr>
        <w:snapToGrid w:val="0"/>
        <w:spacing w:line="360" w:lineRule="auto"/>
        <w:ind w:firstLine="420" w:firstLineChars="200"/>
        <w:jc w:val="left"/>
        <w:rPr>
          <w:rFonts w:ascii="宋体" w:hAnsi="宋体" w:cs="宋体"/>
          <w:szCs w:val="21"/>
        </w:rPr>
      </w:pPr>
      <w:r>
        <w:rPr>
          <w:rFonts w:hint="eastAsia" w:ascii="宋体" w:hAnsi="宋体" w:cs="宋体"/>
          <w:szCs w:val="21"/>
        </w:rPr>
        <w:t>本次招标采用公开招标方式进行。</w:t>
      </w:r>
    </w:p>
    <w:p>
      <w:pPr>
        <w:snapToGrid w:val="0"/>
        <w:spacing w:line="360" w:lineRule="auto"/>
        <w:ind w:firstLine="413" w:firstLineChars="196"/>
        <w:jc w:val="left"/>
        <w:rPr>
          <w:rFonts w:ascii="宋体" w:hAnsi="宋体" w:cs="宋体"/>
          <w:b/>
          <w:szCs w:val="21"/>
        </w:rPr>
      </w:pPr>
      <w:bookmarkStart w:id="60" w:name="_Toc21721"/>
      <w:bookmarkStart w:id="61" w:name="_Toc1659"/>
      <w:r>
        <w:rPr>
          <w:rFonts w:hint="eastAsia" w:ascii="宋体" w:hAnsi="宋体" w:cs="宋体"/>
          <w:b/>
          <w:szCs w:val="21"/>
        </w:rPr>
        <w:t>（四）投标委托</w:t>
      </w:r>
      <w:bookmarkEnd w:id="60"/>
    </w:p>
    <w:p>
      <w:pPr>
        <w:snapToGrid w:val="0"/>
        <w:spacing w:line="360" w:lineRule="auto"/>
        <w:ind w:firstLine="420" w:firstLineChars="200"/>
        <w:jc w:val="left"/>
        <w:rPr>
          <w:rFonts w:ascii="宋体" w:hAnsi="宋体" w:cs="宋体"/>
          <w:szCs w:val="21"/>
        </w:rPr>
      </w:pPr>
      <w:r>
        <w:rPr>
          <w:rFonts w:hint="eastAsia" w:ascii="宋体" w:hAnsi="宋体" w:cs="宋体"/>
          <w:szCs w:val="21"/>
        </w:rPr>
        <w:t>如供应商派授权代表出席开标会议，授权代表须携带有效身份证件。如供应商代表不是法定代表人，须有法定代表人出具的授权委托书（格式见第六章）。</w:t>
      </w:r>
    </w:p>
    <w:p>
      <w:pPr>
        <w:snapToGrid w:val="0"/>
        <w:spacing w:line="360" w:lineRule="auto"/>
        <w:ind w:firstLine="413" w:firstLineChars="196"/>
        <w:jc w:val="left"/>
        <w:rPr>
          <w:rFonts w:ascii="宋体" w:hAnsi="宋体" w:cs="宋体"/>
          <w:b/>
          <w:szCs w:val="21"/>
        </w:rPr>
      </w:pPr>
      <w:r>
        <w:rPr>
          <w:rFonts w:hint="eastAsia" w:ascii="宋体" w:hAnsi="宋体" w:cs="宋体"/>
          <w:b/>
          <w:szCs w:val="21"/>
        </w:rPr>
        <w:t>（五）投标费用</w:t>
      </w:r>
      <w:bookmarkEnd w:id="61"/>
    </w:p>
    <w:p>
      <w:pPr>
        <w:snapToGrid w:val="0"/>
        <w:spacing w:line="360" w:lineRule="auto"/>
        <w:ind w:firstLine="420" w:firstLineChars="200"/>
        <w:jc w:val="left"/>
        <w:rPr>
          <w:rFonts w:ascii="宋体" w:hAnsi="宋体" w:cs="宋体"/>
          <w:szCs w:val="21"/>
        </w:rPr>
      </w:pPr>
      <w:r>
        <w:rPr>
          <w:rFonts w:hint="eastAsia" w:ascii="宋体" w:hAnsi="宋体" w:cs="宋体"/>
          <w:szCs w:val="21"/>
        </w:rPr>
        <w:t>不论投标结果如何，供应商均应自行承担所有与投标有关的全部费用（</w:t>
      </w:r>
      <w:r>
        <w:rPr>
          <w:rFonts w:hint="eastAsia" w:ascii="宋体" w:hAnsi="宋体" w:cs="宋体"/>
          <w:szCs w:val="21"/>
          <w:lang w:eastAsia="zh-CN"/>
        </w:rPr>
        <w:t>采购文件</w:t>
      </w:r>
      <w:r>
        <w:rPr>
          <w:rFonts w:hint="eastAsia" w:ascii="宋体" w:hAnsi="宋体" w:cs="宋体"/>
          <w:szCs w:val="21"/>
        </w:rPr>
        <w:t>有其他规定除外）。</w:t>
      </w:r>
    </w:p>
    <w:p>
      <w:pPr>
        <w:snapToGrid w:val="0"/>
        <w:spacing w:line="360" w:lineRule="auto"/>
        <w:ind w:firstLine="413" w:firstLineChars="196"/>
        <w:jc w:val="left"/>
        <w:rPr>
          <w:rFonts w:ascii="宋体" w:hAnsi="宋体" w:cs="宋体"/>
          <w:b/>
          <w:szCs w:val="21"/>
        </w:rPr>
      </w:pPr>
      <w:r>
        <w:rPr>
          <w:rFonts w:hint="eastAsia" w:ascii="宋体" w:hAnsi="宋体" w:cs="宋体"/>
          <w:b/>
          <w:szCs w:val="21"/>
        </w:rPr>
        <w:t>（六）联合体投标</w:t>
      </w:r>
    </w:p>
    <w:p>
      <w:pPr>
        <w:snapToGrid w:val="0"/>
        <w:spacing w:line="360" w:lineRule="auto"/>
        <w:ind w:firstLine="420" w:firstLineChars="200"/>
        <w:jc w:val="left"/>
        <w:rPr>
          <w:rFonts w:ascii="宋体" w:hAnsi="宋体" w:cs="宋体"/>
          <w:szCs w:val="21"/>
        </w:rPr>
      </w:pPr>
      <w:r>
        <w:rPr>
          <w:rFonts w:hint="eastAsia" w:ascii="宋体" w:hAnsi="宋体" w:cs="宋体"/>
          <w:szCs w:val="21"/>
        </w:rPr>
        <w:t>本项目不允许联合体投标。</w:t>
      </w:r>
    </w:p>
    <w:p>
      <w:pPr>
        <w:snapToGrid w:val="0"/>
        <w:spacing w:line="360" w:lineRule="auto"/>
        <w:ind w:firstLine="413" w:firstLineChars="196"/>
        <w:rPr>
          <w:rFonts w:ascii="宋体" w:hAnsi="宋体" w:cs="宋体"/>
          <w:b/>
          <w:kern w:val="0"/>
          <w:szCs w:val="21"/>
        </w:rPr>
      </w:pPr>
      <w:r>
        <w:rPr>
          <w:rFonts w:hint="eastAsia" w:ascii="宋体" w:hAnsi="宋体" w:cs="宋体"/>
          <w:b/>
          <w:szCs w:val="21"/>
        </w:rPr>
        <w:t>（七）</w:t>
      </w:r>
      <w:r>
        <w:rPr>
          <w:rFonts w:hint="eastAsia" w:ascii="宋体" w:hAnsi="宋体" w:cs="宋体"/>
          <w:b/>
          <w:kern w:val="0"/>
          <w:szCs w:val="21"/>
        </w:rPr>
        <w:t>转包与分包</w:t>
      </w:r>
    </w:p>
    <w:p>
      <w:pPr>
        <w:snapToGrid w:val="0"/>
        <w:spacing w:line="360" w:lineRule="auto"/>
        <w:ind w:firstLine="411" w:firstLineChars="196"/>
        <w:rPr>
          <w:rFonts w:ascii="宋体" w:hAnsi="宋体" w:cs="宋体"/>
          <w:b/>
          <w:kern w:val="0"/>
          <w:szCs w:val="21"/>
        </w:rPr>
      </w:pPr>
      <w:r>
        <w:rPr>
          <w:rFonts w:hint="eastAsia" w:ascii="宋体" w:hAnsi="宋体" w:cs="宋体"/>
          <w:bCs/>
        </w:rPr>
        <w:t>本项目不允许转包；</w:t>
      </w:r>
      <w:r>
        <w:rPr>
          <w:rFonts w:hint="eastAsia" w:ascii="宋体" w:hAnsi="宋体" w:cs="宋体"/>
          <w:szCs w:val="21"/>
        </w:rPr>
        <w:t>未经采购人同意，不允许分包。</w:t>
      </w:r>
    </w:p>
    <w:p>
      <w:pPr>
        <w:snapToGrid w:val="0"/>
        <w:spacing w:line="360" w:lineRule="auto"/>
        <w:ind w:firstLine="413" w:firstLineChars="196"/>
        <w:jc w:val="left"/>
        <w:rPr>
          <w:rFonts w:ascii="宋体" w:hAnsi="宋体" w:cs="宋体"/>
          <w:b/>
          <w:szCs w:val="21"/>
        </w:rPr>
      </w:pPr>
      <w:bookmarkStart w:id="62" w:name="_Toc13174"/>
      <w:r>
        <w:rPr>
          <w:rFonts w:hint="eastAsia" w:ascii="宋体" w:hAnsi="宋体" w:cs="宋体"/>
          <w:b/>
          <w:szCs w:val="21"/>
        </w:rPr>
        <w:t>（八）特别说明：</w:t>
      </w:r>
      <w:bookmarkEnd w:id="62"/>
    </w:p>
    <w:p>
      <w:pPr>
        <w:pStyle w:val="28"/>
        <w:snapToGrid w:val="0"/>
        <w:spacing w:before="0" w:beforeLines="0" w:after="0" w:afterLines="0" w:line="360" w:lineRule="auto"/>
        <w:ind w:left="2" w:leftChars="1" w:firstLine="420" w:firstLineChars="200"/>
        <w:rPr>
          <w:rFonts w:hint="default" w:hAnsi="宋体" w:cs="宋体"/>
          <w:bCs/>
        </w:rPr>
      </w:pPr>
      <w:r>
        <w:rPr>
          <w:rFonts w:hAnsi="宋体" w:cs="宋体"/>
          <w:bCs/>
        </w:rPr>
        <w:t>1、提供相同品牌产品且通过资格审查、符合性审查的不同供应商参加同一合同项下投标的，按一家供应商计算。(如适用)</w:t>
      </w:r>
    </w:p>
    <w:p>
      <w:pPr>
        <w:pStyle w:val="28"/>
        <w:snapToGrid w:val="0"/>
        <w:spacing w:before="0" w:beforeLines="0" w:after="0" w:afterLines="0" w:line="360" w:lineRule="auto"/>
        <w:ind w:left="2" w:leftChars="1" w:firstLine="420" w:firstLineChars="200"/>
        <w:rPr>
          <w:rFonts w:hint="default" w:hAnsi="宋体" w:cs="宋体"/>
          <w:bCs/>
        </w:rPr>
      </w:pPr>
      <w:r>
        <w:rPr>
          <w:rFonts w:hAnsi="宋体" w:cs="宋体"/>
          <w:bCs/>
        </w:rPr>
        <w:t>若采用综合评分法进行评审的，评审后得分最高的同品牌供应商获得中标人推荐资格；评审得分相同的，由评标委员会按照</w:t>
      </w:r>
      <w:r>
        <w:rPr>
          <w:rFonts w:hint="eastAsia" w:hAnsi="宋体" w:cs="宋体"/>
          <w:bCs/>
          <w:lang w:eastAsia="zh-CN"/>
        </w:rPr>
        <w:t>采购文件</w:t>
      </w:r>
      <w:r>
        <w:rPr>
          <w:rFonts w:hAnsi="宋体" w:cs="宋体"/>
          <w:bCs/>
        </w:rPr>
        <w:t>规定的方式确定一个供应商获得中标人的推荐资格，</w:t>
      </w:r>
      <w:r>
        <w:rPr>
          <w:rFonts w:hint="eastAsia" w:hAnsi="宋体" w:cs="宋体"/>
          <w:bCs/>
          <w:lang w:eastAsia="zh-CN"/>
        </w:rPr>
        <w:t>采购文件</w:t>
      </w:r>
      <w:r>
        <w:rPr>
          <w:rFonts w:hAnsi="宋体" w:cs="宋体"/>
          <w:bCs/>
        </w:rPr>
        <w:t>未规定的采取随机抽取的方式确定，其他同品牌供应商不作为中标候选人。</w:t>
      </w:r>
    </w:p>
    <w:p>
      <w:pPr>
        <w:pStyle w:val="28"/>
        <w:snapToGrid w:val="0"/>
        <w:spacing w:before="0" w:beforeLines="0" w:after="0" w:afterLines="0" w:line="360" w:lineRule="auto"/>
        <w:ind w:left="2" w:leftChars="1" w:firstLine="420" w:firstLineChars="200"/>
        <w:rPr>
          <w:rFonts w:hint="default" w:hAnsi="宋体" w:cs="宋体"/>
          <w:bCs/>
        </w:rPr>
      </w:pPr>
      <w:r>
        <w:rPr>
          <w:rFonts w:hAnsi="宋体" w:cs="宋体"/>
          <w:bCs/>
        </w:rPr>
        <w:t xml:space="preserve"> 非单一产品采购项目，供应商使用相同制造产品（相同制造产品是指</w:t>
      </w:r>
      <w:r>
        <w:rPr>
          <w:rFonts w:hint="eastAsia" w:hAnsi="宋体" w:cs="宋体"/>
          <w:bCs/>
          <w:lang w:eastAsia="zh-CN"/>
        </w:rPr>
        <w:t>采购文件</w:t>
      </w:r>
      <w:r>
        <w:rPr>
          <w:rFonts w:hAnsi="宋体" w:cs="宋体"/>
          <w:bCs/>
        </w:rPr>
        <w:t>中指定的“核心产品”）作为其项目的一部分，按一家供应商认定。</w:t>
      </w:r>
    </w:p>
    <w:p>
      <w:pPr>
        <w:pStyle w:val="28"/>
        <w:snapToGrid w:val="0"/>
        <w:spacing w:before="0" w:beforeLines="0" w:after="0" w:afterLines="0" w:line="360" w:lineRule="auto"/>
        <w:ind w:left="2" w:leftChars="1" w:firstLine="420" w:firstLineChars="200"/>
        <w:rPr>
          <w:rFonts w:hint="default" w:hAnsi="宋体" w:cs="宋体"/>
          <w:bCs/>
        </w:rPr>
      </w:pPr>
      <w:r>
        <w:rPr>
          <w:rFonts w:hAnsi="宋体" w:cs="宋体"/>
          <w:bCs/>
        </w:rPr>
        <w:t>2、供应商在投标活动中提供任何虚假材料,其投标无效，并报监管部门查处；中标后发现的,中标人须依照相关规定赔偿采购人，且民事赔偿并不免除违法供应商的行政与刑事责任。</w:t>
      </w:r>
    </w:p>
    <w:p>
      <w:pPr>
        <w:pStyle w:val="28"/>
        <w:snapToGrid w:val="0"/>
        <w:spacing w:before="0" w:beforeLines="0" w:after="0" w:afterLines="0" w:line="360" w:lineRule="auto"/>
        <w:ind w:left="2" w:leftChars="1" w:firstLine="420" w:firstLineChars="200"/>
        <w:rPr>
          <w:rFonts w:hint="default" w:hAnsi="宋体" w:cs="宋体"/>
          <w:bCs/>
        </w:rPr>
      </w:pPr>
      <w:r>
        <w:rPr>
          <w:rFonts w:hAnsi="宋体" w:cs="宋体"/>
          <w:bCs/>
        </w:rPr>
        <w:t>3、</w:t>
      </w:r>
      <w:r>
        <w:rPr>
          <w:rFonts w:hint="eastAsia" w:hAnsi="宋体" w:cs="宋体"/>
          <w:bCs/>
          <w:lang w:eastAsia="zh-CN"/>
        </w:rPr>
        <w:t>采购文件</w:t>
      </w:r>
      <w:r>
        <w:rPr>
          <w:rFonts w:hAnsi="宋体" w:cs="宋体"/>
          <w:bCs/>
        </w:rPr>
        <w:t xml:space="preserve">的澄清与修改 </w:t>
      </w:r>
    </w:p>
    <w:p>
      <w:pPr>
        <w:pStyle w:val="28"/>
        <w:snapToGrid w:val="0"/>
        <w:spacing w:before="0" w:beforeLines="0" w:after="0" w:afterLines="0" w:line="360" w:lineRule="auto"/>
        <w:ind w:left="2" w:leftChars="1" w:firstLine="420" w:firstLineChars="200"/>
        <w:rPr>
          <w:rFonts w:hint="default" w:hAnsi="宋体" w:cs="宋体"/>
          <w:bCs/>
        </w:rPr>
      </w:pPr>
      <w:r>
        <w:rPr>
          <w:rFonts w:hAnsi="宋体" w:cs="宋体"/>
          <w:bCs/>
        </w:rPr>
        <w:t>（1）采购人或者采购代理机构对</w:t>
      </w:r>
      <w:r>
        <w:rPr>
          <w:rFonts w:hint="eastAsia" w:hAnsi="宋体" w:cs="宋体"/>
          <w:bCs/>
          <w:lang w:eastAsia="zh-CN"/>
        </w:rPr>
        <w:t>采购文件</w:t>
      </w:r>
      <w:r>
        <w:rPr>
          <w:rFonts w:hAnsi="宋体" w:cs="宋体"/>
          <w:bCs/>
        </w:rPr>
        <w:t>进行必要的澄清或者修改的，澄清或者修改在原公告发布媒体上发布澄清公告。澄清或者修改的内容可能影响投标文件编制的，澄清公告</w:t>
      </w:r>
      <w:r>
        <w:rPr>
          <w:rFonts w:hAnsi="宋体" w:cs="宋体"/>
          <w:kern w:val="1"/>
        </w:rPr>
        <w:t>在投标截止时间至少15日前发出；</w:t>
      </w:r>
      <w:r>
        <w:rPr>
          <w:rFonts w:hAnsi="宋体" w:cs="宋体"/>
          <w:bCs/>
        </w:rPr>
        <w:t>不足15日的，顺延提交投标文件的截止时间。</w:t>
      </w:r>
    </w:p>
    <w:p>
      <w:pPr>
        <w:pStyle w:val="28"/>
        <w:snapToGrid w:val="0"/>
        <w:spacing w:before="0" w:beforeLines="0" w:after="0" w:afterLines="0" w:line="360" w:lineRule="auto"/>
        <w:ind w:left="2" w:leftChars="1" w:firstLine="420" w:firstLineChars="200"/>
        <w:rPr>
          <w:rFonts w:hint="default" w:hAnsi="宋体" w:cs="宋体"/>
          <w:bCs/>
        </w:rPr>
      </w:pPr>
      <w:r>
        <w:rPr>
          <w:rFonts w:hAnsi="宋体" w:cs="宋体"/>
          <w:bCs/>
        </w:rPr>
        <w:t>（2）澄清公告为</w:t>
      </w:r>
      <w:r>
        <w:rPr>
          <w:rFonts w:hint="eastAsia" w:hAnsi="宋体" w:cs="宋体"/>
          <w:bCs/>
          <w:lang w:eastAsia="zh-CN"/>
        </w:rPr>
        <w:t>采购文件</w:t>
      </w:r>
      <w:r>
        <w:rPr>
          <w:rFonts w:hAnsi="宋体" w:cs="宋体"/>
          <w:bCs/>
        </w:rPr>
        <w:t>的组成部分，一经在网站发布，视同已通知所有</w:t>
      </w:r>
      <w:r>
        <w:rPr>
          <w:rFonts w:hint="eastAsia" w:hAnsi="宋体" w:cs="宋体"/>
          <w:bCs/>
          <w:lang w:eastAsia="zh-CN"/>
        </w:rPr>
        <w:t>采购文件</w:t>
      </w:r>
      <w:r>
        <w:rPr>
          <w:rFonts w:hAnsi="宋体" w:cs="宋体"/>
          <w:bCs/>
        </w:rPr>
        <w:t>的收受人，不再采用其它方式传达相关信息, 若因未能及时了解到上述网站上发布的相关信息而导致的一切后果自行承担。</w:t>
      </w:r>
    </w:p>
    <w:p>
      <w:pPr>
        <w:pStyle w:val="28"/>
        <w:snapToGrid w:val="0"/>
        <w:spacing w:before="0" w:beforeLines="0" w:after="0" w:afterLines="0" w:line="360" w:lineRule="auto"/>
        <w:ind w:left="2" w:leftChars="1" w:firstLine="420" w:firstLineChars="200"/>
        <w:rPr>
          <w:rFonts w:hint="default" w:hAnsi="宋体" w:cs="宋体"/>
          <w:bCs/>
        </w:rPr>
      </w:pPr>
      <w:r>
        <w:rPr>
          <w:rFonts w:hAnsi="宋体" w:cs="宋体"/>
          <w:bCs/>
        </w:rPr>
        <w:t>（3）</w:t>
      </w:r>
      <w:r>
        <w:rPr>
          <w:rFonts w:hint="eastAsia" w:hAnsi="宋体" w:cs="宋体"/>
          <w:bCs/>
          <w:lang w:eastAsia="zh-CN"/>
        </w:rPr>
        <w:t>采购文件</w:t>
      </w:r>
      <w:r>
        <w:rPr>
          <w:rFonts w:hAnsi="宋体" w:cs="宋体"/>
          <w:bCs/>
        </w:rPr>
        <w:t>澄清、答复、修改、补充的内容为</w:t>
      </w:r>
      <w:r>
        <w:rPr>
          <w:rFonts w:hint="eastAsia" w:hAnsi="宋体" w:cs="宋体"/>
          <w:bCs/>
          <w:lang w:eastAsia="zh-CN"/>
        </w:rPr>
        <w:t>采购文件</w:t>
      </w:r>
      <w:r>
        <w:rPr>
          <w:rFonts w:hAnsi="宋体" w:cs="宋体"/>
          <w:bCs/>
        </w:rPr>
        <w:t>的组成部分。当</w:t>
      </w:r>
      <w:r>
        <w:rPr>
          <w:rFonts w:hint="eastAsia" w:hAnsi="宋体" w:cs="宋体"/>
          <w:bCs/>
          <w:lang w:eastAsia="zh-CN"/>
        </w:rPr>
        <w:t>采购文件</w:t>
      </w:r>
      <w:r>
        <w:rPr>
          <w:rFonts w:hAnsi="宋体" w:cs="宋体"/>
          <w:bCs/>
        </w:rPr>
        <w:t>与</w:t>
      </w:r>
      <w:r>
        <w:rPr>
          <w:rFonts w:hint="eastAsia" w:hAnsi="宋体" w:cs="宋体"/>
          <w:bCs/>
          <w:lang w:eastAsia="zh-CN"/>
        </w:rPr>
        <w:t>采购文件</w:t>
      </w:r>
      <w:r>
        <w:rPr>
          <w:rFonts w:hAnsi="宋体" w:cs="宋体"/>
          <w:bCs/>
        </w:rPr>
        <w:t>的答复、澄清、修改、补充通知就同一内容的表述不一致时，以最后发出的澄清公告为准。</w:t>
      </w:r>
    </w:p>
    <w:p>
      <w:pPr>
        <w:pStyle w:val="28"/>
        <w:snapToGrid w:val="0"/>
        <w:spacing w:before="0" w:beforeLines="0" w:after="0" w:afterLines="0" w:line="360" w:lineRule="auto"/>
        <w:ind w:left="2" w:leftChars="1" w:firstLine="420" w:firstLineChars="200"/>
        <w:rPr>
          <w:rFonts w:hint="default" w:hAnsi="宋体" w:cs="宋体"/>
          <w:bCs/>
        </w:rPr>
      </w:pPr>
      <w:r>
        <w:rPr>
          <w:rFonts w:hAnsi="宋体" w:cs="宋体"/>
          <w:bCs/>
        </w:rPr>
        <w:t>（4）</w:t>
      </w:r>
      <w:r>
        <w:rPr>
          <w:rFonts w:hint="eastAsia" w:hAnsi="宋体" w:cs="宋体"/>
          <w:bCs/>
          <w:lang w:eastAsia="zh-CN"/>
        </w:rPr>
        <w:t>采购文件</w:t>
      </w:r>
      <w:r>
        <w:rPr>
          <w:rFonts w:hAnsi="宋体" w:cs="宋体"/>
          <w:bCs/>
        </w:rPr>
        <w:t>的澄清、答复、修改或补充都应该通过本代理机构以法定形式发布，采购人非通过本机构，不得擅自澄清、答复、修改或补充</w:t>
      </w:r>
      <w:r>
        <w:rPr>
          <w:rFonts w:hint="eastAsia" w:hAnsi="宋体" w:cs="宋体"/>
          <w:bCs/>
          <w:lang w:eastAsia="zh-CN"/>
        </w:rPr>
        <w:t>采购文件</w:t>
      </w:r>
      <w:r>
        <w:rPr>
          <w:rFonts w:hAnsi="宋体" w:cs="宋体"/>
          <w:bCs/>
        </w:rPr>
        <w:t>。</w:t>
      </w:r>
    </w:p>
    <w:p>
      <w:pPr>
        <w:pStyle w:val="28"/>
        <w:snapToGrid w:val="0"/>
        <w:spacing w:before="0" w:beforeLines="0" w:after="0" w:afterLines="0" w:line="360" w:lineRule="auto"/>
        <w:ind w:left="2" w:leftChars="1" w:firstLine="420" w:firstLineChars="200"/>
        <w:rPr>
          <w:rFonts w:hint="default" w:hAnsi="宋体" w:cs="宋体"/>
          <w:bCs/>
        </w:rPr>
      </w:pPr>
      <w:r>
        <w:rPr>
          <w:rFonts w:hAnsi="宋体" w:cs="宋体"/>
          <w:bCs/>
        </w:rPr>
        <w:t>4、关于分公司投标</w:t>
      </w:r>
    </w:p>
    <w:p>
      <w:pPr>
        <w:pStyle w:val="28"/>
        <w:snapToGrid w:val="0"/>
        <w:spacing w:before="0" w:beforeLines="0" w:after="0" w:afterLines="0" w:line="360" w:lineRule="auto"/>
        <w:ind w:left="2" w:leftChars="1" w:firstLine="420" w:firstLineChars="200"/>
        <w:rPr>
          <w:rFonts w:hint="default" w:hAnsi="宋体" w:cs="宋体"/>
          <w:bCs/>
        </w:rPr>
      </w:pPr>
      <w:r>
        <w:rPr>
          <w:rFonts w:hAnsi="宋体" w:cs="宋体"/>
          <w:bCs/>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pStyle w:val="28"/>
        <w:snapToGrid w:val="0"/>
        <w:spacing w:before="0" w:beforeLines="0" w:after="0" w:afterLines="0" w:line="360" w:lineRule="auto"/>
        <w:ind w:left="2" w:leftChars="1" w:firstLine="420" w:firstLineChars="200"/>
        <w:rPr>
          <w:rFonts w:hint="default" w:hAnsi="宋体" w:cs="宋体"/>
          <w:bCs/>
        </w:rPr>
      </w:pPr>
      <w:r>
        <w:rPr>
          <w:rFonts w:hAnsi="宋体" w:cs="宋体"/>
          <w:bCs/>
        </w:rPr>
        <w:t>5、关于知识产权</w:t>
      </w:r>
    </w:p>
    <w:p>
      <w:pPr>
        <w:pStyle w:val="28"/>
        <w:snapToGrid w:val="0"/>
        <w:spacing w:before="0" w:beforeLines="0" w:after="0" w:afterLines="0" w:line="360" w:lineRule="auto"/>
        <w:ind w:left="2" w:leftChars="1" w:firstLine="420" w:firstLineChars="200"/>
        <w:rPr>
          <w:rFonts w:hint="default" w:hAnsi="宋体" w:cs="宋体"/>
          <w:bCs/>
        </w:rPr>
      </w:pPr>
      <w:r>
        <w:rPr>
          <w:rFonts w:hAnsi="宋体" w:cs="宋体"/>
          <w:bCs/>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pStyle w:val="28"/>
        <w:snapToGrid w:val="0"/>
        <w:spacing w:before="0" w:beforeLines="0" w:after="0" w:afterLines="0" w:line="360" w:lineRule="auto"/>
        <w:ind w:left="2" w:leftChars="1" w:firstLine="420" w:firstLineChars="200"/>
        <w:rPr>
          <w:rFonts w:hint="default" w:hAnsi="宋体" w:cs="宋体"/>
          <w:bCs/>
        </w:rPr>
      </w:pPr>
      <w:r>
        <w:rPr>
          <w:rFonts w:hAnsi="宋体" w:cs="宋体"/>
          <w:bCs/>
        </w:rPr>
        <w:t>（2）投标报价应包含所有应向所有权人支付的专利权、商标权或其它知识产权的一切相关费用。</w:t>
      </w:r>
    </w:p>
    <w:p>
      <w:pPr>
        <w:pStyle w:val="28"/>
        <w:snapToGrid w:val="0"/>
        <w:spacing w:before="0" w:beforeLines="0" w:after="0" w:afterLines="0" w:line="360" w:lineRule="auto"/>
        <w:ind w:left="2" w:leftChars="1" w:firstLine="420" w:firstLineChars="200"/>
        <w:rPr>
          <w:rFonts w:hint="default" w:hAnsi="宋体" w:cs="宋体"/>
          <w:bCs/>
        </w:rPr>
      </w:pPr>
      <w:r>
        <w:rPr>
          <w:rFonts w:hAnsi="宋体" w:cs="宋体"/>
          <w:bCs/>
        </w:rPr>
        <w:t>（3）系统软件、通用软件必须是具有在中国境内的合法使用权或版权的正版软件，涉及到第三方提出侵权或知识产权的起诉及支付版税等费用由供应商承担所有责任及费用。</w:t>
      </w:r>
    </w:p>
    <w:p>
      <w:pPr>
        <w:pStyle w:val="28"/>
        <w:snapToGrid w:val="0"/>
        <w:spacing w:before="0" w:beforeLines="0" w:after="0" w:afterLines="0" w:line="360" w:lineRule="auto"/>
        <w:ind w:left="2" w:leftChars="1" w:firstLine="420" w:firstLineChars="200"/>
        <w:rPr>
          <w:rFonts w:hint="default" w:hAnsi="宋体" w:cs="宋体"/>
          <w:bCs/>
        </w:rPr>
      </w:pPr>
      <w:r>
        <w:rPr>
          <w:rFonts w:hAnsi="宋体" w:cs="宋体"/>
          <w:bCs/>
        </w:rPr>
        <w:t>6、供应商的风险</w:t>
      </w:r>
    </w:p>
    <w:p>
      <w:pPr>
        <w:pStyle w:val="28"/>
        <w:snapToGrid w:val="0"/>
        <w:spacing w:before="0" w:beforeLines="0" w:after="0" w:afterLines="0" w:line="360" w:lineRule="auto"/>
        <w:ind w:left="2" w:leftChars="1" w:firstLine="420" w:firstLineChars="200"/>
        <w:rPr>
          <w:rFonts w:hint="default" w:hAnsi="宋体" w:cs="宋体"/>
          <w:bCs/>
        </w:rPr>
      </w:pPr>
      <w:r>
        <w:rPr>
          <w:rFonts w:hAnsi="宋体" w:cs="宋体"/>
          <w:bCs/>
        </w:rPr>
        <w:t>（1）供应商应详细阅读</w:t>
      </w:r>
      <w:r>
        <w:rPr>
          <w:rFonts w:hint="eastAsia" w:hAnsi="宋体" w:cs="宋体"/>
          <w:bCs/>
          <w:lang w:eastAsia="zh-CN"/>
        </w:rPr>
        <w:t>采购文件</w:t>
      </w:r>
      <w:r>
        <w:rPr>
          <w:rFonts w:hAnsi="宋体" w:cs="宋体"/>
          <w:bCs/>
        </w:rPr>
        <w:t>中的全部内容和要求，按照</w:t>
      </w:r>
      <w:r>
        <w:rPr>
          <w:rFonts w:hint="eastAsia" w:hAnsi="宋体" w:cs="宋体"/>
          <w:bCs/>
          <w:lang w:eastAsia="zh-CN"/>
        </w:rPr>
        <w:t>采购文件</w:t>
      </w:r>
      <w:r>
        <w:rPr>
          <w:rFonts w:hAnsi="宋体" w:cs="宋体"/>
          <w:bCs/>
        </w:rPr>
        <w:t>的要求提交投标文件，没有按照</w:t>
      </w:r>
      <w:r>
        <w:rPr>
          <w:rFonts w:hint="eastAsia" w:hAnsi="宋体" w:cs="宋体"/>
          <w:bCs/>
          <w:lang w:eastAsia="zh-CN"/>
        </w:rPr>
        <w:t>采购文件</w:t>
      </w:r>
      <w:r>
        <w:rPr>
          <w:rFonts w:hAnsi="宋体" w:cs="宋体"/>
          <w:bCs/>
        </w:rPr>
        <w:t>要求提供投标文件和资料导致的风险由供应商承担,并对所提供的全部资料的真实性承担法律责任。</w:t>
      </w:r>
    </w:p>
    <w:p>
      <w:pPr>
        <w:pStyle w:val="28"/>
        <w:snapToGrid w:val="0"/>
        <w:spacing w:before="0" w:beforeLines="0" w:after="0" w:afterLines="0" w:line="360" w:lineRule="auto"/>
        <w:ind w:left="2" w:leftChars="1" w:firstLine="420" w:firstLineChars="200"/>
        <w:rPr>
          <w:rFonts w:hint="default" w:hAnsi="宋体" w:cs="宋体"/>
          <w:bCs/>
        </w:rPr>
      </w:pPr>
      <w:r>
        <w:rPr>
          <w:rFonts w:hAnsi="宋体" w:cs="宋体"/>
          <w:bCs/>
        </w:rPr>
        <w:t>（2）无论因何种原因导致本次采购活动终止致供应商损失的，相关责任人均不承担任何责任。</w:t>
      </w:r>
    </w:p>
    <w:p>
      <w:pPr>
        <w:pStyle w:val="28"/>
        <w:snapToGrid w:val="0"/>
        <w:spacing w:before="0" w:beforeLines="0" w:after="0" w:afterLines="0" w:line="360" w:lineRule="auto"/>
        <w:ind w:left="2" w:leftChars="1" w:firstLine="420" w:firstLineChars="200"/>
        <w:rPr>
          <w:rFonts w:hint="default" w:hAnsi="宋体" w:cs="宋体"/>
          <w:b/>
        </w:rPr>
      </w:pPr>
      <w:r>
        <w:rPr>
          <w:rFonts w:hAnsi="宋体" w:cs="宋体"/>
          <w:bCs/>
        </w:rPr>
        <w:t>7、解释：本</w:t>
      </w:r>
      <w:r>
        <w:rPr>
          <w:rFonts w:hint="eastAsia" w:hAnsi="宋体" w:cs="宋体"/>
          <w:bCs/>
          <w:lang w:eastAsia="zh-CN"/>
        </w:rPr>
        <w:t>采购文件</w:t>
      </w:r>
      <w:r>
        <w:rPr>
          <w:rFonts w:hAnsi="宋体" w:cs="宋体"/>
          <w:bCs/>
        </w:rPr>
        <w:t>的解释权属于采购人。</w:t>
      </w:r>
    </w:p>
    <w:p>
      <w:pPr>
        <w:pStyle w:val="28"/>
        <w:snapToGrid w:val="0"/>
        <w:spacing w:before="0" w:beforeLines="0" w:after="0" w:afterLines="0" w:line="360" w:lineRule="auto"/>
        <w:ind w:firstLine="413" w:firstLineChars="196"/>
        <w:rPr>
          <w:rFonts w:hint="default" w:hAnsi="宋体" w:cs="宋体"/>
          <w:b/>
          <w:bCs/>
        </w:rPr>
      </w:pPr>
      <w:bookmarkStart w:id="63" w:name="_Toc13650"/>
      <w:r>
        <w:rPr>
          <w:rFonts w:hAnsi="宋体" w:cs="宋体"/>
          <w:b/>
          <w:bCs/>
        </w:rPr>
        <w:t>（九）质疑和投诉</w:t>
      </w:r>
      <w:bookmarkEnd w:id="63"/>
    </w:p>
    <w:p>
      <w:pPr>
        <w:spacing w:line="360" w:lineRule="auto"/>
        <w:ind w:firstLine="420" w:firstLineChars="200"/>
        <w:rPr>
          <w:rFonts w:ascii="宋体" w:hAnsi="宋体" w:cs="宋体"/>
        </w:rPr>
      </w:pPr>
      <w:bookmarkStart w:id="64" w:name="_Toc27142"/>
      <w:r>
        <w:rPr>
          <w:rFonts w:hint="eastAsia" w:ascii="宋体" w:hAnsi="宋体" w:cs="宋体"/>
        </w:rPr>
        <w:t>1. 供应商认为</w:t>
      </w:r>
      <w:r>
        <w:rPr>
          <w:rFonts w:hint="eastAsia" w:ascii="宋体" w:hAnsi="宋体" w:cs="宋体"/>
          <w:lang w:eastAsia="zh-CN"/>
        </w:rPr>
        <w:t>采购文件</w:t>
      </w:r>
      <w:r>
        <w:rPr>
          <w:rFonts w:hint="eastAsia" w:ascii="宋体" w:hAnsi="宋体" w:cs="宋体"/>
        </w:rPr>
        <w:t>、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spacing w:line="360" w:lineRule="auto"/>
        <w:ind w:firstLine="420" w:firstLineChars="200"/>
        <w:rPr>
          <w:rFonts w:ascii="宋体" w:hAnsi="宋体" w:cs="宋体"/>
        </w:rPr>
      </w:pPr>
      <w:r>
        <w:rPr>
          <w:rFonts w:hint="eastAsia" w:ascii="宋体" w:hAnsi="宋体" w:cs="宋体"/>
        </w:rPr>
        <w:t>2. 提出质疑的供应商应当是参与所质疑项目采购活动的供应商。未依法获取</w:t>
      </w:r>
      <w:r>
        <w:rPr>
          <w:rFonts w:hint="eastAsia" w:ascii="宋体" w:hAnsi="宋体" w:cs="宋体"/>
          <w:lang w:eastAsia="zh-CN"/>
        </w:rPr>
        <w:t>采购文件</w:t>
      </w:r>
      <w:r>
        <w:rPr>
          <w:rFonts w:hint="eastAsia" w:ascii="宋体" w:hAnsi="宋体" w:cs="宋体"/>
        </w:rPr>
        <w:t>的，不得就</w:t>
      </w:r>
      <w:r>
        <w:rPr>
          <w:rFonts w:hint="eastAsia" w:ascii="宋体" w:hAnsi="宋体" w:cs="宋体"/>
          <w:lang w:eastAsia="zh-CN"/>
        </w:rPr>
        <w:t>采购文件</w:t>
      </w:r>
      <w:r>
        <w:rPr>
          <w:rFonts w:hint="eastAsia" w:ascii="宋体" w:hAnsi="宋体" w:cs="宋体"/>
        </w:rPr>
        <w:t>提出质疑；未提交投标文件的供应商，视为与采购结果没有利害关系，不得就采购响应截止时间后的采购过程、采购结果提出质疑。</w:t>
      </w:r>
    </w:p>
    <w:p>
      <w:pPr>
        <w:spacing w:line="360" w:lineRule="auto"/>
        <w:ind w:firstLine="420" w:firstLineChars="200"/>
        <w:rPr>
          <w:rFonts w:ascii="宋体" w:hAnsi="宋体" w:cs="宋体"/>
        </w:rPr>
      </w:pPr>
      <w:r>
        <w:rPr>
          <w:rFonts w:hint="eastAsia" w:ascii="宋体" w:hAnsi="宋体" w:cs="宋体"/>
        </w:rPr>
        <w:t>3.供应商提出质疑应当提交质疑函和必要的证明材料，质疑函应当面以书面形式提出，质疑函格式和内容须符合财政部《质疑函范本》要求，供应商可到浙江政府采购网自行下载财政部《质疑函范本》。</w:t>
      </w:r>
    </w:p>
    <w:p>
      <w:pPr>
        <w:spacing w:line="360" w:lineRule="auto"/>
        <w:ind w:firstLine="420" w:firstLineChars="200"/>
        <w:rPr>
          <w:rFonts w:ascii="宋体" w:hAnsi="宋体" w:cs="宋体"/>
        </w:rPr>
      </w:pPr>
      <w:r>
        <w:rPr>
          <w:rFonts w:hint="eastAsia" w:ascii="宋体" w:hAnsi="宋体" w:cs="宋体"/>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w:t>
      </w:r>
      <w:r>
        <w:rPr>
          <w:rFonts w:hint="eastAsia" w:ascii="宋体" w:hAnsi="宋体" w:cs="宋体"/>
          <w:lang w:eastAsia="zh-CN"/>
        </w:rPr>
        <w:t>采购文件</w:t>
      </w:r>
      <w:r>
        <w:rPr>
          <w:rFonts w:hint="eastAsia" w:ascii="宋体" w:hAnsi="宋体" w:cs="宋体"/>
        </w:rPr>
        <w:t>第一章有关联系方式。</w:t>
      </w:r>
    </w:p>
    <w:p>
      <w:pPr>
        <w:spacing w:line="360" w:lineRule="auto"/>
        <w:ind w:firstLine="420" w:firstLineChars="200"/>
        <w:rPr>
          <w:rFonts w:ascii="宋体" w:hAnsi="宋体" w:cs="宋体"/>
        </w:rPr>
      </w:pPr>
      <w:r>
        <w:rPr>
          <w:rFonts w:hint="eastAsia" w:ascii="宋体" w:hAnsi="宋体" w:cs="宋体"/>
        </w:rPr>
        <w:t>5. 供应商对采购人或采购代理机构的质疑答复不满意或者采购人或采购代理机构未在规定时间内作出答复的，可以在答复期满后十五个工作日内向同级采购监管部门投诉。投诉书范本请到浙江政府采购网下载专区下载。</w:t>
      </w:r>
    </w:p>
    <w:p>
      <w:pPr>
        <w:pStyle w:val="28"/>
        <w:snapToGrid w:val="0"/>
        <w:spacing w:before="0" w:beforeLines="0" w:after="0" w:afterLines="0" w:line="360" w:lineRule="auto"/>
        <w:ind w:firstLine="413" w:firstLineChars="196"/>
        <w:rPr>
          <w:rFonts w:hint="eastAsia" w:hAnsi="宋体" w:eastAsia="宋体" w:cs="宋体"/>
          <w:b/>
          <w:lang w:eastAsia="zh-CN"/>
        </w:rPr>
      </w:pPr>
      <w:r>
        <w:rPr>
          <w:rFonts w:hAnsi="宋体" w:cs="宋体"/>
          <w:b/>
        </w:rPr>
        <w:t xml:space="preserve">二  </w:t>
      </w:r>
      <w:bookmarkEnd w:id="64"/>
      <w:r>
        <w:rPr>
          <w:rFonts w:hint="eastAsia" w:hAnsi="宋体" w:cs="宋体"/>
          <w:b/>
          <w:lang w:eastAsia="zh-CN"/>
        </w:rPr>
        <w:t>采购文件</w:t>
      </w:r>
    </w:p>
    <w:p>
      <w:pPr>
        <w:snapToGrid w:val="0"/>
        <w:spacing w:line="360" w:lineRule="auto"/>
        <w:ind w:firstLine="413" w:firstLineChars="196"/>
        <w:jc w:val="left"/>
        <w:rPr>
          <w:rFonts w:ascii="宋体" w:hAnsi="宋体" w:cs="宋体"/>
          <w:b/>
          <w:szCs w:val="21"/>
        </w:rPr>
      </w:pPr>
      <w:r>
        <w:rPr>
          <w:rFonts w:hint="eastAsia" w:ascii="宋体" w:hAnsi="宋体" w:cs="宋体"/>
          <w:b/>
          <w:szCs w:val="21"/>
        </w:rPr>
        <w:t>（一）</w:t>
      </w:r>
      <w:r>
        <w:rPr>
          <w:rFonts w:hint="eastAsia" w:ascii="宋体" w:hAnsi="宋体" w:cs="宋体"/>
          <w:b/>
          <w:szCs w:val="21"/>
          <w:lang w:eastAsia="zh-CN"/>
        </w:rPr>
        <w:t>采购文件</w:t>
      </w:r>
      <w:r>
        <w:rPr>
          <w:rFonts w:hint="eastAsia" w:ascii="宋体" w:hAnsi="宋体" w:cs="宋体"/>
          <w:b/>
          <w:szCs w:val="21"/>
        </w:rPr>
        <w:t>的构成。本</w:t>
      </w:r>
      <w:r>
        <w:rPr>
          <w:rFonts w:hint="eastAsia" w:ascii="宋体" w:hAnsi="宋体" w:cs="宋体"/>
          <w:b/>
          <w:szCs w:val="21"/>
          <w:lang w:eastAsia="zh-CN"/>
        </w:rPr>
        <w:t>采购文件</w:t>
      </w:r>
      <w:r>
        <w:rPr>
          <w:rFonts w:hint="eastAsia" w:ascii="宋体" w:hAnsi="宋体" w:cs="宋体"/>
          <w:b/>
          <w:szCs w:val="21"/>
        </w:rPr>
        <w:t>由以下部分组成：</w:t>
      </w:r>
    </w:p>
    <w:p>
      <w:pPr>
        <w:snapToGrid w:val="0"/>
        <w:spacing w:line="360" w:lineRule="auto"/>
        <w:ind w:firstLine="420" w:firstLineChars="200"/>
        <w:jc w:val="left"/>
        <w:rPr>
          <w:rFonts w:ascii="宋体" w:hAnsi="宋体" w:cs="宋体"/>
          <w:szCs w:val="21"/>
        </w:rPr>
      </w:pPr>
      <w:r>
        <w:rPr>
          <w:rFonts w:hint="eastAsia" w:ascii="宋体" w:hAnsi="宋体" w:cs="宋体"/>
          <w:szCs w:val="21"/>
        </w:rPr>
        <w:t>1.公开招标公告</w:t>
      </w:r>
    </w:p>
    <w:p>
      <w:pPr>
        <w:snapToGrid w:val="0"/>
        <w:spacing w:line="360" w:lineRule="auto"/>
        <w:ind w:firstLine="420" w:firstLineChars="200"/>
        <w:jc w:val="left"/>
        <w:rPr>
          <w:rFonts w:ascii="宋体" w:hAnsi="宋体" w:cs="宋体"/>
          <w:szCs w:val="21"/>
        </w:rPr>
      </w:pPr>
      <w:r>
        <w:rPr>
          <w:rFonts w:hint="eastAsia" w:ascii="宋体" w:hAnsi="宋体" w:cs="宋体"/>
          <w:szCs w:val="21"/>
        </w:rPr>
        <w:t>2.采购需求</w:t>
      </w:r>
    </w:p>
    <w:p>
      <w:pPr>
        <w:snapToGrid w:val="0"/>
        <w:spacing w:line="360" w:lineRule="auto"/>
        <w:ind w:firstLine="420" w:firstLineChars="200"/>
        <w:jc w:val="left"/>
        <w:rPr>
          <w:rFonts w:ascii="宋体" w:hAnsi="宋体" w:cs="宋体"/>
          <w:szCs w:val="21"/>
        </w:rPr>
      </w:pPr>
      <w:r>
        <w:rPr>
          <w:rFonts w:hint="eastAsia" w:ascii="宋体" w:hAnsi="宋体" w:cs="宋体"/>
          <w:szCs w:val="21"/>
        </w:rPr>
        <w:t>3.供应商须知</w:t>
      </w:r>
    </w:p>
    <w:p>
      <w:pPr>
        <w:snapToGrid w:val="0"/>
        <w:spacing w:line="360" w:lineRule="auto"/>
        <w:ind w:firstLine="420" w:firstLineChars="200"/>
        <w:jc w:val="left"/>
        <w:rPr>
          <w:rFonts w:ascii="宋体" w:hAnsi="宋体" w:cs="宋体"/>
          <w:szCs w:val="21"/>
        </w:rPr>
      </w:pPr>
      <w:r>
        <w:rPr>
          <w:rFonts w:hint="eastAsia" w:ascii="宋体" w:hAnsi="宋体" w:cs="宋体"/>
          <w:szCs w:val="21"/>
        </w:rPr>
        <w:t>4.评标办法及评分标准</w:t>
      </w:r>
    </w:p>
    <w:p>
      <w:pPr>
        <w:snapToGrid w:val="0"/>
        <w:spacing w:line="360" w:lineRule="auto"/>
        <w:ind w:firstLine="420" w:firstLineChars="200"/>
        <w:jc w:val="left"/>
        <w:rPr>
          <w:rFonts w:ascii="宋体" w:hAnsi="宋体" w:cs="宋体"/>
          <w:szCs w:val="21"/>
        </w:rPr>
      </w:pPr>
      <w:r>
        <w:rPr>
          <w:rFonts w:hint="eastAsia" w:ascii="宋体" w:hAnsi="宋体" w:cs="宋体"/>
          <w:szCs w:val="21"/>
        </w:rPr>
        <w:t>5.政府采购合同主要条款</w:t>
      </w:r>
    </w:p>
    <w:p>
      <w:pPr>
        <w:snapToGrid w:val="0"/>
        <w:spacing w:line="360" w:lineRule="auto"/>
        <w:ind w:firstLine="420" w:firstLineChars="200"/>
        <w:jc w:val="left"/>
        <w:rPr>
          <w:rFonts w:ascii="宋体" w:hAnsi="宋体" w:cs="宋体"/>
          <w:szCs w:val="21"/>
        </w:rPr>
      </w:pPr>
      <w:r>
        <w:rPr>
          <w:rFonts w:hint="eastAsia" w:ascii="宋体" w:hAnsi="宋体" w:cs="宋体"/>
          <w:szCs w:val="21"/>
        </w:rPr>
        <w:t>6.投标文件格式</w:t>
      </w:r>
    </w:p>
    <w:p>
      <w:pPr>
        <w:snapToGrid w:val="0"/>
        <w:spacing w:line="360" w:lineRule="auto"/>
        <w:ind w:firstLine="420" w:firstLineChars="200"/>
        <w:jc w:val="left"/>
        <w:rPr>
          <w:rFonts w:ascii="宋体" w:hAnsi="宋体" w:cs="宋体"/>
          <w:szCs w:val="21"/>
        </w:rPr>
      </w:pPr>
      <w:r>
        <w:rPr>
          <w:rFonts w:hint="eastAsia" w:ascii="宋体" w:hAnsi="宋体" w:cs="宋体"/>
          <w:szCs w:val="21"/>
        </w:rPr>
        <w:t>7.本项目</w:t>
      </w:r>
      <w:r>
        <w:rPr>
          <w:rFonts w:hint="eastAsia" w:ascii="宋体" w:hAnsi="宋体" w:cs="宋体"/>
          <w:szCs w:val="21"/>
          <w:lang w:eastAsia="zh-CN"/>
        </w:rPr>
        <w:t>采购文件</w:t>
      </w:r>
      <w:r>
        <w:rPr>
          <w:rFonts w:hint="eastAsia" w:ascii="宋体" w:hAnsi="宋体" w:cs="宋体"/>
          <w:szCs w:val="21"/>
        </w:rPr>
        <w:t>的澄清、答复、修改、补充的内容</w:t>
      </w:r>
    </w:p>
    <w:p>
      <w:pPr>
        <w:snapToGrid w:val="0"/>
        <w:spacing w:line="360" w:lineRule="auto"/>
        <w:ind w:firstLine="413" w:firstLineChars="196"/>
        <w:jc w:val="left"/>
        <w:rPr>
          <w:rFonts w:ascii="宋体" w:hAnsi="宋体" w:cs="宋体"/>
          <w:b/>
          <w:szCs w:val="21"/>
        </w:rPr>
      </w:pPr>
      <w:r>
        <w:rPr>
          <w:rFonts w:hint="eastAsia" w:ascii="宋体" w:hAnsi="宋体" w:cs="宋体"/>
          <w:b/>
          <w:szCs w:val="21"/>
        </w:rPr>
        <w:t>（二）供应商的风险</w:t>
      </w:r>
    </w:p>
    <w:p>
      <w:pPr>
        <w:pStyle w:val="41"/>
        <w:spacing w:line="360" w:lineRule="auto"/>
        <w:ind w:firstLine="420"/>
        <w:rPr>
          <w:rFonts w:ascii="宋体" w:hAnsi="宋体" w:cs="宋体"/>
          <w:sz w:val="21"/>
          <w:szCs w:val="21"/>
        </w:rPr>
      </w:pPr>
      <w:r>
        <w:rPr>
          <w:rFonts w:hint="eastAsia" w:ascii="宋体" w:hAnsi="宋体" w:cs="宋体"/>
          <w:sz w:val="21"/>
          <w:szCs w:val="21"/>
        </w:rPr>
        <w:t>供应商没有按照</w:t>
      </w:r>
      <w:r>
        <w:rPr>
          <w:rFonts w:hint="eastAsia" w:ascii="宋体" w:hAnsi="宋体" w:cs="宋体"/>
          <w:sz w:val="21"/>
          <w:szCs w:val="21"/>
          <w:lang w:eastAsia="zh-CN"/>
        </w:rPr>
        <w:t>采购文件</w:t>
      </w:r>
      <w:r>
        <w:rPr>
          <w:rFonts w:hint="eastAsia" w:ascii="宋体" w:hAnsi="宋体" w:cs="宋体"/>
          <w:sz w:val="21"/>
          <w:szCs w:val="21"/>
        </w:rPr>
        <w:t>要求提供全部资料，或者供应商没有对</w:t>
      </w:r>
      <w:r>
        <w:rPr>
          <w:rFonts w:hint="eastAsia" w:ascii="宋体" w:hAnsi="宋体" w:cs="宋体"/>
          <w:sz w:val="21"/>
          <w:szCs w:val="21"/>
          <w:lang w:eastAsia="zh-CN"/>
        </w:rPr>
        <w:t>采购文件</w:t>
      </w:r>
      <w:r>
        <w:rPr>
          <w:rFonts w:hint="eastAsia" w:ascii="宋体" w:hAnsi="宋体" w:cs="宋体"/>
          <w:sz w:val="21"/>
          <w:szCs w:val="21"/>
        </w:rPr>
        <w:t>在各方面作出实质性响应是供应商的风险，并可能导致其投标被拒绝。</w:t>
      </w:r>
    </w:p>
    <w:p>
      <w:pPr>
        <w:pStyle w:val="28"/>
        <w:snapToGrid w:val="0"/>
        <w:spacing w:before="0" w:beforeLines="0" w:after="0" w:afterLines="0" w:line="360" w:lineRule="auto"/>
        <w:ind w:firstLine="413" w:firstLineChars="196"/>
        <w:rPr>
          <w:rFonts w:hint="default" w:hAnsi="宋体" w:cs="宋体"/>
          <w:b/>
        </w:rPr>
      </w:pPr>
      <w:bookmarkStart w:id="65" w:name="_Toc24324"/>
      <w:r>
        <w:rPr>
          <w:rFonts w:hAnsi="宋体" w:cs="宋体"/>
          <w:b/>
        </w:rPr>
        <w:t>三、投标文件的编制</w:t>
      </w:r>
      <w:bookmarkEnd w:id="65"/>
    </w:p>
    <w:p>
      <w:pPr>
        <w:snapToGrid w:val="0"/>
        <w:spacing w:line="360" w:lineRule="auto"/>
        <w:ind w:firstLine="413" w:firstLineChars="196"/>
        <w:jc w:val="left"/>
        <w:rPr>
          <w:rFonts w:ascii="宋体" w:hAnsi="宋体" w:cs="宋体"/>
          <w:b/>
          <w:szCs w:val="21"/>
        </w:rPr>
      </w:pPr>
      <w:bookmarkStart w:id="66" w:name="_Toc16622"/>
      <w:r>
        <w:rPr>
          <w:rFonts w:hint="eastAsia" w:ascii="宋体" w:hAnsi="宋体" w:cs="宋体"/>
          <w:b/>
          <w:szCs w:val="21"/>
        </w:rPr>
        <w:t>（一）投标文件的组成</w:t>
      </w:r>
      <w:bookmarkEnd w:id="66"/>
    </w:p>
    <w:p>
      <w:pPr>
        <w:snapToGrid w:val="0"/>
        <w:spacing w:line="360" w:lineRule="auto"/>
        <w:ind w:firstLine="420" w:firstLineChars="200"/>
        <w:jc w:val="left"/>
        <w:rPr>
          <w:rFonts w:ascii="宋体" w:hAnsi="宋体" w:cs="宋体"/>
        </w:rPr>
      </w:pPr>
      <w:r>
        <w:rPr>
          <w:rFonts w:hint="eastAsia" w:ascii="宋体" w:hAnsi="宋体" w:cs="宋体"/>
        </w:rPr>
        <w:t>投标文件由资格文件、商务技术文件和报价文件三部分组成。</w:t>
      </w:r>
    </w:p>
    <w:p>
      <w:pPr>
        <w:numPr>
          <w:ilvl w:val="0"/>
          <w:numId w:val="8"/>
        </w:numPr>
        <w:snapToGrid w:val="0"/>
        <w:spacing w:line="360" w:lineRule="auto"/>
        <w:ind w:firstLine="422" w:firstLineChars="200"/>
        <w:jc w:val="left"/>
        <w:rPr>
          <w:rFonts w:ascii="宋体" w:hAnsi="宋体" w:cs="宋体"/>
          <w:b/>
          <w:bCs/>
        </w:rPr>
      </w:pPr>
      <w:r>
        <w:rPr>
          <w:rFonts w:hint="eastAsia" w:ascii="宋体" w:hAnsi="宋体" w:cs="宋体"/>
          <w:b/>
          <w:bCs/>
        </w:rPr>
        <w:t>资格文件：</w:t>
      </w:r>
    </w:p>
    <w:p>
      <w:pPr>
        <w:numPr>
          <w:ilvl w:val="0"/>
          <w:numId w:val="9"/>
        </w:numPr>
        <w:snapToGrid w:val="0"/>
        <w:spacing w:line="360" w:lineRule="auto"/>
        <w:ind w:left="210" w:leftChars="100"/>
        <w:jc w:val="left"/>
        <w:rPr>
          <w:rFonts w:ascii="宋体" w:hAnsi="宋体" w:cs="宋体"/>
        </w:rPr>
      </w:pPr>
      <w:r>
        <w:rPr>
          <w:rFonts w:hint="eastAsia" w:ascii="宋体" w:hAnsi="宋体" w:cs="宋体"/>
        </w:rPr>
        <w:t>供应商资格声明函（格式见附件）；</w:t>
      </w:r>
    </w:p>
    <w:p>
      <w:pPr>
        <w:numPr>
          <w:ilvl w:val="0"/>
          <w:numId w:val="9"/>
        </w:numPr>
        <w:snapToGrid w:val="0"/>
        <w:spacing w:line="360" w:lineRule="auto"/>
        <w:ind w:left="210" w:leftChars="100"/>
        <w:jc w:val="left"/>
        <w:rPr>
          <w:rFonts w:ascii="宋体" w:hAnsi="宋体" w:cs="宋体"/>
        </w:rPr>
      </w:pPr>
      <w:r>
        <w:rPr>
          <w:rFonts w:hint="eastAsia" w:ascii="宋体" w:hAnsi="宋体" w:cs="宋体"/>
        </w:rPr>
        <w:t>有效的企业法人营业执照（或事业法人登记证）、其他组织（个体工商户）的营业执照或者民办非企业单位登记证书复印件；</w:t>
      </w:r>
      <w:r>
        <w:rPr>
          <w:rFonts w:hint="eastAsia" w:ascii="宋体" w:hAnsi="宋体" w:cs="宋体"/>
          <w:szCs w:val="21"/>
        </w:rPr>
        <w:t>投标供应商如果有名称变更的，应提供由行政</w:t>
      </w:r>
      <w:r>
        <w:rPr>
          <w:rFonts w:hint="eastAsia" w:ascii="宋体" w:hAnsi="宋体" w:cs="宋体"/>
        </w:rPr>
        <w:t>主管部门出具的变更证明文件；</w:t>
      </w:r>
    </w:p>
    <w:p>
      <w:pPr>
        <w:numPr>
          <w:ilvl w:val="0"/>
          <w:numId w:val="9"/>
        </w:numPr>
        <w:snapToGrid w:val="0"/>
        <w:spacing w:line="360" w:lineRule="auto"/>
        <w:ind w:left="210" w:leftChars="100"/>
        <w:jc w:val="left"/>
        <w:rPr>
          <w:rFonts w:ascii="宋体" w:hAnsi="宋体" w:cs="宋体"/>
        </w:rPr>
      </w:pPr>
      <w:r>
        <w:rPr>
          <w:rFonts w:hint="eastAsia" w:ascii="宋体" w:hAnsi="宋体" w:cs="宋体"/>
        </w:rPr>
        <w:t>中小企业声明函；</w:t>
      </w:r>
    </w:p>
    <w:p>
      <w:pPr>
        <w:numPr>
          <w:ilvl w:val="0"/>
          <w:numId w:val="9"/>
        </w:numPr>
        <w:snapToGrid w:val="0"/>
        <w:spacing w:line="360" w:lineRule="auto"/>
        <w:ind w:left="210" w:leftChars="100"/>
        <w:jc w:val="left"/>
        <w:rPr>
          <w:rFonts w:ascii="宋体" w:hAnsi="宋体" w:cs="宋体"/>
        </w:rPr>
      </w:pPr>
      <w:r>
        <w:rPr>
          <w:rFonts w:hint="eastAsia" w:ascii="宋体" w:hAnsi="宋体" w:cs="宋体"/>
        </w:rPr>
        <w:t>供应商为监狱企业的证明文件：省级以上监狱管理局、戒毒管理局（含新疆生产建设兵团）出具（如有）；</w:t>
      </w:r>
    </w:p>
    <w:p>
      <w:pPr>
        <w:numPr>
          <w:ilvl w:val="0"/>
          <w:numId w:val="9"/>
        </w:numPr>
        <w:snapToGrid w:val="0"/>
        <w:spacing w:line="360" w:lineRule="auto"/>
        <w:ind w:left="210" w:leftChars="100"/>
        <w:jc w:val="left"/>
        <w:rPr>
          <w:rFonts w:ascii="宋体" w:hAnsi="宋体" w:cs="宋体"/>
        </w:rPr>
      </w:pPr>
      <w:r>
        <w:rPr>
          <w:rFonts w:hint="eastAsia" w:ascii="宋体" w:hAnsi="宋体" w:cs="宋体"/>
        </w:rPr>
        <w:t>残疾人福利性单位声明函（如有，见格式）；</w:t>
      </w:r>
    </w:p>
    <w:p>
      <w:pPr>
        <w:numPr>
          <w:ilvl w:val="0"/>
          <w:numId w:val="9"/>
        </w:numPr>
        <w:snapToGrid w:val="0"/>
        <w:spacing w:line="360" w:lineRule="auto"/>
        <w:ind w:left="210" w:leftChars="100"/>
        <w:jc w:val="left"/>
        <w:rPr>
          <w:rFonts w:ascii="宋体" w:hAnsi="宋体" w:cs="宋体"/>
        </w:rPr>
      </w:pPr>
      <w:r>
        <w:rPr>
          <w:rFonts w:hint="eastAsia" w:ascii="宋体" w:hAnsi="宋体" w:cs="宋体"/>
        </w:rPr>
        <w:t>投标人认为需要补充说明的资格证明资料（如有）。</w:t>
      </w:r>
    </w:p>
    <w:p>
      <w:pPr>
        <w:numPr>
          <w:ilvl w:val="0"/>
          <w:numId w:val="8"/>
        </w:numPr>
        <w:tabs>
          <w:tab w:val="left" w:pos="747"/>
        </w:tabs>
        <w:snapToGrid w:val="0"/>
        <w:spacing w:line="360" w:lineRule="auto"/>
        <w:ind w:firstLine="422" w:firstLineChars="200"/>
        <w:jc w:val="left"/>
        <w:rPr>
          <w:rFonts w:ascii="宋体" w:hAnsi="宋体" w:cs="宋体"/>
          <w:b/>
          <w:bCs/>
        </w:rPr>
      </w:pPr>
      <w:r>
        <w:rPr>
          <w:rFonts w:hint="eastAsia" w:ascii="宋体" w:hAnsi="宋体" w:cs="宋体"/>
          <w:b/>
          <w:bCs/>
        </w:rPr>
        <w:t>商务技术文件内容包括：</w:t>
      </w:r>
    </w:p>
    <w:p>
      <w:pPr>
        <w:widowControl/>
        <w:numPr>
          <w:ilvl w:val="0"/>
          <w:numId w:val="10"/>
        </w:numPr>
        <w:snapToGrid w:val="0"/>
        <w:spacing w:line="360" w:lineRule="auto"/>
        <w:ind w:left="210" w:leftChars="100"/>
        <w:jc w:val="left"/>
        <w:rPr>
          <w:rFonts w:ascii="宋体" w:hAnsi="宋体" w:cs="宋体"/>
          <w:kern w:val="0"/>
          <w:szCs w:val="21"/>
        </w:rPr>
      </w:pPr>
      <w:r>
        <w:rPr>
          <w:rFonts w:hint="eastAsia" w:ascii="宋体" w:hAnsi="宋体" w:cs="宋体"/>
          <w:szCs w:val="21"/>
        </w:rPr>
        <w:t>评分标准对应页码（</w:t>
      </w:r>
      <w:r>
        <w:rPr>
          <w:rFonts w:hint="eastAsia" w:ascii="宋体" w:hAnsi="宋体" w:cs="宋体"/>
          <w:kern w:val="0"/>
          <w:szCs w:val="20"/>
        </w:rPr>
        <w:t>格式见附件</w:t>
      </w:r>
      <w:r>
        <w:rPr>
          <w:rFonts w:hint="eastAsia" w:ascii="宋体" w:hAnsi="宋体" w:cs="宋体"/>
          <w:szCs w:val="21"/>
        </w:rPr>
        <w:t>）</w:t>
      </w:r>
      <w:r>
        <w:rPr>
          <w:rFonts w:hint="eastAsia" w:ascii="宋体" w:hAnsi="宋体" w:cs="宋体"/>
          <w:kern w:val="0"/>
          <w:szCs w:val="21"/>
        </w:rPr>
        <w:t>；</w:t>
      </w:r>
    </w:p>
    <w:p>
      <w:pPr>
        <w:widowControl/>
        <w:numPr>
          <w:ilvl w:val="0"/>
          <w:numId w:val="10"/>
        </w:numPr>
        <w:snapToGrid w:val="0"/>
        <w:spacing w:line="360" w:lineRule="auto"/>
        <w:ind w:left="210" w:leftChars="100"/>
        <w:jc w:val="left"/>
        <w:rPr>
          <w:rFonts w:ascii="宋体" w:hAnsi="宋体" w:cs="宋体"/>
          <w:kern w:val="0"/>
          <w:szCs w:val="21"/>
        </w:rPr>
      </w:pPr>
      <w:r>
        <w:rPr>
          <w:rFonts w:hint="eastAsia" w:ascii="宋体" w:hAnsi="宋体" w:cs="宋体"/>
          <w:kern w:val="0"/>
          <w:szCs w:val="21"/>
        </w:rPr>
        <w:t>投标函</w:t>
      </w:r>
      <w:r>
        <w:rPr>
          <w:rFonts w:hint="eastAsia" w:ascii="宋体" w:hAnsi="宋体" w:cs="宋体"/>
          <w:kern w:val="0"/>
          <w:szCs w:val="20"/>
        </w:rPr>
        <w:t>（格式见附件）</w:t>
      </w:r>
      <w:r>
        <w:rPr>
          <w:rFonts w:hint="eastAsia" w:ascii="宋体" w:hAnsi="宋体" w:cs="宋体"/>
          <w:kern w:val="0"/>
          <w:szCs w:val="21"/>
        </w:rPr>
        <w:t>；</w:t>
      </w:r>
    </w:p>
    <w:p>
      <w:pPr>
        <w:widowControl/>
        <w:numPr>
          <w:ilvl w:val="0"/>
          <w:numId w:val="10"/>
        </w:numPr>
        <w:snapToGrid w:val="0"/>
        <w:spacing w:line="360" w:lineRule="auto"/>
        <w:ind w:left="210" w:leftChars="100"/>
        <w:jc w:val="left"/>
        <w:rPr>
          <w:rFonts w:ascii="宋体" w:hAnsi="宋体" w:cs="宋体"/>
          <w:kern w:val="0"/>
          <w:szCs w:val="21"/>
        </w:rPr>
      </w:pPr>
      <w:r>
        <w:rPr>
          <w:rFonts w:hint="eastAsia" w:ascii="宋体" w:hAnsi="宋体" w:cs="宋体"/>
          <w:kern w:val="0"/>
          <w:szCs w:val="21"/>
        </w:rPr>
        <w:t>法定代表人身份证明或法定代表人授权委托书（格式见附件）；</w:t>
      </w:r>
    </w:p>
    <w:p>
      <w:pPr>
        <w:widowControl/>
        <w:numPr>
          <w:ilvl w:val="0"/>
          <w:numId w:val="10"/>
        </w:numPr>
        <w:snapToGrid w:val="0"/>
        <w:spacing w:line="360" w:lineRule="auto"/>
        <w:ind w:left="210" w:leftChars="100"/>
        <w:jc w:val="left"/>
        <w:rPr>
          <w:rFonts w:ascii="宋体" w:hAnsi="宋体" w:cs="宋体"/>
          <w:kern w:val="0"/>
          <w:szCs w:val="21"/>
        </w:rPr>
      </w:pPr>
      <w:r>
        <w:rPr>
          <w:rFonts w:hint="eastAsia" w:ascii="宋体" w:hAnsi="宋体" w:cs="宋体"/>
          <w:szCs w:val="21"/>
        </w:rPr>
        <w:t>商务/技术条款偏离表（见格式）</w:t>
      </w:r>
      <w:r>
        <w:rPr>
          <w:rFonts w:hint="eastAsia" w:ascii="宋体" w:hAnsi="宋体" w:cs="宋体"/>
          <w:kern w:val="0"/>
          <w:szCs w:val="21"/>
        </w:rPr>
        <w:t>；</w:t>
      </w:r>
      <w:r>
        <w:rPr>
          <w:rFonts w:hint="eastAsia" w:ascii="宋体" w:hAnsi="宋体" w:cs="宋体"/>
          <w:kern w:val="0"/>
          <w:szCs w:val="21"/>
        </w:rPr>
        <w:tab/>
      </w:r>
    </w:p>
    <w:p>
      <w:pPr>
        <w:widowControl/>
        <w:numPr>
          <w:ilvl w:val="0"/>
          <w:numId w:val="10"/>
        </w:numPr>
        <w:snapToGrid w:val="0"/>
        <w:spacing w:line="360" w:lineRule="auto"/>
        <w:ind w:left="210" w:leftChars="100"/>
        <w:jc w:val="left"/>
        <w:rPr>
          <w:rFonts w:ascii="宋体" w:hAnsi="宋体" w:cs="宋体"/>
          <w:kern w:val="0"/>
          <w:szCs w:val="21"/>
        </w:rPr>
      </w:pPr>
      <w:r>
        <w:rPr>
          <w:rFonts w:hint="eastAsia" w:ascii="宋体" w:hAnsi="宋体" w:cs="宋体"/>
          <w:kern w:val="0"/>
          <w:szCs w:val="21"/>
        </w:rPr>
        <w:t>供应商情况一览表</w:t>
      </w:r>
      <w:r>
        <w:rPr>
          <w:rFonts w:hint="eastAsia" w:ascii="宋体" w:hAnsi="宋体" w:cs="宋体"/>
          <w:kern w:val="0"/>
          <w:szCs w:val="20"/>
        </w:rPr>
        <w:t>（格式见附件）</w:t>
      </w:r>
      <w:r>
        <w:rPr>
          <w:rFonts w:hint="eastAsia" w:ascii="宋体" w:hAnsi="宋体" w:cs="宋体"/>
          <w:kern w:val="0"/>
          <w:szCs w:val="21"/>
        </w:rPr>
        <w:t>；</w:t>
      </w:r>
    </w:p>
    <w:p>
      <w:pPr>
        <w:widowControl/>
        <w:numPr>
          <w:ilvl w:val="0"/>
          <w:numId w:val="10"/>
        </w:numPr>
        <w:snapToGrid w:val="0"/>
        <w:spacing w:line="360" w:lineRule="auto"/>
        <w:ind w:left="210" w:leftChars="100"/>
        <w:jc w:val="left"/>
        <w:rPr>
          <w:rFonts w:ascii="宋体" w:hAnsi="宋体" w:cs="宋体"/>
          <w:kern w:val="0"/>
          <w:szCs w:val="21"/>
        </w:rPr>
      </w:pPr>
      <w:r>
        <w:rPr>
          <w:rFonts w:hint="eastAsia" w:ascii="宋体" w:hAnsi="宋体" w:cs="宋体"/>
          <w:kern w:val="0"/>
          <w:szCs w:val="21"/>
        </w:rPr>
        <w:t>企业业绩表</w:t>
      </w:r>
      <w:r>
        <w:rPr>
          <w:rFonts w:hint="eastAsia" w:ascii="宋体" w:hAnsi="宋体" w:cs="宋体"/>
          <w:kern w:val="0"/>
          <w:szCs w:val="20"/>
        </w:rPr>
        <w:t>（格式见附件）</w:t>
      </w:r>
      <w:r>
        <w:rPr>
          <w:rFonts w:hint="eastAsia" w:ascii="宋体" w:hAnsi="宋体" w:cs="宋体"/>
          <w:kern w:val="0"/>
          <w:szCs w:val="21"/>
        </w:rPr>
        <w:t>；</w:t>
      </w:r>
    </w:p>
    <w:p>
      <w:pPr>
        <w:widowControl/>
        <w:numPr>
          <w:ilvl w:val="0"/>
          <w:numId w:val="10"/>
        </w:numPr>
        <w:snapToGrid w:val="0"/>
        <w:spacing w:line="360" w:lineRule="auto"/>
        <w:ind w:left="210" w:leftChars="100"/>
        <w:jc w:val="left"/>
        <w:rPr>
          <w:rFonts w:ascii="宋体" w:hAnsi="宋体" w:cs="宋体"/>
          <w:kern w:val="0"/>
          <w:szCs w:val="21"/>
        </w:rPr>
      </w:pPr>
      <w:r>
        <w:rPr>
          <w:rFonts w:hint="eastAsia" w:ascii="宋体" w:hAnsi="宋体" w:cs="宋体"/>
          <w:kern w:val="0"/>
          <w:szCs w:val="21"/>
        </w:rPr>
        <w:t>本项目人员配备表</w:t>
      </w:r>
      <w:r>
        <w:rPr>
          <w:rFonts w:hint="eastAsia" w:ascii="宋体" w:hAnsi="宋体" w:cs="宋体"/>
          <w:kern w:val="0"/>
          <w:szCs w:val="20"/>
        </w:rPr>
        <w:t>（格式见附件）</w:t>
      </w:r>
      <w:r>
        <w:rPr>
          <w:rFonts w:hint="eastAsia" w:ascii="宋体" w:hAnsi="宋体" w:cs="宋体"/>
          <w:kern w:val="0"/>
          <w:szCs w:val="21"/>
        </w:rPr>
        <w:t>；</w:t>
      </w:r>
    </w:p>
    <w:p>
      <w:pPr>
        <w:widowControl/>
        <w:numPr>
          <w:ilvl w:val="0"/>
          <w:numId w:val="10"/>
        </w:numPr>
        <w:snapToGrid w:val="0"/>
        <w:spacing w:line="360" w:lineRule="auto"/>
        <w:ind w:left="210" w:leftChars="100"/>
        <w:jc w:val="left"/>
        <w:rPr>
          <w:rFonts w:ascii="宋体" w:hAnsi="宋体" w:cs="宋体"/>
          <w:kern w:val="0"/>
          <w:szCs w:val="21"/>
        </w:rPr>
      </w:pPr>
      <w:r>
        <w:rPr>
          <w:rFonts w:hint="eastAsia" w:ascii="宋体" w:hAnsi="宋体" w:cs="宋体"/>
          <w:kern w:val="0"/>
          <w:szCs w:val="21"/>
        </w:rPr>
        <w:t>技术部分：针对本项目第二章采购需求及第四章评分标准中的条款拟定各种方案，格式自拟；</w:t>
      </w:r>
    </w:p>
    <w:p>
      <w:pPr>
        <w:widowControl/>
        <w:numPr>
          <w:ilvl w:val="0"/>
          <w:numId w:val="10"/>
        </w:numPr>
        <w:snapToGrid w:val="0"/>
        <w:spacing w:line="360" w:lineRule="auto"/>
        <w:ind w:left="210" w:leftChars="100"/>
        <w:jc w:val="left"/>
        <w:rPr>
          <w:rFonts w:ascii="宋体" w:hAnsi="宋体" w:cs="宋体"/>
        </w:rPr>
      </w:pPr>
      <w:r>
        <w:rPr>
          <w:rFonts w:hint="eastAsia" w:ascii="宋体" w:hAnsi="宋体" w:cs="宋体"/>
          <w:kern w:val="0"/>
          <w:szCs w:val="21"/>
        </w:rPr>
        <w:t>供应商认为有需要提供的其它证明资料</w:t>
      </w:r>
      <w:r>
        <w:rPr>
          <w:rFonts w:hint="eastAsia" w:ascii="宋体" w:hAnsi="宋体" w:cs="宋体"/>
          <w:kern w:val="0"/>
          <w:szCs w:val="21"/>
          <w:lang w:eastAsia="zh-CN"/>
        </w:rPr>
        <w:t>（</w:t>
      </w:r>
      <w:r>
        <w:rPr>
          <w:rFonts w:hint="eastAsia" w:ascii="宋体" w:hAnsi="宋体" w:cs="宋体"/>
          <w:kern w:val="0"/>
          <w:szCs w:val="21"/>
          <w:lang w:val="en-US" w:eastAsia="zh-CN"/>
        </w:rPr>
        <w:t>如有</w:t>
      </w:r>
      <w:r>
        <w:rPr>
          <w:rFonts w:hint="eastAsia" w:ascii="宋体" w:hAnsi="宋体" w:cs="宋体"/>
          <w:kern w:val="0"/>
          <w:szCs w:val="21"/>
          <w:lang w:eastAsia="zh-CN"/>
        </w:rPr>
        <w:t>）</w:t>
      </w:r>
      <w:r>
        <w:rPr>
          <w:rFonts w:hint="eastAsia" w:ascii="宋体" w:hAnsi="宋体" w:cs="宋体"/>
          <w:kern w:val="0"/>
          <w:szCs w:val="21"/>
        </w:rPr>
        <w:t>。</w:t>
      </w:r>
    </w:p>
    <w:p>
      <w:pPr>
        <w:numPr>
          <w:ilvl w:val="0"/>
          <w:numId w:val="8"/>
        </w:numPr>
        <w:snapToGrid w:val="0"/>
        <w:spacing w:line="360" w:lineRule="auto"/>
        <w:ind w:firstLine="422" w:firstLineChars="200"/>
        <w:jc w:val="left"/>
        <w:rPr>
          <w:rFonts w:ascii="宋体" w:hAnsi="宋体" w:cs="宋体"/>
          <w:b/>
          <w:bCs/>
        </w:rPr>
      </w:pPr>
      <w:r>
        <w:rPr>
          <w:rFonts w:hint="eastAsia" w:ascii="宋体" w:hAnsi="宋体" w:cs="宋体"/>
          <w:b/>
          <w:bCs/>
        </w:rPr>
        <w:t>报价文件内容包括：</w:t>
      </w:r>
    </w:p>
    <w:p>
      <w:pPr>
        <w:snapToGrid w:val="0"/>
        <w:spacing w:line="360" w:lineRule="auto"/>
        <w:ind w:left="210" w:leftChars="100"/>
        <w:jc w:val="left"/>
        <w:rPr>
          <w:rFonts w:ascii="宋体" w:hAnsi="宋体" w:cs="宋体"/>
        </w:rPr>
      </w:pPr>
      <w:r>
        <w:rPr>
          <w:rFonts w:hint="eastAsia" w:ascii="宋体" w:hAnsi="宋体" w:cs="宋体"/>
        </w:rPr>
        <w:t>（1）开标一览表（格式见附件）；</w:t>
      </w:r>
    </w:p>
    <w:p>
      <w:pPr>
        <w:snapToGrid w:val="0"/>
        <w:spacing w:line="360" w:lineRule="auto"/>
        <w:ind w:left="210" w:leftChars="100"/>
        <w:jc w:val="left"/>
        <w:rPr>
          <w:rFonts w:ascii="宋体" w:hAnsi="宋体" w:cs="宋体"/>
        </w:rPr>
      </w:pPr>
      <w:r>
        <w:rPr>
          <w:rFonts w:hint="eastAsia" w:ascii="宋体" w:hAnsi="宋体" w:cs="宋体"/>
        </w:rPr>
        <w:t>（2）投标报价明细表（格式见附件）；</w:t>
      </w:r>
    </w:p>
    <w:p>
      <w:pPr>
        <w:snapToGrid w:val="0"/>
        <w:spacing w:line="360" w:lineRule="auto"/>
        <w:ind w:left="210" w:leftChars="100"/>
        <w:jc w:val="left"/>
        <w:rPr>
          <w:rFonts w:hint="eastAsia" w:ascii="宋体" w:hAnsi="宋体" w:eastAsia="宋体" w:cs="宋体"/>
          <w:lang w:eastAsia="zh-CN"/>
        </w:rPr>
      </w:pPr>
      <w:r>
        <w:rPr>
          <w:rFonts w:hint="eastAsia" w:ascii="宋体" w:hAnsi="宋体" w:cs="宋体"/>
        </w:rPr>
        <w:t>（3）供应商针对报价需要说明的其他文件和说明（</w:t>
      </w:r>
      <w:r>
        <w:rPr>
          <w:rFonts w:hint="eastAsia" w:ascii="宋体" w:hAnsi="宋体" w:cs="宋体"/>
          <w:kern w:val="0"/>
          <w:szCs w:val="21"/>
          <w:lang w:val="en-US" w:eastAsia="zh-CN"/>
        </w:rPr>
        <w:t>如有</w:t>
      </w:r>
      <w:r>
        <w:rPr>
          <w:rFonts w:hint="eastAsia" w:ascii="宋体" w:hAnsi="宋体" w:cs="宋体"/>
        </w:rPr>
        <w:t>）</w:t>
      </w:r>
      <w:r>
        <w:rPr>
          <w:rFonts w:hint="eastAsia" w:ascii="宋体" w:hAnsi="宋体" w:cs="宋体"/>
          <w:lang w:eastAsia="zh-CN"/>
        </w:rPr>
        <w:t>。</w:t>
      </w:r>
    </w:p>
    <w:p>
      <w:pPr>
        <w:snapToGrid w:val="0"/>
        <w:spacing w:line="360" w:lineRule="auto"/>
        <w:ind w:firstLine="413" w:firstLineChars="196"/>
        <w:jc w:val="left"/>
        <w:rPr>
          <w:rFonts w:ascii="宋体" w:hAnsi="宋体" w:cs="宋体"/>
          <w:b/>
          <w:szCs w:val="21"/>
        </w:rPr>
      </w:pPr>
      <w:bookmarkStart w:id="67" w:name="_Toc10734"/>
      <w:r>
        <w:rPr>
          <w:rFonts w:hint="eastAsia" w:ascii="宋体" w:hAnsi="宋体" w:cs="宋体"/>
          <w:b/>
          <w:szCs w:val="21"/>
        </w:rPr>
        <w:t>★（1）电子投标文件中所须加盖公章部分均采用CA签章。</w:t>
      </w:r>
    </w:p>
    <w:p>
      <w:pPr>
        <w:snapToGrid w:val="0"/>
        <w:spacing w:line="360" w:lineRule="auto"/>
        <w:ind w:firstLine="422" w:firstLineChars="200"/>
        <w:jc w:val="left"/>
        <w:rPr>
          <w:rFonts w:ascii="宋体" w:hAnsi="宋体" w:cs="宋体"/>
          <w:b/>
          <w:szCs w:val="21"/>
        </w:rPr>
      </w:pPr>
      <w:r>
        <w:rPr>
          <w:rFonts w:hint="eastAsia" w:ascii="宋体" w:hAnsi="宋体" w:cs="宋体"/>
          <w:b/>
          <w:szCs w:val="21"/>
        </w:rPr>
        <w:t>（2）上述组成投标文件的各项资料中本</w:t>
      </w:r>
      <w:r>
        <w:rPr>
          <w:rFonts w:hint="eastAsia" w:ascii="宋体" w:hAnsi="宋体" w:cs="宋体"/>
          <w:b/>
          <w:szCs w:val="21"/>
          <w:lang w:eastAsia="zh-CN"/>
        </w:rPr>
        <w:t>采购文件</w:t>
      </w:r>
      <w:r>
        <w:rPr>
          <w:rFonts w:hint="eastAsia" w:ascii="宋体" w:hAnsi="宋体" w:cs="宋体"/>
          <w:b/>
          <w:szCs w:val="21"/>
        </w:rPr>
        <w:t>的有规定格式的，应统一按本</w:t>
      </w:r>
      <w:r>
        <w:rPr>
          <w:rFonts w:hint="eastAsia" w:ascii="宋体" w:hAnsi="宋体" w:cs="宋体"/>
          <w:b/>
          <w:szCs w:val="21"/>
          <w:lang w:eastAsia="zh-CN"/>
        </w:rPr>
        <w:t>采购文件</w:t>
      </w:r>
      <w:r>
        <w:rPr>
          <w:rFonts w:hint="eastAsia" w:ascii="宋体" w:hAnsi="宋体" w:cs="宋体"/>
          <w:b/>
          <w:szCs w:val="21"/>
        </w:rPr>
        <w:t>的规定格式填写。未有规定格式的资料，投标人应自行编制，但至少要包含以上要求的内容。</w:t>
      </w:r>
    </w:p>
    <w:p>
      <w:pPr>
        <w:snapToGrid w:val="0"/>
        <w:spacing w:line="360" w:lineRule="auto"/>
        <w:ind w:firstLine="422" w:firstLineChars="200"/>
        <w:jc w:val="left"/>
        <w:rPr>
          <w:rFonts w:ascii="宋体" w:hAnsi="宋体" w:cs="宋体"/>
          <w:b/>
          <w:szCs w:val="21"/>
        </w:rPr>
      </w:pPr>
      <w:r>
        <w:rPr>
          <w:rFonts w:hint="eastAsia" w:ascii="宋体" w:hAnsi="宋体" w:cs="宋体"/>
          <w:b/>
          <w:szCs w:val="21"/>
        </w:rPr>
        <w:t>★（二）投标文件的语言及计量</w:t>
      </w:r>
      <w:bookmarkEnd w:id="67"/>
    </w:p>
    <w:p>
      <w:pPr>
        <w:snapToGrid w:val="0"/>
        <w:spacing w:line="360" w:lineRule="auto"/>
        <w:ind w:firstLine="422" w:firstLineChars="200"/>
        <w:jc w:val="left"/>
        <w:rPr>
          <w:rFonts w:ascii="宋体" w:hAnsi="宋体" w:cs="宋体"/>
          <w:b/>
          <w:szCs w:val="21"/>
        </w:rPr>
      </w:pPr>
      <w:r>
        <w:rPr>
          <w:rFonts w:hint="eastAsia" w:ascii="宋体" w:hAnsi="宋体" w:cs="宋体"/>
          <w:b/>
          <w:szCs w:val="21"/>
        </w:rPr>
        <w:t>1.投标文件以及供应商与采购人就有关投标事宜的所有来往函电，均应以中文汉语书写。除签名、盖章、专用名称等特殊情形外，以中文汉语以外的文字表述的投标文件视同未提供。</w:t>
      </w:r>
    </w:p>
    <w:p>
      <w:pPr>
        <w:snapToGrid w:val="0"/>
        <w:spacing w:line="360" w:lineRule="auto"/>
        <w:ind w:firstLine="422" w:firstLineChars="200"/>
        <w:jc w:val="left"/>
        <w:rPr>
          <w:rFonts w:ascii="宋体" w:hAnsi="宋体" w:cs="宋体"/>
          <w:b/>
          <w:szCs w:val="21"/>
        </w:rPr>
      </w:pPr>
      <w:r>
        <w:rPr>
          <w:rFonts w:hint="eastAsia" w:ascii="宋体" w:hAnsi="宋体" w:cs="宋体"/>
          <w:b/>
          <w:szCs w:val="21"/>
        </w:rPr>
        <w:t>2.投标计量单位，</w:t>
      </w:r>
      <w:r>
        <w:rPr>
          <w:rFonts w:hint="eastAsia" w:ascii="宋体" w:hAnsi="宋体" w:cs="宋体"/>
          <w:b/>
          <w:szCs w:val="21"/>
          <w:lang w:eastAsia="zh-CN"/>
        </w:rPr>
        <w:t>采购文件</w:t>
      </w:r>
      <w:r>
        <w:rPr>
          <w:rFonts w:hint="eastAsia" w:ascii="宋体" w:hAnsi="宋体" w:cs="宋体"/>
          <w:b/>
          <w:szCs w:val="21"/>
        </w:rPr>
        <w:t>已有明确规定的，使用</w:t>
      </w:r>
      <w:r>
        <w:rPr>
          <w:rFonts w:hint="eastAsia" w:ascii="宋体" w:hAnsi="宋体" w:cs="宋体"/>
          <w:b/>
          <w:szCs w:val="21"/>
          <w:lang w:eastAsia="zh-CN"/>
        </w:rPr>
        <w:t>采购文件</w:t>
      </w:r>
      <w:r>
        <w:rPr>
          <w:rFonts w:hint="eastAsia" w:ascii="宋体" w:hAnsi="宋体" w:cs="宋体"/>
          <w:b/>
          <w:szCs w:val="21"/>
        </w:rPr>
        <w:t>规定的计量单位；</w:t>
      </w:r>
      <w:r>
        <w:rPr>
          <w:rFonts w:hint="eastAsia" w:ascii="宋体" w:hAnsi="宋体" w:cs="宋体"/>
          <w:b/>
          <w:szCs w:val="21"/>
          <w:lang w:eastAsia="zh-CN"/>
        </w:rPr>
        <w:t>采购文件</w:t>
      </w:r>
      <w:r>
        <w:rPr>
          <w:rFonts w:hint="eastAsia" w:ascii="宋体" w:hAnsi="宋体" w:cs="宋体"/>
          <w:b/>
          <w:szCs w:val="21"/>
        </w:rPr>
        <w:t>没有规定的，应采用中华人民共和国法定计量单位（货币单位：人民币元），否则视同未响应。</w:t>
      </w:r>
    </w:p>
    <w:p>
      <w:pPr>
        <w:snapToGrid w:val="0"/>
        <w:spacing w:line="360" w:lineRule="auto"/>
        <w:ind w:firstLine="413" w:firstLineChars="196"/>
        <w:jc w:val="left"/>
        <w:rPr>
          <w:rFonts w:ascii="宋体" w:hAnsi="宋体" w:cs="宋体"/>
          <w:b/>
          <w:szCs w:val="21"/>
        </w:rPr>
      </w:pPr>
      <w:bookmarkStart w:id="68" w:name="_Toc3681"/>
      <w:r>
        <w:rPr>
          <w:rFonts w:hint="eastAsia" w:ascii="宋体" w:hAnsi="宋体" w:cs="宋体"/>
          <w:b/>
          <w:szCs w:val="21"/>
        </w:rPr>
        <w:t>（三）投标报价</w:t>
      </w:r>
      <w:bookmarkEnd w:id="68"/>
    </w:p>
    <w:p>
      <w:pPr>
        <w:pStyle w:val="28"/>
        <w:snapToGrid w:val="0"/>
        <w:spacing w:before="0" w:beforeLines="0" w:after="0" w:afterLines="0" w:line="360" w:lineRule="auto"/>
        <w:ind w:firstLine="420" w:firstLineChars="200"/>
        <w:jc w:val="left"/>
        <w:rPr>
          <w:rFonts w:hint="default" w:hAnsi="宋体" w:cs="宋体"/>
        </w:rPr>
      </w:pPr>
      <w:r>
        <w:rPr>
          <w:rFonts w:hAnsi="宋体" w:cs="宋体"/>
        </w:rPr>
        <w:t>1.投标报价应按</w:t>
      </w:r>
      <w:r>
        <w:rPr>
          <w:rFonts w:hint="eastAsia" w:hAnsi="宋体" w:cs="宋体"/>
          <w:lang w:eastAsia="zh-CN"/>
        </w:rPr>
        <w:t>采购文件</w:t>
      </w:r>
      <w:r>
        <w:rPr>
          <w:rFonts w:hAnsi="宋体" w:cs="宋体"/>
        </w:rPr>
        <w:t>中相关附表格式填写。</w:t>
      </w:r>
    </w:p>
    <w:p>
      <w:pPr>
        <w:pStyle w:val="28"/>
        <w:snapToGrid w:val="0"/>
        <w:spacing w:before="0" w:beforeLines="0" w:after="0" w:afterLines="0" w:line="360" w:lineRule="auto"/>
        <w:ind w:firstLine="420" w:firstLineChars="200"/>
        <w:jc w:val="left"/>
        <w:rPr>
          <w:rFonts w:hint="default" w:hAnsi="宋体" w:cs="宋体"/>
          <w:bCs/>
        </w:rPr>
      </w:pPr>
      <w:r>
        <w:rPr>
          <w:rFonts w:hAnsi="宋体" w:cs="宋体"/>
          <w:bCs/>
        </w:rPr>
        <w:t xml:space="preserve">★2.投标报价是履行合同的最终价格，具体详见第三章《供应商须知》。 </w:t>
      </w:r>
    </w:p>
    <w:p>
      <w:pPr>
        <w:pStyle w:val="28"/>
        <w:snapToGrid w:val="0"/>
        <w:spacing w:before="0" w:beforeLines="0" w:after="0" w:afterLines="0" w:line="360" w:lineRule="auto"/>
        <w:ind w:firstLine="420" w:firstLineChars="200"/>
        <w:jc w:val="left"/>
        <w:rPr>
          <w:rFonts w:hint="default" w:hAnsi="宋体" w:cs="宋体"/>
        </w:rPr>
      </w:pPr>
      <w:r>
        <w:rPr>
          <w:rFonts w:hAnsi="宋体" w:cs="宋体"/>
        </w:rPr>
        <w:t>★3.投标文件只允许有一个报价，有选择的或有条件的报价将不予接受。</w:t>
      </w:r>
    </w:p>
    <w:p>
      <w:pPr>
        <w:pStyle w:val="14"/>
        <w:widowControl w:val="0"/>
        <w:tabs>
          <w:tab w:val="clear" w:pos="454"/>
        </w:tabs>
        <w:snapToGrid w:val="0"/>
        <w:spacing w:after="0" w:afterLines="0" w:line="360" w:lineRule="auto"/>
        <w:ind w:left="0" w:firstLine="413" w:firstLineChars="196"/>
        <w:rPr>
          <w:rFonts w:ascii="宋体" w:hAnsi="宋体" w:cs="宋体"/>
          <w:b/>
          <w:sz w:val="21"/>
          <w:szCs w:val="21"/>
        </w:rPr>
      </w:pPr>
      <w:r>
        <w:rPr>
          <w:rFonts w:hint="eastAsia" w:ascii="宋体" w:hAnsi="宋体" w:cs="宋体"/>
          <w:b/>
          <w:sz w:val="21"/>
          <w:szCs w:val="21"/>
        </w:rPr>
        <w:t>（四）投标文件的有效期</w:t>
      </w:r>
    </w:p>
    <w:p>
      <w:pPr>
        <w:pStyle w:val="14"/>
        <w:widowControl w:val="0"/>
        <w:tabs>
          <w:tab w:val="clear" w:pos="454"/>
        </w:tabs>
        <w:snapToGrid w:val="0"/>
        <w:spacing w:after="0" w:afterLines="0" w:line="360" w:lineRule="auto"/>
        <w:ind w:left="0" w:firstLine="422" w:firstLineChars="200"/>
        <w:rPr>
          <w:rFonts w:ascii="宋体" w:hAnsi="宋体" w:cs="宋体"/>
          <w:b/>
          <w:sz w:val="21"/>
          <w:szCs w:val="21"/>
        </w:rPr>
      </w:pPr>
      <w:r>
        <w:rPr>
          <w:rFonts w:hint="eastAsia" w:ascii="宋体" w:hAnsi="宋体" w:cs="宋体"/>
          <w:b/>
          <w:sz w:val="21"/>
          <w:szCs w:val="21"/>
        </w:rPr>
        <w:t>★1.自投标截止日起</w:t>
      </w:r>
      <w:r>
        <w:rPr>
          <w:rFonts w:hint="eastAsia" w:ascii="宋体" w:hAnsi="宋体" w:cs="宋体"/>
          <w:b/>
          <w:sz w:val="21"/>
          <w:szCs w:val="21"/>
          <w:u w:val="single"/>
        </w:rPr>
        <w:t>90</w:t>
      </w:r>
      <w:r>
        <w:rPr>
          <w:rFonts w:hint="eastAsia" w:ascii="宋体" w:hAnsi="宋体" w:cs="宋体"/>
          <w:b/>
          <w:sz w:val="21"/>
          <w:szCs w:val="21"/>
        </w:rPr>
        <w:t>天投标文件应保持有效。</w:t>
      </w:r>
    </w:p>
    <w:p>
      <w:pPr>
        <w:pStyle w:val="14"/>
        <w:widowControl w:val="0"/>
        <w:tabs>
          <w:tab w:val="clear" w:pos="454"/>
        </w:tabs>
        <w:snapToGrid w:val="0"/>
        <w:spacing w:after="0" w:afterLines="0" w:line="360" w:lineRule="auto"/>
        <w:ind w:left="0" w:firstLine="420" w:firstLineChars="200"/>
        <w:rPr>
          <w:rFonts w:ascii="宋体" w:hAnsi="宋体" w:cs="宋体"/>
          <w:sz w:val="21"/>
          <w:szCs w:val="21"/>
        </w:rPr>
      </w:pPr>
      <w:r>
        <w:rPr>
          <w:rFonts w:hint="eastAsia" w:ascii="宋体" w:hAnsi="宋体" w:cs="宋体"/>
          <w:sz w:val="21"/>
          <w:szCs w:val="21"/>
        </w:rPr>
        <w:t>2.在特殊情况下，采购人可与供应商协商延长投标书的有效期，这种要求和答复均以书面形式进行。</w:t>
      </w:r>
    </w:p>
    <w:p>
      <w:pPr>
        <w:snapToGrid w:val="0"/>
        <w:spacing w:line="360" w:lineRule="auto"/>
        <w:ind w:firstLine="420" w:firstLineChars="200"/>
        <w:jc w:val="left"/>
        <w:rPr>
          <w:rFonts w:ascii="宋体" w:hAnsi="宋体" w:cs="宋体"/>
          <w:b/>
          <w:szCs w:val="21"/>
        </w:rPr>
      </w:pPr>
      <w:bookmarkStart w:id="69" w:name="_Toc24481"/>
      <w:r>
        <w:rPr>
          <w:rFonts w:hint="eastAsia" w:ascii="宋体" w:hAnsi="宋体" w:cs="宋体"/>
          <w:szCs w:val="21"/>
        </w:rPr>
        <w:t>3.同意延长有效期的供应商不能修改投标文件。</w:t>
      </w:r>
      <w:bookmarkEnd w:id="69"/>
      <w:r>
        <w:rPr>
          <w:rFonts w:hint="eastAsia" w:ascii="宋体" w:hAnsi="宋体" w:cs="宋体"/>
          <w:b/>
          <w:szCs w:val="21"/>
        </w:rPr>
        <w:t xml:space="preserve"> </w:t>
      </w:r>
    </w:p>
    <w:p>
      <w:pPr>
        <w:snapToGrid w:val="0"/>
        <w:spacing w:line="360" w:lineRule="auto"/>
        <w:ind w:firstLine="420" w:firstLineChars="200"/>
        <w:jc w:val="left"/>
        <w:rPr>
          <w:rFonts w:ascii="宋体" w:hAnsi="宋体" w:cs="宋体"/>
          <w:b/>
          <w:szCs w:val="21"/>
        </w:rPr>
      </w:pPr>
      <w:bookmarkStart w:id="70" w:name="_Toc6471"/>
      <w:r>
        <w:rPr>
          <w:rFonts w:hint="eastAsia" w:ascii="宋体" w:hAnsi="宋体" w:cs="宋体"/>
          <w:szCs w:val="21"/>
        </w:rPr>
        <w:t>4.中标人的投标文件自开标之日起至合同履行完毕止均应保持有效。</w:t>
      </w:r>
      <w:bookmarkEnd w:id="70"/>
    </w:p>
    <w:p>
      <w:pPr>
        <w:snapToGrid w:val="0"/>
        <w:spacing w:line="360" w:lineRule="auto"/>
        <w:ind w:firstLine="413" w:firstLineChars="196"/>
        <w:jc w:val="left"/>
        <w:rPr>
          <w:rFonts w:ascii="宋体" w:hAnsi="宋体" w:cs="宋体"/>
          <w:b/>
          <w:szCs w:val="21"/>
        </w:rPr>
      </w:pPr>
      <w:bookmarkStart w:id="71" w:name="_Toc14508"/>
      <w:r>
        <w:rPr>
          <w:rFonts w:hint="eastAsia" w:ascii="宋体" w:hAnsi="宋体" w:cs="宋体"/>
          <w:b/>
          <w:szCs w:val="21"/>
        </w:rPr>
        <w:t>（五）投标文件的签署和份数</w:t>
      </w:r>
      <w:bookmarkEnd w:id="71"/>
    </w:p>
    <w:p>
      <w:pPr>
        <w:spacing w:line="360" w:lineRule="auto"/>
        <w:ind w:firstLine="525" w:firstLineChars="250"/>
        <w:rPr>
          <w:rFonts w:ascii="宋体" w:hAnsi="宋体" w:cs="宋体"/>
        </w:rPr>
      </w:pPr>
      <w:r>
        <w:rPr>
          <w:rFonts w:hint="eastAsia" w:ascii="宋体" w:hAnsi="宋体" w:cs="宋体"/>
        </w:rPr>
        <w:t>1</w:t>
      </w:r>
      <w:r>
        <w:rPr>
          <w:rFonts w:hint="eastAsia" w:ascii="宋体" w:hAnsi="宋体" w:cs="宋体"/>
          <w:szCs w:val="21"/>
        </w:rPr>
        <w:t>、</w:t>
      </w:r>
      <w:r>
        <w:rPr>
          <w:rFonts w:hint="eastAsia" w:ascii="宋体" w:hAnsi="宋体" w:cs="宋体"/>
        </w:rPr>
        <w:t>供应商应按本</w:t>
      </w:r>
      <w:r>
        <w:rPr>
          <w:rFonts w:hint="eastAsia" w:ascii="宋体" w:hAnsi="宋体" w:cs="宋体"/>
          <w:lang w:eastAsia="zh-CN"/>
        </w:rPr>
        <w:t>采购文件</w:t>
      </w:r>
      <w:r>
        <w:rPr>
          <w:rFonts w:hint="eastAsia" w:ascii="宋体" w:hAnsi="宋体" w:cs="宋体"/>
        </w:rPr>
        <w:t>规定的格式和顺序编制、装订投标文件</w:t>
      </w:r>
      <w:r>
        <w:rPr>
          <w:rFonts w:hint="eastAsia" w:ascii="宋体" w:hAnsi="宋体" w:cs="宋体"/>
          <w:szCs w:val="21"/>
        </w:rPr>
        <w:t>，投标文件要求有目录并标注页码</w:t>
      </w:r>
      <w:r>
        <w:rPr>
          <w:rFonts w:hint="eastAsia" w:ascii="宋体" w:hAnsi="宋体" w:cs="宋体"/>
        </w:rPr>
        <w:t>，投标文件内容不完整、编排混乱导致投标文件被误读、漏读或者查找不到相关内容的，是供应商的责任。</w:t>
      </w:r>
    </w:p>
    <w:p>
      <w:pPr>
        <w:spacing w:line="360" w:lineRule="auto"/>
        <w:ind w:firstLine="525" w:firstLineChars="250"/>
        <w:rPr>
          <w:rFonts w:ascii="宋体" w:hAnsi="宋体" w:cs="宋体"/>
        </w:rPr>
      </w:pPr>
      <w:r>
        <w:rPr>
          <w:rFonts w:hint="eastAsia" w:ascii="宋体" w:hAnsi="宋体" w:cs="宋体"/>
        </w:rPr>
        <w:t>2、投标文件的份数：</w:t>
      </w:r>
    </w:p>
    <w:p>
      <w:pPr>
        <w:spacing w:line="360" w:lineRule="auto"/>
        <w:ind w:firstLine="525" w:firstLineChars="250"/>
        <w:rPr>
          <w:rFonts w:ascii="宋体" w:hAnsi="宋体" w:cs="宋体"/>
        </w:rPr>
      </w:pPr>
      <w:r>
        <w:rPr>
          <w:rFonts w:hint="eastAsia" w:ascii="宋体" w:hAnsi="宋体" w:cs="宋体"/>
        </w:rPr>
        <w:t>本项目实行网上投标，供应商应准备以下投标文件：</w:t>
      </w:r>
    </w:p>
    <w:p>
      <w:pPr>
        <w:spacing w:line="360" w:lineRule="auto"/>
        <w:ind w:firstLine="525" w:firstLineChars="250"/>
        <w:rPr>
          <w:rFonts w:ascii="宋体" w:hAnsi="宋体" w:cs="宋体"/>
        </w:rPr>
      </w:pPr>
      <w:r>
        <w:rPr>
          <w:rFonts w:hint="eastAsia" w:ascii="宋体" w:hAnsi="宋体" w:cs="宋体"/>
        </w:rPr>
        <w:t>（1）上传到政府采购云平台的电子投标文件（含资格文件、商务技术文件、报价文件）1份。</w:t>
      </w:r>
    </w:p>
    <w:p>
      <w:pPr>
        <w:spacing w:line="360" w:lineRule="auto"/>
        <w:ind w:firstLine="525" w:firstLineChars="250"/>
        <w:rPr>
          <w:rFonts w:ascii="宋体" w:hAnsi="宋体" w:cs="宋体"/>
        </w:rPr>
      </w:pPr>
      <w:r>
        <w:rPr>
          <w:rFonts w:hint="eastAsia" w:ascii="宋体" w:hAnsi="宋体" w:cs="宋体"/>
        </w:rPr>
        <w:t>（2）以U盘存储的电子备份投标文件（含资格文件、商务技术文件、报价文件）1份。</w:t>
      </w:r>
      <w:r>
        <w:rPr>
          <w:rFonts w:hint="eastAsia" w:ascii="宋体" w:hAnsi="宋体" w:cs="宋体"/>
          <w:szCs w:val="21"/>
        </w:rPr>
        <w:t>（电子备份投标文件不作实质性要求，是否提交由投标人自行决定，用于异常情况处理）</w:t>
      </w:r>
    </w:p>
    <w:p>
      <w:pPr>
        <w:spacing w:line="360" w:lineRule="auto"/>
        <w:ind w:firstLine="525" w:firstLineChars="250"/>
        <w:rPr>
          <w:rFonts w:ascii="宋体" w:hAnsi="宋体" w:cs="宋体"/>
        </w:rPr>
      </w:pPr>
      <w:r>
        <w:rPr>
          <w:rFonts w:hint="eastAsia" w:ascii="宋体" w:hAnsi="宋体" w:cs="宋体"/>
        </w:rPr>
        <w:t>3、电子投标文件：</w:t>
      </w:r>
    </w:p>
    <w:p>
      <w:pPr>
        <w:spacing w:line="360" w:lineRule="auto"/>
        <w:ind w:firstLine="525" w:firstLineChars="250"/>
        <w:rPr>
          <w:rFonts w:ascii="宋体" w:hAnsi="宋体" w:cs="宋体"/>
        </w:rPr>
      </w:pPr>
      <w:r>
        <w:rPr>
          <w:rFonts w:hint="eastAsia" w:ascii="宋体" w:hAnsi="宋体" w:cs="宋体"/>
        </w:rPr>
        <w:t>3.1供应商应根据</w:t>
      </w:r>
      <w:r>
        <w:rPr>
          <w:rFonts w:hint="eastAsia" w:ascii="宋体" w:hAnsi="宋体" w:cs="宋体"/>
          <w:kern w:val="0"/>
          <w:szCs w:val="21"/>
        </w:rPr>
        <w:t>政府采购云平台的要求</w:t>
      </w:r>
      <w:r>
        <w:rPr>
          <w:rFonts w:hint="eastAsia" w:ascii="宋体" w:hAnsi="宋体" w:cs="宋体"/>
        </w:rPr>
        <w:t>及本</w:t>
      </w:r>
      <w:r>
        <w:rPr>
          <w:rFonts w:hint="eastAsia" w:ascii="宋体" w:hAnsi="宋体" w:cs="宋体"/>
          <w:lang w:eastAsia="zh-CN"/>
        </w:rPr>
        <w:t>采购文件</w:t>
      </w:r>
      <w:r>
        <w:rPr>
          <w:rFonts w:hint="eastAsia" w:ascii="宋体" w:hAnsi="宋体" w:cs="宋体"/>
        </w:rPr>
        <w:t>规定的格式和顺序编制电子投标文件并进行关联定位。</w:t>
      </w:r>
    </w:p>
    <w:p>
      <w:pPr>
        <w:snapToGrid w:val="0"/>
        <w:spacing w:line="360" w:lineRule="auto"/>
        <w:ind w:firstLine="310" w:firstLineChars="147"/>
        <w:jc w:val="left"/>
        <w:rPr>
          <w:rFonts w:ascii="宋体" w:hAnsi="宋体" w:cs="宋体"/>
          <w:b/>
          <w:szCs w:val="21"/>
        </w:rPr>
      </w:pPr>
      <w:r>
        <w:rPr>
          <w:rFonts w:hint="eastAsia" w:ascii="宋体" w:hAnsi="宋体" w:cs="宋体"/>
          <w:b/>
          <w:szCs w:val="21"/>
        </w:rPr>
        <w:t>（六）投标文件的包装、递交、修改和撤回</w:t>
      </w:r>
    </w:p>
    <w:p>
      <w:pPr>
        <w:snapToGrid w:val="0"/>
        <w:spacing w:line="360" w:lineRule="auto"/>
        <w:ind w:firstLine="420"/>
        <w:jc w:val="left"/>
        <w:rPr>
          <w:rFonts w:ascii="宋体" w:hAnsi="宋体"/>
          <w:szCs w:val="21"/>
        </w:rPr>
      </w:pPr>
      <w:r>
        <w:rPr>
          <w:rFonts w:hint="eastAsia" w:ascii="宋体" w:hAnsi="宋体" w:cs="宋体"/>
          <w:szCs w:val="21"/>
        </w:rPr>
        <w:t>1、</w:t>
      </w:r>
      <w:r>
        <w:rPr>
          <w:rFonts w:hint="eastAsia" w:ascii="宋体" w:hAnsi="宋体" w:cs="宋体"/>
          <w:kern w:val="0"/>
          <w:szCs w:val="21"/>
        </w:rPr>
        <w:t>以U盘存储的电子备份投标文件</w:t>
      </w:r>
      <w:r>
        <w:rPr>
          <w:rFonts w:hint="eastAsia" w:ascii="宋体" w:hAnsi="宋体"/>
          <w:szCs w:val="21"/>
        </w:rPr>
        <w:t>用封袋密封后递交。</w:t>
      </w:r>
    </w:p>
    <w:p>
      <w:pPr>
        <w:snapToGrid w:val="0"/>
        <w:spacing w:line="360" w:lineRule="auto"/>
        <w:ind w:firstLine="420"/>
        <w:jc w:val="left"/>
        <w:rPr>
          <w:rFonts w:ascii="宋体" w:hAnsi="宋体" w:cs="宋体"/>
          <w:szCs w:val="21"/>
        </w:rPr>
      </w:pPr>
      <w:r>
        <w:rPr>
          <w:rFonts w:hint="eastAsia" w:ascii="宋体" w:hAnsi="宋体" w:cs="宋体"/>
          <w:szCs w:val="21"/>
        </w:rPr>
        <w:t>2、未按规定密封或标记的投标文件将被拒绝，由此造成投标文件被误投或提前拆封的风险由供应商承担。</w:t>
      </w:r>
    </w:p>
    <w:p>
      <w:pPr>
        <w:snapToGrid w:val="0"/>
        <w:spacing w:line="360" w:lineRule="auto"/>
        <w:ind w:firstLine="420"/>
        <w:jc w:val="left"/>
        <w:rPr>
          <w:rFonts w:ascii="宋体" w:hAnsi="宋体" w:cs="宋体"/>
          <w:szCs w:val="21"/>
        </w:rPr>
      </w:pPr>
      <w:r>
        <w:rPr>
          <w:rFonts w:hint="eastAsia" w:ascii="宋体" w:hAnsi="宋体" w:cs="宋体"/>
          <w:szCs w:val="21"/>
        </w:rPr>
        <w:t>3、供应商在投标截止时间之前，可以对已提交的</w:t>
      </w:r>
      <w:r>
        <w:rPr>
          <w:rFonts w:hint="eastAsia" w:ascii="宋体" w:hAnsi="宋体" w:cs="宋体"/>
          <w:kern w:val="0"/>
          <w:szCs w:val="21"/>
        </w:rPr>
        <w:t>电子备份投标文件</w:t>
      </w:r>
      <w:r>
        <w:rPr>
          <w:rFonts w:hint="eastAsia" w:ascii="宋体" w:hAnsi="宋体" w:cs="宋体"/>
          <w:szCs w:val="21"/>
        </w:rPr>
        <w:t>进行修改或撤回，并书面通知招标采购单位；投标截止时间后，供应商不得撤回、修改投标文件。修改后重新递交的</w:t>
      </w:r>
      <w:r>
        <w:rPr>
          <w:rFonts w:hint="eastAsia" w:ascii="宋体" w:hAnsi="宋体" w:cs="宋体"/>
          <w:kern w:val="0"/>
          <w:szCs w:val="21"/>
        </w:rPr>
        <w:t>电子备份投标文件</w:t>
      </w:r>
      <w:r>
        <w:rPr>
          <w:rFonts w:hint="eastAsia" w:ascii="宋体" w:hAnsi="宋体" w:cs="宋体"/>
          <w:szCs w:val="21"/>
        </w:rPr>
        <w:t>应当按本</w:t>
      </w:r>
      <w:r>
        <w:rPr>
          <w:rFonts w:hint="eastAsia" w:ascii="宋体" w:hAnsi="宋体" w:cs="宋体"/>
          <w:szCs w:val="21"/>
          <w:lang w:eastAsia="zh-CN"/>
        </w:rPr>
        <w:t>采购文件</w:t>
      </w:r>
      <w:r>
        <w:rPr>
          <w:rFonts w:hint="eastAsia" w:ascii="宋体" w:hAnsi="宋体" w:cs="宋体"/>
          <w:szCs w:val="21"/>
        </w:rPr>
        <w:t>的要求签署、盖章和密封。</w:t>
      </w:r>
    </w:p>
    <w:p>
      <w:pPr>
        <w:snapToGrid w:val="0"/>
        <w:spacing w:line="360" w:lineRule="auto"/>
        <w:ind w:firstLine="420"/>
        <w:jc w:val="left"/>
        <w:rPr>
          <w:rFonts w:ascii="宋体" w:hAnsi="宋体" w:cs="宋体"/>
          <w:szCs w:val="21"/>
        </w:rPr>
      </w:pPr>
      <w:r>
        <w:rPr>
          <w:rFonts w:hint="eastAsia" w:ascii="宋体" w:hAnsi="宋体" w:cs="宋体"/>
          <w:szCs w:val="21"/>
        </w:rPr>
        <w:t>4、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Style w:val="28"/>
        <w:snapToGrid w:val="0"/>
        <w:spacing w:before="0" w:beforeLines="0" w:after="0" w:afterLines="0" w:line="360" w:lineRule="auto"/>
        <w:ind w:left="772" w:leftChars="267" w:hanging="211" w:hangingChars="100"/>
        <w:rPr>
          <w:rFonts w:hint="default" w:hAnsi="宋体" w:cs="宋体"/>
          <w:b/>
        </w:rPr>
      </w:pPr>
      <w:r>
        <w:rPr>
          <w:rFonts w:hAnsi="宋体" w:cs="宋体"/>
          <w:b/>
        </w:rPr>
        <w:t>（七）投标文件的形式和效力</w:t>
      </w:r>
    </w:p>
    <w:p>
      <w:pPr>
        <w:snapToGrid w:val="0"/>
        <w:spacing w:line="360" w:lineRule="auto"/>
        <w:ind w:firstLine="420"/>
        <w:jc w:val="left"/>
        <w:rPr>
          <w:rFonts w:ascii="宋体" w:hAnsi="宋体" w:cs="宋体"/>
          <w:kern w:val="0"/>
          <w:szCs w:val="21"/>
        </w:rPr>
      </w:pPr>
      <w:r>
        <w:rPr>
          <w:rFonts w:hint="eastAsia" w:ascii="宋体" w:hAnsi="宋体" w:cs="宋体"/>
          <w:kern w:val="0"/>
          <w:szCs w:val="21"/>
        </w:rPr>
        <w:t>1、投标文件分为：“电子投标文件”、“电子备份投标文件”。</w:t>
      </w:r>
    </w:p>
    <w:p>
      <w:pPr>
        <w:snapToGrid w:val="0"/>
        <w:spacing w:line="360" w:lineRule="auto"/>
        <w:ind w:firstLine="420"/>
        <w:jc w:val="left"/>
        <w:rPr>
          <w:rFonts w:ascii="宋体" w:hAnsi="宋体" w:cs="宋体"/>
          <w:kern w:val="0"/>
          <w:szCs w:val="21"/>
        </w:rPr>
      </w:pPr>
      <w:r>
        <w:rPr>
          <w:rFonts w:hint="eastAsia" w:ascii="宋体" w:hAnsi="宋体" w:cs="宋体"/>
          <w:kern w:val="0"/>
          <w:szCs w:val="21"/>
        </w:rPr>
        <w:t>2、“电子投标文件”是指通过“政采云电子交易客户端”完成投标文件编制后生成并加密的数据电文形式的投标文件（文件后缀为：jmbs）。</w:t>
      </w:r>
    </w:p>
    <w:p>
      <w:pPr>
        <w:snapToGrid w:val="0"/>
        <w:spacing w:line="360" w:lineRule="auto"/>
        <w:ind w:firstLine="420"/>
        <w:jc w:val="left"/>
        <w:rPr>
          <w:rFonts w:ascii="宋体" w:hAnsi="宋体" w:cs="宋体"/>
          <w:kern w:val="0"/>
          <w:szCs w:val="21"/>
        </w:rPr>
      </w:pPr>
      <w:r>
        <w:rPr>
          <w:rFonts w:hint="eastAsia" w:ascii="宋体" w:hAnsi="宋体" w:cs="宋体"/>
          <w:kern w:val="0"/>
          <w:szCs w:val="21"/>
        </w:rPr>
        <w:t>3、“电子备份投标文件”是指与“电子投标文件”同时生成的数据电文形式的电子文件文件后缀为：bfbs（备份标书），其他方式编制的备份投标文件视为无效备份投标文件。</w:t>
      </w:r>
    </w:p>
    <w:p>
      <w:pPr>
        <w:snapToGrid w:val="0"/>
        <w:spacing w:line="360" w:lineRule="auto"/>
        <w:ind w:firstLine="420"/>
        <w:jc w:val="left"/>
        <w:rPr>
          <w:rFonts w:ascii="宋体" w:hAnsi="宋体" w:cs="宋体"/>
          <w:kern w:val="0"/>
          <w:szCs w:val="21"/>
        </w:rPr>
      </w:pPr>
      <w:r>
        <w:rPr>
          <w:rFonts w:hint="eastAsia" w:ascii="宋体" w:hAnsi="宋体" w:cs="宋体"/>
          <w:kern w:val="0"/>
          <w:szCs w:val="21"/>
        </w:rPr>
        <w:t>4、投标文件的效力：投标文件的启用，按先后顺位分别为“电子投标文件”、“电子备份投标文件”。</w:t>
      </w:r>
    </w:p>
    <w:p>
      <w:pPr>
        <w:snapToGrid w:val="0"/>
        <w:spacing w:line="360" w:lineRule="auto"/>
        <w:ind w:firstLine="420"/>
        <w:jc w:val="left"/>
        <w:rPr>
          <w:rFonts w:ascii="宋体" w:hAnsi="宋体" w:cs="宋体"/>
          <w:kern w:val="0"/>
          <w:szCs w:val="21"/>
        </w:rPr>
      </w:pPr>
      <w:r>
        <w:rPr>
          <w:rFonts w:hint="eastAsia" w:ascii="宋体" w:hAnsi="宋体" w:cs="宋体"/>
          <w:kern w:val="0"/>
          <w:szCs w:val="21"/>
        </w:rPr>
        <w:t>在“电子备份投标文件”启用时，“电子投标文件”自动失效。“电子投标文件”在规定解密时间内无法解密时，供应商若在投标截止时间之前递交了“电子备份投标文件”的，由采购代理机构上传“电子备份投标文件”进行异常处理，并对“电子备份投标文件”进行解密，未在投标截止时间之前递交“电子备份投标文件”的视为放弃投标。其余供应商通过“政府采购云平台”上传递交的已按时解密的“电子投标文件”继续有效，其“电子备份投标文件”自动失效。</w:t>
      </w:r>
    </w:p>
    <w:p>
      <w:pPr>
        <w:pStyle w:val="28"/>
        <w:snapToGrid w:val="0"/>
        <w:spacing w:before="0" w:beforeLines="0" w:after="0" w:afterLines="0" w:line="360" w:lineRule="auto"/>
        <w:ind w:left="772" w:leftChars="267" w:hanging="211" w:hangingChars="100"/>
        <w:rPr>
          <w:rFonts w:hint="default" w:hAnsi="宋体" w:cs="宋体"/>
          <w:b/>
        </w:rPr>
      </w:pPr>
      <w:bookmarkStart w:id="72" w:name="_Toc2054"/>
      <w:r>
        <w:rPr>
          <w:rFonts w:hAnsi="宋体" w:cs="宋体"/>
          <w:b/>
        </w:rPr>
        <w:t>四、特别说明</w:t>
      </w:r>
      <w:bookmarkEnd w:id="72"/>
    </w:p>
    <w:p>
      <w:pPr>
        <w:pStyle w:val="20"/>
        <w:numPr>
          <w:ilvl w:val="0"/>
          <w:numId w:val="11"/>
        </w:numPr>
        <w:spacing w:line="400" w:lineRule="exact"/>
        <w:rPr>
          <w:rFonts w:ascii="宋体" w:hAnsi="宋体" w:cs="宋体"/>
          <w:sz w:val="21"/>
          <w:szCs w:val="21"/>
        </w:rPr>
      </w:pPr>
      <w:r>
        <w:rPr>
          <w:rFonts w:hint="eastAsia" w:ascii="宋体" w:hAnsi="宋体" w:cs="宋体"/>
          <w:sz w:val="21"/>
          <w:szCs w:val="21"/>
        </w:rPr>
        <w:t>本项目</w:t>
      </w:r>
      <w:r>
        <w:rPr>
          <w:rFonts w:hint="eastAsia" w:ascii="宋体" w:hAnsi="宋体" w:cs="宋体"/>
          <w:b/>
          <w:bCs/>
          <w:sz w:val="21"/>
          <w:szCs w:val="21"/>
          <w:u w:val="single"/>
        </w:rPr>
        <w:t xml:space="preserve"> 是 </w:t>
      </w:r>
      <w:r>
        <w:rPr>
          <w:rFonts w:hint="eastAsia" w:ascii="宋体" w:hAnsi="宋体" w:cs="宋体"/>
          <w:sz w:val="21"/>
          <w:szCs w:val="21"/>
        </w:rPr>
        <w:t>专门面向中小企业采购。</w:t>
      </w:r>
    </w:p>
    <w:p>
      <w:pPr>
        <w:pStyle w:val="20"/>
        <w:spacing w:line="400" w:lineRule="exact"/>
        <w:rPr>
          <w:rFonts w:ascii="宋体" w:hAnsi="宋体" w:cs="宋体"/>
          <w:sz w:val="21"/>
          <w:szCs w:val="21"/>
        </w:rPr>
      </w:pPr>
      <w:r>
        <w:rPr>
          <w:rFonts w:hint="eastAsia" w:ascii="宋体" w:hAnsi="宋体" w:cs="宋体"/>
          <w:sz w:val="21"/>
          <w:szCs w:val="21"/>
        </w:rPr>
        <w:t>2、本项目对应的中小企业划分标准所属行业：</w:t>
      </w:r>
      <w:r>
        <w:rPr>
          <w:rFonts w:hint="eastAsia" w:ascii="宋体" w:hAnsi="宋体" w:cs="宋体"/>
          <w:sz w:val="21"/>
          <w:szCs w:val="21"/>
          <w:u w:val="single"/>
        </w:rPr>
        <w:t xml:space="preserve"> </w:t>
      </w:r>
      <w:r>
        <w:rPr>
          <w:rFonts w:hint="eastAsia" w:ascii="宋体" w:hAnsi="宋体" w:cs="宋体"/>
          <w:b/>
          <w:bCs/>
          <w:sz w:val="21"/>
          <w:szCs w:val="21"/>
          <w:u w:val="single"/>
        </w:rPr>
        <w:t>其他未列明行业</w:t>
      </w:r>
      <w:r>
        <w:rPr>
          <w:rFonts w:hint="eastAsia" w:ascii="宋体" w:hAnsi="宋体" w:cs="宋体"/>
          <w:sz w:val="21"/>
          <w:szCs w:val="21"/>
          <w:u w:val="single"/>
        </w:rPr>
        <w:t xml:space="preserve"> </w:t>
      </w:r>
      <w:r>
        <w:rPr>
          <w:rFonts w:hint="eastAsia" w:ascii="宋体" w:hAnsi="宋体" w:cs="宋体"/>
          <w:sz w:val="21"/>
          <w:szCs w:val="21"/>
        </w:rPr>
        <w:t xml:space="preserve">。 </w:t>
      </w:r>
    </w:p>
    <w:p>
      <w:pPr>
        <w:spacing w:line="400" w:lineRule="exact"/>
        <w:rPr>
          <w:rFonts w:ascii="宋体" w:hAnsi="宋体" w:cs="宋体"/>
          <w:szCs w:val="21"/>
        </w:rPr>
      </w:pPr>
      <w:r>
        <w:rPr>
          <w:rFonts w:hint="eastAsia" w:ascii="宋体" w:hAnsi="宋体" w:cs="宋体"/>
          <w:szCs w:val="21"/>
        </w:rPr>
        <w:t>3、小微企业是指中华人民共和国境内依法设立，依据国务院批准的中小企业划分标准确定的小型企业和微型企业，但与大企业的负责人为同一人，或者与大企业存在直接控股、管理关系的除外。</w:t>
      </w:r>
    </w:p>
    <w:p>
      <w:pPr>
        <w:spacing w:line="400" w:lineRule="exact"/>
        <w:ind w:firstLine="420" w:firstLineChars="200"/>
        <w:rPr>
          <w:rFonts w:ascii="宋体" w:hAnsi="宋体" w:cs="宋体"/>
          <w:szCs w:val="21"/>
        </w:rPr>
      </w:pPr>
      <w:r>
        <w:rPr>
          <w:rFonts w:hint="eastAsia" w:ascii="宋体" w:hAnsi="宋体" w:cs="宋体"/>
          <w:szCs w:val="21"/>
        </w:rPr>
        <w:t>符合中小企业划分标准的个体工商户，在政府采购活动中视同中小企业。</w:t>
      </w:r>
    </w:p>
    <w:p>
      <w:pPr>
        <w:spacing w:line="400" w:lineRule="exact"/>
        <w:ind w:firstLine="420" w:firstLineChars="200"/>
        <w:rPr>
          <w:rFonts w:ascii="宋体" w:hAnsi="宋体" w:cs="宋体"/>
          <w:szCs w:val="21"/>
        </w:rPr>
      </w:pPr>
      <w:r>
        <w:rPr>
          <w:rFonts w:hint="eastAsia" w:ascii="宋体" w:hAnsi="宋体" w:cs="宋体"/>
          <w:szCs w:val="21"/>
        </w:rPr>
        <w:t>国务院批准的中小企业划分标准：具体见工信部联企业[2011]300号。</w:t>
      </w:r>
    </w:p>
    <w:p>
      <w:pPr>
        <w:spacing w:line="400" w:lineRule="exact"/>
        <w:rPr>
          <w:rFonts w:ascii="宋体" w:hAnsi="宋体" w:cs="宋体"/>
          <w:b/>
          <w:bCs/>
          <w:szCs w:val="21"/>
        </w:rPr>
      </w:pPr>
      <w:r>
        <w:rPr>
          <w:rFonts w:hint="eastAsia" w:ascii="宋体" w:hAnsi="宋体" w:cs="宋体"/>
          <w:b/>
          <w:bCs/>
          <w:szCs w:val="21"/>
        </w:rPr>
        <w:t>（不适用）</w:t>
      </w:r>
    </w:p>
    <w:p>
      <w:pPr>
        <w:spacing w:line="400" w:lineRule="exact"/>
        <w:rPr>
          <w:rFonts w:ascii="宋体" w:hAnsi="宋体" w:cs="宋体"/>
          <w:szCs w:val="21"/>
        </w:rPr>
      </w:pPr>
      <w:r>
        <w:rPr>
          <w:rFonts w:hint="eastAsia" w:ascii="宋体" w:hAnsi="宋体" w:cs="宋体"/>
          <w:szCs w:val="21"/>
        </w:rPr>
        <w:t>4、在政府采购活动中，供应商提供的货物、工程或者服务符合下列情形的，可享受小型、微型企业（以下简称小微企业）的价格扣除：</w:t>
      </w:r>
    </w:p>
    <w:p>
      <w:pPr>
        <w:spacing w:line="400" w:lineRule="exact"/>
        <w:rPr>
          <w:rFonts w:ascii="宋体" w:hAnsi="宋体" w:cs="宋体"/>
          <w:szCs w:val="21"/>
        </w:rPr>
      </w:pPr>
      <w:r>
        <w:rPr>
          <w:rFonts w:hint="eastAsia" w:ascii="宋体" w:hAnsi="宋体" w:cs="宋体"/>
          <w:szCs w:val="21"/>
        </w:rPr>
        <w:t>（1）在货物采购项目中，货物由小微企业制造，即货物由小微企业生产且使用该小微企业商号或者注册商标；</w:t>
      </w:r>
    </w:p>
    <w:p>
      <w:pPr>
        <w:spacing w:line="400" w:lineRule="exact"/>
        <w:rPr>
          <w:rFonts w:ascii="宋体" w:hAnsi="宋体" w:cs="宋体"/>
          <w:szCs w:val="21"/>
        </w:rPr>
      </w:pPr>
      <w:r>
        <w:rPr>
          <w:rFonts w:hint="eastAsia" w:ascii="宋体" w:hAnsi="宋体" w:cs="宋体"/>
          <w:szCs w:val="21"/>
        </w:rPr>
        <w:t>（2）在工程采购项目中，工程由小微企业承建，即工程施工单位为小微企业；</w:t>
      </w:r>
    </w:p>
    <w:p>
      <w:pPr>
        <w:spacing w:line="400" w:lineRule="exact"/>
        <w:rPr>
          <w:rFonts w:ascii="宋体" w:hAnsi="宋体" w:cs="宋体"/>
          <w:szCs w:val="21"/>
        </w:rPr>
      </w:pPr>
      <w:r>
        <w:rPr>
          <w:rFonts w:hint="eastAsia" w:ascii="宋体" w:hAnsi="宋体" w:cs="宋体"/>
          <w:szCs w:val="21"/>
        </w:rPr>
        <w:t>（3）在服务采购项目中，服务由小微企业承接，即提供服务的人员为小微企业依照《中华人民共和国劳动合同法》订立劳动合同的从业人员。</w:t>
      </w:r>
    </w:p>
    <w:p>
      <w:pPr>
        <w:spacing w:line="400" w:lineRule="exact"/>
        <w:ind w:firstLine="420" w:firstLineChars="200"/>
        <w:rPr>
          <w:rFonts w:ascii="宋体" w:hAnsi="宋体" w:cs="宋体"/>
          <w:szCs w:val="21"/>
        </w:rPr>
      </w:pPr>
      <w:r>
        <w:rPr>
          <w:rFonts w:hint="eastAsia" w:ascii="宋体" w:hAnsi="宋体" w:cs="宋体"/>
          <w:szCs w:val="21"/>
        </w:rPr>
        <w:t>以联合体形式参加政府采购活动，联合体各方均为小微企业的，联合体视同小微企业。</w:t>
      </w:r>
    </w:p>
    <w:p>
      <w:pPr>
        <w:spacing w:line="400" w:lineRule="exact"/>
        <w:rPr>
          <w:rFonts w:ascii="宋体" w:hAnsi="宋体" w:cs="宋体"/>
          <w:b/>
          <w:bCs/>
          <w:szCs w:val="21"/>
        </w:rPr>
      </w:pPr>
      <w:r>
        <w:rPr>
          <w:rFonts w:hint="eastAsia" w:ascii="宋体" w:hAnsi="宋体" w:cs="宋体"/>
          <w:b/>
          <w:bCs/>
          <w:szCs w:val="21"/>
        </w:rPr>
        <w:t>（不适用）</w:t>
      </w:r>
    </w:p>
    <w:p>
      <w:pPr>
        <w:spacing w:line="400" w:lineRule="exact"/>
        <w:rPr>
          <w:rFonts w:ascii="宋体" w:hAnsi="宋体" w:cs="宋体"/>
          <w:szCs w:val="21"/>
        </w:rPr>
      </w:pPr>
      <w:r>
        <w:rPr>
          <w:rFonts w:hint="eastAsia" w:ascii="宋体" w:hAnsi="宋体" w:cs="宋体"/>
          <w:szCs w:val="21"/>
        </w:rPr>
        <w:t>5、在货物采购项目中，供应商提供的货物既有中小企业制造货物，也有大型企业制造货物的，不享受小微企业价格扣除。</w:t>
      </w:r>
    </w:p>
    <w:p>
      <w:pPr>
        <w:pStyle w:val="46"/>
        <w:widowControl w:val="0"/>
        <w:snapToGrid w:val="0"/>
        <w:spacing w:before="0" w:beforeAutospacing="0" w:after="0" w:afterAutospacing="0" w:line="400" w:lineRule="exact"/>
        <w:rPr>
          <w:rFonts w:ascii="宋体" w:hAnsi="宋体" w:cs="宋体"/>
          <w:b/>
          <w:bCs/>
          <w:kern w:val="2"/>
          <w:sz w:val="21"/>
          <w:szCs w:val="21"/>
          <w:lang w:bidi="ar"/>
        </w:rPr>
      </w:pPr>
      <w:r>
        <w:rPr>
          <w:rFonts w:hint="eastAsia" w:ascii="宋体" w:hAnsi="宋体" w:cs="宋体"/>
          <w:b/>
          <w:bCs/>
          <w:kern w:val="2"/>
          <w:sz w:val="21"/>
          <w:szCs w:val="21"/>
          <w:lang w:bidi="ar"/>
        </w:rPr>
        <w:t>（不适用）</w:t>
      </w:r>
    </w:p>
    <w:p>
      <w:pPr>
        <w:pStyle w:val="46"/>
        <w:widowControl w:val="0"/>
        <w:snapToGrid w:val="0"/>
        <w:spacing w:before="0" w:beforeAutospacing="0" w:after="0" w:afterAutospacing="0" w:line="400" w:lineRule="exact"/>
        <w:rPr>
          <w:rFonts w:ascii="宋体" w:hAnsi="宋体" w:cs="宋体"/>
          <w:kern w:val="2"/>
          <w:sz w:val="21"/>
          <w:szCs w:val="21"/>
          <w:lang w:bidi="ar"/>
        </w:rPr>
      </w:pPr>
      <w:r>
        <w:rPr>
          <w:rFonts w:hint="eastAsia" w:ascii="宋体" w:hAnsi="宋体" w:cs="宋体"/>
          <w:kern w:val="2"/>
          <w:sz w:val="21"/>
          <w:szCs w:val="21"/>
          <w:lang w:bidi="ar"/>
        </w:rPr>
        <w:t>6、本项目对符合《政府采购促进中小企业发展管理办法》（财库﹝2020﹞46号）规定的小微企业报价给予</w:t>
      </w:r>
      <w:r>
        <w:rPr>
          <w:rFonts w:hint="eastAsia" w:ascii="宋体" w:hAnsi="宋体" w:cs="宋体"/>
          <w:b/>
          <w:bCs/>
          <w:kern w:val="2"/>
          <w:sz w:val="21"/>
          <w:szCs w:val="21"/>
          <w:lang w:bidi="ar"/>
        </w:rPr>
        <w:t>10%（工程项目为5%）</w:t>
      </w:r>
      <w:r>
        <w:rPr>
          <w:rFonts w:hint="eastAsia" w:ascii="宋体" w:hAnsi="宋体" w:cs="宋体"/>
          <w:kern w:val="2"/>
          <w:sz w:val="21"/>
          <w:szCs w:val="21"/>
          <w:lang w:bidi="ar"/>
        </w:rPr>
        <w:t>的扣除，用扣除后的价格参加评审。</w:t>
      </w:r>
    </w:p>
    <w:p>
      <w:pPr>
        <w:pStyle w:val="46"/>
        <w:widowControl w:val="0"/>
        <w:snapToGrid w:val="0"/>
        <w:spacing w:before="0" w:beforeAutospacing="0" w:after="0" w:afterAutospacing="0" w:line="400" w:lineRule="exact"/>
        <w:rPr>
          <w:rFonts w:ascii="宋体" w:hAnsi="宋体" w:cs="宋体"/>
          <w:kern w:val="2"/>
          <w:sz w:val="21"/>
          <w:szCs w:val="21"/>
          <w:lang w:bidi="ar"/>
        </w:rPr>
      </w:pPr>
      <w:r>
        <w:rPr>
          <w:rFonts w:hint="eastAsia" w:ascii="宋体" w:hAnsi="宋体" w:cs="宋体"/>
          <w:kern w:val="2"/>
          <w:sz w:val="21"/>
          <w:szCs w:val="21"/>
          <w:lang w:bidi="ar"/>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b/>
          <w:bCs/>
          <w:kern w:val="2"/>
          <w:sz w:val="21"/>
          <w:szCs w:val="21"/>
          <w:lang w:bidi="ar"/>
        </w:rPr>
        <w:t xml:space="preserve"> 6%（工程项目为 2%）</w:t>
      </w:r>
      <w:r>
        <w:rPr>
          <w:rFonts w:hint="eastAsia" w:ascii="宋体" w:hAnsi="宋体" w:cs="宋体"/>
          <w:kern w:val="2"/>
          <w:sz w:val="21"/>
          <w:szCs w:val="21"/>
          <w:lang w:bidi="ar"/>
        </w:rPr>
        <w:t>的扣除，用扣除后的价格参加评审。组成联合体或者接受分包的小微企业与联合体内其他企业、分包企业之间存在直接控股、管理关系的，不享受价格扣除优惠政策。</w:t>
      </w:r>
    </w:p>
    <w:p>
      <w:pPr>
        <w:pStyle w:val="46"/>
        <w:widowControl w:val="0"/>
        <w:snapToGrid w:val="0"/>
        <w:spacing w:before="0" w:beforeAutospacing="0" w:after="0" w:afterAutospacing="0" w:line="400" w:lineRule="exact"/>
        <w:rPr>
          <w:rFonts w:ascii="宋体" w:hAnsi="宋体" w:cs="宋体"/>
          <w:kern w:val="2"/>
          <w:sz w:val="21"/>
          <w:szCs w:val="21"/>
          <w:lang w:bidi="ar"/>
        </w:rPr>
      </w:pPr>
      <w:r>
        <w:rPr>
          <w:rFonts w:hint="eastAsia" w:ascii="宋体" w:hAnsi="宋体" w:cs="宋体"/>
          <w:kern w:val="2"/>
          <w:sz w:val="21"/>
          <w:szCs w:val="21"/>
          <w:lang w:bidi="ar"/>
        </w:rPr>
        <w:t>7、小微企业应按照</w:t>
      </w:r>
      <w:r>
        <w:rPr>
          <w:rFonts w:hint="eastAsia" w:ascii="宋体" w:hAnsi="宋体" w:cs="宋体"/>
          <w:kern w:val="2"/>
          <w:sz w:val="21"/>
          <w:szCs w:val="21"/>
          <w:lang w:eastAsia="zh-CN" w:bidi="ar"/>
        </w:rPr>
        <w:t>采购文件</w:t>
      </w:r>
      <w:r>
        <w:rPr>
          <w:rFonts w:hint="eastAsia" w:ascii="宋体" w:hAnsi="宋体" w:cs="宋体"/>
          <w:kern w:val="2"/>
          <w:sz w:val="21"/>
          <w:szCs w:val="21"/>
          <w:lang w:bidi="ar"/>
        </w:rPr>
        <w:t>格式要求提供《中小企业声明函》。</w:t>
      </w:r>
    </w:p>
    <w:p>
      <w:pPr>
        <w:pStyle w:val="46"/>
        <w:widowControl w:val="0"/>
        <w:snapToGrid w:val="0"/>
        <w:spacing w:before="0" w:beforeAutospacing="0" w:after="0" w:afterAutospacing="0" w:line="400" w:lineRule="exact"/>
        <w:rPr>
          <w:rFonts w:ascii="宋体" w:hAnsi="宋体" w:cs="宋体"/>
          <w:kern w:val="2"/>
          <w:sz w:val="21"/>
          <w:szCs w:val="21"/>
          <w:lang w:bidi="ar"/>
        </w:rPr>
      </w:pPr>
      <w:r>
        <w:rPr>
          <w:rFonts w:hint="eastAsia" w:ascii="宋体" w:hAnsi="宋体" w:cs="宋体"/>
          <w:kern w:val="2"/>
          <w:sz w:val="21"/>
          <w:szCs w:val="21"/>
          <w:lang w:bidi="ar"/>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pStyle w:val="46"/>
        <w:widowControl w:val="0"/>
        <w:snapToGrid w:val="0"/>
        <w:spacing w:before="0" w:beforeAutospacing="0" w:after="0" w:afterAutospacing="0" w:line="400" w:lineRule="exact"/>
        <w:rPr>
          <w:rFonts w:ascii="宋体" w:hAnsi="宋体" w:cs="宋体"/>
          <w:kern w:val="2"/>
          <w:sz w:val="21"/>
          <w:szCs w:val="21"/>
          <w:lang w:bidi="ar"/>
        </w:rPr>
      </w:pPr>
      <w:r>
        <w:rPr>
          <w:rFonts w:hint="eastAsia" w:ascii="宋体" w:hAnsi="宋体" w:cs="宋体"/>
          <w:kern w:val="2"/>
          <w:sz w:val="21"/>
          <w:szCs w:val="21"/>
          <w:lang w:bidi="ar"/>
        </w:rPr>
        <w:t>9、根据《关于促进残疾人就业政府采购政策的通知》（财库[2017]141号）规定，在政府采购活动中，残疾人福利性单位视同小型、微型企业。残疾人福利性单位参加政府采购活动时，提供《残疾人福利性单位声明函》。</w:t>
      </w:r>
    </w:p>
    <w:p>
      <w:pPr>
        <w:pStyle w:val="46"/>
        <w:widowControl w:val="0"/>
        <w:snapToGrid w:val="0"/>
        <w:spacing w:before="0" w:beforeAutospacing="0" w:after="0" w:afterAutospacing="0" w:line="400" w:lineRule="exact"/>
        <w:rPr>
          <w:rFonts w:ascii="宋体" w:hAnsi="宋体" w:cs="宋体"/>
          <w:kern w:val="2"/>
          <w:sz w:val="21"/>
          <w:szCs w:val="21"/>
          <w:lang w:bidi="ar"/>
        </w:rPr>
      </w:pPr>
      <w:r>
        <w:rPr>
          <w:rFonts w:hint="eastAsia" w:ascii="宋体" w:hAnsi="宋体" w:cs="宋体"/>
          <w:kern w:val="2"/>
          <w:sz w:val="21"/>
          <w:szCs w:val="21"/>
          <w:lang w:bidi="ar"/>
        </w:rPr>
        <w:t>10、按规定享受扶持政策获得政府采购合同的，小微企业不得将合同分包给大中型企业，中型企业不得将合同分包给大型企业。</w:t>
      </w:r>
    </w:p>
    <w:p>
      <w:pPr>
        <w:pStyle w:val="46"/>
        <w:widowControl w:val="0"/>
        <w:snapToGrid w:val="0"/>
        <w:spacing w:before="0" w:beforeAutospacing="0" w:after="0" w:afterAutospacing="0" w:line="400" w:lineRule="exact"/>
        <w:rPr>
          <w:rFonts w:ascii="宋体" w:hAnsi="宋体" w:cs="宋体"/>
          <w:kern w:val="2"/>
          <w:sz w:val="21"/>
          <w:szCs w:val="21"/>
          <w:lang w:bidi="ar"/>
        </w:rPr>
      </w:pPr>
      <w:r>
        <w:rPr>
          <w:rFonts w:hint="eastAsia" w:ascii="宋体" w:hAnsi="宋体" w:cs="宋体"/>
          <w:kern w:val="2"/>
          <w:sz w:val="21"/>
          <w:szCs w:val="21"/>
          <w:lang w:bidi="ar"/>
        </w:rPr>
        <w:t>11、供应商按照《政府采购促进中小企业发展管理办法》（财库﹝2020﹞46号）规定提供声明函内容不实的，属于提供虚假材料谋取中标、成交，依照《中华人民共和国政府采购法》等国家有关规定追究相应责任。</w:t>
      </w:r>
    </w:p>
    <w:p>
      <w:pPr>
        <w:pStyle w:val="46"/>
        <w:widowControl w:val="0"/>
        <w:snapToGrid w:val="0"/>
        <w:spacing w:before="0" w:beforeAutospacing="0" w:after="0" w:afterAutospacing="0" w:line="360" w:lineRule="auto"/>
        <w:jc w:val="center"/>
        <w:outlineLvl w:val="0"/>
        <w:rPr>
          <w:rFonts w:ascii="宋体" w:hAnsi="宋体" w:cs="宋体"/>
        </w:rPr>
      </w:pPr>
      <w:r>
        <w:rPr>
          <w:rFonts w:hint="eastAsia" w:ascii="宋体" w:hAnsi="宋体" w:cs="宋体"/>
          <w:kern w:val="2"/>
          <w:sz w:val="21"/>
          <w:szCs w:val="21"/>
          <w:lang w:bidi="ar"/>
        </w:rPr>
        <w:br w:type="page"/>
      </w:r>
      <w:bookmarkStart w:id="73" w:name="_Toc25438"/>
      <w:r>
        <w:rPr>
          <w:rFonts w:hint="eastAsia" w:ascii="宋体" w:hAnsi="宋体" w:cs="宋体"/>
          <w:b/>
          <w:bCs/>
          <w:sz w:val="32"/>
          <w:szCs w:val="32"/>
        </w:rPr>
        <w:t>第四章  评标办法及评分标准</w:t>
      </w:r>
      <w:bookmarkEnd w:id="73"/>
    </w:p>
    <w:p>
      <w:pPr>
        <w:pStyle w:val="31"/>
        <w:spacing w:line="360" w:lineRule="auto"/>
        <w:ind w:firstLine="417" w:firstLineChars="199"/>
        <w:rPr>
          <w:rFonts w:ascii="宋体" w:hAnsi="宋体" w:cs="宋体"/>
          <w:szCs w:val="21"/>
        </w:rPr>
      </w:pPr>
      <w:r>
        <w:rPr>
          <w:rFonts w:hint="eastAsia" w:ascii="宋体" w:hAnsi="宋体" w:cs="宋体"/>
          <w:szCs w:val="21"/>
        </w:rPr>
        <w:t>本办法严格遵照《中华人民共和国政府采购法》、《政府采购货物和服务招标投标管理办法》，结合项目所在地政府有关政府采购规定和项目的实际情况制定。</w:t>
      </w:r>
    </w:p>
    <w:p>
      <w:pPr>
        <w:spacing w:line="360" w:lineRule="auto"/>
        <w:rPr>
          <w:rFonts w:ascii="宋体" w:hAnsi="宋体" w:cs="宋体"/>
          <w:b/>
          <w:bCs/>
          <w:szCs w:val="21"/>
        </w:rPr>
      </w:pPr>
      <w:r>
        <w:rPr>
          <w:rFonts w:hint="eastAsia" w:ascii="宋体" w:hAnsi="宋体" w:cs="宋体"/>
          <w:b/>
          <w:bCs/>
          <w:szCs w:val="21"/>
        </w:rPr>
        <w:t>一、开标准备</w:t>
      </w:r>
    </w:p>
    <w:p>
      <w:pPr>
        <w:pStyle w:val="31"/>
        <w:spacing w:line="360" w:lineRule="auto"/>
        <w:ind w:firstLine="417" w:firstLineChars="199"/>
        <w:rPr>
          <w:rFonts w:ascii="宋体" w:hAnsi="宋体" w:cs="宋体"/>
          <w:szCs w:val="21"/>
        </w:rPr>
      </w:pPr>
      <w:r>
        <w:rPr>
          <w:rFonts w:hint="eastAsia" w:ascii="宋体" w:hAnsi="宋体" w:cs="宋体"/>
          <w:szCs w:val="21"/>
        </w:rPr>
        <w:t>采购代理机构将在规定的时间和地点进行开标，供应商的法定代表人或其授权代表可参加开标会。供应商的法定代表人或其授权代表未参加开标会的，视同放弃开标监督权利、认可开标结果。</w:t>
      </w:r>
    </w:p>
    <w:p>
      <w:pPr>
        <w:spacing w:line="360" w:lineRule="auto"/>
        <w:rPr>
          <w:rFonts w:ascii="宋体" w:hAnsi="宋体"/>
          <w:szCs w:val="21"/>
        </w:rPr>
      </w:pPr>
      <w:r>
        <w:rPr>
          <w:rFonts w:hint="eastAsia" w:ascii="宋体" w:hAnsi="宋体" w:cs="宋体"/>
          <w:b/>
          <w:bCs/>
          <w:szCs w:val="21"/>
        </w:rPr>
        <w:t>二、开标程序：</w:t>
      </w:r>
    </w:p>
    <w:p>
      <w:pPr>
        <w:spacing w:line="360" w:lineRule="auto"/>
        <w:ind w:firstLine="420" w:firstLineChars="200"/>
        <w:jc w:val="left"/>
        <w:rPr>
          <w:rFonts w:ascii="宋体" w:hAnsi="宋体" w:cs="宋体"/>
          <w:bCs/>
          <w:szCs w:val="21"/>
          <w:lang w:bidi="ar"/>
        </w:rPr>
      </w:pPr>
      <w:r>
        <w:rPr>
          <w:rFonts w:hint="eastAsia" w:ascii="宋体" w:hAnsi="宋体" w:cs="宋体"/>
          <w:bCs/>
          <w:szCs w:val="21"/>
          <w:lang w:bidi="ar"/>
        </w:rPr>
        <w:t>1、电子招投标开标程序：</w:t>
      </w:r>
    </w:p>
    <w:p>
      <w:pPr>
        <w:spacing w:line="360" w:lineRule="auto"/>
        <w:ind w:firstLine="420" w:firstLineChars="200"/>
        <w:jc w:val="left"/>
        <w:rPr>
          <w:rFonts w:ascii="宋体" w:hAnsi="宋体"/>
          <w:szCs w:val="21"/>
        </w:rPr>
      </w:pPr>
      <w:r>
        <w:rPr>
          <w:rFonts w:hint="eastAsia" w:ascii="宋体" w:hAnsi="宋体"/>
          <w:szCs w:val="21"/>
        </w:rPr>
        <w:t>第一阶段：</w:t>
      </w:r>
    </w:p>
    <w:p>
      <w:pPr>
        <w:numPr>
          <w:ilvl w:val="0"/>
          <w:numId w:val="12"/>
        </w:numPr>
        <w:spacing w:line="360" w:lineRule="auto"/>
        <w:ind w:firstLine="420" w:firstLineChars="200"/>
        <w:jc w:val="left"/>
        <w:rPr>
          <w:rFonts w:ascii="宋体" w:hAnsi="宋体"/>
          <w:szCs w:val="21"/>
        </w:rPr>
      </w:pPr>
      <w:r>
        <w:rPr>
          <w:rFonts w:hint="eastAsia" w:ascii="宋体" w:hAnsi="宋体"/>
          <w:szCs w:val="21"/>
        </w:rPr>
        <w:t>投标截止时间后，供应商登录政府采购云平台，用“项目采购-开标评标”功能对电子投标文件进行在线解密，在线解密电子投标文件时间为开标时间后30分钟内。</w:t>
      </w:r>
    </w:p>
    <w:p>
      <w:pPr>
        <w:numPr>
          <w:ilvl w:val="0"/>
          <w:numId w:val="12"/>
        </w:numPr>
        <w:spacing w:line="360" w:lineRule="auto"/>
        <w:ind w:firstLine="420" w:firstLineChars="200"/>
        <w:jc w:val="left"/>
        <w:rPr>
          <w:rFonts w:ascii="宋体" w:hAnsi="宋体"/>
          <w:szCs w:val="21"/>
        </w:rPr>
      </w:pPr>
      <w:r>
        <w:rPr>
          <w:rFonts w:hint="eastAsia" w:ascii="宋体" w:hAnsi="宋体"/>
          <w:szCs w:val="21"/>
        </w:rPr>
        <w:t>在政府采购云平台开启已解密供应商的“资格文件、商务技术文件”，并做开标记录；</w:t>
      </w:r>
    </w:p>
    <w:p>
      <w:pPr>
        <w:spacing w:line="360" w:lineRule="auto"/>
        <w:ind w:firstLine="420" w:firstLineChars="200"/>
        <w:jc w:val="left"/>
        <w:rPr>
          <w:rFonts w:ascii="宋体" w:hAnsi="宋体"/>
          <w:szCs w:val="21"/>
        </w:rPr>
      </w:pPr>
      <w:r>
        <w:rPr>
          <w:rFonts w:hint="eastAsia" w:ascii="宋体" w:hAnsi="宋体"/>
          <w:szCs w:val="21"/>
        </w:rPr>
        <w:t>第二阶段：</w:t>
      </w:r>
    </w:p>
    <w:p>
      <w:pPr>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宣告第一阶段评审无效供应商名单及理由；</w:t>
      </w:r>
    </w:p>
    <w:p>
      <w:pPr>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）公布经第一阶段评审符合</w:t>
      </w:r>
      <w:r>
        <w:rPr>
          <w:rFonts w:hint="eastAsia" w:ascii="宋体" w:hAnsi="宋体"/>
          <w:szCs w:val="21"/>
          <w:lang w:eastAsia="zh-CN"/>
        </w:rPr>
        <w:t>采购文件</w:t>
      </w:r>
      <w:r>
        <w:rPr>
          <w:rFonts w:hint="eastAsia" w:ascii="宋体" w:hAnsi="宋体"/>
          <w:szCs w:val="21"/>
        </w:rPr>
        <w:t>要求的供应商的商务技术得分情况；</w:t>
      </w:r>
    </w:p>
    <w:p>
      <w:pPr>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开启除第一阶段无效标外的供应商的“报价文件”，并做开标记录；</w:t>
      </w:r>
    </w:p>
    <w:p>
      <w:pPr>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公布评审结果。</w:t>
      </w:r>
    </w:p>
    <w:p>
      <w:pPr>
        <w:spacing w:line="360" w:lineRule="auto"/>
        <w:ind w:firstLine="420" w:firstLineChars="200"/>
        <w:jc w:val="left"/>
      </w:pPr>
      <w:r>
        <w:rPr>
          <w:rFonts w:hint="eastAsia" w:ascii="宋体" w:hAnsi="宋体"/>
          <w:szCs w:val="21"/>
        </w:rPr>
        <w:t>（5）开标会议结束。</w:t>
      </w:r>
    </w:p>
    <w:p>
      <w:pPr>
        <w:spacing w:line="360" w:lineRule="auto"/>
        <w:ind w:firstLine="420" w:firstLineChars="200"/>
        <w:jc w:val="left"/>
        <w:rPr>
          <w:rFonts w:ascii="宋体" w:hAnsi="宋体"/>
          <w:szCs w:val="21"/>
        </w:rPr>
      </w:pPr>
      <w:r>
        <w:rPr>
          <w:rFonts w:hint="eastAsia" w:ascii="宋体" w:hAnsi="宋体"/>
          <w:szCs w:val="21"/>
        </w:rPr>
        <w:t>2、特别说明：</w:t>
      </w:r>
      <w:r>
        <w:rPr>
          <w:rFonts w:hint="eastAsia" w:ascii="宋体" w:hAnsi="宋体" w:cs="宋体"/>
          <w:kern w:val="0"/>
          <w:szCs w:val="21"/>
        </w:rPr>
        <w:t>政府采购云平台</w:t>
      </w:r>
      <w:r>
        <w:rPr>
          <w:rFonts w:hint="eastAsia" w:ascii="宋体" w:hAnsi="宋体"/>
          <w:szCs w:val="21"/>
        </w:rPr>
        <w:t>如对电子化开标及评审程序有调整的，按调整后的程序操作。</w:t>
      </w:r>
    </w:p>
    <w:p>
      <w:pPr>
        <w:spacing w:line="360" w:lineRule="auto"/>
        <w:ind w:firstLine="420" w:firstLineChars="200"/>
        <w:jc w:val="left"/>
        <w:rPr>
          <w:rFonts w:ascii="宋体" w:hAnsi="宋体"/>
          <w:szCs w:val="21"/>
        </w:rPr>
      </w:pPr>
      <w:r>
        <w:rPr>
          <w:rFonts w:hint="eastAsia" w:ascii="宋体" w:hAnsi="宋体"/>
          <w:szCs w:val="21"/>
        </w:rPr>
        <w:t>本项目原则上采用政采云</w:t>
      </w:r>
      <w:r>
        <w:rPr>
          <w:rFonts w:hint="eastAsia" w:ascii="宋体" w:hAnsi="宋体" w:cs="宋体"/>
          <w:bCs/>
          <w:szCs w:val="21"/>
          <w:lang w:bidi="ar"/>
        </w:rPr>
        <w:t>电子招投标开标程序</w:t>
      </w:r>
      <w:r>
        <w:rPr>
          <w:rFonts w:hint="eastAsia" w:ascii="宋体" w:hAnsi="宋体"/>
          <w:szCs w:val="21"/>
        </w:rPr>
        <w:t>，但有以下情形之一的，按以下情况处理：</w:t>
      </w:r>
    </w:p>
    <w:p>
      <w:pPr>
        <w:spacing w:line="360" w:lineRule="auto"/>
        <w:ind w:firstLine="422" w:firstLineChars="200"/>
        <w:jc w:val="left"/>
        <w:rPr>
          <w:rFonts w:ascii="宋体" w:hAnsi="宋体"/>
          <w:b/>
          <w:bCs/>
          <w:szCs w:val="21"/>
        </w:rPr>
      </w:pPr>
      <w:r>
        <w:rPr>
          <w:rFonts w:hint="eastAsia" w:ascii="宋体" w:hAnsi="宋体"/>
          <w:b/>
          <w:bCs/>
          <w:szCs w:val="21"/>
        </w:rPr>
        <w:t>（</w:t>
      </w:r>
      <w:r>
        <w:rPr>
          <w:rFonts w:ascii="宋体" w:hAnsi="宋体"/>
          <w:b/>
          <w:bCs/>
          <w:szCs w:val="21"/>
        </w:rPr>
        <w:t>1</w:t>
      </w:r>
      <w:r>
        <w:rPr>
          <w:rFonts w:hint="eastAsia" w:ascii="宋体" w:hAnsi="宋体"/>
          <w:b/>
          <w:bCs/>
          <w:szCs w:val="21"/>
        </w:rPr>
        <w:t>）若有供应商在规定时间内无法解密或解密失败，代理机构将开启该供应商递交的</w:t>
      </w:r>
      <w:r>
        <w:rPr>
          <w:rFonts w:hint="eastAsia" w:ascii="宋体" w:hAnsi="宋体" w:cs="宋体"/>
          <w:b/>
          <w:bCs/>
          <w:kern w:val="0"/>
          <w:szCs w:val="21"/>
        </w:rPr>
        <w:t>以U盘存储的电子备份投标文件</w:t>
      </w:r>
      <w:r>
        <w:rPr>
          <w:rFonts w:hint="eastAsia" w:ascii="宋体" w:hAnsi="宋体"/>
          <w:b/>
          <w:bCs/>
          <w:szCs w:val="21"/>
        </w:rPr>
        <w:t>，上传至政采云平台项目采购模块，以完成开标，电子投标文件自动失效。</w:t>
      </w:r>
    </w:p>
    <w:p>
      <w:pPr>
        <w:spacing w:line="360" w:lineRule="auto"/>
        <w:ind w:firstLine="420" w:firstLineChars="200"/>
        <w:jc w:val="left"/>
        <w:rPr>
          <w:rFonts w:ascii="宋体" w:hAnsi="宋体"/>
          <w:szCs w:val="21"/>
        </w:rPr>
      </w:pPr>
      <w:r>
        <w:rPr>
          <w:rFonts w:hint="eastAsia" w:ascii="宋体" w:hAnsi="宋体"/>
          <w:szCs w:val="21"/>
        </w:rPr>
        <w:t>（2）采购过程中出现以下情形，导致电子交易平台无法正常运行，或者无法保证电子交易的公平、公正和安全时，采购人（或代理机构）可中止电子交易活动：</w:t>
      </w:r>
    </w:p>
    <w:p>
      <w:pPr>
        <w:spacing w:line="360" w:lineRule="auto"/>
        <w:ind w:firstLine="420" w:firstLineChars="200"/>
        <w:jc w:val="left"/>
        <w:rPr>
          <w:rFonts w:ascii="宋体" w:hAnsi="宋体"/>
          <w:szCs w:val="21"/>
        </w:rPr>
      </w:pPr>
      <w:r>
        <w:rPr>
          <w:rFonts w:hint="eastAsia" w:ascii="宋体" w:hAnsi="宋体"/>
          <w:szCs w:val="21"/>
        </w:rPr>
        <w:t xml:space="preserve">2.1电子交易平台发生故障而无法登录访问的； </w:t>
      </w:r>
    </w:p>
    <w:p>
      <w:pPr>
        <w:spacing w:line="360" w:lineRule="auto"/>
        <w:ind w:firstLine="420" w:firstLineChars="200"/>
        <w:jc w:val="left"/>
        <w:rPr>
          <w:rFonts w:ascii="宋体" w:hAnsi="宋体"/>
          <w:szCs w:val="21"/>
        </w:rPr>
      </w:pPr>
      <w:r>
        <w:rPr>
          <w:rFonts w:hint="eastAsia" w:ascii="宋体" w:hAnsi="宋体"/>
          <w:szCs w:val="21"/>
        </w:rPr>
        <w:t>2.2电子交易平台应用或数据库出现错误，不能进行正常操作的；</w:t>
      </w:r>
    </w:p>
    <w:p>
      <w:pPr>
        <w:spacing w:line="360" w:lineRule="auto"/>
        <w:ind w:firstLine="420" w:firstLineChars="200"/>
        <w:jc w:val="left"/>
        <w:rPr>
          <w:rFonts w:ascii="宋体" w:hAnsi="宋体"/>
          <w:szCs w:val="21"/>
        </w:rPr>
      </w:pPr>
      <w:r>
        <w:rPr>
          <w:rFonts w:hint="eastAsia" w:ascii="宋体" w:hAnsi="宋体"/>
          <w:szCs w:val="21"/>
        </w:rPr>
        <w:t>2.3电子交易平台发现严重安全漏洞，有潜在泄密危险的；</w:t>
      </w:r>
    </w:p>
    <w:p>
      <w:pPr>
        <w:spacing w:line="360" w:lineRule="auto"/>
        <w:ind w:firstLine="420" w:firstLineChars="200"/>
        <w:jc w:val="left"/>
        <w:rPr>
          <w:rFonts w:ascii="宋体" w:hAnsi="宋体"/>
          <w:szCs w:val="21"/>
        </w:rPr>
      </w:pPr>
      <w:r>
        <w:rPr>
          <w:rFonts w:hint="eastAsia" w:ascii="宋体" w:hAnsi="宋体"/>
          <w:szCs w:val="21"/>
        </w:rPr>
        <w:t xml:space="preserve">2.4病毒发作导致不能进行正常操作的； </w:t>
      </w:r>
    </w:p>
    <w:p>
      <w:pPr>
        <w:spacing w:line="360" w:lineRule="auto"/>
        <w:ind w:firstLine="420" w:firstLineChars="200"/>
        <w:jc w:val="left"/>
        <w:rPr>
          <w:rFonts w:ascii="宋体" w:hAnsi="宋体"/>
          <w:szCs w:val="21"/>
        </w:rPr>
      </w:pPr>
      <w:r>
        <w:rPr>
          <w:rFonts w:hint="eastAsia" w:ascii="宋体" w:hAnsi="宋体"/>
          <w:szCs w:val="21"/>
        </w:rPr>
        <w:t>2.5其他无法保证电子交易的公平、公正和安全的情况。</w:t>
      </w:r>
    </w:p>
    <w:p>
      <w:pPr>
        <w:spacing w:line="360" w:lineRule="auto"/>
        <w:ind w:firstLine="420" w:firstLineChars="200"/>
        <w:jc w:val="left"/>
        <w:rPr>
          <w:rFonts w:ascii="宋体" w:hAnsi="宋体"/>
          <w:szCs w:val="21"/>
        </w:rPr>
      </w:pPr>
      <w:r>
        <w:rPr>
          <w:rFonts w:hint="eastAsia" w:ascii="宋体" w:hAnsi="宋体"/>
          <w:szCs w:val="21"/>
        </w:rPr>
        <w:t>出现前款规定情形，不影响采购公平、公正性的，采购人（或代理机构）可以待上述情形消除后继续组织电子交易活动，也可以决定某些环节以纸质形式进行。</w:t>
      </w:r>
    </w:p>
    <w:p>
      <w:pPr>
        <w:spacing w:line="360" w:lineRule="auto"/>
        <w:ind w:firstLine="420" w:firstLineChars="200"/>
        <w:jc w:val="left"/>
        <w:rPr>
          <w:rFonts w:ascii="宋体" w:hAnsi="宋体" w:cs="宋体"/>
          <w:szCs w:val="21"/>
        </w:rPr>
      </w:pPr>
      <w:r>
        <w:rPr>
          <w:rFonts w:hint="eastAsia" w:ascii="宋体" w:hAnsi="宋体"/>
          <w:szCs w:val="21"/>
        </w:rPr>
        <w:t>（3）未开启的备份投标文件现场予以退还。</w:t>
      </w:r>
    </w:p>
    <w:p>
      <w:pPr>
        <w:spacing w:line="360" w:lineRule="auto"/>
        <w:rPr>
          <w:rFonts w:ascii="宋体" w:hAnsi="宋体" w:cs="宋体"/>
          <w:b/>
          <w:bCs/>
          <w:szCs w:val="21"/>
        </w:rPr>
      </w:pPr>
      <w:r>
        <w:rPr>
          <w:rFonts w:hint="eastAsia" w:ascii="宋体" w:hAnsi="宋体" w:cs="宋体"/>
          <w:b/>
          <w:bCs/>
          <w:szCs w:val="21"/>
        </w:rPr>
        <w:t>三、评标委员会</w:t>
      </w:r>
    </w:p>
    <w:p>
      <w:pPr>
        <w:spacing w:line="360" w:lineRule="auto"/>
        <w:rPr>
          <w:rFonts w:ascii="宋体" w:hAnsi="宋体" w:cs="宋体"/>
          <w:szCs w:val="21"/>
        </w:rPr>
      </w:pPr>
      <w:r>
        <w:rPr>
          <w:rFonts w:hint="eastAsia" w:ascii="宋体" w:hAnsi="宋体" w:cs="宋体"/>
          <w:szCs w:val="21"/>
        </w:rPr>
        <w:t>（一）本次招标依法组建评标委员会。</w:t>
      </w:r>
    </w:p>
    <w:p>
      <w:pPr>
        <w:spacing w:line="360" w:lineRule="auto"/>
        <w:rPr>
          <w:rFonts w:ascii="宋体" w:hAnsi="宋体" w:cs="宋体"/>
          <w:szCs w:val="21"/>
        </w:rPr>
      </w:pPr>
      <w:r>
        <w:rPr>
          <w:rFonts w:hint="eastAsia" w:ascii="宋体" w:hAnsi="宋体" w:cs="宋体"/>
          <w:szCs w:val="21"/>
        </w:rPr>
        <w:t>（二）评标原则。评标委员会必须遵循公平、公正、客观、科学的原则和规定的程序进行评标；评标的依据为</w:t>
      </w:r>
      <w:r>
        <w:rPr>
          <w:rFonts w:hint="eastAsia" w:ascii="宋体" w:hAnsi="宋体" w:cs="宋体"/>
          <w:szCs w:val="21"/>
          <w:lang w:eastAsia="zh-CN"/>
        </w:rPr>
        <w:t>采购文件</w:t>
      </w:r>
      <w:r>
        <w:rPr>
          <w:rFonts w:hint="eastAsia" w:ascii="宋体" w:hAnsi="宋体" w:cs="宋体"/>
          <w:szCs w:val="21"/>
        </w:rPr>
        <w:t>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spacing w:line="360" w:lineRule="auto"/>
        <w:rPr>
          <w:rFonts w:ascii="宋体" w:hAnsi="宋体" w:cs="宋体"/>
          <w:szCs w:val="21"/>
        </w:rPr>
      </w:pPr>
      <w:r>
        <w:rPr>
          <w:rFonts w:hint="eastAsia" w:ascii="宋体" w:hAnsi="宋体" w:cs="宋体"/>
          <w:szCs w:val="21"/>
        </w:rPr>
        <w:t>（三）评审专家有下列情形之一的，受到邀请应主动提出回避，采购当事人也可以要求该评审专家回避：</w:t>
      </w:r>
    </w:p>
    <w:p>
      <w:pPr>
        <w:spacing w:line="360" w:lineRule="auto"/>
        <w:rPr>
          <w:rFonts w:ascii="宋体" w:hAnsi="宋体" w:cs="宋体"/>
          <w:szCs w:val="21"/>
        </w:rPr>
      </w:pPr>
      <w:r>
        <w:rPr>
          <w:rFonts w:hint="eastAsia" w:ascii="宋体" w:hAnsi="宋体" w:cs="宋体"/>
          <w:szCs w:val="21"/>
        </w:rPr>
        <w:t>1、本人、配偶或直系亲属3年内曾在参加该采购项目的供应商中任职（包括一般工作）或担任顾问，或与参加该采购项目的供应商发生过法律纠纷；</w:t>
      </w:r>
    </w:p>
    <w:p>
      <w:pPr>
        <w:spacing w:line="360" w:lineRule="auto"/>
        <w:rPr>
          <w:rFonts w:ascii="宋体" w:hAnsi="宋体" w:cs="宋体"/>
          <w:szCs w:val="21"/>
        </w:rPr>
      </w:pPr>
      <w:r>
        <w:rPr>
          <w:rFonts w:hint="eastAsia" w:ascii="宋体" w:hAnsi="宋体" w:cs="宋体"/>
          <w:szCs w:val="21"/>
        </w:rPr>
        <w:t>2、任职单位与采购人或参加该采购项目供应商存在行政隶属关系；</w:t>
      </w:r>
    </w:p>
    <w:p>
      <w:pPr>
        <w:spacing w:line="360" w:lineRule="auto"/>
        <w:rPr>
          <w:rFonts w:ascii="宋体" w:hAnsi="宋体" w:cs="宋体"/>
          <w:szCs w:val="21"/>
        </w:rPr>
      </w:pPr>
      <w:r>
        <w:rPr>
          <w:rFonts w:hint="eastAsia" w:ascii="宋体" w:hAnsi="宋体" w:cs="宋体"/>
          <w:szCs w:val="21"/>
        </w:rPr>
        <w:t>3、曾经参加过该采购项目的进口产品或</w:t>
      </w:r>
      <w:r>
        <w:rPr>
          <w:rFonts w:hint="eastAsia" w:ascii="宋体" w:hAnsi="宋体" w:cs="宋体"/>
          <w:szCs w:val="21"/>
          <w:lang w:eastAsia="zh-CN"/>
        </w:rPr>
        <w:t>采购文件</w:t>
      </w:r>
      <w:r>
        <w:rPr>
          <w:rFonts w:hint="eastAsia" w:ascii="宋体" w:hAnsi="宋体" w:cs="宋体"/>
          <w:szCs w:val="21"/>
        </w:rPr>
        <w:t>、采购需求、采购方式的论证和咨询服务工作；</w:t>
      </w:r>
    </w:p>
    <w:p>
      <w:pPr>
        <w:spacing w:line="360" w:lineRule="auto"/>
        <w:rPr>
          <w:rFonts w:ascii="宋体" w:hAnsi="宋体" w:cs="宋体"/>
          <w:szCs w:val="21"/>
        </w:rPr>
      </w:pPr>
      <w:r>
        <w:rPr>
          <w:rFonts w:hint="eastAsia" w:ascii="宋体" w:hAnsi="宋体" w:cs="宋体"/>
          <w:szCs w:val="21"/>
        </w:rPr>
        <w:t>4、是参加该采购项目供应商的上级主管部门、控股或参股单位的工作人员，或与该供应商存在其他经济利益关系；</w:t>
      </w:r>
    </w:p>
    <w:p>
      <w:pPr>
        <w:spacing w:line="360" w:lineRule="auto"/>
        <w:rPr>
          <w:rFonts w:ascii="宋体" w:hAnsi="宋体" w:cs="宋体"/>
          <w:szCs w:val="21"/>
        </w:rPr>
      </w:pPr>
      <w:r>
        <w:rPr>
          <w:rFonts w:hint="eastAsia" w:ascii="宋体" w:hAnsi="宋体" w:cs="宋体"/>
          <w:szCs w:val="21"/>
        </w:rPr>
        <w:t>5、评审委员会成员之间具有配偶、近亲属关系；</w:t>
      </w:r>
    </w:p>
    <w:p>
      <w:pPr>
        <w:spacing w:line="360" w:lineRule="auto"/>
        <w:rPr>
          <w:rFonts w:ascii="宋体" w:hAnsi="宋体" w:cs="宋体"/>
          <w:szCs w:val="21"/>
        </w:rPr>
      </w:pPr>
      <w:r>
        <w:rPr>
          <w:rFonts w:hint="eastAsia" w:ascii="宋体" w:hAnsi="宋体" w:cs="宋体"/>
          <w:szCs w:val="21"/>
        </w:rPr>
        <w:t>6、法律、法规、规章规定应当回避以及其他可能影响公正评审的。</w:t>
      </w:r>
    </w:p>
    <w:p>
      <w:pPr>
        <w:spacing w:line="360" w:lineRule="auto"/>
        <w:rPr>
          <w:rFonts w:ascii="宋体" w:hAnsi="宋体" w:cs="宋体"/>
          <w:szCs w:val="21"/>
        </w:rPr>
      </w:pPr>
      <w:r>
        <w:rPr>
          <w:rFonts w:hint="eastAsia" w:ascii="宋体" w:hAnsi="宋体" w:cs="宋体"/>
          <w:szCs w:val="21"/>
        </w:rPr>
        <w:t>（四）评标委员会判断投标文件的有效性、合格性和响应情况，仅依据供应商所递交一切文件的真实表述，不受与本项目无直接关联的外部信息、传言而影响自身的专业判断。</w:t>
      </w:r>
    </w:p>
    <w:p>
      <w:pPr>
        <w:spacing w:line="360" w:lineRule="auto"/>
        <w:rPr>
          <w:rFonts w:ascii="宋体" w:hAnsi="宋体" w:cs="宋体"/>
          <w:szCs w:val="21"/>
        </w:rPr>
      </w:pPr>
      <w:r>
        <w:rPr>
          <w:rFonts w:hint="eastAsia" w:ascii="宋体" w:hAnsi="宋体" w:cs="宋体"/>
          <w:szCs w:val="21"/>
        </w:rPr>
        <w:t>（五）评委依法独立评审，并对评审意见承担个人责任。对明显畸高、畸低的评分（其主观总评分偏离所有评审小组成员主观总评分平均值30%以上），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rPr>
          <w:rFonts w:ascii="宋体" w:hAnsi="宋体" w:cs="宋体"/>
          <w:b/>
          <w:bCs/>
          <w:szCs w:val="21"/>
        </w:rPr>
      </w:pPr>
      <w:r>
        <w:rPr>
          <w:rFonts w:hint="eastAsia" w:ascii="宋体" w:hAnsi="宋体" w:cs="宋体"/>
          <w:b/>
          <w:bCs/>
          <w:szCs w:val="21"/>
        </w:rPr>
        <w:t>四、评标方法</w:t>
      </w:r>
    </w:p>
    <w:p>
      <w:pPr>
        <w:spacing w:line="360" w:lineRule="auto"/>
        <w:rPr>
          <w:rFonts w:ascii="宋体" w:hAnsi="宋体" w:cs="宋体"/>
          <w:szCs w:val="21"/>
        </w:rPr>
      </w:pPr>
      <w:r>
        <w:rPr>
          <w:rFonts w:hint="eastAsia" w:ascii="宋体" w:hAnsi="宋体" w:cs="宋体"/>
          <w:szCs w:val="21"/>
        </w:rPr>
        <w:t>（一）本次采购项目的评标方法为：综合评分法。</w:t>
      </w:r>
    </w:p>
    <w:p>
      <w:pPr>
        <w:pStyle w:val="31"/>
        <w:spacing w:line="360" w:lineRule="auto"/>
        <w:ind w:firstLine="417" w:firstLineChars="199"/>
        <w:rPr>
          <w:rFonts w:ascii="宋体" w:hAnsi="宋体" w:cs="宋体"/>
          <w:szCs w:val="21"/>
        </w:rPr>
      </w:pPr>
      <w:r>
        <w:rPr>
          <w:rFonts w:hint="eastAsia" w:ascii="宋体" w:hAnsi="宋体" w:cs="宋体"/>
          <w:szCs w:val="21"/>
        </w:rPr>
        <w:t>具体评定原则如下：</w:t>
      </w:r>
    </w:p>
    <w:p>
      <w:pPr>
        <w:pStyle w:val="31"/>
        <w:spacing w:line="360" w:lineRule="auto"/>
        <w:ind w:firstLine="417" w:firstLineChars="199"/>
        <w:rPr>
          <w:rFonts w:ascii="宋体" w:hAnsi="宋体" w:cs="宋体"/>
          <w:szCs w:val="21"/>
        </w:rPr>
      </w:pPr>
      <w:r>
        <w:rPr>
          <w:rFonts w:hint="eastAsia" w:ascii="宋体" w:hAnsi="宋体" w:cs="宋体"/>
          <w:szCs w:val="21"/>
        </w:rPr>
        <w:t>1、评标结果按评审后得分由高到低顺序</w:t>
      </w:r>
      <w:r>
        <w:rPr>
          <w:rFonts w:hint="eastAsia" w:ascii="宋体" w:hAnsi="宋体" w:cs="宋体"/>
          <w:bCs/>
        </w:rPr>
        <w:t>推荐</w:t>
      </w:r>
      <w:r>
        <w:rPr>
          <w:rFonts w:hint="eastAsia" w:ascii="宋体" w:hAnsi="宋体" w:cs="宋体"/>
          <w:szCs w:val="21"/>
        </w:rPr>
        <w:t>中标</w:t>
      </w:r>
      <w:r>
        <w:rPr>
          <w:rFonts w:hint="eastAsia" w:ascii="宋体" w:hAnsi="宋体" w:cs="宋体"/>
          <w:bCs/>
        </w:rPr>
        <w:t>候选人</w:t>
      </w:r>
      <w:r>
        <w:rPr>
          <w:rFonts w:hint="eastAsia" w:ascii="宋体" w:hAnsi="宋体" w:cs="宋体"/>
          <w:szCs w:val="21"/>
        </w:rPr>
        <w:t>。得分相同的，按投标报价由低到高顺序排列。得分且投标报价相同的并列，则抽签决定（先抽中的排名在先）。</w:t>
      </w:r>
    </w:p>
    <w:p>
      <w:pPr>
        <w:pStyle w:val="31"/>
        <w:spacing w:line="360" w:lineRule="auto"/>
        <w:ind w:firstLine="417" w:firstLineChars="199"/>
        <w:rPr>
          <w:rFonts w:ascii="宋体" w:hAnsi="宋体" w:cs="宋体"/>
          <w:szCs w:val="21"/>
        </w:rPr>
      </w:pPr>
      <w:r>
        <w:rPr>
          <w:rFonts w:hint="eastAsia" w:ascii="宋体" w:hAnsi="宋体" w:cs="宋体"/>
          <w:szCs w:val="21"/>
        </w:rPr>
        <w:t>2、若出现参与的供应商或者对</w:t>
      </w:r>
      <w:r>
        <w:rPr>
          <w:rFonts w:hint="eastAsia" w:ascii="宋体" w:hAnsi="宋体" w:cs="宋体"/>
          <w:szCs w:val="21"/>
          <w:lang w:eastAsia="zh-CN"/>
        </w:rPr>
        <w:t>采购文件</w:t>
      </w:r>
      <w:r>
        <w:rPr>
          <w:rFonts w:hint="eastAsia" w:ascii="宋体" w:hAnsi="宋体" w:cs="宋体"/>
          <w:szCs w:val="21"/>
        </w:rPr>
        <w:t>作出实质性响应的供应商不足3家的情况，本项目作废标处理。</w:t>
      </w:r>
    </w:p>
    <w:p>
      <w:pPr>
        <w:spacing w:line="360" w:lineRule="auto"/>
        <w:rPr>
          <w:rFonts w:ascii="宋体" w:hAnsi="宋体" w:cs="宋体"/>
          <w:szCs w:val="21"/>
        </w:rPr>
      </w:pPr>
      <w:r>
        <w:rPr>
          <w:rFonts w:hint="eastAsia" w:ascii="宋体" w:hAnsi="宋体" w:cs="宋体"/>
          <w:szCs w:val="21"/>
        </w:rPr>
        <w:t>（二）投标文件的澄清</w:t>
      </w:r>
    </w:p>
    <w:p>
      <w:pPr>
        <w:pStyle w:val="31"/>
        <w:spacing w:line="360" w:lineRule="auto"/>
        <w:ind w:firstLine="417" w:firstLineChars="199"/>
        <w:rPr>
          <w:rFonts w:ascii="宋体" w:hAnsi="宋体" w:cs="宋体"/>
          <w:szCs w:val="21"/>
        </w:rPr>
      </w:pPr>
      <w:r>
        <w:rPr>
          <w:rFonts w:hint="eastAsia" w:ascii="宋体" w:hAnsi="宋体" w:cs="宋体"/>
          <w:szCs w:val="21"/>
        </w:rPr>
        <w:t>1、对于投标文件中含义不明确、同类问题表述不一致或者有明显文字和计算错误的内容，评标委员会应当以书面形式要求供应商作出必要的澄清、说明或者补正。</w:t>
      </w:r>
    </w:p>
    <w:p>
      <w:pPr>
        <w:pStyle w:val="31"/>
        <w:spacing w:line="360" w:lineRule="auto"/>
        <w:ind w:firstLine="417" w:firstLineChars="199"/>
        <w:rPr>
          <w:rFonts w:ascii="宋体" w:hAnsi="宋体" w:cs="宋体"/>
          <w:szCs w:val="21"/>
        </w:rPr>
      </w:pPr>
      <w:r>
        <w:rPr>
          <w:rFonts w:hint="eastAsia" w:ascii="宋体" w:hAnsi="宋体" w:cs="宋体"/>
          <w:szCs w:val="21"/>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pPr>
        <w:spacing w:line="360" w:lineRule="auto"/>
        <w:rPr>
          <w:rFonts w:ascii="宋体" w:hAnsi="宋体" w:cs="宋体"/>
          <w:szCs w:val="21"/>
        </w:rPr>
      </w:pPr>
      <w:r>
        <w:rPr>
          <w:rFonts w:hint="eastAsia" w:ascii="宋体" w:hAnsi="宋体" w:cs="宋体"/>
          <w:szCs w:val="21"/>
        </w:rPr>
        <w:t>（三）投标文件错误修正原则</w:t>
      </w:r>
    </w:p>
    <w:p>
      <w:pPr>
        <w:spacing w:line="360" w:lineRule="auto"/>
        <w:rPr>
          <w:rFonts w:ascii="宋体" w:hAnsi="宋体" w:cs="宋体"/>
          <w:szCs w:val="21"/>
        </w:rPr>
      </w:pPr>
      <w:r>
        <w:rPr>
          <w:rFonts w:hint="eastAsia" w:ascii="宋体" w:hAnsi="宋体" w:cs="宋体"/>
          <w:szCs w:val="21"/>
        </w:rPr>
        <w:t>投标文件如果出现计算或表达上的错误，修正错误的原则如下：</w:t>
      </w:r>
    </w:p>
    <w:p>
      <w:pPr>
        <w:pStyle w:val="31"/>
        <w:spacing w:line="360" w:lineRule="auto"/>
        <w:ind w:firstLine="417" w:firstLineChars="199"/>
        <w:rPr>
          <w:rFonts w:ascii="宋体" w:hAnsi="宋体" w:cs="宋体"/>
          <w:szCs w:val="21"/>
        </w:rPr>
      </w:pPr>
      <w:r>
        <w:rPr>
          <w:rFonts w:hint="eastAsia" w:ascii="宋体" w:hAnsi="宋体" w:cs="宋体"/>
          <w:szCs w:val="21"/>
        </w:rPr>
        <w:t>1、投标文件中开标一览表（报价表）内容与投标文件中相应内容不一致的，以开标一览表（报价表）为准；</w:t>
      </w:r>
    </w:p>
    <w:p>
      <w:pPr>
        <w:pStyle w:val="31"/>
        <w:spacing w:line="360" w:lineRule="auto"/>
        <w:ind w:firstLine="417" w:firstLineChars="199"/>
        <w:rPr>
          <w:rFonts w:ascii="宋体" w:hAnsi="宋体" w:cs="宋体"/>
          <w:szCs w:val="21"/>
        </w:rPr>
      </w:pPr>
      <w:r>
        <w:rPr>
          <w:rFonts w:hint="eastAsia" w:ascii="宋体" w:hAnsi="宋体" w:cs="宋体"/>
          <w:szCs w:val="21"/>
        </w:rPr>
        <w:t>2、大写金额和小写金额不一致的，以大写金额为准；</w:t>
      </w:r>
    </w:p>
    <w:p>
      <w:pPr>
        <w:pStyle w:val="31"/>
        <w:spacing w:line="360" w:lineRule="auto"/>
        <w:ind w:firstLine="417" w:firstLineChars="199"/>
        <w:rPr>
          <w:rFonts w:ascii="宋体" w:hAnsi="宋体" w:cs="宋体"/>
          <w:szCs w:val="21"/>
        </w:rPr>
      </w:pPr>
      <w:r>
        <w:rPr>
          <w:rFonts w:hint="eastAsia" w:ascii="宋体" w:hAnsi="宋体" w:cs="宋体"/>
          <w:szCs w:val="21"/>
        </w:rPr>
        <w:t>3、单价金额小数点或者百分比有明显错位的，以开标一览表的总价为准，并修改单价；</w:t>
      </w:r>
    </w:p>
    <w:p>
      <w:pPr>
        <w:pStyle w:val="31"/>
        <w:spacing w:line="360" w:lineRule="auto"/>
        <w:ind w:firstLine="417" w:firstLineChars="199"/>
        <w:rPr>
          <w:rFonts w:ascii="宋体" w:hAnsi="宋体" w:cs="宋体"/>
          <w:szCs w:val="21"/>
        </w:rPr>
      </w:pPr>
      <w:r>
        <w:rPr>
          <w:rFonts w:hint="eastAsia" w:ascii="宋体" w:hAnsi="宋体" w:cs="宋体"/>
          <w:szCs w:val="21"/>
        </w:rPr>
        <w:t>4、总价金额与按单价汇总金额不一致的，以单价金额计算结果为准。</w:t>
      </w:r>
    </w:p>
    <w:p>
      <w:pPr>
        <w:pStyle w:val="31"/>
        <w:spacing w:line="360" w:lineRule="auto"/>
        <w:ind w:firstLine="417" w:firstLineChars="199"/>
        <w:rPr>
          <w:rFonts w:ascii="宋体" w:hAnsi="宋体" w:cs="宋体"/>
          <w:szCs w:val="21"/>
        </w:rPr>
      </w:pPr>
      <w:r>
        <w:rPr>
          <w:rFonts w:hint="eastAsia" w:ascii="宋体" w:hAnsi="宋体" w:cs="宋体"/>
          <w:szCs w:val="21"/>
        </w:rPr>
        <w:t>5、政采云平台填报的开标一览表中的价格与上传的报价文件中开标一览表的报价不一致的，以上传的报价文件为准。</w:t>
      </w:r>
    </w:p>
    <w:p>
      <w:pPr>
        <w:pStyle w:val="31"/>
        <w:spacing w:line="360" w:lineRule="auto"/>
        <w:ind w:firstLine="417" w:firstLineChars="199"/>
        <w:rPr>
          <w:rFonts w:ascii="宋体" w:hAnsi="宋体" w:cs="宋体"/>
          <w:szCs w:val="21"/>
        </w:rPr>
      </w:pPr>
      <w:r>
        <w:rPr>
          <w:rFonts w:hint="eastAsia" w:ascii="宋体" w:hAnsi="宋体" w:cs="宋体"/>
          <w:szCs w:val="21"/>
        </w:rPr>
        <w:t>同时出现两种以上不一致的，按照前款规定的顺序修正。修正后的报价按照投标文件澄清第二款的规定经供应商确认后产生约束力，供应商不确认的，其投标无效。</w:t>
      </w:r>
    </w:p>
    <w:p>
      <w:pPr>
        <w:numPr>
          <w:ilvl w:val="0"/>
          <w:numId w:val="13"/>
        </w:numPr>
        <w:spacing w:line="360" w:lineRule="auto"/>
        <w:rPr>
          <w:rFonts w:ascii="宋体" w:hAnsi="宋体" w:cs="宋体"/>
          <w:b/>
          <w:bCs/>
          <w:szCs w:val="21"/>
        </w:rPr>
      </w:pPr>
      <w:bookmarkStart w:id="74" w:name="_Toc481567077"/>
      <w:bookmarkStart w:id="75" w:name="_Toc493058318"/>
      <w:r>
        <w:rPr>
          <w:rFonts w:hint="eastAsia" w:ascii="宋体" w:hAnsi="宋体" w:cs="宋体"/>
          <w:b/>
          <w:bCs/>
          <w:szCs w:val="21"/>
        </w:rPr>
        <w:t>评标</w:t>
      </w:r>
      <w:bookmarkEnd w:id="74"/>
      <w:r>
        <w:rPr>
          <w:rFonts w:hint="eastAsia" w:ascii="宋体" w:hAnsi="宋体" w:cs="宋体"/>
          <w:b/>
          <w:bCs/>
          <w:szCs w:val="21"/>
        </w:rPr>
        <w:t>程序</w:t>
      </w:r>
      <w:bookmarkEnd w:id="75"/>
    </w:p>
    <w:p>
      <w:pPr>
        <w:spacing w:line="360" w:lineRule="auto"/>
        <w:ind w:firstLine="422" w:firstLineChars="200"/>
        <w:rPr>
          <w:rFonts w:ascii="宋体" w:hAnsi="宋体" w:cs="宋体"/>
          <w:b/>
          <w:szCs w:val="21"/>
        </w:rPr>
      </w:pPr>
      <w:r>
        <w:rPr>
          <w:rFonts w:hint="eastAsia" w:ascii="宋体" w:hAnsi="宋体" w:cs="宋体"/>
          <w:b/>
          <w:szCs w:val="21"/>
        </w:rPr>
        <w:t>（一）资格条件审查</w:t>
      </w:r>
    </w:p>
    <w:p>
      <w:pPr>
        <w:spacing w:line="360" w:lineRule="auto"/>
        <w:ind w:firstLine="522" w:firstLineChars="249"/>
        <w:rPr>
          <w:rFonts w:ascii="宋体" w:hAnsi="宋体" w:cs="宋体"/>
          <w:szCs w:val="21"/>
        </w:rPr>
      </w:pPr>
      <w:r>
        <w:rPr>
          <w:rFonts w:hint="eastAsia" w:ascii="宋体" w:hAnsi="宋体" w:cs="宋体"/>
          <w:szCs w:val="21"/>
        </w:rPr>
        <w:t>由采购人或采购代理机构对供应商的资格进行审查。</w:t>
      </w:r>
    </w:p>
    <w:tbl>
      <w:tblPr>
        <w:tblStyle w:val="49"/>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tcPr>
          <w:p>
            <w:pPr>
              <w:spacing w:line="336" w:lineRule="auto"/>
              <w:jc w:val="center"/>
              <w:rPr>
                <w:rFonts w:ascii="宋体" w:hAnsi="宋体" w:cs="宋体"/>
                <w:b/>
                <w:szCs w:val="21"/>
              </w:rPr>
            </w:pPr>
            <w:r>
              <w:rPr>
                <w:rFonts w:hint="eastAsia" w:ascii="宋体" w:hAnsi="宋体" w:cs="宋体"/>
                <w:b/>
                <w:szCs w:val="21"/>
              </w:rPr>
              <w:t>审查类别</w:t>
            </w:r>
          </w:p>
        </w:tc>
        <w:tc>
          <w:tcPr>
            <w:tcW w:w="6794" w:type="dxa"/>
          </w:tcPr>
          <w:p>
            <w:pPr>
              <w:spacing w:line="336" w:lineRule="auto"/>
              <w:jc w:val="center"/>
              <w:rPr>
                <w:rFonts w:ascii="宋体" w:hAnsi="宋体" w:cs="宋体"/>
                <w:b/>
                <w:szCs w:val="21"/>
              </w:rPr>
            </w:pPr>
            <w:r>
              <w:rPr>
                <w:rFonts w:hint="eastAsia" w:ascii="宋体" w:hAnsi="宋体" w:cs="宋体"/>
                <w:b/>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vAlign w:val="center"/>
          </w:tcPr>
          <w:p>
            <w:pPr>
              <w:spacing w:line="336" w:lineRule="auto"/>
              <w:jc w:val="center"/>
              <w:rPr>
                <w:rFonts w:ascii="宋体" w:hAnsi="宋体" w:cs="宋体"/>
                <w:szCs w:val="21"/>
              </w:rPr>
            </w:pPr>
            <w:r>
              <w:rPr>
                <w:rFonts w:hint="eastAsia" w:ascii="宋体" w:hAnsi="宋体" w:cs="宋体"/>
                <w:szCs w:val="21"/>
              </w:rPr>
              <w:t>资格条件审查</w:t>
            </w:r>
          </w:p>
        </w:tc>
        <w:tc>
          <w:tcPr>
            <w:tcW w:w="6794" w:type="dxa"/>
          </w:tcPr>
          <w:p>
            <w:pPr>
              <w:numPr>
                <w:ilvl w:val="0"/>
                <w:numId w:val="14"/>
              </w:numPr>
              <w:spacing w:line="336" w:lineRule="auto"/>
              <w:rPr>
                <w:rFonts w:ascii="宋体" w:hAnsi="宋体" w:cs="宋体"/>
              </w:rPr>
            </w:pPr>
            <w:r>
              <w:rPr>
                <w:rFonts w:hint="eastAsia" w:ascii="宋体" w:hAnsi="宋体" w:cs="宋体"/>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1" w:type="dxa"/>
            <w:vMerge w:val="continue"/>
            <w:vAlign w:val="center"/>
          </w:tcPr>
          <w:p>
            <w:pPr>
              <w:spacing w:line="336" w:lineRule="auto"/>
              <w:jc w:val="center"/>
              <w:rPr>
                <w:rFonts w:ascii="宋体" w:hAnsi="宋体" w:cs="宋体"/>
                <w:szCs w:val="21"/>
              </w:rPr>
            </w:pPr>
          </w:p>
        </w:tc>
        <w:tc>
          <w:tcPr>
            <w:tcW w:w="6794" w:type="dxa"/>
          </w:tcPr>
          <w:p>
            <w:pPr>
              <w:numPr>
                <w:ilvl w:val="0"/>
                <w:numId w:val="14"/>
              </w:numPr>
              <w:spacing w:line="336" w:lineRule="auto"/>
              <w:rPr>
                <w:rFonts w:ascii="宋体" w:hAnsi="宋体" w:cs="宋体"/>
                <w:szCs w:val="21"/>
              </w:rPr>
            </w:pPr>
            <w:r>
              <w:rPr>
                <w:rFonts w:hint="eastAsia" w:ascii="宋体" w:hAnsi="宋体" w:cs="宋体"/>
                <w:szCs w:val="21"/>
              </w:rPr>
              <w:t>落实政府采购政策需满足的资格要求：专门面向中小企业。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521" w:type="dxa"/>
            <w:vMerge w:val="continue"/>
            <w:vAlign w:val="center"/>
          </w:tcPr>
          <w:p>
            <w:pPr>
              <w:spacing w:line="336" w:lineRule="auto"/>
              <w:jc w:val="center"/>
              <w:rPr>
                <w:rFonts w:ascii="宋体" w:hAnsi="宋体" w:cs="宋体"/>
                <w:szCs w:val="21"/>
              </w:rPr>
            </w:pPr>
          </w:p>
        </w:tc>
        <w:tc>
          <w:tcPr>
            <w:tcW w:w="6794" w:type="dxa"/>
          </w:tcPr>
          <w:p>
            <w:pPr>
              <w:numPr>
                <w:ilvl w:val="0"/>
                <w:numId w:val="14"/>
              </w:numPr>
              <w:spacing w:line="336" w:lineRule="auto"/>
              <w:rPr>
                <w:rFonts w:hint="eastAsia" w:ascii="宋体" w:hAnsi="宋体" w:cs="宋体"/>
                <w:szCs w:val="21"/>
              </w:rPr>
            </w:pPr>
            <w:r>
              <w:rPr>
                <w:rFonts w:hint="eastAsia" w:ascii="宋体" w:hAnsi="宋体" w:cs="宋体"/>
                <w:szCs w:val="21"/>
              </w:rPr>
              <w:t>本项目的特定资格要求</w:t>
            </w:r>
            <w:r>
              <w:rPr>
                <w:rFonts w:hint="eastAsia" w:ascii="宋体" w:hAnsi="宋体" w:cs="宋体"/>
                <w:color w:val="auto"/>
                <w:szCs w:val="21"/>
              </w:rPr>
              <w:t>：</w:t>
            </w:r>
            <w:r>
              <w:rPr>
                <w:rFonts w:hint="eastAsia" w:ascii="宋体" w:hAnsi="宋体"/>
                <w:color w:val="auto"/>
                <w:szCs w:val="21"/>
                <w:u w:val="single"/>
              </w:rPr>
              <w:t xml:space="preserve"> </w:t>
            </w:r>
            <w:r>
              <w:rPr>
                <w:rFonts w:hint="eastAsia" w:ascii="宋体" w:hAnsi="宋体"/>
                <w:b/>
                <w:color w:val="auto"/>
                <w:szCs w:val="21"/>
                <w:u w:val="single"/>
              </w:rPr>
              <w:t>投标人须具有有效的《农药经营许可证》；该特定条件的法律法规依据：《农药管理条例》（2022年修订）及《浙江省人民政府办公厅关于印发浙江省</w:t>
            </w:r>
            <w:r>
              <w:rPr>
                <w:rFonts w:hint="eastAsia" w:ascii="宋体" w:hAnsi="宋体"/>
                <w:b/>
                <w:color w:val="auto"/>
                <w:szCs w:val="21"/>
                <w:u w:val="single"/>
                <w:lang w:eastAsia="zh-CN"/>
              </w:rPr>
              <w:t>农药包装废弃物</w:t>
            </w:r>
            <w:r>
              <w:rPr>
                <w:rFonts w:hint="eastAsia" w:ascii="宋体" w:hAnsi="宋体"/>
                <w:b/>
                <w:color w:val="auto"/>
                <w:szCs w:val="21"/>
                <w:u w:val="single"/>
              </w:rPr>
              <w:t>回收和集中处置试行办法的通知》（浙政办发[2015]82号）</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21" w:type="dxa"/>
            <w:vMerge w:val="continue"/>
            <w:vAlign w:val="center"/>
          </w:tcPr>
          <w:p>
            <w:pPr>
              <w:spacing w:line="336" w:lineRule="auto"/>
              <w:jc w:val="center"/>
              <w:rPr>
                <w:rFonts w:ascii="宋体" w:hAnsi="宋体" w:cs="宋体"/>
                <w:szCs w:val="21"/>
              </w:rPr>
            </w:pPr>
          </w:p>
        </w:tc>
        <w:tc>
          <w:tcPr>
            <w:tcW w:w="6794" w:type="dxa"/>
          </w:tcPr>
          <w:p>
            <w:pPr>
              <w:numPr>
                <w:ilvl w:val="255"/>
                <w:numId w:val="0"/>
              </w:numPr>
              <w:spacing w:line="360" w:lineRule="auto"/>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四</w:t>
            </w:r>
            <w:r>
              <w:rPr>
                <w:rFonts w:hint="eastAsia" w:ascii="宋体" w:hAnsi="宋体" w:cs="宋体"/>
                <w:szCs w:val="21"/>
              </w:rPr>
              <w:t>）</w:t>
            </w:r>
            <w:r>
              <w:rPr>
                <w:rFonts w:hint="eastAsia" w:ascii="宋体" w:hAnsi="宋体" w:cs="宋体"/>
              </w:rPr>
              <w:t>本项目不接受联合体投标。</w:t>
            </w:r>
          </w:p>
        </w:tc>
      </w:tr>
    </w:tbl>
    <w:p>
      <w:pPr>
        <w:spacing w:line="360" w:lineRule="auto"/>
        <w:ind w:firstLine="422" w:firstLineChars="200"/>
        <w:rPr>
          <w:rFonts w:ascii="宋体" w:hAnsi="宋体" w:cs="宋体"/>
          <w:b/>
          <w:szCs w:val="21"/>
        </w:rPr>
      </w:pPr>
      <w:r>
        <w:rPr>
          <w:rFonts w:hint="eastAsia" w:ascii="宋体" w:hAnsi="宋体" w:cs="宋体"/>
          <w:b/>
          <w:szCs w:val="21"/>
        </w:rPr>
        <w:t>（二）符合性审查</w:t>
      </w:r>
    </w:p>
    <w:p>
      <w:pPr>
        <w:spacing w:line="360" w:lineRule="auto"/>
        <w:ind w:firstLine="420" w:firstLineChars="200"/>
        <w:rPr>
          <w:rFonts w:ascii="宋体" w:hAnsi="宋体" w:cs="宋体"/>
          <w:kern w:val="0"/>
          <w:szCs w:val="21"/>
        </w:rPr>
      </w:pPr>
      <w:r>
        <w:rPr>
          <w:rFonts w:hint="eastAsia" w:ascii="宋体" w:hAnsi="宋体" w:cs="宋体"/>
          <w:kern w:val="0"/>
          <w:szCs w:val="21"/>
        </w:rPr>
        <w:t>评标委员会应当对符合资格的供应商的投标文件进行符合性审查，以确定其是否满足</w:t>
      </w:r>
      <w:r>
        <w:rPr>
          <w:rFonts w:hint="eastAsia" w:ascii="宋体" w:hAnsi="宋体" w:cs="宋体"/>
          <w:kern w:val="0"/>
          <w:szCs w:val="21"/>
          <w:lang w:eastAsia="zh-CN"/>
        </w:rPr>
        <w:t>采购文件</w:t>
      </w:r>
      <w:r>
        <w:rPr>
          <w:rFonts w:hint="eastAsia" w:ascii="宋体" w:hAnsi="宋体" w:cs="宋体"/>
          <w:kern w:val="0"/>
          <w:szCs w:val="21"/>
        </w:rPr>
        <w:t>的实质性要求。</w:t>
      </w:r>
    </w:p>
    <w:tbl>
      <w:tblPr>
        <w:tblStyle w:val="49"/>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7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trPr>
        <w:tc>
          <w:tcPr>
            <w:tcW w:w="1503" w:type="dxa"/>
            <w:vAlign w:val="center"/>
          </w:tcPr>
          <w:p>
            <w:pPr>
              <w:spacing w:line="440" w:lineRule="exact"/>
              <w:jc w:val="center"/>
              <w:rPr>
                <w:rFonts w:ascii="宋体" w:hAnsi="宋体" w:cs="宋体"/>
                <w:b/>
                <w:szCs w:val="21"/>
              </w:rPr>
            </w:pPr>
            <w:r>
              <w:rPr>
                <w:rFonts w:hint="eastAsia" w:ascii="宋体" w:hAnsi="宋体" w:cs="宋体"/>
                <w:b/>
                <w:szCs w:val="21"/>
              </w:rPr>
              <w:t>审查类别</w:t>
            </w:r>
          </w:p>
        </w:tc>
        <w:tc>
          <w:tcPr>
            <w:tcW w:w="7394" w:type="dxa"/>
            <w:vAlign w:val="center"/>
          </w:tcPr>
          <w:p>
            <w:pPr>
              <w:spacing w:line="440" w:lineRule="exact"/>
              <w:jc w:val="center"/>
              <w:rPr>
                <w:rFonts w:ascii="宋体" w:hAnsi="宋体" w:cs="宋体"/>
                <w:b/>
                <w:szCs w:val="21"/>
              </w:rPr>
            </w:pPr>
            <w:r>
              <w:rPr>
                <w:rFonts w:hint="eastAsia" w:ascii="宋体" w:hAnsi="宋体" w:cs="宋体"/>
                <w:b/>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restart"/>
            <w:vAlign w:val="center"/>
          </w:tcPr>
          <w:p>
            <w:pPr>
              <w:spacing w:line="440" w:lineRule="exact"/>
              <w:jc w:val="center"/>
              <w:rPr>
                <w:rFonts w:ascii="宋体" w:hAnsi="宋体" w:cs="宋体"/>
                <w:szCs w:val="21"/>
              </w:rPr>
            </w:pPr>
            <w:r>
              <w:rPr>
                <w:rFonts w:hint="eastAsia" w:ascii="宋体" w:hAnsi="宋体" w:cs="宋体"/>
                <w:szCs w:val="21"/>
              </w:rPr>
              <w:t>符合性审查</w:t>
            </w:r>
          </w:p>
        </w:tc>
        <w:tc>
          <w:tcPr>
            <w:tcW w:w="7394" w:type="dxa"/>
            <w:vAlign w:val="center"/>
          </w:tcPr>
          <w:p>
            <w:pPr>
              <w:tabs>
                <w:tab w:val="left" w:pos="612"/>
              </w:tabs>
              <w:spacing w:line="440" w:lineRule="exact"/>
              <w:rPr>
                <w:rFonts w:ascii="宋体" w:hAnsi="宋体" w:cs="宋体"/>
                <w:szCs w:val="21"/>
              </w:rPr>
            </w:pPr>
            <w:r>
              <w:rPr>
                <w:rFonts w:hint="eastAsia" w:ascii="宋体" w:hAnsi="宋体" w:cs="宋体"/>
                <w:szCs w:val="21"/>
              </w:rPr>
              <w:t>投标函已提交并符合采购文件要求的；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continue"/>
          </w:tcPr>
          <w:p>
            <w:pPr>
              <w:spacing w:line="440" w:lineRule="exact"/>
              <w:rPr>
                <w:rFonts w:ascii="宋体" w:hAnsi="宋体" w:cs="宋体"/>
                <w:szCs w:val="21"/>
              </w:rPr>
            </w:pPr>
          </w:p>
        </w:tc>
        <w:tc>
          <w:tcPr>
            <w:tcW w:w="7394" w:type="dxa"/>
            <w:vAlign w:val="center"/>
          </w:tcPr>
          <w:p>
            <w:pPr>
              <w:tabs>
                <w:tab w:val="left" w:pos="612"/>
              </w:tabs>
              <w:spacing w:line="440" w:lineRule="exact"/>
              <w:rPr>
                <w:rFonts w:ascii="宋体" w:hAnsi="宋体" w:cs="宋体"/>
                <w:szCs w:val="21"/>
              </w:rPr>
            </w:pPr>
            <w:r>
              <w:rPr>
                <w:rFonts w:hint="eastAsia" w:ascii="宋体" w:hAnsi="宋体" w:cs="宋体"/>
                <w:szCs w:val="21"/>
              </w:rPr>
              <w:t>投标人按照采购文件规定要求盖章；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continue"/>
          </w:tcPr>
          <w:p>
            <w:pPr>
              <w:spacing w:line="440" w:lineRule="exact"/>
              <w:rPr>
                <w:rFonts w:ascii="宋体" w:hAnsi="宋体" w:cs="宋体"/>
                <w:szCs w:val="21"/>
              </w:rPr>
            </w:pPr>
          </w:p>
        </w:tc>
        <w:tc>
          <w:tcPr>
            <w:tcW w:w="7394" w:type="dxa"/>
            <w:vAlign w:val="center"/>
          </w:tcPr>
          <w:p>
            <w:pPr>
              <w:tabs>
                <w:tab w:val="left" w:pos="612"/>
              </w:tabs>
              <w:spacing w:line="440" w:lineRule="exact"/>
              <w:rPr>
                <w:rFonts w:ascii="宋体" w:hAnsi="宋体" w:cs="宋体"/>
                <w:kern w:val="0"/>
                <w:szCs w:val="21"/>
              </w:rPr>
            </w:pPr>
            <w:r>
              <w:rPr>
                <w:rFonts w:hint="eastAsia" w:ascii="宋体" w:hAnsi="宋体" w:cs="宋体"/>
                <w:szCs w:val="21"/>
              </w:rPr>
              <w:t>投标文件完全满足采购文件的实质性条款（即带“★”的条款）无负偏离的；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continue"/>
          </w:tcPr>
          <w:p>
            <w:pPr>
              <w:spacing w:line="440" w:lineRule="exact"/>
              <w:rPr>
                <w:rFonts w:ascii="宋体" w:hAnsi="宋体" w:cs="宋体"/>
                <w:szCs w:val="21"/>
              </w:rPr>
            </w:pPr>
          </w:p>
        </w:tc>
        <w:tc>
          <w:tcPr>
            <w:tcW w:w="7394" w:type="dxa"/>
            <w:vAlign w:val="center"/>
          </w:tcPr>
          <w:p>
            <w:pPr>
              <w:spacing w:line="440" w:lineRule="exact"/>
              <w:rPr>
                <w:rFonts w:ascii="宋体" w:hAnsi="宋体" w:cs="宋体"/>
                <w:szCs w:val="21"/>
              </w:rPr>
            </w:pPr>
            <w:r>
              <w:rPr>
                <w:rFonts w:hint="eastAsia" w:ascii="宋体" w:hAnsi="宋体" w:cs="宋体"/>
                <w:szCs w:val="21"/>
              </w:rPr>
              <w:t>投标文件没有采购文件中规定的其它无效投标条款的；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Merge w:val="continue"/>
          </w:tcPr>
          <w:p>
            <w:pPr>
              <w:spacing w:line="440" w:lineRule="exact"/>
              <w:rPr>
                <w:rFonts w:ascii="宋体" w:hAnsi="宋体" w:cs="宋体"/>
                <w:szCs w:val="21"/>
              </w:rPr>
            </w:pPr>
          </w:p>
        </w:tc>
        <w:tc>
          <w:tcPr>
            <w:tcW w:w="7394" w:type="dxa"/>
            <w:vAlign w:val="center"/>
          </w:tcPr>
          <w:p>
            <w:pPr>
              <w:spacing w:line="440" w:lineRule="exact"/>
              <w:rPr>
                <w:rFonts w:ascii="宋体" w:hAnsi="宋体" w:cs="宋体"/>
                <w:szCs w:val="21"/>
              </w:rPr>
            </w:pPr>
            <w:r>
              <w:rPr>
                <w:rFonts w:hint="eastAsia" w:ascii="宋体" w:hAnsi="宋体" w:cs="宋体"/>
                <w:szCs w:val="21"/>
              </w:rPr>
              <w:t>按有关法律、法规、规章不属于投标无效的。</w:t>
            </w:r>
          </w:p>
        </w:tc>
      </w:tr>
    </w:tbl>
    <w:p>
      <w:pPr>
        <w:spacing w:line="360" w:lineRule="auto"/>
        <w:ind w:firstLine="422" w:firstLineChars="200"/>
        <w:rPr>
          <w:rFonts w:ascii="宋体" w:hAnsi="宋体" w:cs="宋体"/>
          <w:b/>
        </w:rPr>
      </w:pPr>
      <w:bookmarkStart w:id="76" w:name="_Toc249866767"/>
      <w:bookmarkStart w:id="77" w:name="_Toc259108323"/>
      <w:r>
        <w:rPr>
          <w:rFonts w:hint="eastAsia" w:ascii="宋体" w:hAnsi="宋体" w:cs="宋体"/>
          <w:b/>
        </w:rPr>
        <w:t>（三）投标无效的情形</w:t>
      </w:r>
      <w:bookmarkEnd w:id="76"/>
      <w:bookmarkEnd w:id="77"/>
    </w:p>
    <w:p>
      <w:pPr>
        <w:spacing w:line="360" w:lineRule="auto"/>
        <w:ind w:firstLine="420" w:firstLineChars="200"/>
        <w:rPr>
          <w:rFonts w:ascii="宋体" w:hAnsi="宋体" w:cs="宋体"/>
          <w:szCs w:val="21"/>
        </w:rPr>
      </w:pPr>
      <w:r>
        <w:rPr>
          <w:rFonts w:hint="eastAsia" w:ascii="宋体" w:hAnsi="宋体" w:cs="宋体"/>
          <w:szCs w:val="21"/>
        </w:rPr>
        <w:t>没有响应</w:t>
      </w:r>
      <w:r>
        <w:rPr>
          <w:rFonts w:hint="eastAsia" w:ascii="宋体" w:hAnsi="宋体" w:cs="宋体"/>
          <w:szCs w:val="21"/>
          <w:lang w:eastAsia="zh-CN"/>
        </w:rPr>
        <w:t>采购文件</w:t>
      </w:r>
      <w:r>
        <w:rPr>
          <w:rFonts w:hint="eastAsia" w:ascii="宋体" w:hAnsi="宋体" w:cs="宋体"/>
          <w:szCs w:val="21"/>
        </w:rPr>
        <w:t>实质性要求的投标将被视为无效投标。供应商不得通过修正或撤销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w:t>
      </w:r>
      <w:r>
        <w:rPr>
          <w:rFonts w:hint="eastAsia" w:ascii="宋体" w:hAnsi="宋体" w:cs="宋体"/>
          <w:szCs w:val="21"/>
          <w:lang w:eastAsia="zh-CN"/>
        </w:rPr>
        <w:t>采购文件</w:t>
      </w:r>
      <w:r>
        <w:rPr>
          <w:rFonts w:hint="eastAsia" w:ascii="宋体" w:hAnsi="宋体" w:cs="宋体"/>
          <w:szCs w:val="21"/>
        </w:rPr>
        <w:t>要求的，应认定其投标无效。供应商修改、补正投标文件后，不影响评标委员会对其投标文件所作的评价和评分结果。</w:t>
      </w:r>
    </w:p>
    <w:p>
      <w:pPr>
        <w:widowControl/>
        <w:spacing w:after="120"/>
        <w:ind w:firstLine="422" w:firstLineChars="200"/>
      </w:pPr>
      <w:r>
        <w:rPr>
          <w:rFonts w:hint="eastAsia" w:ascii="宋体" w:hAnsi="宋体" w:cs="宋体"/>
          <w:b/>
          <w:bCs/>
          <w:szCs w:val="21"/>
        </w:rPr>
        <w:t>★上传投标文件同一网卡地址、同一IP地址的为无效标。</w:t>
      </w:r>
    </w:p>
    <w:p>
      <w:pPr>
        <w:widowControl/>
        <w:numPr>
          <w:ilvl w:val="0"/>
          <w:numId w:val="15"/>
        </w:numPr>
        <w:spacing w:line="360" w:lineRule="auto"/>
        <w:jc w:val="left"/>
        <w:rPr>
          <w:rFonts w:ascii="宋体" w:hAnsi="宋体" w:cs="宋体"/>
          <w:b/>
          <w:bCs/>
          <w:kern w:val="0"/>
          <w:szCs w:val="21"/>
        </w:rPr>
      </w:pPr>
      <w:r>
        <w:rPr>
          <w:rFonts w:hint="eastAsia" w:ascii="宋体" w:hAnsi="宋体" w:cs="宋体"/>
          <w:b/>
          <w:bCs/>
          <w:kern w:val="0"/>
          <w:szCs w:val="21"/>
        </w:rPr>
        <w:t>在资格审查时，如发现下列情形之一的，将被视为无效投标文件：</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1、资格证明文件不全的或者不符合</w:t>
      </w:r>
      <w:r>
        <w:rPr>
          <w:rFonts w:hint="eastAsia" w:ascii="宋体" w:hAnsi="宋体" w:cs="宋体"/>
          <w:kern w:val="0"/>
          <w:szCs w:val="21"/>
          <w:lang w:eastAsia="zh-CN"/>
        </w:rPr>
        <w:t>采购文件</w:t>
      </w:r>
      <w:r>
        <w:rPr>
          <w:rFonts w:hint="eastAsia" w:ascii="宋体" w:hAnsi="宋体" w:cs="宋体"/>
          <w:kern w:val="0"/>
          <w:szCs w:val="21"/>
        </w:rPr>
        <w:t>标明的资格要求的；</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2、供应商资格声明函无法定代表人或授权代表签名或盖章；</w:t>
      </w:r>
    </w:p>
    <w:p>
      <w:pPr>
        <w:widowControl/>
        <w:spacing w:line="360" w:lineRule="auto"/>
        <w:jc w:val="left"/>
        <w:rPr>
          <w:rFonts w:ascii="宋体" w:hAnsi="宋体" w:cs="宋体"/>
          <w:b/>
          <w:bCs/>
          <w:kern w:val="0"/>
          <w:szCs w:val="21"/>
        </w:rPr>
      </w:pPr>
      <w:r>
        <w:rPr>
          <w:rFonts w:hint="eastAsia" w:ascii="宋体" w:hAnsi="宋体" w:cs="宋体"/>
          <w:b/>
          <w:bCs/>
          <w:kern w:val="0"/>
          <w:szCs w:val="21"/>
        </w:rPr>
        <w:t>B、在符合性审查（商务技术文件）时，如发现下列情形之一的，将被视为无效投标文件：</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1、未</w:t>
      </w:r>
      <w:r>
        <w:rPr>
          <w:rFonts w:hint="eastAsia" w:ascii="宋体" w:hAnsi="宋体" w:cs="宋体"/>
          <w:kern w:val="0"/>
          <w:szCs w:val="20"/>
        </w:rPr>
        <w:t>提交投标函或投标函内容不符合</w:t>
      </w:r>
      <w:r>
        <w:rPr>
          <w:rFonts w:hint="eastAsia" w:ascii="宋体" w:hAnsi="宋体" w:cs="宋体"/>
          <w:kern w:val="0"/>
          <w:szCs w:val="20"/>
          <w:lang w:eastAsia="zh-CN"/>
        </w:rPr>
        <w:t>采购文件</w:t>
      </w:r>
      <w:r>
        <w:rPr>
          <w:rFonts w:hint="eastAsia" w:ascii="宋体" w:hAnsi="宋体" w:cs="宋体"/>
          <w:kern w:val="0"/>
          <w:szCs w:val="20"/>
        </w:rPr>
        <w:t>要求；</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2、未按照</w:t>
      </w:r>
      <w:r>
        <w:rPr>
          <w:rFonts w:hint="eastAsia" w:ascii="宋体" w:hAnsi="宋体" w:cs="宋体"/>
          <w:kern w:val="0"/>
          <w:szCs w:val="21"/>
          <w:lang w:eastAsia="zh-CN"/>
        </w:rPr>
        <w:t>采购文件</w:t>
      </w:r>
      <w:r>
        <w:rPr>
          <w:rFonts w:hint="eastAsia" w:ascii="宋体" w:hAnsi="宋体" w:cs="宋体"/>
          <w:kern w:val="0"/>
          <w:szCs w:val="21"/>
        </w:rPr>
        <w:t>规定要求签署或盖章；</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3、投标文件无法定代表人签署本人姓名（或印盖本人姓名章），或签署人未提供有效的法定代表人授权委托书或授权委托书填写项目不齐全的； </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4、投标文件标明的响应或偏离与事实不符或虚假投标的；</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5、投标文件的实质性内容未使用中文表述、意思表述不明确、前后矛盾或者使用计量单位不符合</w:t>
      </w:r>
      <w:r>
        <w:rPr>
          <w:rFonts w:hint="eastAsia" w:ascii="宋体" w:hAnsi="宋体" w:cs="宋体"/>
          <w:kern w:val="0"/>
          <w:szCs w:val="21"/>
          <w:lang w:eastAsia="zh-CN"/>
        </w:rPr>
        <w:t>采购文件</w:t>
      </w:r>
      <w:r>
        <w:rPr>
          <w:rFonts w:hint="eastAsia" w:ascii="宋体" w:hAnsi="宋体" w:cs="宋体"/>
          <w:kern w:val="0"/>
          <w:szCs w:val="21"/>
        </w:rPr>
        <w:t>要求的（经评标委员会认定并允许其当场更正的笔误除外）；</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6、带“★”的条款不能满足</w:t>
      </w:r>
      <w:r>
        <w:rPr>
          <w:rFonts w:hint="eastAsia" w:ascii="宋体" w:hAnsi="宋体" w:cs="宋体"/>
          <w:kern w:val="0"/>
          <w:szCs w:val="21"/>
          <w:lang w:eastAsia="zh-CN"/>
        </w:rPr>
        <w:t>采购文件</w:t>
      </w:r>
      <w:r>
        <w:rPr>
          <w:rFonts w:hint="eastAsia" w:ascii="宋体" w:hAnsi="宋体" w:cs="宋体"/>
          <w:kern w:val="0"/>
          <w:szCs w:val="21"/>
        </w:rPr>
        <w:t>要求、未实质性响应</w:t>
      </w:r>
      <w:r>
        <w:rPr>
          <w:rFonts w:hint="eastAsia" w:ascii="宋体" w:hAnsi="宋体" w:cs="宋体"/>
          <w:kern w:val="0"/>
          <w:szCs w:val="21"/>
          <w:lang w:eastAsia="zh-CN"/>
        </w:rPr>
        <w:t>采购文件</w:t>
      </w:r>
      <w:r>
        <w:rPr>
          <w:rFonts w:hint="eastAsia" w:ascii="宋体" w:hAnsi="宋体" w:cs="宋体"/>
          <w:kern w:val="0"/>
          <w:szCs w:val="21"/>
        </w:rPr>
        <w:t>要求或者投标文件有采购人不能接受的附加条件的；</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7、投标技术方案不明确，存在一个或一个以上备选（替代）投标方案的；</w:t>
      </w:r>
    </w:p>
    <w:p>
      <w:pPr>
        <w:widowControl/>
        <w:spacing w:line="360" w:lineRule="auto"/>
        <w:ind w:firstLine="420"/>
        <w:jc w:val="left"/>
        <w:rPr>
          <w:rFonts w:ascii="宋体" w:hAnsi="宋体" w:cs="宋体"/>
          <w:kern w:val="1"/>
          <w:szCs w:val="21"/>
        </w:rPr>
      </w:pPr>
      <w:r>
        <w:rPr>
          <w:rFonts w:hint="eastAsia" w:ascii="宋体" w:hAnsi="宋体" w:cs="宋体"/>
          <w:kern w:val="1"/>
          <w:szCs w:val="21"/>
        </w:rPr>
        <w:t>8、商务技术文件中出现报价或单价的；</w:t>
      </w:r>
    </w:p>
    <w:p>
      <w:pPr>
        <w:widowControl/>
        <w:spacing w:line="360" w:lineRule="auto"/>
        <w:ind w:firstLine="420"/>
        <w:jc w:val="left"/>
        <w:rPr>
          <w:rFonts w:ascii="宋体" w:hAnsi="宋体" w:cs="宋体"/>
          <w:kern w:val="1"/>
          <w:szCs w:val="21"/>
        </w:rPr>
      </w:pPr>
      <w:r>
        <w:rPr>
          <w:rFonts w:hint="eastAsia" w:ascii="宋体" w:hAnsi="宋体" w:cs="宋体"/>
          <w:kern w:val="1"/>
          <w:szCs w:val="21"/>
        </w:rPr>
        <w:t>9、法律、法规和</w:t>
      </w:r>
      <w:r>
        <w:rPr>
          <w:rFonts w:hint="eastAsia" w:ascii="宋体" w:hAnsi="宋体" w:cs="宋体"/>
          <w:kern w:val="1"/>
          <w:szCs w:val="21"/>
          <w:lang w:eastAsia="zh-CN"/>
        </w:rPr>
        <w:t>采购文件</w:t>
      </w:r>
      <w:r>
        <w:rPr>
          <w:rFonts w:hint="eastAsia" w:ascii="宋体" w:hAnsi="宋体" w:cs="宋体"/>
          <w:kern w:val="1"/>
          <w:szCs w:val="21"/>
        </w:rPr>
        <w:t>规定的其他无效情形；</w:t>
      </w:r>
    </w:p>
    <w:p>
      <w:pPr>
        <w:widowControl/>
        <w:spacing w:line="360" w:lineRule="auto"/>
        <w:ind w:firstLine="420"/>
        <w:jc w:val="left"/>
        <w:rPr>
          <w:rFonts w:ascii="宋体" w:hAnsi="宋体" w:cs="宋体"/>
          <w:kern w:val="1"/>
          <w:szCs w:val="21"/>
        </w:rPr>
      </w:pPr>
      <w:r>
        <w:rPr>
          <w:rFonts w:hint="eastAsia" w:ascii="宋体" w:hAnsi="宋体" w:cs="宋体"/>
          <w:kern w:val="1"/>
          <w:szCs w:val="21"/>
        </w:rPr>
        <w:t>10、投标文件的有效期不满足</w:t>
      </w:r>
      <w:r>
        <w:rPr>
          <w:rFonts w:hint="eastAsia" w:ascii="宋体" w:hAnsi="宋体" w:cs="宋体"/>
          <w:kern w:val="1"/>
          <w:szCs w:val="21"/>
          <w:lang w:eastAsia="zh-CN"/>
        </w:rPr>
        <w:t>采购文件</w:t>
      </w:r>
      <w:r>
        <w:rPr>
          <w:rFonts w:hint="eastAsia" w:ascii="宋体" w:hAnsi="宋体" w:cs="宋体"/>
          <w:kern w:val="1"/>
          <w:szCs w:val="21"/>
        </w:rPr>
        <w:t>要求。</w:t>
      </w:r>
    </w:p>
    <w:p>
      <w:pPr>
        <w:widowControl/>
        <w:spacing w:line="360" w:lineRule="auto"/>
        <w:jc w:val="left"/>
        <w:rPr>
          <w:rFonts w:ascii="宋体" w:hAnsi="宋体" w:cs="宋体"/>
          <w:b/>
          <w:bCs/>
          <w:kern w:val="0"/>
          <w:szCs w:val="21"/>
        </w:rPr>
      </w:pPr>
      <w:r>
        <w:rPr>
          <w:rFonts w:hint="eastAsia" w:ascii="宋体" w:hAnsi="宋体" w:cs="宋体"/>
          <w:b/>
          <w:bCs/>
          <w:kern w:val="0"/>
          <w:szCs w:val="21"/>
        </w:rPr>
        <w:t>C、在符合性审查（报价文件）时，如发现下列情形之一的，将被视为无效投标文件：</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1、未按照</w:t>
      </w:r>
      <w:r>
        <w:rPr>
          <w:rFonts w:hint="eastAsia" w:ascii="宋体" w:hAnsi="宋体" w:cs="宋体"/>
          <w:kern w:val="0"/>
          <w:szCs w:val="21"/>
          <w:lang w:eastAsia="zh-CN"/>
        </w:rPr>
        <w:t>采购文件</w:t>
      </w:r>
      <w:r>
        <w:rPr>
          <w:rFonts w:hint="eastAsia" w:ascii="宋体" w:hAnsi="宋体" w:cs="宋体"/>
          <w:kern w:val="0"/>
          <w:szCs w:val="21"/>
        </w:rPr>
        <w:t>规定要求签署或盖章；</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2、未采用人民币报价或者未按照</w:t>
      </w:r>
      <w:r>
        <w:rPr>
          <w:rFonts w:hint="eastAsia" w:ascii="宋体" w:hAnsi="宋体" w:cs="宋体"/>
          <w:kern w:val="0"/>
          <w:szCs w:val="21"/>
          <w:lang w:eastAsia="zh-CN"/>
        </w:rPr>
        <w:t>采购文件</w:t>
      </w:r>
      <w:r>
        <w:rPr>
          <w:rFonts w:hint="eastAsia" w:ascii="宋体" w:hAnsi="宋体" w:cs="宋体"/>
          <w:kern w:val="0"/>
          <w:szCs w:val="21"/>
        </w:rPr>
        <w:t>标明的币种报价的；</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3、报价超出最高限价（单价或总价），或者超出采购预算金额，采购人不能支付的；</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4、投标报价具有选择性的；</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5、投标报价中出现重大缺项、漏项；</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6、评标委员会认为供应商的报价明显低于其他通过符合性审查供应商的报价，有可能影响产品质量或者不能诚信履约的，且不能在评标现场合理时间内提供相关证明材料说明其报价的合理性的；</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7、投标文件（报价文件）内容与投标文件（商务技术文件）内容有重大差异的；</w:t>
      </w:r>
    </w:p>
    <w:p>
      <w:pPr>
        <w:spacing w:line="360" w:lineRule="auto"/>
        <w:ind w:firstLine="420" w:firstLineChars="200"/>
        <w:rPr>
          <w:rFonts w:ascii="宋体" w:hAnsi="宋体" w:cs="宋体"/>
          <w:szCs w:val="21"/>
        </w:rPr>
      </w:pPr>
      <w:r>
        <w:rPr>
          <w:rFonts w:hint="eastAsia" w:ascii="宋体" w:hAnsi="宋体" w:cs="宋体"/>
          <w:kern w:val="0"/>
          <w:szCs w:val="21"/>
        </w:rPr>
        <w:t>8、法律、法规和</w:t>
      </w:r>
      <w:r>
        <w:rPr>
          <w:rFonts w:hint="eastAsia" w:ascii="宋体" w:hAnsi="宋体" w:cs="宋体"/>
          <w:kern w:val="0"/>
          <w:szCs w:val="21"/>
          <w:lang w:eastAsia="zh-CN"/>
        </w:rPr>
        <w:t>采购文件</w:t>
      </w:r>
      <w:r>
        <w:rPr>
          <w:rFonts w:hint="eastAsia" w:ascii="宋体" w:hAnsi="宋体" w:cs="宋体"/>
          <w:kern w:val="0"/>
          <w:szCs w:val="21"/>
        </w:rPr>
        <w:t>规定的其他无效情形</w:t>
      </w:r>
      <w:r>
        <w:rPr>
          <w:rFonts w:hint="eastAsia" w:ascii="宋体" w:hAnsi="宋体" w:cs="宋体"/>
          <w:kern w:val="1"/>
          <w:szCs w:val="21"/>
        </w:rPr>
        <w:t>。</w:t>
      </w:r>
    </w:p>
    <w:p>
      <w:pPr>
        <w:spacing w:line="360" w:lineRule="exact"/>
        <w:rPr>
          <w:rFonts w:hint="eastAsia" w:ascii="宋体" w:hAnsi="宋体" w:cs="宋体"/>
          <w:b/>
          <w:szCs w:val="21"/>
        </w:rPr>
      </w:pPr>
      <w:r>
        <w:rPr>
          <w:rFonts w:hint="eastAsia" w:ascii="宋体" w:hAnsi="宋体" w:cs="宋体"/>
          <w:b/>
          <w:szCs w:val="21"/>
        </w:rPr>
        <w:t>（四）评分标准</w:t>
      </w:r>
    </w:p>
    <w:p>
      <w:pPr>
        <w:pStyle w:val="2"/>
        <w:rPr>
          <w:rFonts w:hint="eastAsia" w:ascii="宋体" w:hAnsi="宋体" w:cs="宋体"/>
          <w:b/>
          <w:szCs w:val="21"/>
        </w:rPr>
      </w:pPr>
    </w:p>
    <w:tbl>
      <w:tblPr>
        <w:tblStyle w:val="49"/>
        <w:tblW w:w="52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950"/>
        <w:gridCol w:w="6692"/>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80" w:type="pct"/>
            <w:gridSpan w:val="2"/>
            <w:noWrap w:val="0"/>
            <w:vAlign w:val="center"/>
          </w:tcPr>
          <w:p>
            <w:pPr>
              <w:jc w:val="center"/>
              <w:rPr>
                <w:color w:val="auto"/>
                <w:highlight w:val="none"/>
              </w:rPr>
            </w:pPr>
            <w:r>
              <w:rPr>
                <w:rFonts w:hint="eastAsia" w:ascii="宋体" w:hAnsi="宋体" w:cs="宋体"/>
                <w:color w:val="auto"/>
                <w:highlight w:val="none"/>
              </w:rPr>
              <w:t>评分项目</w:t>
            </w:r>
          </w:p>
        </w:tc>
        <w:tc>
          <w:tcPr>
            <w:tcW w:w="3751" w:type="pct"/>
            <w:noWrap w:val="0"/>
            <w:vAlign w:val="center"/>
          </w:tcPr>
          <w:p>
            <w:pPr>
              <w:jc w:val="center"/>
              <w:rPr>
                <w:color w:val="auto"/>
                <w:highlight w:val="none"/>
              </w:rPr>
            </w:pPr>
            <w:r>
              <w:rPr>
                <w:rFonts w:hint="eastAsia" w:ascii="宋体" w:hAnsi="宋体" w:cs="宋体"/>
                <w:color w:val="auto"/>
                <w:highlight w:val="none"/>
              </w:rPr>
              <w:t>评分内容</w:t>
            </w:r>
          </w:p>
        </w:tc>
        <w:tc>
          <w:tcPr>
            <w:tcW w:w="368" w:type="pct"/>
            <w:noWrap w:val="0"/>
            <w:vAlign w:val="center"/>
          </w:tcPr>
          <w:p>
            <w:pPr>
              <w:jc w:val="center"/>
              <w:rPr>
                <w:color w:val="auto"/>
                <w:highlight w:val="none"/>
              </w:rPr>
            </w:pPr>
            <w:r>
              <w:rPr>
                <w:rFonts w:hint="eastAsia" w:ascii="宋体" w:hAnsi="宋体" w:cs="宋体"/>
                <w:color w:val="auto"/>
                <w:highlight w:val="none"/>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47" w:type="pct"/>
            <w:vMerge w:val="restart"/>
            <w:noWrap w:val="0"/>
            <w:vAlign w:val="center"/>
          </w:tcPr>
          <w:p>
            <w:pPr>
              <w:rPr>
                <w:color w:val="auto"/>
                <w:highlight w:val="none"/>
              </w:rPr>
            </w:pPr>
            <w:r>
              <w:rPr>
                <w:rFonts w:hint="eastAsia" w:ascii="宋体" w:hAnsi="宋体" w:cs="宋体"/>
                <w:snapToGrid w:val="0"/>
                <w:color w:val="auto"/>
                <w:spacing w:val="-4"/>
                <w:szCs w:val="21"/>
              </w:rPr>
              <w:t>商务技术分（</w:t>
            </w:r>
            <w:r>
              <w:rPr>
                <w:rFonts w:hint="eastAsia" w:ascii="宋体" w:hAnsi="宋体" w:cs="宋体"/>
                <w:snapToGrid w:val="0"/>
                <w:color w:val="auto"/>
                <w:spacing w:val="-4"/>
                <w:szCs w:val="21"/>
                <w:lang w:val="en-US" w:eastAsia="zh-CN"/>
              </w:rPr>
              <w:t>85</w:t>
            </w:r>
            <w:r>
              <w:rPr>
                <w:rFonts w:hint="eastAsia" w:ascii="宋体" w:hAnsi="宋体" w:cs="宋体"/>
                <w:snapToGrid w:val="0"/>
                <w:color w:val="auto"/>
                <w:spacing w:val="-4"/>
                <w:szCs w:val="21"/>
              </w:rPr>
              <w:t>分）</w:t>
            </w:r>
          </w:p>
        </w:tc>
        <w:tc>
          <w:tcPr>
            <w:tcW w:w="532"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color w:val="auto"/>
                <w:highlight w:val="none"/>
              </w:rPr>
            </w:pPr>
            <w:r>
              <w:rPr>
                <w:rFonts w:hint="eastAsia" w:ascii="宋体" w:hAnsi="宋体" w:cs="宋体"/>
                <w:color w:val="auto"/>
                <w:szCs w:val="21"/>
                <w:highlight w:val="none"/>
              </w:rPr>
              <w:t>需求响应</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12</w:t>
            </w:r>
            <w:r>
              <w:rPr>
                <w:rFonts w:hint="eastAsia" w:ascii="宋体" w:hAnsi="宋体" w:eastAsia="宋体" w:cs="宋体"/>
                <w:color w:val="auto"/>
                <w:sz w:val="21"/>
                <w:szCs w:val="21"/>
              </w:rPr>
              <w:t>分）</w:t>
            </w:r>
          </w:p>
        </w:tc>
        <w:tc>
          <w:tcPr>
            <w:tcW w:w="3751" w:type="pct"/>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b w:val="0"/>
                <w:bCs w:val="0"/>
                <w:color w:val="auto"/>
                <w:lang w:val="en-US" w:eastAsia="zh-CN"/>
              </w:rPr>
            </w:pPr>
            <w:r>
              <w:rPr>
                <w:rFonts w:hint="eastAsia" w:ascii="宋体" w:hAnsi="宋体" w:eastAsia="宋体" w:cs="宋体"/>
                <w:color w:val="auto"/>
                <w:kern w:val="0"/>
                <w:sz w:val="21"/>
                <w:szCs w:val="21"/>
                <w:highlight w:val="none"/>
              </w:rPr>
              <w:t>根据</w:t>
            </w:r>
            <w:r>
              <w:rPr>
                <w:rFonts w:hint="eastAsia" w:ascii="宋体" w:hAnsi="宋体" w:eastAsia="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rPr>
              <w:t>对采购文件中的“第</w:t>
            </w:r>
            <w:r>
              <w:rPr>
                <w:rFonts w:hint="eastAsia" w:ascii="宋体" w:hAnsi="宋体" w:eastAsia="宋体" w:cs="宋体"/>
                <w:color w:val="auto"/>
                <w:kern w:val="0"/>
                <w:sz w:val="21"/>
                <w:szCs w:val="21"/>
                <w:highlight w:val="none"/>
                <w:lang w:val="en-US" w:eastAsia="zh-CN"/>
              </w:rPr>
              <w:t>二章</w:t>
            </w:r>
            <w:r>
              <w:rPr>
                <w:rFonts w:hint="eastAsia" w:ascii="宋体" w:hAnsi="宋体" w:eastAsia="宋体" w:cs="宋体"/>
                <w:color w:val="auto"/>
                <w:kern w:val="0"/>
                <w:sz w:val="21"/>
                <w:szCs w:val="21"/>
                <w:highlight w:val="none"/>
              </w:rPr>
              <w:t xml:space="preserve"> 采购需求”的响应进行评议，</w:t>
            </w:r>
            <w:r>
              <w:rPr>
                <w:rFonts w:hint="eastAsia" w:ascii="宋体" w:hAnsi="宋体" w:eastAsia="宋体" w:cs="宋体"/>
                <w:color w:val="auto"/>
                <w:sz w:val="21"/>
                <w:szCs w:val="21"/>
              </w:rPr>
              <w:t>完全满足招标</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需求中所有要求的，得</w:t>
            </w:r>
            <w:r>
              <w:rPr>
                <w:rFonts w:hint="eastAsia" w:ascii="宋体" w:hAnsi="宋体" w:cs="宋体"/>
                <w:color w:val="auto"/>
                <w:sz w:val="21"/>
                <w:szCs w:val="21"/>
                <w:lang w:val="en-US" w:eastAsia="zh-CN"/>
              </w:rPr>
              <w:t>12</w:t>
            </w:r>
            <w:r>
              <w:rPr>
                <w:rFonts w:hint="eastAsia" w:ascii="宋体" w:hAnsi="宋体" w:eastAsia="宋体" w:cs="宋体"/>
                <w:color w:val="auto"/>
                <w:sz w:val="21"/>
                <w:szCs w:val="21"/>
              </w:rPr>
              <w:t>分。每负偏离一项扣1分，扣完为止。</w:t>
            </w:r>
          </w:p>
        </w:tc>
        <w:tc>
          <w:tcPr>
            <w:tcW w:w="368"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47" w:type="pct"/>
            <w:vMerge w:val="continue"/>
            <w:noWrap w:val="0"/>
            <w:vAlign w:val="center"/>
          </w:tcPr>
          <w:p>
            <w:pPr>
              <w:rPr>
                <w:rFonts w:hint="eastAsia" w:ascii="宋体" w:hAnsi="宋体" w:cs="宋体"/>
                <w:snapToGrid w:val="0"/>
                <w:color w:val="auto"/>
                <w:spacing w:val="-4"/>
                <w:szCs w:val="21"/>
              </w:rPr>
            </w:pPr>
          </w:p>
        </w:tc>
        <w:tc>
          <w:tcPr>
            <w:tcW w:w="95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项目理解（</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6692"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针对</w:t>
            </w:r>
            <w:r>
              <w:rPr>
                <w:rFonts w:hint="eastAsia" w:ascii="宋体" w:hAnsi="宋体" w:eastAsia="宋体" w:cs="Times New Roman"/>
                <w:b w:val="0"/>
                <w:bCs w:val="0"/>
                <w:color w:val="auto"/>
                <w:szCs w:val="21"/>
                <w:highlight w:val="none"/>
              </w:rPr>
              <w:t>项目需求及</w:t>
            </w:r>
            <w:r>
              <w:rPr>
                <w:rFonts w:hint="eastAsia" w:ascii="宋体" w:hAnsi="宋体" w:eastAsia="宋体" w:cs="Times New Roman"/>
                <w:b w:val="0"/>
                <w:bCs w:val="0"/>
                <w:color w:val="auto"/>
                <w:szCs w:val="21"/>
                <w:highlight w:val="none"/>
                <w:lang w:val="en-US" w:eastAsia="zh-CN"/>
              </w:rPr>
              <w:t>回收和处置相关政策</w:t>
            </w:r>
            <w:r>
              <w:rPr>
                <w:rFonts w:hint="eastAsia" w:ascii="宋体" w:hAnsi="宋体" w:eastAsia="宋体" w:cs="Times New Roman"/>
                <w:b w:val="0"/>
                <w:bCs w:val="0"/>
                <w:color w:val="auto"/>
                <w:szCs w:val="21"/>
                <w:highlight w:val="none"/>
              </w:rPr>
              <w:t>的</w:t>
            </w:r>
            <w:r>
              <w:rPr>
                <w:rFonts w:hint="eastAsia" w:ascii="宋体" w:hAnsi="宋体" w:eastAsia="宋体" w:cs="Times New Roman"/>
                <w:b w:val="0"/>
                <w:bCs w:val="0"/>
                <w:color w:val="auto"/>
                <w:szCs w:val="21"/>
                <w:highlight w:val="none"/>
                <w:lang w:val="en-US" w:eastAsia="zh-CN"/>
              </w:rPr>
              <w:t>了解</w:t>
            </w:r>
            <w:r>
              <w:rPr>
                <w:rFonts w:hint="eastAsia" w:ascii="宋体" w:hAnsi="宋体" w:eastAsia="宋体" w:cs="Times New Roman"/>
                <w:b w:val="0"/>
                <w:bCs w:val="0"/>
                <w:color w:val="auto"/>
                <w:szCs w:val="21"/>
                <w:highlight w:val="none"/>
              </w:rPr>
              <w:t>程度</w:t>
            </w:r>
            <w:r>
              <w:rPr>
                <w:rFonts w:hint="eastAsia" w:ascii="宋体" w:hAnsi="宋体" w:eastAsia="宋体" w:cs="Times New Roman"/>
                <w:b w:val="0"/>
                <w:bCs w:val="0"/>
                <w:color w:val="auto"/>
                <w:szCs w:val="21"/>
                <w:highlight w:val="none"/>
                <w:lang w:val="en-US" w:eastAsia="zh-CN"/>
              </w:rPr>
              <w:t>进行综合评议（</w:t>
            </w:r>
            <w:r>
              <w:rPr>
                <w:rFonts w:hint="eastAsia" w:ascii="宋体" w:hAnsi="宋体" w:cs="Times New Roman"/>
                <w:b w:val="0"/>
                <w:bCs w:val="0"/>
                <w:color w:val="auto"/>
                <w:szCs w:val="21"/>
                <w:highlight w:val="none"/>
                <w:lang w:val="en-US" w:eastAsia="zh-CN"/>
              </w:rPr>
              <w:t>5</w:t>
            </w:r>
            <w:r>
              <w:rPr>
                <w:rFonts w:hint="eastAsia" w:ascii="宋体" w:hAnsi="宋体" w:eastAsia="宋体" w:cs="Times New Roman"/>
                <w:b w:val="0"/>
                <w:bCs w:val="0"/>
                <w:color w:val="auto"/>
                <w:szCs w:val="21"/>
                <w:highlight w:val="none"/>
                <w:lang w:val="en-US" w:eastAsia="zh-CN"/>
              </w:rPr>
              <w:t>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了解详尽、全面，现状描述分析合理、符合项目情况的得5分；</w:t>
            </w:r>
          </w:p>
          <w:p>
            <w:pPr>
              <w:keepNext w:val="0"/>
              <w:keepLines w:val="0"/>
              <w:pageBreakBefore w:val="0"/>
              <w:kinsoku/>
              <w:wordWrap/>
              <w:overflowPunct/>
              <w:topLinePunct w:val="0"/>
              <w:autoSpaceDE/>
              <w:autoSpaceDN/>
              <w:bidi w:val="0"/>
              <w:adjustRightInd/>
              <w:snapToGrid/>
              <w:spacing w:line="340" w:lineRule="exact"/>
              <w:textAlignment w:val="auto"/>
              <w:rPr>
                <w:rFonts w:hint="default"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了解较详尽、较全面，现状描述分析较合理、较符合项目情况的得3分；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eastAsia="zh-CN"/>
              </w:rPr>
            </w:pPr>
            <w:r>
              <w:rPr>
                <w:rFonts w:hint="eastAsia" w:ascii="宋体" w:hAnsi="宋体" w:eastAsia="宋体" w:cs="Times New Roman"/>
                <w:b w:val="0"/>
                <w:bCs w:val="0"/>
                <w:color w:val="auto"/>
                <w:szCs w:val="21"/>
                <w:highlight w:val="none"/>
                <w:lang w:val="en-US" w:eastAsia="zh-CN"/>
              </w:rPr>
              <w:t>了解欠详尽、欠全面，现状描述分析欠合理、欠符合项目情况的得1分；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无相关内容不得分。</w:t>
            </w:r>
          </w:p>
        </w:tc>
        <w:tc>
          <w:tcPr>
            <w:tcW w:w="65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47" w:type="pct"/>
            <w:vMerge w:val="continue"/>
            <w:noWrap w:val="0"/>
            <w:vAlign w:val="center"/>
          </w:tcPr>
          <w:p>
            <w:pPr>
              <w:rPr>
                <w:rFonts w:hint="eastAsia" w:ascii="宋体" w:hAnsi="宋体" w:cs="宋体"/>
                <w:snapToGrid w:val="0"/>
                <w:color w:val="auto"/>
                <w:spacing w:val="-4"/>
                <w:szCs w:val="21"/>
              </w:rPr>
            </w:pPr>
          </w:p>
        </w:tc>
        <w:tc>
          <w:tcPr>
            <w:tcW w:w="532" w:type="pct"/>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服务计划方案（5分）</w:t>
            </w:r>
          </w:p>
        </w:tc>
        <w:tc>
          <w:tcPr>
            <w:tcW w:w="3751" w:type="pct"/>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针对本项目的服务计划方案进行综合评议（5分）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总体思路清晰、合理、</w:t>
            </w:r>
            <w:r>
              <w:rPr>
                <w:rFonts w:hint="default" w:ascii="宋体" w:hAnsi="宋体" w:eastAsia="宋体" w:cs="Times New Roman"/>
                <w:b w:val="0"/>
                <w:bCs w:val="0"/>
                <w:color w:val="auto"/>
                <w:szCs w:val="21"/>
                <w:highlight w:val="none"/>
                <w:lang w:val="en-US" w:eastAsia="zh-CN"/>
              </w:rPr>
              <w:t>符合</w:t>
            </w:r>
            <w:r>
              <w:rPr>
                <w:rFonts w:hint="eastAsia" w:ascii="宋体" w:hAnsi="宋体" w:eastAsia="宋体" w:cs="Times New Roman"/>
                <w:b w:val="0"/>
                <w:bCs w:val="0"/>
                <w:color w:val="auto"/>
                <w:szCs w:val="21"/>
                <w:highlight w:val="none"/>
                <w:lang w:val="en-US" w:eastAsia="zh-CN"/>
              </w:rPr>
              <w:t>本</w:t>
            </w:r>
            <w:r>
              <w:rPr>
                <w:rFonts w:hint="default" w:ascii="宋体" w:hAnsi="宋体" w:eastAsia="宋体" w:cs="Times New Roman"/>
                <w:b w:val="0"/>
                <w:bCs w:val="0"/>
                <w:color w:val="auto"/>
                <w:szCs w:val="21"/>
                <w:highlight w:val="none"/>
                <w:lang w:val="en-US" w:eastAsia="zh-CN"/>
              </w:rPr>
              <w:t>项目实际需求</w:t>
            </w:r>
            <w:r>
              <w:rPr>
                <w:rFonts w:hint="eastAsia" w:ascii="宋体" w:hAnsi="宋体" w:eastAsia="宋体" w:cs="Times New Roman"/>
                <w:b w:val="0"/>
                <w:bCs w:val="0"/>
                <w:color w:val="auto"/>
                <w:szCs w:val="21"/>
                <w:highlight w:val="none"/>
                <w:lang w:val="en-US" w:eastAsia="zh-CN"/>
              </w:rPr>
              <w:t>得5分；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总体思路较清晰、较合理、较</w:t>
            </w:r>
            <w:r>
              <w:rPr>
                <w:rFonts w:hint="default" w:ascii="宋体" w:hAnsi="宋体" w:eastAsia="宋体" w:cs="Times New Roman"/>
                <w:b w:val="0"/>
                <w:bCs w:val="0"/>
                <w:color w:val="auto"/>
                <w:szCs w:val="21"/>
                <w:highlight w:val="none"/>
                <w:lang w:val="en-US" w:eastAsia="zh-CN"/>
              </w:rPr>
              <w:t>符合</w:t>
            </w:r>
            <w:r>
              <w:rPr>
                <w:rFonts w:hint="eastAsia" w:ascii="宋体" w:hAnsi="宋体" w:eastAsia="宋体" w:cs="Times New Roman"/>
                <w:b w:val="0"/>
                <w:bCs w:val="0"/>
                <w:color w:val="auto"/>
                <w:szCs w:val="21"/>
                <w:highlight w:val="none"/>
                <w:lang w:val="en-US" w:eastAsia="zh-CN"/>
              </w:rPr>
              <w:t>本</w:t>
            </w:r>
            <w:r>
              <w:rPr>
                <w:rFonts w:hint="default" w:ascii="宋体" w:hAnsi="宋体" w:eastAsia="宋体" w:cs="Times New Roman"/>
                <w:b w:val="0"/>
                <w:bCs w:val="0"/>
                <w:color w:val="auto"/>
                <w:szCs w:val="21"/>
                <w:highlight w:val="none"/>
                <w:lang w:val="en-US" w:eastAsia="zh-CN"/>
              </w:rPr>
              <w:t>项目实际需求</w:t>
            </w:r>
            <w:r>
              <w:rPr>
                <w:rFonts w:hint="eastAsia" w:ascii="宋体" w:hAnsi="宋体" w:eastAsia="宋体" w:cs="Times New Roman"/>
                <w:b w:val="0"/>
                <w:bCs w:val="0"/>
                <w:color w:val="auto"/>
                <w:szCs w:val="21"/>
                <w:highlight w:val="none"/>
                <w:lang w:val="en-US" w:eastAsia="zh-CN"/>
              </w:rPr>
              <w:t>得3分；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总体思路欠清晰、欠合理、欠</w:t>
            </w:r>
            <w:r>
              <w:rPr>
                <w:rFonts w:hint="default" w:ascii="宋体" w:hAnsi="宋体" w:eastAsia="宋体" w:cs="Times New Roman"/>
                <w:b w:val="0"/>
                <w:bCs w:val="0"/>
                <w:color w:val="auto"/>
                <w:szCs w:val="21"/>
                <w:highlight w:val="none"/>
                <w:lang w:val="en-US" w:eastAsia="zh-CN"/>
              </w:rPr>
              <w:t>符合</w:t>
            </w:r>
            <w:r>
              <w:rPr>
                <w:rFonts w:hint="eastAsia" w:ascii="宋体" w:hAnsi="宋体" w:eastAsia="宋体" w:cs="Times New Roman"/>
                <w:b w:val="0"/>
                <w:bCs w:val="0"/>
                <w:color w:val="auto"/>
                <w:szCs w:val="21"/>
                <w:highlight w:val="none"/>
                <w:lang w:val="en-US" w:eastAsia="zh-CN"/>
              </w:rPr>
              <w:t>本</w:t>
            </w:r>
            <w:r>
              <w:rPr>
                <w:rFonts w:hint="default" w:ascii="宋体" w:hAnsi="宋体" w:eastAsia="宋体" w:cs="Times New Roman"/>
                <w:b w:val="0"/>
                <w:bCs w:val="0"/>
                <w:color w:val="auto"/>
                <w:szCs w:val="21"/>
                <w:highlight w:val="none"/>
                <w:lang w:val="en-US" w:eastAsia="zh-CN"/>
              </w:rPr>
              <w:t>项目实际需求</w:t>
            </w:r>
            <w:r>
              <w:rPr>
                <w:rFonts w:hint="eastAsia" w:ascii="宋体" w:hAnsi="宋体" w:eastAsia="宋体" w:cs="Times New Roman"/>
                <w:b w:val="0"/>
                <w:bCs w:val="0"/>
                <w:color w:val="auto"/>
                <w:szCs w:val="21"/>
                <w:highlight w:val="none"/>
                <w:lang w:val="en-US" w:eastAsia="zh-CN"/>
              </w:rPr>
              <w:t>得1分；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无相关内容不得分。</w:t>
            </w:r>
          </w:p>
        </w:tc>
        <w:tc>
          <w:tcPr>
            <w:tcW w:w="368"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47" w:type="pct"/>
            <w:vMerge w:val="continue"/>
            <w:noWrap w:val="0"/>
            <w:vAlign w:val="center"/>
          </w:tcPr>
          <w:p>
            <w:pPr>
              <w:rPr>
                <w:rFonts w:hint="eastAsia" w:ascii="宋体" w:hAnsi="宋体" w:cs="宋体"/>
                <w:snapToGrid w:val="0"/>
                <w:color w:val="auto"/>
                <w:spacing w:val="-4"/>
                <w:szCs w:val="21"/>
              </w:rPr>
            </w:pPr>
          </w:p>
        </w:tc>
        <w:tc>
          <w:tcPr>
            <w:tcW w:w="532" w:type="pct"/>
            <w:vMerge w:val="restart"/>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eastAsia="宋体"/>
                <w:color w:val="auto"/>
                <w:highlight w:val="none"/>
                <w:lang w:val="en-US" w:eastAsia="zh-CN"/>
              </w:rPr>
            </w:pPr>
            <w:r>
              <w:rPr>
                <w:rFonts w:hint="eastAsia"/>
                <w:color w:val="auto"/>
                <w:highlight w:val="none"/>
                <w:lang w:val="en-US" w:eastAsia="zh-CN"/>
              </w:rPr>
              <w:t>服务管理方案（35</w:t>
            </w:r>
            <w:r>
              <w:rPr>
                <w:rFonts w:hint="eastAsia" w:ascii="宋体" w:hAnsi="宋体" w:cs="宋体"/>
                <w:color w:val="auto"/>
                <w:highlight w:val="none"/>
                <w:lang w:val="en-US" w:eastAsia="zh-CN"/>
              </w:rPr>
              <w:t>分</w:t>
            </w:r>
            <w:r>
              <w:rPr>
                <w:rFonts w:hint="eastAsia"/>
                <w:color w:val="auto"/>
                <w:highlight w:val="none"/>
                <w:lang w:val="en-US" w:eastAsia="zh-CN"/>
              </w:rPr>
              <w:t>）</w:t>
            </w:r>
          </w:p>
        </w:tc>
        <w:tc>
          <w:tcPr>
            <w:tcW w:w="3751" w:type="pct"/>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针对本项目的现状问题（如减少农业面源污染、保护生态环境等方面）分析及建议进行综合评议（5分）。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分析详尽、建议科学合理的得5分；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分析较详尽、建议较科学合理的得3分；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分析欠详尽、建议欠科学合理的得1分；</w:t>
            </w:r>
          </w:p>
          <w:p>
            <w:pPr>
              <w:keepNext w:val="0"/>
              <w:keepLines w:val="0"/>
              <w:pageBreakBefore w:val="0"/>
              <w:kinsoku/>
              <w:wordWrap/>
              <w:overflowPunct/>
              <w:topLinePunct w:val="0"/>
              <w:autoSpaceDE/>
              <w:autoSpaceDN/>
              <w:bidi w:val="0"/>
              <w:adjustRightInd/>
              <w:snapToGrid/>
              <w:spacing w:line="340" w:lineRule="exact"/>
              <w:textAlignment w:val="auto"/>
              <w:rPr>
                <w:rFonts w:hint="default"/>
                <w:b w:val="0"/>
                <w:bCs w:val="0"/>
                <w:color w:val="auto"/>
                <w:lang w:val="en-US" w:eastAsia="zh-CN"/>
              </w:rPr>
            </w:pPr>
            <w:r>
              <w:rPr>
                <w:rFonts w:hint="eastAsia" w:ascii="宋体" w:hAnsi="宋体" w:eastAsia="宋体" w:cs="Times New Roman"/>
                <w:b w:val="0"/>
                <w:bCs w:val="0"/>
                <w:color w:val="auto"/>
                <w:szCs w:val="21"/>
                <w:highlight w:val="none"/>
                <w:lang w:val="en-US" w:eastAsia="zh-CN"/>
              </w:rPr>
              <w:t>无相关内容不得分。</w:t>
            </w:r>
          </w:p>
        </w:tc>
        <w:tc>
          <w:tcPr>
            <w:tcW w:w="368"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color w:val="auto"/>
                <w:highlight w:val="none"/>
                <w:lang w:val="en-US" w:eastAsia="zh-CN"/>
              </w:rPr>
            </w:pPr>
            <w:r>
              <w:rPr>
                <w:rFonts w:hint="eastAsia" w:eastAsia="等线"/>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47" w:type="pct"/>
            <w:vMerge w:val="continue"/>
            <w:noWrap w:val="0"/>
            <w:vAlign w:val="center"/>
          </w:tcPr>
          <w:p>
            <w:pPr>
              <w:rPr>
                <w:rFonts w:hint="eastAsia" w:ascii="宋体" w:hAnsi="宋体" w:cs="宋体"/>
                <w:snapToGrid w:val="0"/>
                <w:color w:val="auto"/>
                <w:spacing w:val="-4"/>
                <w:szCs w:val="21"/>
              </w:rPr>
            </w:pPr>
          </w:p>
        </w:tc>
        <w:tc>
          <w:tcPr>
            <w:tcW w:w="532" w:type="pct"/>
            <w:vMerge w:val="continue"/>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color w:val="auto"/>
                <w:highlight w:val="none"/>
                <w:lang w:val="en-US" w:eastAsia="zh-CN"/>
              </w:rPr>
            </w:pPr>
          </w:p>
        </w:tc>
        <w:tc>
          <w:tcPr>
            <w:tcW w:w="3751" w:type="pct"/>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bidi="ar"/>
              </w:rPr>
              <w:t>针对投标人对现场的踏勘、了解，提供的回收网点的方案进行</w:t>
            </w:r>
            <w:r>
              <w:rPr>
                <w:rFonts w:hint="eastAsia" w:ascii="宋体" w:hAnsi="宋体" w:eastAsia="宋体" w:cs="宋体"/>
                <w:b w:val="0"/>
                <w:bCs w:val="0"/>
                <w:color w:val="auto"/>
                <w:sz w:val="21"/>
                <w:szCs w:val="21"/>
                <w:highlight w:val="none"/>
                <w:lang w:val="en-US" w:eastAsia="zh-CN" w:bidi="ar"/>
              </w:rPr>
              <w:t>综合</w:t>
            </w:r>
            <w:r>
              <w:rPr>
                <w:rFonts w:hint="eastAsia" w:ascii="宋体" w:hAnsi="宋体" w:eastAsia="宋体" w:cs="宋体"/>
                <w:b w:val="0"/>
                <w:bCs w:val="0"/>
                <w:color w:val="auto"/>
                <w:sz w:val="21"/>
                <w:szCs w:val="21"/>
                <w:highlight w:val="none"/>
                <w:lang w:bidi="ar"/>
              </w:rPr>
              <w:t>评议（</w:t>
            </w:r>
            <w:r>
              <w:rPr>
                <w:rFonts w:hint="eastAsia" w:ascii="宋体" w:hAnsi="宋体" w:eastAsia="宋体" w:cs="宋体"/>
                <w:b w:val="0"/>
                <w:bCs w:val="0"/>
                <w:color w:val="auto"/>
                <w:sz w:val="21"/>
                <w:szCs w:val="21"/>
                <w:highlight w:val="none"/>
                <w:lang w:val="en-US" w:eastAsia="zh-CN" w:bidi="ar"/>
              </w:rPr>
              <w:t>5</w:t>
            </w:r>
            <w:r>
              <w:rPr>
                <w:rFonts w:hint="eastAsia" w:ascii="宋体" w:hAnsi="宋体" w:eastAsia="宋体" w:cs="宋体"/>
                <w:b w:val="0"/>
                <w:bCs w:val="0"/>
                <w:color w:val="auto"/>
                <w:sz w:val="21"/>
                <w:szCs w:val="21"/>
                <w:highlight w:val="none"/>
                <w:lang w:bidi="ar"/>
              </w:rPr>
              <w:t>分）</w:t>
            </w:r>
            <w:r>
              <w:rPr>
                <w:rFonts w:hint="eastAsia" w:ascii="宋体" w:hAnsi="宋体" w:eastAsia="宋体" w:cs="宋体"/>
                <w:b w:val="0"/>
                <w:bCs w:val="0"/>
                <w:color w:val="auto"/>
                <w:sz w:val="21"/>
                <w:szCs w:val="21"/>
                <w:highlight w:val="none"/>
                <w:lang w:eastAsia="zh-CN" w:bidi="ar"/>
              </w:rPr>
              <w:t>。</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方案详尽、内容科学合理的得5分；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方案较详尽、内容较科学合理的得3分；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方案欠详尽、内容欠科学合理的得1分；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b w:val="0"/>
                <w:bCs w:val="0"/>
                <w:color w:val="auto"/>
                <w:lang w:val="en-US" w:eastAsia="zh-CN"/>
              </w:rPr>
            </w:pPr>
            <w:r>
              <w:rPr>
                <w:rFonts w:hint="eastAsia" w:ascii="宋体" w:hAnsi="宋体" w:eastAsia="宋体" w:cs="Times New Roman"/>
                <w:b w:val="0"/>
                <w:bCs w:val="0"/>
                <w:color w:val="auto"/>
                <w:szCs w:val="21"/>
                <w:highlight w:val="none"/>
                <w:lang w:val="en-US" w:eastAsia="zh-CN"/>
              </w:rPr>
              <w:t>无相关内容不得分。</w:t>
            </w:r>
          </w:p>
        </w:tc>
        <w:tc>
          <w:tcPr>
            <w:tcW w:w="368"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eastAsia="等线"/>
                <w:color w:val="auto"/>
                <w:highlight w:val="none"/>
                <w:lang w:val="en-US" w:eastAsia="zh-CN"/>
              </w:rPr>
            </w:pPr>
            <w:r>
              <w:rPr>
                <w:rFonts w:hint="eastAsia" w:eastAsia="等线"/>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7" w:type="pct"/>
            <w:vMerge w:val="continue"/>
            <w:noWrap w:val="0"/>
            <w:vAlign w:val="center"/>
          </w:tcPr>
          <w:p>
            <w:pPr>
              <w:rPr>
                <w:color w:val="auto"/>
                <w:highlight w:val="none"/>
              </w:rPr>
            </w:pPr>
          </w:p>
        </w:tc>
        <w:tc>
          <w:tcPr>
            <w:tcW w:w="532" w:type="pct"/>
            <w:vMerge w:val="continue"/>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eastAsia="宋体"/>
                <w:color w:val="auto"/>
                <w:highlight w:val="none"/>
                <w:lang w:val="en-US" w:eastAsia="zh-CN"/>
              </w:rPr>
            </w:pPr>
          </w:p>
        </w:tc>
        <w:tc>
          <w:tcPr>
            <w:tcW w:w="3751" w:type="pct"/>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针对农业固体废物回收的专业归档、运输、存放、打包、整理、保管等方面制定的方案进行综合评议（5分）。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内容详尽、全面、具有针对性且科学合理的得5分；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内容较详尽、较全面、较具有针对性且较科学合理的得3分；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内容欠详尽、欠全面、欠具有针对性且欠科学合理的得1分；</w:t>
            </w:r>
          </w:p>
          <w:p>
            <w:pPr>
              <w:keepNext w:val="0"/>
              <w:keepLines w:val="0"/>
              <w:pageBreakBefore w:val="0"/>
              <w:kinsoku/>
              <w:wordWrap/>
              <w:overflowPunct/>
              <w:topLinePunct w:val="0"/>
              <w:autoSpaceDE/>
              <w:autoSpaceDN/>
              <w:bidi w:val="0"/>
              <w:adjustRightInd/>
              <w:snapToGrid/>
              <w:spacing w:line="340" w:lineRule="exact"/>
              <w:textAlignment w:val="auto"/>
              <w:rPr>
                <w:b w:val="0"/>
                <w:bCs w:val="0"/>
                <w:color w:val="auto"/>
              </w:rPr>
            </w:pPr>
            <w:r>
              <w:rPr>
                <w:rFonts w:hint="eastAsia" w:ascii="宋体" w:hAnsi="宋体" w:eastAsia="宋体" w:cs="Times New Roman"/>
                <w:b w:val="0"/>
                <w:bCs w:val="0"/>
                <w:color w:val="auto"/>
                <w:szCs w:val="21"/>
                <w:highlight w:val="none"/>
                <w:lang w:val="en-US" w:eastAsia="zh-CN"/>
              </w:rPr>
              <w:t>无相关内容不得分。</w:t>
            </w:r>
          </w:p>
        </w:tc>
        <w:tc>
          <w:tcPr>
            <w:tcW w:w="368"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eastAsia="宋体"/>
                <w:color w:val="auto"/>
                <w:highlight w:val="none"/>
                <w:lang w:val="en-US" w:eastAsia="zh-CN"/>
              </w:rPr>
            </w:pPr>
            <w:r>
              <w:rPr>
                <w:rFonts w:hint="eastAsia"/>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7" w:type="pct"/>
            <w:vMerge w:val="continue"/>
            <w:noWrap w:val="0"/>
            <w:vAlign w:val="center"/>
          </w:tcPr>
          <w:p>
            <w:pPr>
              <w:rPr>
                <w:color w:val="auto"/>
                <w:highlight w:val="none"/>
              </w:rPr>
            </w:pPr>
          </w:p>
        </w:tc>
        <w:tc>
          <w:tcPr>
            <w:tcW w:w="532" w:type="pct"/>
            <w:vMerge w:val="continue"/>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color w:val="auto"/>
                <w:highlight w:val="none"/>
                <w:lang w:val="en-US" w:eastAsia="zh-CN"/>
              </w:rPr>
            </w:pPr>
          </w:p>
        </w:tc>
        <w:tc>
          <w:tcPr>
            <w:tcW w:w="3751" w:type="pct"/>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针对处置服务方案进行综合评议（5分）。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内容详尽、全面、具有针对性且科学合理的得5分；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内容较详尽、较全面、较具有针对性且较科学合理的得3分；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内容欠详尽、欠全面、欠具有针对性且欠科学合理的得1分；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无相关内容不得分。</w:t>
            </w:r>
          </w:p>
        </w:tc>
        <w:tc>
          <w:tcPr>
            <w:tcW w:w="368"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color w:val="auto"/>
                <w:highlight w:val="none"/>
                <w:lang w:val="en-US" w:eastAsia="zh-CN"/>
              </w:rPr>
            </w:pPr>
            <w:r>
              <w:rPr>
                <w:rFonts w:hint="eastAsia"/>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7" w:type="pct"/>
            <w:vMerge w:val="continue"/>
            <w:noWrap w:val="0"/>
            <w:vAlign w:val="center"/>
          </w:tcPr>
          <w:p>
            <w:pPr>
              <w:rPr>
                <w:color w:val="auto"/>
                <w:highlight w:val="none"/>
              </w:rPr>
            </w:pPr>
          </w:p>
        </w:tc>
        <w:tc>
          <w:tcPr>
            <w:tcW w:w="532" w:type="pct"/>
            <w:vMerge w:val="continue"/>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color w:val="auto"/>
                <w:highlight w:val="none"/>
                <w:lang w:val="en-US" w:eastAsia="zh-CN"/>
              </w:rPr>
            </w:pPr>
          </w:p>
        </w:tc>
        <w:tc>
          <w:tcPr>
            <w:tcW w:w="3751" w:type="pct"/>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针对重点、难点分析及解决方案</w:t>
            </w:r>
            <w:r>
              <w:rPr>
                <w:rFonts w:hint="eastAsia" w:ascii="宋体" w:hAnsi="宋体" w:eastAsia="宋体" w:cs="宋体"/>
                <w:b w:val="0"/>
                <w:bCs w:val="0"/>
                <w:color w:val="auto"/>
                <w:sz w:val="21"/>
                <w:szCs w:val="21"/>
                <w:highlight w:val="none"/>
                <w:lang w:bidi="ar"/>
              </w:rPr>
              <w:t>进行</w:t>
            </w:r>
            <w:r>
              <w:rPr>
                <w:rFonts w:hint="eastAsia" w:ascii="宋体" w:hAnsi="宋体" w:eastAsia="宋体" w:cs="宋体"/>
                <w:b w:val="0"/>
                <w:bCs w:val="0"/>
                <w:color w:val="auto"/>
                <w:sz w:val="21"/>
                <w:szCs w:val="21"/>
                <w:highlight w:val="none"/>
                <w:lang w:val="en-US" w:eastAsia="zh-CN" w:bidi="ar"/>
              </w:rPr>
              <w:t>综合</w:t>
            </w:r>
            <w:r>
              <w:rPr>
                <w:rFonts w:hint="eastAsia" w:ascii="宋体" w:hAnsi="宋体" w:eastAsia="宋体" w:cs="宋体"/>
                <w:b w:val="0"/>
                <w:bCs w:val="0"/>
                <w:color w:val="auto"/>
                <w:sz w:val="21"/>
                <w:szCs w:val="21"/>
                <w:highlight w:val="none"/>
                <w:lang w:bidi="ar"/>
              </w:rPr>
              <w:t>评议</w:t>
            </w:r>
            <w:r>
              <w:rPr>
                <w:rFonts w:hint="eastAsia" w:ascii="宋体" w:hAnsi="宋体" w:eastAsia="宋体" w:cs="Times New Roman"/>
                <w:b w:val="0"/>
                <w:bCs w:val="0"/>
                <w:color w:val="auto"/>
                <w:szCs w:val="21"/>
                <w:highlight w:val="none"/>
                <w:lang w:val="en-US" w:eastAsia="zh-CN"/>
              </w:rPr>
              <w:t>（</w:t>
            </w:r>
            <w:r>
              <w:rPr>
                <w:rFonts w:hint="eastAsia" w:ascii="宋体" w:hAnsi="宋体" w:cs="Times New Roman"/>
                <w:b w:val="0"/>
                <w:bCs w:val="0"/>
                <w:color w:val="auto"/>
                <w:szCs w:val="21"/>
                <w:highlight w:val="none"/>
                <w:lang w:val="en-US" w:eastAsia="zh-CN"/>
              </w:rPr>
              <w:t>5</w:t>
            </w:r>
            <w:r>
              <w:rPr>
                <w:rFonts w:hint="eastAsia" w:ascii="宋体" w:hAnsi="宋体" w:eastAsia="宋体" w:cs="Times New Roman"/>
                <w:b w:val="0"/>
                <w:bCs w:val="0"/>
                <w:color w:val="auto"/>
                <w:szCs w:val="21"/>
                <w:highlight w:val="none"/>
                <w:lang w:val="en-US" w:eastAsia="zh-CN"/>
              </w:rPr>
              <w:t>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项目重难点分析重点突出、针对性强，解决方案有利于本项目实施且保障到位的得5分；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项目重难点分析基本符合、针对性较强，解决方案基本符合本项目实施且保障基本到位的得3分；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项目重难点分析欠符合、欠具有针对性，解决方案欠符合本项目实施且保障欠到位的得1分；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b w:val="0"/>
                <w:bCs w:val="0"/>
                <w:color w:val="auto"/>
                <w:lang w:val="en-US" w:eastAsia="zh-CN"/>
              </w:rPr>
            </w:pPr>
            <w:r>
              <w:rPr>
                <w:rFonts w:hint="eastAsia" w:ascii="宋体" w:hAnsi="宋体" w:eastAsia="宋体" w:cs="Times New Roman"/>
                <w:b w:val="0"/>
                <w:bCs w:val="0"/>
                <w:color w:val="auto"/>
                <w:szCs w:val="21"/>
                <w:highlight w:val="none"/>
                <w:lang w:val="en-US" w:eastAsia="zh-CN"/>
              </w:rPr>
              <w:t>无相关内容不得分。</w:t>
            </w:r>
          </w:p>
        </w:tc>
        <w:tc>
          <w:tcPr>
            <w:tcW w:w="368"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color w:val="auto"/>
                <w:highlight w:val="none"/>
                <w:lang w:val="en-US" w:eastAsia="zh-CN"/>
              </w:rPr>
            </w:pPr>
            <w:r>
              <w:rPr>
                <w:rFonts w:hint="eastAsia"/>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7" w:type="pct"/>
            <w:vMerge w:val="continue"/>
            <w:noWrap w:val="0"/>
            <w:vAlign w:val="center"/>
          </w:tcPr>
          <w:p>
            <w:pPr>
              <w:rPr>
                <w:color w:val="auto"/>
                <w:highlight w:val="none"/>
              </w:rPr>
            </w:pPr>
          </w:p>
        </w:tc>
        <w:tc>
          <w:tcPr>
            <w:tcW w:w="532" w:type="pct"/>
            <w:vMerge w:val="continue"/>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3751" w:type="pct"/>
            <w:noWrap w:val="0"/>
            <w:vAlign w:val="center"/>
          </w:tcPr>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针对投入本项目的车辆、</w:t>
            </w:r>
            <w:r>
              <w:rPr>
                <w:rFonts w:hint="eastAsia" w:ascii="宋体" w:hAnsi="宋体"/>
                <w:b w:val="0"/>
                <w:bCs w:val="0"/>
                <w:color w:val="auto"/>
                <w:highlight w:val="none"/>
                <w:lang w:val="en-US" w:eastAsia="zh-CN"/>
              </w:rPr>
              <w:t>仓储场地</w:t>
            </w:r>
            <w:r>
              <w:rPr>
                <w:rFonts w:hint="eastAsia" w:ascii="宋体" w:hAnsi="宋体" w:eastAsia="宋体" w:cs="Times New Roman"/>
                <w:b w:val="0"/>
                <w:bCs w:val="0"/>
                <w:color w:val="auto"/>
                <w:szCs w:val="21"/>
                <w:highlight w:val="none"/>
                <w:lang w:val="en-US" w:eastAsia="zh-CN"/>
              </w:rPr>
              <w:t>、</w:t>
            </w:r>
            <w:r>
              <w:rPr>
                <w:rFonts w:hint="eastAsia" w:ascii="宋体" w:hAnsi="宋体" w:cs="Times New Roman"/>
                <w:b w:val="0"/>
                <w:bCs w:val="0"/>
                <w:color w:val="auto"/>
                <w:szCs w:val="21"/>
                <w:highlight w:val="none"/>
                <w:lang w:val="en-US" w:eastAsia="zh-CN"/>
              </w:rPr>
              <w:t>作业</w:t>
            </w:r>
            <w:r>
              <w:rPr>
                <w:rFonts w:hint="eastAsia" w:ascii="宋体" w:hAnsi="宋体" w:eastAsia="宋体" w:cs="Times New Roman"/>
                <w:b w:val="0"/>
                <w:bCs w:val="0"/>
                <w:color w:val="auto"/>
                <w:szCs w:val="21"/>
                <w:highlight w:val="none"/>
                <w:lang w:val="en-US" w:eastAsia="zh-CN"/>
              </w:rPr>
              <w:t>工具处置的能力进行综合评议（</w:t>
            </w:r>
            <w:r>
              <w:rPr>
                <w:rFonts w:hint="eastAsia" w:ascii="宋体" w:hAnsi="宋体" w:cs="Times New Roman"/>
                <w:b w:val="0"/>
                <w:bCs w:val="0"/>
                <w:color w:val="auto"/>
                <w:szCs w:val="21"/>
                <w:highlight w:val="none"/>
                <w:lang w:val="en-US" w:eastAsia="zh-CN"/>
              </w:rPr>
              <w:t>5</w:t>
            </w:r>
            <w:r>
              <w:rPr>
                <w:rFonts w:hint="eastAsia" w:ascii="宋体" w:hAnsi="宋体" w:eastAsia="宋体" w:cs="Times New Roman"/>
                <w:b w:val="0"/>
                <w:bCs w:val="0"/>
                <w:color w:val="auto"/>
                <w:szCs w:val="21"/>
                <w:highlight w:val="none"/>
                <w:lang w:val="en-US" w:eastAsia="zh-CN"/>
              </w:rPr>
              <w:t>分）。</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宋体" w:hAnsi="宋体" w:cs="Times New Roman"/>
                <w:b w:val="0"/>
                <w:bCs w:val="0"/>
                <w:color w:val="auto"/>
                <w:highlight w:val="none"/>
                <w:lang w:eastAsia="zh-CN"/>
              </w:rPr>
            </w:pPr>
            <w:r>
              <w:rPr>
                <w:rFonts w:hint="eastAsia" w:ascii="宋体" w:hAnsi="宋体" w:eastAsia="宋体" w:cs="Times New Roman"/>
                <w:b w:val="0"/>
                <w:bCs w:val="0"/>
                <w:color w:val="auto"/>
                <w:highlight w:val="none"/>
              </w:rPr>
              <w:t>拟投入的</w:t>
            </w:r>
            <w:r>
              <w:rPr>
                <w:rFonts w:hint="eastAsia" w:ascii="宋体" w:hAnsi="宋体" w:eastAsia="宋体" w:cs="Times New Roman"/>
                <w:b w:val="0"/>
                <w:bCs w:val="0"/>
                <w:color w:val="auto"/>
                <w:highlight w:val="none"/>
                <w:lang w:val="en-US" w:eastAsia="zh-CN"/>
              </w:rPr>
              <w:t>车辆</w:t>
            </w:r>
            <w:r>
              <w:rPr>
                <w:rFonts w:hint="eastAsia" w:ascii="宋体" w:hAnsi="宋体" w:eastAsia="宋体" w:cs="Times New Roman"/>
                <w:b w:val="0"/>
                <w:bCs w:val="0"/>
                <w:color w:val="auto"/>
                <w:highlight w:val="none"/>
              </w:rPr>
              <w:t>配置方案优于采购需求、投入仓储</w:t>
            </w:r>
            <w:r>
              <w:rPr>
                <w:rFonts w:hint="eastAsia" w:ascii="宋体" w:hAnsi="宋体" w:eastAsia="宋体" w:cs="Times New Roman"/>
                <w:b w:val="0"/>
                <w:bCs w:val="0"/>
                <w:color w:val="auto"/>
                <w:highlight w:val="none"/>
                <w:lang w:val="en-US" w:eastAsia="zh-CN"/>
              </w:rPr>
              <w:t>场地大于采购需求、</w:t>
            </w:r>
            <w:r>
              <w:rPr>
                <w:rFonts w:hint="eastAsia" w:ascii="宋体" w:hAnsi="宋体" w:eastAsia="宋体" w:cs="Times New Roman"/>
                <w:b w:val="0"/>
                <w:bCs w:val="0"/>
                <w:color w:val="auto"/>
                <w:highlight w:val="none"/>
              </w:rPr>
              <w:t>专业工具处置的能力</w:t>
            </w:r>
            <w:r>
              <w:rPr>
                <w:rFonts w:hint="eastAsia" w:ascii="宋体" w:hAnsi="宋体" w:cs="Times New Roman"/>
                <w:b w:val="0"/>
                <w:bCs w:val="0"/>
                <w:color w:val="auto"/>
                <w:highlight w:val="none"/>
                <w:lang w:val="en-US" w:eastAsia="zh-CN"/>
              </w:rPr>
              <w:t>优于</w:t>
            </w:r>
            <w:r>
              <w:rPr>
                <w:rFonts w:hint="eastAsia" w:ascii="宋体" w:hAnsi="宋体" w:eastAsia="宋体" w:cs="Times New Roman"/>
                <w:b w:val="0"/>
                <w:bCs w:val="0"/>
                <w:color w:val="auto"/>
                <w:highlight w:val="none"/>
                <w:lang w:val="en-US" w:eastAsia="zh-CN"/>
              </w:rPr>
              <w:t>采购需求</w:t>
            </w:r>
            <w:r>
              <w:rPr>
                <w:rFonts w:hint="eastAsia" w:ascii="宋体" w:hAnsi="宋体" w:eastAsia="宋体" w:cs="Times New Roman"/>
                <w:b w:val="0"/>
                <w:bCs w:val="0"/>
                <w:color w:val="auto"/>
                <w:highlight w:val="none"/>
              </w:rPr>
              <w:t>的得</w:t>
            </w:r>
            <w:r>
              <w:rPr>
                <w:rFonts w:hint="eastAsia" w:ascii="宋体" w:hAnsi="宋体" w:cs="Times New Roman"/>
                <w:b w:val="0"/>
                <w:bCs w:val="0"/>
                <w:color w:val="auto"/>
                <w:highlight w:val="none"/>
                <w:lang w:val="en-US" w:eastAsia="zh-CN"/>
              </w:rPr>
              <w:t>5</w:t>
            </w:r>
            <w:r>
              <w:rPr>
                <w:rFonts w:hint="eastAsia" w:ascii="宋体" w:hAnsi="宋体" w:eastAsia="宋体" w:cs="Times New Roman"/>
                <w:b w:val="0"/>
                <w:bCs w:val="0"/>
                <w:color w:val="auto"/>
                <w:highlight w:val="none"/>
              </w:rPr>
              <w:t>分</w:t>
            </w:r>
            <w:r>
              <w:rPr>
                <w:rFonts w:hint="eastAsia" w:ascii="宋体" w:hAnsi="宋体" w:cs="Times New Roman"/>
                <w:b w:val="0"/>
                <w:bCs w:val="0"/>
                <w:color w:val="auto"/>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eastAsia="宋体"/>
                <w:b w:val="0"/>
                <w:bCs w:val="0"/>
                <w:color w:val="auto"/>
                <w:lang w:eastAsia="zh-CN"/>
              </w:rPr>
            </w:pPr>
            <w:r>
              <w:rPr>
                <w:rFonts w:hint="eastAsia" w:ascii="宋体" w:hAnsi="宋体" w:eastAsia="宋体" w:cs="Times New Roman"/>
                <w:b w:val="0"/>
                <w:bCs w:val="0"/>
                <w:color w:val="auto"/>
                <w:highlight w:val="none"/>
              </w:rPr>
              <w:t>拟投入的</w:t>
            </w:r>
            <w:r>
              <w:rPr>
                <w:rFonts w:hint="eastAsia" w:ascii="宋体" w:hAnsi="宋体" w:eastAsia="宋体" w:cs="Times New Roman"/>
                <w:b w:val="0"/>
                <w:bCs w:val="0"/>
                <w:color w:val="auto"/>
                <w:highlight w:val="none"/>
                <w:lang w:val="en-US" w:eastAsia="zh-CN"/>
              </w:rPr>
              <w:t>车辆</w:t>
            </w:r>
            <w:r>
              <w:rPr>
                <w:rFonts w:hint="eastAsia" w:ascii="宋体" w:hAnsi="宋体" w:eastAsia="宋体" w:cs="Times New Roman"/>
                <w:b w:val="0"/>
                <w:bCs w:val="0"/>
                <w:color w:val="auto"/>
                <w:highlight w:val="none"/>
              </w:rPr>
              <w:t>配置方案</w:t>
            </w:r>
            <w:r>
              <w:rPr>
                <w:rFonts w:hint="eastAsia" w:ascii="宋体" w:hAnsi="宋体" w:eastAsia="宋体" w:cs="Times New Roman"/>
                <w:b w:val="0"/>
                <w:bCs w:val="0"/>
                <w:color w:val="auto"/>
                <w:highlight w:val="none"/>
                <w:lang w:val="en-US" w:eastAsia="zh-CN"/>
              </w:rPr>
              <w:t>等于</w:t>
            </w:r>
            <w:r>
              <w:rPr>
                <w:rFonts w:hint="eastAsia" w:ascii="宋体" w:hAnsi="宋体" w:eastAsia="宋体" w:cs="Times New Roman"/>
                <w:b w:val="0"/>
                <w:bCs w:val="0"/>
                <w:color w:val="auto"/>
                <w:highlight w:val="none"/>
              </w:rPr>
              <w:t>采购需求、投入仓储</w:t>
            </w:r>
            <w:r>
              <w:rPr>
                <w:rFonts w:hint="eastAsia" w:ascii="宋体" w:hAnsi="宋体" w:eastAsia="宋体" w:cs="Times New Roman"/>
                <w:b w:val="0"/>
                <w:bCs w:val="0"/>
                <w:color w:val="auto"/>
                <w:highlight w:val="none"/>
                <w:lang w:val="en-US" w:eastAsia="zh-CN"/>
              </w:rPr>
              <w:t>场地等于采购需求、</w:t>
            </w:r>
            <w:r>
              <w:rPr>
                <w:rFonts w:hint="eastAsia" w:ascii="宋体" w:hAnsi="宋体" w:eastAsia="宋体" w:cs="Times New Roman"/>
                <w:b w:val="0"/>
                <w:bCs w:val="0"/>
                <w:color w:val="auto"/>
                <w:highlight w:val="none"/>
              </w:rPr>
              <w:t>专业工具处置的能力</w:t>
            </w:r>
            <w:r>
              <w:rPr>
                <w:rFonts w:hint="eastAsia" w:ascii="宋体" w:hAnsi="宋体" w:eastAsia="宋体" w:cs="Times New Roman"/>
                <w:b w:val="0"/>
                <w:bCs w:val="0"/>
                <w:color w:val="auto"/>
                <w:highlight w:val="none"/>
                <w:lang w:val="en-US" w:eastAsia="zh-CN"/>
              </w:rPr>
              <w:t>等于采购需求</w:t>
            </w:r>
            <w:r>
              <w:rPr>
                <w:rFonts w:hint="eastAsia" w:ascii="宋体" w:hAnsi="宋体" w:eastAsia="宋体" w:cs="Times New Roman"/>
                <w:b w:val="0"/>
                <w:bCs w:val="0"/>
                <w:color w:val="auto"/>
                <w:highlight w:val="none"/>
              </w:rPr>
              <w:t>的得</w:t>
            </w:r>
            <w:r>
              <w:rPr>
                <w:rFonts w:hint="eastAsia" w:ascii="宋体" w:hAnsi="宋体" w:cs="Times New Roman"/>
                <w:b w:val="0"/>
                <w:bCs w:val="0"/>
                <w:color w:val="auto"/>
                <w:highlight w:val="none"/>
                <w:lang w:val="en-US" w:eastAsia="zh-CN"/>
              </w:rPr>
              <w:t>3</w:t>
            </w:r>
            <w:r>
              <w:rPr>
                <w:rFonts w:hint="eastAsia" w:ascii="宋体" w:hAnsi="宋体" w:eastAsia="宋体" w:cs="Times New Roman"/>
                <w:b w:val="0"/>
                <w:bCs w:val="0"/>
                <w:color w:val="auto"/>
                <w:highlight w:val="none"/>
              </w:rPr>
              <w:t>分</w:t>
            </w:r>
            <w:r>
              <w:rPr>
                <w:rFonts w:hint="eastAsia" w:ascii="宋体" w:hAnsi="宋体" w:cs="Times New Roman"/>
                <w:b w:val="0"/>
                <w:bCs w:val="0"/>
                <w:color w:val="auto"/>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highlight w:val="none"/>
                <w:lang w:val="en-US" w:eastAsia="zh-CN"/>
              </w:rPr>
            </w:pPr>
            <w:r>
              <w:rPr>
                <w:rFonts w:hint="eastAsia" w:ascii="宋体" w:hAnsi="宋体" w:eastAsia="宋体" w:cs="Times New Roman"/>
                <w:b w:val="0"/>
                <w:bCs w:val="0"/>
                <w:color w:val="auto"/>
                <w:highlight w:val="none"/>
              </w:rPr>
              <w:t>拟投入的</w:t>
            </w:r>
            <w:r>
              <w:rPr>
                <w:rFonts w:hint="eastAsia" w:ascii="宋体" w:hAnsi="宋体" w:eastAsia="宋体" w:cs="Times New Roman"/>
                <w:b w:val="0"/>
                <w:bCs w:val="0"/>
                <w:color w:val="auto"/>
                <w:highlight w:val="none"/>
                <w:lang w:val="en-US" w:eastAsia="zh-CN"/>
              </w:rPr>
              <w:t>车辆</w:t>
            </w:r>
            <w:r>
              <w:rPr>
                <w:rFonts w:hint="eastAsia" w:ascii="宋体" w:hAnsi="宋体" w:eastAsia="宋体" w:cs="Times New Roman"/>
                <w:b w:val="0"/>
                <w:bCs w:val="0"/>
                <w:color w:val="auto"/>
                <w:highlight w:val="none"/>
              </w:rPr>
              <w:t>配置方案</w:t>
            </w:r>
            <w:r>
              <w:rPr>
                <w:rFonts w:hint="eastAsia" w:ascii="宋体" w:hAnsi="宋体" w:eastAsia="宋体" w:cs="Times New Roman"/>
                <w:b w:val="0"/>
                <w:bCs w:val="0"/>
                <w:color w:val="auto"/>
                <w:highlight w:val="none"/>
                <w:lang w:val="en-US" w:eastAsia="zh-CN"/>
              </w:rPr>
              <w:t>小于</w:t>
            </w:r>
            <w:r>
              <w:rPr>
                <w:rFonts w:hint="eastAsia" w:ascii="宋体" w:hAnsi="宋体" w:eastAsia="宋体" w:cs="Times New Roman"/>
                <w:b w:val="0"/>
                <w:bCs w:val="0"/>
                <w:color w:val="auto"/>
                <w:highlight w:val="none"/>
              </w:rPr>
              <w:t>采购需求、投入仓储</w:t>
            </w:r>
            <w:r>
              <w:rPr>
                <w:rFonts w:hint="eastAsia" w:ascii="宋体" w:hAnsi="宋体" w:eastAsia="宋体" w:cs="Times New Roman"/>
                <w:b w:val="0"/>
                <w:bCs w:val="0"/>
                <w:color w:val="auto"/>
                <w:highlight w:val="none"/>
                <w:lang w:val="en-US" w:eastAsia="zh-CN"/>
              </w:rPr>
              <w:t>场地小于采购需求、专业工具处置的能力小于采购需求的得1分。</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highlight w:val="none"/>
                <w:lang w:val="en-US" w:eastAsia="zh-CN"/>
              </w:rPr>
            </w:pPr>
            <w:r>
              <w:rPr>
                <w:rFonts w:hint="eastAsia" w:ascii="宋体" w:hAnsi="宋体" w:eastAsia="宋体" w:cs="Times New Roman"/>
                <w:b w:val="0"/>
                <w:bCs w:val="0"/>
                <w:color w:val="auto"/>
                <w:highlight w:val="none"/>
                <w:lang w:val="en-US" w:eastAsia="zh-CN"/>
              </w:rPr>
              <w:t>无相关内容不得分。</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pPr>
            <w:r>
              <w:rPr>
                <w:rFonts w:hint="eastAsia" w:ascii="宋体" w:hAnsi="宋体"/>
                <w:b w:val="0"/>
                <w:bCs w:val="0"/>
                <w:color w:val="auto"/>
                <w:highlight w:val="none"/>
                <w:lang w:val="en-US" w:eastAsia="zh-CN"/>
              </w:rPr>
              <w:t>注：</w:t>
            </w:r>
            <w:r>
              <w:rPr>
                <w:rFonts w:hint="eastAsia" w:ascii="宋体" w:hAnsi="宋体"/>
                <w:b w:val="0"/>
                <w:bCs w:val="0"/>
                <w:color w:val="auto"/>
                <w:highlight w:val="none"/>
              </w:rPr>
              <w:t>投标文件中须提供车辆</w:t>
            </w:r>
            <w:r>
              <w:rPr>
                <w:rFonts w:hint="eastAsia" w:ascii="宋体" w:hAnsi="宋体"/>
                <w:b w:val="0"/>
                <w:bCs w:val="0"/>
                <w:color w:val="auto"/>
                <w:highlight w:val="none"/>
                <w:lang w:val="en-US" w:eastAsia="zh-CN"/>
              </w:rPr>
              <w:t>证明资料：若自有的提供车辆行驶证，若租赁的提供车辆行驶证和租赁合同；仓储场地证明资料：若自有的提供房产证，若租赁的提供房产证及租赁合同；作业工具证明资料提供相关图片。</w:t>
            </w:r>
          </w:p>
        </w:tc>
        <w:tc>
          <w:tcPr>
            <w:tcW w:w="368"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eastAsia="宋体"/>
                <w:color w:val="auto"/>
                <w:highlight w:val="none"/>
                <w:lang w:eastAsia="zh-CN"/>
              </w:rPr>
            </w:pPr>
            <w:r>
              <w:rPr>
                <w:rFonts w:hint="eastAsia"/>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47" w:type="pct"/>
            <w:vMerge w:val="continue"/>
            <w:noWrap w:val="0"/>
            <w:vAlign w:val="center"/>
          </w:tcPr>
          <w:p>
            <w:pPr>
              <w:rPr>
                <w:color w:val="auto"/>
                <w:highlight w:val="none"/>
              </w:rPr>
            </w:pPr>
          </w:p>
        </w:tc>
        <w:tc>
          <w:tcPr>
            <w:tcW w:w="532" w:type="pct"/>
            <w:vMerge w:val="continue"/>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3751" w:type="pct"/>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b w:val="0"/>
                <w:bCs w:val="0"/>
                <w:color w:val="auto"/>
                <w:highlight w:val="none"/>
              </w:rPr>
            </w:pPr>
            <w:r>
              <w:rPr>
                <w:rFonts w:hint="eastAsia" w:ascii="宋体" w:hAnsi="宋体"/>
                <w:b w:val="0"/>
                <w:bCs w:val="0"/>
                <w:color w:val="auto"/>
                <w:highlight w:val="none"/>
              </w:rPr>
              <w:t>针对本项目做好宣传工作和相关宣传品发放工作等方面</w:t>
            </w:r>
            <w:r>
              <w:rPr>
                <w:rFonts w:hint="eastAsia"/>
                <w:b w:val="0"/>
                <w:bCs w:val="0"/>
                <w:color w:val="auto"/>
                <w:highlight w:val="none"/>
              </w:rPr>
              <w:t>制定</w:t>
            </w:r>
            <w:r>
              <w:rPr>
                <w:rFonts w:hint="eastAsia"/>
                <w:b w:val="0"/>
                <w:bCs w:val="0"/>
                <w:color w:val="auto"/>
                <w:highlight w:val="none"/>
                <w:lang w:eastAsia="zh-CN"/>
              </w:rPr>
              <w:t>的</w:t>
            </w:r>
            <w:r>
              <w:rPr>
                <w:rFonts w:hint="eastAsia"/>
                <w:b w:val="0"/>
                <w:bCs w:val="0"/>
                <w:color w:val="auto"/>
                <w:highlight w:val="none"/>
                <w:lang w:val="en-US" w:eastAsia="zh-CN"/>
              </w:rPr>
              <w:t>方案</w:t>
            </w:r>
            <w:r>
              <w:rPr>
                <w:rFonts w:hint="eastAsia" w:ascii="宋体" w:hAnsi="宋体"/>
                <w:b w:val="0"/>
                <w:bCs w:val="0"/>
                <w:color w:val="auto"/>
                <w:highlight w:val="none"/>
              </w:rPr>
              <w:t>进行综合评议（</w:t>
            </w:r>
            <w:r>
              <w:rPr>
                <w:rFonts w:hint="eastAsia" w:ascii="宋体" w:hAnsi="宋体"/>
                <w:b w:val="0"/>
                <w:bCs w:val="0"/>
                <w:color w:val="auto"/>
                <w:highlight w:val="none"/>
                <w:lang w:val="en-US" w:eastAsia="zh-CN"/>
              </w:rPr>
              <w:t>5</w:t>
            </w:r>
            <w:r>
              <w:rPr>
                <w:rFonts w:hint="eastAsia" w:ascii="宋体" w:hAnsi="宋体"/>
                <w:b w:val="0"/>
                <w:bCs w:val="0"/>
                <w:color w:val="auto"/>
                <w:highlight w:val="none"/>
              </w:rPr>
              <w:t>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内容详尽、全面、具有针对性且科学合理的得</w:t>
            </w:r>
            <w:r>
              <w:rPr>
                <w:rFonts w:hint="eastAsia" w:ascii="宋体" w:hAnsi="宋体" w:cs="Times New Roman"/>
                <w:b w:val="0"/>
                <w:bCs w:val="0"/>
                <w:color w:val="auto"/>
                <w:szCs w:val="21"/>
                <w:highlight w:val="none"/>
                <w:lang w:val="en-US" w:eastAsia="zh-CN"/>
              </w:rPr>
              <w:t>5</w:t>
            </w:r>
            <w:r>
              <w:rPr>
                <w:rFonts w:hint="eastAsia" w:ascii="宋体" w:hAnsi="宋体" w:eastAsia="宋体" w:cs="Times New Roman"/>
                <w:b w:val="0"/>
                <w:bCs w:val="0"/>
                <w:color w:val="auto"/>
                <w:szCs w:val="21"/>
                <w:highlight w:val="none"/>
                <w:lang w:val="en-US" w:eastAsia="zh-CN"/>
              </w:rPr>
              <w:t>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内容较详尽、较全面、较具有针对性且较科学合理的得</w:t>
            </w:r>
            <w:r>
              <w:rPr>
                <w:rFonts w:hint="eastAsia" w:ascii="宋体" w:hAnsi="宋体" w:cs="Times New Roman"/>
                <w:b w:val="0"/>
                <w:bCs w:val="0"/>
                <w:color w:val="auto"/>
                <w:szCs w:val="21"/>
                <w:highlight w:val="none"/>
                <w:lang w:val="en-US" w:eastAsia="zh-CN"/>
              </w:rPr>
              <w:t>3</w:t>
            </w:r>
            <w:r>
              <w:rPr>
                <w:rFonts w:hint="eastAsia" w:ascii="宋体" w:hAnsi="宋体" w:eastAsia="宋体" w:cs="Times New Roman"/>
                <w:b w:val="0"/>
                <w:bCs w:val="0"/>
                <w:color w:val="auto"/>
                <w:szCs w:val="21"/>
                <w:highlight w:val="none"/>
                <w:lang w:val="en-US" w:eastAsia="zh-CN"/>
              </w:rPr>
              <w:t>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内容欠详尽、欠全面、欠具有针对性且欠科学合理的得1分；</w:t>
            </w:r>
          </w:p>
          <w:p>
            <w:pPr>
              <w:keepNext w:val="0"/>
              <w:keepLines w:val="0"/>
              <w:pageBreakBefore w:val="0"/>
              <w:kinsoku/>
              <w:wordWrap/>
              <w:overflowPunct/>
              <w:topLinePunct w:val="0"/>
              <w:autoSpaceDE/>
              <w:autoSpaceDN/>
              <w:bidi w:val="0"/>
              <w:adjustRightInd/>
              <w:snapToGrid/>
              <w:spacing w:line="340" w:lineRule="exact"/>
              <w:textAlignment w:val="auto"/>
              <w:rPr>
                <w:b w:val="0"/>
                <w:bCs w:val="0"/>
                <w:color w:val="auto"/>
              </w:rPr>
            </w:pPr>
            <w:r>
              <w:rPr>
                <w:rFonts w:hint="eastAsia" w:ascii="宋体" w:hAnsi="宋体" w:eastAsia="宋体" w:cs="Times New Roman"/>
                <w:b w:val="0"/>
                <w:bCs w:val="0"/>
                <w:color w:val="auto"/>
                <w:szCs w:val="21"/>
                <w:highlight w:val="none"/>
                <w:lang w:val="en-US" w:eastAsia="zh-CN"/>
              </w:rPr>
              <w:t>无相关内容不得分。</w:t>
            </w:r>
          </w:p>
        </w:tc>
        <w:tc>
          <w:tcPr>
            <w:tcW w:w="368"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eastAsia="等线"/>
                <w:color w:val="auto"/>
                <w:highlight w:val="none"/>
                <w:lang w:eastAsia="zh-CN"/>
              </w:rPr>
            </w:pPr>
            <w:r>
              <w:rPr>
                <w:rFonts w:hint="eastAsia" w:eastAsia="等线"/>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47" w:type="pct"/>
            <w:vMerge w:val="continue"/>
            <w:noWrap w:val="0"/>
            <w:vAlign w:val="center"/>
          </w:tcPr>
          <w:p>
            <w:pPr>
              <w:keepNext w:val="0"/>
              <w:keepLines w:val="0"/>
              <w:suppressLineNumbers w:val="0"/>
              <w:snapToGrid w:val="0"/>
              <w:spacing w:before="0" w:beforeAutospacing="0" w:after="0" w:afterAutospacing="0" w:line="240" w:lineRule="auto"/>
              <w:ind w:left="0" w:right="0"/>
              <w:jc w:val="both"/>
              <w:rPr>
                <w:rFonts w:hint="eastAsia" w:ascii="宋体" w:hAnsi="宋体" w:eastAsia="宋体" w:cs="宋体"/>
                <w:b w:val="0"/>
                <w:bCs w:val="0"/>
                <w:color w:val="auto"/>
                <w:sz w:val="21"/>
                <w:szCs w:val="21"/>
                <w:highlight w:val="none"/>
                <w:lang w:bidi="ar"/>
              </w:rPr>
            </w:pPr>
          </w:p>
        </w:tc>
        <w:tc>
          <w:tcPr>
            <w:tcW w:w="532"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bidi="ar"/>
              </w:rPr>
              <w:t>应急方案（5分）</w:t>
            </w:r>
          </w:p>
        </w:tc>
        <w:tc>
          <w:tcPr>
            <w:tcW w:w="3751"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宋体" w:hAnsi="宋体" w:eastAsia="宋体" w:cs="宋体"/>
                <w:b w:val="0"/>
                <w:bCs w:val="0"/>
                <w:color w:val="auto"/>
                <w:sz w:val="21"/>
                <w:szCs w:val="21"/>
                <w:highlight w:val="none"/>
                <w:lang w:bidi="ar"/>
              </w:rPr>
            </w:pPr>
            <w:r>
              <w:rPr>
                <w:rFonts w:hint="eastAsia" w:ascii="宋体" w:hAnsi="宋体" w:cs="宋体"/>
                <w:b w:val="0"/>
                <w:bCs w:val="0"/>
                <w:color w:val="auto"/>
                <w:sz w:val="21"/>
                <w:szCs w:val="21"/>
                <w:highlight w:val="none"/>
                <w:lang w:val="en-US" w:eastAsia="zh-CN" w:bidi="ar"/>
              </w:rPr>
              <w:t>针对</w:t>
            </w:r>
            <w:r>
              <w:rPr>
                <w:rFonts w:hint="eastAsia" w:ascii="宋体" w:hAnsi="宋体" w:eastAsia="宋体" w:cs="宋体"/>
                <w:b w:val="0"/>
                <w:bCs w:val="0"/>
                <w:color w:val="auto"/>
                <w:sz w:val="21"/>
                <w:szCs w:val="21"/>
                <w:highlight w:val="none"/>
                <w:lang w:bidi="ar"/>
              </w:rPr>
              <w:t>投标人提供的应对突发状况及业主紧急要求制定的方案</w:t>
            </w:r>
            <w:r>
              <w:rPr>
                <w:rFonts w:hint="eastAsia" w:ascii="宋体" w:hAnsi="宋体"/>
                <w:b w:val="0"/>
                <w:bCs w:val="0"/>
                <w:color w:val="auto"/>
                <w:highlight w:val="none"/>
              </w:rPr>
              <w:t>进行综合评议</w:t>
            </w:r>
            <w:r>
              <w:rPr>
                <w:rFonts w:hint="eastAsia" w:ascii="宋体" w:hAnsi="宋体" w:eastAsia="宋体" w:cs="宋体"/>
                <w:b w:val="0"/>
                <w:bCs w:val="0"/>
                <w:color w:val="auto"/>
                <w:sz w:val="21"/>
                <w:szCs w:val="21"/>
                <w:highlight w:val="none"/>
                <w:lang w:bidi="ar"/>
              </w:rPr>
              <w:t>（5分）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内容详尽、全面、具有针对性且科学合理的得5分；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内容较详尽、较全面、较具有针对性且较科学合理的得3分；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内容欠详尽、欠全面、欠具有针对性且欠科学合理的得1分；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color w:val="auto"/>
              </w:rPr>
            </w:pPr>
            <w:r>
              <w:rPr>
                <w:rFonts w:hint="eastAsia" w:ascii="宋体" w:hAnsi="宋体" w:eastAsia="宋体" w:cs="Times New Roman"/>
                <w:b w:val="0"/>
                <w:bCs w:val="0"/>
                <w:color w:val="auto"/>
                <w:szCs w:val="21"/>
                <w:highlight w:val="none"/>
                <w:lang w:val="en-US" w:eastAsia="zh-CN"/>
              </w:rPr>
              <w:t>无相关内容不得分。</w:t>
            </w:r>
          </w:p>
        </w:tc>
        <w:tc>
          <w:tcPr>
            <w:tcW w:w="368"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right="0"/>
              <w:jc w:val="both"/>
              <w:textAlignment w:val="auto"/>
              <w:rPr>
                <w:rFonts w:hint="eastAsia" w:ascii="宋体" w:hAnsi="宋体" w:eastAsia="宋体" w:cs="宋体"/>
                <w:b w:val="0"/>
                <w:bCs w:val="0"/>
                <w:color w:val="auto"/>
                <w:sz w:val="21"/>
                <w:szCs w:val="21"/>
                <w:highlight w:val="none"/>
                <w:lang w:bidi="ar"/>
              </w:rPr>
            </w:pPr>
            <w:r>
              <w:rPr>
                <w:rFonts w:hint="eastAsia" w:eastAsia="等线"/>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47" w:type="pct"/>
            <w:vMerge w:val="continue"/>
            <w:noWrap w:val="0"/>
            <w:vAlign w:val="center"/>
          </w:tcPr>
          <w:p>
            <w:pPr>
              <w:rPr>
                <w:color w:val="auto"/>
                <w:highlight w:val="none"/>
              </w:rPr>
            </w:pPr>
          </w:p>
        </w:tc>
        <w:tc>
          <w:tcPr>
            <w:tcW w:w="532" w:type="pct"/>
            <w:vMerge w:val="restart"/>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r>
              <w:rPr>
                <w:rFonts w:hint="eastAsia" w:ascii="宋体" w:hAnsi="宋体"/>
                <w:color w:val="auto"/>
                <w:highlight w:val="none"/>
              </w:rPr>
              <w:t>服务人员配备</w:t>
            </w:r>
            <w:r>
              <w:rPr>
                <w:rFonts w:hint="eastAsia" w:ascii="宋体" w:hAnsi="宋体"/>
                <w:color w:val="auto"/>
                <w:highlight w:val="none"/>
                <w:lang w:val="en-US" w:eastAsia="zh-CN"/>
              </w:rPr>
              <w:t>及管理</w:t>
            </w:r>
            <w:r>
              <w:rPr>
                <w:rFonts w:hint="eastAsia" w:ascii="宋体" w:hAnsi="宋体"/>
                <w:color w:val="auto"/>
                <w:highlight w:val="none"/>
              </w:rPr>
              <w:t>（</w:t>
            </w:r>
            <w:r>
              <w:rPr>
                <w:rFonts w:hint="eastAsia" w:ascii="宋体" w:hAnsi="宋体"/>
                <w:color w:val="auto"/>
                <w:highlight w:val="none"/>
                <w:lang w:val="en-US" w:eastAsia="zh-CN"/>
              </w:rPr>
              <w:t>12</w:t>
            </w:r>
            <w:r>
              <w:rPr>
                <w:rFonts w:hint="eastAsia" w:ascii="宋体" w:hAnsi="宋体"/>
                <w:color w:val="auto"/>
                <w:highlight w:val="none"/>
              </w:rPr>
              <w:t>分）</w:t>
            </w:r>
          </w:p>
        </w:tc>
        <w:tc>
          <w:tcPr>
            <w:tcW w:w="3751" w:type="pct"/>
            <w:noWrap w:val="0"/>
            <w:vAlign w:val="center"/>
          </w:tcPr>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highlight w:val="none"/>
                <w:lang w:eastAsia="zh-CN"/>
              </w:rPr>
            </w:pPr>
            <w:r>
              <w:rPr>
                <w:rFonts w:hint="eastAsia" w:ascii="宋体" w:hAnsi="宋体" w:eastAsia="宋体" w:cs="Times New Roman"/>
                <w:b w:val="0"/>
                <w:bCs w:val="0"/>
                <w:color w:val="auto"/>
                <w:highlight w:val="none"/>
                <w:lang w:val="en-US" w:eastAsia="zh-CN"/>
              </w:rPr>
              <w:t>针对</w:t>
            </w:r>
            <w:r>
              <w:rPr>
                <w:rFonts w:hint="eastAsia" w:ascii="宋体" w:hAnsi="宋体" w:eastAsia="宋体" w:cs="Times New Roman"/>
                <w:b w:val="0"/>
                <w:bCs w:val="0"/>
                <w:color w:val="auto"/>
                <w:highlight w:val="none"/>
              </w:rPr>
              <w:t>投标人对配备人员安全教育和业务培训计划或培训措施</w:t>
            </w:r>
            <w:r>
              <w:rPr>
                <w:rFonts w:hint="eastAsia" w:ascii="宋体" w:hAnsi="宋体"/>
                <w:b w:val="0"/>
                <w:bCs w:val="0"/>
                <w:color w:val="auto"/>
                <w:highlight w:val="none"/>
              </w:rPr>
              <w:t>进行综合评议</w:t>
            </w:r>
            <w:r>
              <w:rPr>
                <w:rFonts w:hint="eastAsia" w:ascii="宋体" w:hAnsi="宋体" w:eastAsia="宋体" w:cs="Times New Roman"/>
                <w:b w:val="0"/>
                <w:bCs w:val="0"/>
                <w:color w:val="auto"/>
                <w:highlight w:val="none"/>
              </w:rPr>
              <w:t>（</w:t>
            </w:r>
            <w:r>
              <w:rPr>
                <w:rFonts w:hint="eastAsia" w:ascii="宋体" w:hAnsi="宋体" w:cs="Times New Roman"/>
                <w:b w:val="0"/>
                <w:bCs w:val="0"/>
                <w:color w:val="auto"/>
                <w:highlight w:val="none"/>
                <w:lang w:val="en-US" w:eastAsia="zh-CN"/>
              </w:rPr>
              <w:t>4</w:t>
            </w:r>
            <w:r>
              <w:rPr>
                <w:rFonts w:hint="eastAsia" w:ascii="宋体" w:hAnsi="宋体" w:eastAsia="宋体" w:cs="Times New Roman"/>
                <w:b w:val="0"/>
                <w:bCs w:val="0"/>
                <w:color w:val="auto"/>
                <w:highlight w:val="none"/>
              </w:rPr>
              <w:t>分）</w:t>
            </w:r>
            <w:r>
              <w:rPr>
                <w:rFonts w:hint="eastAsia" w:ascii="宋体" w:hAnsi="宋体" w:eastAsia="宋体" w:cs="Times New Roman"/>
                <w:b w:val="0"/>
                <w:bCs w:val="0"/>
                <w:color w:val="auto"/>
                <w:highlight w:val="none"/>
                <w:lang w:eastAsia="zh-CN"/>
              </w:rPr>
              <w:t>。</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内容详尽、全面、具有针对性且科学合理的得</w:t>
            </w:r>
            <w:r>
              <w:rPr>
                <w:rFonts w:hint="eastAsia" w:ascii="宋体" w:hAnsi="宋体" w:cs="Times New Roman"/>
                <w:b w:val="0"/>
                <w:bCs w:val="0"/>
                <w:color w:val="auto"/>
                <w:szCs w:val="21"/>
                <w:highlight w:val="none"/>
                <w:lang w:val="en-US" w:eastAsia="zh-CN"/>
              </w:rPr>
              <w:t>4</w:t>
            </w:r>
            <w:r>
              <w:rPr>
                <w:rFonts w:hint="eastAsia" w:ascii="宋体" w:hAnsi="宋体" w:eastAsia="宋体" w:cs="Times New Roman"/>
                <w:b w:val="0"/>
                <w:bCs w:val="0"/>
                <w:color w:val="auto"/>
                <w:szCs w:val="21"/>
                <w:highlight w:val="none"/>
                <w:lang w:val="en-US" w:eastAsia="zh-CN"/>
              </w:rPr>
              <w:t>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内容较详尽、较全面、较具有针对性且较科学合理的得</w:t>
            </w:r>
            <w:r>
              <w:rPr>
                <w:rFonts w:hint="eastAsia" w:ascii="宋体" w:hAnsi="宋体" w:cs="Times New Roman"/>
                <w:b w:val="0"/>
                <w:bCs w:val="0"/>
                <w:color w:val="auto"/>
                <w:szCs w:val="21"/>
                <w:highlight w:val="none"/>
                <w:lang w:val="en-US" w:eastAsia="zh-CN"/>
              </w:rPr>
              <w:t>2</w:t>
            </w:r>
            <w:r>
              <w:rPr>
                <w:rFonts w:hint="eastAsia" w:ascii="宋体" w:hAnsi="宋体" w:eastAsia="宋体" w:cs="Times New Roman"/>
                <w:b w:val="0"/>
                <w:bCs w:val="0"/>
                <w:color w:val="auto"/>
                <w:szCs w:val="21"/>
                <w:highlight w:val="none"/>
                <w:lang w:val="en-US" w:eastAsia="zh-CN"/>
              </w:rPr>
              <w:t>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内容欠详尽、欠全面、欠具有针对性且欠科学合理的得1分；</w:t>
            </w:r>
          </w:p>
          <w:p>
            <w:pPr>
              <w:keepNext w:val="0"/>
              <w:keepLines w:val="0"/>
              <w:pageBreakBefore w:val="0"/>
              <w:kinsoku/>
              <w:wordWrap/>
              <w:overflowPunct/>
              <w:topLinePunct w:val="0"/>
              <w:autoSpaceDE/>
              <w:autoSpaceDN/>
              <w:bidi w:val="0"/>
              <w:adjustRightInd/>
              <w:snapToGrid/>
              <w:spacing w:line="340" w:lineRule="exact"/>
              <w:textAlignment w:val="auto"/>
              <w:rPr>
                <w:b w:val="0"/>
                <w:bCs w:val="0"/>
                <w:color w:val="auto"/>
              </w:rPr>
            </w:pPr>
            <w:r>
              <w:rPr>
                <w:rFonts w:hint="eastAsia" w:ascii="宋体" w:hAnsi="宋体" w:eastAsia="宋体" w:cs="Times New Roman"/>
                <w:b w:val="0"/>
                <w:bCs w:val="0"/>
                <w:color w:val="auto"/>
                <w:szCs w:val="21"/>
                <w:highlight w:val="none"/>
                <w:lang w:val="en-US" w:eastAsia="zh-CN"/>
              </w:rPr>
              <w:t>无相关内容不得分。</w:t>
            </w:r>
          </w:p>
        </w:tc>
        <w:tc>
          <w:tcPr>
            <w:tcW w:w="368"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eastAsia="宋体"/>
                <w:color w:val="auto"/>
                <w:highlight w:val="none"/>
                <w:lang w:eastAsia="zh-CN"/>
              </w:rPr>
            </w:pPr>
            <w:r>
              <w:rPr>
                <w:rFonts w:hint="eastAsia"/>
                <w:color w:val="auto"/>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47" w:type="pct"/>
            <w:vMerge w:val="continue"/>
            <w:noWrap w:val="0"/>
            <w:vAlign w:val="center"/>
          </w:tcPr>
          <w:p>
            <w:pPr>
              <w:rPr>
                <w:color w:val="auto"/>
                <w:highlight w:val="none"/>
              </w:rPr>
            </w:pPr>
          </w:p>
        </w:tc>
        <w:tc>
          <w:tcPr>
            <w:tcW w:w="532" w:type="pct"/>
            <w:vMerge w:val="continue"/>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olor w:val="auto"/>
                <w:highlight w:val="none"/>
              </w:rPr>
            </w:pPr>
          </w:p>
        </w:tc>
        <w:tc>
          <w:tcPr>
            <w:tcW w:w="3751" w:type="pct"/>
            <w:noWrap w:val="0"/>
            <w:vAlign w:val="center"/>
          </w:tcPr>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highlight w:val="none"/>
                <w:lang w:eastAsia="zh-CN"/>
              </w:rPr>
            </w:pPr>
            <w:r>
              <w:rPr>
                <w:rFonts w:hint="eastAsia" w:ascii="宋体" w:hAnsi="宋体" w:eastAsia="宋体" w:cs="Times New Roman"/>
                <w:b w:val="0"/>
                <w:bCs w:val="0"/>
                <w:color w:val="auto"/>
                <w:highlight w:val="none"/>
                <w:lang w:val="en-US" w:eastAsia="zh-CN"/>
              </w:rPr>
              <w:t>针对本项目的人员管理方案</w:t>
            </w:r>
            <w:r>
              <w:rPr>
                <w:rFonts w:hint="eastAsia" w:ascii="宋体" w:hAnsi="宋体" w:eastAsia="宋体" w:cs="Times New Roman"/>
                <w:b w:val="0"/>
                <w:bCs w:val="0"/>
                <w:color w:val="auto"/>
                <w:highlight w:val="none"/>
              </w:rPr>
              <w:t>进行综合评议（</w:t>
            </w:r>
            <w:r>
              <w:rPr>
                <w:rFonts w:hint="eastAsia" w:ascii="宋体" w:hAnsi="宋体" w:eastAsia="宋体" w:cs="Times New Roman"/>
                <w:b w:val="0"/>
                <w:bCs w:val="0"/>
                <w:color w:val="auto"/>
                <w:highlight w:val="none"/>
                <w:lang w:val="en-US" w:eastAsia="zh-CN"/>
              </w:rPr>
              <w:t>4</w:t>
            </w:r>
            <w:r>
              <w:rPr>
                <w:rFonts w:hint="eastAsia" w:ascii="宋体" w:hAnsi="宋体" w:eastAsia="宋体" w:cs="Times New Roman"/>
                <w:b w:val="0"/>
                <w:bCs w:val="0"/>
                <w:color w:val="auto"/>
                <w:highlight w:val="none"/>
              </w:rPr>
              <w:t>分）</w:t>
            </w:r>
            <w:r>
              <w:rPr>
                <w:rFonts w:hint="eastAsia" w:ascii="宋体" w:hAnsi="宋体" w:eastAsia="宋体" w:cs="Times New Roman"/>
                <w:b w:val="0"/>
                <w:bCs w:val="0"/>
                <w:color w:val="auto"/>
                <w:highlight w:val="none"/>
                <w:lang w:eastAsia="zh-CN"/>
              </w:rPr>
              <w:t>。</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highlight w:val="none"/>
                <w:lang w:val="en-US" w:eastAsia="zh-CN"/>
              </w:rPr>
              <w:t>人员管理制</w:t>
            </w:r>
            <w:r>
              <w:rPr>
                <w:rFonts w:hint="eastAsia" w:ascii="宋体" w:hAnsi="宋体" w:eastAsia="宋体" w:cs="Times New Roman"/>
                <w:b w:val="0"/>
                <w:bCs w:val="0"/>
                <w:color w:val="auto"/>
                <w:szCs w:val="21"/>
                <w:highlight w:val="none"/>
                <w:lang w:val="en-US" w:eastAsia="zh-CN"/>
              </w:rPr>
              <w:t>度明确、管理办法合理、管理措施可行的得4分；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人员管理制度较明确、管理办法较合理、管理措施较可行的得2分；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人员管理制度欠明确、管理办法欠合理、管理措施不可行的得1分；</w:t>
            </w:r>
          </w:p>
          <w:p>
            <w:pPr>
              <w:keepNext w:val="0"/>
              <w:keepLines w:val="0"/>
              <w:pageBreakBefore w:val="0"/>
              <w:kinsoku/>
              <w:wordWrap/>
              <w:overflowPunct/>
              <w:topLinePunct w:val="0"/>
              <w:autoSpaceDE/>
              <w:autoSpaceDN/>
              <w:bidi w:val="0"/>
              <w:adjustRightInd/>
              <w:snapToGrid/>
              <w:spacing w:line="340" w:lineRule="exact"/>
              <w:textAlignment w:val="auto"/>
              <w:rPr>
                <w:rFonts w:hint="default"/>
                <w:color w:val="auto"/>
                <w:lang w:val="en-US" w:eastAsia="zh-CN"/>
              </w:rPr>
            </w:pPr>
            <w:r>
              <w:rPr>
                <w:rFonts w:hint="eastAsia" w:ascii="宋体" w:hAnsi="宋体" w:eastAsia="宋体" w:cs="Times New Roman"/>
                <w:b w:val="0"/>
                <w:bCs w:val="0"/>
                <w:color w:val="auto"/>
                <w:szCs w:val="21"/>
                <w:highlight w:val="none"/>
                <w:lang w:val="en-US" w:eastAsia="zh-CN"/>
              </w:rPr>
              <w:t>无相关内容不得分。</w:t>
            </w:r>
          </w:p>
        </w:tc>
        <w:tc>
          <w:tcPr>
            <w:tcW w:w="368"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color w:val="auto"/>
                <w:highlight w:val="none"/>
                <w:lang w:val="en-US" w:eastAsia="zh-CN"/>
              </w:rPr>
            </w:pPr>
            <w:r>
              <w:rPr>
                <w:rFonts w:hint="eastAsia"/>
                <w:color w:val="auto"/>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47" w:type="pct"/>
            <w:vMerge w:val="continue"/>
            <w:noWrap w:val="0"/>
            <w:vAlign w:val="center"/>
          </w:tcPr>
          <w:p>
            <w:pPr>
              <w:rPr>
                <w:color w:val="auto"/>
                <w:highlight w:val="none"/>
              </w:rPr>
            </w:pPr>
          </w:p>
        </w:tc>
        <w:tc>
          <w:tcPr>
            <w:tcW w:w="532" w:type="pct"/>
            <w:vMerge w:val="continue"/>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color w:val="auto"/>
                <w:highlight w:val="none"/>
              </w:rPr>
            </w:pPr>
          </w:p>
        </w:tc>
        <w:tc>
          <w:tcPr>
            <w:tcW w:w="3751" w:type="pct"/>
            <w:noWrap w:val="0"/>
            <w:vAlign w:val="center"/>
          </w:tcPr>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highlight w:val="none"/>
              </w:rPr>
            </w:pPr>
            <w:r>
              <w:rPr>
                <w:rFonts w:hint="eastAsia" w:ascii="宋体" w:hAnsi="宋体" w:cs="Times New Roman"/>
                <w:b w:val="0"/>
                <w:bCs w:val="0"/>
                <w:color w:val="auto"/>
                <w:highlight w:val="none"/>
                <w:lang w:val="en-US" w:eastAsia="zh-CN"/>
              </w:rPr>
              <w:t>针对</w:t>
            </w:r>
            <w:r>
              <w:rPr>
                <w:rFonts w:hint="eastAsia" w:ascii="宋体" w:hAnsi="宋体" w:eastAsia="宋体" w:cs="Times New Roman"/>
                <w:b w:val="0"/>
                <w:bCs w:val="0"/>
                <w:color w:val="auto"/>
                <w:highlight w:val="none"/>
              </w:rPr>
              <w:t>投标人对配备人员的数量、</w:t>
            </w:r>
            <w:r>
              <w:rPr>
                <w:rFonts w:hint="eastAsia" w:ascii="宋体" w:hAnsi="宋体" w:eastAsia="宋体" w:cs="Times New Roman"/>
                <w:b w:val="0"/>
                <w:bCs w:val="0"/>
                <w:color w:val="auto"/>
                <w:highlight w:val="none"/>
                <w:lang w:val="en-US" w:eastAsia="zh-CN"/>
              </w:rPr>
              <w:t>岗位</w:t>
            </w:r>
            <w:r>
              <w:rPr>
                <w:rFonts w:hint="eastAsia" w:ascii="宋体" w:hAnsi="宋体" w:eastAsia="宋体" w:cs="Times New Roman"/>
                <w:b w:val="0"/>
                <w:bCs w:val="0"/>
                <w:color w:val="auto"/>
                <w:highlight w:val="none"/>
              </w:rPr>
              <w:t>等方面</w:t>
            </w:r>
            <w:r>
              <w:rPr>
                <w:rFonts w:hint="eastAsia" w:ascii="宋体" w:hAnsi="宋体"/>
                <w:b w:val="0"/>
                <w:bCs w:val="0"/>
                <w:color w:val="auto"/>
                <w:highlight w:val="none"/>
              </w:rPr>
              <w:t>进行综合评议</w:t>
            </w:r>
            <w:r>
              <w:rPr>
                <w:rFonts w:hint="eastAsia" w:ascii="宋体" w:hAnsi="宋体" w:eastAsia="宋体" w:cs="Times New Roman"/>
                <w:b w:val="0"/>
                <w:bCs w:val="0"/>
                <w:color w:val="auto"/>
                <w:highlight w:val="none"/>
              </w:rPr>
              <w:t>（</w:t>
            </w:r>
            <w:r>
              <w:rPr>
                <w:rFonts w:hint="eastAsia" w:ascii="宋体" w:hAnsi="宋体" w:cs="Times New Roman"/>
                <w:b w:val="0"/>
                <w:bCs w:val="0"/>
                <w:color w:val="auto"/>
                <w:highlight w:val="none"/>
                <w:lang w:val="en-US" w:eastAsia="zh-CN"/>
              </w:rPr>
              <w:t>4</w:t>
            </w:r>
            <w:r>
              <w:rPr>
                <w:rFonts w:hint="eastAsia" w:ascii="宋体" w:hAnsi="宋体" w:eastAsia="宋体" w:cs="Times New Roman"/>
                <w:b w:val="0"/>
                <w:bCs w:val="0"/>
                <w:color w:val="auto"/>
                <w:highlight w:val="none"/>
              </w:rPr>
              <w:t>分）</w:t>
            </w:r>
            <w:r>
              <w:rPr>
                <w:rFonts w:hint="eastAsia" w:ascii="宋体" w:hAnsi="宋体" w:eastAsia="宋体" w:cs="Times New Roman"/>
                <w:b w:val="0"/>
                <w:bCs w:val="0"/>
                <w:color w:val="auto"/>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highlight w:val="none"/>
              </w:rPr>
            </w:pPr>
            <w:r>
              <w:rPr>
                <w:rFonts w:hint="eastAsia" w:ascii="宋体" w:hAnsi="宋体" w:eastAsia="宋体" w:cs="Times New Roman"/>
                <w:b w:val="0"/>
                <w:bCs w:val="0"/>
                <w:color w:val="auto"/>
                <w:highlight w:val="none"/>
              </w:rPr>
              <w:t>拟派人员数量多、人员配备合理、岗位分工</w:t>
            </w:r>
            <w:r>
              <w:rPr>
                <w:rFonts w:hint="eastAsia" w:ascii="宋体" w:hAnsi="宋体" w:eastAsia="宋体" w:cs="Times New Roman"/>
                <w:b w:val="0"/>
                <w:bCs w:val="0"/>
                <w:color w:val="auto"/>
                <w:highlight w:val="none"/>
                <w:lang w:eastAsia="zh-CN"/>
              </w:rPr>
              <w:t>、</w:t>
            </w:r>
            <w:r>
              <w:rPr>
                <w:rFonts w:hint="eastAsia" w:ascii="宋体" w:hAnsi="宋体" w:eastAsia="宋体" w:cs="Times New Roman"/>
                <w:b w:val="0"/>
                <w:bCs w:val="0"/>
                <w:color w:val="auto"/>
                <w:highlight w:val="none"/>
              </w:rPr>
              <w:t>职责明确的得</w:t>
            </w:r>
            <w:r>
              <w:rPr>
                <w:rFonts w:hint="eastAsia" w:ascii="宋体" w:hAnsi="宋体" w:cs="Times New Roman"/>
                <w:b w:val="0"/>
                <w:bCs w:val="0"/>
                <w:color w:val="auto"/>
                <w:highlight w:val="none"/>
                <w:lang w:val="en-US" w:eastAsia="zh-CN"/>
              </w:rPr>
              <w:t>2</w:t>
            </w:r>
            <w:r>
              <w:rPr>
                <w:rFonts w:hint="eastAsia" w:ascii="宋体" w:hAnsi="宋体" w:eastAsia="宋体" w:cs="Times New Roman"/>
                <w:b w:val="0"/>
                <w:bCs w:val="0"/>
                <w:color w:val="auto"/>
                <w:highlight w:val="none"/>
              </w:rPr>
              <w:t>分；</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highlight w:val="none"/>
              </w:rPr>
            </w:pPr>
            <w:r>
              <w:rPr>
                <w:rFonts w:hint="eastAsia" w:ascii="宋体" w:hAnsi="宋体" w:eastAsia="宋体" w:cs="Times New Roman"/>
                <w:b w:val="0"/>
                <w:bCs w:val="0"/>
                <w:color w:val="auto"/>
                <w:highlight w:val="none"/>
              </w:rPr>
              <w:t>拟派人员数量一般、人员配备</w:t>
            </w:r>
            <w:r>
              <w:rPr>
                <w:rFonts w:hint="eastAsia" w:ascii="宋体" w:hAnsi="宋体" w:eastAsia="宋体" w:cs="Times New Roman"/>
                <w:b w:val="0"/>
                <w:bCs w:val="0"/>
                <w:color w:val="auto"/>
                <w:highlight w:val="none"/>
                <w:lang w:val="en-US" w:eastAsia="zh-CN"/>
              </w:rPr>
              <w:t>基本满足要求</w:t>
            </w:r>
            <w:r>
              <w:rPr>
                <w:rFonts w:hint="eastAsia" w:ascii="宋体" w:hAnsi="宋体" w:eastAsia="宋体" w:cs="Times New Roman"/>
                <w:b w:val="0"/>
                <w:bCs w:val="0"/>
                <w:color w:val="auto"/>
                <w:highlight w:val="none"/>
              </w:rPr>
              <w:t>、岗位分工</w:t>
            </w:r>
            <w:r>
              <w:rPr>
                <w:rFonts w:hint="eastAsia" w:ascii="宋体" w:hAnsi="宋体" w:eastAsia="宋体" w:cs="Times New Roman"/>
                <w:b w:val="0"/>
                <w:bCs w:val="0"/>
                <w:color w:val="auto"/>
                <w:highlight w:val="none"/>
                <w:lang w:eastAsia="zh-CN"/>
              </w:rPr>
              <w:t>、</w:t>
            </w:r>
            <w:r>
              <w:rPr>
                <w:rFonts w:hint="eastAsia" w:ascii="宋体" w:hAnsi="宋体" w:eastAsia="宋体" w:cs="Times New Roman"/>
                <w:b w:val="0"/>
                <w:bCs w:val="0"/>
                <w:color w:val="auto"/>
                <w:highlight w:val="none"/>
              </w:rPr>
              <w:t>职责</w:t>
            </w:r>
            <w:r>
              <w:rPr>
                <w:rFonts w:hint="eastAsia" w:ascii="宋体" w:hAnsi="宋体" w:eastAsia="宋体" w:cs="Times New Roman"/>
                <w:b w:val="0"/>
                <w:bCs w:val="0"/>
                <w:color w:val="auto"/>
                <w:highlight w:val="none"/>
                <w:lang w:val="en-US" w:eastAsia="zh-CN"/>
              </w:rPr>
              <w:t>较简单</w:t>
            </w:r>
            <w:r>
              <w:rPr>
                <w:rFonts w:hint="eastAsia" w:ascii="宋体" w:hAnsi="宋体" w:eastAsia="宋体" w:cs="Times New Roman"/>
                <w:b w:val="0"/>
                <w:bCs w:val="0"/>
                <w:color w:val="auto"/>
                <w:highlight w:val="none"/>
              </w:rPr>
              <w:t>的得</w:t>
            </w:r>
            <w:r>
              <w:rPr>
                <w:rFonts w:hint="eastAsia" w:ascii="宋体" w:hAnsi="宋体" w:cs="Times New Roman"/>
                <w:b w:val="0"/>
                <w:bCs w:val="0"/>
                <w:color w:val="auto"/>
                <w:highlight w:val="none"/>
                <w:lang w:val="en-US" w:eastAsia="zh-CN"/>
              </w:rPr>
              <w:t>2</w:t>
            </w:r>
            <w:r>
              <w:rPr>
                <w:rFonts w:hint="eastAsia" w:ascii="宋体" w:hAnsi="宋体" w:eastAsia="宋体" w:cs="Times New Roman"/>
                <w:b w:val="0"/>
                <w:bCs w:val="0"/>
                <w:color w:val="auto"/>
                <w:highlight w:val="none"/>
              </w:rPr>
              <w:t>分；</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Times New Roman"/>
                <w:b w:val="0"/>
                <w:bCs w:val="0"/>
                <w:color w:val="auto"/>
                <w:highlight w:val="none"/>
                <w:lang w:val="en-US" w:eastAsia="zh-CN"/>
              </w:rPr>
            </w:pPr>
            <w:r>
              <w:rPr>
                <w:rFonts w:hint="eastAsia" w:ascii="宋体" w:hAnsi="宋体" w:eastAsia="宋体" w:cs="Times New Roman"/>
                <w:b w:val="0"/>
                <w:bCs w:val="0"/>
                <w:color w:val="auto"/>
                <w:highlight w:val="none"/>
              </w:rPr>
              <w:t>拟派人员数量</w:t>
            </w:r>
            <w:r>
              <w:rPr>
                <w:rFonts w:hint="eastAsia" w:ascii="宋体" w:hAnsi="宋体" w:eastAsia="宋体" w:cs="Times New Roman"/>
                <w:b w:val="0"/>
                <w:bCs w:val="0"/>
                <w:color w:val="auto"/>
                <w:highlight w:val="none"/>
                <w:lang w:val="en-US" w:eastAsia="zh-CN"/>
              </w:rPr>
              <w:t>少</w:t>
            </w:r>
            <w:r>
              <w:rPr>
                <w:rFonts w:hint="eastAsia" w:ascii="宋体" w:hAnsi="宋体" w:eastAsia="宋体" w:cs="Times New Roman"/>
                <w:b w:val="0"/>
                <w:bCs w:val="0"/>
                <w:color w:val="auto"/>
                <w:highlight w:val="none"/>
              </w:rPr>
              <w:t>、人员配备岗位分工、岗位职责</w:t>
            </w:r>
            <w:r>
              <w:rPr>
                <w:rFonts w:hint="eastAsia" w:ascii="宋体" w:hAnsi="宋体" w:eastAsia="宋体" w:cs="Times New Roman"/>
                <w:b w:val="0"/>
                <w:bCs w:val="0"/>
                <w:color w:val="auto"/>
                <w:highlight w:val="none"/>
                <w:lang w:val="en-US" w:eastAsia="zh-CN"/>
              </w:rPr>
              <w:t>不够清晰</w:t>
            </w:r>
            <w:r>
              <w:rPr>
                <w:rFonts w:hint="eastAsia" w:ascii="宋体" w:hAnsi="宋体" w:eastAsia="宋体" w:cs="Times New Roman"/>
                <w:b w:val="0"/>
                <w:bCs w:val="0"/>
                <w:color w:val="auto"/>
                <w:highlight w:val="none"/>
              </w:rPr>
              <w:t>的得</w:t>
            </w:r>
            <w:r>
              <w:rPr>
                <w:rFonts w:hint="eastAsia" w:ascii="宋体" w:hAnsi="宋体" w:eastAsia="宋体" w:cs="Times New Roman"/>
                <w:b w:val="0"/>
                <w:bCs w:val="0"/>
                <w:color w:val="auto"/>
                <w:highlight w:val="none"/>
                <w:lang w:val="en-US" w:eastAsia="zh-CN"/>
              </w:rPr>
              <w:t>1</w:t>
            </w:r>
            <w:r>
              <w:rPr>
                <w:rFonts w:hint="eastAsia" w:ascii="宋体" w:hAnsi="宋体" w:eastAsia="宋体" w:cs="Times New Roman"/>
                <w:b w:val="0"/>
                <w:bCs w:val="0"/>
                <w:color w:val="auto"/>
                <w:highlight w:val="none"/>
              </w:rPr>
              <w:t>分；</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b w:val="0"/>
                <w:bCs w:val="0"/>
                <w:color w:val="auto"/>
              </w:rPr>
            </w:pPr>
            <w:r>
              <w:rPr>
                <w:rFonts w:hint="eastAsia" w:ascii="宋体" w:hAnsi="宋体" w:eastAsia="宋体" w:cs="Times New Roman"/>
                <w:b w:val="0"/>
                <w:bCs w:val="0"/>
                <w:color w:val="auto"/>
                <w:highlight w:val="none"/>
                <w:lang w:val="en-US" w:eastAsia="zh-CN"/>
              </w:rPr>
              <w:t>无相关内容不得分。</w:t>
            </w:r>
          </w:p>
        </w:tc>
        <w:tc>
          <w:tcPr>
            <w:tcW w:w="368"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eastAsia="宋体"/>
                <w:color w:val="auto"/>
                <w:highlight w:val="none"/>
                <w:lang w:eastAsia="zh-CN"/>
              </w:rPr>
            </w:pPr>
            <w:r>
              <w:rPr>
                <w:rFonts w:hint="eastAsia"/>
                <w:color w:val="auto"/>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47" w:type="pct"/>
            <w:vMerge w:val="continue"/>
            <w:noWrap w:val="0"/>
            <w:vAlign w:val="center"/>
          </w:tcPr>
          <w:p>
            <w:pPr>
              <w:rPr>
                <w:color w:val="auto"/>
                <w:highlight w:val="none"/>
              </w:rPr>
            </w:pPr>
          </w:p>
        </w:tc>
        <w:tc>
          <w:tcPr>
            <w:tcW w:w="532" w:type="pct"/>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olor w:val="auto"/>
                <w:highlight w:val="none"/>
              </w:rPr>
            </w:pPr>
            <w:r>
              <w:rPr>
                <w:rFonts w:hint="eastAsia" w:ascii="宋体" w:hAnsi="宋体"/>
                <w:color w:val="auto"/>
                <w:highlight w:val="none"/>
              </w:rPr>
              <w:t>服务与承诺（5分）</w:t>
            </w:r>
          </w:p>
        </w:tc>
        <w:tc>
          <w:tcPr>
            <w:tcW w:w="3751" w:type="pct"/>
            <w:noWrap w:val="0"/>
            <w:vAlign w:val="center"/>
          </w:tcPr>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Times New Roman"/>
                <w:b/>
                <w:bCs/>
                <w:color w:val="auto"/>
                <w:highlight w:val="none"/>
              </w:rPr>
            </w:pPr>
            <w:r>
              <w:rPr>
                <w:rFonts w:hint="eastAsia" w:ascii="宋体" w:hAnsi="宋体" w:cs="Times New Roman"/>
                <w:color w:val="auto"/>
                <w:highlight w:val="none"/>
                <w:lang w:val="en-US" w:eastAsia="zh-CN"/>
              </w:rPr>
              <w:t>针对投标人</w:t>
            </w:r>
            <w:r>
              <w:rPr>
                <w:rFonts w:hint="eastAsia" w:ascii="宋体" w:hAnsi="宋体" w:eastAsia="宋体" w:cs="Times New Roman"/>
                <w:color w:val="auto"/>
                <w:highlight w:val="none"/>
              </w:rPr>
              <w:t>提供的服务质量、承诺进行综合评议（5分）</w:t>
            </w:r>
            <w:r>
              <w:rPr>
                <w:rFonts w:hint="eastAsia" w:ascii="宋体" w:hAnsi="宋体" w:eastAsia="宋体" w:cs="Times New Roman"/>
                <w:color w:val="auto"/>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rPr>
              <w:t>服务质量</w:t>
            </w:r>
            <w:r>
              <w:rPr>
                <w:rFonts w:hint="eastAsia" w:ascii="宋体" w:hAnsi="宋体" w:eastAsia="宋体" w:cs="Times New Roman"/>
                <w:color w:val="auto"/>
                <w:highlight w:val="none"/>
                <w:lang w:val="en-US" w:eastAsia="zh-CN"/>
              </w:rPr>
              <w:t>及承诺考虑详尽全面、内容可行、具有保障性且符合实际情况的得5分；</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rPr>
              <w:t>服务质量</w:t>
            </w:r>
            <w:r>
              <w:rPr>
                <w:rFonts w:hint="eastAsia" w:ascii="宋体" w:hAnsi="宋体" w:eastAsia="宋体" w:cs="Times New Roman"/>
                <w:color w:val="auto"/>
                <w:highlight w:val="none"/>
                <w:lang w:val="en-US" w:eastAsia="zh-CN"/>
              </w:rPr>
              <w:t>及承诺考虑较详尽全面、内容较可行、较具有保障性且较符合实际情况的得3分；</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宋体" w:hAnsi="宋体" w:cs="宋体"/>
                <w:color w:val="auto"/>
                <w:kern w:val="0"/>
                <w:sz w:val="21"/>
                <w:szCs w:val="21"/>
                <w:highlight w:val="none"/>
                <w:lang w:val="en-US" w:eastAsia="zh-CN"/>
              </w:rPr>
            </w:pPr>
            <w:r>
              <w:rPr>
                <w:rFonts w:hint="eastAsia" w:ascii="宋体" w:hAnsi="宋体" w:eastAsia="宋体" w:cs="Times New Roman"/>
                <w:color w:val="auto"/>
                <w:highlight w:val="none"/>
              </w:rPr>
              <w:t>服务质量</w:t>
            </w:r>
            <w:r>
              <w:rPr>
                <w:rFonts w:hint="eastAsia" w:ascii="宋体" w:hAnsi="宋体" w:eastAsia="宋体" w:cs="Times New Roman"/>
                <w:color w:val="auto"/>
                <w:highlight w:val="none"/>
                <w:lang w:val="en-US" w:eastAsia="zh-CN"/>
              </w:rPr>
              <w:t>及承诺考虑欠详尽全面、内容欠可行、欠具有保障性且欠符合实际情况的得</w:t>
            </w:r>
            <w:r>
              <w:rPr>
                <w:rFonts w:hint="eastAsia" w:ascii="宋体" w:hAnsi="宋体" w:cs="宋体"/>
                <w:color w:val="auto"/>
                <w:kern w:val="0"/>
                <w:sz w:val="21"/>
                <w:szCs w:val="21"/>
                <w:highlight w:val="none"/>
                <w:lang w:val="en-US" w:eastAsia="zh-CN"/>
              </w:rPr>
              <w:t>1分；</w:t>
            </w:r>
          </w:p>
          <w:p>
            <w:pPr>
              <w:pStyle w:val="182"/>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rPr>
                <w:color w:val="auto"/>
              </w:rPr>
            </w:pPr>
            <w:r>
              <w:rPr>
                <w:rFonts w:hint="eastAsia" w:ascii="宋体" w:hAnsi="宋体" w:cs="宋体"/>
                <w:color w:val="auto"/>
                <w:kern w:val="0"/>
                <w:sz w:val="21"/>
                <w:szCs w:val="21"/>
                <w:highlight w:val="none"/>
                <w:lang w:val="en-US" w:eastAsia="zh-CN"/>
              </w:rPr>
              <w:t>无相关内容不得分。</w:t>
            </w:r>
          </w:p>
        </w:tc>
        <w:tc>
          <w:tcPr>
            <w:tcW w:w="368"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347" w:type="pct"/>
            <w:vMerge w:val="continue"/>
            <w:noWrap w:val="0"/>
            <w:vAlign w:val="center"/>
          </w:tcPr>
          <w:p>
            <w:pPr>
              <w:rPr>
                <w:color w:val="auto"/>
                <w:highlight w:val="none"/>
              </w:rPr>
            </w:pPr>
          </w:p>
        </w:tc>
        <w:tc>
          <w:tcPr>
            <w:tcW w:w="532" w:type="pct"/>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olor w:val="auto"/>
                <w:highlight w:val="none"/>
              </w:rPr>
            </w:pPr>
            <w:r>
              <w:rPr>
                <w:rFonts w:hint="eastAsia" w:ascii="宋体" w:hAnsi="宋体"/>
                <w:color w:val="auto"/>
                <w:highlight w:val="none"/>
              </w:rPr>
              <w:t>服务便捷性（</w:t>
            </w:r>
            <w:r>
              <w:rPr>
                <w:rFonts w:hint="eastAsia" w:ascii="宋体" w:hAnsi="宋体"/>
                <w:color w:val="auto"/>
                <w:highlight w:val="none"/>
                <w:lang w:val="en-US" w:eastAsia="zh-CN"/>
              </w:rPr>
              <w:t>5</w:t>
            </w:r>
            <w:r>
              <w:rPr>
                <w:rFonts w:hint="eastAsia" w:ascii="宋体" w:hAnsi="宋体"/>
                <w:color w:val="auto"/>
                <w:highlight w:val="none"/>
              </w:rPr>
              <w:t>分）</w:t>
            </w:r>
          </w:p>
        </w:tc>
        <w:tc>
          <w:tcPr>
            <w:tcW w:w="3751" w:type="pct"/>
            <w:noWrap w:val="0"/>
            <w:vAlign w:val="center"/>
          </w:tcPr>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Times New Roman"/>
                <w:b/>
                <w:bCs/>
                <w:color w:val="auto"/>
                <w:highlight w:val="none"/>
              </w:rPr>
            </w:pPr>
            <w:r>
              <w:rPr>
                <w:rFonts w:hint="eastAsia" w:ascii="宋体" w:hAnsi="宋体" w:cs="Times New Roman"/>
                <w:color w:val="auto"/>
                <w:highlight w:val="none"/>
                <w:lang w:val="en-US" w:eastAsia="zh-CN"/>
              </w:rPr>
              <w:t>针</w:t>
            </w:r>
            <w:r>
              <w:rPr>
                <w:rFonts w:hint="eastAsia" w:ascii="宋体" w:hAnsi="宋体" w:eastAsia="宋体" w:cs="Times New Roman"/>
                <w:color w:val="auto"/>
                <w:highlight w:val="none"/>
                <w:lang w:val="en-US" w:eastAsia="zh-CN"/>
              </w:rPr>
              <w:t>对</w:t>
            </w:r>
            <w:r>
              <w:rPr>
                <w:rFonts w:hint="eastAsia" w:ascii="宋体" w:hAnsi="宋体" w:eastAsia="宋体" w:cs="Times New Roman"/>
                <w:color w:val="auto"/>
                <w:highlight w:val="none"/>
              </w:rPr>
              <w:t>投标人提供的服务机构的</w:t>
            </w:r>
            <w:r>
              <w:rPr>
                <w:rFonts w:hint="eastAsia" w:ascii="宋体" w:hAnsi="宋体" w:eastAsia="宋体" w:cs="Times New Roman"/>
                <w:color w:val="auto"/>
                <w:highlight w:val="none"/>
                <w:lang w:val="en-US" w:eastAsia="zh-CN"/>
              </w:rPr>
              <w:t>响应时间、</w:t>
            </w:r>
            <w:r>
              <w:rPr>
                <w:rFonts w:hint="eastAsia" w:ascii="宋体" w:hAnsi="宋体" w:eastAsia="宋体" w:cs="Times New Roman"/>
                <w:color w:val="auto"/>
                <w:highlight w:val="none"/>
              </w:rPr>
              <w:t>便捷性进行综合评议（</w:t>
            </w:r>
            <w:r>
              <w:rPr>
                <w:rFonts w:hint="eastAsia" w:ascii="宋体" w:hAnsi="宋体" w:cs="Times New Roman"/>
                <w:color w:val="auto"/>
                <w:highlight w:val="none"/>
                <w:lang w:val="en-US" w:eastAsia="zh-CN"/>
              </w:rPr>
              <w:t>5</w:t>
            </w:r>
            <w:r>
              <w:rPr>
                <w:rFonts w:hint="eastAsia" w:ascii="宋体" w:hAnsi="宋体" w:eastAsia="宋体" w:cs="Times New Roman"/>
                <w:color w:val="auto"/>
                <w:highlight w:val="none"/>
              </w:rPr>
              <w:t>分）</w:t>
            </w:r>
            <w:r>
              <w:rPr>
                <w:rFonts w:hint="eastAsia" w:ascii="宋体" w:hAnsi="宋体" w:eastAsia="宋体" w:cs="Times New Roman"/>
                <w:color w:val="auto"/>
                <w:highlight w:val="none"/>
                <w:lang w:eastAsia="zh-CN"/>
              </w:rPr>
              <w:t>。</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服务响应时间迅速、服务便捷的</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得</w:t>
            </w:r>
            <w:r>
              <w:rPr>
                <w:rFonts w:hint="eastAsia" w:ascii="宋体" w:hAnsi="宋体" w:cs="Times New Roman"/>
                <w:color w:val="auto"/>
                <w:highlight w:val="none"/>
                <w:lang w:val="en-US" w:eastAsia="zh-CN"/>
              </w:rPr>
              <w:t>5</w:t>
            </w:r>
            <w:r>
              <w:rPr>
                <w:rFonts w:hint="eastAsia" w:ascii="宋体" w:hAnsi="宋体" w:eastAsia="宋体" w:cs="Times New Roman"/>
                <w:color w:val="auto"/>
                <w:highlight w:val="none"/>
              </w:rPr>
              <w:t>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服务响应时间较迅速、服务较便捷</w:t>
            </w:r>
            <w:r>
              <w:rPr>
                <w:rFonts w:hint="eastAsia" w:ascii="宋体" w:hAnsi="宋体" w:eastAsia="宋体" w:cs="Times New Roman"/>
                <w:color w:val="auto"/>
                <w:highlight w:val="none"/>
                <w:lang w:val="en-US" w:eastAsia="zh-CN"/>
              </w:rPr>
              <w:t>的，</w:t>
            </w:r>
            <w:r>
              <w:rPr>
                <w:rFonts w:hint="eastAsia" w:ascii="宋体" w:hAnsi="宋体" w:eastAsia="宋体" w:cs="Times New Roman"/>
                <w:color w:val="auto"/>
                <w:highlight w:val="none"/>
              </w:rPr>
              <w:t>得</w:t>
            </w:r>
            <w:r>
              <w:rPr>
                <w:rFonts w:hint="eastAsia" w:ascii="宋体" w:hAnsi="宋体" w:cs="Times New Roman"/>
                <w:color w:val="auto"/>
                <w:highlight w:val="none"/>
                <w:lang w:val="en-US" w:eastAsia="zh-CN"/>
              </w:rPr>
              <w:t>3</w:t>
            </w:r>
            <w:r>
              <w:rPr>
                <w:rFonts w:hint="eastAsia" w:ascii="宋体" w:hAnsi="宋体" w:eastAsia="宋体" w:cs="Times New Roman"/>
                <w:color w:val="auto"/>
                <w:highlight w:val="none"/>
              </w:rPr>
              <w:t>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服务响应时间缓慢，服务不便捷的，得1分。</w:t>
            </w:r>
          </w:p>
          <w:p>
            <w:pPr>
              <w:keepNext w:val="0"/>
              <w:keepLines w:val="0"/>
              <w:pageBreakBefore w:val="0"/>
              <w:kinsoku/>
              <w:wordWrap/>
              <w:overflowPunct/>
              <w:topLinePunct w:val="0"/>
              <w:autoSpaceDE/>
              <w:autoSpaceDN/>
              <w:bidi w:val="0"/>
              <w:adjustRightInd/>
              <w:snapToGrid/>
              <w:spacing w:line="340" w:lineRule="exact"/>
              <w:textAlignment w:val="auto"/>
              <w:rPr>
                <w:color w:val="auto"/>
              </w:rPr>
            </w:pPr>
            <w:r>
              <w:rPr>
                <w:rFonts w:hint="eastAsia" w:ascii="宋体" w:hAnsi="宋体" w:eastAsia="宋体" w:cs="Times New Roman"/>
                <w:color w:val="auto"/>
                <w:highlight w:val="none"/>
              </w:rPr>
              <w:t>没有服务响应方案的不得分。</w:t>
            </w:r>
          </w:p>
        </w:tc>
        <w:tc>
          <w:tcPr>
            <w:tcW w:w="368"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eastAsia="宋体"/>
                <w:color w:val="auto"/>
                <w:highlight w:val="none"/>
                <w:lang w:val="en-US" w:eastAsia="zh-CN"/>
              </w:rPr>
            </w:pPr>
            <w:r>
              <w:rPr>
                <w:rFonts w:hint="eastAsia"/>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47" w:type="pct"/>
            <w:vMerge w:val="continue"/>
            <w:noWrap w:val="0"/>
            <w:vAlign w:val="center"/>
          </w:tcPr>
          <w:p>
            <w:pPr>
              <w:rPr>
                <w:color w:val="auto"/>
                <w:highlight w:val="none"/>
              </w:rPr>
            </w:pPr>
          </w:p>
        </w:tc>
        <w:tc>
          <w:tcPr>
            <w:tcW w:w="532" w:type="pct"/>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业绩</w:t>
            </w:r>
          </w:p>
        </w:tc>
        <w:tc>
          <w:tcPr>
            <w:tcW w:w="3751" w:type="pct"/>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olor w:val="auto"/>
                <w:highlight w:val="none"/>
              </w:rPr>
            </w:pPr>
            <w:r>
              <w:rPr>
                <w:rFonts w:hint="eastAsia" w:ascii="宋体" w:hAnsi="宋体"/>
                <w:color w:val="auto"/>
                <w:highlight w:val="none"/>
              </w:rPr>
              <w:t>投标人</w:t>
            </w:r>
            <w:r>
              <w:rPr>
                <w:rFonts w:hint="eastAsia" w:ascii="宋体" w:hAnsi="宋体" w:eastAsia="宋体" w:cs="Times New Roman"/>
                <w:color w:val="auto"/>
                <w:highlight w:val="none"/>
              </w:rPr>
              <w:t>20</w:t>
            </w:r>
            <w:r>
              <w:rPr>
                <w:rFonts w:hint="eastAsia" w:ascii="宋体" w:hAnsi="宋体" w:eastAsia="宋体" w:cs="Times New Roman"/>
                <w:color w:val="auto"/>
                <w:highlight w:val="none"/>
                <w:lang w:val="en-US" w:eastAsia="zh-CN"/>
              </w:rPr>
              <w:t>21</w:t>
            </w:r>
            <w:r>
              <w:rPr>
                <w:rFonts w:hint="eastAsia" w:ascii="宋体" w:hAnsi="宋体"/>
                <w:color w:val="auto"/>
                <w:highlight w:val="none"/>
              </w:rPr>
              <w:t>年1月1日（以合同签订时间为准）至今承接过类似项目合同业绩得</w:t>
            </w:r>
            <w:r>
              <w:rPr>
                <w:rFonts w:hint="eastAsia" w:ascii="宋体" w:hAnsi="宋体"/>
                <w:color w:val="auto"/>
                <w:highlight w:val="none"/>
                <w:lang w:val="en-US" w:eastAsia="zh-CN"/>
              </w:rPr>
              <w:t>1</w:t>
            </w:r>
            <w:r>
              <w:rPr>
                <w:rFonts w:hint="eastAsia" w:ascii="宋体" w:hAnsi="宋体"/>
                <w:color w:val="auto"/>
                <w:highlight w:val="none"/>
              </w:rPr>
              <w:t>分，最高得</w:t>
            </w:r>
            <w:r>
              <w:rPr>
                <w:rFonts w:hint="eastAsia" w:ascii="宋体" w:hAnsi="宋体"/>
                <w:color w:val="auto"/>
                <w:highlight w:val="none"/>
                <w:lang w:val="en-US" w:eastAsia="zh-CN"/>
              </w:rPr>
              <w:t>1</w:t>
            </w:r>
            <w:r>
              <w:rPr>
                <w:rFonts w:hint="eastAsia" w:ascii="宋体" w:hAnsi="宋体"/>
                <w:color w:val="auto"/>
                <w:highlight w:val="none"/>
              </w:rPr>
              <w:t>分。</w:t>
            </w:r>
          </w:p>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olor w:val="auto"/>
                <w:highlight w:val="none"/>
              </w:rPr>
            </w:pPr>
            <w:r>
              <w:rPr>
                <w:rFonts w:hint="eastAsia" w:ascii="宋体" w:hAnsi="宋体"/>
                <w:color w:val="auto"/>
                <w:highlight w:val="none"/>
                <w:lang w:val="en-US" w:eastAsia="zh-CN"/>
              </w:rPr>
              <w:t>注：</w:t>
            </w:r>
            <w:r>
              <w:rPr>
                <w:rFonts w:hint="eastAsia" w:ascii="宋体" w:hAnsi="宋体"/>
                <w:color w:val="auto"/>
                <w:highlight w:val="none"/>
              </w:rPr>
              <w:t>提供合同复印件加盖公章编入投标文件</w:t>
            </w:r>
          </w:p>
        </w:tc>
        <w:tc>
          <w:tcPr>
            <w:tcW w:w="368"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eastAsia="等线"/>
                <w:color w:val="auto"/>
                <w:highlight w:val="none"/>
                <w:lang w:val="en-US" w:eastAsia="zh-CN"/>
              </w:rPr>
            </w:pPr>
            <w:r>
              <w:rPr>
                <w:rFonts w:hint="eastAsia" w:eastAsia="等线"/>
                <w:color w:val="auto"/>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80" w:type="pct"/>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olor w:val="auto"/>
                <w:highlight w:val="none"/>
              </w:rPr>
            </w:pPr>
            <w:r>
              <w:rPr>
                <w:rFonts w:hint="eastAsia" w:ascii="宋体" w:hAnsi="宋体" w:cs="宋体"/>
                <w:color w:val="auto"/>
                <w:szCs w:val="21"/>
              </w:rPr>
              <w:t>报价分（1</w:t>
            </w:r>
            <w:r>
              <w:rPr>
                <w:rFonts w:hint="eastAsia" w:ascii="宋体" w:hAnsi="宋体" w:cs="宋体"/>
                <w:color w:val="auto"/>
                <w:szCs w:val="21"/>
                <w:lang w:val="en-US" w:eastAsia="zh-CN"/>
              </w:rPr>
              <w:t>5</w:t>
            </w:r>
            <w:r>
              <w:rPr>
                <w:rFonts w:hint="eastAsia" w:ascii="宋体" w:hAnsi="宋体" w:cs="宋体"/>
                <w:color w:val="auto"/>
                <w:szCs w:val="21"/>
              </w:rPr>
              <w:t>分）</w:t>
            </w:r>
          </w:p>
        </w:tc>
        <w:tc>
          <w:tcPr>
            <w:tcW w:w="3751" w:type="pct"/>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宋体" w:hAnsi="宋体" w:cs="宋体"/>
                <w:color w:val="auto"/>
                <w:szCs w:val="21"/>
              </w:rPr>
            </w:pPr>
            <w:r>
              <w:rPr>
                <w:rFonts w:hint="eastAsia" w:ascii="宋体" w:hAnsi="宋体" w:cs="宋体"/>
                <w:color w:val="auto"/>
                <w:szCs w:val="21"/>
              </w:rPr>
              <w:t>评标基准价指的是满足</w:t>
            </w:r>
            <w:r>
              <w:rPr>
                <w:rFonts w:hint="eastAsia" w:ascii="宋体" w:hAnsi="宋体" w:cs="宋体"/>
                <w:color w:val="auto"/>
                <w:szCs w:val="21"/>
                <w:lang w:eastAsia="zh-CN"/>
              </w:rPr>
              <w:t>采购文件</w:t>
            </w:r>
            <w:r>
              <w:rPr>
                <w:rFonts w:hint="eastAsia" w:ascii="宋体" w:hAnsi="宋体" w:cs="宋体"/>
                <w:color w:val="auto"/>
                <w:szCs w:val="21"/>
              </w:rPr>
              <w:t>要求且最低的参与评审的价格。</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lang w:val="en-US" w:eastAsia="zh-CN"/>
              </w:rPr>
            </w:pPr>
            <w:r>
              <w:rPr>
                <w:rFonts w:hint="eastAsia" w:ascii="宋体" w:hAnsi="宋体" w:cs="宋体"/>
                <w:color w:val="auto"/>
                <w:szCs w:val="21"/>
              </w:rPr>
              <w:t>参与评审的价格=</w:t>
            </w:r>
            <w:r>
              <w:rPr>
                <w:rFonts w:hint="eastAsia" w:ascii="宋体" w:hAnsi="宋体" w:cs="宋体"/>
                <w:color w:val="auto"/>
                <w:szCs w:val="21"/>
                <w:lang w:val="en-US" w:eastAsia="zh-CN"/>
              </w:rPr>
              <w:t>一年投标报价</w:t>
            </w:r>
          </w:p>
          <w:p>
            <w:pPr>
              <w:keepNext w:val="0"/>
              <w:keepLines w:val="0"/>
              <w:pageBreakBefore w:val="0"/>
              <w:widowControl/>
              <w:kinsoku/>
              <w:wordWrap/>
              <w:overflowPunct/>
              <w:topLinePunct w:val="0"/>
              <w:autoSpaceDE/>
              <w:autoSpaceDN/>
              <w:bidi w:val="0"/>
              <w:adjustRightInd/>
              <w:snapToGrid/>
              <w:spacing w:line="340" w:lineRule="exact"/>
              <w:textAlignment w:val="auto"/>
              <w:rPr>
                <w:rFonts w:ascii="宋体" w:hAnsi="宋体" w:cs="宋体"/>
                <w:color w:val="auto"/>
                <w:szCs w:val="21"/>
              </w:rPr>
            </w:pPr>
            <w:r>
              <w:rPr>
                <w:rFonts w:hint="eastAsia" w:ascii="宋体" w:hAnsi="宋体" w:cs="宋体"/>
                <w:color w:val="auto"/>
                <w:szCs w:val="21"/>
              </w:rPr>
              <w:t>参与评审的价格为评标基准价的，其价格得分得满分</w:t>
            </w:r>
            <w:r>
              <w:rPr>
                <w:rFonts w:hint="eastAsia" w:ascii="宋体" w:hAnsi="宋体" w:cs="宋体"/>
                <w:color w:val="auto"/>
                <w:szCs w:val="21"/>
                <w:lang w:val="en-US" w:eastAsia="zh-CN"/>
              </w:rPr>
              <w:t>15</w:t>
            </w:r>
            <w:r>
              <w:rPr>
                <w:rFonts w:hint="eastAsia" w:ascii="宋体" w:hAnsi="宋体" w:cs="宋体"/>
                <w:color w:val="auto"/>
                <w:szCs w:val="21"/>
              </w:rPr>
              <w:t>分。</w:t>
            </w:r>
          </w:p>
          <w:p>
            <w:pPr>
              <w:keepNext w:val="0"/>
              <w:keepLines w:val="0"/>
              <w:pageBreakBefore w:val="0"/>
              <w:widowControl/>
              <w:kinsoku/>
              <w:wordWrap/>
              <w:overflowPunct/>
              <w:topLinePunct w:val="0"/>
              <w:autoSpaceDE/>
              <w:autoSpaceDN/>
              <w:bidi w:val="0"/>
              <w:adjustRightInd/>
              <w:snapToGrid/>
              <w:spacing w:line="340" w:lineRule="exact"/>
              <w:textAlignment w:val="auto"/>
              <w:rPr>
                <w:rFonts w:ascii="宋体" w:hAnsi="宋体" w:cs="宋体"/>
                <w:color w:val="auto"/>
                <w:szCs w:val="21"/>
              </w:rPr>
            </w:pPr>
            <w:r>
              <w:rPr>
                <w:rFonts w:hint="eastAsia" w:ascii="宋体" w:hAnsi="宋体" w:cs="宋体"/>
                <w:color w:val="auto"/>
                <w:szCs w:val="21"/>
              </w:rPr>
              <w:t>其他供应商价格得分按照下列公式计算：</w:t>
            </w:r>
          </w:p>
          <w:p>
            <w:pPr>
              <w:keepNext w:val="0"/>
              <w:keepLines w:val="0"/>
              <w:pageBreakBefore w:val="0"/>
              <w:widowControl/>
              <w:kinsoku/>
              <w:wordWrap/>
              <w:overflowPunct/>
              <w:topLinePunct w:val="0"/>
              <w:autoSpaceDE/>
              <w:autoSpaceDN/>
              <w:bidi w:val="0"/>
              <w:adjustRightInd/>
              <w:snapToGrid/>
              <w:spacing w:line="340" w:lineRule="exact"/>
              <w:textAlignment w:val="auto"/>
              <w:rPr>
                <w:rFonts w:ascii="宋体" w:hAnsi="宋体" w:cs="宋体"/>
                <w:color w:val="auto"/>
                <w:szCs w:val="21"/>
              </w:rPr>
            </w:pPr>
            <w:r>
              <w:rPr>
                <w:rFonts w:hint="eastAsia" w:ascii="宋体" w:hAnsi="宋体" w:cs="宋体"/>
                <w:color w:val="auto"/>
                <w:szCs w:val="21"/>
              </w:rPr>
              <w:t>价格得分=（评标基准价/各供应商参与评审的价格）×</w:t>
            </w:r>
            <w:r>
              <w:rPr>
                <w:rFonts w:hint="eastAsia" w:ascii="宋体" w:hAnsi="宋体" w:cs="宋体"/>
                <w:color w:val="auto"/>
                <w:szCs w:val="21"/>
                <w:lang w:val="en-US" w:eastAsia="zh-CN"/>
              </w:rPr>
              <w:t>15</w:t>
            </w:r>
            <w:r>
              <w:rPr>
                <w:rFonts w:hint="eastAsia" w:ascii="宋体" w:hAnsi="宋体" w:cs="宋体"/>
                <w:color w:val="auto"/>
                <w:szCs w:val="21"/>
              </w:rPr>
              <w:t>%×100</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color w:val="auto"/>
                <w:highlight w:val="none"/>
              </w:rPr>
            </w:pPr>
            <w:r>
              <w:rPr>
                <w:rFonts w:hint="eastAsia" w:ascii="宋体" w:hAnsi="宋体" w:cs="宋体"/>
                <w:color w:val="auto"/>
                <w:szCs w:val="21"/>
              </w:rPr>
              <w:t>价格得分小数点后保留2位小数，第3位小数四舍五入。</w:t>
            </w:r>
          </w:p>
        </w:tc>
        <w:tc>
          <w:tcPr>
            <w:tcW w:w="368"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eastAsia="等线"/>
                <w:color w:val="auto"/>
                <w:highlight w:val="none"/>
                <w:lang w:val="en-US" w:eastAsia="zh-CN"/>
              </w:rPr>
            </w:pPr>
            <w:r>
              <w:rPr>
                <w:rFonts w:hint="eastAsia" w:eastAsia="等线"/>
                <w:color w:val="auto"/>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631" w:type="pct"/>
            <w:gridSpan w:val="3"/>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r>
              <w:rPr>
                <w:rFonts w:hint="eastAsia" w:ascii="宋体" w:hAnsi="宋体" w:cs="宋体"/>
                <w:color w:val="auto"/>
                <w:highlight w:val="none"/>
              </w:rPr>
              <w:t>合计</w:t>
            </w:r>
          </w:p>
        </w:tc>
        <w:tc>
          <w:tcPr>
            <w:tcW w:w="368" w:type="pc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color w:val="auto"/>
                <w:highlight w:val="none"/>
              </w:rPr>
            </w:pPr>
            <w:r>
              <w:rPr>
                <w:rFonts w:hint="eastAsia"/>
                <w:color w:val="auto"/>
                <w:highlight w:val="none"/>
              </w:rPr>
              <w:t>100</w:t>
            </w:r>
          </w:p>
        </w:tc>
      </w:tr>
    </w:tbl>
    <w:p>
      <w:pPr>
        <w:snapToGrid w:val="0"/>
        <w:spacing w:line="360" w:lineRule="auto"/>
        <w:rPr>
          <w:rFonts w:ascii="宋体" w:hAnsi="宋体" w:cs="宋体"/>
          <w:b/>
          <w:szCs w:val="21"/>
        </w:rPr>
      </w:pPr>
      <w:r>
        <w:rPr>
          <w:rFonts w:hint="eastAsia" w:ascii="宋体" w:hAnsi="宋体" w:cs="宋体"/>
          <w:szCs w:val="21"/>
        </w:rPr>
        <w:t>注：1、各评标委员会成员自行按以上参考分值评分。2、重大事件由评标委员会集体讨论</w:t>
      </w:r>
      <w:r>
        <w:rPr>
          <w:rFonts w:hint="eastAsia" w:ascii="宋体" w:hAnsi="宋体" w:cs="宋体"/>
          <w:bCs/>
        </w:rPr>
        <w:t>，以少数服从多数原则决定。</w:t>
      </w:r>
    </w:p>
    <w:p>
      <w:pPr>
        <w:pStyle w:val="28"/>
        <w:snapToGrid w:val="0"/>
        <w:spacing w:before="0" w:beforeLines="0" w:after="0" w:afterLines="0" w:line="360" w:lineRule="auto"/>
        <w:ind w:firstLine="422" w:firstLineChars="200"/>
        <w:rPr>
          <w:rFonts w:hAnsi="宋体" w:cs="宋体"/>
          <w:b/>
        </w:rPr>
      </w:pPr>
      <w:bookmarkStart w:id="78" w:name="_Toc9029"/>
      <w:bookmarkStart w:id="79" w:name="_Toc14242"/>
    </w:p>
    <w:p>
      <w:pPr>
        <w:pStyle w:val="28"/>
        <w:snapToGrid w:val="0"/>
        <w:spacing w:before="0" w:beforeLines="0" w:after="0" w:afterLines="0" w:line="360" w:lineRule="auto"/>
        <w:ind w:firstLine="422" w:firstLineChars="200"/>
        <w:rPr>
          <w:rFonts w:hint="default" w:hAnsi="宋体" w:cs="宋体"/>
          <w:b/>
        </w:rPr>
      </w:pPr>
      <w:r>
        <w:rPr>
          <w:rFonts w:hAnsi="宋体" w:cs="宋体"/>
          <w:b/>
        </w:rPr>
        <w:t>六、定标</w:t>
      </w:r>
      <w:bookmarkEnd w:id="78"/>
    </w:p>
    <w:p>
      <w:pPr>
        <w:pStyle w:val="28"/>
        <w:snapToGrid w:val="0"/>
        <w:spacing w:before="0" w:beforeLines="0" w:after="0" w:afterLines="0" w:line="360" w:lineRule="auto"/>
        <w:ind w:firstLine="413" w:firstLineChars="196"/>
        <w:rPr>
          <w:rFonts w:hint="default" w:hAnsi="宋体" w:cs="宋体"/>
          <w:b/>
          <w:bCs/>
        </w:rPr>
      </w:pPr>
      <w:r>
        <w:rPr>
          <w:rFonts w:hAnsi="宋体" w:cs="宋体"/>
          <w:b/>
          <w:bCs/>
        </w:rPr>
        <w:t>（一）确定中标人。本项目由采购人（或采购人事先授权评标委员会）确定中标人。</w:t>
      </w:r>
    </w:p>
    <w:p>
      <w:pPr>
        <w:snapToGrid w:val="0"/>
        <w:spacing w:line="360" w:lineRule="auto"/>
        <w:ind w:firstLine="420" w:firstLineChars="200"/>
        <w:rPr>
          <w:rFonts w:ascii="宋体" w:hAnsi="宋体" w:cs="宋体"/>
          <w:szCs w:val="21"/>
        </w:rPr>
      </w:pPr>
      <w:r>
        <w:rPr>
          <w:rFonts w:hint="eastAsia" w:ascii="宋体" w:hAnsi="宋体" w:cs="宋体"/>
          <w:szCs w:val="21"/>
        </w:rPr>
        <w:t>1.采购代理机构在评标结束后将评标报告交采购人确认。</w:t>
      </w:r>
    </w:p>
    <w:p>
      <w:pPr>
        <w:snapToGrid w:val="0"/>
        <w:spacing w:line="360" w:lineRule="auto"/>
        <w:ind w:firstLine="420" w:firstLineChars="200"/>
        <w:rPr>
          <w:rFonts w:ascii="宋体" w:hAnsi="宋体" w:cs="宋体"/>
          <w:szCs w:val="21"/>
        </w:rPr>
      </w:pPr>
      <w:r>
        <w:rPr>
          <w:rFonts w:hint="eastAsia" w:ascii="宋体" w:hAnsi="宋体" w:cs="宋体"/>
          <w:szCs w:val="21"/>
        </w:rPr>
        <w:t>2.供应商对评标结果无异议的，采购人应在收到评标报告后5个工作日内对评标结果进行确认，按评标报告推荐的顺序确定排名第一的中标候选人为中标人。如有供应商对评标结果提出质疑的，采购人可在质疑处理完毕后确定中标人。</w:t>
      </w:r>
    </w:p>
    <w:p>
      <w:pPr>
        <w:snapToGrid w:val="0"/>
        <w:spacing w:line="360" w:lineRule="auto"/>
        <w:ind w:firstLine="420" w:firstLineChars="200"/>
        <w:rPr>
          <w:rFonts w:ascii="宋体" w:hAnsi="宋体" w:cs="宋体"/>
          <w:szCs w:val="21"/>
        </w:rPr>
      </w:pPr>
      <w:r>
        <w:rPr>
          <w:rFonts w:hint="eastAsia" w:ascii="宋体" w:hAnsi="宋体" w:cs="宋体"/>
          <w:szCs w:val="21"/>
        </w:rPr>
        <w:t>3.采购人依法确定中标人后2个工作日内，采购代理机构以书面形式发出《中标通知书》,并同时在相关网站上发布中标公告。</w:t>
      </w:r>
    </w:p>
    <w:p>
      <w:pPr>
        <w:snapToGrid w:val="0"/>
        <w:spacing w:line="360" w:lineRule="auto"/>
        <w:ind w:firstLine="420" w:firstLineChars="200"/>
        <w:rPr>
          <w:rFonts w:ascii="宋体" w:hAnsi="宋体" w:cs="宋体"/>
          <w:szCs w:val="21"/>
          <w:lang w:bidi="ar"/>
        </w:rPr>
      </w:pPr>
      <w:r>
        <w:rPr>
          <w:rFonts w:hint="eastAsia" w:ascii="宋体" w:hAnsi="宋体" w:cs="宋体"/>
          <w:szCs w:val="21"/>
        </w:rPr>
        <w:t>4.</w:t>
      </w:r>
      <w:r>
        <w:rPr>
          <w:rFonts w:hint="eastAsia" w:ascii="宋体" w:hAnsi="宋体" w:cs="宋体"/>
          <w:szCs w:val="21"/>
          <w:lang w:bidi="ar"/>
        </w:rPr>
        <w:t>若中标人放弃中标，或因不可抗力提出不能履行合同，或不按</w:t>
      </w:r>
      <w:r>
        <w:rPr>
          <w:rFonts w:hint="eastAsia" w:ascii="宋体" w:hAnsi="宋体" w:cs="宋体"/>
          <w:szCs w:val="21"/>
          <w:lang w:eastAsia="zh-CN" w:bidi="ar"/>
        </w:rPr>
        <w:t>采购文件</w:t>
      </w:r>
      <w:r>
        <w:rPr>
          <w:rFonts w:hint="eastAsia" w:ascii="宋体" w:hAnsi="宋体" w:cs="宋体"/>
          <w:szCs w:val="21"/>
          <w:lang w:bidi="ar"/>
        </w:rPr>
        <w:t>规定提交履约担保，或其它原因被依法撤销中标资格，则采购人可确定排名次之的中标候选人为中标人或重新组织招标。</w:t>
      </w:r>
    </w:p>
    <w:p>
      <w:pPr>
        <w:snapToGrid w:val="0"/>
        <w:spacing w:line="360" w:lineRule="auto"/>
        <w:ind w:firstLine="422" w:firstLineChars="200"/>
        <w:rPr>
          <w:rFonts w:ascii="宋体" w:hAnsi="宋体" w:cs="宋体"/>
          <w:b/>
          <w:bCs/>
          <w:szCs w:val="21"/>
          <w:lang w:bidi="ar"/>
        </w:rPr>
      </w:pPr>
      <w:r>
        <w:rPr>
          <w:rFonts w:hint="eastAsia" w:ascii="宋体" w:hAnsi="宋体" w:cs="宋体"/>
          <w:b/>
          <w:bCs/>
          <w:szCs w:val="21"/>
          <w:lang w:bidi="ar"/>
        </w:rPr>
        <w:t>七、评标过程的监控与保密</w:t>
      </w:r>
    </w:p>
    <w:p>
      <w:pPr>
        <w:snapToGrid w:val="0"/>
        <w:spacing w:line="360" w:lineRule="auto"/>
        <w:ind w:firstLine="420" w:firstLineChars="200"/>
        <w:rPr>
          <w:rFonts w:ascii="宋体" w:hAnsi="宋体" w:cs="宋体"/>
          <w:szCs w:val="21"/>
          <w:lang w:bidi="ar"/>
        </w:rPr>
      </w:pPr>
      <w:r>
        <w:rPr>
          <w:rFonts w:hint="eastAsia" w:ascii="宋体" w:hAnsi="宋体" w:cs="宋体"/>
          <w:szCs w:val="21"/>
          <w:lang w:bidi="ar"/>
        </w:rPr>
        <w:t>1、本项目评标过程实行全程录音、录像监控，供应商在评标过程中所进行的试图影响评标结果的不公正活动，可能导致其投标被拒绝。</w:t>
      </w:r>
    </w:p>
    <w:p>
      <w:pPr>
        <w:snapToGrid w:val="0"/>
        <w:spacing w:line="360" w:lineRule="auto"/>
        <w:ind w:firstLine="420" w:firstLineChars="200"/>
        <w:rPr>
          <w:rFonts w:ascii="宋体" w:hAnsi="宋体" w:cs="宋体"/>
          <w:szCs w:val="21"/>
          <w:lang w:bidi="ar"/>
        </w:rPr>
      </w:pPr>
      <w:r>
        <w:rPr>
          <w:rFonts w:hint="eastAsia" w:ascii="宋体" w:hAnsi="宋体" w:cs="宋体"/>
          <w:szCs w:val="21"/>
          <w:lang w:bidi="ar"/>
        </w:rPr>
        <w:t>2、开标后到中标通知书发出之前，所有涉及评标委员会名单以及对投标文件的澄清、评价、比较等情况，评标委员会成员、采购人和采购代理机构的有关人员均不得向供应商或其他无关人员透露。</w:t>
      </w:r>
    </w:p>
    <w:p>
      <w:pPr>
        <w:snapToGrid w:val="0"/>
        <w:spacing w:line="360" w:lineRule="auto"/>
        <w:ind w:firstLine="413" w:firstLineChars="196"/>
        <w:rPr>
          <w:rFonts w:ascii="宋体" w:hAnsi="宋体" w:cs="宋体"/>
          <w:b/>
          <w:bCs/>
          <w:szCs w:val="21"/>
        </w:rPr>
      </w:pPr>
      <w:bookmarkStart w:id="80" w:name="_Toc17747"/>
      <w:r>
        <w:rPr>
          <w:rFonts w:hint="eastAsia" w:ascii="宋体" w:hAnsi="宋体" w:cs="宋体"/>
          <w:b/>
          <w:szCs w:val="21"/>
        </w:rPr>
        <w:t>八、合同授予</w:t>
      </w:r>
      <w:bookmarkEnd w:id="80"/>
      <w:r>
        <w:rPr>
          <w:rFonts w:hint="eastAsia" w:ascii="宋体" w:hAnsi="宋体" w:cs="宋体"/>
          <w:b/>
          <w:szCs w:val="21"/>
        </w:rPr>
        <w:t>：</w:t>
      </w:r>
      <w:r>
        <w:rPr>
          <w:rFonts w:hint="eastAsia" w:ascii="宋体" w:hAnsi="宋体" w:cs="宋体"/>
          <w:b/>
          <w:bCs/>
          <w:szCs w:val="21"/>
        </w:rPr>
        <w:t>签订合同</w:t>
      </w:r>
    </w:p>
    <w:p>
      <w:pPr>
        <w:snapToGrid w:val="0"/>
        <w:spacing w:line="360" w:lineRule="auto"/>
        <w:ind w:firstLine="420" w:firstLineChars="200"/>
        <w:rPr>
          <w:rFonts w:ascii="宋体" w:hAnsi="宋体" w:cs="宋体"/>
          <w:kern w:val="0"/>
          <w:szCs w:val="21"/>
        </w:rPr>
      </w:pPr>
      <w:r>
        <w:rPr>
          <w:rFonts w:hint="eastAsia" w:ascii="宋体" w:hAnsi="宋体" w:cs="宋体"/>
          <w:szCs w:val="21"/>
        </w:rPr>
        <w:t>1.</w:t>
      </w:r>
      <w:r>
        <w:rPr>
          <w:rFonts w:hint="eastAsia" w:ascii="宋体" w:hAnsi="宋体" w:cs="宋体"/>
          <w:kern w:val="0"/>
          <w:szCs w:val="21"/>
        </w:rPr>
        <w:t>采购人应当自中标通知书发出之日起30日内，按照</w:t>
      </w:r>
      <w:r>
        <w:rPr>
          <w:rFonts w:hint="eastAsia" w:ascii="宋体" w:hAnsi="宋体" w:cs="宋体"/>
          <w:kern w:val="0"/>
          <w:szCs w:val="21"/>
          <w:lang w:eastAsia="zh-CN"/>
        </w:rPr>
        <w:t>采购文件</w:t>
      </w:r>
      <w:r>
        <w:rPr>
          <w:rFonts w:hint="eastAsia" w:ascii="宋体" w:hAnsi="宋体" w:cs="宋体"/>
          <w:kern w:val="0"/>
          <w:szCs w:val="21"/>
        </w:rPr>
        <w:t>和中标人投标文件的规定，与中标人签订书面合同。所签订的合同不得对</w:t>
      </w:r>
      <w:r>
        <w:rPr>
          <w:rFonts w:hint="eastAsia" w:ascii="宋体" w:hAnsi="宋体" w:cs="宋体"/>
          <w:kern w:val="0"/>
          <w:szCs w:val="21"/>
          <w:lang w:eastAsia="zh-CN"/>
        </w:rPr>
        <w:t>采购文件</w:t>
      </w:r>
      <w:r>
        <w:rPr>
          <w:rFonts w:hint="eastAsia" w:ascii="宋体" w:hAnsi="宋体" w:cs="宋体"/>
          <w:kern w:val="0"/>
          <w:szCs w:val="21"/>
        </w:rPr>
        <w:t>确定的事项和中标人投标文件作实质性修改。</w:t>
      </w:r>
    </w:p>
    <w:p>
      <w:pPr>
        <w:snapToGrid w:val="0"/>
        <w:spacing w:line="360" w:lineRule="auto"/>
        <w:ind w:firstLine="420" w:firstLineChars="200"/>
        <w:rPr>
          <w:rFonts w:ascii="宋体" w:hAnsi="宋体" w:cs="宋体"/>
          <w:szCs w:val="21"/>
        </w:rPr>
      </w:pPr>
      <w:r>
        <w:rPr>
          <w:rFonts w:hint="eastAsia" w:ascii="宋体" w:hAnsi="宋体" w:cs="宋体"/>
          <w:kern w:val="0"/>
          <w:szCs w:val="21"/>
        </w:rPr>
        <w:t>采购人不得向中标人提出任何不合理的要求作为签订合同的条件。</w:t>
      </w:r>
    </w:p>
    <w:p>
      <w:pPr>
        <w:pStyle w:val="28"/>
        <w:snapToGrid w:val="0"/>
        <w:spacing w:before="0" w:beforeLines="0" w:after="0" w:afterLines="0" w:line="360" w:lineRule="auto"/>
        <w:ind w:firstLine="411" w:firstLineChars="196"/>
        <w:rPr>
          <w:rFonts w:hint="default" w:hAnsi="宋体" w:cs="宋体"/>
          <w:bCs/>
        </w:rPr>
      </w:pPr>
      <w:r>
        <w:rPr>
          <w:rFonts w:hAnsi="宋体" w:cs="宋体"/>
          <w:bCs/>
        </w:rPr>
        <w:t>2</w:t>
      </w:r>
      <w:r>
        <w:rPr>
          <w:rFonts w:hAnsi="宋体" w:cs="宋体"/>
        </w:rPr>
        <w:t>.</w:t>
      </w:r>
      <w:r>
        <w:rPr>
          <w:rFonts w:hAnsi="宋体" w:cs="宋体"/>
          <w:bCs/>
        </w:rPr>
        <w:t>采购人在签订合同时，在合同金额变更范围内，如需审批的办理相关审批手续。有权变更采购项目的数量和服务内容，但不能对单价或其他条款和条件作任何改变。</w:t>
      </w:r>
    </w:p>
    <w:p>
      <w:pPr>
        <w:pStyle w:val="28"/>
        <w:snapToGrid w:val="0"/>
        <w:spacing w:before="0" w:beforeLines="0" w:after="0" w:afterLines="0" w:line="360" w:lineRule="auto"/>
        <w:ind w:firstLine="411" w:firstLineChars="196"/>
        <w:rPr>
          <w:rFonts w:hint="default" w:hAnsi="宋体" w:cs="宋体"/>
          <w:bCs/>
        </w:rPr>
      </w:pPr>
      <w:r>
        <w:rPr>
          <w:rFonts w:hAnsi="宋体" w:cs="宋体"/>
          <w:bCs/>
        </w:rPr>
        <w:t>3</w:t>
      </w:r>
      <w:r>
        <w:rPr>
          <w:rFonts w:hAnsi="宋体" w:cs="宋体"/>
        </w:rPr>
        <w:t>.</w:t>
      </w:r>
      <w:r>
        <w:rPr>
          <w:rFonts w:hint="eastAsia" w:hAnsi="宋体" w:cs="宋体"/>
          <w:bCs/>
          <w:lang w:eastAsia="zh-CN"/>
        </w:rPr>
        <w:t>采购文件</w:t>
      </w:r>
      <w:r>
        <w:rPr>
          <w:rFonts w:hAnsi="宋体" w:cs="宋体"/>
          <w:bCs/>
        </w:rPr>
        <w:t>、中标人的投标文件及评标过程中有关的澄清文件均应作为合同签订的附件。</w:t>
      </w:r>
    </w:p>
    <w:p>
      <w:pPr>
        <w:pStyle w:val="28"/>
        <w:snapToGrid w:val="0"/>
        <w:spacing w:before="0" w:beforeLines="0" w:after="0" w:afterLines="0" w:line="360" w:lineRule="auto"/>
        <w:ind w:firstLine="411" w:firstLineChars="196"/>
        <w:rPr>
          <w:rFonts w:hint="default" w:hAnsi="宋体" w:cs="宋体"/>
          <w:bCs/>
        </w:rPr>
      </w:pPr>
      <w:r>
        <w:rPr>
          <w:rFonts w:hAnsi="宋体" w:cs="宋体"/>
          <w:bCs/>
        </w:rPr>
        <w:t>4</w:t>
      </w:r>
      <w:r>
        <w:rPr>
          <w:rFonts w:hAnsi="宋体" w:cs="宋体"/>
        </w:rPr>
        <w:t>.</w:t>
      </w:r>
      <w:r>
        <w:rPr>
          <w:rFonts w:hAnsi="宋体" w:cs="宋体"/>
          <w:bCs/>
        </w:rPr>
        <w:t>中标或者成交供应商拒绝与采购人签订合同的，采购人应重新招标。</w:t>
      </w:r>
    </w:p>
    <w:p>
      <w:pPr>
        <w:pStyle w:val="28"/>
        <w:snapToGrid w:val="0"/>
        <w:spacing w:before="0" w:beforeLines="0" w:after="0" w:afterLines="0" w:line="360" w:lineRule="auto"/>
        <w:ind w:firstLine="411" w:firstLineChars="196"/>
        <w:rPr>
          <w:rFonts w:hint="default" w:hAnsi="宋体" w:cs="宋体"/>
          <w:bCs/>
        </w:rPr>
      </w:pPr>
      <w:r>
        <w:rPr>
          <w:rFonts w:hAnsi="宋体" w:cs="宋体"/>
          <w:bCs/>
        </w:rPr>
        <w:t>5.中标人如不遵守</w:t>
      </w:r>
      <w:r>
        <w:rPr>
          <w:rFonts w:hint="eastAsia" w:hAnsi="宋体" w:cs="宋体"/>
          <w:bCs/>
          <w:lang w:eastAsia="zh-CN"/>
        </w:rPr>
        <w:t>采购文件</w:t>
      </w:r>
      <w:r>
        <w:rPr>
          <w:rFonts w:hAnsi="宋体" w:cs="宋体"/>
          <w:bCs/>
        </w:rPr>
        <w:t>或投标文件各项条款的邀约与要约，或在接到中标通知书后借故拖延，拒签合同的，采购人将按《浙江省政府采购供应商注册及诚信管理暂行办法》的规定上报诚信状况。给采购人造成的损失的还应当予以赔偿。</w:t>
      </w:r>
    </w:p>
    <w:p>
      <w:pPr>
        <w:pStyle w:val="192"/>
        <w:ind w:firstLine="0" w:firstLineChars="0"/>
        <w:jc w:val="center"/>
        <w:outlineLvl w:val="0"/>
        <w:rPr>
          <w:rFonts w:ascii="宋体" w:hAnsi="宋体" w:cs="宋体"/>
          <w:b/>
          <w:bCs/>
          <w:sz w:val="32"/>
          <w:szCs w:val="32"/>
        </w:rPr>
      </w:pPr>
      <w:r>
        <w:rPr>
          <w:rFonts w:hint="eastAsia" w:ascii="宋体" w:hAnsi="宋体" w:cs="宋体"/>
          <w:bCs/>
        </w:rPr>
        <w:br w:type="page"/>
      </w:r>
      <w:bookmarkStart w:id="81" w:name="_Toc30567"/>
      <w:r>
        <w:rPr>
          <w:rFonts w:hint="eastAsia" w:ascii="宋体" w:hAnsi="宋体" w:cs="宋体"/>
          <w:b/>
          <w:sz w:val="32"/>
          <w:szCs w:val="32"/>
        </w:rPr>
        <w:t>第五章  政府采购合同主要条款</w:t>
      </w:r>
      <w:bookmarkEnd w:id="79"/>
      <w:bookmarkEnd w:id="81"/>
    </w:p>
    <w:p>
      <w:pPr>
        <w:snapToGrid w:val="0"/>
        <w:spacing w:before="120" w:beforeLines="50" w:after="120" w:afterLines="50"/>
        <w:jc w:val="center"/>
        <w:rPr>
          <w:rFonts w:ascii="宋体" w:hAnsi="宋体" w:cs="宋体"/>
          <w:b/>
          <w:bCs/>
          <w:sz w:val="30"/>
          <w:szCs w:val="32"/>
        </w:rPr>
      </w:pPr>
      <w:r>
        <w:rPr>
          <w:rFonts w:hint="eastAsia" w:ascii="宋体" w:hAnsi="宋体" w:cs="宋体"/>
          <w:b/>
          <w:sz w:val="30"/>
          <w:szCs w:val="32"/>
        </w:rPr>
        <w:t>采购合同（供参考）</w:t>
      </w:r>
    </w:p>
    <w:p>
      <w:pPr>
        <w:widowControl/>
        <w:spacing w:line="360" w:lineRule="auto"/>
        <w:contextualSpacing/>
        <w:jc w:val="left"/>
        <w:rPr>
          <w:rFonts w:ascii="宋体" w:hAnsi="宋体" w:cs="宋体"/>
          <w:b/>
          <w:szCs w:val="21"/>
        </w:rPr>
      </w:pPr>
      <w:r>
        <w:rPr>
          <w:rFonts w:hint="eastAsia" w:ascii="宋体" w:hAnsi="宋体" w:cs="宋体"/>
          <w:b/>
          <w:szCs w:val="21"/>
        </w:rPr>
        <w:t>（本合同条款为参考格式，具体由甲乙双方协商签订，与前款冲突之处以前款约定为准）</w:t>
      </w:r>
    </w:p>
    <w:p>
      <w:pPr>
        <w:rPr>
          <w:rFonts w:ascii="宋体" w:hAnsi="宋体" w:cs="宋体"/>
          <w:sz w:val="24"/>
          <w:highlight w:val="none"/>
        </w:rPr>
      </w:pPr>
    </w:p>
    <w:p>
      <w:pPr>
        <w:spacing w:line="380" w:lineRule="exact"/>
        <w:rPr>
          <w:rFonts w:ascii="宋体" w:hAnsi="宋体" w:cs="宋体"/>
          <w:b/>
          <w:sz w:val="21"/>
          <w:szCs w:val="21"/>
          <w:highlight w:val="none"/>
        </w:rPr>
      </w:pPr>
      <w:r>
        <w:rPr>
          <w:rFonts w:hint="eastAsia" w:ascii="宋体" w:hAnsi="宋体" w:cs="宋体"/>
          <w:b/>
          <w:sz w:val="21"/>
          <w:szCs w:val="21"/>
          <w:highlight w:val="none"/>
        </w:rPr>
        <w:t>甲    方</w:t>
      </w:r>
      <w:r>
        <w:rPr>
          <w:rFonts w:hint="eastAsia" w:ascii="宋体" w:hAnsi="宋体" w:cs="宋体"/>
          <w:sz w:val="21"/>
          <w:szCs w:val="21"/>
          <w:highlight w:val="none"/>
        </w:rPr>
        <w:t>（采购人）</w:t>
      </w:r>
      <w:r>
        <w:rPr>
          <w:rFonts w:hint="eastAsia" w:ascii="宋体" w:hAnsi="宋体" w:cs="宋体"/>
          <w:b/>
          <w:sz w:val="21"/>
          <w:szCs w:val="21"/>
          <w:highlight w:val="none"/>
        </w:rPr>
        <w:t>：</w:t>
      </w:r>
      <w:r>
        <w:rPr>
          <w:rFonts w:hint="eastAsia" w:ascii="宋体" w:hAnsi="宋体" w:cs="宋体"/>
          <w:b/>
          <w:sz w:val="21"/>
          <w:szCs w:val="21"/>
          <w:highlight w:val="none"/>
          <w:u w:val="single"/>
        </w:rPr>
        <w:t xml:space="preserve">                 </w:t>
      </w:r>
    </w:p>
    <w:p>
      <w:pPr>
        <w:spacing w:line="380" w:lineRule="exact"/>
        <w:rPr>
          <w:rFonts w:ascii="宋体" w:hAnsi="宋体" w:cs="宋体"/>
          <w:sz w:val="21"/>
          <w:szCs w:val="21"/>
          <w:highlight w:val="none"/>
        </w:rPr>
      </w:pPr>
      <w:r>
        <w:rPr>
          <w:rFonts w:hint="eastAsia" w:ascii="宋体" w:hAnsi="宋体" w:cs="宋体"/>
          <w:sz w:val="21"/>
          <w:szCs w:val="21"/>
          <w:highlight w:val="none"/>
        </w:rPr>
        <w:t>电    话：           　   传  真：           地  址：</w:t>
      </w:r>
    </w:p>
    <w:p>
      <w:pPr>
        <w:spacing w:line="380" w:lineRule="exact"/>
        <w:rPr>
          <w:rFonts w:ascii="宋体" w:hAnsi="宋体" w:cs="宋体"/>
          <w:b/>
          <w:sz w:val="21"/>
          <w:szCs w:val="21"/>
          <w:highlight w:val="none"/>
        </w:rPr>
      </w:pPr>
    </w:p>
    <w:p>
      <w:pPr>
        <w:spacing w:line="380" w:lineRule="exact"/>
        <w:rPr>
          <w:rFonts w:ascii="宋体" w:hAnsi="宋体" w:cs="宋体"/>
          <w:sz w:val="21"/>
          <w:szCs w:val="21"/>
          <w:highlight w:val="none"/>
        </w:rPr>
      </w:pPr>
      <w:r>
        <w:rPr>
          <w:rFonts w:hint="eastAsia" w:ascii="宋体" w:hAnsi="宋体" w:cs="宋体"/>
          <w:b/>
          <w:sz w:val="21"/>
          <w:szCs w:val="21"/>
          <w:highlight w:val="none"/>
        </w:rPr>
        <w:t>乙    方</w:t>
      </w:r>
      <w:r>
        <w:rPr>
          <w:rFonts w:hint="eastAsia" w:ascii="宋体" w:hAnsi="宋体" w:cs="宋体"/>
          <w:sz w:val="21"/>
          <w:szCs w:val="21"/>
          <w:highlight w:val="none"/>
        </w:rPr>
        <w:t>（中标人）</w:t>
      </w:r>
      <w:r>
        <w:rPr>
          <w:rFonts w:hint="eastAsia" w:ascii="宋体" w:hAnsi="宋体" w:cs="宋体"/>
          <w:b/>
          <w:sz w:val="21"/>
          <w:szCs w:val="21"/>
          <w:highlight w:val="none"/>
        </w:rPr>
        <w:t>：</w:t>
      </w:r>
      <w:r>
        <w:rPr>
          <w:rFonts w:hint="eastAsia" w:ascii="宋体" w:hAnsi="宋体" w:cs="宋体"/>
          <w:b/>
          <w:sz w:val="21"/>
          <w:szCs w:val="21"/>
          <w:highlight w:val="none"/>
          <w:u w:val="single"/>
        </w:rPr>
        <w:t xml:space="preserve">                  </w:t>
      </w:r>
      <w:r>
        <w:rPr>
          <w:rFonts w:hint="eastAsia" w:ascii="宋体" w:hAnsi="宋体" w:cs="宋体"/>
          <w:b/>
          <w:sz w:val="21"/>
          <w:szCs w:val="21"/>
          <w:highlight w:val="none"/>
        </w:rPr>
        <w:br w:type="textWrapping"/>
      </w:r>
      <w:r>
        <w:rPr>
          <w:rFonts w:hint="eastAsia" w:ascii="宋体" w:hAnsi="宋体" w:cs="宋体"/>
          <w:sz w:val="21"/>
          <w:szCs w:val="21"/>
          <w:highlight w:val="none"/>
        </w:rPr>
        <w:t xml:space="preserve">电    话：                传  真：           地  址：   </w:t>
      </w:r>
    </w:p>
    <w:p>
      <w:pPr>
        <w:spacing w:line="380" w:lineRule="exact"/>
        <w:ind w:firstLine="420" w:firstLineChars="200"/>
        <w:rPr>
          <w:rFonts w:ascii="宋体" w:hAnsi="宋体" w:cs="宋体"/>
          <w:sz w:val="21"/>
          <w:szCs w:val="21"/>
          <w:highlight w:val="none"/>
        </w:rPr>
      </w:pPr>
      <w:r>
        <w:rPr>
          <w:rFonts w:hint="eastAsia" w:ascii="宋体" w:hAnsi="宋体" w:cs="宋体"/>
          <w:sz w:val="21"/>
          <w:szCs w:val="21"/>
          <w:highlight w:val="none"/>
        </w:rPr>
        <w:t>根据</w:t>
      </w:r>
      <w:r>
        <w:rPr>
          <w:rFonts w:hint="eastAsia" w:ascii="宋体" w:hAnsi="宋体" w:cs="宋体"/>
          <w:sz w:val="21"/>
          <w:szCs w:val="21"/>
          <w:highlight w:val="none"/>
          <w:u w:val="single"/>
        </w:rPr>
        <w:t xml:space="preserve">  （项目名称）  </w:t>
      </w:r>
      <w:r>
        <w:rPr>
          <w:rFonts w:hint="eastAsia" w:ascii="宋体" w:hAnsi="宋体" w:cs="宋体"/>
          <w:sz w:val="21"/>
          <w:szCs w:val="21"/>
          <w:highlight w:val="none"/>
        </w:rPr>
        <w:t>（项目编号：</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）的采购结果，按照《中华人民共和国政府采购法》及其实施条例、87号令、《</w:t>
      </w:r>
      <w:r>
        <w:rPr>
          <w:rFonts w:hint="eastAsia" w:ascii="宋体" w:hAnsi="宋体" w:cs="宋体"/>
          <w:sz w:val="21"/>
          <w:szCs w:val="21"/>
          <w:highlight w:val="none"/>
          <w:lang w:val="en-US" w:eastAsia="zh-CN"/>
        </w:rPr>
        <w:t>民法典</w:t>
      </w:r>
      <w:r>
        <w:rPr>
          <w:rFonts w:hint="eastAsia" w:ascii="宋体" w:hAnsi="宋体" w:cs="宋体"/>
          <w:sz w:val="21"/>
          <w:szCs w:val="21"/>
          <w:highlight w:val="none"/>
        </w:rPr>
        <w:t>》的规定，</w:t>
      </w:r>
      <w:r>
        <w:rPr>
          <w:rFonts w:hint="eastAsia" w:ascii="宋体" w:hAnsi="宋体" w:cs="宋体"/>
          <w:kern w:val="28"/>
          <w:sz w:val="21"/>
          <w:szCs w:val="21"/>
          <w:highlight w:val="none"/>
        </w:rPr>
        <w:t>经双方协商，</w:t>
      </w:r>
      <w:r>
        <w:rPr>
          <w:rFonts w:hint="eastAsia" w:ascii="宋体" w:hAnsi="宋体" w:cs="宋体"/>
          <w:sz w:val="21"/>
          <w:szCs w:val="21"/>
          <w:highlight w:val="none"/>
        </w:rPr>
        <w:t>本着平等互利和诚实信用的原则，</w:t>
      </w:r>
      <w:r>
        <w:rPr>
          <w:rFonts w:hint="eastAsia" w:ascii="宋体" w:hAnsi="宋体" w:cs="宋体"/>
          <w:kern w:val="28"/>
          <w:sz w:val="21"/>
          <w:szCs w:val="21"/>
          <w:highlight w:val="none"/>
        </w:rPr>
        <w:t>一致同意签订本合同如下</w:t>
      </w:r>
      <w:r>
        <w:rPr>
          <w:rFonts w:hint="eastAsia" w:ascii="宋体" w:hAnsi="宋体" w:cs="宋体"/>
          <w:sz w:val="21"/>
          <w:szCs w:val="21"/>
          <w:highlight w:val="none"/>
        </w:rPr>
        <w:t>。</w:t>
      </w:r>
    </w:p>
    <w:p>
      <w:pPr>
        <w:spacing w:line="380" w:lineRule="exact"/>
        <w:rPr>
          <w:rFonts w:ascii="宋体" w:hAnsi="宋体" w:cs="宋体"/>
          <w:sz w:val="21"/>
          <w:szCs w:val="21"/>
          <w:highlight w:val="none"/>
        </w:rPr>
      </w:pPr>
      <w:r>
        <w:rPr>
          <w:rFonts w:hint="eastAsia" w:ascii="宋体" w:hAnsi="宋体" w:cs="宋体"/>
          <w:sz w:val="21"/>
          <w:szCs w:val="21"/>
          <w:highlight w:val="none"/>
        </w:rPr>
        <w:t>一、</w:t>
      </w:r>
      <w:bookmarkStart w:id="82" w:name="_Toc435540759"/>
      <w:r>
        <w:rPr>
          <w:rFonts w:hint="eastAsia" w:ascii="宋体" w:hAnsi="宋体" w:cs="宋体"/>
          <w:sz w:val="21"/>
          <w:szCs w:val="21"/>
          <w:highlight w:val="none"/>
        </w:rPr>
        <w:t>合同金额</w:t>
      </w:r>
      <w:bookmarkEnd w:id="82"/>
    </w:p>
    <w:tbl>
      <w:tblPr>
        <w:tblStyle w:val="49"/>
        <w:tblW w:w="7793"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33"/>
        <w:gridCol w:w="1140"/>
        <w:gridCol w:w="1140"/>
        <w:gridCol w:w="1140"/>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bookmarkStart w:id="83" w:name="_Toc435540760"/>
            <w:r>
              <w:rPr>
                <w:rFonts w:hint="eastAsia" w:ascii="宋体" w:hAnsi="宋体" w:eastAsia="宋体" w:cs="宋体"/>
                <w:i w:val="0"/>
                <w:iCs w:val="0"/>
                <w:color w:val="auto"/>
                <w:kern w:val="0"/>
                <w:sz w:val="21"/>
                <w:szCs w:val="21"/>
                <w:u w:val="none"/>
                <w:lang w:val="en-US" w:eastAsia="zh-CN" w:bidi="ar"/>
              </w:rPr>
              <w:t>项目内容</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r>
              <w:rPr>
                <w:rFonts w:hint="eastAsia" w:ascii="宋体" w:hAnsi="宋体" w:cs="宋体"/>
                <w:i w:val="0"/>
                <w:iCs w:val="0"/>
                <w:color w:val="auto"/>
                <w:kern w:val="0"/>
                <w:sz w:val="21"/>
                <w:szCs w:val="21"/>
                <w:u w:val="none"/>
                <w:lang w:val="en-US" w:eastAsia="zh-CN" w:bidi="ar"/>
              </w:rPr>
              <w:t>（暂估）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单价（元）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农药瓶回收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830000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农药袋回收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农药瓶、农药袋运输处置</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吨</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农膜回收处置费（按公斤计算）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特种用具、准备期费用、宣传费及相关管理费税金利润等费用</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一年总价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sz w:val="21"/>
                <w:szCs w:val="21"/>
                <w:u w:val="none"/>
                <w:lang w:val="en-US" w:eastAsia="zh-CN"/>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sz w:val="21"/>
                <w:szCs w:val="21"/>
                <w:u w:val="none"/>
                <w:lang w:val="en-US" w:eastAsia="zh-CN"/>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bl>
    <w:p>
      <w:pPr>
        <w:spacing w:line="336" w:lineRule="auto"/>
        <w:rPr>
          <w:rFonts w:hint="default" w:ascii="宋体" w:hAnsi="宋体" w:eastAsia="宋体" w:cs="宋体"/>
          <w:b/>
          <w:bCs/>
          <w:color w:val="FF0000"/>
          <w:szCs w:val="21"/>
          <w:lang w:val="en-US" w:eastAsia="zh-CN"/>
        </w:rPr>
      </w:pPr>
      <w:r>
        <w:rPr>
          <w:rFonts w:hint="eastAsia" w:ascii="宋体" w:hAnsi="宋体" w:eastAsia="宋体" w:cs="宋体"/>
          <w:b/>
          <w:bCs/>
          <w:color w:val="auto"/>
          <w:sz w:val="21"/>
          <w:szCs w:val="21"/>
          <w:lang w:val="en-US" w:eastAsia="zh-CN"/>
        </w:rPr>
        <w:t>注：特种用具、准备期费用、宣传费及相关管理费税金利润等</w:t>
      </w:r>
      <w:r>
        <w:rPr>
          <w:rFonts w:hint="eastAsia" w:ascii="宋体" w:hAnsi="宋体" w:cs="宋体"/>
          <w:b/>
          <w:bCs/>
          <w:color w:val="auto"/>
          <w:sz w:val="21"/>
          <w:szCs w:val="21"/>
          <w:lang w:val="en-US" w:eastAsia="zh-CN"/>
        </w:rPr>
        <w:t>费用</w:t>
      </w:r>
      <w:r>
        <w:rPr>
          <w:rFonts w:hint="eastAsia" w:ascii="宋体" w:hAnsi="宋体" w:eastAsia="宋体" w:cs="宋体"/>
          <w:b/>
          <w:bCs/>
          <w:color w:val="auto"/>
          <w:sz w:val="21"/>
          <w:szCs w:val="21"/>
          <w:lang w:val="en-US" w:eastAsia="zh-CN"/>
        </w:rPr>
        <w:t>为包干价</w:t>
      </w:r>
      <w:r>
        <w:rPr>
          <w:rFonts w:hint="eastAsia" w:ascii="宋体" w:hAnsi="宋体" w:cs="宋体"/>
          <w:b/>
          <w:bCs/>
          <w:color w:val="auto"/>
          <w:sz w:val="21"/>
          <w:szCs w:val="21"/>
          <w:lang w:val="en-US" w:eastAsia="zh-CN"/>
        </w:rPr>
        <w:t>，其余回收处置费用根据实际数量按实结算</w:t>
      </w:r>
      <w:r>
        <w:rPr>
          <w:rFonts w:hint="eastAsia" w:ascii="宋体" w:hAnsi="宋体" w:eastAsia="宋体" w:cs="宋体"/>
          <w:b/>
          <w:bCs/>
          <w:color w:val="auto"/>
          <w:sz w:val="21"/>
          <w:szCs w:val="21"/>
          <w:lang w:val="en-US" w:eastAsia="zh-CN"/>
        </w:rPr>
        <w:t>。</w:t>
      </w:r>
    </w:p>
    <w:p>
      <w:pPr>
        <w:numPr>
          <w:ilvl w:val="0"/>
          <w:numId w:val="0"/>
        </w:numPr>
        <w:spacing w:line="380" w:lineRule="exact"/>
        <w:rPr>
          <w:rFonts w:ascii="宋体" w:hAnsi="宋体" w:cs="宋体"/>
          <w:sz w:val="21"/>
          <w:szCs w:val="21"/>
          <w:highlight w:val="none"/>
        </w:rPr>
      </w:pPr>
      <w:r>
        <w:rPr>
          <w:rFonts w:hint="eastAsia" w:ascii="宋体" w:hAnsi="宋体" w:cs="宋体"/>
          <w:sz w:val="21"/>
          <w:szCs w:val="21"/>
          <w:highlight w:val="none"/>
          <w:lang w:val="en-US" w:eastAsia="zh-CN"/>
        </w:rPr>
        <w:t>二、</w:t>
      </w:r>
      <w:r>
        <w:rPr>
          <w:rFonts w:hint="eastAsia" w:ascii="宋体" w:hAnsi="宋体" w:cs="宋体"/>
          <w:sz w:val="21"/>
          <w:szCs w:val="21"/>
          <w:highlight w:val="none"/>
        </w:rPr>
        <w:t>服务范围</w:t>
      </w:r>
      <w:bookmarkEnd w:id="83"/>
      <w:r>
        <w:rPr>
          <w:rFonts w:hint="eastAsia" w:ascii="宋体" w:hAnsi="宋体" w:cs="宋体"/>
          <w:sz w:val="21"/>
          <w:szCs w:val="21"/>
          <w:highlight w:val="none"/>
        </w:rPr>
        <w:t>：</w:t>
      </w:r>
    </w:p>
    <w:p>
      <w:pPr>
        <w:snapToGrid w:val="0"/>
        <w:spacing w:line="380" w:lineRule="exact"/>
        <w:rPr>
          <w:rFonts w:ascii="宋体" w:hAnsi="宋体" w:cs="宋体"/>
          <w:sz w:val="21"/>
          <w:szCs w:val="21"/>
          <w:highlight w:val="none"/>
        </w:rPr>
      </w:pPr>
      <w:r>
        <w:rPr>
          <w:rFonts w:hint="eastAsia" w:ascii="宋体" w:hAnsi="宋体" w:cs="宋体"/>
          <w:b/>
          <w:bCs/>
          <w:sz w:val="21"/>
          <w:szCs w:val="21"/>
          <w:highlight w:val="none"/>
        </w:rPr>
        <w:t>1、作业服务内容</w:t>
      </w:r>
    </w:p>
    <w:p>
      <w:pPr>
        <w:snapToGrid w:val="0"/>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1.1作业服务内容</w:t>
      </w:r>
      <w:r>
        <w:rPr>
          <w:rFonts w:hint="eastAsia"/>
          <w:color w:val="auto"/>
          <w:highlight w:val="none"/>
          <w:lang w:eastAsia="zh-CN"/>
        </w:rPr>
        <w:t>对海曙区农药包装废弃物、废弃农用薄膜等农业固体废物</w:t>
      </w:r>
      <w:r>
        <w:rPr>
          <w:rFonts w:hint="eastAsia"/>
          <w:color w:val="auto"/>
          <w:highlight w:val="none"/>
        </w:rPr>
        <w:t>按照相关政策规定科学、合法、合理进行回收处置</w:t>
      </w:r>
      <w:r>
        <w:rPr>
          <w:rFonts w:hint="eastAsia" w:asciiTheme="majorEastAsia" w:hAnsiTheme="majorEastAsia" w:eastAsiaTheme="majorEastAsia" w:cstheme="majorEastAsia"/>
          <w:color w:val="auto"/>
          <w:sz w:val="21"/>
          <w:szCs w:val="21"/>
          <w:highlight w:val="none"/>
        </w:rPr>
        <w:t>。</w:t>
      </w:r>
    </w:p>
    <w:p>
      <w:pPr>
        <w:snapToGrid w:val="0"/>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1.2</w:t>
      </w:r>
      <w:r>
        <w:rPr>
          <w:rFonts w:hint="eastAsia"/>
          <w:color w:val="auto"/>
          <w:highlight w:val="none"/>
          <w:lang w:eastAsia="zh-CN"/>
        </w:rPr>
        <w:t>农业固体废物</w:t>
      </w:r>
      <w:r>
        <w:rPr>
          <w:rFonts w:hint="eastAsia" w:asciiTheme="majorEastAsia" w:hAnsiTheme="majorEastAsia" w:eastAsiaTheme="majorEastAsia" w:cstheme="majorEastAsia"/>
          <w:color w:val="auto"/>
          <w:sz w:val="21"/>
          <w:szCs w:val="21"/>
          <w:highlight w:val="none"/>
        </w:rPr>
        <w:t>是指在本行政区域内因农业生产产生的、不再具有使用价值而被废弃的</w:t>
      </w:r>
      <w:r>
        <w:rPr>
          <w:rFonts w:hint="eastAsia"/>
          <w:color w:val="auto"/>
          <w:highlight w:val="none"/>
          <w:lang w:eastAsia="zh-CN"/>
        </w:rPr>
        <w:t>农药包装废弃物、废弃农用薄膜等</w:t>
      </w:r>
      <w:r>
        <w:rPr>
          <w:rFonts w:hint="eastAsia" w:asciiTheme="majorEastAsia" w:hAnsiTheme="majorEastAsia" w:eastAsiaTheme="majorEastAsia" w:cstheme="majorEastAsia"/>
          <w:color w:val="auto"/>
          <w:sz w:val="21"/>
          <w:szCs w:val="21"/>
          <w:highlight w:val="none"/>
        </w:rPr>
        <w:t>，包括用塑料、玻璃等材料制作的瓶、桶、罐、袋等</w:t>
      </w:r>
      <w:r>
        <w:rPr>
          <w:rFonts w:hint="eastAsia" w:asciiTheme="majorEastAsia" w:hAnsiTheme="majorEastAsia" w:eastAsiaTheme="majorEastAsia" w:cstheme="majorEastAsia"/>
          <w:color w:val="auto"/>
          <w:sz w:val="21"/>
          <w:szCs w:val="21"/>
          <w:highlight w:val="none"/>
          <w:lang w:val="en-US" w:eastAsia="zh-CN"/>
        </w:rPr>
        <w:t>包装</w:t>
      </w:r>
      <w:r>
        <w:rPr>
          <w:rFonts w:hint="eastAsia" w:asciiTheme="majorEastAsia" w:hAnsiTheme="majorEastAsia" w:eastAsiaTheme="majorEastAsia" w:cstheme="majorEastAsia"/>
          <w:color w:val="auto"/>
          <w:sz w:val="21"/>
          <w:szCs w:val="21"/>
          <w:highlight w:val="none"/>
        </w:rPr>
        <w:t>器具。</w:t>
      </w:r>
    </w:p>
    <w:p>
      <w:pPr>
        <w:snapToGrid w:val="0"/>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1.3</w:t>
      </w:r>
      <w:r>
        <w:rPr>
          <w:rFonts w:hint="eastAsia" w:asciiTheme="majorEastAsia" w:hAnsiTheme="majorEastAsia" w:eastAsiaTheme="majorEastAsia" w:cstheme="majorEastAsia"/>
          <w:color w:val="auto"/>
          <w:sz w:val="21"/>
          <w:szCs w:val="21"/>
          <w:highlight w:val="none"/>
          <w:lang w:val="en-US" w:eastAsia="zh-CN"/>
        </w:rPr>
        <w:t>回收</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en-US" w:eastAsia="zh-CN"/>
        </w:rPr>
        <w:t>定期适时</w:t>
      </w:r>
      <w:r>
        <w:rPr>
          <w:rFonts w:hint="eastAsia" w:asciiTheme="majorEastAsia" w:hAnsiTheme="majorEastAsia" w:eastAsiaTheme="majorEastAsia" w:cstheme="majorEastAsia"/>
          <w:color w:val="auto"/>
          <w:sz w:val="21"/>
          <w:szCs w:val="21"/>
          <w:highlight w:val="none"/>
        </w:rPr>
        <w:t>归集各回收点回收的</w:t>
      </w:r>
      <w:r>
        <w:rPr>
          <w:rFonts w:hint="eastAsia"/>
          <w:color w:val="auto"/>
          <w:highlight w:val="none"/>
          <w:lang w:eastAsia="zh-CN"/>
        </w:rPr>
        <w:t>农业固体废物</w:t>
      </w:r>
      <w:r>
        <w:rPr>
          <w:rFonts w:hint="eastAsia" w:asciiTheme="majorEastAsia" w:hAnsiTheme="majorEastAsia" w:eastAsiaTheme="majorEastAsia" w:cstheme="majorEastAsia"/>
          <w:color w:val="auto"/>
          <w:sz w:val="21"/>
          <w:szCs w:val="21"/>
          <w:highlight w:val="none"/>
        </w:rPr>
        <w:t>，运送至指定仓库，按无害化处理的相关要求做好堆放、分拣、杂质去除、打包。</w:t>
      </w:r>
    </w:p>
    <w:p>
      <w:pPr>
        <w:snapToGrid w:val="0"/>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1.4</w:t>
      </w:r>
      <w:r>
        <w:rPr>
          <w:rFonts w:hint="eastAsia" w:asciiTheme="majorEastAsia" w:hAnsiTheme="majorEastAsia" w:eastAsiaTheme="majorEastAsia" w:cstheme="majorEastAsia"/>
          <w:color w:val="auto"/>
          <w:sz w:val="21"/>
          <w:szCs w:val="21"/>
          <w:highlight w:val="none"/>
          <w:lang w:val="en-US" w:eastAsia="zh-CN"/>
        </w:rPr>
        <w:t>运输</w:t>
      </w:r>
      <w:r>
        <w:rPr>
          <w:rFonts w:hint="eastAsia" w:asciiTheme="majorEastAsia" w:hAnsiTheme="majorEastAsia" w:eastAsiaTheme="majorEastAsia" w:cstheme="majorEastAsia"/>
          <w:color w:val="auto"/>
          <w:sz w:val="21"/>
          <w:szCs w:val="21"/>
          <w:highlight w:val="none"/>
        </w:rPr>
        <w:t>处置：将</w:t>
      </w:r>
      <w:r>
        <w:rPr>
          <w:rFonts w:hint="eastAsia" w:asciiTheme="majorEastAsia" w:hAnsiTheme="majorEastAsia" w:eastAsiaTheme="majorEastAsia" w:cstheme="majorEastAsia"/>
          <w:color w:val="auto"/>
          <w:sz w:val="21"/>
          <w:szCs w:val="21"/>
          <w:highlight w:val="none"/>
          <w:lang w:val="en-US" w:eastAsia="zh-CN"/>
        </w:rPr>
        <w:t>回收</w:t>
      </w:r>
      <w:r>
        <w:rPr>
          <w:rFonts w:hint="eastAsia" w:asciiTheme="majorEastAsia" w:hAnsiTheme="majorEastAsia" w:eastAsiaTheme="majorEastAsia" w:cstheme="majorEastAsia"/>
          <w:color w:val="auto"/>
          <w:sz w:val="21"/>
          <w:szCs w:val="21"/>
          <w:highlight w:val="none"/>
        </w:rPr>
        <w:t>打包后的</w:t>
      </w:r>
      <w:r>
        <w:rPr>
          <w:rFonts w:hint="eastAsia"/>
          <w:color w:val="auto"/>
          <w:highlight w:val="none"/>
          <w:lang w:eastAsia="zh-CN"/>
        </w:rPr>
        <w:t>农业固体废物</w:t>
      </w:r>
      <w:r>
        <w:rPr>
          <w:rFonts w:hint="eastAsia" w:asciiTheme="majorEastAsia" w:hAnsiTheme="majorEastAsia" w:eastAsiaTheme="majorEastAsia" w:cstheme="majorEastAsia"/>
          <w:color w:val="auto"/>
          <w:sz w:val="21"/>
          <w:szCs w:val="21"/>
          <w:highlight w:val="none"/>
        </w:rPr>
        <w:t>有计划地分期分批完成报批手续运送到具有法定资质的专业处置单位进行无害化处置。</w:t>
      </w:r>
    </w:p>
    <w:p>
      <w:pPr>
        <w:snapToGrid w:val="0"/>
        <w:spacing w:line="360" w:lineRule="auto"/>
        <w:ind w:firstLine="420" w:firstLineChars="20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1.5鉴于</w:t>
      </w:r>
      <w:r>
        <w:rPr>
          <w:rFonts w:hint="eastAsia" w:asciiTheme="majorEastAsia" w:hAnsiTheme="majorEastAsia" w:eastAsiaTheme="majorEastAsia" w:cstheme="majorEastAsia"/>
          <w:sz w:val="21"/>
          <w:szCs w:val="21"/>
          <w:highlight w:val="none"/>
          <w:lang w:eastAsia="zh-CN"/>
        </w:rPr>
        <w:t>农药包装废弃物</w:t>
      </w:r>
      <w:r>
        <w:rPr>
          <w:rFonts w:hint="eastAsia" w:asciiTheme="majorEastAsia" w:hAnsiTheme="majorEastAsia" w:eastAsiaTheme="majorEastAsia" w:cstheme="majorEastAsia"/>
          <w:sz w:val="21"/>
          <w:szCs w:val="21"/>
          <w:highlight w:val="none"/>
        </w:rPr>
        <w:t>有毒有害的特殊性，</w:t>
      </w:r>
      <w:r>
        <w:rPr>
          <w:rFonts w:hint="eastAsia" w:asciiTheme="majorEastAsia" w:hAnsiTheme="majorEastAsia" w:eastAsiaTheme="majorEastAsia" w:cstheme="majorEastAsia"/>
          <w:sz w:val="21"/>
          <w:szCs w:val="21"/>
          <w:highlight w:val="none"/>
          <w:lang w:val="en-US" w:eastAsia="zh-CN"/>
        </w:rPr>
        <w:t>供应商</w:t>
      </w:r>
      <w:r>
        <w:rPr>
          <w:rFonts w:hint="eastAsia" w:asciiTheme="majorEastAsia" w:hAnsiTheme="majorEastAsia" w:eastAsiaTheme="majorEastAsia" w:cstheme="majorEastAsia"/>
          <w:sz w:val="21"/>
          <w:szCs w:val="21"/>
          <w:highlight w:val="none"/>
        </w:rPr>
        <w:t>在</w:t>
      </w:r>
      <w:r>
        <w:rPr>
          <w:rFonts w:hint="eastAsia" w:asciiTheme="majorEastAsia" w:hAnsiTheme="majorEastAsia" w:eastAsiaTheme="majorEastAsia" w:cstheme="majorEastAsia"/>
          <w:sz w:val="21"/>
          <w:szCs w:val="21"/>
          <w:highlight w:val="none"/>
          <w:lang w:val="en-US" w:eastAsia="zh-CN"/>
        </w:rPr>
        <w:t>回收</w:t>
      </w:r>
      <w:r>
        <w:rPr>
          <w:rFonts w:hint="eastAsia" w:asciiTheme="majorEastAsia" w:hAnsiTheme="majorEastAsia" w:eastAsiaTheme="majorEastAsia" w:cstheme="majorEastAsia"/>
          <w:sz w:val="21"/>
          <w:szCs w:val="21"/>
          <w:highlight w:val="none"/>
        </w:rPr>
        <w:t>、运输、分拣、打包、储存过程中要注意生产安全，避免发生安全事故。</w:t>
      </w:r>
      <w:r>
        <w:rPr>
          <w:rFonts w:hint="eastAsia" w:asciiTheme="majorEastAsia" w:hAnsiTheme="majorEastAsia" w:eastAsiaTheme="majorEastAsia" w:cstheme="majorEastAsia"/>
          <w:color w:val="auto"/>
          <w:sz w:val="21"/>
          <w:szCs w:val="21"/>
          <w:highlight w:val="none"/>
        </w:rPr>
        <w:t>废弃包装物内如有残留物应做好集中</w:t>
      </w:r>
      <w:r>
        <w:rPr>
          <w:rFonts w:hint="eastAsia" w:asciiTheme="majorEastAsia" w:hAnsiTheme="majorEastAsia" w:eastAsiaTheme="majorEastAsia" w:cstheme="majorEastAsia"/>
          <w:color w:val="auto"/>
          <w:sz w:val="21"/>
          <w:szCs w:val="21"/>
          <w:highlight w:val="none"/>
          <w:lang w:val="en-US" w:eastAsia="zh-CN"/>
        </w:rPr>
        <w:t>回收</w:t>
      </w:r>
      <w:r>
        <w:rPr>
          <w:rFonts w:hint="eastAsia" w:asciiTheme="majorEastAsia" w:hAnsiTheme="majorEastAsia" w:eastAsiaTheme="majorEastAsia" w:cstheme="majorEastAsia"/>
          <w:color w:val="auto"/>
          <w:sz w:val="21"/>
          <w:szCs w:val="21"/>
          <w:highlight w:val="none"/>
        </w:rPr>
        <w:t>处置，不得随意排放污染环境。</w:t>
      </w:r>
    </w:p>
    <w:p>
      <w:pPr>
        <w:snapToGrid w:val="0"/>
        <w:spacing w:line="360" w:lineRule="auto"/>
        <w:ind w:firstLine="420" w:firstLineChars="20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1.6配合采购人及农业农村部门开展形式多样的社会宣传活动，提高</w:t>
      </w:r>
      <w:r>
        <w:rPr>
          <w:rFonts w:hint="eastAsia" w:asciiTheme="majorEastAsia" w:hAnsiTheme="majorEastAsia" w:eastAsiaTheme="majorEastAsia" w:cstheme="majorEastAsia"/>
          <w:sz w:val="21"/>
          <w:szCs w:val="21"/>
          <w:highlight w:val="none"/>
          <w:lang w:eastAsia="zh-CN"/>
        </w:rPr>
        <w:t>农药包装废弃物、废弃农用薄膜等农业固体废物</w:t>
      </w:r>
      <w:r>
        <w:rPr>
          <w:rFonts w:hint="eastAsia" w:asciiTheme="majorEastAsia" w:hAnsiTheme="majorEastAsia" w:eastAsiaTheme="majorEastAsia" w:cstheme="majorEastAsia"/>
          <w:sz w:val="21"/>
          <w:szCs w:val="21"/>
          <w:highlight w:val="none"/>
        </w:rPr>
        <w:t>回收工作知晓率，提升自觉回收责任意识。</w:t>
      </w:r>
    </w:p>
    <w:p>
      <w:pPr>
        <w:snapToGrid w:val="0"/>
        <w:spacing w:line="360" w:lineRule="auto"/>
        <w:ind w:firstLine="420" w:firstLineChars="200"/>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lang w:val="en-US" w:eastAsia="zh-CN"/>
        </w:rPr>
        <w:t>1.7</w:t>
      </w:r>
      <w:r>
        <w:rPr>
          <w:rFonts w:hint="eastAsia" w:asciiTheme="majorEastAsia" w:hAnsiTheme="majorEastAsia" w:eastAsiaTheme="majorEastAsia" w:cstheme="majorEastAsia"/>
          <w:sz w:val="21"/>
          <w:szCs w:val="21"/>
          <w:highlight w:val="none"/>
        </w:rPr>
        <w:t>积极配合上级组织的各项参观、检查、督查工作，配合采购人完成上级年度回收任务，年度回收任务由采购人在一季度告知</w:t>
      </w:r>
      <w:r>
        <w:rPr>
          <w:rFonts w:hint="eastAsia" w:asciiTheme="majorEastAsia" w:hAnsiTheme="majorEastAsia" w:eastAsiaTheme="majorEastAsia" w:cstheme="majorEastAsia"/>
          <w:sz w:val="21"/>
          <w:szCs w:val="21"/>
          <w:highlight w:val="none"/>
          <w:lang w:eastAsia="zh-CN"/>
        </w:rPr>
        <w:t>。</w:t>
      </w:r>
    </w:p>
    <w:p>
      <w:pPr>
        <w:snapToGrid w:val="0"/>
        <w:spacing w:line="360" w:lineRule="auto"/>
        <w:ind w:firstLine="420" w:firstLineChars="20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en-US" w:eastAsia="zh-CN"/>
        </w:rPr>
        <w:t>1.8</w:t>
      </w:r>
      <w:r>
        <w:rPr>
          <w:rFonts w:hint="eastAsia" w:asciiTheme="majorEastAsia" w:hAnsiTheme="majorEastAsia" w:eastAsiaTheme="majorEastAsia" w:cstheme="majorEastAsia"/>
          <w:sz w:val="21"/>
          <w:szCs w:val="21"/>
          <w:highlight w:val="none"/>
        </w:rPr>
        <w:t>采购人交代的其他工作内容，包括但不限于开展农田环境集中清理、协助采购人开展检查等。</w:t>
      </w:r>
    </w:p>
    <w:p>
      <w:pPr>
        <w:snapToGrid w:val="0"/>
        <w:spacing w:line="360" w:lineRule="auto"/>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2、固定设备场地要求</w:t>
      </w:r>
    </w:p>
    <w:p>
      <w:pPr>
        <w:snapToGrid w:val="0"/>
        <w:spacing w:line="360" w:lineRule="auto"/>
        <w:ind w:firstLine="420" w:firstLineChars="20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2.1收集运输专项作业车。</w:t>
      </w:r>
    </w:p>
    <w:p>
      <w:pPr>
        <w:snapToGrid w:val="0"/>
        <w:spacing w:line="360" w:lineRule="auto"/>
        <w:ind w:firstLine="420" w:firstLineChars="20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2.1.1 收集运输车配置：由供应商自行配置。</w:t>
      </w:r>
    </w:p>
    <w:p>
      <w:pPr>
        <w:snapToGrid w:val="0"/>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 w:val="21"/>
          <w:szCs w:val="21"/>
          <w:highlight w:val="none"/>
        </w:rPr>
        <w:t>2.1.2 收集运输车类型：车辆性能良好，</w:t>
      </w:r>
      <w:r>
        <w:rPr>
          <w:rFonts w:hint="eastAsia" w:asciiTheme="majorEastAsia" w:hAnsiTheme="majorEastAsia" w:eastAsiaTheme="majorEastAsia" w:cstheme="majorEastAsia"/>
          <w:sz w:val="21"/>
          <w:szCs w:val="21"/>
          <w:highlight w:val="none"/>
          <w:lang w:val="en-US" w:eastAsia="zh-CN"/>
        </w:rPr>
        <w:t>对于散发异味、滴漏的农药包装废弃物的运输车辆应</w:t>
      </w:r>
      <w:r>
        <w:rPr>
          <w:rFonts w:hint="eastAsia" w:asciiTheme="majorEastAsia" w:hAnsiTheme="majorEastAsia" w:eastAsiaTheme="majorEastAsia" w:cstheme="majorEastAsia"/>
          <w:sz w:val="21"/>
          <w:szCs w:val="21"/>
          <w:highlight w:val="none"/>
        </w:rPr>
        <w:t>具有全封闭，防污水滴漏等功能。收集运输车有效装载能力应满足作业需要、适合服</w:t>
      </w:r>
      <w:r>
        <w:rPr>
          <w:rFonts w:hint="eastAsia" w:asciiTheme="majorEastAsia" w:hAnsiTheme="majorEastAsia" w:eastAsiaTheme="majorEastAsia" w:cstheme="majorEastAsia"/>
          <w:color w:val="auto"/>
          <w:sz w:val="21"/>
          <w:szCs w:val="21"/>
          <w:highlight w:val="none"/>
        </w:rPr>
        <w:t>务区域内道路实际。</w:t>
      </w:r>
    </w:p>
    <w:p>
      <w:pPr>
        <w:snapToGrid w:val="0"/>
        <w:spacing w:line="360" w:lineRule="auto"/>
        <w:ind w:firstLine="420" w:firstLineChars="200"/>
        <w:rPr>
          <w:rFonts w:hint="default" w:asciiTheme="majorEastAsia" w:hAnsiTheme="majorEastAsia" w:eastAsiaTheme="majorEastAsia" w:cstheme="majorEastAsia"/>
          <w:color w:val="auto"/>
          <w:sz w:val="21"/>
          <w:szCs w:val="21"/>
          <w:highlight w:val="none"/>
          <w:lang w:val="en-US" w:eastAsia="zh-CN"/>
        </w:rPr>
      </w:pPr>
      <w:r>
        <w:rPr>
          <w:rFonts w:hint="eastAsia" w:ascii="Times New Roman" w:hAnsi="Times New Roman" w:eastAsia="宋体" w:cs="Times New Roman"/>
          <w:color w:val="auto"/>
          <w:highlight w:val="none"/>
          <w:lang w:val="en-US" w:eastAsia="zh-CN"/>
        </w:rPr>
        <w:t>2.1.3对回收车辆必须标贴统一标识和电话号码。</w:t>
      </w:r>
      <w:r>
        <w:rPr>
          <w:rFonts w:hint="eastAsia" w:asciiTheme="majorEastAsia" w:hAnsiTheme="majorEastAsia" w:eastAsiaTheme="majorEastAsia" w:cstheme="majorEastAsia"/>
          <w:color w:val="auto"/>
          <w:sz w:val="21"/>
          <w:szCs w:val="21"/>
          <w:highlight w:val="none"/>
          <w:lang w:val="en-US" w:eastAsia="zh-CN"/>
        </w:rPr>
        <w:t xml:space="preserve"> </w:t>
      </w:r>
    </w:p>
    <w:p>
      <w:pPr>
        <w:snapToGrid w:val="0"/>
        <w:spacing w:line="360" w:lineRule="auto"/>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 xml:space="preserve">    2.</w:t>
      </w:r>
      <w:r>
        <w:rPr>
          <w:rFonts w:hint="eastAsia" w:asciiTheme="majorEastAsia" w:hAnsiTheme="majorEastAsia" w:eastAsiaTheme="majorEastAsia" w:cstheme="majorEastAsia"/>
          <w:bCs/>
          <w:color w:val="auto"/>
          <w:sz w:val="21"/>
          <w:szCs w:val="21"/>
          <w:highlight w:val="none"/>
          <w:lang w:val="en-US" w:eastAsia="zh-CN"/>
        </w:rPr>
        <w:t>2</w:t>
      </w:r>
      <w:r>
        <w:rPr>
          <w:rFonts w:hint="eastAsia" w:asciiTheme="majorEastAsia" w:hAnsiTheme="majorEastAsia" w:eastAsiaTheme="majorEastAsia" w:cstheme="majorEastAsia"/>
          <w:bCs/>
          <w:color w:val="auto"/>
          <w:sz w:val="21"/>
          <w:szCs w:val="21"/>
          <w:highlight w:val="none"/>
        </w:rPr>
        <w:t>仓储场地要求</w:t>
      </w:r>
    </w:p>
    <w:p>
      <w:pPr>
        <w:snapToGrid w:val="0"/>
        <w:spacing w:line="360" w:lineRule="auto"/>
        <w:ind w:firstLine="420" w:firstLineChars="20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.1封闭式储存场地：</w:t>
      </w:r>
      <w:r>
        <w:rPr>
          <w:rFonts w:hint="eastAsia" w:asciiTheme="majorEastAsia" w:hAnsiTheme="majorEastAsia" w:eastAsiaTheme="majorEastAsia" w:cstheme="majorEastAsia"/>
          <w:sz w:val="21"/>
          <w:szCs w:val="21"/>
          <w:highlight w:val="none"/>
        </w:rPr>
        <w:t>要求专用，面积300㎡及以上</w:t>
      </w:r>
      <w:r>
        <w:rPr>
          <w:rFonts w:hint="eastAsia" w:asciiTheme="majorEastAsia" w:hAnsiTheme="majorEastAsia" w:eastAsiaTheme="majorEastAsia" w:cstheme="majorEastAsia"/>
          <w:sz w:val="21"/>
          <w:szCs w:val="21"/>
          <w:highlight w:val="none"/>
          <w:lang w:val="en-US" w:eastAsia="zh-CN"/>
        </w:rPr>
        <w:t>。</w:t>
      </w:r>
    </w:p>
    <w:p>
      <w:pPr>
        <w:snapToGrid w:val="0"/>
        <w:spacing w:line="360" w:lineRule="auto"/>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3、作业服务组织要求</w:t>
      </w:r>
    </w:p>
    <w:p>
      <w:pPr>
        <w:snapToGrid w:val="0"/>
        <w:spacing w:line="360" w:lineRule="auto"/>
        <w:ind w:firstLine="420" w:firstLineChars="20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3.1 必须具有固定的办公场所。</w:t>
      </w:r>
    </w:p>
    <w:p>
      <w:pPr>
        <w:snapToGrid w:val="0"/>
        <w:spacing w:line="360" w:lineRule="auto"/>
        <w:ind w:firstLine="420" w:firstLineChars="20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3.2必须配备1名项目负责人，从</w:t>
      </w:r>
      <w:r>
        <w:rPr>
          <w:rFonts w:hint="eastAsia" w:asciiTheme="majorEastAsia" w:hAnsiTheme="majorEastAsia" w:eastAsiaTheme="majorEastAsia" w:cstheme="majorEastAsia"/>
          <w:color w:val="auto"/>
          <w:sz w:val="21"/>
          <w:szCs w:val="21"/>
          <w:highlight w:val="none"/>
        </w:rPr>
        <w:t>事</w:t>
      </w:r>
      <w:r>
        <w:rPr>
          <w:rFonts w:hint="eastAsia" w:ascii="Times New Roman" w:hAnsi="Times New Roman" w:eastAsia="宋体" w:cs="Times New Roman"/>
          <w:color w:val="auto"/>
          <w:highlight w:val="none"/>
          <w:lang w:eastAsia="zh-CN"/>
        </w:rPr>
        <w:t>农业固体废物</w:t>
      </w:r>
      <w:r>
        <w:rPr>
          <w:rFonts w:hint="eastAsia" w:asciiTheme="majorEastAsia" w:hAnsiTheme="majorEastAsia" w:eastAsiaTheme="majorEastAsia" w:cstheme="majorEastAsia"/>
          <w:color w:val="auto"/>
          <w:sz w:val="21"/>
          <w:szCs w:val="21"/>
          <w:highlight w:val="none"/>
        </w:rPr>
        <w:t>回收与集</w:t>
      </w:r>
      <w:r>
        <w:rPr>
          <w:rFonts w:hint="eastAsia" w:asciiTheme="majorEastAsia" w:hAnsiTheme="majorEastAsia" w:eastAsiaTheme="majorEastAsia" w:cstheme="majorEastAsia"/>
          <w:sz w:val="21"/>
          <w:szCs w:val="21"/>
          <w:highlight w:val="none"/>
        </w:rPr>
        <w:t>中处置服务的组织、协调和内部考核工作，并配合采购人、农业农村部门布置的相关工作；必须配备1名统计、资料整理人员，可由公司管理人员兼任，按照区农业部门要求及时正确上报上级部门所需报表，并做好台账整理工作；</w:t>
      </w:r>
      <w:r>
        <w:rPr>
          <w:rFonts w:hint="eastAsia" w:asciiTheme="majorEastAsia" w:hAnsiTheme="majorEastAsia" w:eastAsiaTheme="majorEastAsia" w:cstheme="majorEastAsia"/>
          <w:sz w:val="21"/>
          <w:szCs w:val="21"/>
          <w:highlight w:val="none"/>
          <w:lang w:val="en-US" w:eastAsia="zh-CN"/>
        </w:rPr>
        <w:t>必须配备1名现场管理人员，组织</w:t>
      </w:r>
      <w:r>
        <w:rPr>
          <w:rFonts w:hint="eastAsia" w:asciiTheme="majorEastAsia" w:hAnsiTheme="majorEastAsia" w:eastAsiaTheme="majorEastAsia" w:cstheme="majorEastAsia"/>
          <w:color w:val="auto"/>
          <w:sz w:val="21"/>
          <w:szCs w:val="21"/>
          <w:highlight w:val="none"/>
          <w:lang w:val="en-US" w:eastAsia="zh-CN"/>
        </w:rPr>
        <w:t>、协调</w:t>
      </w:r>
      <w:r>
        <w:rPr>
          <w:rFonts w:hint="eastAsia" w:ascii="Times New Roman" w:hAnsi="Times New Roman" w:eastAsia="宋体" w:cs="Times New Roman"/>
          <w:color w:val="auto"/>
          <w:highlight w:val="none"/>
          <w:lang w:eastAsia="zh-CN"/>
        </w:rPr>
        <w:t>农业固体废物</w:t>
      </w:r>
      <w:r>
        <w:rPr>
          <w:rFonts w:hint="eastAsia" w:asciiTheme="majorEastAsia" w:hAnsiTheme="majorEastAsia" w:eastAsiaTheme="majorEastAsia" w:cstheme="majorEastAsia"/>
          <w:color w:val="auto"/>
          <w:sz w:val="21"/>
          <w:szCs w:val="21"/>
          <w:highlight w:val="none"/>
          <w:lang w:val="en-US" w:eastAsia="zh-CN"/>
        </w:rPr>
        <w:t>的现</w:t>
      </w:r>
      <w:r>
        <w:rPr>
          <w:rFonts w:hint="eastAsia" w:asciiTheme="majorEastAsia" w:hAnsiTheme="majorEastAsia" w:eastAsiaTheme="majorEastAsia" w:cstheme="majorEastAsia"/>
          <w:sz w:val="21"/>
          <w:szCs w:val="21"/>
          <w:highlight w:val="none"/>
          <w:lang w:val="en-US" w:eastAsia="zh-CN"/>
        </w:rPr>
        <w:t>场回收处置工作；必须配备1名仓储管理人员，负责仓库出入货物信息登记、日常管理、消防设施管理</w:t>
      </w:r>
      <w:r>
        <w:rPr>
          <w:rFonts w:hint="eastAsia" w:asciiTheme="majorEastAsia" w:hAnsiTheme="majorEastAsia" w:eastAsiaTheme="majorEastAsia" w:cstheme="majorEastAsia"/>
          <w:color w:val="auto"/>
          <w:sz w:val="21"/>
          <w:szCs w:val="21"/>
          <w:highlight w:val="none"/>
          <w:lang w:val="en-US" w:eastAsia="zh-CN"/>
        </w:rPr>
        <w:t>。</w:t>
      </w:r>
    </w:p>
    <w:p>
      <w:pPr>
        <w:snapToGrid w:val="0"/>
        <w:spacing w:line="360" w:lineRule="auto"/>
        <w:ind w:firstLine="420" w:firstLineChars="20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3.3必须配备专业的收集、运输、分拣、打包、统计、信息上报的相关作业人员。</w:t>
      </w:r>
    </w:p>
    <w:p>
      <w:pPr>
        <w:snapToGrid w:val="0"/>
        <w:spacing w:line="360" w:lineRule="auto"/>
        <w:ind w:firstLine="420" w:firstLineChars="20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3.4作业服务人员作业时必须穿戴专业防护服等安全防护装备。</w:t>
      </w:r>
    </w:p>
    <w:p>
      <w:pPr>
        <w:snapToGrid w:val="0"/>
        <w:spacing w:line="360" w:lineRule="auto"/>
        <w:ind w:firstLine="420" w:firstLineChars="20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 xml:space="preserve">3.5 应与作业服务人员签订劳动合同。其工作时间、工资（含社会保险）及福利、劳动保护等必须符合国家、省、市相关法规规定。 </w:t>
      </w:r>
    </w:p>
    <w:p>
      <w:pPr>
        <w:snapToGrid w:val="0"/>
        <w:spacing w:line="360" w:lineRule="auto"/>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4、回收</w:t>
      </w:r>
      <w:r>
        <w:rPr>
          <w:rFonts w:hint="eastAsia" w:asciiTheme="majorEastAsia" w:hAnsiTheme="majorEastAsia" w:eastAsiaTheme="majorEastAsia" w:cstheme="majorEastAsia"/>
          <w:b/>
          <w:bCs/>
          <w:sz w:val="21"/>
          <w:szCs w:val="21"/>
          <w:highlight w:val="none"/>
          <w:lang w:val="en-US" w:eastAsia="zh-CN"/>
        </w:rPr>
        <w:t>网络</w:t>
      </w:r>
      <w:r>
        <w:rPr>
          <w:rFonts w:hint="eastAsia" w:asciiTheme="majorEastAsia" w:hAnsiTheme="majorEastAsia" w:eastAsiaTheme="majorEastAsia" w:cstheme="majorEastAsia"/>
          <w:b/>
          <w:bCs/>
          <w:sz w:val="21"/>
          <w:szCs w:val="21"/>
          <w:highlight w:val="none"/>
        </w:rPr>
        <w:t>建设要求</w:t>
      </w:r>
    </w:p>
    <w:p>
      <w:pPr>
        <w:pStyle w:val="20"/>
        <w:spacing w:after="0" w:line="360"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4.1 回收</w:t>
      </w:r>
      <w:r>
        <w:rPr>
          <w:rFonts w:hint="eastAsia" w:asciiTheme="majorEastAsia" w:hAnsiTheme="majorEastAsia" w:eastAsiaTheme="majorEastAsia" w:cstheme="majorEastAsia"/>
          <w:sz w:val="21"/>
          <w:szCs w:val="21"/>
          <w:highlight w:val="none"/>
          <w:lang w:val="en-US" w:eastAsia="zh-CN"/>
        </w:rPr>
        <w:t>网络布局</w:t>
      </w:r>
      <w:r>
        <w:rPr>
          <w:rFonts w:hint="eastAsia" w:asciiTheme="majorEastAsia" w:hAnsiTheme="majorEastAsia" w:eastAsiaTheme="majorEastAsia" w:cstheme="majorEastAsia"/>
          <w:sz w:val="21"/>
          <w:szCs w:val="21"/>
          <w:highlight w:val="none"/>
        </w:rPr>
        <w:t>：因地制宜，根据</w:t>
      </w:r>
      <w:r>
        <w:rPr>
          <w:rFonts w:hint="eastAsia" w:asciiTheme="majorEastAsia" w:hAnsiTheme="majorEastAsia" w:eastAsiaTheme="majorEastAsia" w:cstheme="majorEastAsia"/>
          <w:sz w:val="21"/>
          <w:szCs w:val="21"/>
          <w:highlight w:val="none"/>
          <w:lang w:eastAsia="zh-CN"/>
        </w:rPr>
        <w:t>海曙区</w:t>
      </w:r>
      <w:r>
        <w:rPr>
          <w:rFonts w:hint="eastAsia" w:asciiTheme="majorEastAsia" w:hAnsiTheme="majorEastAsia" w:eastAsiaTheme="majorEastAsia" w:cstheme="majorEastAsia"/>
          <w:sz w:val="21"/>
          <w:szCs w:val="21"/>
          <w:highlight w:val="none"/>
        </w:rPr>
        <w:t>种植结构合理布局</w:t>
      </w:r>
      <w:r>
        <w:rPr>
          <w:rFonts w:hint="eastAsia" w:asciiTheme="majorEastAsia" w:hAnsiTheme="majorEastAsia" w:eastAsiaTheme="majorEastAsia" w:cstheme="majorEastAsia"/>
          <w:sz w:val="21"/>
          <w:szCs w:val="21"/>
          <w:highlight w:val="none"/>
          <w:lang w:eastAsia="zh-CN"/>
        </w:rPr>
        <w:t>农药包装废弃物</w:t>
      </w:r>
      <w:r>
        <w:rPr>
          <w:rFonts w:hint="eastAsia" w:asciiTheme="majorEastAsia" w:hAnsiTheme="majorEastAsia" w:eastAsiaTheme="majorEastAsia" w:cstheme="majorEastAsia"/>
          <w:sz w:val="21"/>
          <w:szCs w:val="21"/>
          <w:highlight w:val="none"/>
        </w:rPr>
        <w:t>和</w:t>
      </w:r>
      <w:r>
        <w:rPr>
          <w:rFonts w:hint="eastAsia" w:asciiTheme="majorEastAsia" w:hAnsiTheme="majorEastAsia" w:eastAsiaTheme="majorEastAsia" w:cstheme="majorEastAsia"/>
          <w:sz w:val="21"/>
          <w:szCs w:val="21"/>
          <w:highlight w:val="none"/>
          <w:lang w:eastAsia="zh-CN"/>
        </w:rPr>
        <w:t>废弃农用薄膜</w:t>
      </w:r>
      <w:r>
        <w:rPr>
          <w:rFonts w:hint="eastAsia" w:asciiTheme="majorEastAsia" w:hAnsiTheme="majorEastAsia" w:eastAsiaTheme="majorEastAsia" w:cstheme="majorEastAsia"/>
          <w:sz w:val="21"/>
          <w:szCs w:val="21"/>
          <w:highlight w:val="none"/>
        </w:rPr>
        <w:t>回收</w:t>
      </w:r>
      <w:r>
        <w:rPr>
          <w:rFonts w:hint="eastAsia" w:asciiTheme="majorEastAsia" w:hAnsiTheme="majorEastAsia" w:eastAsiaTheme="majorEastAsia" w:cstheme="majorEastAsia"/>
          <w:sz w:val="21"/>
          <w:szCs w:val="21"/>
          <w:highlight w:val="none"/>
          <w:lang w:val="en-US" w:eastAsia="zh-CN"/>
        </w:rPr>
        <w:t>网络。1）在海曙区注册的农民专业合作社和家庭农场回收点应设尽设</w:t>
      </w:r>
      <w:r>
        <w:rPr>
          <w:rFonts w:hint="eastAsia" w:asciiTheme="majorEastAsia" w:hAnsiTheme="majorEastAsia" w:eastAsiaTheme="majorEastAsia" w:cstheme="majorEastAsia"/>
          <w:sz w:val="21"/>
          <w:szCs w:val="21"/>
          <w:highlight w:val="none"/>
          <w:lang w:eastAsia="zh-CN"/>
        </w:rPr>
        <w:t>；</w:t>
      </w:r>
      <w:r>
        <w:rPr>
          <w:rFonts w:hint="eastAsia" w:asciiTheme="majorEastAsia" w:hAnsiTheme="majorEastAsia" w:eastAsiaTheme="majorEastAsia" w:cstheme="majorEastAsia"/>
          <w:sz w:val="21"/>
          <w:szCs w:val="21"/>
          <w:highlight w:val="none"/>
          <w:lang w:val="en-US" w:eastAsia="zh-CN"/>
        </w:rPr>
        <w:t>2）</w:t>
      </w:r>
      <w:r>
        <w:rPr>
          <w:rFonts w:hint="eastAsia" w:asciiTheme="majorEastAsia" w:hAnsiTheme="majorEastAsia" w:eastAsiaTheme="majorEastAsia" w:cstheme="majorEastAsia"/>
          <w:sz w:val="21"/>
          <w:szCs w:val="21"/>
          <w:highlight w:val="none"/>
        </w:rPr>
        <w:t>各农药经营网点设立</w:t>
      </w:r>
      <w:r>
        <w:rPr>
          <w:rFonts w:hint="eastAsia" w:asciiTheme="majorEastAsia" w:hAnsiTheme="majorEastAsia" w:eastAsiaTheme="majorEastAsia" w:cstheme="majorEastAsia"/>
          <w:sz w:val="21"/>
          <w:szCs w:val="21"/>
          <w:highlight w:val="none"/>
          <w:lang w:eastAsia="zh-CN"/>
        </w:rPr>
        <w:t>农药包装废弃物</w:t>
      </w:r>
      <w:r>
        <w:rPr>
          <w:rFonts w:hint="eastAsia" w:asciiTheme="majorEastAsia" w:hAnsiTheme="majorEastAsia" w:eastAsiaTheme="majorEastAsia" w:cstheme="majorEastAsia"/>
          <w:sz w:val="21"/>
          <w:szCs w:val="21"/>
          <w:highlight w:val="none"/>
        </w:rPr>
        <w:t>和</w:t>
      </w:r>
      <w:r>
        <w:rPr>
          <w:rFonts w:hint="eastAsia" w:asciiTheme="majorEastAsia" w:hAnsiTheme="majorEastAsia" w:eastAsiaTheme="majorEastAsia" w:cstheme="majorEastAsia"/>
          <w:sz w:val="21"/>
          <w:szCs w:val="21"/>
          <w:highlight w:val="none"/>
          <w:lang w:eastAsia="zh-CN"/>
        </w:rPr>
        <w:t>废弃农用薄膜</w:t>
      </w:r>
      <w:r>
        <w:rPr>
          <w:rFonts w:hint="eastAsia" w:asciiTheme="majorEastAsia" w:hAnsiTheme="majorEastAsia" w:eastAsiaTheme="majorEastAsia" w:cstheme="majorEastAsia"/>
          <w:sz w:val="21"/>
          <w:szCs w:val="21"/>
          <w:highlight w:val="none"/>
        </w:rPr>
        <w:t>回收点</w:t>
      </w:r>
      <w:r>
        <w:rPr>
          <w:rFonts w:hint="eastAsia" w:asciiTheme="majorEastAsia" w:hAnsiTheme="majorEastAsia" w:eastAsiaTheme="majorEastAsia" w:cstheme="majorEastAsia"/>
          <w:sz w:val="21"/>
          <w:szCs w:val="21"/>
          <w:highlight w:val="none"/>
          <w:lang w:eastAsia="zh-CN"/>
        </w:rPr>
        <w:t>。</w:t>
      </w:r>
    </w:p>
    <w:p>
      <w:pPr>
        <w:pStyle w:val="20"/>
        <w:spacing w:after="0" w:line="360"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4.2 回收</w:t>
      </w:r>
      <w:r>
        <w:rPr>
          <w:rFonts w:hint="eastAsia" w:asciiTheme="majorEastAsia" w:hAnsiTheme="majorEastAsia" w:eastAsiaTheme="majorEastAsia" w:cstheme="majorEastAsia"/>
          <w:sz w:val="21"/>
          <w:szCs w:val="21"/>
          <w:highlight w:val="none"/>
          <w:lang w:val="en-US" w:eastAsia="zh-CN"/>
        </w:rPr>
        <w:t>网点要求：</w:t>
      </w:r>
      <w:r>
        <w:rPr>
          <w:rFonts w:hint="eastAsia" w:asciiTheme="majorEastAsia" w:hAnsiTheme="majorEastAsia" w:eastAsiaTheme="majorEastAsia" w:cstheme="majorEastAsia"/>
          <w:sz w:val="21"/>
          <w:szCs w:val="21"/>
          <w:highlight w:val="none"/>
        </w:rPr>
        <w:t>各回收网点要求有专人负责并按要求做好回收工作。要有独立</w:t>
      </w:r>
      <w:r>
        <w:rPr>
          <w:rFonts w:hint="eastAsia" w:asciiTheme="majorEastAsia" w:hAnsiTheme="majorEastAsia" w:eastAsiaTheme="majorEastAsia" w:cstheme="majorEastAsia"/>
          <w:sz w:val="21"/>
          <w:szCs w:val="21"/>
          <w:highlight w:val="none"/>
          <w:lang w:val="en-US" w:eastAsia="zh-CN"/>
        </w:rPr>
        <w:t>的</w:t>
      </w:r>
      <w:r>
        <w:rPr>
          <w:rFonts w:hint="eastAsia" w:asciiTheme="majorEastAsia" w:hAnsiTheme="majorEastAsia" w:eastAsiaTheme="majorEastAsia" w:cstheme="majorEastAsia"/>
          <w:sz w:val="21"/>
          <w:szCs w:val="21"/>
          <w:highlight w:val="none"/>
          <w:lang w:eastAsia="zh-CN"/>
        </w:rPr>
        <w:t>农药包装废弃物</w:t>
      </w:r>
      <w:r>
        <w:rPr>
          <w:rFonts w:hint="eastAsia" w:asciiTheme="majorEastAsia" w:hAnsiTheme="majorEastAsia" w:eastAsiaTheme="majorEastAsia" w:cstheme="majorEastAsia"/>
          <w:sz w:val="21"/>
          <w:szCs w:val="21"/>
          <w:highlight w:val="none"/>
        </w:rPr>
        <w:t>和</w:t>
      </w:r>
      <w:r>
        <w:rPr>
          <w:rFonts w:hint="eastAsia" w:asciiTheme="majorEastAsia" w:hAnsiTheme="majorEastAsia" w:eastAsiaTheme="majorEastAsia" w:cstheme="majorEastAsia"/>
          <w:sz w:val="21"/>
          <w:szCs w:val="21"/>
          <w:highlight w:val="none"/>
          <w:lang w:eastAsia="zh-CN"/>
        </w:rPr>
        <w:t>废弃农用薄膜</w:t>
      </w:r>
      <w:r>
        <w:rPr>
          <w:rFonts w:hint="eastAsia" w:asciiTheme="majorEastAsia" w:hAnsiTheme="majorEastAsia" w:eastAsiaTheme="majorEastAsia" w:cstheme="majorEastAsia"/>
          <w:sz w:val="21"/>
          <w:szCs w:val="21"/>
          <w:highlight w:val="none"/>
        </w:rPr>
        <w:t>回收区域，区域内摆放回收专用</w:t>
      </w:r>
      <w:r>
        <w:rPr>
          <w:rFonts w:hint="eastAsia" w:asciiTheme="majorEastAsia" w:hAnsiTheme="majorEastAsia" w:eastAsiaTheme="majorEastAsia" w:cstheme="majorEastAsia"/>
          <w:sz w:val="21"/>
          <w:szCs w:val="21"/>
          <w:highlight w:val="none"/>
          <w:lang w:val="en-US" w:eastAsia="zh-CN"/>
        </w:rPr>
        <w:t>设施</w:t>
      </w:r>
      <w:r>
        <w:rPr>
          <w:rFonts w:hint="eastAsia" w:asciiTheme="majorEastAsia" w:hAnsiTheme="majorEastAsia" w:eastAsiaTheme="majorEastAsia" w:cstheme="majorEastAsia"/>
          <w:sz w:val="21"/>
          <w:szCs w:val="21"/>
          <w:highlight w:val="none"/>
        </w:rPr>
        <w:t>，并明示回收标准。</w:t>
      </w:r>
    </w:p>
    <w:p>
      <w:pPr>
        <w:snapToGrid w:val="0"/>
        <w:spacing w:line="360" w:lineRule="auto"/>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5、服务工作台账、记录</w:t>
      </w:r>
    </w:p>
    <w:p>
      <w:pPr>
        <w:pStyle w:val="20"/>
        <w:spacing w:after="0" w:line="360"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中标供应商应做好如下台账、记录：</w:t>
      </w:r>
    </w:p>
    <w:p>
      <w:pPr>
        <w:pStyle w:val="20"/>
        <w:spacing w:after="0" w:line="360"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5.1回收网点的布局；</w:t>
      </w:r>
    </w:p>
    <w:p>
      <w:pPr>
        <w:pStyle w:val="20"/>
        <w:spacing w:after="0" w:line="360"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5.2 网点回收内容、时间、数据、人员；</w:t>
      </w:r>
    </w:p>
    <w:p>
      <w:pPr>
        <w:pStyle w:val="20"/>
        <w:spacing w:after="0" w:line="360"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5.3 回收物集中入库内容、时间、数据、人员；</w:t>
      </w:r>
    </w:p>
    <w:p>
      <w:pPr>
        <w:pStyle w:val="20"/>
        <w:spacing w:after="0" w:line="360"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5.4回收物处置报批、出库、处理完的内容、时间、数据、人员。</w:t>
      </w:r>
    </w:p>
    <w:p>
      <w:pPr>
        <w:pStyle w:val="20"/>
        <w:spacing w:after="0" w:line="360" w:lineRule="auto"/>
        <w:ind w:firstLine="482"/>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5.5其他采购或农业农村部门要求的台账、记录。</w:t>
      </w:r>
    </w:p>
    <w:p>
      <w:pPr>
        <w:numPr>
          <w:ilvl w:val="0"/>
          <w:numId w:val="0"/>
        </w:numPr>
        <w:snapToGrid w:val="0"/>
        <w:spacing w:line="360" w:lineRule="auto"/>
        <w:rPr>
          <w:rFonts w:hint="eastAsia" w:asciiTheme="majorEastAsia" w:hAnsiTheme="majorEastAsia" w:eastAsiaTheme="majorEastAsia" w:cstheme="majorEastAsia"/>
          <w:b/>
          <w:bCs/>
          <w:sz w:val="21"/>
          <w:szCs w:val="21"/>
          <w:highlight w:val="none"/>
          <w:lang w:val="en-US" w:eastAsia="zh-CN"/>
        </w:rPr>
      </w:pPr>
      <w:r>
        <w:rPr>
          <w:rFonts w:hint="eastAsia" w:asciiTheme="majorEastAsia" w:hAnsiTheme="majorEastAsia" w:eastAsiaTheme="majorEastAsia" w:cstheme="majorEastAsia"/>
          <w:b/>
          <w:bCs/>
          <w:sz w:val="21"/>
          <w:szCs w:val="21"/>
          <w:highlight w:val="none"/>
          <w:lang w:val="en-US" w:eastAsia="zh-CN"/>
        </w:rPr>
        <w:t>6、考核办法</w:t>
      </w:r>
    </w:p>
    <w:p>
      <w:pPr>
        <w:pStyle w:val="20"/>
        <w:spacing w:after="0" w:line="360" w:lineRule="auto"/>
        <w:ind w:firstLine="482"/>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6.1与回收网点签订工作责任书，有回收但未签订的，每发现一家扣2000元。</w:t>
      </w:r>
    </w:p>
    <w:p>
      <w:pPr>
        <w:pStyle w:val="20"/>
        <w:spacing w:after="0" w:line="360" w:lineRule="auto"/>
        <w:ind w:firstLine="482"/>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6.2供应商的台帐记录不完整，存在弄虚作假等情况，每发现一次扣2000元。</w:t>
      </w:r>
    </w:p>
    <w:p>
      <w:pPr>
        <w:pStyle w:val="20"/>
        <w:spacing w:after="0" w:line="360" w:lineRule="auto"/>
        <w:ind w:firstLine="482"/>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6.3发现回收网点回收的农业固体废物存放超过一个月未进行运输处理的，每网点每次扣1000元。发现回收网点存在农业固体废物随地乱丢等破坏环境行为，每网点每次扣1000元。</w:t>
      </w:r>
    </w:p>
    <w:p>
      <w:pPr>
        <w:pStyle w:val="20"/>
        <w:spacing w:after="0" w:line="360" w:lineRule="auto"/>
        <w:ind w:firstLine="482"/>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6.4发现回收网点台帐不完整，存在虚报、漏报等情况，每网点每次扣500元，如连续两次发现上述情况，采购人有权要求回收网点整改。</w:t>
      </w:r>
    </w:p>
    <w:p>
      <w:pPr>
        <w:pStyle w:val="20"/>
        <w:spacing w:after="0" w:line="360" w:lineRule="auto"/>
        <w:ind w:firstLine="482"/>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6.5发现农业固体废物未进行处置，存在自行焚烧的每次扣5000元。收购数量与销毁数量不能相互印证等情况不予结算费用。如连续发现两次此种情况，依据有关法律法规处置。</w:t>
      </w:r>
    </w:p>
    <w:p>
      <w:pPr>
        <w:pStyle w:val="20"/>
        <w:spacing w:after="0" w:line="360" w:lineRule="auto"/>
        <w:ind w:firstLine="482"/>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6.6资金结算发现弄虚作假，依据有关法律法规处置。</w:t>
      </w:r>
    </w:p>
    <w:p>
      <w:pPr>
        <w:pStyle w:val="20"/>
        <w:spacing w:after="0" w:line="360" w:lineRule="auto"/>
        <w:ind w:firstLine="482"/>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6.7农业固体废物未使用废物运输专用车辆，导致污染环境等问题，每次扣5000元。</w:t>
      </w:r>
    </w:p>
    <w:p>
      <w:pPr>
        <w:pStyle w:val="20"/>
        <w:spacing w:after="0" w:line="360" w:lineRule="auto"/>
        <w:ind w:firstLine="482"/>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6.8回收物处置单位对回收的农业固体废物集中处置不符合相关环保标准，被环保机构检查发现，依据有关法律法规处置。</w:t>
      </w:r>
    </w:p>
    <w:p>
      <w:pPr>
        <w:pStyle w:val="21"/>
        <w:ind w:firstLine="420" w:firstLineChars="200"/>
        <w:rPr>
          <w:rFonts w:hint="default"/>
          <w:color w:val="auto"/>
          <w:lang w:val="en-US"/>
        </w:rPr>
      </w:pPr>
      <w:r>
        <w:rPr>
          <w:rFonts w:hint="eastAsia" w:asciiTheme="majorEastAsia" w:hAnsiTheme="majorEastAsia" w:eastAsiaTheme="majorEastAsia" w:cstheme="majorEastAsia"/>
          <w:color w:val="auto"/>
          <w:sz w:val="21"/>
          <w:szCs w:val="21"/>
          <w:highlight w:val="none"/>
          <w:lang w:val="en-US" w:eastAsia="zh-CN"/>
        </w:rPr>
        <w:t>6.9 以上累计扣款达到10000元时，采购人有权解除合同。</w:t>
      </w:r>
    </w:p>
    <w:p>
      <w:pPr>
        <w:numPr>
          <w:ilvl w:val="0"/>
          <w:numId w:val="0"/>
        </w:numPr>
        <w:spacing w:line="380" w:lineRule="exact"/>
        <w:rPr>
          <w:rFonts w:ascii="宋体" w:hAnsi="宋体" w:cs="宋体"/>
          <w:color w:val="auto"/>
          <w:sz w:val="21"/>
          <w:szCs w:val="21"/>
          <w:highlight w:val="none"/>
        </w:rPr>
      </w:pPr>
      <w:bookmarkStart w:id="84" w:name="_Toc435540762"/>
      <w:r>
        <w:rPr>
          <w:rFonts w:hint="eastAsia" w:ascii="宋体" w:hAnsi="宋体" w:cs="宋体"/>
          <w:color w:val="auto"/>
          <w:sz w:val="21"/>
          <w:szCs w:val="21"/>
          <w:highlight w:val="none"/>
          <w:lang w:val="en-US" w:eastAsia="zh-CN"/>
        </w:rPr>
        <w:t>三、</w:t>
      </w:r>
      <w:r>
        <w:rPr>
          <w:rFonts w:hint="eastAsia" w:ascii="宋体" w:hAnsi="宋体" w:cs="宋体"/>
          <w:color w:val="auto"/>
          <w:sz w:val="21"/>
          <w:szCs w:val="21"/>
          <w:highlight w:val="none"/>
        </w:rPr>
        <w:t>服务期间（项目完成期限）</w:t>
      </w:r>
      <w:bookmarkEnd w:id="84"/>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自合同签订之日起三年，合同一年一签，采购人根据中标人在上年度合同履约、考核情况及资金落实情况等决定是否续签。</w:t>
      </w:r>
    </w:p>
    <w:p>
      <w:pPr>
        <w:spacing w:line="38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委托服务期间自______年______月______</w:t>
      </w:r>
      <w:r>
        <w:rPr>
          <w:rFonts w:hint="eastAsia" w:ascii="宋体" w:hAnsi="宋体" w:cs="宋体"/>
          <w:color w:val="auto"/>
          <w:sz w:val="21"/>
          <w:szCs w:val="21"/>
          <w:highlight w:val="none"/>
          <w:lang w:val="en-US" w:eastAsia="zh-CN"/>
        </w:rPr>
        <w:t>日</w:t>
      </w:r>
      <w:r>
        <w:rPr>
          <w:rFonts w:hint="eastAsia" w:ascii="宋体" w:hAnsi="宋体" w:cs="宋体"/>
          <w:color w:val="auto"/>
          <w:sz w:val="21"/>
          <w:szCs w:val="21"/>
          <w:highlight w:val="none"/>
        </w:rPr>
        <w:t>至______年______月______</w:t>
      </w:r>
      <w:r>
        <w:rPr>
          <w:rFonts w:hint="eastAsia" w:ascii="宋体" w:hAnsi="宋体" w:cs="宋体"/>
          <w:color w:val="auto"/>
          <w:sz w:val="21"/>
          <w:szCs w:val="21"/>
          <w:highlight w:val="none"/>
          <w:lang w:val="en-US" w:eastAsia="zh-CN"/>
        </w:rPr>
        <w:t>日</w:t>
      </w:r>
      <w:r>
        <w:rPr>
          <w:rFonts w:hint="eastAsia" w:ascii="宋体" w:hAnsi="宋体" w:cs="宋体"/>
          <w:color w:val="auto"/>
          <w:sz w:val="21"/>
          <w:szCs w:val="21"/>
          <w:highlight w:val="none"/>
        </w:rPr>
        <w:t>止。</w:t>
      </w:r>
    </w:p>
    <w:p>
      <w:pPr>
        <w:pStyle w:val="165"/>
        <w:rPr>
          <w:color w:val="auto"/>
          <w:sz w:val="21"/>
          <w:szCs w:val="21"/>
          <w:highlight w:val="none"/>
        </w:rPr>
      </w:pPr>
    </w:p>
    <w:p>
      <w:pPr>
        <w:numPr>
          <w:ilvl w:val="0"/>
          <w:numId w:val="16"/>
        </w:numPr>
        <w:spacing w:line="380" w:lineRule="exact"/>
        <w:jc w:val="left"/>
        <w:rPr>
          <w:rFonts w:ascii="宋体" w:hAnsi="宋体" w:cs="宋体"/>
          <w:color w:val="auto"/>
          <w:sz w:val="21"/>
          <w:szCs w:val="21"/>
          <w:highlight w:val="none"/>
        </w:rPr>
      </w:pPr>
      <w:bookmarkStart w:id="85" w:name="_Toc435540763"/>
      <w:r>
        <w:rPr>
          <w:rFonts w:hint="eastAsia" w:ascii="宋体" w:hAnsi="宋体" w:cs="宋体"/>
          <w:color w:val="auto"/>
          <w:sz w:val="21"/>
          <w:szCs w:val="21"/>
          <w:highlight w:val="none"/>
        </w:rPr>
        <w:t>付款方式</w:t>
      </w:r>
      <w:bookmarkEnd w:id="85"/>
      <w:r>
        <w:rPr>
          <w:rFonts w:hint="eastAsia" w:ascii="宋体" w:hAnsi="宋体" w:cs="宋体"/>
          <w:color w:val="auto"/>
          <w:sz w:val="21"/>
          <w:szCs w:val="21"/>
          <w:highlight w:val="none"/>
        </w:rPr>
        <w:t>：</w:t>
      </w:r>
    </w:p>
    <w:p>
      <w:pPr>
        <w:pStyle w:val="3"/>
        <w:keepNext w:val="0"/>
        <w:keepLines w:val="0"/>
        <w:pageBreakBefore w:val="0"/>
        <w:widowControl w:val="0"/>
        <w:kinsoku/>
        <w:wordWrap/>
        <w:overflowPunct/>
        <w:topLinePunct w:val="0"/>
        <w:autoSpaceDE/>
        <w:autoSpaceDN/>
        <w:bidi w:val="0"/>
        <w:adjustRightInd/>
        <w:snapToGrid/>
        <w:spacing w:line="380" w:lineRule="exact"/>
        <w:ind w:firstLine="404" w:firstLineChars="200"/>
        <w:textAlignment w:val="auto"/>
        <w:rPr>
          <w:rFonts w:hint="eastAsia" w:ascii="宋体" w:hAnsi="宋体" w:eastAsia="宋体" w:cs="宋体"/>
          <w:color w:val="auto"/>
          <w:spacing w:val="0"/>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lang w:val="en-US" w:eastAsia="zh-CN"/>
        </w:rPr>
        <w:t>合同生效以及具备实施条件后7个工作日内支付合同总价的20%作为预付款。每半年结算一次</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根据供应商已完成的回收数量及运输处置数量按实结算，其中特种用具、准备期费用、宣传费及相关管理费税金利润等费用为包干价在年度合同期限满后进行支付</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如有扣罚款的，在支付时相应扣除。</w:t>
      </w:r>
    </w:p>
    <w:p>
      <w:pPr>
        <w:spacing w:line="380" w:lineRule="exact"/>
        <w:rPr>
          <w:rFonts w:ascii="宋体" w:hAnsi="宋体" w:cs="宋体"/>
          <w:sz w:val="21"/>
          <w:szCs w:val="21"/>
          <w:highlight w:val="none"/>
        </w:rPr>
      </w:pPr>
      <w:bookmarkStart w:id="86" w:name="_Toc435540764"/>
      <w:r>
        <w:rPr>
          <w:rFonts w:hint="eastAsia" w:ascii="宋体" w:hAnsi="宋体" w:cs="宋体"/>
          <w:sz w:val="21"/>
          <w:szCs w:val="21"/>
          <w:highlight w:val="none"/>
        </w:rPr>
        <w:t>五、知识产权产权归属</w:t>
      </w:r>
      <w:bookmarkEnd w:id="86"/>
    </w:p>
    <w:p>
      <w:pPr>
        <w:spacing w:line="380" w:lineRule="exact"/>
        <w:ind w:firstLine="420" w:firstLineChars="200"/>
        <w:rPr>
          <w:rFonts w:ascii="宋体" w:hAnsi="宋体" w:cs="宋体"/>
          <w:sz w:val="21"/>
          <w:szCs w:val="21"/>
          <w:highlight w:val="none"/>
        </w:rPr>
      </w:pPr>
      <w:r>
        <w:rPr>
          <w:rFonts w:hint="eastAsia" w:ascii="宋体" w:hAnsi="宋体" w:cs="宋体"/>
          <w:sz w:val="21"/>
          <w:szCs w:val="21"/>
          <w:highlight w:val="none"/>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bookmarkStart w:id="87" w:name="_Toc435540765"/>
    </w:p>
    <w:p>
      <w:pPr>
        <w:spacing w:line="380" w:lineRule="exact"/>
        <w:rPr>
          <w:rFonts w:ascii="宋体" w:hAnsi="宋体" w:cs="宋体"/>
          <w:sz w:val="21"/>
          <w:szCs w:val="21"/>
          <w:highlight w:val="none"/>
        </w:rPr>
      </w:pPr>
      <w:r>
        <w:rPr>
          <w:rFonts w:hint="eastAsia" w:ascii="宋体" w:hAnsi="宋体" w:cs="宋体"/>
          <w:sz w:val="21"/>
          <w:szCs w:val="21"/>
          <w:highlight w:val="none"/>
        </w:rPr>
        <w:t>六、保密</w:t>
      </w:r>
      <w:bookmarkEnd w:id="87"/>
    </w:p>
    <w:p>
      <w:pPr>
        <w:spacing w:line="380" w:lineRule="exact"/>
        <w:ind w:firstLine="420" w:firstLineChars="200"/>
        <w:rPr>
          <w:rFonts w:ascii="宋体" w:hAnsi="宋体" w:cs="宋体"/>
          <w:sz w:val="21"/>
          <w:szCs w:val="21"/>
          <w:highlight w:val="none"/>
        </w:rPr>
      </w:pPr>
      <w:r>
        <w:rPr>
          <w:rFonts w:hint="eastAsia" w:ascii="宋体" w:hAnsi="宋体" w:cs="宋体"/>
          <w:sz w:val="21"/>
          <w:szCs w:val="21"/>
          <w:highlight w:val="none"/>
        </w:rPr>
        <w:t>乙方必须采取措施对本项目实施过程中的技术资料保密，否则，由于乙方过错导致的上述资料泄密的，乙方必须承担一切责任。项目完成后，甲、乙双方均有责任对本项目的技术保密承担责任。</w:t>
      </w:r>
    </w:p>
    <w:p>
      <w:pPr>
        <w:tabs>
          <w:tab w:val="left" w:pos="900"/>
        </w:tabs>
        <w:spacing w:line="380" w:lineRule="exact"/>
        <w:ind w:firstLine="420" w:firstLineChars="200"/>
        <w:rPr>
          <w:rFonts w:ascii="宋体" w:hAnsi="宋体" w:cs="宋体"/>
          <w:sz w:val="21"/>
          <w:szCs w:val="21"/>
          <w:highlight w:val="none"/>
        </w:rPr>
      </w:pPr>
      <w:r>
        <w:rPr>
          <w:rFonts w:hint="eastAsia" w:ascii="宋体" w:hAnsi="宋体" w:cs="宋体"/>
          <w:sz w:val="21"/>
          <w:szCs w:val="21"/>
          <w:highlight w:val="none"/>
        </w:rPr>
        <w:t>（一）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pPr>
        <w:tabs>
          <w:tab w:val="left" w:pos="900"/>
        </w:tabs>
        <w:spacing w:line="380" w:lineRule="exact"/>
        <w:ind w:firstLine="420" w:firstLineChars="200"/>
        <w:rPr>
          <w:rFonts w:ascii="宋体" w:hAnsi="宋体" w:cs="宋体"/>
          <w:sz w:val="21"/>
          <w:szCs w:val="21"/>
          <w:highlight w:val="none"/>
        </w:rPr>
      </w:pPr>
      <w:r>
        <w:rPr>
          <w:rFonts w:hint="eastAsia" w:ascii="宋体" w:hAnsi="宋体" w:cs="宋体"/>
          <w:sz w:val="21"/>
          <w:szCs w:val="21"/>
          <w:highlight w:val="none"/>
        </w:rPr>
        <w:t>（二）如果甲方有要求，乙方在完成合同后应将有关资料还给甲方。</w:t>
      </w:r>
    </w:p>
    <w:p>
      <w:pPr>
        <w:spacing w:line="380" w:lineRule="exact"/>
        <w:rPr>
          <w:rFonts w:ascii="宋体" w:hAnsi="宋体" w:cs="宋体"/>
          <w:sz w:val="21"/>
          <w:szCs w:val="21"/>
          <w:highlight w:val="none"/>
        </w:rPr>
      </w:pPr>
      <w:bookmarkStart w:id="88" w:name="_Toc435540766"/>
      <w:r>
        <w:rPr>
          <w:rFonts w:hint="eastAsia" w:ascii="宋体" w:hAnsi="宋体" w:cs="宋体"/>
          <w:sz w:val="21"/>
          <w:szCs w:val="21"/>
          <w:highlight w:val="none"/>
        </w:rPr>
        <w:t>七、违约责任与赔偿损失</w:t>
      </w:r>
      <w:bookmarkEnd w:id="88"/>
    </w:p>
    <w:p>
      <w:pPr>
        <w:spacing w:line="380" w:lineRule="exact"/>
        <w:ind w:firstLine="420" w:firstLineChars="200"/>
        <w:rPr>
          <w:rFonts w:ascii="宋体" w:hAnsi="宋体" w:cs="宋体"/>
          <w:sz w:val="21"/>
          <w:szCs w:val="21"/>
          <w:highlight w:val="none"/>
        </w:rPr>
      </w:pPr>
      <w:r>
        <w:rPr>
          <w:rFonts w:hint="eastAsia" w:ascii="宋体" w:hAnsi="宋体" w:cs="宋体"/>
          <w:sz w:val="21"/>
          <w:szCs w:val="21"/>
          <w:highlight w:val="none"/>
        </w:rPr>
        <w:t>（一）乙方提供的服务不符合采购文件、投标文件或本合同规定的，甲方有权拒收，并且乙方须向甲方方支付本合同总价5%的违约金。</w:t>
      </w:r>
    </w:p>
    <w:p>
      <w:pPr>
        <w:tabs>
          <w:tab w:val="left" w:pos="720"/>
          <w:tab w:val="left" w:pos="900"/>
        </w:tabs>
        <w:spacing w:line="380" w:lineRule="exact"/>
        <w:ind w:right="51" w:firstLine="420" w:firstLineChars="200"/>
        <w:rPr>
          <w:rFonts w:ascii="宋体" w:hAnsi="宋体" w:cs="宋体"/>
          <w:sz w:val="21"/>
          <w:szCs w:val="21"/>
          <w:highlight w:val="none"/>
        </w:rPr>
      </w:pPr>
      <w:r>
        <w:rPr>
          <w:rFonts w:hint="eastAsia" w:ascii="宋体" w:hAnsi="宋体" w:cs="宋体"/>
          <w:sz w:val="21"/>
          <w:szCs w:val="21"/>
          <w:highlight w:val="none"/>
        </w:rPr>
        <w:t>（二）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spacing w:line="380" w:lineRule="exact"/>
        <w:ind w:firstLine="420" w:firstLineChars="200"/>
        <w:rPr>
          <w:rFonts w:ascii="宋体" w:hAnsi="宋体" w:cs="宋体"/>
          <w:sz w:val="21"/>
          <w:szCs w:val="21"/>
          <w:highlight w:val="none"/>
        </w:rPr>
      </w:pPr>
      <w:r>
        <w:rPr>
          <w:rFonts w:hint="eastAsia" w:ascii="宋体" w:hAnsi="宋体" w:cs="宋体"/>
          <w:sz w:val="21"/>
          <w:szCs w:val="21"/>
          <w:highlight w:val="none"/>
        </w:rPr>
        <w:t>（三）甲方无正当理由拒收接受服务，到期拒付服务款项的，甲方向乙方偿付本合同总价5%的违约金。甲方逾期付款，则每日按本合同总价的3‰向乙方偿付违约金。</w:t>
      </w:r>
    </w:p>
    <w:p>
      <w:pPr>
        <w:spacing w:line="380" w:lineRule="exact"/>
        <w:ind w:firstLine="420" w:firstLineChars="200"/>
        <w:rPr>
          <w:rFonts w:ascii="宋体" w:hAnsi="宋体" w:cs="宋体"/>
          <w:bCs/>
          <w:sz w:val="21"/>
          <w:szCs w:val="21"/>
          <w:highlight w:val="none"/>
        </w:rPr>
      </w:pPr>
      <w:r>
        <w:rPr>
          <w:rFonts w:hint="eastAsia" w:ascii="宋体" w:hAnsi="宋体" w:cs="宋体"/>
          <w:bCs/>
          <w:sz w:val="21"/>
          <w:szCs w:val="21"/>
          <w:highlight w:val="none"/>
        </w:rPr>
        <w:t>（四）其它违约责任按《中华人民共和国合同法》处理。</w:t>
      </w:r>
    </w:p>
    <w:p>
      <w:pPr>
        <w:spacing w:line="380" w:lineRule="exact"/>
        <w:rPr>
          <w:rFonts w:ascii="宋体" w:hAnsi="宋体" w:cs="宋体"/>
          <w:sz w:val="21"/>
          <w:szCs w:val="21"/>
          <w:highlight w:val="none"/>
        </w:rPr>
      </w:pPr>
      <w:bookmarkStart w:id="89" w:name="_Toc435540767"/>
      <w:r>
        <w:rPr>
          <w:rFonts w:hint="eastAsia" w:ascii="宋体" w:hAnsi="宋体" w:cs="宋体"/>
          <w:sz w:val="21"/>
          <w:szCs w:val="21"/>
          <w:highlight w:val="none"/>
        </w:rPr>
        <w:t>八、争端的解决</w:t>
      </w:r>
      <w:bookmarkEnd w:id="89"/>
    </w:p>
    <w:p>
      <w:pPr>
        <w:spacing w:line="380" w:lineRule="exact"/>
        <w:ind w:firstLine="420" w:firstLineChars="200"/>
        <w:rPr>
          <w:rFonts w:ascii="宋体" w:hAnsi="宋体" w:cs="宋体"/>
          <w:sz w:val="21"/>
          <w:szCs w:val="21"/>
          <w:highlight w:val="none"/>
        </w:rPr>
      </w:pPr>
      <w:r>
        <w:rPr>
          <w:rFonts w:hint="eastAsia" w:ascii="宋体" w:hAnsi="宋体" w:cs="宋体"/>
          <w:sz w:val="21"/>
          <w:szCs w:val="21"/>
          <w:highlight w:val="none"/>
        </w:rPr>
        <w:t>合同执行过程中发生的任何争议，如双方不能通过友好协商解决，甲、乙双方一致同意向甲方所在地人民法院提起诉讼。</w:t>
      </w:r>
    </w:p>
    <w:p>
      <w:pPr>
        <w:spacing w:line="380" w:lineRule="exact"/>
        <w:rPr>
          <w:rFonts w:ascii="宋体" w:hAnsi="宋体" w:cs="宋体"/>
          <w:sz w:val="21"/>
          <w:szCs w:val="21"/>
          <w:highlight w:val="none"/>
        </w:rPr>
      </w:pPr>
      <w:bookmarkStart w:id="90" w:name="_Toc435540768"/>
      <w:r>
        <w:rPr>
          <w:rFonts w:hint="eastAsia" w:ascii="宋体" w:hAnsi="宋体" w:cs="宋体"/>
          <w:sz w:val="21"/>
          <w:szCs w:val="21"/>
          <w:highlight w:val="none"/>
        </w:rPr>
        <w:t>九、不可抗力</w:t>
      </w:r>
      <w:bookmarkEnd w:id="90"/>
    </w:p>
    <w:p>
      <w:pPr>
        <w:spacing w:line="380" w:lineRule="exact"/>
        <w:ind w:firstLine="420" w:firstLineChars="200"/>
        <w:rPr>
          <w:rFonts w:ascii="宋体" w:hAnsi="宋体" w:cs="宋体"/>
          <w:sz w:val="21"/>
          <w:szCs w:val="21"/>
          <w:highlight w:val="none"/>
        </w:rPr>
      </w:pPr>
      <w:r>
        <w:rPr>
          <w:rFonts w:hint="eastAsia" w:ascii="宋体" w:hAnsi="宋体" w:cs="宋体"/>
          <w:sz w:val="21"/>
          <w:szCs w:val="21"/>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80" w:lineRule="exact"/>
        <w:rPr>
          <w:rFonts w:ascii="宋体" w:hAnsi="宋体" w:cs="宋体"/>
          <w:sz w:val="21"/>
          <w:szCs w:val="21"/>
          <w:highlight w:val="none"/>
        </w:rPr>
      </w:pPr>
      <w:bookmarkStart w:id="91" w:name="_Toc435540769"/>
      <w:r>
        <w:rPr>
          <w:rFonts w:hint="eastAsia" w:ascii="宋体" w:hAnsi="宋体" w:cs="宋体"/>
          <w:sz w:val="21"/>
          <w:szCs w:val="21"/>
          <w:highlight w:val="none"/>
        </w:rPr>
        <w:t>十、税费</w:t>
      </w:r>
      <w:bookmarkEnd w:id="91"/>
    </w:p>
    <w:p>
      <w:pPr>
        <w:spacing w:line="380" w:lineRule="exact"/>
        <w:ind w:firstLine="420" w:firstLineChars="200"/>
        <w:rPr>
          <w:rFonts w:ascii="宋体" w:hAnsi="宋体" w:cs="宋体"/>
          <w:sz w:val="21"/>
          <w:szCs w:val="21"/>
          <w:highlight w:val="none"/>
        </w:rPr>
      </w:pPr>
      <w:r>
        <w:rPr>
          <w:rFonts w:hint="eastAsia" w:ascii="宋体" w:hAnsi="宋体" w:cs="宋体"/>
          <w:sz w:val="21"/>
          <w:szCs w:val="21"/>
          <w:highlight w:val="none"/>
        </w:rPr>
        <w:t>在中国境内、外发生的与本合同执行有关的一切税费均由乙方负担。</w:t>
      </w:r>
    </w:p>
    <w:p>
      <w:pPr>
        <w:spacing w:line="380" w:lineRule="exact"/>
        <w:rPr>
          <w:rFonts w:ascii="宋体" w:hAnsi="宋体" w:cs="宋体"/>
          <w:sz w:val="21"/>
          <w:szCs w:val="21"/>
          <w:highlight w:val="none"/>
        </w:rPr>
      </w:pPr>
      <w:bookmarkStart w:id="92" w:name="_Toc435540770"/>
      <w:r>
        <w:rPr>
          <w:rFonts w:hint="eastAsia" w:ascii="宋体" w:hAnsi="宋体" w:cs="宋体"/>
          <w:sz w:val="21"/>
          <w:szCs w:val="21"/>
          <w:highlight w:val="none"/>
        </w:rPr>
        <w:t>十一、其它</w:t>
      </w:r>
      <w:bookmarkEnd w:id="92"/>
    </w:p>
    <w:p>
      <w:pPr>
        <w:spacing w:line="380" w:lineRule="exact"/>
        <w:ind w:firstLine="420" w:firstLineChars="200"/>
        <w:rPr>
          <w:rFonts w:ascii="宋体" w:hAnsi="宋体" w:cs="宋体"/>
          <w:b/>
          <w:sz w:val="21"/>
          <w:szCs w:val="21"/>
          <w:highlight w:val="none"/>
        </w:rPr>
      </w:pPr>
      <w:r>
        <w:rPr>
          <w:rFonts w:hint="eastAsia" w:ascii="宋体" w:hAnsi="宋体" w:cs="宋体"/>
          <w:sz w:val="21"/>
          <w:szCs w:val="21"/>
          <w:highlight w:val="none"/>
        </w:rPr>
        <w:t>（一）本合同所有附件、采购文件、投标文件、中标通知书均为合同的有效组成部分，与本合同具有同等法律效力。</w:t>
      </w:r>
    </w:p>
    <w:p>
      <w:pPr>
        <w:spacing w:line="380" w:lineRule="exact"/>
        <w:ind w:firstLine="420" w:firstLineChars="200"/>
        <w:rPr>
          <w:rFonts w:ascii="宋体" w:hAnsi="宋体" w:cs="宋体"/>
          <w:sz w:val="21"/>
          <w:szCs w:val="21"/>
          <w:highlight w:val="none"/>
        </w:rPr>
      </w:pPr>
      <w:r>
        <w:rPr>
          <w:rFonts w:hint="eastAsia" w:ascii="宋体" w:hAnsi="宋体" w:cs="宋体"/>
          <w:sz w:val="21"/>
          <w:szCs w:val="21"/>
          <w:highlight w:val="none"/>
        </w:rPr>
        <w:t>（二）在执行本合同的过程中，所有经双方签署确认的文件（包括会议纪要、补充协议、往来信函）即成为本合同的有效组成部分。</w:t>
      </w:r>
    </w:p>
    <w:p>
      <w:pPr>
        <w:spacing w:line="380" w:lineRule="exact"/>
        <w:ind w:firstLine="420" w:firstLineChars="200"/>
        <w:rPr>
          <w:rFonts w:ascii="宋体" w:hAnsi="宋体" w:cs="宋体"/>
          <w:sz w:val="21"/>
          <w:szCs w:val="21"/>
          <w:highlight w:val="none"/>
        </w:rPr>
      </w:pPr>
      <w:r>
        <w:rPr>
          <w:rFonts w:hint="eastAsia" w:ascii="宋体" w:hAnsi="宋体" w:cs="宋体"/>
          <w:sz w:val="21"/>
          <w:szCs w:val="21"/>
          <w:highlight w:val="none"/>
        </w:rPr>
        <w:t xml:space="preserve">（三）如一方地址、电话、传真号码有变更，应在变更当日内书面通知对方，否则，应承担相应责任。 </w:t>
      </w:r>
    </w:p>
    <w:p>
      <w:pPr>
        <w:spacing w:line="380" w:lineRule="exact"/>
        <w:ind w:firstLine="420" w:firstLineChars="200"/>
        <w:rPr>
          <w:rFonts w:ascii="宋体" w:hAnsi="宋体" w:cs="宋体"/>
          <w:sz w:val="21"/>
          <w:szCs w:val="21"/>
          <w:highlight w:val="none"/>
        </w:rPr>
      </w:pPr>
      <w:r>
        <w:rPr>
          <w:rFonts w:hint="eastAsia" w:ascii="宋体" w:hAnsi="宋体" w:cs="宋体"/>
          <w:sz w:val="21"/>
          <w:szCs w:val="21"/>
          <w:highlight w:val="none"/>
        </w:rPr>
        <w:t>（四）除甲方事先书面同意外，乙方不得部分或全部转让其应履行的合同项下的义务。</w:t>
      </w:r>
    </w:p>
    <w:p>
      <w:pPr>
        <w:spacing w:line="380" w:lineRule="exact"/>
        <w:rPr>
          <w:rFonts w:ascii="宋体" w:hAnsi="宋体" w:cs="宋体"/>
          <w:sz w:val="21"/>
          <w:szCs w:val="21"/>
          <w:highlight w:val="none"/>
        </w:rPr>
      </w:pPr>
      <w:bookmarkStart w:id="93" w:name="_Toc435540771"/>
      <w:r>
        <w:rPr>
          <w:rFonts w:hint="eastAsia" w:ascii="宋体" w:hAnsi="宋体" w:cs="宋体"/>
          <w:sz w:val="21"/>
          <w:szCs w:val="21"/>
          <w:highlight w:val="none"/>
        </w:rPr>
        <w:t>十二、合同生效</w:t>
      </w:r>
      <w:bookmarkEnd w:id="93"/>
    </w:p>
    <w:p>
      <w:pPr>
        <w:spacing w:line="380" w:lineRule="exact"/>
        <w:ind w:firstLine="420" w:firstLineChars="200"/>
        <w:rPr>
          <w:rFonts w:ascii="宋体" w:hAnsi="宋体" w:cs="宋体"/>
          <w:sz w:val="21"/>
          <w:szCs w:val="21"/>
          <w:highlight w:val="none"/>
        </w:rPr>
      </w:pPr>
      <w:r>
        <w:rPr>
          <w:rFonts w:hint="eastAsia" w:ascii="宋体" w:hAnsi="宋体" w:cs="宋体"/>
          <w:sz w:val="21"/>
          <w:szCs w:val="21"/>
          <w:highlight w:val="none"/>
        </w:rPr>
        <w:t>（一）合同自甲乙双方法人代表或其授权代表签字盖章之日起生效。</w:t>
      </w:r>
    </w:p>
    <w:p>
      <w:pPr>
        <w:spacing w:line="380" w:lineRule="exact"/>
        <w:ind w:firstLine="420" w:firstLineChars="200"/>
        <w:rPr>
          <w:rFonts w:ascii="宋体" w:hAnsi="宋体" w:cs="宋体"/>
          <w:sz w:val="21"/>
          <w:szCs w:val="21"/>
          <w:highlight w:val="none"/>
        </w:rPr>
      </w:pPr>
      <w:r>
        <w:rPr>
          <w:rFonts w:hint="eastAsia" w:ascii="宋体" w:hAnsi="宋体" w:cs="宋体"/>
          <w:sz w:val="21"/>
          <w:szCs w:val="21"/>
          <w:highlight w:val="none"/>
        </w:rPr>
        <w:t>（二）合同壹式</w:t>
      </w:r>
      <w:r>
        <w:rPr>
          <w:rFonts w:hint="eastAsia" w:ascii="宋体" w:hAnsi="宋体" w:cs="宋体"/>
          <w:sz w:val="21"/>
          <w:szCs w:val="21"/>
          <w:highlight w:val="none"/>
          <w:u w:val="single"/>
        </w:rPr>
        <w:t xml:space="preserve">    </w:t>
      </w:r>
      <w:r>
        <w:rPr>
          <w:rFonts w:hint="eastAsia" w:ascii="宋体" w:hAnsi="宋体" w:cs="宋体"/>
          <w:sz w:val="21"/>
          <w:szCs w:val="21"/>
          <w:highlight w:val="none"/>
        </w:rPr>
        <w:t>份，其中甲乙双方各执</w:t>
      </w:r>
      <w:r>
        <w:rPr>
          <w:rFonts w:hint="eastAsia" w:ascii="宋体" w:hAnsi="宋体" w:cs="宋体"/>
          <w:sz w:val="21"/>
          <w:szCs w:val="21"/>
          <w:highlight w:val="none"/>
          <w:u w:val="single"/>
        </w:rPr>
        <w:t xml:space="preserve">    </w:t>
      </w:r>
      <w:r>
        <w:rPr>
          <w:rFonts w:hint="eastAsia" w:ascii="宋体" w:hAnsi="宋体" w:cs="宋体"/>
          <w:sz w:val="21"/>
          <w:szCs w:val="21"/>
          <w:highlight w:val="none"/>
        </w:rPr>
        <w:t>份，采购中心壹份，采购代理机构执壹份，政府采购监督管理部门</w:t>
      </w:r>
      <w:r>
        <w:rPr>
          <w:rFonts w:hint="eastAsia" w:ascii="宋体" w:hAnsi="宋体" w:cs="宋体"/>
          <w:sz w:val="21"/>
          <w:szCs w:val="21"/>
          <w:highlight w:val="none"/>
          <w:u w:val="single"/>
        </w:rPr>
        <w:t xml:space="preserve">    </w:t>
      </w:r>
      <w:r>
        <w:rPr>
          <w:rFonts w:hint="eastAsia" w:ascii="宋体" w:hAnsi="宋体" w:cs="宋体"/>
          <w:sz w:val="21"/>
          <w:szCs w:val="21"/>
          <w:highlight w:val="none"/>
        </w:rPr>
        <w:t>份。</w:t>
      </w:r>
    </w:p>
    <w:p>
      <w:pPr>
        <w:tabs>
          <w:tab w:val="left" w:pos="720"/>
        </w:tabs>
        <w:spacing w:line="380" w:lineRule="exact"/>
        <w:rPr>
          <w:rFonts w:ascii="宋体" w:hAnsi="宋体" w:cs="宋体"/>
          <w:sz w:val="21"/>
          <w:szCs w:val="21"/>
          <w:highlight w:val="none"/>
        </w:rPr>
      </w:pPr>
    </w:p>
    <w:p>
      <w:pPr>
        <w:snapToGrid w:val="0"/>
        <w:spacing w:line="380" w:lineRule="exact"/>
        <w:rPr>
          <w:rFonts w:ascii="宋体" w:hAnsi="宋体" w:cs="宋体"/>
          <w:sz w:val="21"/>
          <w:szCs w:val="21"/>
          <w:highlight w:val="none"/>
        </w:rPr>
      </w:pPr>
      <w:r>
        <w:rPr>
          <w:rFonts w:hint="eastAsia" w:ascii="宋体" w:hAnsi="宋体" w:cs="宋体"/>
          <w:sz w:val="21"/>
          <w:szCs w:val="21"/>
          <w:highlight w:val="none"/>
        </w:rPr>
        <w:t>甲方（盖章）：                          乙方（盖章）：</w:t>
      </w:r>
    </w:p>
    <w:p>
      <w:pPr>
        <w:snapToGrid w:val="0"/>
        <w:spacing w:line="380" w:lineRule="exact"/>
        <w:rPr>
          <w:rFonts w:ascii="宋体" w:hAnsi="宋体" w:cs="宋体"/>
          <w:sz w:val="21"/>
          <w:szCs w:val="21"/>
          <w:highlight w:val="none"/>
        </w:rPr>
      </w:pPr>
      <w:r>
        <w:rPr>
          <w:rFonts w:hint="eastAsia" w:ascii="宋体" w:hAnsi="宋体" w:cs="宋体"/>
          <w:sz w:val="21"/>
          <w:szCs w:val="21"/>
          <w:highlight w:val="none"/>
        </w:rPr>
        <w:t xml:space="preserve">代表：                                  代表： </w:t>
      </w:r>
    </w:p>
    <w:p>
      <w:pPr>
        <w:snapToGrid w:val="0"/>
        <w:spacing w:line="380" w:lineRule="exact"/>
        <w:rPr>
          <w:rFonts w:ascii="宋体" w:hAnsi="宋体" w:cs="宋体"/>
          <w:sz w:val="21"/>
          <w:szCs w:val="21"/>
          <w:highlight w:val="none"/>
        </w:rPr>
      </w:pPr>
      <w:r>
        <w:rPr>
          <w:rFonts w:hint="eastAsia" w:ascii="宋体" w:hAnsi="宋体" w:cs="宋体"/>
          <w:sz w:val="21"/>
          <w:szCs w:val="21"/>
          <w:highlight w:val="none"/>
        </w:rPr>
        <w:t>签定地点：</w:t>
      </w:r>
    </w:p>
    <w:p>
      <w:pPr>
        <w:snapToGrid w:val="0"/>
        <w:spacing w:line="380" w:lineRule="exact"/>
        <w:rPr>
          <w:rFonts w:ascii="宋体" w:hAnsi="宋体" w:cs="宋体"/>
          <w:sz w:val="21"/>
          <w:szCs w:val="21"/>
          <w:highlight w:val="none"/>
        </w:rPr>
      </w:pPr>
      <w:r>
        <w:rPr>
          <w:rFonts w:hint="eastAsia" w:ascii="宋体" w:hAnsi="宋体" w:cs="宋体"/>
          <w:sz w:val="21"/>
          <w:szCs w:val="21"/>
          <w:highlight w:val="none"/>
        </w:rPr>
        <w:t xml:space="preserve">签定日期：        年     月    日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签定日期：        年     月     日    </w:t>
      </w:r>
    </w:p>
    <w:p>
      <w:pPr>
        <w:snapToGrid w:val="0"/>
        <w:spacing w:line="380" w:lineRule="exact"/>
        <w:ind w:firstLine="4200" w:firstLineChars="2000"/>
        <w:rPr>
          <w:rFonts w:ascii="宋体" w:hAnsi="宋体" w:cs="宋体"/>
          <w:sz w:val="21"/>
          <w:szCs w:val="21"/>
          <w:highlight w:val="none"/>
        </w:rPr>
      </w:pPr>
      <w:r>
        <w:rPr>
          <w:rFonts w:hint="eastAsia" w:ascii="宋体" w:hAnsi="宋体" w:cs="宋体"/>
          <w:sz w:val="21"/>
          <w:szCs w:val="21"/>
          <w:highlight w:val="none"/>
        </w:rPr>
        <w:t>开户名称：</w:t>
      </w:r>
    </w:p>
    <w:p>
      <w:pPr>
        <w:snapToGrid w:val="0"/>
        <w:spacing w:line="380" w:lineRule="exact"/>
        <w:ind w:firstLine="4200" w:firstLineChars="2000"/>
        <w:rPr>
          <w:rFonts w:ascii="宋体" w:hAnsi="宋体" w:cs="宋体"/>
          <w:sz w:val="21"/>
          <w:szCs w:val="21"/>
          <w:highlight w:val="none"/>
        </w:rPr>
      </w:pPr>
      <w:r>
        <w:rPr>
          <w:rFonts w:hint="eastAsia" w:ascii="宋体" w:hAnsi="宋体" w:cs="宋体"/>
          <w:sz w:val="21"/>
          <w:szCs w:val="21"/>
          <w:highlight w:val="none"/>
        </w:rPr>
        <w:t>银行账号：</w:t>
      </w:r>
    </w:p>
    <w:p>
      <w:pPr>
        <w:snapToGrid w:val="0"/>
        <w:spacing w:line="380" w:lineRule="exact"/>
        <w:ind w:firstLine="4200" w:firstLineChars="2000"/>
        <w:rPr>
          <w:rFonts w:ascii="宋体" w:hAnsi="宋体" w:cs="宋体"/>
          <w:sz w:val="21"/>
          <w:szCs w:val="21"/>
          <w:highlight w:val="none"/>
        </w:rPr>
      </w:pPr>
      <w:r>
        <w:rPr>
          <w:rFonts w:hint="eastAsia" w:ascii="宋体" w:hAnsi="宋体" w:cs="宋体"/>
          <w:sz w:val="21"/>
          <w:szCs w:val="21"/>
          <w:highlight w:val="none"/>
        </w:rPr>
        <w:t>开 户 行：</w:t>
      </w:r>
    </w:p>
    <w:p>
      <w:pPr>
        <w:autoSpaceDE w:val="0"/>
        <w:autoSpaceDN w:val="0"/>
        <w:snapToGrid w:val="0"/>
        <w:spacing w:line="500" w:lineRule="exact"/>
        <w:ind w:firstLine="420" w:firstLineChars="200"/>
        <w:jc w:val="center"/>
        <w:textAlignment w:val="bottom"/>
        <w:rPr>
          <w:rFonts w:ascii="宋体" w:hAnsi="宋体" w:cs="Arial"/>
          <w:color w:val="000000"/>
          <w:szCs w:val="21"/>
          <w:highlight w:val="none"/>
        </w:rPr>
      </w:pPr>
      <w:r>
        <w:rPr>
          <w:rFonts w:hint="eastAsia" w:ascii="宋体" w:hAnsi="宋体" w:cs="Arial"/>
          <w:color w:val="000000"/>
          <w:szCs w:val="21"/>
          <w:highlight w:val="none"/>
        </w:rPr>
        <w:t xml:space="preserve">                   </w:t>
      </w:r>
    </w:p>
    <w:p>
      <w:pPr>
        <w:spacing w:line="360" w:lineRule="auto"/>
        <w:ind w:firstLine="420" w:firstLineChars="200"/>
        <w:rPr>
          <w:rFonts w:hint="eastAsia"/>
          <w:b/>
          <w:bCs/>
          <w:szCs w:val="22"/>
        </w:rPr>
      </w:pPr>
      <w:r>
        <w:rPr>
          <w:rFonts w:hint="eastAsia" w:ascii="宋体" w:hAnsi="宋体" w:cs="Arial"/>
          <w:color w:val="000000"/>
          <w:szCs w:val="21"/>
          <w:highlight w:val="none"/>
        </w:rPr>
        <w:br w:type="page"/>
      </w:r>
    </w:p>
    <w:p>
      <w:pPr>
        <w:rPr>
          <w:rFonts w:hint="eastAsia"/>
          <w:b/>
          <w:bCs/>
          <w:szCs w:val="22"/>
        </w:rPr>
      </w:pPr>
      <w:r>
        <w:rPr>
          <w:rFonts w:hint="eastAsia"/>
          <w:b/>
          <w:bCs/>
          <w:szCs w:val="22"/>
        </w:rPr>
        <w:t xml:space="preserve">   </w:t>
      </w:r>
    </w:p>
    <w:p>
      <w:pPr>
        <w:pStyle w:val="28"/>
        <w:widowControl/>
        <w:spacing w:before="0" w:beforeLines="0" w:after="0" w:afterLines="0" w:line="360" w:lineRule="auto"/>
        <w:ind w:left="643" w:hanging="643" w:hangingChars="200"/>
        <w:jc w:val="center"/>
        <w:outlineLvl w:val="0"/>
        <w:rPr>
          <w:rFonts w:hint="default" w:hAnsi="宋体" w:cs="宋体"/>
          <w:b/>
          <w:bCs/>
          <w:sz w:val="32"/>
          <w:szCs w:val="20"/>
        </w:rPr>
      </w:pPr>
      <w:bookmarkStart w:id="94" w:name="_Toc16846"/>
      <w:bookmarkStart w:id="95" w:name="_Toc8300"/>
      <w:r>
        <w:rPr>
          <w:rFonts w:hAnsi="宋体" w:cs="宋体"/>
          <w:b/>
          <w:bCs/>
          <w:sz w:val="32"/>
          <w:szCs w:val="20"/>
        </w:rPr>
        <w:t>第六章 投标文件格式</w:t>
      </w:r>
      <w:bookmarkEnd w:id="94"/>
      <w:bookmarkEnd w:id="95"/>
    </w:p>
    <w:p>
      <w:pPr>
        <w:snapToGrid w:val="0"/>
        <w:spacing w:before="120" w:beforeLines="50" w:after="50" w:line="360" w:lineRule="auto"/>
        <w:outlineLvl w:val="1"/>
        <w:rPr>
          <w:rFonts w:ascii="宋体" w:hAnsi="宋体" w:cs="宋体"/>
          <w:b/>
          <w:szCs w:val="21"/>
        </w:rPr>
      </w:pPr>
      <w:bookmarkStart w:id="96" w:name="_Toc18324"/>
      <w:bookmarkStart w:id="97" w:name="_Toc29895"/>
      <w:bookmarkStart w:id="98" w:name="_Toc4426"/>
      <w:r>
        <w:rPr>
          <w:rFonts w:hint="eastAsia" w:ascii="宋体" w:hAnsi="宋体" w:cs="宋体"/>
          <w:b/>
          <w:szCs w:val="21"/>
        </w:rPr>
        <w:t>1.外包装格式</w:t>
      </w:r>
      <w:bookmarkEnd w:id="96"/>
      <w:bookmarkEnd w:id="97"/>
      <w:bookmarkEnd w:id="98"/>
    </w:p>
    <w:p>
      <w:pPr>
        <w:snapToGrid w:val="0"/>
        <w:spacing w:before="120" w:beforeLines="50" w:after="50" w:line="360" w:lineRule="auto"/>
        <w:jc w:val="center"/>
        <w:rPr>
          <w:rFonts w:ascii="宋体" w:hAnsi="宋体" w:cs="宋体"/>
          <w:b/>
          <w:bCs/>
          <w:szCs w:val="21"/>
        </w:rPr>
      </w:pPr>
      <w:r>
        <w:rPr>
          <w:rFonts w:hint="eastAsia" w:ascii="宋体" w:hAnsi="宋体" w:cs="宋体"/>
          <w:b/>
          <w:bCs/>
          <w:szCs w:val="21"/>
        </w:rPr>
        <w:t>电子备份投标文件</w:t>
      </w:r>
    </w:p>
    <w:p>
      <w:pPr>
        <w:snapToGrid w:val="0"/>
        <w:spacing w:before="120" w:beforeLines="50" w:after="50" w:line="360" w:lineRule="auto"/>
        <w:ind w:firstLine="338" w:firstLineChars="161"/>
        <w:rPr>
          <w:rFonts w:ascii="宋体" w:hAnsi="宋体" w:cs="宋体"/>
          <w:bCs/>
          <w:szCs w:val="21"/>
        </w:rPr>
      </w:pPr>
      <w:r>
        <w:rPr>
          <w:rFonts w:hint="eastAsia" w:ascii="宋体" w:hAnsi="宋体" w:cs="宋体"/>
          <w:bCs/>
          <w:szCs w:val="21"/>
        </w:rPr>
        <w:t xml:space="preserve">项目名称： </w:t>
      </w:r>
    </w:p>
    <w:p>
      <w:pPr>
        <w:snapToGrid w:val="0"/>
        <w:spacing w:before="120" w:beforeLines="50" w:after="50" w:line="360" w:lineRule="auto"/>
        <w:ind w:firstLine="338" w:firstLineChars="161"/>
        <w:rPr>
          <w:rFonts w:ascii="宋体" w:hAnsi="宋体" w:cs="宋体"/>
          <w:kern w:val="0"/>
          <w:szCs w:val="21"/>
        </w:rPr>
      </w:pPr>
      <w:r>
        <w:rPr>
          <w:rFonts w:hint="eastAsia" w:ascii="宋体" w:hAnsi="宋体" w:cs="宋体"/>
          <w:bCs/>
          <w:szCs w:val="21"/>
        </w:rPr>
        <w:t>项目编号：</w:t>
      </w:r>
      <w:r>
        <w:rPr>
          <w:rFonts w:hint="eastAsia" w:ascii="宋体" w:hAnsi="宋体" w:cs="宋体"/>
          <w:kern w:val="0"/>
          <w:szCs w:val="21"/>
        </w:rPr>
        <w:t xml:space="preserve"> </w:t>
      </w:r>
    </w:p>
    <w:p>
      <w:pPr>
        <w:snapToGrid w:val="0"/>
        <w:spacing w:before="120" w:beforeLines="50" w:after="50" w:line="360" w:lineRule="auto"/>
        <w:ind w:firstLine="338" w:firstLineChars="161"/>
        <w:rPr>
          <w:rFonts w:ascii="宋体" w:hAnsi="宋体" w:cs="宋体"/>
          <w:bCs/>
          <w:szCs w:val="21"/>
        </w:rPr>
      </w:pPr>
      <w:r>
        <w:rPr>
          <w:rFonts w:hint="eastAsia" w:ascii="宋体" w:hAnsi="宋体" w:cs="宋体"/>
          <w:bCs/>
          <w:szCs w:val="21"/>
        </w:rPr>
        <w:t>供应商名称（加盖公章）：</w:t>
      </w:r>
    </w:p>
    <w:p>
      <w:pPr>
        <w:snapToGrid w:val="0"/>
        <w:spacing w:before="120" w:beforeLines="50" w:after="50" w:line="360" w:lineRule="auto"/>
        <w:ind w:firstLine="338" w:firstLineChars="161"/>
        <w:rPr>
          <w:rFonts w:ascii="宋体" w:hAnsi="宋体" w:cs="宋体"/>
          <w:bCs/>
          <w:szCs w:val="21"/>
        </w:rPr>
      </w:pPr>
      <w:r>
        <w:rPr>
          <w:rFonts w:hint="eastAsia" w:ascii="宋体" w:hAnsi="宋体" w:cs="宋体"/>
          <w:bCs/>
          <w:szCs w:val="21"/>
        </w:rPr>
        <w:t>供应商地址：</w:t>
      </w:r>
    </w:p>
    <w:p>
      <w:pPr>
        <w:snapToGrid w:val="0"/>
        <w:spacing w:before="120" w:beforeLines="50" w:after="50" w:line="360" w:lineRule="auto"/>
        <w:ind w:firstLine="339" w:firstLineChars="161"/>
        <w:jc w:val="center"/>
        <w:rPr>
          <w:rFonts w:ascii="宋体" w:hAnsi="宋体" w:cs="宋体"/>
          <w:b/>
          <w:szCs w:val="21"/>
        </w:rPr>
      </w:pPr>
      <w:r>
        <w:rPr>
          <w:rFonts w:hint="eastAsia" w:ascii="宋体" w:hAnsi="宋体" w:cs="宋体"/>
          <w:b/>
          <w:szCs w:val="21"/>
        </w:rPr>
        <w:t>（投标截止时间前不得启封）</w:t>
      </w:r>
    </w:p>
    <w:p>
      <w:pPr>
        <w:snapToGrid w:val="0"/>
        <w:spacing w:before="120" w:beforeLines="50" w:after="50" w:line="360" w:lineRule="auto"/>
        <w:ind w:firstLine="3570" w:firstLineChars="1700"/>
        <w:rPr>
          <w:rFonts w:ascii="宋体" w:hAnsi="宋体" w:cs="宋体"/>
          <w:bCs/>
          <w:szCs w:val="21"/>
        </w:rPr>
      </w:pPr>
    </w:p>
    <w:p>
      <w:pPr>
        <w:snapToGrid w:val="0"/>
        <w:spacing w:before="120" w:beforeLines="50" w:after="50" w:line="360" w:lineRule="auto"/>
        <w:jc w:val="center"/>
        <w:rPr>
          <w:rFonts w:ascii="宋体" w:hAnsi="宋体" w:cs="宋体"/>
          <w:bCs/>
          <w:szCs w:val="21"/>
        </w:rPr>
      </w:pPr>
      <w:r>
        <w:rPr>
          <w:rFonts w:hint="eastAsia" w:ascii="宋体" w:hAnsi="宋体" w:cs="宋体"/>
          <w:bCs/>
          <w:szCs w:val="21"/>
        </w:rPr>
        <w:t xml:space="preserve">                        年  月  日</w:t>
      </w:r>
    </w:p>
    <w:p>
      <w:pPr>
        <w:keepNext/>
        <w:keepLines/>
        <w:spacing w:before="120" w:after="60"/>
        <w:rPr>
          <w:rFonts w:ascii="宋体" w:hAnsi="宋体" w:cs="宋体"/>
          <w:szCs w:val="21"/>
        </w:rPr>
      </w:pPr>
      <w:bookmarkStart w:id="99" w:name="_Toc19186"/>
      <w:bookmarkStart w:id="100" w:name="_Toc28033"/>
      <w:bookmarkStart w:id="101" w:name="_Toc14932"/>
      <w:bookmarkStart w:id="102" w:name="_Toc22946"/>
    </w:p>
    <w:p>
      <w:pPr>
        <w:pStyle w:val="5"/>
        <w:spacing w:before="120" w:after="60" w:line="240" w:lineRule="auto"/>
        <w:rPr>
          <w:rFonts w:ascii="宋体" w:hAnsi="宋体" w:eastAsia="宋体" w:cs="宋体"/>
          <w:sz w:val="21"/>
          <w:szCs w:val="21"/>
        </w:rPr>
      </w:pPr>
      <w:r>
        <w:rPr>
          <w:rFonts w:hint="eastAsia" w:ascii="宋体" w:hAnsi="宋体" w:eastAsia="宋体" w:cs="宋体"/>
          <w:sz w:val="21"/>
          <w:szCs w:val="21"/>
        </w:rPr>
        <w:t>2.封面格式</w:t>
      </w:r>
      <w:bookmarkEnd w:id="99"/>
      <w:bookmarkEnd w:id="100"/>
      <w:bookmarkEnd w:id="101"/>
      <w:bookmarkEnd w:id="102"/>
    </w:p>
    <w:p>
      <w:pPr>
        <w:snapToGrid w:val="0"/>
        <w:spacing w:before="120" w:beforeLines="50" w:after="50"/>
        <w:rPr>
          <w:rFonts w:ascii="宋体" w:hAnsi="宋体" w:cs="宋体"/>
          <w:b/>
          <w:bCs/>
          <w:szCs w:val="21"/>
        </w:rPr>
      </w:pPr>
    </w:p>
    <w:p>
      <w:pPr>
        <w:snapToGrid w:val="0"/>
        <w:spacing w:before="120" w:beforeLines="50" w:after="50"/>
        <w:jc w:val="center"/>
        <w:rPr>
          <w:rFonts w:ascii="宋体" w:hAnsi="宋体" w:cs="宋体"/>
          <w:b/>
          <w:bCs/>
          <w:szCs w:val="21"/>
        </w:rPr>
      </w:pPr>
      <w:r>
        <w:rPr>
          <w:rFonts w:hint="eastAsia" w:ascii="宋体" w:hAnsi="宋体" w:cs="宋体"/>
          <w:b/>
          <w:bCs/>
          <w:szCs w:val="21"/>
        </w:rPr>
        <w:t>资格文件/商务技术文件/报价文件</w:t>
      </w:r>
    </w:p>
    <w:p>
      <w:pPr>
        <w:snapToGrid w:val="0"/>
        <w:spacing w:before="120" w:beforeLines="50" w:after="50"/>
        <w:ind w:firstLine="6078" w:firstLineChars="2883"/>
        <w:jc w:val="center"/>
        <w:rPr>
          <w:rFonts w:ascii="宋体" w:hAnsi="宋体" w:cs="宋体"/>
          <w:b/>
          <w:bCs/>
          <w:szCs w:val="21"/>
        </w:rPr>
      </w:pPr>
    </w:p>
    <w:p>
      <w:pPr>
        <w:snapToGrid w:val="0"/>
        <w:spacing w:before="120" w:beforeLines="50" w:after="50" w:line="360" w:lineRule="auto"/>
        <w:ind w:firstLine="338" w:firstLineChars="161"/>
        <w:rPr>
          <w:rFonts w:ascii="宋体" w:hAnsi="宋体" w:cs="宋体"/>
          <w:bCs/>
          <w:szCs w:val="21"/>
        </w:rPr>
      </w:pPr>
      <w:r>
        <w:rPr>
          <w:rFonts w:hint="eastAsia" w:ascii="宋体" w:hAnsi="宋体" w:cs="宋体"/>
          <w:bCs/>
          <w:szCs w:val="21"/>
        </w:rPr>
        <w:t xml:space="preserve">项目名称： </w:t>
      </w:r>
    </w:p>
    <w:p>
      <w:pPr>
        <w:snapToGrid w:val="0"/>
        <w:spacing w:before="120" w:beforeLines="50" w:after="50" w:line="360" w:lineRule="auto"/>
        <w:ind w:firstLine="338" w:firstLineChars="161"/>
        <w:rPr>
          <w:rFonts w:ascii="宋体" w:hAnsi="宋体" w:cs="宋体"/>
          <w:kern w:val="0"/>
          <w:szCs w:val="21"/>
        </w:rPr>
      </w:pPr>
      <w:r>
        <w:rPr>
          <w:rFonts w:hint="eastAsia" w:ascii="宋体" w:hAnsi="宋体" w:cs="宋体"/>
          <w:bCs/>
          <w:szCs w:val="21"/>
        </w:rPr>
        <w:t>项目编号：</w:t>
      </w:r>
      <w:r>
        <w:rPr>
          <w:rFonts w:hint="eastAsia" w:ascii="宋体" w:hAnsi="宋体" w:cs="宋体"/>
          <w:kern w:val="0"/>
          <w:szCs w:val="21"/>
        </w:rPr>
        <w:t xml:space="preserve"> </w:t>
      </w:r>
    </w:p>
    <w:p>
      <w:pPr>
        <w:snapToGrid w:val="0"/>
        <w:spacing w:before="120" w:beforeLines="50" w:after="50" w:line="360" w:lineRule="auto"/>
        <w:ind w:firstLine="338" w:firstLineChars="161"/>
        <w:rPr>
          <w:rFonts w:ascii="宋体" w:hAnsi="宋体" w:cs="宋体"/>
          <w:bCs/>
          <w:szCs w:val="21"/>
        </w:rPr>
      </w:pPr>
      <w:r>
        <w:rPr>
          <w:rFonts w:hint="eastAsia" w:ascii="宋体" w:hAnsi="宋体" w:cs="宋体"/>
          <w:bCs/>
          <w:szCs w:val="21"/>
        </w:rPr>
        <w:t>供应商名称（加盖公章）：</w:t>
      </w:r>
    </w:p>
    <w:p>
      <w:pPr>
        <w:snapToGrid w:val="0"/>
        <w:spacing w:before="120" w:beforeLines="50" w:after="50" w:line="360" w:lineRule="auto"/>
        <w:ind w:firstLine="338" w:firstLineChars="161"/>
        <w:rPr>
          <w:rFonts w:ascii="宋体" w:hAnsi="宋体" w:cs="宋体"/>
          <w:bCs/>
          <w:szCs w:val="21"/>
        </w:rPr>
      </w:pPr>
      <w:r>
        <w:rPr>
          <w:rFonts w:hint="eastAsia" w:ascii="宋体" w:hAnsi="宋体" w:cs="宋体"/>
          <w:bCs/>
          <w:szCs w:val="21"/>
        </w:rPr>
        <w:t>供应商地址：</w:t>
      </w:r>
    </w:p>
    <w:p>
      <w:pPr>
        <w:snapToGrid w:val="0"/>
        <w:spacing w:before="120" w:beforeLines="50" w:after="50" w:line="360" w:lineRule="auto"/>
        <w:ind w:firstLine="3570" w:firstLineChars="1700"/>
        <w:rPr>
          <w:rFonts w:ascii="宋体" w:hAnsi="宋体" w:cs="宋体"/>
          <w:bCs/>
          <w:szCs w:val="21"/>
        </w:rPr>
      </w:pPr>
    </w:p>
    <w:p>
      <w:pPr>
        <w:snapToGrid w:val="0"/>
        <w:spacing w:before="120" w:beforeLines="50" w:after="50" w:line="360" w:lineRule="auto"/>
        <w:ind w:firstLine="645"/>
        <w:jc w:val="center"/>
        <w:rPr>
          <w:rFonts w:ascii="宋体" w:hAnsi="宋体" w:cs="宋体"/>
          <w:bCs/>
          <w:szCs w:val="21"/>
        </w:rPr>
      </w:pPr>
      <w:r>
        <w:rPr>
          <w:rFonts w:hint="eastAsia" w:ascii="宋体" w:hAnsi="宋体" w:cs="宋体"/>
          <w:bCs/>
          <w:szCs w:val="21"/>
        </w:rPr>
        <w:t xml:space="preserve">                        年  月  日</w:t>
      </w:r>
    </w:p>
    <w:p>
      <w:pPr>
        <w:widowControl/>
        <w:spacing w:line="360" w:lineRule="auto"/>
        <w:jc w:val="left"/>
        <w:rPr>
          <w:rFonts w:ascii="宋体" w:hAnsi="宋体" w:cs="宋体"/>
          <w:kern w:val="0"/>
          <w:szCs w:val="20"/>
        </w:rPr>
      </w:pPr>
    </w:p>
    <w:p>
      <w:pPr>
        <w:widowControl/>
        <w:spacing w:line="360" w:lineRule="auto"/>
        <w:jc w:val="left"/>
        <w:rPr>
          <w:rFonts w:ascii="宋体" w:hAnsi="宋体" w:cs="宋体"/>
          <w:kern w:val="0"/>
          <w:szCs w:val="20"/>
        </w:rPr>
      </w:pPr>
    </w:p>
    <w:p>
      <w:pPr>
        <w:widowControl/>
        <w:spacing w:line="360" w:lineRule="auto"/>
        <w:jc w:val="left"/>
        <w:rPr>
          <w:rFonts w:ascii="宋体" w:hAnsi="宋体" w:cs="宋体"/>
          <w:kern w:val="0"/>
          <w:szCs w:val="20"/>
        </w:rPr>
      </w:pPr>
    </w:p>
    <w:p>
      <w:pPr>
        <w:widowControl/>
        <w:spacing w:line="360" w:lineRule="auto"/>
        <w:jc w:val="left"/>
        <w:rPr>
          <w:rFonts w:ascii="宋体" w:hAnsi="宋体" w:cs="宋体"/>
          <w:kern w:val="0"/>
          <w:szCs w:val="20"/>
        </w:rPr>
      </w:pPr>
    </w:p>
    <w:p>
      <w:pPr>
        <w:widowControl/>
        <w:spacing w:line="360" w:lineRule="auto"/>
        <w:jc w:val="left"/>
        <w:rPr>
          <w:rFonts w:ascii="宋体" w:hAnsi="宋体" w:cs="宋体"/>
          <w:kern w:val="0"/>
          <w:szCs w:val="20"/>
        </w:rPr>
      </w:pPr>
    </w:p>
    <w:p>
      <w:pPr>
        <w:widowControl/>
        <w:spacing w:line="360" w:lineRule="auto"/>
        <w:jc w:val="left"/>
        <w:rPr>
          <w:rFonts w:ascii="宋体" w:hAnsi="宋体" w:cs="宋体"/>
          <w:kern w:val="0"/>
          <w:szCs w:val="20"/>
        </w:rPr>
      </w:pPr>
    </w:p>
    <w:p>
      <w:pPr>
        <w:widowControl/>
        <w:spacing w:line="360" w:lineRule="auto"/>
        <w:jc w:val="left"/>
        <w:rPr>
          <w:rFonts w:ascii="宋体" w:hAnsi="宋体" w:cs="宋体"/>
          <w:kern w:val="0"/>
          <w:szCs w:val="20"/>
        </w:rPr>
      </w:pPr>
    </w:p>
    <w:p>
      <w:pPr>
        <w:widowControl/>
        <w:spacing w:line="360" w:lineRule="auto"/>
        <w:jc w:val="left"/>
        <w:rPr>
          <w:rFonts w:ascii="宋体" w:hAnsi="宋体" w:cs="宋体"/>
          <w:kern w:val="0"/>
          <w:szCs w:val="20"/>
        </w:rPr>
      </w:pPr>
    </w:p>
    <w:p>
      <w:pPr>
        <w:pStyle w:val="24"/>
        <w:ind w:left="1470" w:right="1470"/>
      </w:pPr>
    </w:p>
    <w:p>
      <w:pPr>
        <w:widowControl/>
        <w:jc w:val="left"/>
        <w:rPr>
          <w:rFonts w:ascii="宋体" w:hAnsi="宋体" w:cs="宋体"/>
          <w:b/>
          <w:kern w:val="0"/>
          <w:szCs w:val="20"/>
        </w:rPr>
      </w:pPr>
      <w:r>
        <w:rPr>
          <w:rFonts w:hint="eastAsia" w:ascii="宋体" w:hAnsi="宋体" w:cs="宋体"/>
          <w:b/>
          <w:kern w:val="0"/>
          <w:szCs w:val="20"/>
        </w:rPr>
        <w:t>3.供应商资格声明函</w:t>
      </w:r>
    </w:p>
    <w:p>
      <w:pPr>
        <w:widowControl/>
        <w:jc w:val="center"/>
        <w:rPr>
          <w:rFonts w:ascii="宋体" w:hAnsi="宋体" w:cs="宋体"/>
          <w:b/>
          <w:kern w:val="0"/>
          <w:sz w:val="28"/>
          <w:szCs w:val="28"/>
        </w:rPr>
      </w:pPr>
      <w:bookmarkStart w:id="103" w:name="_Toc275865606"/>
    </w:p>
    <w:bookmarkEnd w:id="103"/>
    <w:p>
      <w:pPr>
        <w:jc w:val="center"/>
        <w:rPr>
          <w:rFonts w:ascii="宋体" w:hAnsi="宋体" w:cs="宋体"/>
          <w:b/>
          <w:kern w:val="0"/>
          <w:sz w:val="28"/>
          <w:szCs w:val="28"/>
        </w:rPr>
      </w:pPr>
      <w:r>
        <w:rPr>
          <w:rFonts w:hint="eastAsia" w:ascii="宋体" w:hAnsi="宋体" w:cs="宋体"/>
          <w:b/>
          <w:kern w:val="0"/>
          <w:sz w:val="28"/>
          <w:szCs w:val="28"/>
        </w:rPr>
        <w:t>供应商资格声明函</w:t>
      </w:r>
    </w:p>
    <w:p>
      <w:pPr>
        <w:widowControl/>
        <w:jc w:val="left"/>
        <w:rPr>
          <w:rFonts w:ascii="宋体" w:hAnsi="宋体" w:cs="宋体"/>
          <w:b/>
          <w:kern w:val="0"/>
          <w:szCs w:val="20"/>
        </w:rPr>
      </w:pPr>
    </w:p>
    <w:p>
      <w:pPr>
        <w:widowControl/>
        <w:jc w:val="left"/>
        <w:rPr>
          <w:rFonts w:ascii="宋体" w:hAnsi="宋体" w:cs="宋体"/>
          <w:b/>
          <w:kern w:val="0"/>
          <w:szCs w:val="20"/>
        </w:rPr>
      </w:pPr>
      <w:r>
        <w:rPr>
          <w:rFonts w:hint="eastAsia" w:ascii="宋体" w:hAnsi="宋体" w:cs="宋体"/>
          <w:b/>
          <w:kern w:val="0"/>
          <w:szCs w:val="20"/>
          <w:lang w:eastAsia="zh-CN"/>
        </w:rPr>
        <w:t>宁波瑞诚工程管理咨询有限公司</w:t>
      </w:r>
      <w:r>
        <w:rPr>
          <w:rFonts w:hint="eastAsia" w:ascii="宋体" w:hAnsi="宋体" w:cs="宋体"/>
          <w:b/>
          <w:kern w:val="0"/>
          <w:szCs w:val="20"/>
        </w:rPr>
        <w:t>：</w:t>
      </w:r>
    </w:p>
    <w:p>
      <w:pPr>
        <w:widowControl/>
        <w:snapToGrid w:val="0"/>
        <w:spacing w:before="120" w:beforeLines="50" w:line="360" w:lineRule="auto"/>
        <w:ind w:firstLine="424" w:firstLineChars="202"/>
        <w:jc w:val="left"/>
        <w:rPr>
          <w:rFonts w:ascii="宋体" w:hAnsi="宋体" w:cs="宋体"/>
          <w:kern w:val="0"/>
          <w:szCs w:val="20"/>
        </w:rPr>
      </w:pPr>
      <w:r>
        <w:rPr>
          <w:rFonts w:hint="eastAsia" w:ascii="宋体" w:hAnsi="宋体" w:cs="宋体"/>
          <w:kern w:val="0"/>
          <w:szCs w:val="20"/>
        </w:rPr>
        <w:t>关于贵司</w:t>
      </w:r>
      <w:r>
        <w:rPr>
          <w:rFonts w:hint="eastAsia" w:ascii="宋体" w:hAnsi="宋体" w:cs="宋体"/>
          <w:kern w:val="0"/>
          <w:szCs w:val="20"/>
          <w:u w:val="single"/>
        </w:rPr>
        <w:t xml:space="preserve">      </w:t>
      </w:r>
      <w:r>
        <w:rPr>
          <w:rFonts w:hint="eastAsia" w:ascii="宋体" w:hAnsi="宋体" w:cs="宋体"/>
          <w:kern w:val="0"/>
          <w:szCs w:val="20"/>
        </w:rPr>
        <w:t>年</w:t>
      </w:r>
      <w:r>
        <w:rPr>
          <w:rFonts w:hint="eastAsia" w:ascii="宋体" w:hAnsi="宋体" w:cs="宋体"/>
          <w:kern w:val="0"/>
          <w:szCs w:val="20"/>
          <w:u w:val="single"/>
        </w:rPr>
        <w:t>　　</w:t>
      </w:r>
      <w:r>
        <w:rPr>
          <w:rFonts w:hint="eastAsia" w:ascii="宋体" w:hAnsi="宋体" w:cs="宋体"/>
          <w:kern w:val="0"/>
          <w:szCs w:val="20"/>
        </w:rPr>
        <w:t>月</w:t>
      </w:r>
      <w:r>
        <w:rPr>
          <w:rFonts w:hint="eastAsia" w:ascii="宋体" w:hAnsi="宋体" w:cs="宋体"/>
          <w:kern w:val="0"/>
          <w:szCs w:val="20"/>
          <w:u w:val="single"/>
        </w:rPr>
        <w:t>　　</w:t>
      </w:r>
      <w:r>
        <w:rPr>
          <w:rFonts w:hint="eastAsia" w:ascii="宋体" w:hAnsi="宋体" w:cs="宋体"/>
          <w:kern w:val="0"/>
          <w:szCs w:val="20"/>
        </w:rPr>
        <w:t>日发布</w:t>
      </w:r>
      <w:r>
        <w:rPr>
          <w:rFonts w:hint="eastAsia" w:ascii="宋体" w:hAnsi="宋体" w:cs="宋体"/>
          <w:kern w:val="0"/>
          <w:szCs w:val="20"/>
          <w:u w:val="single"/>
        </w:rPr>
        <w:t xml:space="preserve">  </w:t>
      </w:r>
      <w:r>
        <w:rPr>
          <w:rFonts w:hint="eastAsia" w:ascii="宋体" w:hAnsi="宋体" w:cs="宋体"/>
          <w:kern w:val="28"/>
          <w:szCs w:val="20"/>
          <w:u w:val="single"/>
        </w:rPr>
        <w:t>XXXXXXXXXXXXXXXXXXXXXXXXXXXX</w:t>
      </w:r>
      <w:r>
        <w:rPr>
          <w:rFonts w:hint="eastAsia" w:ascii="宋体" w:hAnsi="宋体" w:cs="宋体"/>
          <w:kern w:val="0"/>
          <w:szCs w:val="20"/>
          <w:u w:val="single"/>
        </w:rPr>
        <w:t xml:space="preserve">  </w:t>
      </w:r>
      <w:r>
        <w:rPr>
          <w:rFonts w:hint="eastAsia" w:ascii="宋体" w:hAnsi="宋体" w:cs="宋体"/>
          <w:kern w:val="0"/>
          <w:szCs w:val="20"/>
        </w:rPr>
        <w:t>项目（项目编号：　　　）的公开招标公告，本公司（企业）愿意参加投标，并声明：</w:t>
      </w:r>
    </w:p>
    <w:p>
      <w:pPr>
        <w:widowControl/>
        <w:snapToGrid w:val="0"/>
        <w:spacing w:line="360" w:lineRule="auto"/>
        <w:ind w:firstLine="424" w:firstLineChars="202"/>
        <w:jc w:val="left"/>
        <w:rPr>
          <w:rFonts w:ascii="宋体" w:hAnsi="宋体" w:cs="宋体"/>
          <w:kern w:val="0"/>
          <w:szCs w:val="20"/>
        </w:rPr>
      </w:pPr>
      <w:r>
        <w:rPr>
          <w:rFonts w:hint="eastAsia" w:ascii="宋体" w:hAnsi="宋体" w:cs="宋体"/>
          <w:kern w:val="0"/>
          <w:szCs w:val="20"/>
        </w:rPr>
        <w:t>1、本公司（企业）具备《中华人民共和国政府采购法》第二十二条资格条件：</w:t>
      </w:r>
    </w:p>
    <w:p>
      <w:pPr>
        <w:widowControl/>
        <w:snapToGrid w:val="0"/>
        <w:spacing w:line="360" w:lineRule="auto"/>
        <w:ind w:firstLine="424" w:firstLineChars="202"/>
        <w:jc w:val="left"/>
        <w:rPr>
          <w:rFonts w:ascii="宋体" w:hAnsi="宋体" w:cs="宋体"/>
          <w:kern w:val="0"/>
          <w:szCs w:val="20"/>
        </w:rPr>
      </w:pPr>
      <w:r>
        <w:rPr>
          <w:rFonts w:hint="eastAsia" w:ascii="宋体" w:hAnsi="宋体" w:cs="宋体"/>
          <w:kern w:val="0"/>
          <w:szCs w:val="20"/>
        </w:rPr>
        <w:t>1.1、具有独立承担民事责任的能力；</w:t>
      </w:r>
    </w:p>
    <w:p>
      <w:pPr>
        <w:widowControl/>
        <w:snapToGrid w:val="0"/>
        <w:spacing w:line="360" w:lineRule="auto"/>
        <w:ind w:firstLine="424" w:firstLineChars="202"/>
        <w:jc w:val="left"/>
        <w:rPr>
          <w:rFonts w:ascii="宋体" w:hAnsi="宋体" w:cs="宋体"/>
          <w:kern w:val="0"/>
          <w:szCs w:val="20"/>
        </w:rPr>
      </w:pPr>
      <w:r>
        <w:rPr>
          <w:rFonts w:hint="eastAsia" w:ascii="宋体" w:hAnsi="宋体" w:cs="宋体"/>
          <w:kern w:val="0"/>
          <w:szCs w:val="20"/>
        </w:rPr>
        <w:t>1.2、具有良好的商业信誉和健全的财务会计制度；</w:t>
      </w:r>
    </w:p>
    <w:p>
      <w:pPr>
        <w:widowControl/>
        <w:snapToGrid w:val="0"/>
        <w:spacing w:line="360" w:lineRule="auto"/>
        <w:ind w:firstLine="424" w:firstLineChars="202"/>
        <w:jc w:val="left"/>
        <w:rPr>
          <w:rFonts w:ascii="宋体" w:hAnsi="宋体" w:cs="宋体"/>
          <w:kern w:val="0"/>
          <w:szCs w:val="20"/>
        </w:rPr>
      </w:pPr>
      <w:r>
        <w:rPr>
          <w:rFonts w:hint="eastAsia" w:ascii="宋体" w:hAnsi="宋体" w:cs="宋体"/>
          <w:kern w:val="0"/>
          <w:szCs w:val="20"/>
        </w:rPr>
        <w:t>1.3、具有履行合同所必需的设备和专业技术能力；</w:t>
      </w:r>
    </w:p>
    <w:p>
      <w:pPr>
        <w:widowControl/>
        <w:snapToGrid w:val="0"/>
        <w:spacing w:line="360" w:lineRule="auto"/>
        <w:ind w:firstLine="424" w:firstLineChars="202"/>
        <w:jc w:val="left"/>
        <w:rPr>
          <w:rFonts w:ascii="宋体" w:hAnsi="宋体" w:cs="宋体"/>
          <w:kern w:val="0"/>
          <w:szCs w:val="20"/>
        </w:rPr>
      </w:pPr>
      <w:r>
        <w:rPr>
          <w:rFonts w:hint="eastAsia" w:ascii="宋体" w:hAnsi="宋体" w:cs="宋体"/>
          <w:kern w:val="0"/>
          <w:szCs w:val="20"/>
        </w:rPr>
        <w:t>1.4、有依法缴纳税收和社会保障资金的良好记录；</w:t>
      </w:r>
    </w:p>
    <w:p>
      <w:pPr>
        <w:widowControl/>
        <w:snapToGrid w:val="0"/>
        <w:spacing w:line="360" w:lineRule="auto"/>
        <w:ind w:firstLine="424" w:firstLineChars="202"/>
        <w:jc w:val="left"/>
        <w:rPr>
          <w:rFonts w:ascii="宋体" w:hAnsi="宋体" w:cs="宋体"/>
          <w:kern w:val="0"/>
          <w:szCs w:val="20"/>
        </w:rPr>
      </w:pPr>
      <w:r>
        <w:rPr>
          <w:rFonts w:hint="eastAsia" w:ascii="宋体" w:hAnsi="宋体" w:cs="宋体"/>
          <w:kern w:val="0"/>
          <w:szCs w:val="20"/>
        </w:rPr>
        <w:t>1.5、参加政府采购活动前三年内，在经营活动中没有重大违法记录；</w:t>
      </w:r>
    </w:p>
    <w:p>
      <w:pPr>
        <w:widowControl/>
        <w:snapToGrid w:val="0"/>
        <w:spacing w:line="360" w:lineRule="auto"/>
        <w:ind w:firstLine="424" w:firstLineChars="202"/>
        <w:jc w:val="left"/>
        <w:rPr>
          <w:rFonts w:ascii="宋体" w:hAnsi="宋体" w:cs="宋体"/>
          <w:kern w:val="0"/>
          <w:szCs w:val="20"/>
        </w:rPr>
      </w:pPr>
      <w:r>
        <w:rPr>
          <w:rFonts w:hint="eastAsia" w:ascii="宋体" w:hAnsi="宋体" w:cs="宋体"/>
          <w:kern w:val="0"/>
          <w:szCs w:val="20"/>
        </w:rPr>
        <w:t>1.6、法律、行政法规规定的其他条件。</w:t>
      </w:r>
    </w:p>
    <w:p>
      <w:pPr>
        <w:widowControl/>
        <w:snapToGrid w:val="0"/>
        <w:spacing w:line="360" w:lineRule="auto"/>
        <w:ind w:firstLine="424" w:firstLineChars="202"/>
        <w:jc w:val="left"/>
        <w:rPr>
          <w:rFonts w:ascii="宋体" w:hAnsi="宋体" w:cs="宋体"/>
          <w:kern w:val="0"/>
          <w:szCs w:val="20"/>
        </w:rPr>
      </w:pPr>
      <w:r>
        <w:rPr>
          <w:rFonts w:hint="eastAsia" w:ascii="宋体" w:hAnsi="宋体" w:cs="宋体"/>
          <w:kern w:val="0"/>
          <w:szCs w:val="20"/>
        </w:rPr>
        <w:t>2、本公司（企业）的法定代表人或单位负责人与所参投的本招标项目的其他供应商的法定代表人或单位负责人不为同一人且与其他供应商之间不存在直接控股、管理关系。</w:t>
      </w:r>
    </w:p>
    <w:p>
      <w:pPr>
        <w:widowControl/>
        <w:snapToGrid w:val="0"/>
        <w:spacing w:line="380" w:lineRule="exact"/>
        <w:ind w:firstLine="420" w:firstLineChars="200"/>
        <w:jc w:val="left"/>
        <w:rPr>
          <w:rFonts w:ascii="宋体" w:hAnsi="宋体" w:cs="宋体"/>
          <w:kern w:val="0"/>
          <w:szCs w:val="20"/>
        </w:rPr>
      </w:pPr>
      <w:r>
        <w:rPr>
          <w:rFonts w:hint="eastAsia" w:ascii="宋体" w:hAnsi="宋体" w:cs="宋体"/>
          <w:kern w:val="0"/>
          <w:szCs w:val="20"/>
        </w:rPr>
        <w:t>3、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widowControl/>
        <w:snapToGrid w:val="0"/>
        <w:spacing w:line="360" w:lineRule="auto"/>
        <w:ind w:firstLine="426" w:firstLineChars="202"/>
        <w:jc w:val="left"/>
        <w:rPr>
          <w:rFonts w:ascii="宋体" w:hAnsi="宋体" w:cs="宋体"/>
          <w:b/>
          <w:bCs/>
          <w:kern w:val="0"/>
          <w:szCs w:val="20"/>
        </w:rPr>
      </w:pPr>
      <w:r>
        <w:rPr>
          <w:rFonts w:hint="eastAsia" w:ascii="宋体" w:hAnsi="宋体"/>
          <w:b/>
          <w:bCs/>
          <w:kern w:val="0"/>
          <w:szCs w:val="20"/>
        </w:rPr>
        <w:t>4、本公司（企业）</w:t>
      </w:r>
      <w:r>
        <w:rPr>
          <w:rFonts w:hint="eastAsia" w:ascii="宋体" w:hAnsi="宋体"/>
          <w:b/>
          <w:bCs/>
          <w:kern w:val="0"/>
          <w:szCs w:val="21"/>
        </w:rPr>
        <w:t>未被列入“信用中国”网站(www.creditchina.gov.cn)“失信被执行人或重大税收违法案件当事人名单或政府采购严重违法失信行为”记录名单；不处于中国政府采购网(www.ccgp.gov.cn)“政府采购严重违法失信行为信息记录”</w:t>
      </w:r>
      <w:r>
        <w:rPr>
          <w:rFonts w:hint="eastAsia" w:ascii="宋体" w:hAnsi="宋体" w:cs="宋体"/>
          <w:b/>
          <w:bCs/>
          <w:kern w:val="0"/>
          <w:szCs w:val="22"/>
        </w:rPr>
        <w:t>中的禁止参加政府采购活</w:t>
      </w:r>
      <w:r>
        <w:rPr>
          <w:rFonts w:hint="eastAsia" w:ascii="宋体" w:hAnsi="宋体" w:cs="宋体"/>
          <w:b/>
          <w:bCs/>
          <w:kern w:val="0"/>
          <w:szCs w:val="20"/>
        </w:rPr>
        <w:t>动期间。否则，由此所造成的损失、不良后果及法律责任，一律由我公司（企业）承担。</w:t>
      </w:r>
    </w:p>
    <w:p>
      <w:pPr>
        <w:widowControl/>
        <w:snapToGrid w:val="0"/>
        <w:spacing w:line="360" w:lineRule="auto"/>
        <w:ind w:firstLine="424" w:firstLineChars="202"/>
        <w:jc w:val="left"/>
        <w:rPr>
          <w:rFonts w:ascii="宋体" w:hAnsi="宋体" w:cs="宋体"/>
          <w:kern w:val="0"/>
          <w:szCs w:val="20"/>
        </w:rPr>
      </w:pPr>
      <w:r>
        <w:rPr>
          <w:rFonts w:hint="eastAsia" w:ascii="宋体" w:hAnsi="宋体" w:cs="宋体"/>
        </w:rPr>
        <w:t>我公司已清楚</w:t>
      </w:r>
      <w:r>
        <w:rPr>
          <w:rFonts w:hint="eastAsia" w:ascii="宋体" w:hAnsi="宋体" w:cs="宋体"/>
          <w:lang w:eastAsia="zh-CN"/>
        </w:rPr>
        <w:t>采购文件</w:t>
      </w:r>
      <w:r>
        <w:rPr>
          <w:rFonts w:hint="eastAsia" w:ascii="宋体" w:hAnsi="宋体" w:cs="宋体"/>
        </w:rPr>
        <w:t>的要求及有关文件规定。</w:t>
      </w:r>
      <w:r>
        <w:rPr>
          <w:rFonts w:hint="eastAsia" w:ascii="宋体" w:hAnsi="宋体" w:cs="宋体"/>
          <w:kern w:val="0"/>
          <w:szCs w:val="20"/>
        </w:rPr>
        <w:t>本次招标采购活动中，如有违法、违规、弄虚作假行为，所造成的损失、不良后果及法律责任，一律由我公司（企业）承担。</w:t>
      </w:r>
    </w:p>
    <w:p>
      <w:pPr>
        <w:widowControl/>
        <w:spacing w:line="360" w:lineRule="auto"/>
        <w:ind w:firstLine="420"/>
        <w:jc w:val="left"/>
        <w:rPr>
          <w:rFonts w:ascii="宋体" w:hAnsi="宋体" w:cs="宋体"/>
          <w:b/>
          <w:kern w:val="0"/>
          <w:szCs w:val="20"/>
        </w:rPr>
      </w:pPr>
      <w:r>
        <w:rPr>
          <w:rFonts w:hint="eastAsia" w:ascii="宋体" w:hAnsi="宋体" w:cs="宋体"/>
          <w:b/>
          <w:kern w:val="0"/>
          <w:szCs w:val="20"/>
        </w:rPr>
        <w:t>特此声明！</w:t>
      </w:r>
    </w:p>
    <w:p>
      <w:pPr>
        <w:pStyle w:val="15"/>
        <w:rPr>
          <w:rFonts w:ascii="宋体" w:hAnsi="宋体" w:cs="宋体"/>
          <w:kern w:val="0"/>
          <w:szCs w:val="20"/>
        </w:rPr>
      </w:pPr>
    </w:p>
    <w:p/>
    <w:p>
      <w:pPr>
        <w:widowControl/>
        <w:adjustRightInd w:val="0"/>
        <w:snapToGrid w:val="0"/>
        <w:spacing w:line="360" w:lineRule="auto"/>
        <w:ind w:firstLine="2940" w:firstLineChars="1400"/>
        <w:rPr>
          <w:rFonts w:ascii="宋体" w:hAnsi="宋体" w:cs="宋体"/>
          <w:spacing w:val="4"/>
          <w:kern w:val="0"/>
          <w:szCs w:val="20"/>
        </w:rPr>
      </w:pPr>
      <w:r>
        <w:rPr>
          <w:rFonts w:hint="eastAsia" w:ascii="宋体" w:hAnsi="宋体" w:cs="宋体"/>
          <w:kern w:val="0"/>
          <w:szCs w:val="20"/>
        </w:rPr>
        <w:t>供应商公章：</w:t>
      </w:r>
    </w:p>
    <w:p>
      <w:pPr>
        <w:widowControl/>
        <w:spacing w:line="360" w:lineRule="auto"/>
        <w:ind w:right="420" w:firstLine="2940" w:firstLineChars="1400"/>
        <w:jc w:val="left"/>
        <w:rPr>
          <w:rFonts w:ascii="宋体" w:hAnsi="宋体" w:cs="宋体"/>
          <w:kern w:val="0"/>
          <w:szCs w:val="20"/>
        </w:rPr>
      </w:pPr>
      <w:r>
        <w:rPr>
          <w:rFonts w:hint="eastAsia" w:ascii="宋体" w:hAnsi="宋体" w:cs="宋体"/>
          <w:kern w:val="0"/>
          <w:szCs w:val="20"/>
        </w:rPr>
        <w:t>法定代表人或授权代表（签名或盖章）：</w:t>
      </w:r>
    </w:p>
    <w:p>
      <w:pPr>
        <w:widowControl/>
        <w:spacing w:line="360" w:lineRule="auto"/>
        <w:ind w:right="420" w:firstLine="2940" w:firstLineChars="1400"/>
        <w:jc w:val="left"/>
        <w:rPr>
          <w:rFonts w:ascii="宋体" w:hAnsi="宋体" w:cs="宋体"/>
          <w:kern w:val="0"/>
          <w:szCs w:val="20"/>
        </w:rPr>
      </w:pPr>
      <w:r>
        <w:rPr>
          <w:rFonts w:hint="eastAsia" w:ascii="宋体" w:hAnsi="宋体" w:cs="宋体"/>
          <w:kern w:val="0"/>
          <w:szCs w:val="20"/>
        </w:rPr>
        <w:t>年    月    日</w:t>
      </w:r>
    </w:p>
    <w:p>
      <w:pPr>
        <w:widowControl/>
        <w:spacing w:line="360" w:lineRule="auto"/>
        <w:jc w:val="left"/>
        <w:rPr>
          <w:rFonts w:ascii="宋体" w:hAnsi="宋体" w:cs="宋体"/>
          <w:b/>
          <w:kern w:val="0"/>
          <w:szCs w:val="20"/>
        </w:rPr>
      </w:pPr>
    </w:p>
    <w:p>
      <w:pPr>
        <w:widowControl/>
        <w:spacing w:line="360" w:lineRule="auto"/>
        <w:jc w:val="left"/>
        <w:rPr>
          <w:rFonts w:ascii="宋体" w:hAnsi="宋体" w:cs="宋体"/>
          <w:b/>
          <w:kern w:val="0"/>
          <w:szCs w:val="20"/>
        </w:rPr>
      </w:pPr>
    </w:p>
    <w:p>
      <w:pPr>
        <w:widowControl/>
        <w:spacing w:line="360" w:lineRule="auto"/>
        <w:jc w:val="left"/>
        <w:rPr>
          <w:rFonts w:ascii="宋体" w:hAnsi="宋体" w:cs="宋体"/>
          <w:b/>
          <w:kern w:val="0"/>
          <w:szCs w:val="20"/>
        </w:rPr>
      </w:pPr>
    </w:p>
    <w:p>
      <w:pPr>
        <w:widowControl/>
        <w:spacing w:line="360" w:lineRule="auto"/>
        <w:jc w:val="left"/>
        <w:rPr>
          <w:rFonts w:ascii="宋体" w:hAnsi="宋体" w:cs="宋体"/>
          <w:b/>
          <w:kern w:val="0"/>
          <w:szCs w:val="20"/>
        </w:rPr>
      </w:pPr>
    </w:p>
    <w:p>
      <w:pPr>
        <w:widowControl/>
        <w:spacing w:line="500" w:lineRule="exact"/>
        <w:jc w:val="left"/>
        <w:rPr>
          <w:rFonts w:ascii="宋体" w:hAnsi="宋体" w:cs="宋体"/>
          <w:b/>
          <w:bCs/>
          <w:kern w:val="0"/>
          <w:szCs w:val="21"/>
          <w:lang w:bidi="ar"/>
        </w:rPr>
      </w:pPr>
      <w:r>
        <w:rPr>
          <w:rFonts w:hint="eastAsia" w:ascii="宋体" w:hAnsi="宋体" w:cs="宋体"/>
          <w:b/>
          <w:bCs/>
          <w:kern w:val="0"/>
          <w:szCs w:val="20"/>
          <w:lang w:bidi="ar"/>
        </w:rPr>
        <w:t>4.中小企业声明函</w:t>
      </w:r>
    </w:p>
    <w:p>
      <w:pPr>
        <w:widowControl/>
        <w:spacing w:line="360" w:lineRule="auto"/>
        <w:jc w:val="center"/>
        <w:rPr>
          <w:rFonts w:ascii="宋体" w:hAnsi="宋体" w:cs="宋体"/>
          <w:b/>
          <w:kern w:val="0"/>
          <w:sz w:val="28"/>
          <w:szCs w:val="28"/>
        </w:rPr>
      </w:pPr>
      <w:bookmarkStart w:id="104" w:name="_Toc25084"/>
      <w:r>
        <w:rPr>
          <w:rFonts w:hint="eastAsia" w:ascii="宋体" w:hAnsi="宋体" w:cs="宋体"/>
          <w:b/>
          <w:kern w:val="0"/>
          <w:sz w:val="32"/>
          <w:szCs w:val="32"/>
          <w:lang w:bidi="ar"/>
        </w:rPr>
        <w:t>中小企业声明函</w:t>
      </w:r>
      <w:bookmarkEnd w:id="104"/>
      <w:r>
        <w:rPr>
          <w:rFonts w:hint="eastAsia" w:ascii="宋体" w:hAnsi="宋体" w:cs="宋体"/>
          <w:b/>
          <w:kern w:val="0"/>
          <w:sz w:val="32"/>
          <w:szCs w:val="32"/>
          <w:lang w:bidi="ar"/>
        </w:rPr>
        <w:t>（服务）</w:t>
      </w:r>
    </w:p>
    <w:p>
      <w:pPr>
        <w:widowControl/>
        <w:spacing w:line="500" w:lineRule="exact"/>
        <w:ind w:firstLine="420" w:firstLineChars="200"/>
        <w:jc w:val="left"/>
        <w:rPr>
          <w:rFonts w:ascii="宋体" w:hAnsi="宋体" w:cs="宋体"/>
          <w:kern w:val="0"/>
          <w:szCs w:val="21"/>
        </w:rPr>
      </w:pPr>
      <w:r>
        <w:rPr>
          <w:rFonts w:hint="eastAsia" w:ascii="宋体" w:hAnsi="宋体" w:cs="宋体"/>
          <w:kern w:val="0"/>
          <w:szCs w:val="21"/>
        </w:rPr>
        <w:t>本公司（联合体）郑重声明，根据《政府采购促进中小企业发展管理办法》（财库﹝2020﹞46 号）的规定，本公司（联合体）参加</w:t>
      </w:r>
      <w:r>
        <w:rPr>
          <w:rFonts w:hint="eastAsia" w:ascii="宋体" w:hAnsi="宋体" w:cs="宋体"/>
          <w:kern w:val="0"/>
          <w:szCs w:val="21"/>
          <w:u w:val="single"/>
        </w:rPr>
        <w:t>（单位名称）</w:t>
      </w:r>
      <w:r>
        <w:rPr>
          <w:rFonts w:hint="eastAsia" w:ascii="宋体" w:hAnsi="宋体" w:cs="宋体"/>
          <w:kern w:val="0"/>
          <w:szCs w:val="21"/>
        </w:rPr>
        <w:t>的</w:t>
      </w:r>
      <w:r>
        <w:rPr>
          <w:rFonts w:hint="eastAsia" w:ascii="宋体" w:hAnsi="宋体" w:cs="宋体"/>
          <w:kern w:val="0"/>
          <w:szCs w:val="21"/>
          <w:u w:val="single"/>
        </w:rPr>
        <w:t>（项目名称）</w:t>
      </w:r>
      <w:r>
        <w:rPr>
          <w:rFonts w:hint="eastAsia" w:ascii="宋体" w:hAnsi="宋体" w:cs="宋体"/>
          <w:kern w:val="0"/>
          <w:szCs w:val="21"/>
        </w:rPr>
        <w:t>采购活动，服务全部由符合政策要求的中小企业承接。相关企业（含联合体中的中小企业、签订分包意向协议的中小企业）的具体情况如下：</w:t>
      </w:r>
    </w:p>
    <w:p>
      <w:pPr>
        <w:widowControl/>
        <w:spacing w:line="500" w:lineRule="exact"/>
        <w:ind w:firstLine="420" w:firstLineChars="200"/>
        <w:jc w:val="left"/>
        <w:rPr>
          <w:rFonts w:ascii="宋体" w:hAnsi="宋体" w:cs="宋体"/>
          <w:kern w:val="0"/>
          <w:szCs w:val="21"/>
        </w:rPr>
      </w:pPr>
      <w:r>
        <w:rPr>
          <w:rFonts w:hint="eastAsia" w:ascii="宋体" w:hAnsi="宋体" w:cs="宋体"/>
          <w:kern w:val="0"/>
          <w:szCs w:val="21"/>
        </w:rPr>
        <w:t>1.</w:t>
      </w:r>
      <w:r>
        <w:rPr>
          <w:rFonts w:hint="eastAsia" w:ascii="宋体" w:hAnsi="宋体" w:cs="宋体"/>
          <w:i/>
          <w:kern w:val="0"/>
          <w:szCs w:val="21"/>
          <w:u w:val="single"/>
        </w:rPr>
        <w:t xml:space="preserve"> （标的名称） </w:t>
      </w:r>
      <w:r>
        <w:rPr>
          <w:rFonts w:hint="eastAsia" w:ascii="宋体" w:hAnsi="宋体" w:cs="宋体"/>
          <w:kern w:val="0"/>
          <w:szCs w:val="21"/>
        </w:rPr>
        <w:t>，属于</w:t>
      </w:r>
      <w:r>
        <w:rPr>
          <w:rFonts w:hint="eastAsia" w:ascii="宋体" w:hAnsi="宋体" w:cs="宋体"/>
          <w:i/>
          <w:kern w:val="0"/>
          <w:szCs w:val="21"/>
          <w:u w:val="single"/>
        </w:rPr>
        <w:t>（其他未列明行业）</w:t>
      </w:r>
      <w:r>
        <w:rPr>
          <w:rFonts w:hint="eastAsia" w:ascii="宋体" w:hAnsi="宋体" w:cs="宋体"/>
          <w:kern w:val="0"/>
          <w:szCs w:val="21"/>
        </w:rPr>
        <w:t>；承接企业为</w:t>
      </w:r>
      <w:r>
        <w:rPr>
          <w:rFonts w:hint="eastAsia" w:ascii="宋体" w:hAnsi="宋体" w:cs="宋体"/>
          <w:i/>
          <w:kern w:val="0"/>
          <w:szCs w:val="21"/>
          <w:u w:val="single"/>
        </w:rPr>
        <w:t>（企业名称）</w:t>
      </w:r>
      <w:r>
        <w:rPr>
          <w:rFonts w:hint="eastAsia" w:ascii="宋体" w:hAnsi="宋体" w:cs="宋体"/>
          <w:kern w:val="0"/>
          <w:szCs w:val="21"/>
        </w:rPr>
        <w:t>，从业人员</w:t>
      </w:r>
      <w:r>
        <w:rPr>
          <w:rFonts w:hint="eastAsia" w:ascii="宋体" w:hAnsi="宋体" w:cs="宋体"/>
          <w:kern w:val="0"/>
          <w:szCs w:val="21"/>
          <w:u w:val="single"/>
        </w:rPr>
        <w:t xml:space="preserve">      </w:t>
      </w:r>
      <w:r>
        <w:rPr>
          <w:rFonts w:hint="eastAsia" w:ascii="宋体" w:hAnsi="宋体" w:cs="宋体"/>
          <w:kern w:val="0"/>
          <w:szCs w:val="21"/>
        </w:rPr>
        <w:t>人，营业收入为</w:t>
      </w:r>
      <w:r>
        <w:rPr>
          <w:rFonts w:hint="eastAsia" w:ascii="宋体" w:hAnsi="宋体" w:cs="宋体"/>
          <w:kern w:val="0"/>
          <w:szCs w:val="21"/>
          <w:u w:val="single"/>
        </w:rPr>
        <w:t xml:space="preserve">      </w:t>
      </w:r>
      <w:r>
        <w:rPr>
          <w:rFonts w:hint="eastAsia" w:ascii="宋体" w:hAnsi="宋体" w:cs="宋体"/>
          <w:kern w:val="0"/>
          <w:szCs w:val="21"/>
        </w:rPr>
        <w:t>万元，资产总额为</w:t>
      </w:r>
      <w:r>
        <w:rPr>
          <w:rFonts w:hint="eastAsia" w:ascii="宋体" w:hAnsi="宋体" w:cs="宋体"/>
          <w:kern w:val="0"/>
          <w:szCs w:val="21"/>
          <w:u w:val="single"/>
        </w:rPr>
        <w:t xml:space="preserve">    </w:t>
      </w:r>
      <w:r>
        <w:rPr>
          <w:rFonts w:hint="eastAsia" w:ascii="宋体" w:hAnsi="宋体" w:cs="宋体"/>
          <w:kern w:val="0"/>
          <w:szCs w:val="21"/>
        </w:rPr>
        <w:t>万元，属于</w:t>
      </w:r>
      <w:r>
        <w:rPr>
          <w:rFonts w:hint="eastAsia" w:ascii="宋体" w:hAnsi="宋体" w:cs="宋体"/>
          <w:i/>
          <w:kern w:val="0"/>
          <w:szCs w:val="21"/>
          <w:u w:val="single"/>
        </w:rPr>
        <w:t>（中型企业、小型企业、微型企业）</w:t>
      </w:r>
      <w:r>
        <w:rPr>
          <w:rFonts w:hint="eastAsia" w:ascii="宋体" w:hAnsi="宋体" w:cs="宋体"/>
          <w:kern w:val="0"/>
          <w:szCs w:val="21"/>
        </w:rPr>
        <w:t>；</w:t>
      </w:r>
    </w:p>
    <w:p>
      <w:pPr>
        <w:widowControl/>
        <w:spacing w:line="500" w:lineRule="exact"/>
        <w:ind w:firstLine="420" w:firstLineChars="200"/>
        <w:jc w:val="left"/>
        <w:rPr>
          <w:rFonts w:ascii="宋体" w:hAnsi="宋体" w:cs="宋体"/>
          <w:kern w:val="0"/>
          <w:szCs w:val="21"/>
        </w:rPr>
      </w:pPr>
      <w:r>
        <w:rPr>
          <w:rFonts w:hint="eastAsia" w:ascii="宋体" w:hAnsi="宋体" w:cs="宋体"/>
          <w:kern w:val="0"/>
          <w:szCs w:val="21"/>
        </w:rPr>
        <w:t>2.</w:t>
      </w:r>
      <w:r>
        <w:rPr>
          <w:rFonts w:hint="eastAsia" w:ascii="宋体" w:hAnsi="宋体" w:cs="宋体"/>
          <w:i/>
          <w:kern w:val="0"/>
          <w:szCs w:val="21"/>
          <w:u w:val="single"/>
        </w:rPr>
        <w:t xml:space="preserve"> （标的名称） </w:t>
      </w:r>
      <w:r>
        <w:rPr>
          <w:rFonts w:hint="eastAsia" w:ascii="宋体" w:hAnsi="宋体" w:cs="宋体"/>
          <w:kern w:val="0"/>
          <w:szCs w:val="21"/>
        </w:rPr>
        <w:t>，属于</w:t>
      </w:r>
      <w:r>
        <w:rPr>
          <w:rFonts w:hint="eastAsia" w:ascii="宋体" w:hAnsi="宋体" w:cs="宋体"/>
          <w:i/>
          <w:kern w:val="0"/>
          <w:szCs w:val="21"/>
          <w:u w:val="single"/>
        </w:rPr>
        <w:t>（其他未列明行业）</w:t>
      </w:r>
      <w:r>
        <w:rPr>
          <w:rFonts w:hint="eastAsia" w:ascii="宋体" w:hAnsi="宋体" w:cs="宋体"/>
          <w:kern w:val="0"/>
          <w:szCs w:val="21"/>
        </w:rPr>
        <w:t>；承接企业为</w:t>
      </w:r>
      <w:r>
        <w:rPr>
          <w:rFonts w:hint="eastAsia" w:ascii="宋体" w:hAnsi="宋体" w:cs="宋体"/>
          <w:i/>
          <w:kern w:val="0"/>
          <w:szCs w:val="21"/>
          <w:u w:val="single"/>
        </w:rPr>
        <w:t>（企业名称）</w:t>
      </w:r>
      <w:r>
        <w:rPr>
          <w:rFonts w:hint="eastAsia" w:ascii="宋体" w:hAnsi="宋体" w:cs="宋体"/>
          <w:kern w:val="0"/>
          <w:szCs w:val="21"/>
        </w:rPr>
        <w:t>，从业人员</w:t>
      </w:r>
      <w:r>
        <w:rPr>
          <w:rFonts w:hint="eastAsia" w:ascii="宋体" w:hAnsi="宋体" w:cs="宋体"/>
          <w:kern w:val="0"/>
          <w:szCs w:val="21"/>
          <w:u w:val="single"/>
        </w:rPr>
        <w:t xml:space="preserve">     </w:t>
      </w:r>
      <w:r>
        <w:rPr>
          <w:rFonts w:hint="eastAsia" w:ascii="宋体" w:hAnsi="宋体" w:cs="宋体"/>
          <w:kern w:val="0"/>
          <w:szCs w:val="21"/>
        </w:rPr>
        <w:t>人，营业收入为</w:t>
      </w:r>
      <w:r>
        <w:rPr>
          <w:rFonts w:hint="eastAsia" w:ascii="宋体" w:hAnsi="宋体" w:cs="宋体"/>
          <w:kern w:val="0"/>
          <w:szCs w:val="21"/>
          <w:u w:val="single"/>
        </w:rPr>
        <w:t xml:space="preserve">    </w:t>
      </w:r>
      <w:r>
        <w:rPr>
          <w:rFonts w:hint="eastAsia" w:ascii="宋体" w:hAnsi="宋体" w:cs="宋体"/>
          <w:kern w:val="0"/>
          <w:szCs w:val="21"/>
        </w:rPr>
        <w:t>万元，资产总额为</w:t>
      </w:r>
      <w:r>
        <w:rPr>
          <w:rFonts w:hint="eastAsia" w:ascii="宋体" w:hAnsi="宋体" w:cs="宋体"/>
          <w:kern w:val="0"/>
          <w:szCs w:val="21"/>
          <w:u w:val="single"/>
        </w:rPr>
        <w:t xml:space="preserve">    </w:t>
      </w:r>
      <w:r>
        <w:rPr>
          <w:rFonts w:hint="eastAsia" w:ascii="宋体" w:hAnsi="宋体" w:cs="宋体"/>
          <w:kern w:val="0"/>
          <w:szCs w:val="21"/>
        </w:rPr>
        <w:t>万元，属于</w:t>
      </w:r>
      <w:r>
        <w:rPr>
          <w:rFonts w:hint="eastAsia" w:ascii="宋体" w:hAnsi="宋体" w:cs="宋体"/>
          <w:i/>
          <w:kern w:val="0"/>
          <w:szCs w:val="21"/>
          <w:u w:val="single"/>
        </w:rPr>
        <w:t>（中型企业、小型企业、微型企业）</w:t>
      </w:r>
      <w:r>
        <w:rPr>
          <w:rFonts w:hint="eastAsia" w:ascii="宋体" w:hAnsi="宋体" w:cs="宋体"/>
          <w:kern w:val="0"/>
          <w:szCs w:val="21"/>
        </w:rPr>
        <w:t>；</w:t>
      </w:r>
    </w:p>
    <w:p>
      <w:pPr>
        <w:widowControl/>
        <w:spacing w:line="500" w:lineRule="exact"/>
        <w:ind w:firstLine="420" w:firstLineChars="200"/>
        <w:jc w:val="left"/>
        <w:rPr>
          <w:rFonts w:ascii="宋体" w:hAnsi="宋体" w:cs="宋体"/>
          <w:kern w:val="0"/>
          <w:szCs w:val="21"/>
        </w:rPr>
      </w:pPr>
      <w:r>
        <w:rPr>
          <w:rFonts w:hint="eastAsia" w:ascii="宋体" w:hAnsi="宋体" w:cs="宋体"/>
          <w:kern w:val="0"/>
          <w:szCs w:val="21"/>
        </w:rPr>
        <w:t>……</w:t>
      </w:r>
    </w:p>
    <w:p>
      <w:pPr>
        <w:widowControl/>
        <w:spacing w:line="500" w:lineRule="exact"/>
        <w:ind w:firstLine="420" w:firstLineChars="200"/>
        <w:jc w:val="left"/>
        <w:rPr>
          <w:rFonts w:ascii="宋体" w:hAnsi="宋体" w:cs="宋体"/>
          <w:kern w:val="0"/>
          <w:szCs w:val="21"/>
        </w:rPr>
      </w:pPr>
      <w:r>
        <w:rPr>
          <w:rFonts w:hint="eastAsia" w:ascii="宋体" w:hAnsi="宋体" w:cs="宋体"/>
          <w:kern w:val="0"/>
          <w:szCs w:val="21"/>
        </w:rPr>
        <w:t>以上企业，不属于大企业的分支机构，不存在控股股东为大企业的情形，也不存在与大企业的负责人为同一人的情形。</w:t>
      </w:r>
    </w:p>
    <w:p>
      <w:pPr>
        <w:widowControl/>
        <w:spacing w:line="500" w:lineRule="exact"/>
        <w:ind w:firstLine="420" w:firstLineChars="200"/>
        <w:jc w:val="left"/>
        <w:rPr>
          <w:rFonts w:ascii="宋体" w:hAnsi="宋体" w:cs="宋体"/>
          <w:kern w:val="0"/>
          <w:szCs w:val="21"/>
        </w:rPr>
      </w:pPr>
      <w:r>
        <w:rPr>
          <w:rFonts w:hint="eastAsia" w:ascii="宋体" w:hAnsi="宋体" w:cs="宋体"/>
          <w:kern w:val="0"/>
          <w:szCs w:val="21"/>
        </w:rPr>
        <w:t>本企业对上述声明内容的真实性负责。如有虚假，将依法承担相应责任。</w:t>
      </w:r>
    </w:p>
    <w:p>
      <w:pPr>
        <w:widowControl/>
        <w:spacing w:line="500" w:lineRule="exact"/>
        <w:jc w:val="left"/>
        <w:rPr>
          <w:rFonts w:ascii="宋体" w:hAnsi="宋体" w:cs="宋体"/>
          <w:kern w:val="0"/>
          <w:szCs w:val="21"/>
        </w:rPr>
      </w:pPr>
      <w:r>
        <w:rPr>
          <w:rFonts w:hint="eastAsia" w:ascii="宋体" w:hAnsi="宋体" w:cs="宋体"/>
          <w:kern w:val="0"/>
          <w:szCs w:val="21"/>
        </w:rPr>
        <w:t xml:space="preserve">                        企业名称（盖章）：</w:t>
      </w:r>
    </w:p>
    <w:p>
      <w:pPr>
        <w:widowControl/>
        <w:spacing w:line="360" w:lineRule="auto"/>
        <w:jc w:val="left"/>
        <w:rPr>
          <w:rFonts w:ascii="宋体" w:hAnsi="宋体" w:cs="宋体"/>
          <w:kern w:val="0"/>
          <w:szCs w:val="21"/>
        </w:rPr>
      </w:pPr>
      <w:r>
        <w:rPr>
          <w:rFonts w:hint="eastAsia" w:ascii="宋体" w:hAnsi="宋体" w:cs="宋体"/>
          <w:kern w:val="0"/>
          <w:szCs w:val="21"/>
        </w:rPr>
        <w:t xml:space="preserve">                        日期：</w:t>
      </w:r>
    </w:p>
    <w:p>
      <w:pPr>
        <w:widowControl/>
        <w:spacing w:line="360" w:lineRule="auto"/>
        <w:jc w:val="left"/>
        <w:rPr>
          <w:rFonts w:ascii="宋体" w:hAnsi="宋体" w:cs="宋体"/>
          <w:kern w:val="0"/>
          <w:szCs w:val="21"/>
        </w:rPr>
      </w:pPr>
      <w:r>
        <w:rPr>
          <w:rFonts w:hint="eastAsia" w:ascii="宋体" w:hAnsi="宋体" w:cs="宋体"/>
          <w:kern w:val="0"/>
          <w:szCs w:val="21"/>
        </w:rPr>
        <w:t>说明：</w:t>
      </w:r>
    </w:p>
    <w:p>
      <w:pPr>
        <w:widowControl/>
        <w:spacing w:line="360" w:lineRule="auto"/>
        <w:jc w:val="left"/>
        <w:rPr>
          <w:rFonts w:ascii="宋体" w:hAnsi="宋体" w:cs="宋体"/>
          <w:kern w:val="0"/>
          <w:szCs w:val="21"/>
        </w:rPr>
      </w:pPr>
      <w:r>
        <w:rPr>
          <w:rFonts w:hint="eastAsia" w:ascii="宋体" w:hAnsi="宋体" w:cs="宋体"/>
          <w:kern w:val="0"/>
          <w:szCs w:val="21"/>
        </w:rPr>
        <w:t>1、从业人员、营业收入、资产总额填报上一年度数据，无上一年度数据的新成立企业可不填报。</w:t>
      </w:r>
    </w:p>
    <w:p>
      <w:pPr>
        <w:widowControl/>
        <w:spacing w:line="360" w:lineRule="auto"/>
        <w:jc w:val="left"/>
        <w:rPr>
          <w:rFonts w:ascii="宋体" w:hAnsi="宋体" w:cs="宋体"/>
          <w:kern w:val="0"/>
          <w:szCs w:val="21"/>
        </w:rPr>
      </w:pPr>
      <w:r>
        <w:rPr>
          <w:rFonts w:hint="eastAsia" w:ascii="宋体" w:hAnsi="宋体" w:cs="宋体"/>
          <w:kern w:val="0"/>
          <w:szCs w:val="21"/>
        </w:rPr>
        <w:t>2、根据工信部联企业[2011]300号规定。其他未列明行业：从业人员300人以下的为中小微型企业。其中，从业人员100人及以上的为中型企业；从业人员10人及以上的为小型企业；从业人员10人以下的为微型企业。</w:t>
      </w:r>
    </w:p>
    <w:p>
      <w:pPr>
        <w:widowControl/>
        <w:spacing w:line="500" w:lineRule="exact"/>
        <w:jc w:val="left"/>
        <w:rPr>
          <w:rFonts w:ascii="宋体" w:hAnsi="宋体" w:cs="宋体"/>
          <w:kern w:val="0"/>
          <w:szCs w:val="21"/>
        </w:rPr>
      </w:pPr>
    </w:p>
    <w:p>
      <w:pPr>
        <w:pStyle w:val="15"/>
        <w:rPr>
          <w:rFonts w:ascii="宋体" w:hAnsi="宋体" w:cs="宋体"/>
          <w:kern w:val="0"/>
          <w:szCs w:val="21"/>
        </w:rPr>
      </w:pPr>
    </w:p>
    <w:p>
      <w:pPr>
        <w:pStyle w:val="3"/>
        <w:rPr>
          <w:rFonts w:ascii="宋体" w:hAnsi="宋体" w:cs="宋体"/>
          <w:kern w:val="0"/>
          <w:szCs w:val="21"/>
        </w:rPr>
      </w:pPr>
    </w:p>
    <w:p>
      <w:pPr>
        <w:pStyle w:val="15"/>
      </w:pPr>
    </w:p>
    <w:p>
      <w:pPr>
        <w:pStyle w:val="182"/>
        <w:rPr>
          <w:rFonts w:ascii="宋体" w:hAnsi="宋体" w:cs="宋体"/>
          <w:kern w:val="0"/>
          <w:szCs w:val="21"/>
        </w:rPr>
      </w:pPr>
    </w:p>
    <w:p>
      <w:pPr>
        <w:pStyle w:val="182"/>
        <w:rPr>
          <w:rFonts w:ascii="宋体" w:hAnsi="宋体" w:cs="宋体"/>
          <w:kern w:val="0"/>
          <w:szCs w:val="21"/>
        </w:rPr>
      </w:pPr>
    </w:p>
    <w:p>
      <w:pPr>
        <w:pStyle w:val="182"/>
        <w:rPr>
          <w:rFonts w:ascii="宋体" w:hAnsi="宋体" w:cs="宋体"/>
          <w:kern w:val="0"/>
          <w:szCs w:val="21"/>
        </w:rPr>
      </w:pPr>
    </w:p>
    <w:p>
      <w:pPr>
        <w:pStyle w:val="182"/>
        <w:rPr>
          <w:rFonts w:ascii="宋体" w:hAnsi="宋体" w:cs="宋体"/>
          <w:kern w:val="0"/>
          <w:szCs w:val="21"/>
        </w:rPr>
      </w:pPr>
    </w:p>
    <w:p>
      <w:pPr>
        <w:pStyle w:val="182"/>
        <w:rPr>
          <w:rFonts w:ascii="宋体" w:hAnsi="宋体" w:cs="宋体"/>
          <w:kern w:val="0"/>
          <w:szCs w:val="21"/>
        </w:rPr>
      </w:pPr>
    </w:p>
    <w:p>
      <w:pPr>
        <w:pStyle w:val="182"/>
        <w:rPr>
          <w:rFonts w:ascii="宋体" w:hAnsi="宋体" w:cs="宋体"/>
          <w:kern w:val="0"/>
          <w:szCs w:val="21"/>
        </w:rPr>
      </w:pPr>
    </w:p>
    <w:p>
      <w:pPr>
        <w:pStyle w:val="182"/>
        <w:rPr>
          <w:rFonts w:ascii="宋体" w:hAnsi="宋体" w:cs="宋体"/>
          <w:kern w:val="0"/>
          <w:szCs w:val="21"/>
        </w:rPr>
      </w:pPr>
    </w:p>
    <w:p>
      <w:pPr>
        <w:pStyle w:val="182"/>
        <w:rPr>
          <w:rFonts w:ascii="宋体" w:hAnsi="宋体" w:cs="宋体"/>
          <w:kern w:val="0"/>
          <w:szCs w:val="21"/>
        </w:rPr>
      </w:pPr>
    </w:p>
    <w:p>
      <w:pPr>
        <w:widowControl/>
        <w:spacing w:line="500" w:lineRule="exact"/>
        <w:jc w:val="left"/>
        <w:rPr>
          <w:rFonts w:ascii="宋体" w:hAnsi="宋体" w:cs="宋体"/>
          <w:b/>
          <w:bCs/>
          <w:kern w:val="0"/>
          <w:szCs w:val="21"/>
        </w:rPr>
      </w:pPr>
      <w:r>
        <w:rPr>
          <w:rFonts w:hint="eastAsia" w:ascii="宋体" w:hAnsi="宋体" w:cs="宋体"/>
          <w:b/>
          <w:bCs/>
          <w:kern w:val="0"/>
          <w:szCs w:val="21"/>
        </w:rPr>
        <w:t>5.残疾人福利性单位声明函（非残疾人福利性单位无需提供本函)</w:t>
      </w:r>
    </w:p>
    <w:p>
      <w:pPr>
        <w:widowControl/>
        <w:spacing w:line="500" w:lineRule="exact"/>
        <w:jc w:val="left"/>
        <w:rPr>
          <w:rFonts w:ascii="宋体" w:hAnsi="宋体" w:cs="宋体"/>
          <w:kern w:val="0"/>
          <w:szCs w:val="21"/>
        </w:rPr>
      </w:pPr>
    </w:p>
    <w:p>
      <w:pPr>
        <w:spacing w:line="360" w:lineRule="auto"/>
        <w:jc w:val="center"/>
        <w:rPr>
          <w:rFonts w:ascii="宋体" w:hAnsi="宋体" w:cs="宋体"/>
          <w:b/>
          <w:spacing w:val="6"/>
          <w:szCs w:val="21"/>
        </w:rPr>
      </w:pPr>
      <w:r>
        <w:rPr>
          <w:rFonts w:hint="eastAsia" w:ascii="宋体" w:hAnsi="宋体" w:cs="宋体"/>
          <w:b/>
          <w:spacing w:val="6"/>
          <w:szCs w:val="21"/>
        </w:rPr>
        <w:t>残疾人福利性单位声明函</w:t>
      </w:r>
    </w:p>
    <w:p>
      <w:pPr>
        <w:widowControl/>
        <w:spacing w:line="500" w:lineRule="exact"/>
        <w:jc w:val="left"/>
        <w:rPr>
          <w:rFonts w:ascii="宋体" w:hAnsi="宋体" w:cs="宋体"/>
          <w:kern w:val="0"/>
          <w:szCs w:val="21"/>
        </w:rPr>
      </w:pPr>
    </w:p>
    <w:p>
      <w:pPr>
        <w:spacing w:line="360" w:lineRule="auto"/>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pPr>
        <w:tabs>
          <w:tab w:val="left" w:pos="4860"/>
        </w:tabs>
        <w:spacing w:line="360" w:lineRule="auto"/>
        <w:ind w:firstLine="444" w:firstLineChars="200"/>
        <w:jc w:val="center"/>
        <w:rPr>
          <w:rFonts w:ascii="宋体" w:hAnsi="宋体" w:cs="宋体"/>
          <w:spacing w:val="6"/>
          <w:szCs w:val="21"/>
        </w:rPr>
      </w:pPr>
      <w:r>
        <w:rPr>
          <w:rFonts w:hint="eastAsia" w:ascii="宋体" w:hAnsi="宋体" w:cs="宋体"/>
          <w:spacing w:val="6"/>
          <w:szCs w:val="21"/>
        </w:rPr>
        <w:t xml:space="preserve">               单位名称（盖章）：</w:t>
      </w:r>
    </w:p>
    <w:p>
      <w:pPr>
        <w:tabs>
          <w:tab w:val="left" w:pos="4860"/>
        </w:tabs>
        <w:spacing w:line="360" w:lineRule="auto"/>
        <w:ind w:firstLine="444" w:firstLineChars="200"/>
        <w:jc w:val="center"/>
        <w:rPr>
          <w:rFonts w:ascii="宋体" w:hAnsi="宋体" w:cs="宋体"/>
        </w:rPr>
      </w:pPr>
      <w:r>
        <w:rPr>
          <w:rFonts w:hint="eastAsia" w:ascii="宋体" w:hAnsi="宋体" w:cs="宋体"/>
          <w:spacing w:val="6"/>
          <w:szCs w:val="21"/>
        </w:rPr>
        <w:t xml:space="preserve">       日  期：</w:t>
      </w:r>
    </w:p>
    <w:p>
      <w:pPr>
        <w:tabs>
          <w:tab w:val="left" w:pos="4860"/>
        </w:tabs>
        <w:spacing w:line="360" w:lineRule="auto"/>
        <w:rPr>
          <w:rFonts w:ascii="宋体" w:hAnsi="宋体" w:cs="宋体"/>
          <w:spacing w:val="6"/>
          <w:szCs w:val="21"/>
        </w:rPr>
      </w:pPr>
      <w:r>
        <w:rPr>
          <w:rFonts w:hint="eastAsia" w:ascii="宋体" w:hAnsi="宋体" w:cs="宋体"/>
          <w:spacing w:val="6"/>
          <w:szCs w:val="21"/>
        </w:rPr>
        <w:t>注：1、如供应商为非残疾人福利性单位的可不提供本声明函。</w:t>
      </w:r>
    </w:p>
    <w:p>
      <w:pPr>
        <w:tabs>
          <w:tab w:val="left" w:pos="4860"/>
        </w:tabs>
        <w:spacing w:line="360" w:lineRule="auto"/>
        <w:ind w:firstLine="444" w:firstLineChars="200"/>
        <w:rPr>
          <w:rFonts w:ascii="宋体" w:hAnsi="宋体" w:cs="宋体"/>
          <w:spacing w:val="6"/>
          <w:szCs w:val="21"/>
        </w:rPr>
      </w:pPr>
      <w:r>
        <w:rPr>
          <w:rFonts w:hint="eastAsia" w:ascii="宋体" w:hAnsi="宋体" w:cs="宋体"/>
          <w:spacing w:val="6"/>
          <w:szCs w:val="21"/>
        </w:rPr>
        <w:t>2、享受政府采购支持政策的残疾人福利性单位应当同时满足以下条件：</w:t>
      </w:r>
    </w:p>
    <w:p>
      <w:pPr>
        <w:tabs>
          <w:tab w:val="left" w:pos="4860"/>
        </w:tabs>
        <w:spacing w:line="360" w:lineRule="auto"/>
        <w:ind w:firstLine="444" w:firstLineChars="200"/>
        <w:rPr>
          <w:rFonts w:ascii="宋体" w:hAnsi="宋体" w:cs="宋体"/>
          <w:spacing w:val="6"/>
          <w:szCs w:val="21"/>
        </w:rPr>
      </w:pPr>
      <w:r>
        <w:rPr>
          <w:rFonts w:hint="eastAsia" w:ascii="宋体" w:hAnsi="宋体" w:cs="宋体"/>
          <w:spacing w:val="6"/>
          <w:szCs w:val="21"/>
        </w:rPr>
        <w:t>（1）安置的残疾人占本单位在职职工人数的比例不低于25%（含25%），并且安置的残疾人人数不少于10人（含10人）；</w:t>
      </w:r>
    </w:p>
    <w:p>
      <w:pPr>
        <w:tabs>
          <w:tab w:val="left" w:pos="4860"/>
        </w:tabs>
        <w:spacing w:line="360" w:lineRule="auto"/>
        <w:ind w:firstLine="444" w:firstLineChars="200"/>
        <w:rPr>
          <w:rFonts w:ascii="宋体" w:hAnsi="宋体" w:cs="宋体"/>
          <w:spacing w:val="6"/>
          <w:szCs w:val="21"/>
        </w:rPr>
      </w:pPr>
      <w:r>
        <w:rPr>
          <w:rFonts w:hint="eastAsia" w:ascii="宋体" w:hAnsi="宋体" w:cs="宋体"/>
          <w:spacing w:val="6"/>
          <w:szCs w:val="21"/>
        </w:rPr>
        <w:t>（2）依法与安置的每位残疾人签订了一年以上（含一年）的劳动合同或服务协议；</w:t>
      </w:r>
    </w:p>
    <w:p>
      <w:pPr>
        <w:tabs>
          <w:tab w:val="left" w:pos="4860"/>
        </w:tabs>
        <w:spacing w:line="360" w:lineRule="auto"/>
        <w:ind w:firstLine="444" w:firstLineChars="200"/>
        <w:rPr>
          <w:rFonts w:ascii="宋体" w:hAnsi="宋体" w:cs="宋体"/>
          <w:spacing w:val="6"/>
          <w:szCs w:val="21"/>
        </w:rPr>
      </w:pPr>
      <w:r>
        <w:rPr>
          <w:rFonts w:hint="eastAsia" w:ascii="宋体" w:hAnsi="宋体" w:cs="宋体"/>
          <w:spacing w:val="6"/>
          <w:szCs w:val="21"/>
        </w:rPr>
        <w:t>（3）为安置的每位残疾人按月足额缴纳了基本养老保险、基本医疗保险、失业保险、工伤保险和生育保险等社会保险费；</w:t>
      </w:r>
    </w:p>
    <w:p>
      <w:pPr>
        <w:tabs>
          <w:tab w:val="left" w:pos="4860"/>
        </w:tabs>
        <w:spacing w:line="360" w:lineRule="auto"/>
        <w:ind w:firstLine="444" w:firstLineChars="200"/>
        <w:rPr>
          <w:rFonts w:ascii="宋体" w:hAnsi="宋体" w:cs="宋体"/>
          <w:spacing w:val="6"/>
          <w:szCs w:val="21"/>
        </w:rPr>
      </w:pPr>
      <w:r>
        <w:rPr>
          <w:rFonts w:hint="eastAsia" w:ascii="宋体" w:hAnsi="宋体" w:cs="宋体"/>
          <w:spacing w:val="6"/>
          <w:szCs w:val="21"/>
        </w:rPr>
        <w:t>（4）通过银行等金融机构向安置的每位残疾人，按月支付了不低于单位所在区县适用的经省级人民政府批准的月最低工资标准的工资；</w:t>
      </w:r>
    </w:p>
    <w:p>
      <w:pPr>
        <w:tabs>
          <w:tab w:val="left" w:pos="4860"/>
        </w:tabs>
        <w:spacing w:line="360" w:lineRule="auto"/>
        <w:ind w:firstLine="444" w:firstLineChars="200"/>
        <w:rPr>
          <w:rFonts w:ascii="宋体" w:hAnsi="宋体" w:cs="宋体"/>
          <w:spacing w:val="6"/>
          <w:szCs w:val="21"/>
        </w:rPr>
      </w:pPr>
      <w:r>
        <w:rPr>
          <w:rFonts w:hint="eastAsia" w:ascii="宋体" w:hAnsi="宋体" w:cs="宋体"/>
          <w:spacing w:val="6"/>
          <w:szCs w:val="21"/>
        </w:rPr>
        <w:t>（5）提供本单位制造的货物、承担的工程或者服务（以下简称产品），或者提供其他残疾人福利性单位制造的货物（不包括使用非残疾人福利性单位注册商标的货物）。</w:t>
      </w:r>
    </w:p>
    <w:p>
      <w:pPr>
        <w:widowControl/>
        <w:spacing w:line="500" w:lineRule="exact"/>
        <w:jc w:val="left"/>
        <w:rPr>
          <w:rFonts w:ascii="宋体" w:hAnsi="宋体" w:cs="宋体"/>
          <w:kern w:val="0"/>
          <w:szCs w:val="21"/>
        </w:rPr>
      </w:pPr>
      <w:r>
        <w:rPr>
          <w:rFonts w:hint="eastAsia" w:ascii="宋体" w:hAnsi="宋体" w:cs="宋体"/>
          <w:spacing w:val="6"/>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djustRightInd w:val="0"/>
        <w:snapToGrid w:val="0"/>
        <w:spacing w:line="360" w:lineRule="auto"/>
        <w:ind w:left="420"/>
        <w:textAlignment w:val="baseline"/>
        <w:rPr>
          <w:rFonts w:ascii="宋体" w:hAnsi="宋体" w:cs="宋体"/>
          <w:b/>
          <w:bCs/>
          <w:szCs w:val="21"/>
        </w:rPr>
      </w:pPr>
    </w:p>
    <w:p>
      <w:pPr>
        <w:widowControl/>
        <w:spacing w:line="500" w:lineRule="exact"/>
        <w:jc w:val="left"/>
        <w:rPr>
          <w:rFonts w:ascii="宋体" w:hAnsi="宋体" w:cs="宋体"/>
          <w:b/>
          <w:kern w:val="0"/>
          <w:szCs w:val="20"/>
        </w:rPr>
      </w:pPr>
    </w:p>
    <w:p>
      <w:pPr>
        <w:pStyle w:val="57"/>
      </w:pPr>
    </w:p>
    <w:p>
      <w:pPr>
        <w:widowControl/>
        <w:spacing w:line="500" w:lineRule="exact"/>
        <w:jc w:val="left"/>
        <w:rPr>
          <w:rFonts w:ascii="宋体" w:hAnsi="宋体" w:cs="宋体"/>
          <w:b/>
          <w:kern w:val="0"/>
          <w:szCs w:val="20"/>
        </w:rPr>
      </w:pPr>
    </w:p>
    <w:p>
      <w:pPr>
        <w:widowControl/>
        <w:spacing w:line="500" w:lineRule="exact"/>
        <w:jc w:val="left"/>
        <w:rPr>
          <w:rFonts w:ascii="宋体" w:hAnsi="宋体" w:cs="宋体"/>
          <w:szCs w:val="21"/>
        </w:rPr>
      </w:pPr>
      <w:r>
        <w:rPr>
          <w:rFonts w:hint="eastAsia" w:ascii="宋体" w:hAnsi="宋体" w:cs="宋体"/>
          <w:kern w:val="0"/>
          <w:szCs w:val="20"/>
        </w:rPr>
        <w:br w:type="page"/>
      </w:r>
      <w:r>
        <w:rPr>
          <w:rFonts w:hint="eastAsia" w:ascii="宋体" w:hAnsi="宋体" w:cs="宋体"/>
          <w:b/>
          <w:bCs/>
          <w:kern w:val="0"/>
          <w:szCs w:val="21"/>
        </w:rPr>
        <w:t>6.评分标准对应页码：</w:t>
      </w:r>
    </w:p>
    <w:p>
      <w:pPr>
        <w:widowControl/>
        <w:spacing w:line="500" w:lineRule="exact"/>
        <w:jc w:val="left"/>
        <w:rPr>
          <w:rFonts w:ascii="宋体" w:hAnsi="宋体" w:cs="宋体"/>
          <w:b/>
          <w:szCs w:val="21"/>
        </w:rPr>
      </w:pPr>
    </w:p>
    <w:p>
      <w:pPr>
        <w:snapToGrid w:val="0"/>
        <w:spacing w:before="120" w:beforeLines="50" w:after="60"/>
        <w:jc w:val="center"/>
        <w:rPr>
          <w:rFonts w:ascii="宋体" w:hAnsi="宋体" w:cs="宋体"/>
          <w:b/>
          <w:szCs w:val="21"/>
        </w:rPr>
      </w:pPr>
      <w:r>
        <w:rPr>
          <w:rFonts w:hint="eastAsia" w:ascii="宋体" w:hAnsi="宋体" w:cs="宋体"/>
          <w:b/>
          <w:szCs w:val="21"/>
        </w:rPr>
        <w:t>评分标准对应页码</w:t>
      </w:r>
    </w:p>
    <w:tbl>
      <w:tblPr>
        <w:tblStyle w:val="49"/>
        <w:tblW w:w="91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71"/>
        <w:gridCol w:w="2545"/>
        <w:gridCol w:w="2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3971" w:type="dxa"/>
            <w:tcBorders>
              <w:right w:val="single" w:color="auto" w:sz="4" w:space="0"/>
            </w:tcBorders>
            <w:vAlign w:val="center"/>
          </w:tcPr>
          <w:p>
            <w:pPr>
              <w:snapToGrid w:val="0"/>
              <w:jc w:val="center"/>
              <w:rPr>
                <w:rFonts w:ascii="宋体" w:hAnsi="宋体" w:cs="宋体"/>
                <w:b/>
                <w:szCs w:val="21"/>
              </w:rPr>
            </w:pPr>
            <w:r>
              <w:rPr>
                <w:rFonts w:hint="eastAsia" w:ascii="宋体" w:hAnsi="宋体" w:cs="宋体"/>
                <w:b/>
                <w:szCs w:val="21"/>
                <w:lang w:eastAsia="zh-CN"/>
              </w:rPr>
              <w:t>采购文件</w:t>
            </w:r>
            <w:r>
              <w:rPr>
                <w:rFonts w:hint="eastAsia" w:ascii="宋体" w:hAnsi="宋体" w:cs="宋体"/>
                <w:b/>
                <w:szCs w:val="21"/>
              </w:rPr>
              <w:t>对应评分项</w:t>
            </w:r>
          </w:p>
        </w:tc>
        <w:tc>
          <w:tcPr>
            <w:tcW w:w="2545" w:type="dxa"/>
            <w:vAlign w:val="center"/>
          </w:tcPr>
          <w:p>
            <w:pPr>
              <w:snapToGrid w:val="0"/>
              <w:jc w:val="center"/>
              <w:rPr>
                <w:rFonts w:ascii="宋体" w:hAnsi="宋体" w:cs="宋体"/>
                <w:b/>
                <w:szCs w:val="21"/>
              </w:rPr>
            </w:pPr>
            <w:r>
              <w:rPr>
                <w:rFonts w:hint="eastAsia" w:ascii="宋体" w:hAnsi="宋体" w:cs="宋体"/>
                <w:b/>
                <w:szCs w:val="21"/>
              </w:rPr>
              <w:t>投标文件对应页码</w:t>
            </w:r>
          </w:p>
        </w:tc>
        <w:tc>
          <w:tcPr>
            <w:tcW w:w="2622" w:type="dxa"/>
            <w:vAlign w:val="center"/>
          </w:tcPr>
          <w:p>
            <w:pPr>
              <w:snapToGrid w:val="0"/>
              <w:jc w:val="center"/>
              <w:rPr>
                <w:rFonts w:ascii="宋体" w:hAnsi="宋体" w:cs="宋体"/>
                <w:b/>
                <w:szCs w:val="21"/>
              </w:rPr>
            </w:pPr>
            <w:r>
              <w:rPr>
                <w:rFonts w:hint="eastAsia" w:ascii="宋体" w:hAnsi="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3971" w:type="dxa"/>
            <w:tcBorders>
              <w:right w:val="single" w:color="auto" w:sz="4" w:space="0"/>
            </w:tcBorders>
            <w:vAlign w:val="center"/>
          </w:tcPr>
          <w:p>
            <w:pPr>
              <w:tabs>
                <w:tab w:val="left" w:pos="5848"/>
              </w:tabs>
              <w:spacing w:line="320" w:lineRule="exact"/>
              <w:jc w:val="left"/>
              <w:rPr>
                <w:rFonts w:ascii="宋体" w:hAnsi="宋体" w:cs="宋体"/>
                <w:sz w:val="18"/>
                <w:szCs w:val="18"/>
              </w:rPr>
            </w:pPr>
          </w:p>
        </w:tc>
        <w:tc>
          <w:tcPr>
            <w:tcW w:w="2545" w:type="dxa"/>
            <w:vAlign w:val="center"/>
          </w:tcPr>
          <w:p>
            <w:pPr>
              <w:tabs>
                <w:tab w:val="left" w:pos="5662"/>
              </w:tabs>
              <w:rPr>
                <w:rFonts w:ascii="宋体" w:hAnsi="宋体" w:cs="宋体"/>
                <w:b/>
                <w:szCs w:val="21"/>
              </w:rPr>
            </w:pPr>
          </w:p>
        </w:tc>
        <w:tc>
          <w:tcPr>
            <w:tcW w:w="2622" w:type="dxa"/>
            <w:vAlign w:val="center"/>
          </w:tcPr>
          <w:p>
            <w:pPr>
              <w:tabs>
                <w:tab w:val="left" w:pos="5848"/>
              </w:tabs>
              <w:spacing w:line="320" w:lineRule="exact"/>
              <w:jc w:val="left"/>
              <w:rPr>
                <w:rFonts w:ascii="宋体" w:hAnsi="宋体" w:cs="宋体"/>
                <w:szCs w:val="21"/>
              </w:rPr>
            </w:pPr>
            <w:r>
              <w:rPr>
                <w:rFonts w:hint="eastAsia" w:ascii="宋体" w:hAnsi="宋体" w:cs="宋体"/>
                <w:szCs w:val="21"/>
              </w:rPr>
              <w:t>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3971" w:type="dxa"/>
            <w:tcBorders>
              <w:right w:val="single" w:color="auto" w:sz="4" w:space="0"/>
            </w:tcBorders>
            <w:vAlign w:val="center"/>
          </w:tcPr>
          <w:p>
            <w:pPr>
              <w:tabs>
                <w:tab w:val="left" w:pos="5662"/>
              </w:tabs>
              <w:spacing w:line="320" w:lineRule="exact"/>
              <w:jc w:val="left"/>
              <w:rPr>
                <w:rFonts w:ascii="宋体" w:hAnsi="宋体" w:cs="宋体"/>
                <w:sz w:val="18"/>
                <w:szCs w:val="18"/>
              </w:rPr>
            </w:pPr>
          </w:p>
        </w:tc>
        <w:tc>
          <w:tcPr>
            <w:tcW w:w="2545" w:type="dxa"/>
            <w:vAlign w:val="center"/>
          </w:tcPr>
          <w:p>
            <w:pPr>
              <w:tabs>
                <w:tab w:val="left" w:pos="5662"/>
              </w:tabs>
              <w:rPr>
                <w:rFonts w:ascii="宋体" w:hAnsi="宋体" w:cs="宋体"/>
                <w:b/>
                <w:szCs w:val="21"/>
              </w:rPr>
            </w:pPr>
          </w:p>
        </w:tc>
        <w:tc>
          <w:tcPr>
            <w:tcW w:w="2622" w:type="dxa"/>
            <w:vAlign w:val="center"/>
          </w:tcPr>
          <w:p>
            <w:pPr>
              <w:tabs>
                <w:tab w:val="left" w:pos="5848"/>
              </w:tabs>
              <w:spacing w:line="320" w:lineRule="exact"/>
              <w:jc w:val="left"/>
              <w:rPr>
                <w:rFonts w:ascii="宋体" w:hAnsi="宋体" w:cs="宋体"/>
                <w:szCs w:val="21"/>
              </w:rPr>
            </w:pPr>
            <w:r>
              <w:rPr>
                <w:rFonts w:hint="eastAsia" w:ascii="宋体" w:hAnsi="宋体" w:cs="宋体"/>
                <w:szCs w:val="21"/>
              </w:rPr>
              <w:t>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3971" w:type="dxa"/>
            <w:tcBorders>
              <w:right w:val="single" w:color="auto" w:sz="4" w:space="0"/>
            </w:tcBorders>
            <w:vAlign w:val="center"/>
          </w:tcPr>
          <w:p>
            <w:pPr>
              <w:tabs>
                <w:tab w:val="left" w:pos="5662"/>
              </w:tabs>
              <w:spacing w:line="320" w:lineRule="exact"/>
              <w:jc w:val="left"/>
              <w:rPr>
                <w:rFonts w:ascii="宋体" w:hAnsi="宋体" w:cs="宋体"/>
                <w:sz w:val="18"/>
                <w:szCs w:val="18"/>
              </w:rPr>
            </w:pPr>
          </w:p>
        </w:tc>
        <w:tc>
          <w:tcPr>
            <w:tcW w:w="2545" w:type="dxa"/>
            <w:vAlign w:val="center"/>
          </w:tcPr>
          <w:p>
            <w:pPr>
              <w:tabs>
                <w:tab w:val="left" w:pos="5662"/>
              </w:tabs>
              <w:rPr>
                <w:rFonts w:ascii="宋体" w:hAnsi="宋体" w:cs="宋体"/>
                <w:b/>
                <w:szCs w:val="21"/>
              </w:rPr>
            </w:pPr>
          </w:p>
        </w:tc>
        <w:tc>
          <w:tcPr>
            <w:tcW w:w="2622" w:type="dxa"/>
            <w:vAlign w:val="center"/>
          </w:tcPr>
          <w:p>
            <w:pPr>
              <w:tabs>
                <w:tab w:val="left" w:pos="5848"/>
              </w:tabs>
              <w:spacing w:line="320" w:lineRule="exact"/>
              <w:jc w:val="left"/>
              <w:rPr>
                <w:rFonts w:ascii="宋体" w:hAnsi="宋体" w:cs="宋体"/>
                <w:szCs w:val="21"/>
              </w:rPr>
            </w:pPr>
            <w:r>
              <w:rPr>
                <w:rFonts w:hint="eastAsia" w:ascii="宋体" w:hAnsi="宋体" w:cs="宋体"/>
                <w:szCs w:val="21"/>
              </w:rPr>
              <w:t>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3971" w:type="dxa"/>
            <w:tcBorders>
              <w:right w:val="single" w:color="auto" w:sz="4" w:space="0"/>
            </w:tcBorders>
            <w:vAlign w:val="center"/>
          </w:tcPr>
          <w:p>
            <w:pPr>
              <w:tabs>
                <w:tab w:val="left" w:pos="5848"/>
              </w:tabs>
              <w:spacing w:line="320" w:lineRule="exact"/>
              <w:jc w:val="left"/>
              <w:rPr>
                <w:rFonts w:ascii="宋体" w:hAnsi="宋体" w:cs="宋体"/>
                <w:sz w:val="18"/>
                <w:szCs w:val="18"/>
              </w:rPr>
            </w:pPr>
          </w:p>
        </w:tc>
        <w:tc>
          <w:tcPr>
            <w:tcW w:w="2545" w:type="dxa"/>
            <w:vAlign w:val="center"/>
          </w:tcPr>
          <w:p>
            <w:pPr>
              <w:tabs>
                <w:tab w:val="left" w:pos="5662"/>
              </w:tabs>
              <w:rPr>
                <w:rFonts w:ascii="宋体" w:hAnsi="宋体" w:cs="宋体"/>
                <w:b/>
                <w:szCs w:val="21"/>
              </w:rPr>
            </w:pPr>
          </w:p>
        </w:tc>
        <w:tc>
          <w:tcPr>
            <w:tcW w:w="2622" w:type="dxa"/>
            <w:vAlign w:val="center"/>
          </w:tcPr>
          <w:p>
            <w:pPr>
              <w:spacing w:line="320" w:lineRule="exact"/>
              <w:jc w:val="left"/>
              <w:rPr>
                <w:rFonts w:ascii="宋体" w:hAnsi="宋体" w:cs="宋体"/>
                <w:szCs w:val="21"/>
              </w:rPr>
            </w:pPr>
            <w:r>
              <w:rPr>
                <w:rFonts w:hint="eastAsia" w:ascii="宋体" w:hAnsi="宋体" w:cs="宋体"/>
                <w:szCs w:val="21"/>
              </w:rPr>
              <w:t>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3971" w:type="dxa"/>
            <w:tcBorders>
              <w:right w:val="single" w:color="auto" w:sz="4" w:space="0"/>
            </w:tcBorders>
            <w:vAlign w:val="center"/>
          </w:tcPr>
          <w:p>
            <w:pPr>
              <w:tabs>
                <w:tab w:val="left" w:pos="5848"/>
              </w:tabs>
              <w:spacing w:line="320" w:lineRule="exact"/>
              <w:jc w:val="left"/>
              <w:rPr>
                <w:rFonts w:ascii="宋体" w:hAnsi="宋体" w:cs="宋体"/>
                <w:sz w:val="18"/>
                <w:szCs w:val="18"/>
              </w:rPr>
            </w:pPr>
          </w:p>
        </w:tc>
        <w:tc>
          <w:tcPr>
            <w:tcW w:w="2545" w:type="dxa"/>
            <w:vAlign w:val="center"/>
          </w:tcPr>
          <w:p>
            <w:pPr>
              <w:tabs>
                <w:tab w:val="left" w:pos="5129"/>
              </w:tabs>
              <w:spacing w:line="0" w:lineRule="atLeast"/>
              <w:jc w:val="left"/>
              <w:rPr>
                <w:rFonts w:ascii="宋体" w:hAnsi="宋体" w:cs="宋体"/>
                <w:b/>
                <w:szCs w:val="21"/>
              </w:rPr>
            </w:pPr>
          </w:p>
        </w:tc>
        <w:tc>
          <w:tcPr>
            <w:tcW w:w="2622" w:type="dxa"/>
            <w:vAlign w:val="center"/>
          </w:tcPr>
          <w:p>
            <w:pPr>
              <w:spacing w:line="320" w:lineRule="exact"/>
              <w:jc w:val="left"/>
              <w:rPr>
                <w:rFonts w:ascii="宋体" w:hAnsi="宋体" w:cs="宋体"/>
                <w:szCs w:val="21"/>
              </w:rPr>
            </w:pPr>
            <w:r>
              <w:rPr>
                <w:rFonts w:hint="eastAsia" w:ascii="宋体" w:hAnsi="宋体" w:cs="宋体"/>
                <w:szCs w:val="21"/>
              </w:rPr>
              <w:t>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3971" w:type="dxa"/>
            <w:tcBorders>
              <w:right w:val="single" w:color="auto" w:sz="4" w:space="0"/>
            </w:tcBorders>
            <w:vAlign w:val="center"/>
          </w:tcPr>
          <w:p>
            <w:pPr>
              <w:tabs>
                <w:tab w:val="left" w:pos="5848"/>
              </w:tabs>
              <w:spacing w:line="320" w:lineRule="exact"/>
              <w:jc w:val="left"/>
              <w:rPr>
                <w:rFonts w:ascii="宋体" w:hAnsi="宋体" w:cs="宋体"/>
                <w:sz w:val="18"/>
                <w:szCs w:val="18"/>
              </w:rPr>
            </w:pPr>
          </w:p>
        </w:tc>
        <w:tc>
          <w:tcPr>
            <w:tcW w:w="2545" w:type="dxa"/>
            <w:vAlign w:val="center"/>
          </w:tcPr>
          <w:p>
            <w:pPr>
              <w:tabs>
                <w:tab w:val="left" w:pos="5129"/>
              </w:tabs>
              <w:spacing w:line="0" w:lineRule="atLeast"/>
              <w:jc w:val="left"/>
              <w:rPr>
                <w:rFonts w:ascii="宋体" w:hAnsi="宋体" w:cs="宋体"/>
                <w:b/>
                <w:szCs w:val="21"/>
              </w:rPr>
            </w:pPr>
          </w:p>
        </w:tc>
        <w:tc>
          <w:tcPr>
            <w:tcW w:w="2622" w:type="dxa"/>
            <w:vAlign w:val="center"/>
          </w:tcPr>
          <w:p>
            <w:pPr>
              <w:spacing w:line="320" w:lineRule="exact"/>
              <w:jc w:val="left"/>
              <w:rPr>
                <w:rFonts w:ascii="宋体" w:hAnsi="宋体" w:cs="宋体"/>
                <w:szCs w:val="21"/>
              </w:rPr>
            </w:pPr>
            <w:r>
              <w:rPr>
                <w:rFonts w:hint="eastAsia" w:ascii="宋体" w:hAnsi="宋体" w:cs="宋体"/>
                <w:szCs w:val="21"/>
              </w:rPr>
              <w:t>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3971" w:type="dxa"/>
            <w:tcBorders>
              <w:right w:val="single" w:color="auto" w:sz="4" w:space="0"/>
            </w:tcBorders>
            <w:vAlign w:val="center"/>
          </w:tcPr>
          <w:p>
            <w:pPr>
              <w:tabs>
                <w:tab w:val="left" w:pos="5848"/>
              </w:tabs>
              <w:spacing w:line="320" w:lineRule="exact"/>
              <w:jc w:val="left"/>
              <w:rPr>
                <w:rFonts w:ascii="宋体" w:hAnsi="宋体" w:cs="宋体"/>
                <w:sz w:val="18"/>
                <w:szCs w:val="18"/>
              </w:rPr>
            </w:pPr>
          </w:p>
        </w:tc>
        <w:tc>
          <w:tcPr>
            <w:tcW w:w="2545" w:type="dxa"/>
            <w:vAlign w:val="center"/>
          </w:tcPr>
          <w:p>
            <w:pPr>
              <w:tabs>
                <w:tab w:val="left" w:pos="5129"/>
              </w:tabs>
              <w:spacing w:line="0" w:lineRule="atLeast"/>
              <w:jc w:val="left"/>
              <w:rPr>
                <w:rFonts w:ascii="宋体" w:hAnsi="宋体" w:cs="宋体"/>
                <w:b/>
                <w:szCs w:val="21"/>
              </w:rPr>
            </w:pPr>
          </w:p>
        </w:tc>
        <w:tc>
          <w:tcPr>
            <w:tcW w:w="2622" w:type="dxa"/>
            <w:vAlign w:val="center"/>
          </w:tcPr>
          <w:p>
            <w:pPr>
              <w:spacing w:line="320" w:lineRule="exact"/>
              <w:jc w:val="left"/>
              <w:rPr>
                <w:rFonts w:ascii="宋体" w:hAnsi="宋体" w:cs="宋体"/>
                <w:szCs w:val="21"/>
              </w:rPr>
            </w:pPr>
            <w:r>
              <w:rPr>
                <w:rFonts w:hint="eastAsia" w:ascii="宋体" w:hAnsi="宋体" w:cs="宋体"/>
                <w:szCs w:val="21"/>
              </w:rPr>
              <w:t>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3971" w:type="dxa"/>
            <w:tcBorders>
              <w:right w:val="single" w:color="auto" w:sz="4" w:space="0"/>
            </w:tcBorders>
            <w:vAlign w:val="center"/>
          </w:tcPr>
          <w:p>
            <w:pPr>
              <w:tabs>
                <w:tab w:val="left" w:pos="5848"/>
              </w:tabs>
              <w:spacing w:line="320" w:lineRule="exact"/>
              <w:jc w:val="left"/>
              <w:rPr>
                <w:rFonts w:ascii="宋体" w:hAnsi="宋体" w:cs="宋体"/>
                <w:sz w:val="18"/>
                <w:szCs w:val="18"/>
              </w:rPr>
            </w:pPr>
          </w:p>
        </w:tc>
        <w:tc>
          <w:tcPr>
            <w:tcW w:w="2545" w:type="dxa"/>
            <w:vAlign w:val="center"/>
          </w:tcPr>
          <w:p>
            <w:pPr>
              <w:tabs>
                <w:tab w:val="left" w:pos="5129"/>
              </w:tabs>
              <w:spacing w:line="0" w:lineRule="atLeast"/>
              <w:jc w:val="left"/>
              <w:rPr>
                <w:rFonts w:ascii="宋体" w:hAnsi="宋体" w:cs="宋体"/>
                <w:b/>
                <w:szCs w:val="21"/>
              </w:rPr>
            </w:pPr>
          </w:p>
        </w:tc>
        <w:tc>
          <w:tcPr>
            <w:tcW w:w="2622" w:type="dxa"/>
            <w:vAlign w:val="center"/>
          </w:tcPr>
          <w:p>
            <w:pPr>
              <w:spacing w:line="320" w:lineRule="exact"/>
              <w:jc w:val="left"/>
              <w:rPr>
                <w:rFonts w:ascii="宋体" w:hAnsi="宋体" w:cs="宋体"/>
                <w:szCs w:val="21"/>
              </w:rPr>
            </w:pPr>
            <w:r>
              <w:rPr>
                <w:rFonts w:hint="eastAsia" w:ascii="宋体" w:hAnsi="宋体" w:cs="宋体"/>
                <w:szCs w:val="21"/>
              </w:rPr>
              <w:t>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3971" w:type="dxa"/>
            <w:tcBorders>
              <w:right w:val="single" w:color="auto" w:sz="4" w:space="0"/>
            </w:tcBorders>
            <w:vAlign w:val="center"/>
          </w:tcPr>
          <w:p>
            <w:pPr>
              <w:tabs>
                <w:tab w:val="left" w:pos="5848"/>
              </w:tabs>
              <w:spacing w:line="320" w:lineRule="exact"/>
              <w:jc w:val="left"/>
              <w:rPr>
                <w:rFonts w:ascii="宋体" w:hAnsi="宋体" w:cs="宋体"/>
                <w:sz w:val="18"/>
                <w:szCs w:val="18"/>
              </w:rPr>
            </w:pPr>
          </w:p>
        </w:tc>
        <w:tc>
          <w:tcPr>
            <w:tcW w:w="2545" w:type="dxa"/>
            <w:vAlign w:val="center"/>
          </w:tcPr>
          <w:p>
            <w:pPr>
              <w:tabs>
                <w:tab w:val="left" w:pos="5662"/>
              </w:tabs>
              <w:rPr>
                <w:rFonts w:ascii="宋体" w:hAnsi="宋体" w:cs="宋体"/>
                <w:b/>
                <w:szCs w:val="21"/>
              </w:rPr>
            </w:pPr>
          </w:p>
        </w:tc>
        <w:tc>
          <w:tcPr>
            <w:tcW w:w="2622" w:type="dxa"/>
            <w:vAlign w:val="center"/>
          </w:tcPr>
          <w:p>
            <w:pPr>
              <w:spacing w:line="320" w:lineRule="exact"/>
              <w:jc w:val="left"/>
              <w:rPr>
                <w:rFonts w:ascii="宋体" w:hAnsi="宋体" w:cs="宋体"/>
                <w:szCs w:val="21"/>
              </w:rPr>
            </w:pPr>
            <w:r>
              <w:rPr>
                <w:rFonts w:hint="eastAsia" w:ascii="宋体" w:hAnsi="宋体" w:cs="宋体"/>
                <w:szCs w:val="21"/>
              </w:rPr>
              <w:t>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3971" w:type="dxa"/>
            <w:tcBorders>
              <w:right w:val="single" w:color="auto" w:sz="4" w:space="0"/>
            </w:tcBorders>
            <w:vAlign w:val="center"/>
          </w:tcPr>
          <w:p>
            <w:pPr>
              <w:tabs>
                <w:tab w:val="left" w:pos="5848"/>
              </w:tabs>
              <w:spacing w:line="320" w:lineRule="exact"/>
              <w:jc w:val="left"/>
              <w:rPr>
                <w:rFonts w:ascii="宋体" w:hAnsi="宋体" w:cs="宋体"/>
                <w:sz w:val="18"/>
                <w:szCs w:val="18"/>
              </w:rPr>
            </w:pPr>
          </w:p>
        </w:tc>
        <w:tc>
          <w:tcPr>
            <w:tcW w:w="2545" w:type="dxa"/>
            <w:vAlign w:val="center"/>
          </w:tcPr>
          <w:p>
            <w:pPr>
              <w:tabs>
                <w:tab w:val="left" w:pos="5662"/>
              </w:tabs>
              <w:rPr>
                <w:rFonts w:ascii="宋体" w:hAnsi="宋体" w:cs="宋体"/>
                <w:b/>
                <w:szCs w:val="21"/>
              </w:rPr>
            </w:pPr>
          </w:p>
        </w:tc>
        <w:tc>
          <w:tcPr>
            <w:tcW w:w="2622" w:type="dxa"/>
            <w:vAlign w:val="center"/>
          </w:tcPr>
          <w:p>
            <w:pPr>
              <w:tabs>
                <w:tab w:val="left" w:pos="5848"/>
              </w:tabs>
              <w:spacing w:line="320" w:lineRule="exact"/>
              <w:jc w:val="left"/>
              <w:rPr>
                <w:rFonts w:ascii="宋体" w:hAnsi="宋体" w:cs="宋体"/>
                <w:szCs w:val="21"/>
              </w:rPr>
            </w:pPr>
            <w:r>
              <w:rPr>
                <w:rFonts w:hint="eastAsia" w:ascii="宋体" w:hAnsi="宋体" w:cs="宋体"/>
                <w:szCs w:val="21"/>
              </w:rPr>
              <w:t>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3971" w:type="dxa"/>
            <w:tcBorders>
              <w:right w:val="single" w:color="auto" w:sz="4" w:space="0"/>
            </w:tcBorders>
            <w:vAlign w:val="center"/>
          </w:tcPr>
          <w:p>
            <w:pPr>
              <w:tabs>
                <w:tab w:val="left" w:pos="5848"/>
              </w:tabs>
              <w:spacing w:line="320" w:lineRule="exact"/>
              <w:jc w:val="left"/>
              <w:rPr>
                <w:rFonts w:ascii="宋体" w:hAnsi="宋体" w:cs="宋体"/>
                <w:sz w:val="18"/>
                <w:szCs w:val="18"/>
              </w:rPr>
            </w:pPr>
          </w:p>
        </w:tc>
        <w:tc>
          <w:tcPr>
            <w:tcW w:w="2545" w:type="dxa"/>
            <w:vAlign w:val="center"/>
          </w:tcPr>
          <w:p>
            <w:pPr>
              <w:tabs>
                <w:tab w:val="left" w:pos="5662"/>
              </w:tabs>
              <w:rPr>
                <w:rFonts w:ascii="宋体" w:hAnsi="宋体" w:cs="宋体"/>
                <w:b/>
                <w:szCs w:val="21"/>
              </w:rPr>
            </w:pPr>
          </w:p>
        </w:tc>
        <w:tc>
          <w:tcPr>
            <w:tcW w:w="2622" w:type="dxa"/>
            <w:vAlign w:val="center"/>
          </w:tcPr>
          <w:p>
            <w:pPr>
              <w:tabs>
                <w:tab w:val="left" w:pos="5848"/>
              </w:tabs>
              <w:spacing w:line="320" w:lineRule="exact"/>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3971" w:type="dxa"/>
            <w:tcBorders>
              <w:right w:val="single" w:color="auto" w:sz="4" w:space="0"/>
            </w:tcBorders>
            <w:vAlign w:val="center"/>
          </w:tcPr>
          <w:p>
            <w:pPr>
              <w:tabs>
                <w:tab w:val="left" w:pos="5848"/>
              </w:tabs>
              <w:spacing w:line="320" w:lineRule="exact"/>
              <w:jc w:val="left"/>
              <w:rPr>
                <w:rFonts w:ascii="宋体" w:hAnsi="宋体" w:cs="宋体"/>
                <w:sz w:val="18"/>
                <w:szCs w:val="18"/>
              </w:rPr>
            </w:pPr>
          </w:p>
        </w:tc>
        <w:tc>
          <w:tcPr>
            <w:tcW w:w="2545" w:type="dxa"/>
            <w:vAlign w:val="center"/>
          </w:tcPr>
          <w:p>
            <w:pPr>
              <w:tabs>
                <w:tab w:val="left" w:pos="5662"/>
              </w:tabs>
              <w:rPr>
                <w:rFonts w:ascii="宋体" w:hAnsi="宋体" w:cs="宋体"/>
                <w:b/>
                <w:szCs w:val="21"/>
              </w:rPr>
            </w:pPr>
          </w:p>
        </w:tc>
        <w:tc>
          <w:tcPr>
            <w:tcW w:w="2622" w:type="dxa"/>
            <w:vAlign w:val="center"/>
          </w:tcPr>
          <w:p>
            <w:pPr>
              <w:snapToGrid w:val="0"/>
              <w:jc w:val="left"/>
              <w:rPr>
                <w:rFonts w:ascii="宋体" w:hAnsi="宋体" w:cs="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3971" w:type="dxa"/>
            <w:tcBorders>
              <w:right w:val="single" w:color="auto" w:sz="4" w:space="0"/>
            </w:tcBorders>
            <w:vAlign w:val="center"/>
          </w:tcPr>
          <w:p>
            <w:pPr>
              <w:tabs>
                <w:tab w:val="left" w:pos="5848"/>
              </w:tabs>
              <w:spacing w:line="320" w:lineRule="exact"/>
              <w:jc w:val="left"/>
              <w:rPr>
                <w:rFonts w:ascii="宋体" w:hAnsi="宋体" w:cs="宋体"/>
                <w:sz w:val="18"/>
                <w:szCs w:val="18"/>
              </w:rPr>
            </w:pPr>
          </w:p>
        </w:tc>
        <w:tc>
          <w:tcPr>
            <w:tcW w:w="2545" w:type="dxa"/>
            <w:vAlign w:val="center"/>
          </w:tcPr>
          <w:p>
            <w:pPr>
              <w:tabs>
                <w:tab w:val="left" w:pos="5662"/>
              </w:tabs>
              <w:rPr>
                <w:rFonts w:ascii="宋体" w:hAnsi="宋体" w:cs="宋体"/>
                <w:b/>
                <w:szCs w:val="21"/>
              </w:rPr>
            </w:pPr>
          </w:p>
        </w:tc>
        <w:tc>
          <w:tcPr>
            <w:tcW w:w="2622" w:type="dxa"/>
            <w:vAlign w:val="center"/>
          </w:tcPr>
          <w:p>
            <w:pPr>
              <w:snapToGrid w:val="0"/>
              <w:jc w:val="left"/>
              <w:rPr>
                <w:rFonts w:ascii="宋体" w:hAnsi="宋体" w:cs="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3971" w:type="dxa"/>
            <w:tcBorders>
              <w:right w:val="single" w:color="auto" w:sz="4" w:space="0"/>
            </w:tcBorders>
            <w:vAlign w:val="center"/>
          </w:tcPr>
          <w:p>
            <w:pPr>
              <w:adjustRightInd w:val="0"/>
              <w:snapToGrid w:val="0"/>
              <w:spacing w:line="400" w:lineRule="exact"/>
              <w:jc w:val="left"/>
              <w:rPr>
                <w:rFonts w:ascii="宋体" w:hAnsi="宋体" w:cs="宋体"/>
                <w:sz w:val="18"/>
                <w:szCs w:val="18"/>
              </w:rPr>
            </w:pPr>
          </w:p>
        </w:tc>
        <w:tc>
          <w:tcPr>
            <w:tcW w:w="2545" w:type="dxa"/>
            <w:vAlign w:val="center"/>
          </w:tcPr>
          <w:p>
            <w:pPr>
              <w:tabs>
                <w:tab w:val="left" w:pos="5662"/>
              </w:tabs>
              <w:rPr>
                <w:rFonts w:ascii="宋体" w:hAnsi="宋体" w:cs="宋体"/>
                <w:b/>
                <w:szCs w:val="21"/>
              </w:rPr>
            </w:pPr>
          </w:p>
        </w:tc>
        <w:tc>
          <w:tcPr>
            <w:tcW w:w="2622" w:type="dxa"/>
            <w:vAlign w:val="center"/>
          </w:tcPr>
          <w:p>
            <w:pPr>
              <w:snapToGrid w:val="0"/>
              <w:rPr>
                <w:rFonts w:ascii="宋体" w:hAnsi="宋体" w:cs="宋体"/>
                <w:b/>
                <w:szCs w:val="21"/>
              </w:rPr>
            </w:pPr>
          </w:p>
        </w:tc>
      </w:tr>
    </w:tbl>
    <w:p>
      <w:pPr>
        <w:snapToGrid w:val="0"/>
        <w:spacing w:before="120" w:beforeLines="50" w:after="60"/>
        <w:jc w:val="left"/>
        <w:rPr>
          <w:rFonts w:ascii="宋体" w:hAnsi="宋体" w:cs="宋体"/>
          <w:b/>
          <w:szCs w:val="21"/>
        </w:rPr>
      </w:pPr>
      <w:r>
        <w:rPr>
          <w:rFonts w:hint="eastAsia" w:ascii="宋体" w:hAnsi="宋体" w:cs="宋体"/>
          <w:b/>
          <w:szCs w:val="21"/>
        </w:rPr>
        <w:t>注：投标人也可自行设计该表格。</w:t>
      </w:r>
    </w:p>
    <w:p>
      <w:pPr>
        <w:widowControl/>
        <w:jc w:val="left"/>
        <w:rPr>
          <w:rFonts w:ascii="宋体" w:hAnsi="宋体" w:cs="宋体"/>
          <w:b/>
          <w:bCs/>
          <w:kern w:val="0"/>
          <w:szCs w:val="21"/>
        </w:rPr>
      </w:pPr>
    </w:p>
    <w:p>
      <w:pPr>
        <w:widowControl/>
        <w:jc w:val="left"/>
        <w:rPr>
          <w:rFonts w:ascii="宋体" w:hAnsi="宋体" w:cs="宋体"/>
          <w:b/>
          <w:bCs/>
          <w:kern w:val="0"/>
          <w:szCs w:val="21"/>
        </w:rPr>
      </w:pPr>
    </w:p>
    <w:p>
      <w:pPr>
        <w:widowControl/>
        <w:jc w:val="left"/>
        <w:rPr>
          <w:rFonts w:ascii="宋体" w:hAnsi="宋体" w:cs="宋体"/>
          <w:b/>
          <w:bCs/>
          <w:kern w:val="0"/>
          <w:szCs w:val="21"/>
        </w:rPr>
      </w:pPr>
    </w:p>
    <w:p>
      <w:pPr>
        <w:widowControl/>
        <w:jc w:val="left"/>
        <w:rPr>
          <w:rFonts w:ascii="宋体" w:hAnsi="宋体" w:cs="宋体"/>
          <w:b/>
          <w:bCs/>
          <w:kern w:val="0"/>
          <w:szCs w:val="21"/>
        </w:rPr>
      </w:pPr>
    </w:p>
    <w:p>
      <w:pPr>
        <w:widowControl/>
        <w:jc w:val="left"/>
        <w:rPr>
          <w:rFonts w:ascii="宋体" w:hAnsi="宋体" w:cs="宋体"/>
          <w:b/>
          <w:bCs/>
          <w:kern w:val="0"/>
          <w:szCs w:val="21"/>
        </w:rPr>
      </w:pPr>
    </w:p>
    <w:p>
      <w:pPr>
        <w:widowControl/>
        <w:jc w:val="left"/>
        <w:rPr>
          <w:rFonts w:ascii="宋体" w:hAnsi="宋体" w:cs="宋体"/>
          <w:b/>
          <w:bCs/>
          <w:kern w:val="0"/>
          <w:szCs w:val="21"/>
        </w:rPr>
      </w:pPr>
    </w:p>
    <w:p>
      <w:pPr>
        <w:widowControl/>
        <w:jc w:val="left"/>
        <w:rPr>
          <w:rFonts w:ascii="宋体" w:hAnsi="宋体" w:cs="宋体"/>
          <w:b/>
          <w:bCs/>
          <w:kern w:val="0"/>
          <w:szCs w:val="21"/>
        </w:rPr>
      </w:pPr>
    </w:p>
    <w:p>
      <w:pPr>
        <w:widowControl/>
        <w:snapToGrid w:val="0"/>
        <w:spacing w:before="120" w:beforeLines="50" w:after="50"/>
        <w:jc w:val="left"/>
        <w:rPr>
          <w:rFonts w:ascii="宋体" w:hAnsi="宋体" w:cs="宋体"/>
          <w:kern w:val="0"/>
          <w:szCs w:val="21"/>
        </w:rPr>
      </w:pPr>
      <w:r>
        <w:rPr>
          <w:rFonts w:hint="eastAsia" w:ascii="宋体" w:hAnsi="宋体" w:cs="宋体"/>
          <w:b/>
          <w:bCs/>
          <w:kern w:val="0"/>
          <w:szCs w:val="21"/>
        </w:rPr>
        <w:t>7.投标函</w:t>
      </w:r>
    </w:p>
    <w:p>
      <w:pPr>
        <w:widowControl/>
        <w:snapToGrid w:val="0"/>
        <w:spacing w:before="120" w:beforeLines="50" w:after="50"/>
        <w:jc w:val="center"/>
        <w:rPr>
          <w:rFonts w:ascii="宋体" w:hAnsi="宋体" w:cs="宋体"/>
          <w:b/>
          <w:kern w:val="0"/>
          <w:szCs w:val="21"/>
        </w:rPr>
      </w:pPr>
      <w:r>
        <w:rPr>
          <w:rFonts w:hint="eastAsia" w:ascii="宋体" w:hAnsi="宋体" w:cs="宋体"/>
          <w:b/>
          <w:kern w:val="0"/>
          <w:szCs w:val="21"/>
        </w:rPr>
        <w:t>投 标 函</w:t>
      </w:r>
    </w:p>
    <w:p>
      <w:pPr>
        <w:widowControl/>
        <w:snapToGrid w:val="0"/>
        <w:spacing w:before="120" w:beforeLines="50" w:after="50"/>
        <w:jc w:val="center"/>
        <w:rPr>
          <w:rFonts w:ascii="宋体" w:hAnsi="宋体" w:cs="宋体"/>
          <w:b/>
          <w:kern w:val="0"/>
          <w:szCs w:val="21"/>
        </w:rPr>
      </w:pPr>
    </w:p>
    <w:p>
      <w:pPr>
        <w:widowControl/>
        <w:snapToGrid w:val="0"/>
        <w:spacing w:line="360" w:lineRule="auto"/>
        <w:jc w:val="left"/>
        <w:rPr>
          <w:rFonts w:ascii="宋体" w:hAnsi="宋体" w:cs="宋体"/>
          <w:kern w:val="0"/>
          <w:szCs w:val="21"/>
        </w:rPr>
      </w:pPr>
      <w:r>
        <w:rPr>
          <w:rFonts w:hint="eastAsia" w:ascii="宋体" w:hAnsi="宋体" w:cs="宋体"/>
          <w:kern w:val="0"/>
          <w:szCs w:val="21"/>
        </w:rPr>
        <w:t>致：</w:t>
      </w:r>
      <w:r>
        <w:rPr>
          <w:rFonts w:hint="eastAsia" w:ascii="宋体" w:hAnsi="宋体" w:cs="宋体"/>
          <w:kern w:val="0"/>
          <w:szCs w:val="21"/>
          <w:u w:val="single"/>
        </w:rPr>
        <w:t xml:space="preserve">  </w:t>
      </w:r>
      <w:r>
        <w:rPr>
          <w:rFonts w:hint="eastAsia" w:ascii="宋体" w:hAnsi="宋体" w:cs="宋体"/>
          <w:kern w:val="0"/>
          <w:szCs w:val="21"/>
          <w:u w:val="single"/>
          <w:lang w:eastAsia="zh-CN"/>
        </w:rPr>
        <w:t>宁波市海曙区农业农村局</w:t>
      </w:r>
      <w:r>
        <w:rPr>
          <w:rFonts w:hint="eastAsia" w:ascii="宋体" w:hAnsi="宋体" w:cs="宋体"/>
          <w:kern w:val="0"/>
          <w:szCs w:val="21"/>
          <w:u w:val="single"/>
        </w:rPr>
        <w:t xml:space="preserve">   </w:t>
      </w:r>
      <w:r>
        <w:rPr>
          <w:rFonts w:hint="eastAsia" w:ascii="宋体" w:hAnsi="宋体" w:cs="宋体"/>
          <w:kern w:val="0"/>
          <w:szCs w:val="21"/>
        </w:rPr>
        <w:t>：</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根据贵方为</w:t>
      </w:r>
      <w:r>
        <w:rPr>
          <w:rFonts w:hint="eastAsia" w:ascii="宋体" w:hAnsi="宋体" w:cs="宋体"/>
          <w:kern w:val="0"/>
          <w:szCs w:val="21"/>
          <w:u w:val="single"/>
        </w:rPr>
        <w:t xml:space="preserve">                   </w:t>
      </w:r>
      <w:r>
        <w:rPr>
          <w:rFonts w:hint="eastAsia" w:ascii="宋体" w:hAnsi="宋体" w:cs="宋体"/>
          <w:kern w:val="0"/>
          <w:szCs w:val="21"/>
        </w:rPr>
        <w:t>项目的公开招标公告/投标邀请书（项目编号：</w:t>
      </w:r>
      <w:r>
        <w:rPr>
          <w:rFonts w:hint="eastAsia" w:ascii="宋体" w:hAnsi="宋体" w:cs="宋体"/>
          <w:kern w:val="0"/>
          <w:szCs w:val="21"/>
          <w:u w:val="single"/>
        </w:rPr>
        <w:t xml:space="preserve">        </w:t>
      </w:r>
      <w:r>
        <w:rPr>
          <w:rFonts w:hint="eastAsia" w:ascii="宋体" w:hAnsi="宋体" w:cs="宋体"/>
          <w:kern w:val="0"/>
          <w:szCs w:val="21"/>
        </w:rPr>
        <w:t>），签字代表</w:t>
      </w:r>
      <w:r>
        <w:rPr>
          <w:rFonts w:hint="eastAsia" w:ascii="宋体" w:hAnsi="宋体" w:cs="宋体"/>
          <w:kern w:val="0"/>
          <w:szCs w:val="21"/>
          <w:u w:val="single"/>
        </w:rPr>
        <w:t xml:space="preserve">         </w:t>
      </w:r>
      <w:r>
        <w:rPr>
          <w:rFonts w:hint="eastAsia" w:ascii="宋体" w:hAnsi="宋体" w:cs="宋体"/>
          <w:kern w:val="0"/>
          <w:szCs w:val="21"/>
        </w:rPr>
        <w:t>（全名）经正式授权并代表供应商</w:t>
      </w:r>
      <w:r>
        <w:rPr>
          <w:rFonts w:hint="eastAsia" w:ascii="宋体" w:hAnsi="宋体" w:cs="宋体"/>
          <w:kern w:val="0"/>
          <w:szCs w:val="21"/>
          <w:u w:val="single"/>
        </w:rPr>
        <w:t xml:space="preserve">            </w:t>
      </w:r>
      <w:r>
        <w:rPr>
          <w:rFonts w:hint="eastAsia" w:ascii="宋体" w:hAnsi="宋体" w:cs="宋体"/>
          <w:kern w:val="0"/>
          <w:szCs w:val="21"/>
        </w:rPr>
        <w:t>（供应商名称）提交投标文件。</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据此函，签字代表宣布同意如下：</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1.供应商已详细审查全部“</w:t>
      </w:r>
      <w:r>
        <w:rPr>
          <w:rFonts w:hint="eastAsia" w:ascii="宋体" w:hAnsi="宋体" w:cs="宋体"/>
          <w:kern w:val="0"/>
          <w:szCs w:val="21"/>
          <w:lang w:eastAsia="zh-CN"/>
        </w:rPr>
        <w:t>采购文件</w:t>
      </w:r>
      <w:r>
        <w:rPr>
          <w:rFonts w:hint="eastAsia" w:ascii="宋体" w:hAnsi="宋体" w:cs="宋体"/>
          <w:kern w:val="0"/>
          <w:szCs w:val="21"/>
        </w:rPr>
        <w:t>”，包括修改文件（如有的话）以及全部参考资料和有关附件，已经了解我方对于</w:t>
      </w:r>
      <w:r>
        <w:rPr>
          <w:rFonts w:hint="eastAsia" w:ascii="宋体" w:hAnsi="宋体" w:cs="宋体"/>
          <w:kern w:val="0"/>
          <w:szCs w:val="21"/>
          <w:lang w:eastAsia="zh-CN"/>
        </w:rPr>
        <w:t>采购文件</w:t>
      </w:r>
      <w:r>
        <w:rPr>
          <w:rFonts w:hint="eastAsia" w:ascii="宋体" w:hAnsi="宋体" w:cs="宋体"/>
          <w:kern w:val="0"/>
          <w:szCs w:val="21"/>
        </w:rPr>
        <w:t>、采购过程、采购结果有依法进行询问、质疑、投诉的权利及相关渠道和要求。</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2.供应商在投标之前已经与贵方进行了充分的沟通，完全理解并接受</w:t>
      </w:r>
      <w:r>
        <w:rPr>
          <w:rFonts w:hint="eastAsia" w:ascii="宋体" w:hAnsi="宋体" w:cs="宋体"/>
          <w:kern w:val="0"/>
          <w:szCs w:val="21"/>
          <w:lang w:eastAsia="zh-CN"/>
        </w:rPr>
        <w:t>采购文件</w:t>
      </w:r>
      <w:r>
        <w:rPr>
          <w:rFonts w:hint="eastAsia" w:ascii="宋体" w:hAnsi="宋体" w:cs="宋体"/>
          <w:kern w:val="0"/>
          <w:szCs w:val="21"/>
        </w:rPr>
        <w:t>的各项规定和要求，对</w:t>
      </w:r>
      <w:r>
        <w:rPr>
          <w:rFonts w:hint="eastAsia" w:ascii="宋体" w:hAnsi="宋体" w:cs="宋体"/>
          <w:kern w:val="0"/>
          <w:szCs w:val="21"/>
          <w:lang w:eastAsia="zh-CN"/>
        </w:rPr>
        <w:t>采购文件</w:t>
      </w:r>
      <w:r>
        <w:rPr>
          <w:rFonts w:hint="eastAsia" w:ascii="宋体" w:hAnsi="宋体" w:cs="宋体"/>
          <w:kern w:val="0"/>
          <w:szCs w:val="21"/>
        </w:rPr>
        <w:t>的合理性、合法性不再有异议。</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3.本投标有效期自开标日起</w:t>
      </w:r>
      <w:r>
        <w:rPr>
          <w:rFonts w:hint="eastAsia" w:ascii="宋体" w:hAnsi="宋体" w:cs="宋体"/>
          <w:kern w:val="0"/>
          <w:szCs w:val="21"/>
          <w:lang w:val="en-US" w:eastAsia="zh-CN"/>
        </w:rPr>
        <w:t>90</w:t>
      </w:r>
      <w:r>
        <w:rPr>
          <w:rFonts w:hint="eastAsia" w:ascii="宋体" w:hAnsi="宋体" w:cs="宋体"/>
          <w:kern w:val="0"/>
          <w:szCs w:val="21"/>
        </w:rPr>
        <w:t>天。</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4.如中标，本投标文件至本项目合同履行完毕止均保持有效，本供应商将按“</w:t>
      </w:r>
      <w:r>
        <w:rPr>
          <w:rFonts w:hint="eastAsia" w:ascii="宋体" w:hAnsi="宋体" w:cs="宋体"/>
          <w:kern w:val="0"/>
          <w:szCs w:val="21"/>
          <w:lang w:eastAsia="zh-CN"/>
        </w:rPr>
        <w:t>采购文件</w:t>
      </w:r>
      <w:r>
        <w:rPr>
          <w:rFonts w:hint="eastAsia" w:ascii="宋体" w:hAnsi="宋体" w:cs="宋体"/>
          <w:kern w:val="0"/>
          <w:szCs w:val="21"/>
        </w:rPr>
        <w:t>”及政府采购法律、法规的规定履行合同责任和义务。</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5.供应商同意按照贵方要求提供与投标有关的一切数据或资料。</w:t>
      </w:r>
    </w:p>
    <w:p>
      <w:pPr>
        <w:widowControl/>
        <w:snapToGrid w:val="0"/>
        <w:spacing w:line="360" w:lineRule="auto"/>
        <w:ind w:firstLine="420" w:firstLineChars="200"/>
        <w:jc w:val="left"/>
        <w:rPr>
          <w:rFonts w:ascii="宋体" w:hAnsi="宋体" w:cs="宋体"/>
          <w:kern w:val="0"/>
          <w:szCs w:val="20"/>
          <w:lang w:val="zh-CN"/>
        </w:rPr>
      </w:pPr>
      <w:r>
        <w:rPr>
          <w:rFonts w:hint="eastAsia" w:ascii="宋体" w:hAnsi="宋体" w:cs="宋体"/>
          <w:kern w:val="0"/>
          <w:szCs w:val="21"/>
        </w:rPr>
        <w:t>6.</w:t>
      </w:r>
      <w:r>
        <w:rPr>
          <w:rFonts w:hint="eastAsia" w:ascii="宋体" w:hAnsi="宋体" w:cs="宋体"/>
          <w:kern w:val="0"/>
          <w:szCs w:val="20"/>
          <w:lang w:val="zh-CN"/>
        </w:rPr>
        <w:t>我们郑重声明：本投标文件提供的情况和文件完全是真实的。</w:t>
      </w:r>
    </w:p>
    <w:p>
      <w:pPr>
        <w:widowControl/>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rPr>
        <w:t>7.</w:t>
      </w:r>
      <w:r>
        <w:rPr>
          <w:rFonts w:hint="eastAsia" w:ascii="宋体" w:hAnsi="宋体" w:cs="宋体"/>
          <w:kern w:val="0"/>
          <w:szCs w:val="21"/>
          <w:lang w:val="zh-CN"/>
        </w:rPr>
        <w:t>按照</w:t>
      </w:r>
      <w:r>
        <w:rPr>
          <w:rFonts w:hint="eastAsia" w:ascii="宋体" w:hAnsi="宋体" w:cs="宋体"/>
          <w:kern w:val="0"/>
          <w:szCs w:val="21"/>
          <w:lang w:eastAsia="zh-CN"/>
        </w:rPr>
        <w:t>采购文件</w:t>
      </w:r>
      <w:r>
        <w:rPr>
          <w:rFonts w:hint="eastAsia" w:ascii="宋体" w:hAnsi="宋体" w:cs="宋体"/>
          <w:kern w:val="0"/>
          <w:szCs w:val="21"/>
          <w:lang w:val="zh-CN"/>
        </w:rPr>
        <w:t>的规定，在中标后向</w:t>
      </w:r>
      <w:r>
        <w:rPr>
          <w:rFonts w:hint="eastAsia" w:ascii="宋体" w:hAnsi="宋体" w:cs="宋体"/>
          <w:kern w:val="0"/>
          <w:szCs w:val="21"/>
        </w:rPr>
        <w:t>采购代理机构</w:t>
      </w:r>
      <w:r>
        <w:rPr>
          <w:rFonts w:hint="eastAsia" w:ascii="宋体" w:hAnsi="宋体" w:cs="宋体"/>
          <w:kern w:val="0"/>
          <w:szCs w:val="21"/>
          <w:lang w:val="zh-CN"/>
        </w:rPr>
        <w:t>一次性支付招标代理费。</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8.与本投标有关的一切正式往来信函请寄：</w:t>
      </w:r>
    </w:p>
    <w:p>
      <w:pPr>
        <w:widowControl/>
        <w:snapToGrid w:val="0"/>
        <w:spacing w:line="360" w:lineRule="auto"/>
        <w:jc w:val="left"/>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u w:val="single"/>
        </w:rPr>
        <w:t xml:space="preserve">                      </w:t>
      </w:r>
      <w:r>
        <w:rPr>
          <w:rFonts w:hint="eastAsia" w:ascii="宋体" w:hAnsi="宋体" w:cs="宋体"/>
          <w:kern w:val="0"/>
          <w:szCs w:val="21"/>
        </w:rPr>
        <w:t>邮编：__________   电话：______________</w:t>
      </w:r>
    </w:p>
    <w:p>
      <w:pPr>
        <w:widowControl/>
        <w:snapToGrid w:val="0"/>
        <w:spacing w:line="360" w:lineRule="auto"/>
        <w:jc w:val="left"/>
        <w:rPr>
          <w:rFonts w:ascii="宋体" w:hAnsi="宋体" w:cs="宋体"/>
          <w:kern w:val="0"/>
          <w:szCs w:val="21"/>
        </w:rPr>
      </w:pPr>
      <w:r>
        <w:rPr>
          <w:rFonts w:hint="eastAsia" w:ascii="宋体" w:hAnsi="宋体" w:cs="宋体"/>
          <w:kern w:val="0"/>
          <w:szCs w:val="21"/>
        </w:rPr>
        <w:t>传真：______________供应商代表姓名 ___________  职务：_____________</w:t>
      </w:r>
    </w:p>
    <w:p>
      <w:pPr>
        <w:widowControl/>
        <w:snapToGrid w:val="0"/>
        <w:spacing w:line="360" w:lineRule="auto"/>
        <w:jc w:val="left"/>
        <w:rPr>
          <w:rFonts w:ascii="宋体" w:hAnsi="宋体" w:cs="宋体"/>
          <w:kern w:val="0"/>
          <w:szCs w:val="21"/>
        </w:rPr>
      </w:pPr>
      <w:r>
        <w:rPr>
          <w:rFonts w:hint="eastAsia" w:ascii="宋体" w:hAnsi="宋体" w:cs="宋体"/>
          <w:kern w:val="0"/>
          <w:szCs w:val="21"/>
        </w:rPr>
        <w:t>供应商名称(公章):___________________</w:t>
      </w:r>
    </w:p>
    <w:p>
      <w:pPr>
        <w:widowControl/>
        <w:snapToGrid w:val="0"/>
        <w:spacing w:line="360" w:lineRule="auto"/>
        <w:jc w:val="left"/>
        <w:rPr>
          <w:rFonts w:ascii="宋体" w:hAnsi="宋体" w:cs="宋体"/>
          <w:kern w:val="0"/>
          <w:szCs w:val="21"/>
          <w:u w:val="single"/>
        </w:rPr>
      </w:pPr>
      <w:r>
        <w:rPr>
          <w:rFonts w:hint="eastAsia" w:ascii="宋体" w:hAnsi="宋体" w:cs="宋体"/>
          <w:kern w:val="0"/>
          <w:szCs w:val="21"/>
        </w:rPr>
        <w:t>开户银行：</w:t>
      </w:r>
      <w:r>
        <w:rPr>
          <w:rFonts w:hint="eastAsia" w:ascii="宋体" w:hAnsi="宋体" w:cs="宋体"/>
          <w:kern w:val="0"/>
          <w:szCs w:val="21"/>
          <w:u w:val="single"/>
        </w:rPr>
        <w:t xml:space="preserve">                      </w:t>
      </w:r>
      <w:r>
        <w:rPr>
          <w:rFonts w:hint="eastAsia" w:ascii="宋体" w:hAnsi="宋体" w:cs="宋体"/>
          <w:kern w:val="0"/>
          <w:szCs w:val="21"/>
        </w:rPr>
        <w:t xml:space="preserve">   银行账号：</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p>
    <w:p>
      <w:pPr>
        <w:widowControl/>
        <w:snapToGrid w:val="0"/>
        <w:spacing w:before="50" w:after="120" w:afterLines="50"/>
        <w:jc w:val="left"/>
        <w:rPr>
          <w:rFonts w:ascii="宋体" w:hAnsi="宋体" w:cs="宋体"/>
          <w:kern w:val="0"/>
          <w:szCs w:val="21"/>
        </w:rPr>
      </w:pPr>
      <w:r>
        <w:rPr>
          <w:rFonts w:hint="eastAsia" w:ascii="宋体" w:hAnsi="宋体" w:cs="宋体"/>
          <w:kern w:val="0"/>
          <w:szCs w:val="21"/>
        </w:rPr>
        <w:t>法定代表人或授权代表（签名或</w:t>
      </w:r>
      <w:r>
        <w:rPr>
          <w:rFonts w:hint="eastAsia" w:ascii="宋体" w:hAnsi="宋体" w:cs="宋体"/>
          <w:kern w:val="0"/>
          <w:szCs w:val="21"/>
          <w:lang w:val="en-US" w:eastAsia="zh-CN"/>
        </w:rPr>
        <w:t>盖</w:t>
      </w:r>
      <w:r>
        <w:rPr>
          <w:rFonts w:hint="eastAsia" w:ascii="宋体" w:hAnsi="宋体" w:cs="宋体"/>
          <w:kern w:val="0"/>
          <w:szCs w:val="21"/>
        </w:rPr>
        <w:t xml:space="preserve">章）:___________          </w:t>
      </w:r>
    </w:p>
    <w:p>
      <w:pPr>
        <w:widowControl/>
        <w:snapToGrid w:val="0"/>
        <w:spacing w:before="50" w:after="120" w:afterLines="50"/>
        <w:jc w:val="left"/>
        <w:rPr>
          <w:rFonts w:ascii="宋体" w:hAnsi="宋体" w:cs="宋体"/>
          <w:kern w:val="0"/>
          <w:szCs w:val="21"/>
        </w:rPr>
      </w:pPr>
      <w:r>
        <w:rPr>
          <w:rFonts w:hint="eastAsia" w:ascii="宋体" w:hAnsi="宋体" w:cs="宋体"/>
          <w:kern w:val="0"/>
          <w:szCs w:val="21"/>
        </w:rPr>
        <w:t>日期:_____年___月___日</w:t>
      </w:r>
    </w:p>
    <w:p>
      <w:pPr>
        <w:widowControl/>
        <w:jc w:val="left"/>
        <w:rPr>
          <w:rFonts w:ascii="宋体" w:hAnsi="宋体" w:cs="宋体"/>
          <w:kern w:val="0"/>
          <w:szCs w:val="21"/>
        </w:rPr>
      </w:pPr>
    </w:p>
    <w:p>
      <w:pPr>
        <w:widowControl/>
        <w:jc w:val="left"/>
        <w:rPr>
          <w:rFonts w:ascii="宋体" w:hAnsi="宋体" w:cs="宋体"/>
          <w:b/>
          <w:bCs/>
          <w:kern w:val="0"/>
          <w:szCs w:val="21"/>
        </w:rPr>
      </w:pPr>
    </w:p>
    <w:p>
      <w:pPr>
        <w:widowControl/>
        <w:jc w:val="left"/>
        <w:rPr>
          <w:rFonts w:ascii="宋体" w:hAnsi="宋体" w:cs="宋体"/>
          <w:b/>
          <w:bCs/>
          <w:kern w:val="0"/>
          <w:szCs w:val="21"/>
        </w:rPr>
      </w:pPr>
    </w:p>
    <w:p>
      <w:pPr>
        <w:widowControl/>
        <w:jc w:val="left"/>
        <w:rPr>
          <w:rFonts w:ascii="宋体" w:hAnsi="宋体" w:cs="宋体"/>
          <w:b/>
          <w:bCs/>
          <w:kern w:val="0"/>
          <w:szCs w:val="21"/>
        </w:rPr>
      </w:pPr>
    </w:p>
    <w:p>
      <w:pPr>
        <w:widowControl/>
        <w:jc w:val="left"/>
        <w:rPr>
          <w:rFonts w:ascii="宋体" w:hAnsi="宋体" w:cs="宋体"/>
          <w:b/>
          <w:bCs/>
          <w:kern w:val="0"/>
          <w:szCs w:val="21"/>
        </w:rPr>
      </w:pPr>
    </w:p>
    <w:p>
      <w:pPr>
        <w:pStyle w:val="182"/>
        <w:ind w:firstLine="422"/>
        <w:rPr>
          <w:rFonts w:ascii="宋体" w:hAnsi="宋体" w:cs="宋体"/>
          <w:b/>
          <w:bCs/>
          <w:kern w:val="0"/>
          <w:szCs w:val="21"/>
        </w:rPr>
      </w:pPr>
    </w:p>
    <w:p>
      <w:pPr>
        <w:pStyle w:val="182"/>
        <w:ind w:firstLine="422"/>
        <w:rPr>
          <w:rFonts w:ascii="宋体" w:hAnsi="宋体" w:cs="宋体"/>
          <w:b/>
          <w:bCs/>
          <w:kern w:val="0"/>
          <w:szCs w:val="21"/>
        </w:rPr>
      </w:pPr>
    </w:p>
    <w:p>
      <w:pPr>
        <w:pStyle w:val="182"/>
        <w:ind w:firstLine="422"/>
        <w:rPr>
          <w:rFonts w:ascii="宋体" w:hAnsi="宋体" w:cs="宋体"/>
          <w:b/>
          <w:bCs/>
          <w:kern w:val="0"/>
          <w:szCs w:val="21"/>
        </w:rPr>
      </w:pPr>
    </w:p>
    <w:p>
      <w:pPr>
        <w:pStyle w:val="182"/>
        <w:ind w:firstLine="422"/>
        <w:rPr>
          <w:rFonts w:ascii="宋体" w:hAnsi="宋体" w:cs="宋体"/>
          <w:b/>
          <w:bCs/>
          <w:kern w:val="0"/>
          <w:szCs w:val="21"/>
        </w:rPr>
      </w:pPr>
    </w:p>
    <w:p>
      <w:pPr>
        <w:pStyle w:val="182"/>
        <w:ind w:firstLine="422"/>
        <w:rPr>
          <w:rFonts w:ascii="宋体" w:hAnsi="宋体" w:cs="宋体"/>
          <w:b/>
          <w:bCs/>
          <w:kern w:val="0"/>
          <w:szCs w:val="21"/>
        </w:rPr>
      </w:pPr>
    </w:p>
    <w:p>
      <w:pPr>
        <w:widowControl/>
        <w:jc w:val="left"/>
        <w:rPr>
          <w:rFonts w:ascii="宋体" w:hAnsi="宋体" w:cs="宋体"/>
          <w:b/>
          <w:bCs/>
          <w:kern w:val="0"/>
          <w:szCs w:val="21"/>
        </w:rPr>
      </w:pPr>
    </w:p>
    <w:p>
      <w:pPr>
        <w:widowControl/>
        <w:jc w:val="left"/>
        <w:rPr>
          <w:rFonts w:ascii="宋体" w:hAnsi="宋体" w:cs="宋体"/>
          <w:b/>
          <w:bCs/>
          <w:kern w:val="0"/>
          <w:szCs w:val="21"/>
        </w:rPr>
      </w:pPr>
    </w:p>
    <w:p>
      <w:pPr>
        <w:widowControl/>
        <w:jc w:val="left"/>
        <w:rPr>
          <w:rFonts w:ascii="宋体" w:hAnsi="宋体" w:cs="宋体"/>
          <w:b/>
          <w:bCs/>
          <w:kern w:val="0"/>
          <w:szCs w:val="21"/>
        </w:rPr>
      </w:pPr>
    </w:p>
    <w:p>
      <w:pPr>
        <w:widowControl/>
        <w:jc w:val="left"/>
        <w:rPr>
          <w:rFonts w:ascii="宋体" w:hAnsi="宋体" w:cs="宋体"/>
          <w:b/>
          <w:kern w:val="0"/>
          <w:szCs w:val="20"/>
        </w:rPr>
      </w:pPr>
      <w:r>
        <w:rPr>
          <w:rFonts w:hint="eastAsia" w:ascii="宋体" w:hAnsi="宋体" w:cs="宋体"/>
          <w:b/>
          <w:bCs/>
          <w:kern w:val="0"/>
          <w:szCs w:val="21"/>
        </w:rPr>
        <w:t>8.法定代表人</w:t>
      </w:r>
      <w:r>
        <w:rPr>
          <w:rFonts w:hint="eastAsia" w:ascii="宋体" w:hAnsi="宋体" w:cs="宋体"/>
          <w:b/>
          <w:kern w:val="0"/>
          <w:szCs w:val="20"/>
        </w:rPr>
        <w:t>身份证明或</w:t>
      </w:r>
      <w:r>
        <w:rPr>
          <w:rFonts w:hint="eastAsia" w:ascii="宋体" w:hAnsi="宋体" w:cs="宋体"/>
          <w:b/>
          <w:szCs w:val="21"/>
        </w:rPr>
        <w:t>法定代表人授权委托书</w:t>
      </w:r>
      <w:r>
        <w:rPr>
          <w:rFonts w:hint="eastAsia" w:ascii="宋体" w:hAnsi="宋体" w:cs="宋体"/>
          <w:b/>
          <w:kern w:val="0"/>
          <w:szCs w:val="20"/>
        </w:rPr>
        <w:t>：</w:t>
      </w:r>
    </w:p>
    <w:p>
      <w:pPr>
        <w:widowControl/>
        <w:jc w:val="left"/>
        <w:rPr>
          <w:rFonts w:ascii="宋体" w:hAnsi="宋体" w:cs="宋体"/>
          <w:kern w:val="0"/>
          <w:szCs w:val="20"/>
        </w:rPr>
      </w:pPr>
    </w:p>
    <w:p>
      <w:pPr>
        <w:widowControl/>
        <w:jc w:val="left"/>
        <w:rPr>
          <w:rFonts w:ascii="宋体" w:hAnsi="宋体" w:cs="宋体"/>
          <w:kern w:val="0"/>
          <w:szCs w:val="20"/>
        </w:rPr>
      </w:pPr>
    </w:p>
    <w:p>
      <w:pPr>
        <w:widowControl/>
        <w:snapToGrid w:val="0"/>
        <w:spacing w:before="120" w:beforeLines="50" w:after="50"/>
        <w:jc w:val="center"/>
        <w:rPr>
          <w:rFonts w:ascii="宋体" w:hAnsi="宋体" w:cs="宋体"/>
          <w:b/>
          <w:kern w:val="0"/>
          <w:szCs w:val="21"/>
        </w:rPr>
      </w:pPr>
      <w:r>
        <w:rPr>
          <w:rFonts w:hint="eastAsia" w:ascii="宋体" w:hAnsi="宋体" w:cs="宋体"/>
          <w:b/>
          <w:kern w:val="0"/>
          <w:szCs w:val="21"/>
        </w:rPr>
        <w:t>法定代表人身份证明</w:t>
      </w:r>
    </w:p>
    <w:p>
      <w:pPr>
        <w:widowControl/>
        <w:spacing w:line="480" w:lineRule="auto"/>
        <w:jc w:val="center"/>
        <w:rPr>
          <w:rFonts w:ascii="宋体" w:hAnsi="宋体" w:cs="宋体"/>
          <w:b/>
          <w:kern w:val="0"/>
          <w:sz w:val="24"/>
          <w:szCs w:val="20"/>
        </w:rPr>
      </w:pPr>
      <w:r>
        <w:rPr>
          <w:rFonts w:hint="eastAsia" w:ascii="宋体" w:hAnsi="宋体" w:cs="宋体"/>
          <w:bCs/>
          <w:kern w:val="0"/>
          <w:sz w:val="24"/>
          <w:szCs w:val="20"/>
        </w:rPr>
        <w:t>（法定代表人不来投标的，此表不用）</w:t>
      </w:r>
    </w:p>
    <w:p>
      <w:pPr>
        <w:widowControl/>
        <w:spacing w:line="480" w:lineRule="auto"/>
        <w:ind w:firstLine="420" w:firstLineChars="200"/>
        <w:jc w:val="left"/>
        <w:rPr>
          <w:rFonts w:ascii="宋体" w:hAnsi="宋体" w:cs="宋体"/>
          <w:kern w:val="0"/>
          <w:szCs w:val="21"/>
        </w:rPr>
      </w:pPr>
      <w:r>
        <w:rPr>
          <w:rFonts w:hint="eastAsia" w:ascii="宋体" w:hAnsi="宋体" w:cs="宋体"/>
          <w:kern w:val="0"/>
          <w:szCs w:val="21"/>
        </w:rPr>
        <w:t>供应商名称：</w:t>
      </w:r>
      <w:r>
        <w:rPr>
          <w:rFonts w:hint="eastAsia" w:ascii="宋体" w:hAnsi="宋体" w:cs="宋体"/>
          <w:kern w:val="0"/>
          <w:szCs w:val="21"/>
          <w:u w:val="single"/>
        </w:rPr>
        <w:t xml:space="preserve">                                      </w:t>
      </w:r>
    </w:p>
    <w:p>
      <w:pPr>
        <w:widowControl/>
        <w:spacing w:line="480" w:lineRule="auto"/>
        <w:ind w:firstLine="420" w:firstLineChars="200"/>
        <w:jc w:val="left"/>
        <w:rPr>
          <w:rFonts w:ascii="宋体" w:hAnsi="宋体" w:cs="宋体"/>
          <w:kern w:val="0"/>
          <w:szCs w:val="21"/>
        </w:rPr>
      </w:pPr>
      <w:r>
        <w:rPr>
          <w:rFonts w:hint="eastAsia" w:ascii="宋体" w:hAnsi="宋体" w:cs="宋体"/>
          <w:kern w:val="0"/>
          <w:szCs w:val="21"/>
        </w:rPr>
        <w:t>单位性质：</w:t>
      </w:r>
      <w:r>
        <w:rPr>
          <w:rFonts w:hint="eastAsia" w:ascii="宋体" w:hAnsi="宋体" w:cs="宋体"/>
          <w:kern w:val="0"/>
          <w:szCs w:val="21"/>
          <w:u w:val="single"/>
        </w:rPr>
        <w:t xml:space="preserve">                                         </w:t>
      </w:r>
      <w:r>
        <w:rPr>
          <w:rFonts w:hint="eastAsia" w:ascii="宋体" w:hAnsi="宋体" w:cs="宋体"/>
          <w:kern w:val="0"/>
          <w:szCs w:val="21"/>
        </w:rPr>
        <w:t xml:space="preserve"> </w:t>
      </w:r>
    </w:p>
    <w:p>
      <w:pPr>
        <w:widowControl/>
        <w:spacing w:line="480" w:lineRule="auto"/>
        <w:ind w:firstLine="420" w:firstLineChars="200"/>
        <w:jc w:val="left"/>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u w:val="single"/>
        </w:rPr>
        <w:t xml:space="preserve">                                              </w:t>
      </w:r>
    </w:p>
    <w:p>
      <w:pPr>
        <w:widowControl/>
        <w:spacing w:line="480" w:lineRule="auto"/>
        <w:ind w:firstLine="420" w:firstLineChars="200"/>
        <w:jc w:val="left"/>
        <w:rPr>
          <w:rFonts w:ascii="宋体" w:hAnsi="宋体" w:cs="宋体"/>
          <w:kern w:val="0"/>
          <w:szCs w:val="21"/>
        </w:rPr>
      </w:pPr>
      <w:r>
        <w:rPr>
          <w:rFonts w:hint="eastAsia" w:ascii="宋体" w:hAnsi="宋体" w:cs="宋体"/>
          <w:kern w:val="0"/>
          <w:szCs w:val="21"/>
        </w:rPr>
        <w:t>成立时间：</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widowControl/>
        <w:spacing w:line="480" w:lineRule="auto"/>
        <w:ind w:firstLine="420" w:firstLineChars="200"/>
        <w:jc w:val="left"/>
        <w:rPr>
          <w:rFonts w:ascii="宋体" w:hAnsi="宋体" w:cs="宋体"/>
          <w:kern w:val="0"/>
          <w:szCs w:val="21"/>
        </w:rPr>
      </w:pPr>
      <w:r>
        <w:rPr>
          <w:rFonts w:hint="eastAsia" w:ascii="宋体" w:hAnsi="宋体" w:cs="宋体"/>
          <w:kern w:val="0"/>
          <w:szCs w:val="21"/>
        </w:rPr>
        <w:t>经营期限：</w:t>
      </w:r>
      <w:r>
        <w:rPr>
          <w:rFonts w:hint="eastAsia" w:ascii="宋体" w:hAnsi="宋体" w:cs="宋体"/>
          <w:kern w:val="0"/>
          <w:szCs w:val="21"/>
          <w:u w:val="single"/>
        </w:rPr>
        <w:t xml:space="preserve">                                </w:t>
      </w:r>
      <w:r>
        <w:rPr>
          <w:rFonts w:hint="eastAsia" w:ascii="宋体" w:hAnsi="宋体" w:cs="宋体"/>
          <w:kern w:val="0"/>
          <w:szCs w:val="21"/>
        </w:rPr>
        <w:t xml:space="preserve"> </w:t>
      </w:r>
    </w:p>
    <w:p>
      <w:pPr>
        <w:widowControl/>
        <w:spacing w:line="480" w:lineRule="auto"/>
        <w:ind w:firstLine="420" w:firstLineChars="200"/>
        <w:jc w:val="left"/>
        <w:rPr>
          <w:rFonts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性别：</w:t>
      </w:r>
      <w:r>
        <w:rPr>
          <w:rFonts w:hint="eastAsia" w:ascii="宋体" w:hAnsi="宋体" w:cs="宋体"/>
          <w:kern w:val="0"/>
          <w:szCs w:val="21"/>
          <w:u w:val="single"/>
        </w:rPr>
        <w:t xml:space="preserve">      </w:t>
      </w:r>
      <w:r>
        <w:rPr>
          <w:rFonts w:hint="eastAsia" w:ascii="宋体" w:hAnsi="宋体" w:cs="宋体"/>
          <w:kern w:val="0"/>
          <w:szCs w:val="21"/>
        </w:rPr>
        <w:t>年龄：</w:t>
      </w:r>
      <w:r>
        <w:rPr>
          <w:rFonts w:hint="eastAsia" w:ascii="宋体" w:hAnsi="宋体" w:cs="宋体"/>
          <w:kern w:val="0"/>
          <w:szCs w:val="21"/>
          <w:u w:val="single"/>
        </w:rPr>
        <w:t xml:space="preserve">    周岁  </w:t>
      </w:r>
      <w:r>
        <w:rPr>
          <w:rFonts w:hint="eastAsia" w:ascii="宋体" w:hAnsi="宋体" w:cs="宋体"/>
          <w:kern w:val="0"/>
          <w:szCs w:val="21"/>
        </w:rPr>
        <w:t>职务：</w:t>
      </w:r>
      <w:r>
        <w:rPr>
          <w:rFonts w:hint="eastAsia" w:ascii="宋体" w:hAnsi="宋体" w:cs="宋体"/>
          <w:kern w:val="0"/>
          <w:szCs w:val="21"/>
          <w:u w:val="single"/>
        </w:rPr>
        <w:t xml:space="preserve">   </w:t>
      </w:r>
      <w:r>
        <w:rPr>
          <w:rFonts w:hint="eastAsia" w:ascii="宋体" w:hAnsi="宋体" w:cs="宋体"/>
          <w:kern w:val="0"/>
          <w:szCs w:val="21"/>
        </w:rPr>
        <w:t>_</w:t>
      </w:r>
    </w:p>
    <w:p>
      <w:pPr>
        <w:widowControl/>
        <w:spacing w:line="480" w:lineRule="auto"/>
        <w:ind w:firstLine="420" w:firstLineChars="200"/>
        <w:jc w:val="left"/>
        <w:rPr>
          <w:rFonts w:ascii="宋体" w:hAnsi="宋体" w:cs="宋体"/>
          <w:kern w:val="0"/>
          <w:szCs w:val="21"/>
          <w:u w:val="single"/>
        </w:rPr>
      </w:pPr>
      <w:r>
        <w:rPr>
          <w:rFonts w:hint="eastAsia" w:ascii="宋体" w:hAnsi="宋体" w:cs="宋体"/>
          <w:kern w:val="0"/>
          <w:szCs w:val="21"/>
        </w:rPr>
        <w:t>身份证号码：</w:t>
      </w:r>
      <w:r>
        <w:rPr>
          <w:rFonts w:hint="eastAsia" w:ascii="宋体" w:hAnsi="宋体" w:cs="宋体"/>
          <w:kern w:val="0"/>
          <w:szCs w:val="21"/>
          <w:u w:val="single"/>
        </w:rPr>
        <w:t xml:space="preserve">                   </w:t>
      </w:r>
    </w:p>
    <w:p>
      <w:pPr>
        <w:widowControl/>
        <w:spacing w:line="480" w:lineRule="auto"/>
        <w:ind w:firstLine="420" w:firstLineChars="200"/>
        <w:jc w:val="left"/>
        <w:rPr>
          <w:rFonts w:ascii="宋体" w:hAnsi="宋体" w:cs="宋体"/>
          <w:kern w:val="0"/>
          <w:szCs w:val="21"/>
        </w:rPr>
      </w:pPr>
      <w:r>
        <w:rPr>
          <w:rFonts w:hint="eastAsia" w:ascii="宋体" w:hAnsi="宋体" w:cs="宋体"/>
          <w:kern w:val="0"/>
          <w:szCs w:val="21"/>
        </w:rPr>
        <w:t>系</w:t>
      </w:r>
      <w:r>
        <w:rPr>
          <w:rFonts w:hint="eastAsia" w:ascii="宋体" w:hAnsi="宋体" w:cs="宋体"/>
          <w:kern w:val="0"/>
          <w:szCs w:val="21"/>
          <w:u w:val="single"/>
        </w:rPr>
        <w:t xml:space="preserve">                                      </w:t>
      </w:r>
      <w:r>
        <w:rPr>
          <w:rFonts w:hint="eastAsia" w:ascii="宋体" w:hAnsi="宋体" w:cs="宋体"/>
          <w:kern w:val="0"/>
          <w:szCs w:val="21"/>
        </w:rPr>
        <w:t>（供应商名称）的法定代表人。</w:t>
      </w:r>
    </w:p>
    <w:p>
      <w:pPr>
        <w:widowControl/>
        <w:spacing w:line="480" w:lineRule="auto"/>
        <w:ind w:firstLine="840" w:firstLineChars="400"/>
        <w:jc w:val="left"/>
        <w:rPr>
          <w:rFonts w:ascii="宋体" w:hAnsi="宋体" w:cs="宋体"/>
          <w:kern w:val="0"/>
          <w:szCs w:val="21"/>
        </w:rPr>
      </w:pPr>
      <w:r>
        <w:rPr>
          <w:rFonts w:hint="eastAsia" w:ascii="宋体" w:hAnsi="宋体" w:cs="宋体"/>
          <w:kern w:val="0"/>
          <w:szCs w:val="21"/>
        </w:rPr>
        <w:t>特此证明。</w:t>
      </w:r>
    </w:p>
    <w:p>
      <w:pPr>
        <w:widowControl/>
        <w:spacing w:line="360" w:lineRule="auto"/>
        <w:ind w:firstLine="420" w:firstLineChars="200"/>
        <w:jc w:val="left"/>
        <w:rPr>
          <w:rFonts w:ascii="宋体" w:hAnsi="宋体" w:cs="宋体"/>
          <w:kern w:val="0"/>
          <w:szCs w:val="21"/>
        </w:rPr>
      </w:pPr>
    </w:p>
    <w:p>
      <w:pPr>
        <w:widowControl/>
        <w:spacing w:line="360" w:lineRule="auto"/>
        <w:ind w:firstLine="420" w:firstLineChars="200"/>
        <w:jc w:val="left"/>
        <w:rPr>
          <w:rFonts w:ascii="宋体" w:hAnsi="宋体" w:cs="宋体"/>
          <w:kern w:val="0"/>
          <w:szCs w:val="21"/>
        </w:rPr>
      </w:pPr>
    </w:p>
    <w:p>
      <w:pPr>
        <w:widowControl/>
        <w:wordWrap w:val="0"/>
        <w:spacing w:line="360" w:lineRule="auto"/>
        <w:jc w:val="right"/>
        <w:rPr>
          <w:rFonts w:hint="eastAsia" w:ascii="宋体" w:hAnsi="宋体" w:eastAsia="宋体" w:cs="宋体"/>
          <w:kern w:val="0"/>
          <w:szCs w:val="21"/>
          <w:lang w:eastAsia="zh-CN"/>
        </w:rPr>
      </w:pPr>
      <w:r>
        <w:rPr>
          <w:rFonts w:hint="eastAsia" w:ascii="宋体" w:hAnsi="宋体" w:cs="宋体"/>
          <w:kern w:val="0"/>
          <w:szCs w:val="21"/>
        </w:rPr>
        <w:t>供应商名称（公章）：</w:t>
      </w:r>
      <w:r>
        <w:rPr>
          <w:rFonts w:hint="eastAsia" w:ascii="宋体" w:hAnsi="宋体" w:cs="宋体"/>
          <w:kern w:val="0"/>
          <w:szCs w:val="21"/>
          <w:u w:val="single"/>
        </w:rPr>
        <w:t xml:space="preserve">                                </w:t>
      </w:r>
      <w:r>
        <w:rPr>
          <w:rFonts w:hint="eastAsia" w:ascii="宋体" w:hAnsi="宋体" w:cs="宋体"/>
          <w:kern w:val="0"/>
          <w:szCs w:val="21"/>
          <w:lang w:val="en-US" w:eastAsia="zh-CN"/>
        </w:rPr>
        <w:t xml:space="preserve"> </w:t>
      </w:r>
    </w:p>
    <w:p>
      <w:pPr>
        <w:widowControl/>
        <w:spacing w:line="360" w:lineRule="auto"/>
        <w:ind w:firstLine="4515" w:firstLineChars="2150"/>
        <w:jc w:val="left"/>
        <w:rPr>
          <w:rFonts w:ascii="宋体" w:hAnsi="宋体" w:cs="宋体"/>
          <w:kern w:val="0"/>
          <w:szCs w:val="21"/>
          <w:u w:val="single"/>
        </w:rPr>
      </w:pPr>
    </w:p>
    <w:p>
      <w:pPr>
        <w:widowControl/>
        <w:spacing w:line="360" w:lineRule="auto"/>
        <w:ind w:firstLine="3675" w:firstLineChars="1750"/>
        <w:jc w:val="lef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widowControl/>
        <w:spacing w:line="360" w:lineRule="auto"/>
        <w:jc w:val="left"/>
        <w:rPr>
          <w:rFonts w:ascii="宋体" w:hAnsi="宋体" w:cs="宋体"/>
          <w:kern w:val="0"/>
          <w:sz w:val="24"/>
          <w:szCs w:val="20"/>
        </w:rPr>
      </w:pPr>
    </w:p>
    <w:p>
      <w:pPr>
        <w:widowControl/>
        <w:spacing w:line="360" w:lineRule="auto"/>
        <w:jc w:val="left"/>
        <w:rPr>
          <w:rFonts w:ascii="宋体" w:hAnsi="宋体" w:cs="宋体"/>
          <w:b/>
          <w:kern w:val="0"/>
          <w:szCs w:val="21"/>
        </w:rPr>
      </w:pPr>
    </w:p>
    <w:p>
      <w:pPr>
        <w:widowControl/>
        <w:spacing w:line="360" w:lineRule="auto"/>
        <w:jc w:val="left"/>
        <w:rPr>
          <w:rFonts w:ascii="宋体" w:hAnsi="宋体" w:cs="宋体"/>
          <w:b/>
          <w:kern w:val="0"/>
          <w:szCs w:val="21"/>
        </w:rPr>
      </w:pPr>
    </w:p>
    <w:p>
      <w:pPr>
        <w:widowControl/>
        <w:spacing w:line="360" w:lineRule="auto"/>
        <w:jc w:val="left"/>
        <w:rPr>
          <w:rFonts w:ascii="宋体" w:hAnsi="宋体" w:cs="宋体"/>
          <w:b/>
          <w:kern w:val="0"/>
          <w:szCs w:val="21"/>
        </w:rPr>
      </w:pPr>
      <w:r>
        <w:rPr>
          <w:rFonts w:hint="eastAsia" w:ascii="宋体" w:hAnsi="宋体" w:cs="宋体"/>
          <w:b/>
          <w:kern w:val="0"/>
          <w:szCs w:val="21"/>
        </w:rPr>
        <w:t>附法定代表人身份证复印件（正反面）：</w:t>
      </w:r>
    </w:p>
    <w:p>
      <w:pPr>
        <w:widowControl/>
        <w:jc w:val="left"/>
        <w:rPr>
          <w:rFonts w:ascii="宋体" w:hAnsi="宋体" w:cs="宋体"/>
          <w:kern w:val="0"/>
          <w:szCs w:val="20"/>
        </w:rPr>
      </w:pPr>
    </w:p>
    <w:p>
      <w:pPr>
        <w:widowControl/>
        <w:jc w:val="left"/>
        <w:rPr>
          <w:rFonts w:ascii="宋体" w:hAnsi="宋体" w:cs="宋体"/>
          <w:b/>
          <w:kern w:val="0"/>
          <w:sz w:val="32"/>
          <w:szCs w:val="32"/>
        </w:rPr>
      </w:pPr>
    </w:p>
    <w:p>
      <w:pPr>
        <w:jc w:val="center"/>
        <w:rPr>
          <w:rFonts w:ascii="宋体" w:hAnsi="宋体" w:cs="宋体"/>
          <w:b/>
          <w:sz w:val="32"/>
          <w:szCs w:val="32"/>
        </w:rPr>
      </w:pPr>
      <w:r>
        <w:rPr>
          <w:rFonts w:hint="eastAsia" w:ascii="宋体" w:hAnsi="宋体" w:cs="宋体"/>
          <w:b/>
          <w:bCs/>
          <w:kern w:val="0"/>
          <w:sz w:val="28"/>
          <w:szCs w:val="28"/>
        </w:rPr>
        <w:br w:type="page"/>
      </w:r>
      <w:r>
        <w:rPr>
          <w:rFonts w:hint="eastAsia" w:ascii="宋体" w:hAnsi="宋体" w:cs="宋体"/>
          <w:b/>
          <w:szCs w:val="21"/>
        </w:rPr>
        <w:t>法定代表人授权委托书</w:t>
      </w:r>
    </w:p>
    <w:p>
      <w:pPr>
        <w:jc w:val="center"/>
        <w:rPr>
          <w:rFonts w:ascii="宋体" w:hAnsi="宋体" w:cs="宋体"/>
          <w:b/>
          <w:sz w:val="32"/>
          <w:szCs w:val="32"/>
        </w:rPr>
      </w:pPr>
      <w:r>
        <w:rPr>
          <w:rFonts w:hint="eastAsia" w:ascii="宋体" w:hAnsi="宋体" w:cs="宋体"/>
          <w:bCs/>
          <w:sz w:val="24"/>
        </w:rPr>
        <w:t>（法定代表人来投标的，此表不用）</w:t>
      </w:r>
    </w:p>
    <w:p>
      <w:pPr>
        <w:snapToGrid w:val="0"/>
        <w:spacing w:line="360" w:lineRule="auto"/>
        <w:rPr>
          <w:rFonts w:ascii="宋体" w:hAnsi="宋体" w:cs="宋体"/>
          <w:bCs/>
          <w:sz w:val="24"/>
        </w:rPr>
      </w:pPr>
    </w:p>
    <w:p>
      <w:pPr>
        <w:snapToGrid w:val="0"/>
        <w:spacing w:line="360" w:lineRule="auto"/>
        <w:rPr>
          <w:rFonts w:ascii="宋体" w:hAnsi="宋体" w:cs="宋体"/>
          <w:szCs w:val="21"/>
        </w:rPr>
      </w:pPr>
      <w:r>
        <w:rPr>
          <w:rFonts w:hint="eastAsia" w:ascii="宋体" w:hAnsi="宋体" w:cs="宋体"/>
          <w:bCs/>
          <w:szCs w:val="21"/>
        </w:rPr>
        <w:t>致：</w:t>
      </w:r>
      <w:r>
        <w:rPr>
          <w:rFonts w:hint="eastAsia" w:ascii="宋体" w:hAnsi="宋体" w:cs="宋体"/>
          <w:szCs w:val="21"/>
          <w:u w:val="single"/>
        </w:rPr>
        <w:t xml:space="preserve">  </w:t>
      </w:r>
      <w:r>
        <w:rPr>
          <w:rFonts w:hint="eastAsia" w:ascii="宋体" w:hAnsi="宋体" w:cs="宋体"/>
          <w:szCs w:val="21"/>
          <w:u w:val="single"/>
          <w:lang w:eastAsia="zh-CN"/>
        </w:rPr>
        <w:t>宁波市海曙区农业农村局</w:t>
      </w:r>
      <w:r>
        <w:rPr>
          <w:rFonts w:hint="eastAsia" w:ascii="宋体" w:hAnsi="宋体" w:cs="宋体"/>
          <w:szCs w:val="21"/>
          <w:u w:val="single"/>
        </w:rPr>
        <w:t xml:space="preserve">  </w:t>
      </w:r>
      <w:r>
        <w:rPr>
          <w:rFonts w:hint="eastAsia" w:ascii="宋体" w:hAnsi="宋体" w:cs="宋体"/>
          <w:b/>
          <w:bCs/>
          <w:szCs w:val="21"/>
        </w:rPr>
        <w:t xml:space="preserve"> </w:t>
      </w:r>
      <w:r>
        <w:rPr>
          <w:rFonts w:hint="eastAsia" w:ascii="宋体" w:hAnsi="宋体" w:cs="宋体"/>
          <w:szCs w:val="21"/>
        </w:rPr>
        <w:t>：</w:t>
      </w:r>
    </w:p>
    <w:p>
      <w:pPr>
        <w:snapToGrid w:val="0"/>
        <w:spacing w:line="360" w:lineRule="auto"/>
        <w:ind w:firstLine="420" w:firstLineChars="200"/>
        <w:rPr>
          <w:rFonts w:ascii="宋体" w:hAnsi="宋体" w:cs="宋体"/>
          <w:szCs w:val="21"/>
          <w:u w:val="single"/>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 xml:space="preserve">（供应商名称）的法定代表人，现授权委托本单位在职职工 </w:t>
      </w:r>
      <w:r>
        <w:rPr>
          <w:rFonts w:hint="eastAsia" w:ascii="宋体" w:hAnsi="宋体" w:cs="宋体"/>
          <w:szCs w:val="21"/>
          <w:u w:val="single"/>
        </w:rPr>
        <w:t xml:space="preserve">           </w:t>
      </w:r>
      <w:r>
        <w:rPr>
          <w:rFonts w:hint="eastAsia" w:ascii="宋体" w:hAnsi="宋体" w:cs="宋体"/>
          <w:szCs w:val="21"/>
        </w:rPr>
        <w:t>（姓名）以我方的名义参加</w:t>
      </w:r>
      <w:r>
        <w:rPr>
          <w:rFonts w:hint="eastAsia" w:ascii="宋体" w:hAnsi="宋体" w:cs="宋体"/>
          <w:szCs w:val="21"/>
          <w:u w:val="single"/>
        </w:rPr>
        <w:t xml:space="preserve">                       政府采购 </w:t>
      </w:r>
      <w:r>
        <w:rPr>
          <w:rFonts w:hint="eastAsia" w:ascii="宋体" w:hAnsi="宋体" w:cs="宋体"/>
          <w:szCs w:val="21"/>
        </w:rPr>
        <w:t>项目的投标活动，并代表我方全权办理针对上述项目的投标、开标、评标、签约等具体事务和签署相关文件。</w:t>
      </w:r>
    </w:p>
    <w:p>
      <w:pPr>
        <w:snapToGrid w:val="0"/>
        <w:spacing w:line="360" w:lineRule="auto"/>
        <w:ind w:firstLine="420" w:firstLineChars="200"/>
        <w:rPr>
          <w:rFonts w:ascii="宋体" w:hAnsi="宋体" w:cs="宋体"/>
          <w:szCs w:val="21"/>
          <w:u w:val="single"/>
        </w:rPr>
      </w:pPr>
      <w:r>
        <w:rPr>
          <w:rFonts w:hint="eastAsia" w:ascii="宋体" w:hAnsi="宋体" w:cs="宋体"/>
          <w:szCs w:val="21"/>
        </w:rPr>
        <w:t>我方对被授权人的签名事项负全部责任。</w:t>
      </w:r>
    </w:p>
    <w:p>
      <w:pPr>
        <w:snapToGrid w:val="0"/>
        <w:spacing w:line="360" w:lineRule="auto"/>
        <w:ind w:firstLine="420" w:firstLineChars="200"/>
        <w:rPr>
          <w:rFonts w:ascii="宋体" w:hAnsi="宋体" w:cs="宋体"/>
          <w:szCs w:val="21"/>
        </w:rPr>
      </w:pPr>
      <w:r>
        <w:rPr>
          <w:rFonts w:hint="eastAsia" w:ascii="宋体" w:hAnsi="宋体" w:cs="宋体"/>
          <w:szCs w:val="21"/>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cs="宋体"/>
          <w:szCs w:val="21"/>
        </w:rPr>
      </w:pPr>
      <w:r>
        <w:rPr>
          <w:rFonts w:hint="eastAsia" w:ascii="宋体" w:hAnsi="宋体" w:cs="宋体"/>
          <w:szCs w:val="21"/>
        </w:rPr>
        <w:t>被授权人无转委托权，特此委托。</w:t>
      </w:r>
    </w:p>
    <w:p>
      <w:pPr>
        <w:snapToGrid w:val="0"/>
        <w:spacing w:line="360" w:lineRule="auto"/>
        <w:rPr>
          <w:rFonts w:ascii="宋体" w:hAnsi="宋体" w:cs="宋体"/>
          <w:szCs w:val="21"/>
        </w:rPr>
      </w:pPr>
    </w:p>
    <w:p>
      <w:pPr>
        <w:snapToGrid w:val="0"/>
        <w:spacing w:line="360" w:lineRule="auto"/>
        <w:rPr>
          <w:rFonts w:ascii="宋体" w:hAnsi="宋体" w:cs="宋体"/>
          <w:szCs w:val="21"/>
        </w:rPr>
      </w:pPr>
    </w:p>
    <w:p>
      <w:pPr>
        <w:snapToGrid w:val="0"/>
        <w:spacing w:line="360" w:lineRule="auto"/>
        <w:rPr>
          <w:rFonts w:ascii="宋体" w:hAnsi="宋体" w:cs="宋体"/>
          <w:szCs w:val="21"/>
          <w:u w:val="single"/>
        </w:rPr>
      </w:pPr>
      <w:r>
        <w:rPr>
          <w:rFonts w:hint="eastAsia" w:ascii="宋体" w:hAnsi="宋体" w:cs="宋体"/>
          <w:szCs w:val="21"/>
        </w:rPr>
        <w:t>被授权人</w:t>
      </w:r>
      <w:r>
        <w:rPr>
          <w:rFonts w:hint="eastAsia" w:ascii="宋体" w:hAnsi="宋体" w:cs="宋体"/>
        </w:rPr>
        <w:t>（签名或</w:t>
      </w:r>
      <w:r>
        <w:rPr>
          <w:rFonts w:hint="eastAsia" w:ascii="宋体" w:hAnsi="宋体" w:cs="宋体"/>
          <w:kern w:val="0"/>
          <w:szCs w:val="21"/>
          <w:lang w:val="en-US" w:eastAsia="zh-CN"/>
        </w:rPr>
        <w:t>盖</w:t>
      </w:r>
      <w:r>
        <w:rPr>
          <w:rFonts w:hint="eastAsia" w:ascii="宋体" w:hAnsi="宋体" w:cs="宋体"/>
          <w:kern w:val="0"/>
          <w:szCs w:val="21"/>
        </w:rPr>
        <w:t>章</w:t>
      </w:r>
      <w:r>
        <w:rPr>
          <w:rFonts w:hint="eastAsia" w:ascii="宋体" w:hAnsi="宋体" w:cs="宋体"/>
        </w:rPr>
        <w:t>）</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  法定代表人</w:t>
      </w:r>
      <w:r>
        <w:rPr>
          <w:rFonts w:hint="eastAsia" w:ascii="宋体" w:hAnsi="宋体" w:cs="宋体"/>
        </w:rPr>
        <w:t>（签名或</w:t>
      </w:r>
      <w:r>
        <w:rPr>
          <w:rFonts w:hint="eastAsia" w:ascii="宋体" w:hAnsi="宋体" w:cs="宋体"/>
          <w:kern w:val="0"/>
          <w:szCs w:val="21"/>
          <w:lang w:val="en-US" w:eastAsia="zh-CN"/>
        </w:rPr>
        <w:t>盖</w:t>
      </w:r>
      <w:r>
        <w:rPr>
          <w:rFonts w:hint="eastAsia" w:ascii="宋体" w:hAnsi="宋体" w:cs="宋体"/>
          <w:kern w:val="0"/>
          <w:szCs w:val="21"/>
        </w:rPr>
        <w:t>章</w:t>
      </w:r>
      <w:r>
        <w:rPr>
          <w:rFonts w:hint="eastAsia" w:ascii="宋体" w:hAnsi="宋体" w:cs="宋体"/>
        </w:rPr>
        <w:t>）</w:t>
      </w:r>
      <w:r>
        <w:rPr>
          <w:rFonts w:hint="eastAsia" w:ascii="宋体" w:hAnsi="宋体" w:cs="宋体"/>
          <w:szCs w:val="21"/>
        </w:rPr>
        <w:t>：</w:t>
      </w:r>
      <w:r>
        <w:rPr>
          <w:rFonts w:hint="eastAsia" w:ascii="宋体" w:hAnsi="宋体" w:cs="宋体"/>
          <w:szCs w:val="21"/>
          <w:u w:val="single"/>
        </w:rPr>
        <w:t xml:space="preserve">          </w:t>
      </w:r>
    </w:p>
    <w:p>
      <w:pPr>
        <w:snapToGrid w:val="0"/>
        <w:spacing w:line="360" w:lineRule="auto"/>
        <w:ind w:firstLine="840" w:firstLineChars="400"/>
        <w:rPr>
          <w:rFonts w:ascii="宋体" w:hAnsi="宋体" w:cs="宋体"/>
          <w:szCs w:val="21"/>
          <w:u w:val="none"/>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none"/>
        </w:rPr>
        <w:t xml:space="preserve">           </w:t>
      </w:r>
    </w:p>
    <w:p>
      <w:pPr>
        <w:snapToGrid w:val="0"/>
        <w:spacing w:line="360" w:lineRule="auto"/>
        <w:rPr>
          <w:rFonts w:ascii="宋体" w:hAnsi="宋体" w:cs="宋体"/>
          <w:szCs w:val="21"/>
        </w:rPr>
      </w:pPr>
      <w:r>
        <w:rPr>
          <w:rFonts w:hint="eastAsia" w:ascii="宋体" w:hAnsi="宋体" w:cs="宋体"/>
          <w:szCs w:val="21"/>
        </w:rPr>
        <w:t>被授权人身份证号码：</w:t>
      </w:r>
      <w:r>
        <w:rPr>
          <w:rFonts w:hint="eastAsia" w:ascii="宋体" w:hAnsi="宋体" w:cs="宋体"/>
          <w:szCs w:val="21"/>
          <w:u w:val="single"/>
        </w:rPr>
        <w:t xml:space="preserve">                             </w:t>
      </w:r>
      <w:r>
        <w:rPr>
          <w:rFonts w:hint="eastAsia" w:ascii="宋体" w:hAnsi="宋体" w:cs="宋体"/>
          <w:szCs w:val="21"/>
        </w:rPr>
        <w:t xml:space="preserve"> </w:t>
      </w:r>
    </w:p>
    <w:p>
      <w:pPr>
        <w:snapToGrid w:val="0"/>
        <w:spacing w:line="360" w:lineRule="auto"/>
        <w:rPr>
          <w:rFonts w:ascii="宋体" w:hAnsi="宋体" w:cs="宋体"/>
          <w:szCs w:val="21"/>
        </w:rPr>
      </w:pPr>
      <w:r>
        <w:rPr>
          <w:rFonts w:hint="eastAsia" w:ascii="宋体" w:hAnsi="宋体" w:cs="宋体"/>
          <w:szCs w:val="21"/>
        </w:rPr>
        <w:t xml:space="preserve">                                    </w:t>
      </w:r>
    </w:p>
    <w:p>
      <w:pPr>
        <w:snapToGrid w:val="0"/>
        <w:spacing w:line="360" w:lineRule="auto"/>
        <w:rPr>
          <w:rFonts w:ascii="宋体" w:hAnsi="宋体" w:cs="宋体"/>
          <w:szCs w:val="21"/>
        </w:rPr>
      </w:pPr>
    </w:p>
    <w:p>
      <w:pPr>
        <w:snapToGrid w:val="0"/>
        <w:spacing w:line="360" w:lineRule="auto"/>
        <w:ind w:firstLine="4830" w:firstLineChars="2300"/>
        <w:rPr>
          <w:rFonts w:ascii="宋体" w:hAnsi="宋体" w:cs="宋体"/>
          <w:szCs w:val="21"/>
        </w:rPr>
      </w:pPr>
      <w:r>
        <w:rPr>
          <w:rFonts w:hint="eastAsia" w:ascii="宋体" w:hAnsi="宋体" w:cs="宋体"/>
          <w:kern w:val="0"/>
          <w:szCs w:val="21"/>
        </w:rPr>
        <w:t>供应商名称（公章）：</w:t>
      </w:r>
    </w:p>
    <w:p>
      <w:pPr>
        <w:snapToGrid w:val="0"/>
        <w:spacing w:line="360" w:lineRule="auto"/>
        <w:jc w:val="center"/>
        <w:rPr>
          <w:rFonts w:ascii="宋体" w:hAnsi="宋体" w:cs="宋体"/>
          <w:szCs w:val="21"/>
        </w:rPr>
      </w:pPr>
      <w:r>
        <w:rPr>
          <w:rFonts w:hint="eastAsia" w:ascii="宋体" w:hAnsi="宋体" w:cs="宋体"/>
          <w:szCs w:val="21"/>
        </w:rPr>
        <w:t xml:space="preserve">                                        年    月    日</w:t>
      </w:r>
    </w:p>
    <w:p>
      <w:pPr>
        <w:spacing w:line="360" w:lineRule="auto"/>
        <w:rPr>
          <w:rFonts w:ascii="宋体" w:hAnsi="宋体" w:cs="宋体"/>
          <w:b/>
          <w:szCs w:val="21"/>
        </w:rPr>
      </w:pPr>
    </w:p>
    <w:p>
      <w:pPr>
        <w:spacing w:line="360" w:lineRule="auto"/>
        <w:rPr>
          <w:rFonts w:ascii="宋体" w:hAnsi="宋体" w:cs="宋体"/>
          <w:b/>
          <w:szCs w:val="21"/>
        </w:rPr>
      </w:pPr>
    </w:p>
    <w:p>
      <w:pPr>
        <w:widowControl/>
        <w:snapToGrid w:val="0"/>
        <w:spacing w:before="50" w:after="50"/>
        <w:jc w:val="left"/>
        <w:rPr>
          <w:rFonts w:ascii="宋体" w:hAnsi="宋体" w:cs="宋体"/>
          <w:b/>
          <w:kern w:val="0"/>
          <w:szCs w:val="21"/>
        </w:rPr>
      </w:pPr>
      <w:r>
        <w:rPr>
          <w:rFonts w:hint="eastAsia" w:ascii="宋体" w:hAnsi="宋体" w:cs="宋体"/>
          <w:b/>
          <w:szCs w:val="21"/>
        </w:rPr>
        <w:t>附：法定代表人身份证复印件（正反面）、授权代表身份证复印件（正反面）。</w:t>
      </w:r>
    </w:p>
    <w:p>
      <w:pPr>
        <w:widowControl/>
        <w:snapToGrid w:val="0"/>
        <w:spacing w:before="50" w:after="50"/>
        <w:jc w:val="left"/>
        <w:rPr>
          <w:rFonts w:ascii="宋体" w:hAnsi="宋体" w:cs="宋体"/>
          <w:b/>
          <w:kern w:val="0"/>
          <w:szCs w:val="21"/>
        </w:rPr>
      </w:pPr>
    </w:p>
    <w:p>
      <w:pPr>
        <w:widowControl/>
        <w:snapToGrid w:val="0"/>
        <w:spacing w:before="50" w:after="50"/>
        <w:jc w:val="left"/>
        <w:rPr>
          <w:rFonts w:ascii="宋体" w:hAnsi="宋体" w:cs="宋体"/>
          <w:b/>
          <w:kern w:val="0"/>
          <w:szCs w:val="21"/>
        </w:rPr>
      </w:pPr>
    </w:p>
    <w:p>
      <w:pPr>
        <w:widowControl/>
        <w:snapToGrid w:val="0"/>
        <w:spacing w:before="50" w:after="50"/>
        <w:jc w:val="left"/>
        <w:rPr>
          <w:rFonts w:ascii="宋体" w:hAnsi="宋体" w:cs="宋体"/>
          <w:b/>
          <w:bCs/>
          <w:kern w:val="0"/>
          <w:szCs w:val="21"/>
        </w:rPr>
      </w:pPr>
    </w:p>
    <w:p>
      <w:pPr>
        <w:widowControl/>
        <w:snapToGrid w:val="0"/>
        <w:spacing w:before="50" w:after="50"/>
        <w:jc w:val="left"/>
        <w:rPr>
          <w:rFonts w:ascii="宋体" w:hAnsi="宋体" w:cs="宋体"/>
          <w:b/>
          <w:bCs/>
          <w:kern w:val="0"/>
          <w:szCs w:val="21"/>
        </w:rPr>
      </w:pPr>
    </w:p>
    <w:p>
      <w:pPr>
        <w:widowControl/>
        <w:snapToGrid w:val="0"/>
        <w:spacing w:before="50" w:after="50"/>
        <w:jc w:val="left"/>
        <w:rPr>
          <w:rFonts w:ascii="宋体" w:hAnsi="宋体" w:cs="宋体"/>
          <w:b/>
          <w:bCs/>
          <w:kern w:val="0"/>
          <w:szCs w:val="21"/>
        </w:rPr>
      </w:pPr>
    </w:p>
    <w:p>
      <w:pPr>
        <w:widowControl/>
        <w:snapToGrid w:val="0"/>
        <w:spacing w:before="50" w:after="50"/>
        <w:jc w:val="left"/>
        <w:rPr>
          <w:rFonts w:ascii="宋体" w:hAnsi="宋体" w:cs="宋体"/>
          <w:b/>
          <w:bCs/>
          <w:kern w:val="0"/>
          <w:szCs w:val="21"/>
        </w:rPr>
      </w:pPr>
    </w:p>
    <w:p>
      <w:pPr>
        <w:widowControl/>
        <w:snapToGrid w:val="0"/>
        <w:spacing w:before="50" w:after="50"/>
        <w:jc w:val="left"/>
        <w:rPr>
          <w:rFonts w:ascii="宋体" w:hAnsi="宋体" w:cs="宋体"/>
          <w:b/>
          <w:bCs/>
          <w:kern w:val="0"/>
          <w:szCs w:val="21"/>
        </w:rPr>
      </w:pPr>
    </w:p>
    <w:p>
      <w:pPr>
        <w:widowControl/>
        <w:snapToGrid w:val="0"/>
        <w:spacing w:before="50" w:after="50"/>
        <w:jc w:val="left"/>
        <w:rPr>
          <w:rFonts w:ascii="宋体" w:hAnsi="宋体" w:cs="宋体"/>
          <w:b/>
          <w:bCs/>
          <w:kern w:val="0"/>
          <w:szCs w:val="21"/>
        </w:rPr>
      </w:pPr>
    </w:p>
    <w:p>
      <w:pPr>
        <w:widowControl/>
        <w:snapToGrid w:val="0"/>
        <w:spacing w:before="50" w:after="50"/>
        <w:jc w:val="left"/>
        <w:rPr>
          <w:rFonts w:ascii="宋体" w:hAnsi="宋体" w:cs="宋体"/>
          <w:b/>
          <w:bCs/>
          <w:kern w:val="0"/>
          <w:szCs w:val="21"/>
        </w:rPr>
      </w:pPr>
    </w:p>
    <w:p>
      <w:pPr>
        <w:widowControl/>
        <w:snapToGrid w:val="0"/>
        <w:spacing w:before="50" w:after="50"/>
        <w:jc w:val="left"/>
        <w:rPr>
          <w:rFonts w:ascii="宋体" w:hAnsi="宋体" w:cs="宋体"/>
          <w:b/>
          <w:bCs/>
          <w:kern w:val="0"/>
          <w:szCs w:val="21"/>
        </w:rPr>
      </w:pPr>
    </w:p>
    <w:p>
      <w:pPr>
        <w:widowControl/>
        <w:snapToGrid w:val="0"/>
        <w:spacing w:before="50" w:after="50"/>
        <w:jc w:val="left"/>
        <w:rPr>
          <w:rFonts w:ascii="宋体" w:hAnsi="宋体" w:cs="宋体"/>
          <w:b/>
          <w:bCs/>
          <w:kern w:val="0"/>
          <w:szCs w:val="21"/>
        </w:rPr>
      </w:pPr>
    </w:p>
    <w:p>
      <w:pPr>
        <w:pStyle w:val="2"/>
      </w:pPr>
    </w:p>
    <w:p>
      <w:pPr>
        <w:widowControl/>
        <w:snapToGrid w:val="0"/>
        <w:spacing w:before="50" w:after="50"/>
        <w:jc w:val="left"/>
        <w:rPr>
          <w:rFonts w:ascii="宋体" w:hAnsi="宋体" w:cs="宋体"/>
          <w:b/>
          <w:bCs/>
          <w:kern w:val="0"/>
          <w:szCs w:val="21"/>
        </w:rPr>
      </w:pPr>
    </w:p>
    <w:p>
      <w:pPr>
        <w:widowControl/>
        <w:snapToGrid w:val="0"/>
        <w:spacing w:before="50" w:after="50"/>
        <w:jc w:val="left"/>
        <w:rPr>
          <w:rFonts w:ascii="宋体" w:hAnsi="宋体" w:cs="宋体"/>
          <w:b/>
          <w:bCs/>
          <w:kern w:val="0"/>
          <w:szCs w:val="21"/>
        </w:rPr>
      </w:pPr>
    </w:p>
    <w:p>
      <w:pPr>
        <w:widowControl/>
        <w:jc w:val="left"/>
        <w:rPr>
          <w:rFonts w:ascii="宋体" w:hAnsi="宋体" w:cs="宋体"/>
          <w:b/>
          <w:kern w:val="0"/>
          <w:szCs w:val="20"/>
        </w:rPr>
      </w:pPr>
      <w:r>
        <w:rPr>
          <w:rFonts w:hint="eastAsia" w:ascii="宋体" w:hAnsi="宋体" w:cs="宋体"/>
          <w:b/>
          <w:kern w:val="0"/>
          <w:szCs w:val="20"/>
        </w:rPr>
        <w:t>9. 商务/技术条款偏离表：</w:t>
      </w:r>
    </w:p>
    <w:p>
      <w:pPr>
        <w:snapToGrid w:val="0"/>
        <w:spacing w:before="50" w:after="120" w:afterLines="50" w:line="360" w:lineRule="auto"/>
        <w:jc w:val="center"/>
        <w:rPr>
          <w:rFonts w:ascii="宋体" w:hAnsi="宋体" w:cs="宋体"/>
          <w:b/>
          <w:bCs/>
          <w:sz w:val="28"/>
          <w:szCs w:val="28"/>
        </w:rPr>
      </w:pPr>
      <w:r>
        <w:rPr>
          <w:rFonts w:hint="eastAsia" w:ascii="宋体" w:hAnsi="宋体" w:cs="宋体"/>
          <w:b/>
          <w:bCs/>
          <w:sz w:val="28"/>
          <w:szCs w:val="28"/>
        </w:rPr>
        <w:t>商务/技术条款偏离表</w:t>
      </w:r>
    </w:p>
    <w:p>
      <w:pPr>
        <w:snapToGrid w:val="0"/>
        <w:spacing w:before="50" w:after="50"/>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w:t>
      </w:r>
    </w:p>
    <w:tbl>
      <w:tblPr>
        <w:tblStyle w:val="49"/>
        <w:tblW w:w="84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3015"/>
        <w:gridCol w:w="3300"/>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49" w:type="dxa"/>
            <w:vAlign w:val="center"/>
          </w:tcPr>
          <w:p>
            <w:pPr>
              <w:spacing w:line="360" w:lineRule="auto"/>
              <w:jc w:val="center"/>
              <w:rPr>
                <w:rFonts w:ascii="宋体" w:hAnsi="宋体" w:cs="宋体"/>
              </w:rPr>
            </w:pPr>
            <w:r>
              <w:rPr>
                <w:rFonts w:hint="eastAsia" w:ascii="宋体" w:hAnsi="宋体" w:cs="宋体"/>
              </w:rPr>
              <w:t>序号</w:t>
            </w:r>
          </w:p>
        </w:tc>
        <w:tc>
          <w:tcPr>
            <w:tcW w:w="3015" w:type="dxa"/>
            <w:vAlign w:val="center"/>
          </w:tcPr>
          <w:p>
            <w:pPr>
              <w:spacing w:line="360" w:lineRule="auto"/>
              <w:jc w:val="center"/>
              <w:rPr>
                <w:rFonts w:ascii="宋体" w:hAnsi="宋体" w:cs="宋体"/>
              </w:rPr>
            </w:pPr>
            <w:r>
              <w:rPr>
                <w:rFonts w:hint="eastAsia" w:ascii="宋体" w:hAnsi="宋体" w:cs="宋体"/>
              </w:rPr>
              <w:t>采购文件的商务/技术条款</w:t>
            </w:r>
          </w:p>
        </w:tc>
        <w:tc>
          <w:tcPr>
            <w:tcW w:w="3300" w:type="dxa"/>
            <w:vAlign w:val="center"/>
          </w:tcPr>
          <w:p>
            <w:pPr>
              <w:jc w:val="center"/>
              <w:rPr>
                <w:rFonts w:ascii="宋体" w:hAnsi="宋体" w:cs="宋体"/>
              </w:rPr>
            </w:pPr>
            <w:r>
              <w:rPr>
                <w:rFonts w:hint="eastAsia" w:ascii="宋体" w:hAnsi="宋体" w:cs="宋体"/>
              </w:rPr>
              <w:t>投标文件的响应情况</w:t>
            </w:r>
          </w:p>
        </w:tc>
        <w:tc>
          <w:tcPr>
            <w:tcW w:w="1369" w:type="dxa"/>
            <w:vAlign w:val="center"/>
          </w:tcPr>
          <w:p>
            <w:pPr>
              <w:jc w:val="center"/>
              <w:rPr>
                <w:rFonts w:ascii="宋体" w:hAnsi="宋体" w:cs="宋体"/>
              </w:rPr>
            </w:pPr>
            <w:r>
              <w:rPr>
                <w:rFonts w:hint="eastAsia" w:ascii="宋体" w:hAnsi="宋体" w:cs="宋体"/>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49" w:type="dxa"/>
            <w:vAlign w:val="center"/>
          </w:tcPr>
          <w:p>
            <w:pPr>
              <w:spacing w:line="360" w:lineRule="auto"/>
              <w:jc w:val="center"/>
              <w:rPr>
                <w:rFonts w:ascii="宋体" w:hAnsi="宋体" w:cs="宋体"/>
              </w:rPr>
            </w:pPr>
          </w:p>
        </w:tc>
        <w:tc>
          <w:tcPr>
            <w:tcW w:w="3015" w:type="dxa"/>
            <w:vAlign w:val="center"/>
          </w:tcPr>
          <w:p>
            <w:pPr>
              <w:spacing w:line="360" w:lineRule="auto"/>
              <w:rPr>
                <w:rFonts w:ascii="宋体" w:hAnsi="宋体" w:cs="宋体"/>
                <w:b/>
                <w:bCs/>
              </w:rPr>
            </w:pPr>
          </w:p>
        </w:tc>
        <w:tc>
          <w:tcPr>
            <w:tcW w:w="3300" w:type="dxa"/>
            <w:vAlign w:val="center"/>
          </w:tcPr>
          <w:p>
            <w:pPr>
              <w:spacing w:line="360" w:lineRule="auto"/>
              <w:jc w:val="center"/>
              <w:rPr>
                <w:rFonts w:ascii="宋体" w:hAnsi="宋体" w:cs="宋体"/>
                <w:sz w:val="24"/>
              </w:rPr>
            </w:pPr>
          </w:p>
        </w:tc>
        <w:tc>
          <w:tcPr>
            <w:tcW w:w="136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49" w:type="dxa"/>
            <w:vAlign w:val="center"/>
          </w:tcPr>
          <w:p>
            <w:pPr>
              <w:spacing w:line="360" w:lineRule="auto"/>
              <w:jc w:val="center"/>
              <w:rPr>
                <w:rFonts w:ascii="宋体" w:hAnsi="宋体" w:cs="宋体"/>
              </w:rPr>
            </w:pPr>
          </w:p>
        </w:tc>
        <w:tc>
          <w:tcPr>
            <w:tcW w:w="3015" w:type="dxa"/>
            <w:vAlign w:val="center"/>
          </w:tcPr>
          <w:p>
            <w:pPr>
              <w:spacing w:line="360" w:lineRule="auto"/>
              <w:rPr>
                <w:rFonts w:ascii="宋体" w:hAnsi="宋体" w:cs="宋体"/>
                <w:b/>
                <w:bCs/>
              </w:rPr>
            </w:pPr>
          </w:p>
        </w:tc>
        <w:tc>
          <w:tcPr>
            <w:tcW w:w="3300" w:type="dxa"/>
            <w:vAlign w:val="center"/>
          </w:tcPr>
          <w:p>
            <w:pPr>
              <w:spacing w:line="360" w:lineRule="auto"/>
              <w:jc w:val="center"/>
              <w:rPr>
                <w:rFonts w:ascii="宋体" w:hAnsi="宋体" w:cs="宋体"/>
                <w:sz w:val="24"/>
              </w:rPr>
            </w:pPr>
          </w:p>
        </w:tc>
        <w:tc>
          <w:tcPr>
            <w:tcW w:w="136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49" w:type="dxa"/>
            <w:vAlign w:val="center"/>
          </w:tcPr>
          <w:p>
            <w:pPr>
              <w:spacing w:line="360" w:lineRule="auto"/>
              <w:jc w:val="center"/>
              <w:rPr>
                <w:rFonts w:ascii="宋体" w:hAnsi="宋体" w:cs="宋体"/>
              </w:rPr>
            </w:pPr>
          </w:p>
        </w:tc>
        <w:tc>
          <w:tcPr>
            <w:tcW w:w="3015" w:type="dxa"/>
            <w:vAlign w:val="center"/>
          </w:tcPr>
          <w:p>
            <w:pPr>
              <w:spacing w:line="360" w:lineRule="auto"/>
              <w:rPr>
                <w:rFonts w:ascii="宋体" w:hAnsi="宋体" w:cs="宋体"/>
                <w:b/>
                <w:bCs/>
              </w:rPr>
            </w:pPr>
          </w:p>
        </w:tc>
        <w:tc>
          <w:tcPr>
            <w:tcW w:w="3300" w:type="dxa"/>
            <w:vAlign w:val="center"/>
          </w:tcPr>
          <w:p>
            <w:pPr>
              <w:spacing w:line="360" w:lineRule="auto"/>
              <w:jc w:val="center"/>
              <w:rPr>
                <w:rFonts w:ascii="宋体" w:hAnsi="宋体" w:cs="宋体"/>
                <w:sz w:val="24"/>
              </w:rPr>
            </w:pPr>
          </w:p>
        </w:tc>
        <w:tc>
          <w:tcPr>
            <w:tcW w:w="136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49" w:type="dxa"/>
            <w:vAlign w:val="center"/>
          </w:tcPr>
          <w:p>
            <w:pPr>
              <w:spacing w:line="360" w:lineRule="auto"/>
              <w:jc w:val="center"/>
              <w:rPr>
                <w:rFonts w:ascii="宋体" w:hAnsi="宋体" w:cs="宋体"/>
              </w:rPr>
            </w:pPr>
          </w:p>
        </w:tc>
        <w:tc>
          <w:tcPr>
            <w:tcW w:w="3015" w:type="dxa"/>
            <w:vAlign w:val="center"/>
          </w:tcPr>
          <w:p>
            <w:pPr>
              <w:spacing w:line="360" w:lineRule="auto"/>
              <w:rPr>
                <w:rFonts w:ascii="宋体" w:hAnsi="宋体" w:cs="宋体"/>
                <w:b/>
                <w:bCs/>
              </w:rPr>
            </w:pPr>
          </w:p>
        </w:tc>
        <w:tc>
          <w:tcPr>
            <w:tcW w:w="3300" w:type="dxa"/>
            <w:vAlign w:val="center"/>
          </w:tcPr>
          <w:p>
            <w:pPr>
              <w:spacing w:line="360" w:lineRule="auto"/>
              <w:jc w:val="center"/>
              <w:rPr>
                <w:rFonts w:ascii="宋体" w:hAnsi="宋体" w:cs="宋体"/>
                <w:sz w:val="24"/>
              </w:rPr>
            </w:pPr>
          </w:p>
        </w:tc>
        <w:tc>
          <w:tcPr>
            <w:tcW w:w="136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49" w:type="dxa"/>
            <w:vAlign w:val="center"/>
          </w:tcPr>
          <w:p>
            <w:pPr>
              <w:spacing w:line="360" w:lineRule="auto"/>
              <w:jc w:val="center"/>
              <w:rPr>
                <w:rFonts w:ascii="宋体" w:hAnsi="宋体" w:cs="宋体"/>
              </w:rPr>
            </w:pPr>
          </w:p>
        </w:tc>
        <w:tc>
          <w:tcPr>
            <w:tcW w:w="3015" w:type="dxa"/>
            <w:vAlign w:val="center"/>
          </w:tcPr>
          <w:p>
            <w:pPr>
              <w:spacing w:line="360" w:lineRule="auto"/>
              <w:rPr>
                <w:rFonts w:ascii="宋体" w:hAnsi="宋体" w:cs="宋体"/>
              </w:rPr>
            </w:pPr>
          </w:p>
        </w:tc>
        <w:tc>
          <w:tcPr>
            <w:tcW w:w="3300" w:type="dxa"/>
            <w:vAlign w:val="center"/>
          </w:tcPr>
          <w:p>
            <w:pPr>
              <w:spacing w:line="360" w:lineRule="auto"/>
              <w:jc w:val="center"/>
              <w:rPr>
                <w:rFonts w:ascii="宋体" w:hAnsi="宋体" w:cs="宋体"/>
                <w:sz w:val="24"/>
              </w:rPr>
            </w:pPr>
          </w:p>
        </w:tc>
        <w:tc>
          <w:tcPr>
            <w:tcW w:w="136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49" w:type="dxa"/>
            <w:vAlign w:val="center"/>
          </w:tcPr>
          <w:p>
            <w:pPr>
              <w:spacing w:line="360" w:lineRule="auto"/>
              <w:jc w:val="center"/>
              <w:rPr>
                <w:rFonts w:ascii="宋体" w:hAnsi="宋体" w:cs="宋体"/>
              </w:rPr>
            </w:pPr>
          </w:p>
        </w:tc>
        <w:tc>
          <w:tcPr>
            <w:tcW w:w="3015" w:type="dxa"/>
            <w:vAlign w:val="center"/>
          </w:tcPr>
          <w:p>
            <w:pPr>
              <w:spacing w:line="360" w:lineRule="auto"/>
              <w:rPr>
                <w:rFonts w:ascii="宋体" w:hAnsi="宋体" w:cs="宋体"/>
              </w:rPr>
            </w:pPr>
          </w:p>
        </w:tc>
        <w:tc>
          <w:tcPr>
            <w:tcW w:w="3300" w:type="dxa"/>
            <w:vAlign w:val="center"/>
          </w:tcPr>
          <w:p>
            <w:pPr>
              <w:spacing w:line="360" w:lineRule="auto"/>
              <w:jc w:val="center"/>
              <w:rPr>
                <w:rFonts w:ascii="宋体" w:hAnsi="宋体" w:cs="宋体"/>
                <w:sz w:val="24"/>
              </w:rPr>
            </w:pPr>
          </w:p>
        </w:tc>
        <w:tc>
          <w:tcPr>
            <w:tcW w:w="136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49" w:type="dxa"/>
            <w:vAlign w:val="center"/>
          </w:tcPr>
          <w:p>
            <w:pPr>
              <w:spacing w:line="360" w:lineRule="auto"/>
              <w:jc w:val="center"/>
              <w:rPr>
                <w:rFonts w:ascii="宋体" w:hAnsi="宋体" w:cs="宋体"/>
              </w:rPr>
            </w:pPr>
          </w:p>
        </w:tc>
        <w:tc>
          <w:tcPr>
            <w:tcW w:w="3015" w:type="dxa"/>
            <w:vAlign w:val="center"/>
          </w:tcPr>
          <w:p>
            <w:pPr>
              <w:spacing w:line="360" w:lineRule="auto"/>
              <w:rPr>
                <w:rFonts w:ascii="宋体" w:hAnsi="宋体" w:cs="宋体"/>
              </w:rPr>
            </w:pPr>
          </w:p>
        </w:tc>
        <w:tc>
          <w:tcPr>
            <w:tcW w:w="3300" w:type="dxa"/>
            <w:vAlign w:val="center"/>
          </w:tcPr>
          <w:p>
            <w:pPr>
              <w:spacing w:line="360" w:lineRule="auto"/>
              <w:jc w:val="center"/>
              <w:rPr>
                <w:rFonts w:ascii="宋体" w:hAnsi="宋体" w:cs="宋体"/>
                <w:sz w:val="24"/>
              </w:rPr>
            </w:pPr>
          </w:p>
        </w:tc>
        <w:tc>
          <w:tcPr>
            <w:tcW w:w="136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49" w:type="dxa"/>
            <w:vAlign w:val="center"/>
          </w:tcPr>
          <w:p>
            <w:pPr>
              <w:spacing w:line="360" w:lineRule="auto"/>
              <w:jc w:val="center"/>
              <w:rPr>
                <w:rFonts w:ascii="宋体" w:hAnsi="宋体" w:cs="宋体"/>
              </w:rPr>
            </w:pPr>
          </w:p>
        </w:tc>
        <w:tc>
          <w:tcPr>
            <w:tcW w:w="3015" w:type="dxa"/>
            <w:vAlign w:val="center"/>
          </w:tcPr>
          <w:p>
            <w:pPr>
              <w:spacing w:line="360" w:lineRule="auto"/>
              <w:rPr>
                <w:rFonts w:ascii="宋体" w:hAnsi="宋体" w:cs="宋体"/>
              </w:rPr>
            </w:pPr>
          </w:p>
        </w:tc>
        <w:tc>
          <w:tcPr>
            <w:tcW w:w="3300" w:type="dxa"/>
            <w:vAlign w:val="center"/>
          </w:tcPr>
          <w:p>
            <w:pPr>
              <w:spacing w:line="360" w:lineRule="auto"/>
              <w:jc w:val="center"/>
              <w:rPr>
                <w:rFonts w:ascii="宋体" w:hAnsi="宋体" w:cs="宋体"/>
                <w:sz w:val="24"/>
              </w:rPr>
            </w:pPr>
          </w:p>
        </w:tc>
        <w:tc>
          <w:tcPr>
            <w:tcW w:w="136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49" w:type="dxa"/>
            <w:vAlign w:val="center"/>
          </w:tcPr>
          <w:p>
            <w:pPr>
              <w:spacing w:line="360" w:lineRule="auto"/>
              <w:jc w:val="center"/>
              <w:rPr>
                <w:rFonts w:ascii="宋体" w:hAnsi="宋体" w:cs="宋体"/>
              </w:rPr>
            </w:pPr>
          </w:p>
        </w:tc>
        <w:tc>
          <w:tcPr>
            <w:tcW w:w="3015" w:type="dxa"/>
            <w:vAlign w:val="center"/>
          </w:tcPr>
          <w:p>
            <w:pPr>
              <w:spacing w:line="360" w:lineRule="auto"/>
              <w:rPr>
                <w:rFonts w:ascii="宋体" w:hAnsi="宋体" w:cs="宋体"/>
              </w:rPr>
            </w:pPr>
          </w:p>
        </w:tc>
        <w:tc>
          <w:tcPr>
            <w:tcW w:w="3300" w:type="dxa"/>
            <w:vAlign w:val="center"/>
          </w:tcPr>
          <w:p>
            <w:pPr>
              <w:spacing w:line="360" w:lineRule="auto"/>
              <w:jc w:val="center"/>
              <w:rPr>
                <w:rFonts w:ascii="宋体" w:hAnsi="宋体" w:cs="宋体"/>
                <w:sz w:val="24"/>
              </w:rPr>
            </w:pPr>
          </w:p>
        </w:tc>
        <w:tc>
          <w:tcPr>
            <w:tcW w:w="136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49" w:type="dxa"/>
            <w:vAlign w:val="center"/>
          </w:tcPr>
          <w:p>
            <w:pPr>
              <w:spacing w:line="360" w:lineRule="auto"/>
              <w:jc w:val="center"/>
              <w:rPr>
                <w:rFonts w:ascii="宋体" w:hAnsi="宋体" w:cs="宋体"/>
              </w:rPr>
            </w:pPr>
          </w:p>
        </w:tc>
        <w:tc>
          <w:tcPr>
            <w:tcW w:w="3015" w:type="dxa"/>
            <w:vAlign w:val="center"/>
          </w:tcPr>
          <w:p>
            <w:pPr>
              <w:spacing w:line="360" w:lineRule="auto"/>
              <w:rPr>
                <w:rFonts w:ascii="宋体" w:hAnsi="宋体" w:cs="宋体"/>
              </w:rPr>
            </w:pPr>
          </w:p>
        </w:tc>
        <w:tc>
          <w:tcPr>
            <w:tcW w:w="3300" w:type="dxa"/>
            <w:vAlign w:val="center"/>
          </w:tcPr>
          <w:p>
            <w:pPr>
              <w:spacing w:line="360" w:lineRule="auto"/>
              <w:jc w:val="center"/>
              <w:rPr>
                <w:rFonts w:ascii="宋体" w:hAnsi="宋体" w:cs="宋体"/>
                <w:sz w:val="24"/>
              </w:rPr>
            </w:pPr>
          </w:p>
        </w:tc>
        <w:tc>
          <w:tcPr>
            <w:tcW w:w="136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49" w:type="dxa"/>
            <w:vAlign w:val="center"/>
          </w:tcPr>
          <w:p>
            <w:pPr>
              <w:spacing w:line="360" w:lineRule="auto"/>
              <w:jc w:val="center"/>
              <w:rPr>
                <w:rFonts w:ascii="宋体" w:hAnsi="宋体" w:cs="宋体"/>
              </w:rPr>
            </w:pPr>
          </w:p>
        </w:tc>
        <w:tc>
          <w:tcPr>
            <w:tcW w:w="3015" w:type="dxa"/>
            <w:vAlign w:val="center"/>
          </w:tcPr>
          <w:p>
            <w:pPr>
              <w:spacing w:line="360" w:lineRule="auto"/>
              <w:rPr>
                <w:rFonts w:ascii="宋体" w:hAnsi="宋体" w:cs="宋体"/>
              </w:rPr>
            </w:pPr>
          </w:p>
        </w:tc>
        <w:tc>
          <w:tcPr>
            <w:tcW w:w="3300" w:type="dxa"/>
            <w:vAlign w:val="center"/>
          </w:tcPr>
          <w:p>
            <w:pPr>
              <w:spacing w:line="360" w:lineRule="auto"/>
              <w:jc w:val="center"/>
              <w:rPr>
                <w:rFonts w:ascii="宋体" w:hAnsi="宋体" w:cs="宋体"/>
                <w:sz w:val="24"/>
              </w:rPr>
            </w:pPr>
          </w:p>
        </w:tc>
        <w:tc>
          <w:tcPr>
            <w:tcW w:w="136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49" w:type="dxa"/>
            <w:vAlign w:val="center"/>
          </w:tcPr>
          <w:p>
            <w:pPr>
              <w:spacing w:line="360" w:lineRule="auto"/>
              <w:jc w:val="center"/>
              <w:rPr>
                <w:rFonts w:ascii="宋体" w:hAnsi="宋体" w:cs="宋体"/>
              </w:rPr>
            </w:pPr>
          </w:p>
        </w:tc>
        <w:tc>
          <w:tcPr>
            <w:tcW w:w="3015" w:type="dxa"/>
            <w:vAlign w:val="center"/>
          </w:tcPr>
          <w:p>
            <w:pPr>
              <w:spacing w:line="360" w:lineRule="auto"/>
              <w:rPr>
                <w:rFonts w:ascii="宋体" w:hAnsi="宋体" w:cs="宋体"/>
              </w:rPr>
            </w:pPr>
          </w:p>
        </w:tc>
        <w:tc>
          <w:tcPr>
            <w:tcW w:w="3300" w:type="dxa"/>
            <w:vAlign w:val="center"/>
          </w:tcPr>
          <w:p>
            <w:pPr>
              <w:spacing w:line="360" w:lineRule="auto"/>
              <w:jc w:val="center"/>
              <w:rPr>
                <w:rFonts w:ascii="宋体" w:hAnsi="宋体" w:cs="宋体"/>
                <w:sz w:val="24"/>
              </w:rPr>
            </w:pPr>
          </w:p>
        </w:tc>
        <w:tc>
          <w:tcPr>
            <w:tcW w:w="136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49" w:type="dxa"/>
            <w:vAlign w:val="center"/>
          </w:tcPr>
          <w:p>
            <w:pPr>
              <w:spacing w:line="360" w:lineRule="auto"/>
              <w:jc w:val="center"/>
              <w:rPr>
                <w:rFonts w:ascii="宋体" w:hAnsi="宋体" w:cs="宋体"/>
              </w:rPr>
            </w:pPr>
          </w:p>
        </w:tc>
        <w:tc>
          <w:tcPr>
            <w:tcW w:w="3015" w:type="dxa"/>
            <w:vAlign w:val="center"/>
          </w:tcPr>
          <w:p>
            <w:pPr>
              <w:spacing w:line="360" w:lineRule="auto"/>
              <w:rPr>
                <w:rFonts w:ascii="宋体" w:hAnsi="宋体" w:cs="宋体"/>
              </w:rPr>
            </w:pPr>
          </w:p>
        </w:tc>
        <w:tc>
          <w:tcPr>
            <w:tcW w:w="3300" w:type="dxa"/>
            <w:vAlign w:val="center"/>
          </w:tcPr>
          <w:p>
            <w:pPr>
              <w:spacing w:line="360" w:lineRule="auto"/>
              <w:jc w:val="center"/>
              <w:rPr>
                <w:rFonts w:ascii="宋体" w:hAnsi="宋体" w:cs="宋体"/>
                <w:sz w:val="24"/>
              </w:rPr>
            </w:pPr>
          </w:p>
        </w:tc>
        <w:tc>
          <w:tcPr>
            <w:tcW w:w="136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49" w:type="dxa"/>
            <w:vAlign w:val="center"/>
          </w:tcPr>
          <w:p>
            <w:pPr>
              <w:spacing w:line="360" w:lineRule="auto"/>
              <w:jc w:val="center"/>
              <w:rPr>
                <w:rFonts w:ascii="宋体" w:hAnsi="宋体" w:cs="宋体"/>
              </w:rPr>
            </w:pPr>
          </w:p>
        </w:tc>
        <w:tc>
          <w:tcPr>
            <w:tcW w:w="3015" w:type="dxa"/>
            <w:vAlign w:val="center"/>
          </w:tcPr>
          <w:p>
            <w:pPr>
              <w:spacing w:line="360" w:lineRule="auto"/>
              <w:rPr>
                <w:rFonts w:ascii="宋体" w:hAnsi="宋体" w:cs="宋体"/>
              </w:rPr>
            </w:pPr>
          </w:p>
        </w:tc>
        <w:tc>
          <w:tcPr>
            <w:tcW w:w="3300" w:type="dxa"/>
            <w:vAlign w:val="center"/>
          </w:tcPr>
          <w:p>
            <w:pPr>
              <w:spacing w:line="360" w:lineRule="auto"/>
              <w:jc w:val="center"/>
              <w:rPr>
                <w:rFonts w:ascii="宋体" w:hAnsi="宋体" w:cs="宋体"/>
                <w:sz w:val="24"/>
              </w:rPr>
            </w:pPr>
          </w:p>
        </w:tc>
        <w:tc>
          <w:tcPr>
            <w:tcW w:w="1369" w:type="dxa"/>
            <w:vAlign w:val="center"/>
          </w:tcPr>
          <w:p>
            <w:pPr>
              <w:spacing w:line="360" w:lineRule="auto"/>
              <w:jc w:val="center"/>
              <w:rPr>
                <w:rFonts w:ascii="宋体" w:hAnsi="宋体" w:cs="宋体"/>
                <w:sz w:val="24"/>
              </w:rPr>
            </w:pPr>
          </w:p>
        </w:tc>
      </w:tr>
    </w:tbl>
    <w:p>
      <w:pPr>
        <w:autoSpaceDE w:val="0"/>
        <w:autoSpaceDN w:val="0"/>
        <w:adjustRightInd w:val="0"/>
        <w:spacing w:before="120" w:beforeLines="50" w:line="360" w:lineRule="auto"/>
        <w:rPr>
          <w:rFonts w:ascii="宋体" w:hAnsi="宋体"/>
          <w:szCs w:val="21"/>
          <w:lang w:val="zh-CN"/>
        </w:rPr>
      </w:pPr>
      <w:r>
        <w:rPr>
          <w:rFonts w:hint="eastAsia" w:ascii="宋体" w:hAnsi="宋体"/>
          <w:szCs w:val="21"/>
        </w:rPr>
        <w:t>注：</w:t>
      </w:r>
      <w:r>
        <w:rPr>
          <w:rFonts w:hint="eastAsia" w:ascii="宋体" w:hAnsi="宋体"/>
          <w:szCs w:val="21"/>
          <w:lang w:val="zh-CN"/>
        </w:rPr>
        <w:t>若无偏离应在本表空白处醒目地注明“完全响应采购文件的</w:t>
      </w:r>
      <w:r>
        <w:rPr>
          <w:rFonts w:hint="eastAsia" w:ascii="宋体" w:hAnsi="宋体"/>
          <w:szCs w:val="21"/>
        </w:rPr>
        <w:t>商务/技术条款</w:t>
      </w:r>
      <w:r>
        <w:rPr>
          <w:rFonts w:hint="eastAsia" w:ascii="宋体" w:hAnsi="宋体"/>
          <w:szCs w:val="21"/>
          <w:lang w:val="zh-CN"/>
        </w:rPr>
        <w:t>要求，无任何偏离”的字样。</w:t>
      </w:r>
    </w:p>
    <w:p>
      <w:pPr>
        <w:snapToGrid w:val="0"/>
        <w:spacing w:before="50"/>
        <w:jc w:val="left"/>
        <w:rPr>
          <w:rFonts w:ascii="宋体" w:hAnsi="宋体" w:cs="宋体"/>
          <w:szCs w:val="21"/>
        </w:rPr>
      </w:pPr>
    </w:p>
    <w:p>
      <w:pPr>
        <w:snapToGrid w:val="0"/>
        <w:spacing w:before="50"/>
        <w:jc w:val="left"/>
        <w:rPr>
          <w:rFonts w:ascii="宋体" w:hAnsi="宋体" w:cs="宋体"/>
          <w:szCs w:val="21"/>
        </w:rPr>
      </w:pPr>
    </w:p>
    <w:p>
      <w:pPr>
        <w:pStyle w:val="15"/>
      </w:pPr>
    </w:p>
    <w:p>
      <w:pPr>
        <w:widowControl/>
        <w:snapToGrid w:val="0"/>
        <w:spacing w:before="50"/>
        <w:jc w:val="left"/>
        <w:rPr>
          <w:rFonts w:ascii="宋体" w:hAnsi="宋体" w:cs="宋体"/>
          <w:kern w:val="0"/>
          <w:szCs w:val="21"/>
        </w:rPr>
      </w:pPr>
      <w:r>
        <w:rPr>
          <w:rFonts w:hint="eastAsia" w:ascii="宋体" w:hAnsi="宋体" w:cs="宋体"/>
          <w:kern w:val="0"/>
          <w:szCs w:val="21"/>
        </w:rPr>
        <w:t>供应商名称（公章）：</w:t>
      </w:r>
    </w:p>
    <w:p>
      <w:pPr>
        <w:widowControl/>
        <w:snapToGrid w:val="0"/>
        <w:spacing w:before="50"/>
        <w:jc w:val="left"/>
        <w:rPr>
          <w:rFonts w:ascii="宋体" w:hAnsi="宋体" w:cs="宋体"/>
          <w:kern w:val="0"/>
          <w:szCs w:val="21"/>
        </w:rPr>
      </w:pPr>
      <w:r>
        <w:rPr>
          <w:rFonts w:hint="eastAsia" w:ascii="宋体" w:hAnsi="宋体" w:cs="宋体"/>
          <w:kern w:val="0"/>
          <w:szCs w:val="21"/>
        </w:rPr>
        <w:t>法定代表人或授权代表（签</w:t>
      </w:r>
      <w:r>
        <w:rPr>
          <w:rFonts w:hint="eastAsia" w:ascii="宋体" w:hAnsi="宋体" w:cs="宋体"/>
          <w:kern w:val="0"/>
          <w:szCs w:val="21"/>
          <w:lang w:val="en-US" w:eastAsia="zh-CN"/>
        </w:rPr>
        <w:t>字</w:t>
      </w:r>
      <w:r>
        <w:rPr>
          <w:rFonts w:hint="eastAsia" w:ascii="宋体" w:hAnsi="宋体" w:cs="宋体"/>
          <w:kern w:val="0"/>
          <w:szCs w:val="21"/>
        </w:rPr>
        <w:t>或</w:t>
      </w:r>
      <w:r>
        <w:rPr>
          <w:rFonts w:hint="eastAsia" w:ascii="宋体" w:hAnsi="宋体" w:cs="宋体"/>
          <w:kern w:val="0"/>
          <w:szCs w:val="21"/>
          <w:lang w:val="en-US" w:eastAsia="zh-CN"/>
        </w:rPr>
        <w:t>盖</w:t>
      </w:r>
      <w:r>
        <w:rPr>
          <w:rFonts w:hint="eastAsia" w:ascii="宋体" w:hAnsi="宋体" w:cs="宋体"/>
          <w:kern w:val="0"/>
          <w:szCs w:val="21"/>
        </w:rPr>
        <w:t>章）：</w:t>
      </w:r>
    </w:p>
    <w:p>
      <w:pPr>
        <w:widowControl/>
        <w:snapToGrid w:val="0"/>
        <w:spacing w:before="50"/>
        <w:jc w:val="left"/>
        <w:rPr>
          <w:rFonts w:ascii="宋体" w:hAnsi="宋体" w:cs="宋体"/>
          <w:kern w:val="0"/>
          <w:szCs w:val="21"/>
        </w:rPr>
      </w:pPr>
    </w:p>
    <w:p>
      <w:pPr>
        <w:widowControl/>
        <w:snapToGrid w:val="0"/>
        <w:spacing w:before="50"/>
        <w:jc w:val="left"/>
        <w:rPr>
          <w:rFonts w:ascii="宋体" w:hAnsi="宋体" w:cs="宋体"/>
          <w:kern w:val="0"/>
          <w:szCs w:val="21"/>
        </w:rPr>
      </w:pPr>
      <w:r>
        <w:rPr>
          <w:rFonts w:hint="eastAsia" w:ascii="宋体" w:hAnsi="宋体" w:cs="宋体"/>
          <w:kern w:val="0"/>
          <w:szCs w:val="21"/>
        </w:rPr>
        <w:t xml:space="preserve">                                                              年    月    日</w:t>
      </w:r>
    </w:p>
    <w:p>
      <w:pPr>
        <w:rPr>
          <w:rFonts w:ascii="宋体" w:hAnsi="宋体" w:cs="宋体"/>
          <w:szCs w:val="21"/>
        </w:rPr>
      </w:pPr>
    </w:p>
    <w:p>
      <w:pPr>
        <w:widowControl/>
        <w:snapToGrid w:val="0"/>
        <w:spacing w:before="120" w:beforeLines="50" w:after="50"/>
        <w:jc w:val="left"/>
        <w:rPr>
          <w:rFonts w:ascii="宋体" w:hAnsi="宋体" w:cs="宋体"/>
          <w:kern w:val="0"/>
          <w:szCs w:val="21"/>
        </w:rPr>
      </w:pPr>
      <w:r>
        <w:rPr>
          <w:rFonts w:hint="eastAsia" w:ascii="宋体" w:hAnsi="宋体" w:cs="宋体"/>
          <w:b/>
          <w:bCs/>
          <w:kern w:val="0"/>
          <w:szCs w:val="21"/>
        </w:rPr>
        <w:t>10.供应商情况一览表</w:t>
      </w:r>
    </w:p>
    <w:p>
      <w:pPr>
        <w:widowControl/>
        <w:snapToGrid w:val="0"/>
        <w:spacing w:before="120" w:beforeLines="50" w:after="50"/>
        <w:jc w:val="left"/>
        <w:rPr>
          <w:rFonts w:ascii="宋体" w:hAnsi="宋体" w:cs="宋体"/>
          <w:kern w:val="0"/>
          <w:szCs w:val="21"/>
        </w:rPr>
      </w:pPr>
    </w:p>
    <w:p>
      <w:pPr>
        <w:widowControl/>
        <w:snapToGrid w:val="0"/>
        <w:spacing w:before="50" w:after="120" w:afterLines="50" w:line="360" w:lineRule="auto"/>
        <w:jc w:val="center"/>
        <w:rPr>
          <w:rFonts w:ascii="宋体" w:hAnsi="宋体" w:cs="宋体"/>
          <w:b/>
          <w:bCs/>
          <w:kern w:val="0"/>
          <w:szCs w:val="20"/>
        </w:rPr>
      </w:pPr>
      <w:r>
        <w:rPr>
          <w:rFonts w:hint="eastAsia" w:ascii="宋体" w:hAnsi="宋体" w:cs="宋体"/>
          <w:b/>
          <w:bCs/>
          <w:kern w:val="0"/>
          <w:szCs w:val="20"/>
        </w:rPr>
        <w:t>供应商情况一览表</w:t>
      </w:r>
    </w:p>
    <w:tbl>
      <w:tblPr>
        <w:tblStyle w:val="49"/>
        <w:tblW w:w="8318"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86"/>
        <w:gridCol w:w="986"/>
        <w:gridCol w:w="584"/>
        <w:gridCol w:w="402"/>
        <w:gridCol w:w="986"/>
        <w:gridCol w:w="284"/>
        <w:gridCol w:w="702"/>
        <w:gridCol w:w="875"/>
        <w:gridCol w:w="111"/>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8318" w:type="dxa"/>
            <w:gridSpan w:val="11"/>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r>
              <w:rPr>
                <w:rFonts w:hint="eastAsia" w:ascii="宋体" w:hAnsi="宋体" w:cs="宋体"/>
                <w:kern w:val="0"/>
                <w:szCs w:val="21"/>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r>
              <w:rPr>
                <w:rFonts w:hint="eastAsia" w:ascii="宋体" w:hAnsi="宋体" w:cs="宋体"/>
                <w:kern w:val="0"/>
                <w:szCs w:val="21"/>
              </w:rPr>
              <w:t>单位名称</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r>
              <w:rPr>
                <w:rFonts w:hint="eastAsia" w:ascii="宋体" w:hAnsi="宋体" w:cs="宋体"/>
                <w:kern w:val="0"/>
                <w:szCs w:val="21"/>
              </w:rPr>
              <w:t>地  址</w:t>
            </w:r>
          </w:p>
        </w:tc>
        <w:tc>
          <w:tcPr>
            <w:tcW w:w="4228" w:type="dxa"/>
            <w:gridSpan w:val="6"/>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p>
        </w:tc>
        <w:tc>
          <w:tcPr>
            <w:tcW w:w="1577"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r>
              <w:rPr>
                <w:rFonts w:hint="eastAsia" w:ascii="宋体" w:hAnsi="宋体" w:cs="宋体"/>
                <w:kern w:val="0"/>
                <w:szCs w:val="21"/>
              </w:rPr>
              <w:t>法定代表人</w:t>
            </w:r>
          </w:p>
        </w:tc>
        <w:tc>
          <w:tcPr>
            <w:tcW w:w="1099"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r>
              <w:rPr>
                <w:rFonts w:hint="eastAsia" w:ascii="宋体" w:hAnsi="宋体" w:cs="宋体"/>
                <w:kern w:val="0"/>
                <w:szCs w:val="21"/>
              </w:rPr>
              <w:t>成立时间</w:t>
            </w:r>
          </w:p>
        </w:tc>
        <w:tc>
          <w:tcPr>
            <w:tcW w:w="4228" w:type="dxa"/>
            <w:gridSpan w:val="6"/>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p>
        </w:tc>
        <w:tc>
          <w:tcPr>
            <w:tcW w:w="1577"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r>
              <w:rPr>
                <w:rFonts w:hint="eastAsia" w:ascii="宋体" w:hAnsi="宋体" w:cs="宋体"/>
                <w:kern w:val="0"/>
                <w:szCs w:val="21"/>
              </w:rPr>
              <w:t>注册资本</w:t>
            </w:r>
          </w:p>
        </w:tc>
        <w:tc>
          <w:tcPr>
            <w:tcW w:w="1099"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r>
              <w:rPr>
                <w:rFonts w:hint="eastAsia" w:ascii="宋体" w:hAnsi="宋体" w:cs="宋体"/>
                <w:kern w:val="0"/>
                <w:szCs w:val="21"/>
              </w:rPr>
              <w:t>开户银行</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p>
        </w:tc>
        <w:tc>
          <w:tcPr>
            <w:tcW w:w="1672" w:type="dxa"/>
            <w:gridSpan w:val="3"/>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r>
              <w:rPr>
                <w:rFonts w:hint="eastAsia" w:ascii="宋体" w:hAnsi="宋体" w:cs="宋体"/>
                <w:kern w:val="0"/>
                <w:szCs w:val="21"/>
              </w:rPr>
              <w:t>账  号</w:t>
            </w:r>
          </w:p>
        </w:tc>
        <w:tc>
          <w:tcPr>
            <w:tcW w:w="2676" w:type="dxa"/>
            <w:gridSpan w:val="4"/>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r>
              <w:rPr>
                <w:rFonts w:hint="eastAsia" w:ascii="宋体" w:hAnsi="宋体" w:cs="宋体"/>
                <w:kern w:val="0"/>
                <w:szCs w:val="21"/>
              </w:rPr>
              <w:t>联系电话</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r>
              <w:rPr>
                <w:rFonts w:hint="eastAsia" w:ascii="宋体" w:hAnsi="宋体" w:cs="宋体"/>
                <w:kern w:val="0"/>
                <w:szCs w:val="21"/>
              </w:rPr>
              <w:t>企业总人数</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r>
              <w:rPr>
                <w:rFonts w:hint="eastAsia" w:ascii="宋体" w:hAnsi="宋体" w:cs="宋体"/>
                <w:kern w:val="0"/>
                <w:szCs w:val="21"/>
              </w:rPr>
              <w:t>管理</w:t>
            </w:r>
          </w:p>
          <w:p>
            <w:pPr>
              <w:widowControl/>
              <w:spacing w:line="480" w:lineRule="exact"/>
              <w:jc w:val="center"/>
              <w:rPr>
                <w:rFonts w:ascii="宋体" w:hAnsi="宋体" w:cs="宋体"/>
                <w:kern w:val="0"/>
                <w:szCs w:val="21"/>
              </w:rPr>
            </w:pPr>
            <w:r>
              <w:rPr>
                <w:rFonts w:hint="eastAsia" w:ascii="宋体" w:hAnsi="宋体" w:cs="宋体"/>
                <w:kern w:val="0"/>
                <w:szCs w:val="21"/>
              </w:rPr>
              <w:t>人员</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r>
              <w:rPr>
                <w:rFonts w:hint="eastAsia" w:ascii="宋体" w:hAnsi="宋体" w:cs="宋体"/>
                <w:kern w:val="0"/>
                <w:szCs w:val="21"/>
              </w:rPr>
              <w:t>技术</w:t>
            </w:r>
          </w:p>
          <w:p>
            <w:pPr>
              <w:widowControl/>
              <w:spacing w:line="480" w:lineRule="exact"/>
              <w:jc w:val="center"/>
              <w:rPr>
                <w:rFonts w:ascii="宋体" w:hAnsi="宋体" w:cs="宋体"/>
                <w:kern w:val="0"/>
                <w:szCs w:val="21"/>
              </w:rPr>
            </w:pPr>
            <w:r>
              <w:rPr>
                <w:rFonts w:hint="eastAsia" w:ascii="宋体" w:hAnsi="宋体" w:cs="宋体"/>
                <w:kern w:val="0"/>
                <w:szCs w:val="21"/>
              </w:rPr>
              <w:t>人员</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p>
        </w:tc>
        <w:tc>
          <w:tcPr>
            <w:tcW w:w="986"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r>
              <w:rPr>
                <w:rFonts w:hint="eastAsia" w:ascii="宋体" w:hAnsi="宋体" w:cs="宋体"/>
                <w:kern w:val="0"/>
                <w:szCs w:val="21"/>
              </w:rPr>
              <w:t>职工</w:t>
            </w:r>
          </w:p>
          <w:p>
            <w:pPr>
              <w:widowControl/>
              <w:spacing w:line="480" w:lineRule="exact"/>
              <w:jc w:val="center"/>
              <w:rPr>
                <w:rFonts w:ascii="宋体" w:hAnsi="宋体" w:cs="宋体"/>
                <w:kern w:val="0"/>
                <w:szCs w:val="21"/>
              </w:rPr>
            </w:pPr>
            <w:r>
              <w:rPr>
                <w:rFonts w:hint="eastAsia" w:ascii="宋体" w:hAnsi="宋体" w:cs="宋体"/>
                <w:kern w:val="0"/>
                <w:szCs w:val="21"/>
              </w:rPr>
              <w:t>人员</w:t>
            </w:r>
          </w:p>
        </w:tc>
        <w:tc>
          <w:tcPr>
            <w:tcW w:w="98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r>
              <w:rPr>
                <w:rFonts w:hint="eastAsia" w:ascii="宋体" w:hAnsi="宋体" w:cs="宋体"/>
                <w:kern w:val="0"/>
                <w:szCs w:val="21"/>
              </w:rPr>
              <w:t>经营范围</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r>
              <w:rPr>
                <w:rFonts w:hint="eastAsia" w:ascii="宋体" w:hAnsi="宋体" w:cs="宋体"/>
                <w:kern w:val="0"/>
                <w:szCs w:val="21"/>
              </w:rPr>
              <w:t>企业现有的资质证书</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p>
        </w:tc>
      </w:tr>
    </w:tbl>
    <w:p>
      <w:pPr>
        <w:widowControl/>
        <w:snapToGrid w:val="0"/>
        <w:spacing w:before="50" w:after="120" w:afterLines="50"/>
        <w:jc w:val="left"/>
        <w:rPr>
          <w:rFonts w:ascii="宋体" w:hAnsi="宋体" w:cs="宋体"/>
          <w:kern w:val="0"/>
          <w:szCs w:val="21"/>
        </w:rPr>
      </w:pPr>
    </w:p>
    <w:p>
      <w:pPr>
        <w:widowControl/>
        <w:snapToGrid w:val="0"/>
        <w:spacing w:before="50" w:after="120" w:afterLines="50"/>
        <w:jc w:val="left"/>
        <w:rPr>
          <w:rFonts w:ascii="宋体" w:hAnsi="宋体" w:cs="宋体"/>
          <w:kern w:val="0"/>
          <w:szCs w:val="21"/>
        </w:rPr>
      </w:pPr>
    </w:p>
    <w:p>
      <w:pPr>
        <w:widowControl/>
        <w:snapToGrid w:val="0"/>
        <w:spacing w:before="120" w:beforeLines="50" w:after="50"/>
        <w:jc w:val="left"/>
        <w:rPr>
          <w:rFonts w:ascii="宋体" w:hAnsi="宋体" w:cs="宋体"/>
          <w:b/>
          <w:bCs/>
          <w:kern w:val="0"/>
          <w:szCs w:val="21"/>
        </w:rPr>
      </w:pPr>
    </w:p>
    <w:p>
      <w:pPr>
        <w:widowControl/>
        <w:snapToGrid w:val="0"/>
        <w:spacing w:before="120" w:beforeLines="50" w:after="50"/>
        <w:jc w:val="left"/>
        <w:rPr>
          <w:rFonts w:ascii="宋体" w:hAnsi="宋体" w:cs="宋体"/>
          <w:b/>
          <w:bCs/>
          <w:kern w:val="0"/>
          <w:szCs w:val="21"/>
        </w:rPr>
      </w:pPr>
    </w:p>
    <w:p>
      <w:pPr>
        <w:widowControl/>
        <w:snapToGrid w:val="0"/>
        <w:spacing w:before="120" w:beforeLines="50" w:after="50"/>
        <w:jc w:val="left"/>
        <w:rPr>
          <w:rFonts w:ascii="宋体" w:hAnsi="宋体" w:cs="宋体"/>
          <w:b/>
          <w:bCs/>
          <w:kern w:val="0"/>
          <w:szCs w:val="21"/>
        </w:rPr>
      </w:pPr>
    </w:p>
    <w:p>
      <w:pPr>
        <w:widowControl/>
        <w:snapToGrid w:val="0"/>
        <w:spacing w:before="120" w:beforeLines="50" w:after="50"/>
        <w:jc w:val="left"/>
        <w:rPr>
          <w:rFonts w:ascii="宋体" w:hAnsi="宋体" w:cs="宋体"/>
          <w:b/>
          <w:bCs/>
          <w:kern w:val="0"/>
          <w:szCs w:val="21"/>
        </w:rPr>
      </w:pPr>
    </w:p>
    <w:p>
      <w:pPr>
        <w:widowControl/>
        <w:snapToGrid w:val="0"/>
        <w:spacing w:before="120" w:beforeLines="50" w:after="50"/>
        <w:jc w:val="left"/>
        <w:rPr>
          <w:rFonts w:ascii="宋体" w:hAnsi="宋体" w:cs="宋体"/>
          <w:b/>
          <w:bCs/>
          <w:kern w:val="0"/>
          <w:szCs w:val="21"/>
        </w:rPr>
      </w:pPr>
    </w:p>
    <w:p>
      <w:pPr>
        <w:widowControl/>
        <w:snapToGrid w:val="0"/>
        <w:spacing w:before="120" w:beforeLines="50" w:after="50"/>
        <w:jc w:val="left"/>
        <w:rPr>
          <w:rFonts w:ascii="宋体" w:hAnsi="宋体" w:cs="宋体"/>
          <w:b/>
          <w:bCs/>
          <w:kern w:val="0"/>
          <w:szCs w:val="21"/>
        </w:rPr>
      </w:pPr>
    </w:p>
    <w:p>
      <w:pPr>
        <w:widowControl/>
        <w:snapToGrid w:val="0"/>
        <w:spacing w:before="120" w:beforeLines="50" w:after="50"/>
        <w:jc w:val="left"/>
        <w:rPr>
          <w:rFonts w:ascii="宋体" w:hAnsi="宋体" w:cs="宋体"/>
          <w:b/>
          <w:bCs/>
          <w:kern w:val="0"/>
          <w:szCs w:val="21"/>
        </w:rPr>
      </w:pPr>
    </w:p>
    <w:p>
      <w:pPr>
        <w:widowControl/>
        <w:snapToGrid w:val="0"/>
        <w:spacing w:before="120" w:beforeLines="50" w:after="50"/>
        <w:jc w:val="left"/>
        <w:rPr>
          <w:rFonts w:ascii="宋体" w:hAnsi="宋体" w:cs="宋体"/>
          <w:b/>
          <w:bCs/>
          <w:kern w:val="0"/>
          <w:szCs w:val="21"/>
        </w:rPr>
      </w:pPr>
    </w:p>
    <w:p>
      <w:pPr>
        <w:widowControl/>
        <w:snapToGrid w:val="0"/>
        <w:spacing w:before="120" w:beforeLines="50" w:after="50"/>
        <w:jc w:val="left"/>
        <w:rPr>
          <w:rFonts w:ascii="宋体" w:hAnsi="宋体" w:cs="宋体"/>
          <w:b/>
          <w:bCs/>
          <w:kern w:val="0"/>
          <w:szCs w:val="21"/>
        </w:rPr>
      </w:pPr>
    </w:p>
    <w:p>
      <w:pPr>
        <w:widowControl/>
        <w:snapToGrid w:val="0"/>
        <w:spacing w:before="120" w:beforeLines="50" w:after="50"/>
        <w:jc w:val="left"/>
        <w:rPr>
          <w:rFonts w:ascii="宋体" w:hAnsi="宋体" w:cs="宋体"/>
          <w:b/>
          <w:bCs/>
          <w:kern w:val="0"/>
          <w:szCs w:val="21"/>
        </w:rPr>
      </w:pPr>
      <w:r>
        <w:rPr>
          <w:rFonts w:hint="eastAsia" w:ascii="宋体" w:hAnsi="宋体" w:cs="宋体"/>
          <w:b/>
          <w:bCs/>
          <w:kern w:val="0"/>
          <w:szCs w:val="21"/>
        </w:rPr>
        <w:t>11.企业业绩表：</w:t>
      </w:r>
    </w:p>
    <w:p>
      <w:pPr>
        <w:widowControl/>
        <w:jc w:val="center"/>
        <w:rPr>
          <w:rFonts w:ascii="宋体" w:hAnsi="宋体" w:cs="宋体"/>
          <w:kern w:val="0"/>
          <w:szCs w:val="21"/>
        </w:rPr>
      </w:pPr>
    </w:p>
    <w:p>
      <w:pPr>
        <w:widowControl/>
        <w:jc w:val="center"/>
        <w:rPr>
          <w:rFonts w:ascii="宋体" w:hAnsi="宋体" w:cs="宋体"/>
          <w:b/>
          <w:bCs/>
          <w:kern w:val="0"/>
          <w:szCs w:val="20"/>
        </w:rPr>
      </w:pPr>
      <w:r>
        <w:rPr>
          <w:rFonts w:hint="eastAsia" w:ascii="宋体" w:hAnsi="宋体" w:cs="宋体"/>
          <w:b/>
          <w:bCs/>
          <w:kern w:val="0"/>
          <w:szCs w:val="20"/>
        </w:rPr>
        <w:t>企业业绩表</w:t>
      </w:r>
    </w:p>
    <w:p>
      <w:pPr>
        <w:widowControl/>
        <w:tabs>
          <w:tab w:val="left" w:pos="3165"/>
        </w:tabs>
        <w:jc w:val="left"/>
        <w:rPr>
          <w:rFonts w:ascii="宋体" w:hAnsi="宋体" w:cs="宋体"/>
          <w:kern w:val="0"/>
          <w:szCs w:val="21"/>
        </w:rPr>
      </w:pPr>
      <w:r>
        <w:rPr>
          <w:rFonts w:hint="eastAsia" w:ascii="宋体" w:hAnsi="宋体" w:cs="宋体"/>
          <w:kern w:val="0"/>
          <w:szCs w:val="21"/>
        </w:rPr>
        <w:t xml:space="preserve">项目编号：                   项目名称：                       </w:t>
      </w:r>
    </w:p>
    <w:tbl>
      <w:tblPr>
        <w:tblStyle w:val="49"/>
        <w:tblW w:w="8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783"/>
        <w:gridCol w:w="1192"/>
        <w:gridCol w:w="1192"/>
        <w:gridCol w:w="1638"/>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44" w:type="dxa"/>
            <w:vAlign w:val="center"/>
          </w:tcPr>
          <w:p>
            <w:pPr>
              <w:widowControl/>
              <w:tabs>
                <w:tab w:val="left" w:pos="3165"/>
              </w:tabs>
              <w:jc w:val="left"/>
              <w:rPr>
                <w:rFonts w:ascii="宋体" w:hAnsi="宋体" w:cs="宋体"/>
                <w:kern w:val="0"/>
                <w:szCs w:val="21"/>
              </w:rPr>
            </w:pPr>
            <w:r>
              <w:rPr>
                <w:rFonts w:hint="eastAsia" w:ascii="宋体" w:hAnsi="宋体" w:cs="宋体"/>
                <w:kern w:val="0"/>
                <w:szCs w:val="21"/>
              </w:rPr>
              <w:t>序号</w:t>
            </w:r>
          </w:p>
        </w:tc>
        <w:tc>
          <w:tcPr>
            <w:tcW w:w="1783" w:type="dxa"/>
            <w:vAlign w:val="center"/>
          </w:tcPr>
          <w:p>
            <w:pPr>
              <w:widowControl/>
              <w:tabs>
                <w:tab w:val="left" w:pos="3165"/>
              </w:tabs>
              <w:jc w:val="center"/>
              <w:rPr>
                <w:rFonts w:ascii="宋体" w:hAnsi="宋体" w:cs="宋体"/>
                <w:kern w:val="0"/>
                <w:szCs w:val="21"/>
              </w:rPr>
            </w:pPr>
            <w:r>
              <w:rPr>
                <w:rFonts w:hint="eastAsia" w:ascii="宋体" w:hAnsi="宋体" w:cs="宋体"/>
                <w:kern w:val="0"/>
                <w:szCs w:val="21"/>
              </w:rPr>
              <w:t>项目名称</w:t>
            </w:r>
          </w:p>
        </w:tc>
        <w:tc>
          <w:tcPr>
            <w:tcW w:w="1192" w:type="dxa"/>
            <w:vAlign w:val="center"/>
          </w:tcPr>
          <w:p>
            <w:pPr>
              <w:widowControl/>
              <w:tabs>
                <w:tab w:val="left" w:pos="3165"/>
              </w:tabs>
              <w:jc w:val="left"/>
              <w:rPr>
                <w:rFonts w:ascii="宋体" w:hAnsi="宋体" w:cs="宋体"/>
                <w:kern w:val="0"/>
                <w:szCs w:val="21"/>
              </w:rPr>
            </w:pPr>
            <w:r>
              <w:rPr>
                <w:rFonts w:hint="eastAsia" w:ascii="宋体" w:hAnsi="宋体" w:cs="宋体"/>
                <w:kern w:val="0"/>
                <w:szCs w:val="21"/>
              </w:rPr>
              <w:t>业主单位</w:t>
            </w:r>
          </w:p>
        </w:tc>
        <w:tc>
          <w:tcPr>
            <w:tcW w:w="1192" w:type="dxa"/>
            <w:vAlign w:val="center"/>
          </w:tcPr>
          <w:p>
            <w:pPr>
              <w:widowControl/>
              <w:tabs>
                <w:tab w:val="left" w:pos="3165"/>
              </w:tabs>
              <w:jc w:val="left"/>
              <w:rPr>
                <w:rFonts w:ascii="宋体" w:hAnsi="宋体" w:cs="宋体"/>
                <w:kern w:val="0"/>
                <w:szCs w:val="21"/>
              </w:rPr>
            </w:pPr>
            <w:r>
              <w:rPr>
                <w:rFonts w:hint="eastAsia" w:ascii="宋体" w:hAnsi="宋体" w:cs="宋体"/>
                <w:kern w:val="0"/>
                <w:szCs w:val="21"/>
              </w:rPr>
              <w:t>合同金额</w:t>
            </w:r>
          </w:p>
        </w:tc>
        <w:tc>
          <w:tcPr>
            <w:tcW w:w="1638" w:type="dxa"/>
            <w:vAlign w:val="center"/>
          </w:tcPr>
          <w:p>
            <w:pPr>
              <w:widowControl/>
              <w:tabs>
                <w:tab w:val="left" w:pos="3165"/>
              </w:tabs>
              <w:jc w:val="left"/>
              <w:rPr>
                <w:rFonts w:ascii="宋体" w:hAnsi="宋体" w:cs="宋体"/>
                <w:kern w:val="0"/>
                <w:szCs w:val="21"/>
              </w:rPr>
            </w:pPr>
            <w:r>
              <w:rPr>
                <w:rFonts w:hint="eastAsia" w:ascii="宋体" w:hAnsi="宋体" w:cs="宋体"/>
                <w:kern w:val="0"/>
                <w:szCs w:val="21"/>
              </w:rPr>
              <w:t>合同签订日期</w:t>
            </w:r>
          </w:p>
        </w:tc>
        <w:tc>
          <w:tcPr>
            <w:tcW w:w="1869" w:type="dxa"/>
            <w:vAlign w:val="center"/>
          </w:tcPr>
          <w:p>
            <w:pPr>
              <w:widowControl/>
              <w:tabs>
                <w:tab w:val="left" w:pos="3165"/>
              </w:tabs>
              <w:jc w:val="center"/>
              <w:rPr>
                <w:rFonts w:ascii="宋体" w:hAnsi="宋体" w:cs="宋体"/>
                <w:kern w:val="0"/>
                <w:szCs w:val="21"/>
              </w:rPr>
            </w:pPr>
            <w:r>
              <w:rPr>
                <w:rFonts w:hint="eastAsia" w:ascii="宋体" w:hAnsi="宋体" w:cs="宋体"/>
                <w:kern w:val="0"/>
                <w:szCs w:val="21"/>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bl>
    <w:p>
      <w:pPr>
        <w:widowControl/>
        <w:autoSpaceDE w:val="0"/>
        <w:autoSpaceDN w:val="0"/>
        <w:spacing w:line="426" w:lineRule="exact"/>
        <w:ind w:left="5280"/>
        <w:jc w:val="left"/>
        <w:rPr>
          <w:rFonts w:ascii="宋体" w:hAnsi="宋体" w:cs="宋体"/>
          <w:kern w:val="0"/>
          <w:szCs w:val="21"/>
        </w:rPr>
      </w:pPr>
    </w:p>
    <w:p>
      <w:pPr>
        <w:pStyle w:val="15"/>
      </w:pPr>
    </w:p>
    <w:p>
      <w:pPr>
        <w:pStyle w:val="15"/>
      </w:pPr>
    </w:p>
    <w:p>
      <w:pPr>
        <w:widowControl/>
        <w:snapToGrid w:val="0"/>
        <w:spacing w:before="50"/>
        <w:jc w:val="left"/>
        <w:rPr>
          <w:rFonts w:ascii="宋体" w:hAnsi="宋体" w:cs="宋体"/>
          <w:kern w:val="0"/>
          <w:szCs w:val="21"/>
        </w:rPr>
      </w:pPr>
      <w:r>
        <w:rPr>
          <w:rFonts w:hint="eastAsia" w:ascii="宋体" w:hAnsi="宋体" w:cs="宋体"/>
          <w:kern w:val="0"/>
          <w:szCs w:val="21"/>
        </w:rPr>
        <w:t>供应商名称（公章）：</w:t>
      </w:r>
    </w:p>
    <w:p>
      <w:pPr>
        <w:widowControl/>
        <w:snapToGrid w:val="0"/>
        <w:spacing w:before="50"/>
        <w:jc w:val="left"/>
        <w:rPr>
          <w:rFonts w:ascii="宋体" w:hAnsi="宋体" w:cs="宋体"/>
          <w:kern w:val="0"/>
          <w:szCs w:val="21"/>
        </w:rPr>
      </w:pPr>
      <w:r>
        <w:rPr>
          <w:rFonts w:hint="eastAsia" w:ascii="宋体" w:hAnsi="宋体" w:cs="宋体"/>
          <w:kern w:val="0"/>
          <w:szCs w:val="21"/>
        </w:rPr>
        <w:t>法定代表人或授权代表（签</w:t>
      </w:r>
      <w:r>
        <w:rPr>
          <w:rFonts w:hint="eastAsia" w:ascii="宋体" w:hAnsi="宋体" w:cs="宋体"/>
          <w:kern w:val="0"/>
          <w:szCs w:val="21"/>
          <w:lang w:val="en-US" w:eastAsia="zh-CN"/>
        </w:rPr>
        <w:t>字</w:t>
      </w:r>
      <w:r>
        <w:rPr>
          <w:rFonts w:hint="eastAsia" w:ascii="宋体" w:hAnsi="宋体" w:cs="宋体"/>
          <w:kern w:val="0"/>
          <w:szCs w:val="21"/>
        </w:rPr>
        <w:t>或</w:t>
      </w:r>
      <w:r>
        <w:rPr>
          <w:rFonts w:hint="eastAsia" w:ascii="宋体" w:hAnsi="宋体" w:cs="宋体"/>
          <w:kern w:val="0"/>
          <w:szCs w:val="21"/>
          <w:lang w:val="en-US" w:eastAsia="zh-CN"/>
        </w:rPr>
        <w:t>盖</w:t>
      </w:r>
      <w:r>
        <w:rPr>
          <w:rFonts w:hint="eastAsia" w:ascii="宋体" w:hAnsi="宋体" w:cs="宋体"/>
          <w:kern w:val="0"/>
          <w:szCs w:val="21"/>
        </w:rPr>
        <w:t>章）：</w:t>
      </w:r>
    </w:p>
    <w:p>
      <w:pPr>
        <w:widowControl/>
        <w:snapToGrid w:val="0"/>
        <w:spacing w:before="50"/>
        <w:jc w:val="left"/>
        <w:rPr>
          <w:rFonts w:ascii="宋体" w:hAnsi="宋体" w:cs="宋体"/>
          <w:kern w:val="0"/>
          <w:szCs w:val="21"/>
        </w:rPr>
      </w:pPr>
    </w:p>
    <w:p>
      <w:pPr>
        <w:widowControl/>
        <w:snapToGrid w:val="0"/>
        <w:spacing w:before="50"/>
        <w:jc w:val="left"/>
        <w:rPr>
          <w:rFonts w:ascii="宋体" w:hAnsi="宋体" w:cs="宋体"/>
          <w:kern w:val="0"/>
          <w:szCs w:val="21"/>
        </w:rPr>
      </w:pPr>
      <w:r>
        <w:rPr>
          <w:rFonts w:hint="eastAsia" w:ascii="宋体" w:hAnsi="宋体" w:cs="宋体"/>
          <w:kern w:val="0"/>
          <w:szCs w:val="21"/>
        </w:rPr>
        <w:t xml:space="preserve">                                                              年    月    日</w:t>
      </w:r>
    </w:p>
    <w:p>
      <w:pPr>
        <w:widowControl/>
        <w:snapToGrid w:val="0"/>
        <w:spacing w:before="120" w:beforeLines="50" w:after="50"/>
        <w:jc w:val="left"/>
        <w:rPr>
          <w:rFonts w:ascii="宋体" w:hAnsi="宋体" w:cs="宋体"/>
          <w:kern w:val="0"/>
          <w:szCs w:val="21"/>
        </w:rPr>
      </w:pPr>
      <w:r>
        <w:rPr>
          <w:rFonts w:hint="eastAsia" w:ascii="宋体" w:hAnsi="宋体" w:cs="宋体"/>
          <w:kern w:val="0"/>
          <w:szCs w:val="21"/>
        </w:rPr>
        <w:br w:type="page"/>
      </w:r>
    </w:p>
    <w:p>
      <w:pPr>
        <w:widowControl/>
        <w:snapToGrid w:val="0"/>
        <w:spacing w:before="120" w:beforeLines="50" w:after="50"/>
        <w:jc w:val="left"/>
        <w:rPr>
          <w:rFonts w:ascii="宋体" w:hAnsi="宋体" w:cs="宋体"/>
          <w:b/>
          <w:bCs/>
          <w:kern w:val="0"/>
          <w:szCs w:val="21"/>
        </w:rPr>
      </w:pPr>
      <w:r>
        <w:rPr>
          <w:rFonts w:hint="eastAsia" w:ascii="宋体" w:hAnsi="宋体" w:cs="宋体"/>
          <w:b/>
          <w:bCs/>
          <w:kern w:val="0"/>
          <w:szCs w:val="21"/>
        </w:rPr>
        <w:t>12.本项目人员配备表</w:t>
      </w:r>
    </w:p>
    <w:p>
      <w:pPr>
        <w:widowControl/>
        <w:tabs>
          <w:tab w:val="left" w:pos="3165"/>
        </w:tabs>
        <w:jc w:val="center"/>
        <w:rPr>
          <w:rFonts w:ascii="宋体" w:hAnsi="宋体" w:cs="宋体"/>
          <w:b/>
          <w:bCs/>
          <w:kern w:val="0"/>
          <w:szCs w:val="21"/>
        </w:rPr>
      </w:pPr>
      <w:r>
        <w:rPr>
          <w:rFonts w:hint="eastAsia" w:ascii="宋体" w:hAnsi="宋体" w:cs="宋体"/>
          <w:b/>
          <w:bCs/>
          <w:kern w:val="0"/>
          <w:szCs w:val="21"/>
        </w:rPr>
        <w:t>本项目人员配备表</w:t>
      </w:r>
    </w:p>
    <w:p>
      <w:pPr>
        <w:widowControl/>
        <w:tabs>
          <w:tab w:val="left" w:pos="3165"/>
        </w:tabs>
        <w:jc w:val="left"/>
        <w:rPr>
          <w:rFonts w:ascii="宋体" w:hAnsi="宋体" w:cs="宋体"/>
          <w:szCs w:val="21"/>
        </w:rPr>
      </w:pPr>
      <w:r>
        <w:rPr>
          <w:rFonts w:hint="eastAsia" w:ascii="宋体" w:hAnsi="宋体" w:cs="宋体"/>
          <w:kern w:val="0"/>
          <w:szCs w:val="21"/>
        </w:rPr>
        <w:t xml:space="preserve">项目编号：                   项目名称：                     </w:t>
      </w:r>
    </w:p>
    <w:tbl>
      <w:tblPr>
        <w:tblStyle w:val="49"/>
        <w:tblW w:w="915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587"/>
        <w:gridCol w:w="1243"/>
        <w:gridCol w:w="1717"/>
        <w:gridCol w:w="1674"/>
        <w:gridCol w:w="19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4" w:hRule="atLeast"/>
        </w:trPr>
        <w:tc>
          <w:tcPr>
            <w:tcW w:w="993" w:type="dxa"/>
            <w:vAlign w:val="center"/>
          </w:tcPr>
          <w:p>
            <w:pPr>
              <w:spacing w:line="360" w:lineRule="auto"/>
              <w:rPr>
                <w:rFonts w:ascii="宋体" w:hAnsi="宋体" w:cs="宋体"/>
                <w:szCs w:val="21"/>
              </w:rPr>
            </w:pPr>
            <w:r>
              <w:rPr>
                <w:rFonts w:hint="eastAsia" w:ascii="宋体" w:hAnsi="宋体" w:cs="宋体"/>
                <w:szCs w:val="21"/>
              </w:rPr>
              <w:t>序号</w:t>
            </w:r>
          </w:p>
        </w:tc>
        <w:tc>
          <w:tcPr>
            <w:tcW w:w="1587" w:type="dxa"/>
            <w:vAlign w:val="center"/>
          </w:tcPr>
          <w:p>
            <w:pPr>
              <w:spacing w:line="360" w:lineRule="auto"/>
              <w:rPr>
                <w:rFonts w:ascii="宋体" w:hAnsi="宋体" w:cs="宋体"/>
                <w:szCs w:val="21"/>
              </w:rPr>
            </w:pPr>
            <w:r>
              <w:rPr>
                <w:rFonts w:hint="eastAsia" w:ascii="宋体" w:hAnsi="宋体" w:cs="宋体"/>
                <w:szCs w:val="21"/>
              </w:rPr>
              <w:t>姓名</w:t>
            </w:r>
          </w:p>
        </w:tc>
        <w:tc>
          <w:tcPr>
            <w:tcW w:w="1243" w:type="dxa"/>
            <w:vAlign w:val="center"/>
          </w:tcPr>
          <w:p>
            <w:pPr>
              <w:spacing w:line="360" w:lineRule="auto"/>
              <w:rPr>
                <w:rFonts w:ascii="宋体" w:hAnsi="宋体" w:cs="宋体"/>
                <w:szCs w:val="21"/>
              </w:rPr>
            </w:pPr>
            <w:r>
              <w:rPr>
                <w:rFonts w:hint="eastAsia" w:ascii="宋体" w:hAnsi="宋体" w:cs="宋体"/>
                <w:szCs w:val="21"/>
              </w:rPr>
              <w:t>性别</w:t>
            </w:r>
          </w:p>
        </w:tc>
        <w:tc>
          <w:tcPr>
            <w:tcW w:w="1717" w:type="dxa"/>
            <w:vAlign w:val="center"/>
          </w:tcPr>
          <w:p>
            <w:pPr>
              <w:spacing w:line="360" w:lineRule="auto"/>
              <w:rPr>
                <w:rFonts w:ascii="宋体" w:hAnsi="宋体" w:cs="宋体"/>
                <w:szCs w:val="21"/>
              </w:rPr>
            </w:pPr>
            <w:r>
              <w:rPr>
                <w:rFonts w:hint="eastAsia" w:ascii="宋体" w:hAnsi="宋体" w:cs="宋体"/>
                <w:szCs w:val="21"/>
              </w:rPr>
              <w:t>证书</w:t>
            </w:r>
          </w:p>
        </w:tc>
        <w:tc>
          <w:tcPr>
            <w:tcW w:w="1674" w:type="dxa"/>
            <w:vAlign w:val="center"/>
          </w:tcPr>
          <w:p>
            <w:pPr>
              <w:spacing w:line="360" w:lineRule="auto"/>
              <w:rPr>
                <w:rFonts w:ascii="宋体" w:hAnsi="宋体" w:cs="宋体"/>
                <w:szCs w:val="21"/>
              </w:rPr>
            </w:pPr>
            <w:r>
              <w:rPr>
                <w:rFonts w:hint="eastAsia" w:ascii="宋体" w:hAnsi="宋体" w:cs="宋体"/>
                <w:szCs w:val="21"/>
              </w:rPr>
              <w:t>拟担任何种专业岗位</w:t>
            </w:r>
          </w:p>
        </w:tc>
        <w:tc>
          <w:tcPr>
            <w:tcW w:w="1944" w:type="dxa"/>
            <w:vAlign w:val="center"/>
          </w:tcPr>
          <w:p>
            <w:pPr>
              <w:spacing w:line="360" w:lineRule="auto"/>
              <w:rPr>
                <w:rFonts w:ascii="宋体" w:hAnsi="宋体" w:cs="宋体"/>
                <w:szCs w:val="21"/>
              </w:rPr>
            </w:pPr>
            <w:r>
              <w:rPr>
                <w:rFonts w:hint="eastAsia" w:ascii="宋体" w:hAnsi="宋体" w:cs="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993" w:type="dxa"/>
            <w:vAlign w:val="center"/>
          </w:tcPr>
          <w:p>
            <w:pPr>
              <w:spacing w:line="360" w:lineRule="auto"/>
              <w:rPr>
                <w:rFonts w:ascii="宋体" w:hAnsi="宋体" w:cs="宋体"/>
                <w:szCs w:val="21"/>
              </w:rPr>
            </w:pPr>
            <w:r>
              <w:rPr>
                <w:rFonts w:hint="eastAsia" w:ascii="宋体" w:hAnsi="宋体" w:cs="宋体"/>
                <w:szCs w:val="21"/>
              </w:rPr>
              <w:t>1</w:t>
            </w:r>
          </w:p>
        </w:tc>
        <w:tc>
          <w:tcPr>
            <w:tcW w:w="1587" w:type="dxa"/>
            <w:vAlign w:val="bottom"/>
          </w:tcPr>
          <w:p>
            <w:pPr>
              <w:spacing w:line="360" w:lineRule="auto"/>
              <w:rPr>
                <w:rFonts w:ascii="宋体" w:hAnsi="宋体" w:cs="宋体"/>
                <w:szCs w:val="21"/>
              </w:rPr>
            </w:pPr>
          </w:p>
        </w:tc>
        <w:tc>
          <w:tcPr>
            <w:tcW w:w="1243" w:type="dxa"/>
            <w:vAlign w:val="center"/>
          </w:tcPr>
          <w:p>
            <w:pPr>
              <w:spacing w:line="360" w:lineRule="auto"/>
              <w:rPr>
                <w:rFonts w:ascii="宋体" w:hAnsi="宋体" w:cs="宋体"/>
                <w:szCs w:val="21"/>
              </w:rPr>
            </w:pPr>
          </w:p>
        </w:tc>
        <w:tc>
          <w:tcPr>
            <w:tcW w:w="1717" w:type="dxa"/>
            <w:vAlign w:val="center"/>
          </w:tcPr>
          <w:p>
            <w:pPr>
              <w:spacing w:line="360" w:lineRule="auto"/>
              <w:rPr>
                <w:rFonts w:ascii="宋体" w:hAnsi="宋体" w:cs="宋体"/>
                <w:szCs w:val="21"/>
              </w:rPr>
            </w:pPr>
          </w:p>
        </w:tc>
        <w:tc>
          <w:tcPr>
            <w:tcW w:w="1674" w:type="dxa"/>
            <w:vAlign w:val="center"/>
          </w:tcPr>
          <w:p>
            <w:pPr>
              <w:spacing w:line="360" w:lineRule="auto"/>
              <w:rPr>
                <w:rFonts w:ascii="宋体" w:hAnsi="宋体" w:cs="宋体"/>
                <w:szCs w:val="21"/>
              </w:rPr>
            </w:pPr>
          </w:p>
        </w:tc>
        <w:tc>
          <w:tcPr>
            <w:tcW w:w="1944" w:type="dxa"/>
            <w:vAlign w:val="center"/>
          </w:tcPr>
          <w:p>
            <w:pPr>
              <w:spacing w:line="360" w:lineRule="auto"/>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993" w:type="dxa"/>
            <w:vAlign w:val="center"/>
          </w:tcPr>
          <w:p>
            <w:pPr>
              <w:spacing w:line="360" w:lineRule="auto"/>
              <w:rPr>
                <w:rFonts w:ascii="宋体" w:hAnsi="宋体" w:cs="宋体"/>
                <w:szCs w:val="21"/>
              </w:rPr>
            </w:pPr>
            <w:r>
              <w:rPr>
                <w:rFonts w:hint="eastAsia" w:ascii="宋体" w:hAnsi="宋体" w:cs="宋体"/>
                <w:szCs w:val="21"/>
              </w:rPr>
              <w:t>2</w:t>
            </w:r>
          </w:p>
        </w:tc>
        <w:tc>
          <w:tcPr>
            <w:tcW w:w="1587" w:type="dxa"/>
            <w:vAlign w:val="bottom"/>
          </w:tcPr>
          <w:p>
            <w:pPr>
              <w:spacing w:line="360" w:lineRule="auto"/>
              <w:rPr>
                <w:rFonts w:ascii="宋体" w:hAnsi="宋体" w:cs="宋体"/>
                <w:szCs w:val="21"/>
              </w:rPr>
            </w:pPr>
          </w:p>
        </w:tc>
        <w:tc>
          <w:tcPr>
            <w:tcW w:w="1243" w:type="dxa"/>
            <w:vAlign w:val="center"/>
          </w:tcPr>
          <w:p>
            <w:pPr>
              <w:spacing w:line="360" w:lineRule="auto"/>
              <w:rPr>
                <w:rFonts w:ascii="宋体" w:hAnsi="宋体" w:cs="宋体"/>
                <w:szCs w:val="21"/>
              </w:rPr>
            </w:pPr>
          </w:p>
        </w:tc>
        <w:tc>
          <w:tcPr>
            <w:tcW w:w="1717" w:type="dxa"/>
            <w:vAlign w:val="center"/>
          </w:tcPr>
          <w:p>
            <w:pPr>
              <w:spacing w:line="360" w:lineRule="auto"/>
              <w:rPr>
                <w:rFonts w:ascii="宋体" w:hAnsi="宋体" w:cs="宋体"/>
                <w:szCs w:val="21"/>
              </w:rPr>
            </w:pPr>
          </w:p>
        </w:tc>
        <w:tc>
          <w:tcPr>
            <w:tcW w:w="1674" w:type="dxa"/>
            <w:vAlign w:val="center"/>
          </w:tcPr>
          <w:p>
            <w:pPr>
              <w:spacing w:line="360" w:lineRule="auto"/>
              <w:rPr>
                <w:rFonts w:ascii="宋体" w:hAnsi="宋体" w:cs="宋体"/>
                <w:szCs w:val="21"/>
              </w:rPr>
            </w:pPr>
          </w:p>
        </w:tc>
        <w:tc>
          <w:tcPr>
            <w:tcW w:w="1944" w:type="dxa"/>
            <w:vAlign w:val="center"/>
          </w:tcPr>
          <w:p>
            <w:pPr>
              <w:spacing w:line="360" w:lineRule="auto"/>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993" w:type="dxa"/>
            <w:vAlign w:val="center"/>
          </w:tcPr>
          <w:p>
            <w:pPr>
              <w:spacing w:line="360" w:lineRule="auto"/>
              <w:rPr>
                <w:rFonts w:ascii="宋体" w:hAnsi="宋体" w:cs="宋体"/>
                <w:szCs w:val="21"/>
              </w:rPr>
            </w:pPr>
            <w:r>
              <w:rPr>
                <w:rFonts w:hint="eastAsia" w:ascii="宋体" w:hAnsi="宋体" w:cs="宋体"/>
                <w:szCs w:val="21"/>
              </w:rPr>
              <w:t>3</w:t>
            </w:r>
          </w:p>
        </w:tc>
        <w:tc>
          <w:tcPr>
            <w:tcW w:w="1587" w:type="dxa"/>
          </w:tcPr>
          <w:p>
            <w:pPr>
              <w:spacing w:line="360" w:lineRule="auto"/>
              <w:rPr>
                <w:rFonts w:ascii="宋体" w:hAnsi="宋体" w:cs="宋体"/>
                <w:szCs w:val="21"/>
              </w:rPr>
            </w:pPr>
          </w:p>
        </w:tc>
        <w:tc>
          <w:tcPr>
            <w:tcW w:w="1243" w:type="dxa"/>
            <w:vAlign w:val="center"/>
          </w:tcPr>
          <w:p>
            <w:pPr>
              <w:spacing w:line="360" w:lineRule="auto"/>
              <w:rPr>
                <w:rFonts w:ascii="宋体" w:hAnsi="宋体" w:cs="宋体"/>
                <w:szCs w:val="21"/>
              </w:rPr>
            </w:pPr>
          </w:p>
        </w:tc>
        <w:tc>
          <w:tcPr>
            <w:tcW w:w="1717" w:type="dxa"/>
            <w:vAlign w:val="center"/>
          </w:tcPr>
          <w:p>
            <w:pPr>
              <w:spacing w:line="360" w:lineRule="auto"/>
              <w:rPr>
                <w:rFonts w:ascii="宋体" w:hAnsi="宋体" w:cs="宋体"/>
                <w:szCs w:val="21"/>
              </w:rPr>
            </w:pPr>
          </w:p>
        </w:tc>
        <w:tc>
          <w:tcPr>
            <w:tcW w:w="1674" w:type="dxa"/>
            <w:vAlign w:val="center"/>
          </w:tcPr>
          <w:p>
            <w:pPr>
              <w:spacing w:line="360" w:lineRule="auto"/>
              <w:rPr>
                <w:rFonts w:ascii="宋体" w:hAnsi="宋体" w:cs="宋体"/>
                <w:szCs w:val="21"/>
              </w:rPr>
            </w:pPr>
          </w:p>
        </w:tc>
        <w:tc>
          <w:tcPr>
            <w:tcW w:w="1944" w:type="dxa"/>
            <w:tcBorders>
              <w:bottom w:val="single" w:color="auto" w:sz="4" w:space="0"/>
            </w:tcBorders>
            <w:vAlign w:val="center"/>
          </w:tcPr>
          <w:p>
            <w:pPr>
              <w:spacing w:line="360" w:lineRule="auto"/>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993" w:type="dxa"/>
            <w:vAlign w:val="center"/>
          </w:tcPr>
          <w:p>
            <w:pPr>
              <w:spacing w:line="360" w:lineRule="auto"/>
              <w:rPr>
                <w:rFonts w:ascii="宋体" w:hAnsi="宋体" w:cs="宋体"/>
                <w:szCs w:val="21"/>
              </w:rPr>
            </w:pPr>
            <w:r>
              <w:rPr>
                <w:rFonts w:hint="eastAsia" w:ascii="宋体" w:hAnsi="宋体" w:cs="宋体"/>
                <w:szCs w:val="21"/>
              </w:rPr>
              <w:t>4</w:t>
            </w:r>
          </w:p>
        </w:tc>
        <w:tc>
          <w:tcPr>
            <w:tcW w:w="1587" w:type="dxa"/>
          </w:tcPr>
          <w:p>
            <w:pPr>
              <w:spacing w:line="360" w:lineRule="auto"/>
              <w:rPr>
                <w:rFonts w:ascii="宋体" w:hAnsi="宋体" w:cs="宋体"/>
                <w:szCs w:val="21"/>
              </w:rPr>
            </w:pPr>
          </w:p>
        </w:tc>
        <w:tc>
          <w:tcPr>
            <w:tcW w:w="1243" w:type="dxa"/>
            <w:vAlign w:val="center"/>
          </w:tcPr>
          <w:p>
            <w:pPr>
              <w:spacing w:line="360" w:lineRule="auto"/>
              <w:rPr>
                <w:rFonts w:ascii="宋体" w:hAnsi="宋体" w:cs="宋体"/>
                <w:szCs w:val="21"/>
              </w:rPr>
            </w:pPr>
          </w:p>
        </w:tc>
        <w:tc>
          <w:tcPr>
            <w:tcW w:w="1717" w:type="dxa"/>
            <w:vAlign w:val="center"/>
          </w:tcPr>
          <w:p>
            <w:pPr>
              <w:spacing w:line="360" w:lineRule="auto"/>
              <w:rPr>
                <w:rFonts w:ascii="宋体" w:hAnsi="宋体" w:cs="宋体"/>
                <w:szCs w:val="21"/>
              </w:rPr>
            </w:pPr>
          </w:p>
        </w:tc>
        <w:tc>
          <w:tcPr>
            <w:tcW w:w="1674" w:type="dxa"/>
            <w:vAlign w:val="center"/>
          </w:tcPr>
          <w:p>
            <w:pPr>
              <w:spacing w:line="360" w:lineRule="auto"/>
              <w:rPr>
                <w:rFonts w:ascii="宋体" w:hAnsi="宋体" w:cs="宋体"/>
                <w:szCs w:val="21"/>
              </w:rPr>
            </w:pPr>
          </w:p>
        </w:tc>
        <w:tc>
          <w:tcPr>
            <w:tcW w:w="1944" w:type="dxa"/>
            <w:tcBorders>
              <w:top w:val="single" w:color="auto" w:sz="4" w:space="0"/>
              <w:bottom w:val="single" w:color="auto" w:sz="4" w:space="0"/>
            </w:tcBorders>
            <w:vAlign w:val="center"/>
          </w:tcPr>
          <w:p>
            <w:pPr>
              <w:spacing w:line="360" w:lineRule="auto"/>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993" w:type="dxa"/>
            <w:vAlign w:val="center"/>
          </w:tcPr>
          <w:p>
            <w:pPr>
              <w:spacing w:line="360" w:lineRule="auto"/>
              <w:rPr>
                <w:rFonts w:ascii="宋体" w:hAnsi="宋体" w:cs="宋体"/>
                <w:szCs w:val="21"/>
              </w:rPr>
            </w:pPr>
            <w:r>
              <w:rPr>
                <w:rFonts w:hint="eastAsia" w:ascii="宋体" w:hAnsi="宋体" w:cs="宋体"/>
                <w:szCs w:val="21"/>
              </w:rPr>
              <w:t>5</w:t>
            </w:r>
          </w:p>
        </w:tc>
        <w:tc>
          <w:tcPr>
            <w:tcW w:w="1587" w:type="dxa"/>
          </w:tcPr>
          <w:p>
            <w:pPr>
              <w:spacing w:line="360" w:lineRule="auto"/>
              <w:rPr>
                <w:rFonts w:ascii="宋体" w:hAnsi="宋体" w:cs="宋体"/>
                <w:szCs w:val="21"/>
              </w:rPr>
            </w:pPr>
          </w:p>
        </w:tc>
        <w:tc>
          <w:tcPr>
            <w:tcW w:w="1243" w:type="dxa"/>
            <w:vAlign w:val="center"/>
          </w:tcPr>
          <w:p>
            <w:pPr>
              <w:spacing w:line="360" w:lineRule="auto"/>
              <w:rPr>
                <w:rFonts w:ascii="宋体" w:hAnsi="宋体" w:cs="宋体"/>
                <w:szCs w:val="21"/>
              </w:rPr>
            </w:pPr>
          </w:p>
        </w:tc>
        <w:tc>
          <w:tcPr>
            <w:tcW w:w="1717" w:type="dxa"/>
            <w:vAlign w:val="center"/>
          </w:tcPr>
          <w:p>
            <w:pPr>
              <w:spacing w:line="360" w:lineRule="auto"/>
              <w:rPr>
                <w:rFonts w:ascii="宋体" w:hAnsi="宋体" w:cs="宋体"/>
                <w:szCs w:val="21"/>
              </w:rPr>
            </w:pPr>
          </w:p>
        </w:tc>
        <w:tc>
          <w:tcPr>
            <w:tcW w:w="1674" w:type="dxa"/>
            <w:vAlign w:val="center"/>
          </w:tcPr>
          <w:p>
            <w:pPr>
              <w:spacing w:line="360" w:lineRule="auto"/>
              <w:rPr>
                <w:rFonts w:ascii="宋体" w:hAnsi="宋体" w:cs="宋体"/>
                <w:szCs w:val="21"/>
              </w:rPr>
            </w:pPr>
          </w:p>
        </w:tc>
        <w:tc>
          <w:tcPr>
            <w:tcW w:w="1944" w:type="dxa"/>
            <w:tcBorders>
              <w:top w:val="single" w:color="auto" w:sz="4" w:space="0"/>
              <w:bottom w:val="single" w:color="auto" w:sz="4" w:space="0"/>
            </w:tcBorders>
            <w:vAlign w:val="center"/>
          </w:tcPr>
          <w:p>
            <w:pPr>
              <w:spacing w:line="360" w:lineRule="auto"/>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993" w:type="dxa"/>
            <w:vAlign w:val="center"/>
          </w:tcPr>
          <w:p>
            <w:pPr>
              <w:spacing w:line="360" w:lineRule="auto"/>
              <w:rPr>
                <w:rFonts w:ascii="宋体" w:hAnsi="宋体" w:cs="宋体"/>
                <w:szCs w:val="21"/>
              </w:rPr>
            </w:pPr>
            <w:r>
              <w:rPr>
                <w:rFonts w:hint="eastAsia" w:ascii="宋体" w:hAnsi="宋体" w:cs="宋体"/>
                <w:szCs w:val="21"/>
              </w:rPr>
              <w:t>6</w:t>
            </w:r>
          </w:p>
        </w:tc>
        <w:tc>
          <w:tcPr>
            <w:tcW w:w="1587" w:type="dxa"/>
            <w:vAlign w:val="center"/>
          </w:tcPr>
          <w:p>
            <w:pPr>
              <w:spacing w:line="360" w:lineRule="auto"/>
              <w:rPr>
                <w:rFonts w:ascii="宋体" w:hAnsi="宋体" w:cs="宋体"/>
                <w:szCs w:val="21"/>
              </w:rPr>
            </w:pPr>
          </w:p>
        </w:tc>
        <w:tc>
          <w:tcPr>
            <w:tcW w:w="1243" w:type="dxa"/>
            <w:vAlign w:val="center"/>
          </w:tcPr>
          <w:p>
            <w:pPr>
              <w:spacing w:line="360" w:lineRule="auto"/>
              <w:rPr>
                <w:rFonts w:ascii="宋体" w:hAnsi="宋体" w:cs="宋体"/>
                <w:szCs w:val="21"/>
              </w:rPr>
            </w:pPr>
          </w:p>
        </w:tc>
        <w:tc>
          <w:tcPr>
            <w:tcW w:w="1717" w:type="dxa"/>
            <w:vAlign w:val="center"/>
          </w:tcPr>
          <w:p>
            <w:pPr>
              <w:spacing w:line="360" w:lineRule="auto"/>
              <w:rPr>
                <w:rFonts w:ascii="宋体" w:hAnsi="宋体" w:cs="宋体"/>
                <w:szCs w:val="21"/>
              </w:rPr>
            </w:pPr>
          </w:p>
        </w:tc>
        <w:tc>
          <w:tcPr>
            <w:tcW w:w="1674" w:type="dxa"/>
            <w:vAlign w:val="center"/>
          </w:tcPr>
          <w:p>
            <w:pPr>
              <w:spacing w:line="360" w:lineRule="auto"/>
              <w:rPr>
                <w:rFonts w:ascii="宋体" w:hAnsi="宋体" w:cs="宋体"/>
                <w:szCs w:val="21"/>
              </w:rPr>
            </w:pPr>
          </w:p>
        </w:tc>
        <w:tc>
          <w:tcPr>
            <w:tcW w:w="1944" w:type="dxa"/>
            <w:tcBorders>
              <w:top w:val="single" w:color="auto" w:sz="4" w:space="0"/>
              <w:bottom w:val="single" w:color="auto" w:sz="4" w:space="0"/>
            </w:tcBorders>
            <w:vAlign w:val="center"/>
          </w:tcPr>
          <w:p>
            <w:pPr>
              <w:spacing w:line="360" w:lineRule="auto"/>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993" w:type="dxa"/>
            <w:vAlign w:val="center"/>
          </w:tcPr>
          <w:p>
            <w:pPr>
              <w:spacing w:line="360" w:lineRule="auto"/>
              <w:rPr>
                <w:rFonts w:ascii="宋体" w:hAnsi="宋体" w:cs="宋体"/>
                <w:szCs w:val="21"/>
              </w:rPr>
            </w:pPr>
            <w:r>
              <w:rPr>
                <w:rFonts w:hint="eastAsia" w:ascii="宋体" w:hAnsi="宋体" w:cs="宋体"/>
                <w:szCs w:val="21"/>
              </w:rPr>
              <w:t>7</w:t>
            </w:r>
          </w:p>
        </w:tc>
        <w:tc>
          <w:tcPr>
            <w:tcW w:w="1587" w:type="dxa"/>
            <w:vAlign w:val="center"/>
          </w:tcPr>
          <w:p>
            <w:pPr>
              <w:spacing w:line="360" w:lineRule="auto"/>
              <w:rPr>
                <w:rFonts w:ascii="宋体" w:hAnsi="宋体" w:cs="宋体"/>
                <w:szCs w:val="21"/>
              </w:rPr>
            </w:pPr>
          </w:p>
        </w:tc>
        <w:tc>
          <w:tcPr>
            <w:tcW w:w="1243" w:type="dxa"/>
            <w:vAlign w:val="center"/>
          </w:tcPr>
          <w:p>
            <w:pPr>
              <w:spacing w:line="360" w:lineRule="auto"/>
              <w:rPr>
                <w:rFonts w:ascii="宋体" w:hAnsi="宋体" w:cs="宋体"/>
                <w:szCs w:val="21"/>
              </w:rPr>
            </w:pPr>
          </w:p>
        </w:tc>
        <w:tc>
          <w:tcPr>
            <w:tcW w:w="1717" w:type="dxa"/>
            <w:vAlign w:val="center"/>
          </w:tcPr>
          <w:p>
            <w:pPr>
              <w:spacing w:line="360" w:lineRule="auto"/>
              <w:rPr>
                <w:rFonts w:ascii="宋体" w:hAnsi="宋体" w:cs="宋体"/>
                <w:szCs w:val="21"/>
              </w:rPr>
            </w:pPr>
          </w:p>
        </w:tc>
        <w:tc>
          <w:tcPr>
            <w:tcW w:w="1674" w:type="dxa"/>
            <w:vAlign w:val="center"/>
          </w:tcPr>
          <w:p>
            <w:pPr>
              <w:spacing w:line="360" w:lineRule="auto"/>
              <w:rPr>
                <w:rFonts w:ascii="宋体" w:hAnsi="宋体" w:cs="宋体"/>
                <w:szCs w:val="21"/>
              </w:rPr>
            </w:pPr>
          </w:p>
        </w:tc>
        <w:tc>
          <w:tcPr>
            <w:tcW w:w="1944" w:type="dxa"/>
            <w:tcBorders>
              <w:top w:val="single" w:color="auto" w:sz="4" w:space="0"/>
              <w:bottom w:val="single" w:color="auto" w:sz="4" w:space="0"/>
            </w:tcBorders>
            <w:vAlign w:val="center"/>
          </w:tcPr>
          <w:p>
            <w:pPr>
              <w:spacing w:line="360" w:lineRule="auto"/>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993" w:type="dxa"/>
            <w:vAlign w:val="center"/>
          </w:tcPr>
          <w:p>
            <w:pPr>
              <w:spacing w:line="360" w:lineRule="auto"/>
              <w:rPr>
                <w:rFonts w:ascii="宋体" w:hAnsi="宋体" w:cs="宋体"/>
                <w:szCs w:val="21"/>
              </w:rPr>
            </w:pPr>
            <w:r>
              <w:rPr>
                <w:rFonts w:hint="eastAsia" w:ascii="宋体" w:hAnsi="宋体" w:cs="宋体"/>
                <w:szCs w:val="21"/>
              </w:rPr>
              <w:t>8</w:t>
            </w:r>
          </w:p>
        </w:tc>
        <w:tc>
          <w:tcPr>
            <w:tcW w:w="1587" w:type="dxa"/>
            <w:vAlign w:val="center"/>
          </w:tcPr>
          <w:p>
            <w:pPr>
              <w:spacing w:line="360" w:lineRule="auto"/>
              <w:rPr>
                <w:rFonts w:ascii="宋体" w:hAnsi="宋体" w:cs="宋体"/>
                <w:szCs w:val="21"/>
              </w:rPr>
            </w:pPr>
          </w:p>
        </w:tc>
        <w:tc>
          <w:tcPr>
            <w:tcW w:w="1243" w:type="dxa"/>
            <w:vAlign w:val="center"/>
          </w:tcPr>
          <w:p>
            <w:pPr>
              <w:spacing w:line="360" w:lineRule="auto"/>
              <w:rPr>
                <w:rFonts w:ascii="宋体" w:hAnsi="宋体" w:cs="宋体"/>
                <w:szCs w:val="21"/>
              </w:rPr>
            </w:pPr>
          </w:p>
        </w:tc>
        <w:tc>
          <w:tcPr>
            <w:tcW w:w="1717" w:type="dxa"/>
            <w:vAlign w:val="center"/>
          </w:tcPr>
          <w:p>
            <w:pPr>
              <w:spacing w:line="360" w:lineRule="auto"/>
              <w:rPr>
                <w:rFonts w:ascii="宋体" w:hAnsi="宋体" w:cs="宋体"/>
                <w:szCs w:val="21"/>
              </w:rPr>
            </w:pPr>
          </w:p>
        </w:tc>
        <w:tc>
          <w:tcPr>
            <w:tcW w:w="1674" w:type="dxa"/>
            <w:vAlign w:val="center"/>
          </w:tcPr>
          <w:p>
            <w:pPr>
              <w:spacing w:line="360" w:lineRule="auto"/>
              <w:rPr>
                <w:rFonts w:ascii="宋体" w:hAnsi="宋体" w:cs="宋体"/>
                <w:szCs w:val="21"/>
              </w:rPr>
            </w:pPr>
          </w:p>
        </w:tc>
        <w:tc>
          <w:tcPr>
            <w:tcW w:w="1944" w:type="dxa"/>
            <w:tcBorders>
              <w:top w:val="single" w:color="auto" w:sz="4" w:space="0"/>
            </w:tcBorders>
            <w:vAlign w:val="center"/>
          </w:tcPr>
          <w:p>
            <w:pPr>
              <w:spacing w:line="360" w:lineRule="auto"/>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993" w:type="dxa"/>
            <w:vAlign w:val="center"/>
          </w:tcPr>
          <w:p>
            <w:pPr>
              <w:spacing w:line="360" w:lineRule="auto"/>
              <w:rPr>
                <w:rFonts w:ascii="宋体" w:hAnsi="宋体" w:cs="宋体"/>
                <w:szCs w:val="21"/>
              </w:rPr>
            </w:pPr>
            <w:r>
              <w:rPr>
                <w:rFonts w:hint="eastAsia" w:ascii="宋体" w:hAnsi="宋体" w:cs="宋体"/>
                <w:szCs w:val="21"/>
              </w:rPr>
              <w:t>9</w:t>
            </w:r>
          </w:p>
        </w:tc>
        <w:tc>
          <w:tcPr>
            <w:tcW w:w="1587" w:type="dxa"/>
            <w:vAlign w:val="center"/>
          </w:tcPr>
          <w:p>
            <w:pPr>
              <w:spacing w:line="360" w:lineRule="auto"/>
              <w:rPr>
                <w:rFonts w:ascii="宋体" w:hAnsi="宋体" w:cs="宋体"/>
                <w:szCs w:val="21"/>
              </w:rPr>
            </w:pPr>
          </w:p>
        </w:tc>
        <w:tc>
          <w:tcPr>
            <w:tcW w:w="1243" w:type="dxa"/>
            <w:vAlign w:val="center"/>
          </w:tcPr>
          <w:p>
            <w:pPr>
              <w:spacing w:line="360" w:lineRule="auto"/>
              <w:rPr>
                <w:rFonts w:ascii="宋体" w:hAnsi="宋体" w:cs="宋体"/>
                <w:szCs w:val="21"/>
              </w:rPr>
            </w:pPr>
          </w:p>
        </w:tc>
        <w:tc>
          <w:tcPr>
            <w:tcW w:w="1717" w:type="dxa"/>
            <w:vAlign w:val="center"/>
          </w:tcPr>
          <w:p>
            <w:pPr>
              <w:spacing w:line="360" w:lineRule="auto"/>
              <w:rPr>
                <w:rFonts w:ascii="宋体" w:hAnsi="宋体" w:cs="宋体"/>
                <w:szCs w:val="21"/>
              </w:rPr>
            </w:pPr>
          </w:p>
        </w:tc>
        <w:tc>
          <w:tcPr>
            <w:tcW w:w="1674" w:type="dxa"/>
            <w:vAlign w:val="center"/>
          </w:tcPr>
          <w:p>
            <w:pPr>
              <w:spacing w:line="360" w:lineRule="auto"/>
              <w:rPr>
                <w:rFonts w:ascii="宋体" w:hAnsi="宋体" w:cs="宋体"/>
                <w:szCs w:val="21"/>
              </w:rPr>
            </w:pPr>
          </w:p>
        </w:tc>
        <w:tc>
          <w:tcPr>
            <w:tcW w:w="1944" w:type="dxa"/>
            <w:vAlign w:val="center"/>
          </w:tcPr>
          <w:p>
            <w:pPr>
              <w:spacing w:line="360" w:lineRule="auto"/>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993" w:type="dxa"/>
            <w:vAlign w:val="center"/>
          </w:tcPr>
          <w:p>
            <w:pPr>
              <w:spacing w:line="360" w:lineRule="auto"/>
              <w:rPr>
                <w:rFonts w:ascii="宋体" w:hAnsi="宋体" w:cs="宋体"/>
                <w:szCs w:val="21"/>
              </w:rPr>
            </w:pPr>
            <w:r>
              <w:rPr>
                <w:rFonts w:hint="eastAsia" w:ascii="宋体" w:hAnsi="宋体" w:cs="宋体"/>
                <w:szCs w:val="21"/>
              </w:rPr>
              <w:t>10</w:t>
            </w:r>
          </w:p>
        </w:tc>
        <w:tc>
          <w:tcPr>
            <w:tcW w:w="1587" w:type="dxa"/>
            <w:vAlign w:val="center"/>
          </w:tcPr>
          <w:p>
            <w:pPr>
              <w:spacing w:line="360" w:lineRule="auto"/>
              <w:rPr>
                <w:rFonts w:ascii="宋体" w:hAnsi="宋体" w:cs="宋体"/>
                <w:szCs w:val="21"/>
              </w:rPr>
            </w:pPr>
          </w:p>
        </w:tc>
        <w:tc>
          <w:tcPr>
            <w:tcW w:w="1243" w:type="dxa"/>
            <w:vAlign w:val="center"/>
          </w:tcPr>
          <w:p>
            <w:pPr>
              <w:spacing w:line="360" w:lineRule="auto"/>
              <w:rPr>
                <w:rFonts w:ascii="宋体" w:hAnsi="宋体" w:cs="宋体"/>
                <w:szCs w:val="21"/>
              </w:rPr>
            </w:pPr>
          </w:p>
        </w:tc>
        <w:tc>
          <w:tcPr>
            <w:tcW w:w="1717" w:type="dxa"/>
            <w:vAlign w:val="center"/>
          </w:tcPr>
          <w:p>
            <w:pPr>
              <w:spacing w:line="360" w:lineRule="auto"/>
              <w:rPr>
                <w:rFonts w:ascii="宋体" w:hAnsi="宋体" w:cs="宋体"/>
                <w:szCs w:val="21"/>
              </w:rPr>
            </w:pPr>
          </w:p>
        </w:tc>
        <w:tc>
          <w:tcPr>
            <w:tcW w:w="1674" w:type="dxa"/>
            <w:vAlign w:val="center"/>
          </w:tcPr>
          <w:p>
            <w:pPr>
              <w:spacing w:line="360" w:lineRule="auto"/>
              <w:rPr>
                <w:rFonts w:ascii="宋体" w:hAnsi="宋体" w:cs="宋体"/>
                <w:szCs w:val="21"/>
              </w:rPr>
            </w:pPr>
          </w:p>
        </w:tc>
        <w:tc>
          <w:tcPr>
            <w:tcW w:w="1944" w:type="dxa"/>
            <w:vAlign w:val="center"/>
          </w:tcPr>
          <w:p>
            <w:pPr>
              <w:spacing w:line="360" w:lineRule="auto"/>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993" w:type="dxa"/>
            <w:vAlign w:val="center"/>
          </w:tcPr>
          <w:p>
            <w:pPr>
              <w:spacing w:line="360" w:lineRule="auto"/>
              <w:rPr>
                <w:rFonts w:ascii="宋体" w:hAnsi="宋体" w:cs="宋体"/>
                <w:szCs w:val="21"/>
              </w:rPr>
            </w:pPr>
            <w:r>
              <w:rPr>
                <w:rFonts w:hint="eastAsia" w:ascii="宋体" w:hAnsi="宋体" w:cs="宋体"/>
                <w:szCs w:val="21"/>
              </w:rPr>
              <w:t>…</w:t>
            </w:r>
          </w:p>
        </w:tc>
        <w:tc>
          <w:tcPr>
            <w:tcW w:w="1587" w:type="dxa"/>
            <w:vAlign w:val="center"/>
          </w:tcPr>
          <w:p>
            <w:pPr>
              <w:spacing w:line="360" w:lineRule="auto"/>
              <w:rPr>
                <w:rFonts w:ascii="宋体" w:hAnsi="宋体" w:cs="宋体"/>
                <w:szCs w:val="21"/>
              </w:rPr>
            </w:pPr>
          </w:p>
        </w:tc>
        <w:tc>
          <w:tcPr>
            <w:tcW w:w="1243" w:type="dxa"/>
            <w:vAlign w:val="center"/>
          </w:tcPr>
          <w:p>
            <w:pPr>
              <w:spacing w:line="360" w:lineRule="auto"/>
              <w:rPr>
                <w:rFonts w:ascii="宋体" w:hAnsi="宋体" w:cs="宋体"/>
                <w:szCs w:val="21"/>
              </w:rPr>
            </w:pPr>
          </w:p>
        </w:tc>
        <w:tc>
          <w:tcPr>
            <w:tcW w:w="1717" w:type="dxa"/>
            <w:vAlign w:val="center"/>
          </w:tcPr>
          <w:p>
            <w:pPr>
              <w:spacing w:line="360" w:lineRule="auto"/>
              <w:rPr>
                <w:rFonts w:ascii="宋体" w:hAnsi="宋体" w:cs="宋体"/>
                <w:szCs w:val="21"/>
              </w:rPr>
            </w:pPr>
          </w:p>
        </w:tc>
        <w:tc>
          <w:tcPr>
            <w:tcW w:w="1674" w:type="dxa"/>
            <w:vAlign w:val="center"/>
          </w:tcPr>
          <w:p>
            <w:pPr>
              <w:spacing w:line="360" w:lineRule="auto"/>
              <w:rPr>
                <w:rFonts w:ascii="宋体" w:hAnsi="宋体" w:cs="宋体"/>
                <w:szCs w:val="21"/>
              </w:rPr>
            </w:pPr>
          </w:p>
        </w:tc>
        <w:tc>
          <w:tcPr>
            <w:tcW w:w="1944" w:type="dxa"/>
            <w:vAlign w:val="center"/>
          </w:tcPr>
          <w:p>
            <w:pPr>
              <w:spacing w:line="360" w:lineRule="auto"/>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993" w:type="dxa"/>
            <w:vAlign w:val="center"/>
          </w:tcPr>
          <w:p>
            <w:pPr>
              <w:spacing w:line="360" w:lineRule="auto"/>
              <w:rPr>
                <w:rFonts w:ascii="宋体" w:hAnsi="宋体" w:cs="宋体"/>
                <w:szCs w:val="21"/>
              </w:rPr>
            </w:pPr>
          </w:p>
        </w:tc>
        <w:tc>
          <w:tcPr>
            <w:tcW w:w="1587" w:type="dxa"/>
            <w:vAlign w:val="center"/>
          </w:tcPr>
          <w:p>
            <w:pPr>
              <w:spacing w:line="360" w:lineRule="auto"/>
              <w:rPr>
                <w:rFonts w:ascii="宋体" w:hAnsi="宋体" w:cs="宋体"/>
                <w:szCs w:val="21"/>
              </w:rPr>
            </w:pPr>
          </w:p>
        </w:tc>
        <w:tc>
          <w:tcPr>
            <w:tcW w:w="1243" w:type="dxa"/>
            <w:vAlign w:val="center"/>
          </w:tcPr>
          <w:p>
            <w:pPr>
              <w:spacing w:line="360" w:lineRule="auto"/>
              <w:rPr>
                <w:rFonts w:ascii="宋体" w:hAnsi="宋体" w:cs="宋体"/>
                <w:szCs w:val="21"/>
              </w:rPr>
            </w:pPr>
          </w:p>
        </w:tc>
        <w:tc>
          <w:tcPr>
            <w:tcW w:w="1717" w:type="dxa"/>
            <w:vAlign w:val="center"/>
          </w:tcPr>
          <w:p>
            <w:pPr>
              <w:spacing w:line="360" w:lineRule="auto"/>
              <w:rPr>
                <w:rFonts w:ascii="宋体" w:hAnsi="宋体" w:cs="宋体"/>
                <w:szCs w:val="21"/>
              </w:rPr>
            </w:pPr>
          </w:p>
        </w:tc>
        <w:tc>
          <w:tcPr>
            <w:tcW w:w="1674" w:type="dxa"/>
            <w:vAlign w:val="center"/>
          </w:tcPr>
          <w:p>
            <w:pPr>
              <w:spacing w:line="360" w:lineRule="auto"/>
              <w:rPr>
                <w:rFonts w:ascii="宋体" w:hAnsi="宋体" w:cs="宋体"/>
                <w:szCs w:val="21"/>
              </w:rPr>
            </w:pPr>
          </w:p>
        </w:tc>
        <w:tc>
          <w:tcPr>
            <w:tcW w:w="1944" w:type="dxa"/>
            <w:vAlign w:val="center"/>
          </w:tcPr>
          <w:p>
            <w:pPr>
              <w:spacing w:line="360" w:lineRule="auto"/>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993" w:type="dxa"/>
            <w:vAlign w:val="center"/>
          </w:tcPr>
          <w:p>
            <w:pPr>
              <w:spacing w:line="360" w:lineRule="auto"/>
              <w:rPr>
                <w:rFonts w:ascii="宋体" w:hAnsi="宋体" w:cs="宋体"/>
                <w:szCs w:val="21"/>
              </w:rPr>
            </w:pPr>
          </w:p>
        </w:tc>
        <w:tc>
          <w:tcPr>
            <w:tcW w:w="1587" w:type="dxa"/>
            <w:vAlign w:val="center"/>
          </w:tcPr>
          <w:p>
            <w:pPr>
              <w:spacing w:line="360" w:lineRule="auto"/>
              <w:rPr>
                <w:rFonts w:ascii="宋体" w:hAnsi="宋体" w:cs="宋体"/>
                <w:szCs w:val="21"/>
              </w:rPr>
            </w:pPr>
          </w:p>
        </w:tc>
        <w:tc>
          <w:tcPr>
            <w:tcW w:w="1243" w:type="dxa"/>
            <w:vAlign w:val="center"/>
          </w:tcPr>
          <w:p>
            <w:pPr>
              <w:spacing w:line="360" w:lineRule="auto"/>
              <w:rPr>
                <w:rFonts w:ascii="宋体" w:hAnsi="宋体" w:cs="宋体"/>
                <w:szCs w:val="21"/>
              </w:rPr>
            </w:pPr>
          </w:p>
        </w:tc>
        <w:tc>
          <w:tcPr>
            <w:tcW w:w="1717" w:type="dxa"/>
            <w:vAlign w:val="center"/>
          </w:tcPr>
          <w:p>
            <w:pPr>
              <w:spacing w:line="360" w:lineRule="auto"/>
              <w:rPr>
                <w:rFonts w:ascii="宋体" w:hAnsi="宋体" w:cs="宋体"/>
                <w:szCs w:val="21"/>
              </w:rPr>
            </w:pPr>
          </w:p>
        </w:tc>
        <w:tc>
          <w:tcPr>
            <w:tcW w:w="1674" w:type="dxa"/>
            <w:vAlign w:val="center"/>
          </w:tcPr>
          <w:p>
            <w:pPr>
              <w:spacing w:line="360" w:lineRule="auto"/>
              <w:rPr>
                <w:rFonts w:ascii="宋体" w:hAnsi="宋体" w:cs="宋体"/>
                <w:szCs w:val="21"/>
              </w:rPr>
            </w:pPr>
          </w:p>
        </w:tc>
        <w:tc>
          <w:tcPr>
            <w:tcW w:w="1944" w:type="dxa"/>
            <w:vAlign w:val="center"/>
          </w:tcPr>
          <w:p>
            <w:pPr>
              <w:spacing w:line="360" w:lineRule="auto"/>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993" w:type="dxa"/>
            <w:vAlign w:val="center"/>
          </w:tcPr>
          <w:p>
            <w:pPr>
              <w:spacing w:line="360" w:lineRule="auto"/>
              <w:rPr>
                <w:rFonts w:ascii="宋体" w:hAnsi="宋体" w:cs="宋体"/>
                <w:szCs w:val="21"/>
              </w:rPr>
            </w:pPr>
          </w:p>
        </w:tc>
        <w:tc>
          <w:tcPr>
            <w:tcW w:w="1587" w:type="dxa"/>
            <w:vAlign w:val="center"/>
          </w:tcPr>
          <w:p>
            <w:pPr>
              <w:spacing w:line="360" w:lineRule="auto"/>
              <w:rPr>
                <w:rFonts w:ascii="宋体" w:hAnsi="宋体" w:cs="宋体"/>
                <w:szCs w:val="21"/>
              </w:rPr>
            </w:pPr>
          </w:p>
        </w:tc>
        <w:tc>
          <w:tcPr>
            <w:tcW w:w="1243" w:type="dxa"/>
            <w:vAlign w:val="center"/>
          </w:tcPr>
          <w:p>
            <w:pPr>
              <w:spacing w:line="360" w:lineRule="auto"/>
              <w:rPr>
                <w:rFonts w:ascii="宋体" w:hAnsi="宋体" w:cs="宋体"/>
                <w:szCs w:val="21"/>
              </w:rPr>
            </w:pPr>
          </w:p>
        </w:tc>
        <w:tc>
          <w:tcPr>
            <w:tcW w:w="1717" w:type="dxa"/>
            <w:vAlign w:val="center"/>
          </w:tcPr>
          <w:p>
            <w:pPr>
              <w:spacing w:line="360" w:lineRule="auto"/>
              <w:rPr>
                <w:rFonts w:ascii="宋体" w:hAnsi="宋体" w:cs="宋体"/>
                <w:szCs w:val="21"/>
              </w:rPr>
            </w:pPr>
          </w:p>
        </w:tc>
        <w:tc>
          <w:tcPr>
            <w:tcW w:w="1674" w:type="dxa"/>
            <w:vAlign w:val="center"/>
          </w:tcPr>
          <w:p>
            <w:pPr>
              <w:spacing w:line="360" w:lineRule="auto"/>
              <w:rPr>
                <w:rFonts w:ascii="宋体" w:hAnsi="宋体" w:cs="宋体"/>
                <w:szCs w:val="21"/>
              </w:rPr>
            </w:pPr>
          </w:p>
        </w:tc>
        <w:tc>
          <w:tcPr>
            <w:tcW w:w="1944" w:type="dxa"/>
            <w:vAlign w:val="center"/>
          </w:tcPr>
          <w:p>
            <w:pPr>
              <w:spacing w:line="360" w:lineRule="auto"/>
              <w:rPr>
                <w:rFonts w:ascii="宋体" w:hAnsi="宋体" w:cs="宋体"/>
                <w:szCs w:val="21"/>
              </w:rPr>
            </w:pPr>
          </w:p>
        </w:tc>
      </w:tr>
    </w:tbl>
    <w:p>
      <w:pPr>
        <w:widowControl/>
        <w:snapToGrid w:val="0"/>
        <w:spacing w:before="50"/>
        <w:jc w:val="left"/>
        <w:rPr>
          <w:rFonts w:ascii="宋体" w:hAnsi="宋体" w:cs="宋体"/>
          <w:kern w:val="0"/>
          <w:szCs w:val="21"/>
        </w:rPr>
      </w:pPr>
      <w:r>
        <w:rPr>
          <w:rFonts w:hint="eastAsia" w:ascii="宋体" w:hAnsi="宋体" w:cs="宋体"/>
          <w:kern w:val="0"/>
          <w:szCs w:val="21"/>
        </w:rPr>
        <w:t>注：后附人员相关证书</w:t>
      </w:r>
      <w:r>
        <w:rPr>
          <w:rFonts w:hint="eastAsia" w:ascii="宋体" w:hAnsi="宋体" w:cs="宋体"/>
          <w:kern w:val="0"/>
          <w:szCs w:val="21"/>
          <w:lang w:val="en-US" w:eastAsia="zh-CN"/>
        </w:rPr>
        <w:t>复印件</w:t>
      </w:r>
      <w:r>
        <w:rPr>
          <w:rFonts w:hint="eastAsia" w:ascii="宋体" w:hAnsi="宋体" w:cs="宋体"/>
          <w:kern w:val="0"/>
          <w:szCs w:val="21"/>
        </w:rPr>
        <w:t>。</w:t>
      </w:r>
    </w:p>
    <w:p>
      <w:pPr>
        <w:spacing w:line="400" w:lineRule="exact"/>
        <w:rPr>
          <w:rFonts w:ascii="宋体" w:hAnsi="宋体" w:cs="宋体"/>
          <w:b/>
          <w:szCs w:val="21"/>
        </w:rPr>
      </w:pPr>
    </w:p>
    <w:p>
      <w:pPr>
        <w:pStyle w:val="15"/>
      </w:pPr>
    </w:p>
    <w:p>
      <w:pPr>
        <w:widowControl/>
        <w:snapToGrid w:val="0"/>
        <w:spacing w:before="50"/>
        <w:jc w:val="left"/>
        <w:rPr>
          <w:rFonts w:ascii="宋体" w:hAnsi="宋体" w:cs="宋体"/>
          <w:kern w:val="0"/>
          <w:szCs w:val="21"/>
        </w:rPr>
      </w:pPr>
      <w:r>
        <w:rPr>
          <w:rFonts w:hint="eastAsia" w:ascii="宋体" w:hAnsi="宋体" w:cs="宋体"/>
          <w:kern w:val="0"/>
          <w:szCs w:val="21"/>
        </w:rPr>
        <w:t>供应商名称（公章）：</w:t>
      </w:r>
    </w:p>
    <w:p>
      <w:pPr>
        <w:widowControl/>
        <w:snapToGrid w:val="0"/>
        <w:spacing w:before="50"/>
        <w:jc w:val="left"/>
        <w:rPr>
          <w:rFonts w:ascii="宋体" w:hAnsi="宋体" w:cs="宋体"/>
          <w:kern w:val="0"/>
          <w:szCs w:val="21"/>
        </w:rPr>
      </w:pPr>
      <w:r>
        <w:rPr>
          <w:rFonts w:hint="eastAsia" w:ascii="宋体" w:hAnsi="宋体" w:cs="宋体"/>
          <w:kern w:val="0"/>
          <w:szCs w:val="21"/>
        </w:rPr>
        <w:t>法定代表人或授权代表（签</w:t>
      </w:r>
      <w:r>
        <w:rPr>
          <w:rFonts w:hint="eastAsia" w:ascii="宋体" w:hAnsi="宋体" w:cs="宋体"/>
          <w:kern w:val="0"/>
          <w:szCs w:val="21"/>
          <w:lang w:val="en-US" w:eastAsia="zh-CN"/>
        </w:rPr>
        <w:t>字</w:t>
      </w:r>
      <w:r>
        <w:rPr>
          <w:rFonts w:hint="eastAsia" w:ascii="宋体" w:hAnsi="宋体" w:cs="宋体"/>
          <w:kern w:val="0"/>
          <w:szCs w:val="21"/>
        </w:rPr>
        <w:t>或</w:t>
      </w:r>
      <w:r>
        <w:rPr>
          <w:rFonts w:hint="eastAsia" w:ascii="宋体" w:hAnsi="宋体" w:cs="宋体"/>
          <w:kern w:val="0"/>
          <w:szCs w:val="21"/>
          <w:lang w:val="en-US" w:eastAsia="zh-CN"/>
        </w:rPr>
        <w:t>盖</w:t>
      </w:r>
      <w:r>
        <w:rPr>
          <w:rFonts w:hint="eastAsia" w:ascii="宋体" w:hAnsi="宋体" w:cs="宋体"/>
          <w:kern w:val="0"/>
          <w:szCs w:val="21"/>
        </w:rPr>
        <w:t>章）：</w:t>
      </w:r>
    </w:p>
    <w:p>
      <w:pPr>
        <w:widowControl/>
        <w:snapToGrid w:val="0"/>
        <w:spacing w:before="50"/>
        <w:jc w:val="left"/>
        <w:rPr>
          <w:rFonts w:ascii="宋体" w:hAnsi="宋体" w:cs="宋体"/>
          <w:kern w:val="0"/>
          <w:szCs w:val="21"/>
        </w:rPr>
      </w:pPr>
    </w:p>
    <w:p>
      <w:pPr>
        <w:widowControl/>
        <w:snapToGrid w:val="0"/>
        <w:spacing w:before="50"/>
        <w:jc w:val="left"/>
        <w:rPr>
          <w:rFonts w:ascii="宋体" w:hAnsi="宋体" w:cs="宋体"/>
          <w:kern w:val="0"/>
          <w:szCs w:val="21"/>
        </w:rPr>
      </w:pPr>
      <w:r>
        <w:rPr>
          <w:rFonts w:hint="eastAsia" w:ascii="宋体" w:hAnsi="宋体" w:cs="宋体"/>
          <w:kern w:val="0"/>
          <w:szCs w:val="21"/>
        </w:rPr>
        <w:t xml:space="preserve">                                                              年    月    日</w:t>
      </w:r>
    </w:p>
    <w:p>
      <w:pPr>
        <w:widowControl/>
        <w:snapToGrid w:val="0"/>
        <w:spacing w:before="120" w:beforeLines="50" w:after="50"/>
        <w:jc w:val="left"/>
        <w:rPr>
          <w:rFonts w:ascii="宋体" w:hAnsi="宋体" w:cs="宋体"/>
          <w:b/>
          <w:bCs/>
          <w:kern w:val="0"/>
          <w:szCs w:val="21"/>
        </w:rPr>
      </w:pPr>
    </w:p>
    <w:p>
      <w:pPr>
        <w:widowControl/>
        <w:snapToGrid w:val="0"/>
        <w:spacing w:before="120" w:beforeLines="50" w:after="50"/>
        <w:jc w:val="left"/>
        <w:rPr>
          <w:rFonts w:ascii="宋体" w:hAnsi="宋体" w:cs="宋体"/>
          <w:b/>
          <w:bCs/>
          <w:kern w:val="0"/>
          <w:szCs w:val="21"/>
        </w:rPr>
      </w:pPr>
    </w:p>
    <w:p>
      <w:pPr>
        <w:widowControl/>
        <w:snapToGrid w:val="0"/>
        <w:spacing w:before="120" w:beforeLines="50" w:after="50"/>
        <w:jc w:val="left"/>
        <w:rPr>
          <w:rFonts w:ascii="宋体" w:hAnsi="宋体" w:cs="宋体"/>
          <w:kern w:val="0"/>
          <w:szCs w:val="21"/>
        </w:rPr>
      </w:pPr>
    </w:p>
    <w:p>
      <w:pPr>
        <w:widowControl/>
        <w:snapToGrid w:val="0"/>
        <w:spacing w:before="120" w:beforeLines="50" w:after="50"/>
        <w:jc w:val="left"/>
        <w:rPr>
          <w:rFonts w:ascii="宋体" w:hAnsi="宋体" w:cs="宋体"/>
          <w:kern w:val="0"/>
          <w:szCs w:val="21"/>
        </w:rPr>
      </w:pPr>
    </w:p>
    <w:p>
      <w:pPr>
        <w:pStyle w:val="57"/>
      </w:pPr>
    </w:p>
    <w:p>
      <w:pPr>
        <w:widowControl/>
        <w:snapToGrid w:val="0"/>
        <w:spacing w:before="120" w:beforeLines="50" w:after="50"/>
        <w:jc w:val="left"/>
        <w:rPr>
          <w:rFonts w:ascii="宋体" w:hAnsi="宋体" w:cs="宋体"/>
          <w:kern w:val="0"/>
          <w:szCs w:val="21"/>
        </w:rPr>
      </w:pPr>
    </w:p>
    <w:p>
      <w:pPr>
        <w:widowControl/>
        <w:snapToGrid w:val="0"/>
        <w:spacing w:before="120" w:beforeLines="50" w:after="50"/>
        <w:jc w:val="left"/>
        <w:rPr>
          <w:rFonts w:ascii="宋体" w:hAnsi="宋体" w:cs="宋体"/>
          <w:kern w:val="0"/>
          <w:szCs w:val="21"/>
        </w:rPr>
      </w:pPr>
    </w:p>
    <w:p>
      <w:pPr>
        <w:sectPr>
          <w:headerReference r:id="rId7" w:type="default"/>
          <w:footerReference r:id="rId8" w:type="default"/>
          <w:pgSz w:w="11906" w:h="16838"/>
          <w:pgMar w:top="1304" w:right="1797" w:bottom="1247" w:left="1797" w:header="720" w:footer="720" w:gutter="0"/>
          <w:pgBorders>
            <w:top w:val="none" w:sz="0" w:space="0"/>
            <w:left w:val="none" w:sz="0" w:space="0"/>
            <w:bottom w:val="none" w:sz="0" w:space="0"/>
            <w:right w:val="none" w:sz="0" w:space="0"/>
          </w:pgBorders>
          <w:cols w:space="0" w:num="1"/>
          <w:titlePg/>
          <w:rtlGutter w:val="0"/>
          <w:docGrid w:linePitch="285" w:charSpace="0"/>
        </w:sectPr>
      </w:pPr>
    </w:p>
    <w:p>
      <w:pPr>
        <w:widowControl/>
        <w:snapToGrid w:val="0"/>
        <w:spacing w:before="120" w:beforeLines="50" w:after="50"/>
        <w:jc w:val="left"/>
        <w:rPr>
          <w:rFonts w:ascii="宋体" w:hAnsi="宋体" w:cs="宋体"/>
          <w:kern w:val="0"/>
          <w:szCs w:val="21"/>
          <w:u w:val="single"/>
        </w:rPr>
      </w:pPr>
      <w:r>
        <w:rPr>
          <w:rFonts w:hint="eastAsia" w:ascii="宋体" w:hAnsi="宋体" w:cs="宋体"/>
          <w:b/>
          <w:bCs/>
          <w:kern w:val="0"/>
          <w:szCs w:val="21"/>
        </w:rPr>
        <w:t>13.开标一览表</w:t>
      </w:r>
    </w:p>
    <w:p>
      <w:pPr>
        <w:widowControl/>
        <w:snapToGrid w:val="0"/>
        <w:spacing w:before="120" w:beforeLines="50" w:after="50"/>
        <w:jc w:val="center"/>
        <w:rPr>
          <w:rFonts w:ascii="宋体" w:hAnsi="宋体" w:cs="宋体"/>
          <w:b/>
          <w:kern w:val="0"/>
          <w:szCs w:val="21"/>
        </w:rPr>
      </w:pPr>
      <w:r>
        <w:rPr>
          <w:rFonts w:hint="eastAsia" w:ascii="宋体" w:hAnsi="宋体" w:cs="宋体"/>
          <w:b/>
          <w:kern w:val="0"/>
          <w:szCs w:val="21"/>
        </w:rPr>
        <w:t>开标一览表</w:t>
      </w:r>
    </w:p>
    <w:p>
      <w:pPr>
        <w:pStyle w:val="182"/>
        <w:ind w:firstLine="422"/>
        <w:rPr>
          <w:rFonts w:ascii="宋体" w:hAnsi="宋体" w:cs="宋体"/>
          <w:b/>
          <w:kern w:val="0"/>
          <w:szCs w:val="21"/>
        </w:rPr>
      </w:pPr>
    </w:p>
    <w:p>
      <w:pPr>
        <w:pStyle w:val="182"/>
        <w:ind w:firstLine="422"/>
        <w:rPr>
          <w:rFonts w:ascii="宋体" w:hAnsi="宋体" w:cs="宋体"/>
          <w:b/>
          <w:kern w:val="0"/>
          <w:szCs w:val="21"/>
        </w:rPr>
      </w:pPr>
    </w:p>
    <w:p>
      <w:pPr>
        <w:pStyle w:val="182"/>
        <w:ind w:firstLine="422"/>
        <w:rPr>
          <w:rFonts w:ascii="宋体" w:hAnsi="宋体" w:cs="宋体"/>
          <w:b/>
          <w:kern w:val="0"/>
          <w:szCs w:val="21"/>
        </w:rPr>
      </w:pPr>
    </w:p>
    <w:p>
      <w:pPr>
        <w:snapToGrid w:val="0"/>
        <w:spacing w:before="50" w:after="50"/>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w:t>
      </w:r>
    </w:p>
    <w:tbl>
      <w:tblPr>
        <w:tblStyle w:val="49"/>
        <w:tblW w:w="8402" w:type="dxa"/>
        <w:tblInd w:w="11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275"/>
        <w:gridCol w:w="2850"/>
        <w:gridCol w:w="23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943" w:type="dxa"/>
            <w:vAlign w:val="center"/>
          </w:tcPr>
          <w:p>
            <w:pPr>
              <w:spacing w:line="400" w:lineRule="exact"/>
              <w:jc w:val="center"/>
              <w:rPr>
                <w:rFonts w:ascii="宋体" w:hAnsi="宋体" w:cs="宋体"/>
                <w:szCs w:val="21"/>
              </w:rPr>
            </w:pPr>
            <w:r>
              <w:rPr>
                <w:rFonts w:hint="eastAsia" w:ascii="宋体" w:hAnsi="宋体" w:cs="宋体"/>
                <w:szCs w:val="21"/>
              </w:rPr>
              <w:t>序号</w:t>
            </w:r>
          </w:p>
        </w:tc>
        <w:tc>
          <w:tcPr>
            <w:tcW w:w="2275" w:type="dxa"/>
            <w:vAlign w:val="center"/>
          </w:tcPr>
          <w:p>
            <w:pPr>
              <w:spacing w:line="400" w:lineRule="exact"/>
              <w:jc w:val="center"/>
              <w:rPr>
                <w:rFonts w:ascii="宋体" w:hAnsi="宋体" w:cs="宋体"/>
                <w:szCs w:val="21"/>
              </w:rPr>
            </w:pPr>
            <w:r>
              <w:rPr>
                <w:rFonts w:hint="eastAsia" w:ascii="宋体" w:hAnsi="宋体" w:cs="宋体"/>
                <w:szCs w:val="21"/>
              </w:rPr>
              <w:t>项目名称</w:t>
            </w:r>
          </w:p>
        </w:tc>
        <w:tc>
          <w:tcPr>
            <w:tcW w:w="2850" w:type="dxa"/>
            <w:vAlign w:val="center"/>
          </w:tcPr>
          <w:p>
            <w:pPr>
              <w:spacing w:line="400" w:lineRule="exact"/>
              <w:jc w:val="center"/>
              <w:rPr>
                <w:rFonts w:ascii="宋体" w:hAnsi="宋体" w:cs="宋体"/>
                <w:szCs w:val="21"/>
              </w:rPr>
            </w:pPr>
            <w:r>
              <w:rPr>
                <w:rFonts w:hint="eastAsia" w:ascii="宋体" w:hAnsi="宋体" w:cs="宋体"/>
                <w:szCs w:val="21"/>
              </w:rPr>
              <w:t>投标报价（</w:t>
            </w:r>
            <w:r>
              <w:rPr>
                <w:rFonts w:hint="eastAsia" w:ascii="宋体" w:hAnsi="宋体" w:cs="宋体"/>
                <w:szCs w:val="21"/>
                <w:lang w:val="en-US" w:eastAsia="zh-CN"/>
              </w:rPr>
              <w:t>元</w:t>
            </w:r>
            <w:r>
              <w:rPr>
                <w:rFonts w:hint="eastAsia" w:ascii="宋体" w:hAnsi="宋体" w:cs="宋体"/>
                <w:szCs w:val="21"/>
              </w:rPr>
              <w:t>）</w:t>
            </w:r>
          </w:p>
        </w:tc>
        <w:tc>
          <w:tcPr>
            <w:tcW w:w="2334" w:type="dxa"/>
            <w:vAlign w:val="center"/>
          </w:tcPr>
          <w:p>
            <w:pPr>
              <w:spacing w:line="400" w:lineRule="exact"/>
              <w:jc w:val="center"/>
              <w:rPr>
                <w:rFonts w:ascii="宋体" w:hAnsi="宋体" w:cs="宋体"/>
                <w:szCs w:val="21"/>
              </w:rPr>
            </w:pPr>
            <w:r>
              <w:rPr>
                <w:rFonts w:hint="eastAsia" w:ascii="宋体" w:hAnsi="宋体" w:cs="宋体"/>
                <w:szCs w:val="21"/>
              </w:rPr>
              <w:t>服务期限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943" w:type="dxa"/>
            <w:vAlign w:val="center"/>
          </w:tcPr>
          <w:p>
            <w:pPr>
              <w:spacing w:line="400" w:lineRule="exact"/>
              <w:jc w:val="center"/>
              <w:rPr>
                <w:rFonts w:ascii="宋体" w:hAnsi="宋体" w:cs="宋体"/>
                <w:szCs w:val="21"/>
              </w:rPr>
            </w:pPr>
            <w:r>
              <w:rPr>
                <w:rFonts w:hint="eastAsia" w:ascii="宋体" w:hAnsi="宋体" w:cs="宋体"/>
                <w:szCs w:val="21"/>
              </w:rPr>
              <w:t>1</w:t>
            </w:r>
          </w:p>
        </w:tc>
        <w:tc>
          <w:tcPr>
            <w:tcW w:w="2275" w:type="dxa"/>
            <w:vAlign w:val="center"/>
          </w:tcPr>
          <w:p>
            <w:pPr>
              <w:spacing w:line="400" w:lineRule="exact"/>
              <w:jc w:val="center"/>
              <w:rPr>
                <w:rFonts w:ascii="宋体" w:hAnsi="宋体" w:cs="宋体"/>
                <w:szCs w:val="21"/>
              </w:rPr>
            </w:pPr>
            <w:r>
              <w:rPr>
                <w:rFonts w:hint="eastAsia" w:ascii="宋体" w:hAnsi="宋体" w:cs="宋体"/>
                <w:szCs w:val="21"/>
              </w:rPr>
              <w:t xml:space="preserve"> </w:t>
            </w:r>
          </w:p>
        </w:tc>
        <w:tc>
          <w:tcPr>
            <w:tcW w:w="2850" w:type="dxa"/>
            <w:vAlign w:val="center"/>
          </w:tcPr>
          <w:p>
            <w:pPr>
              <w:spacing w:line="400" w:lineRule="exact"/>
              <w:rPr>
                <w:rFonts w:ascii="宋体" w:hAnsi="宋体" w:cs="宋体"/>
                <w:szCs w:val="21"/>
              </w:rPr>
            </w:pPr>
            <w:r>
              <w:rPr>
                <w:rFonts w:hint="eastAsia" w:ascii="宋体" w:hAnsi="宋体" w:cs="宋体"/>
                <w:szCs w:val="21"/>
              </w:rPr>
              <w:t>小写：</w:t>
            </w:r>
          </w:p>
          <w:p>
            <w:pPr>
              <w:spacing w:line="400" w:lineRule="exact"/>
              <w:rPr>
                <w:rFonts w:ascii="宋体" w:hAnsi="宋体" w:cs="宋体"/>
                <w:szCs w:val="21"/>
              </w:rPr>
            </w:pPr>
            <w:r>
              <w:rPr>
                <w:rFonts w:hint="eastAsia" w:ascii="宋体" w:hAnsi="宋体" w:cs="宋体"/>
                <w:szCs w:val="21"/>
              </w:rPr>
              <w:t>大写：</w:t>
            </w:r>
          </w:p>
        </w:tc>
        <w:tc>
          <w:tcPr>
            <w:tcW w:w="2334" w:type="dxa"/>
            <w:vAlign w:val="center"/>
          </w:tcPr>
          <w:p>
            <w:pPr>
              <w:spacing w:line="400" w:lineRule="exact"/>
              <w:jc w:val="center"/>
              <w:rPr>
                <w:rFonts w:ascii="宋体" w:hAnsi="宋体" w:cs="宋体"/>
                <w:szCs w:val="21"/>
              </w:rPr>
            </w:pPr>
            <w:r>
              <w:rPr>
                <w:rFonts w:hint="eastAsia" w:ascii="宋体" w:hAnsi="宋体" w:cs="宋体"/>
                <w:szCs w:val="21"/>
              </w:rPr>
              <w:t xml:space="preserve"> </w:t>
            </w:r>
          </w:p>
        </w:tc>
      </w:tr>
    </w:tbl>
    <w:p>
      <w:pPr>
        <w:pStyle w:val="182"/>
        <w:ind w:firstLine="422"/>
        <w:rPr>
          <w:rFonts w:ascii="宋体" w:hAnsi="宋体" w:cs="宋体"/>
          <w:b/>
          <w:kern w:val="0"/>
          <w:szCs w:val="21"/>
        </w:rPr>
      </w:pPr>
    </w:p>
    <w:p>
      <w:pPr>
        <w:pStyle w:val="46"/>
        <w:widowControl w:val="0"/>
        <w:spacing w:before="0" w:beforeAutospacing="0" w:after="0" w:afterAutospacing="0" w:line="360" w:lineRule="auto"/>
        <w:jc w:val="both"/>
        <w:rPr>
          <w:rFonts w:ascii="宋体" w:hAnsi="宋体" w:cs="宋体"/>
          <w:spacing w:val="-4"/>
          <w:kern w:val="2"/>
          <w:sz w:val="21"/>
          <w:szCs w:val="21"/>
          <w:lang w:bidi="ar"/>
        </w:rPr>
      </w:pPr>
      <w:r>
        <w:rPr>
          <w:rFonts w:hint="eastAsia" w:ascii="宋体" w:hAnsi="宋体" w:cs="宋体"/>
          <w:spacing w:val="-4"/>
          <w:kern w:val="2"/>
          <w:sz w:val="21"/>
          <w:szCs w:val="21"/>
          <w:lang w:bidi="ar"/>
        </w:rPr>
        <w:t>注： 1、若供应商尚有其它内容需明列的，请按此表格式扩展。</w:t>
      </w:r>
    </w:p>
    <w:p>
      <w:pPr>
        <w:pStyle w:val="46"/>
        <w:widowControl w:val="0"/>
        <w:spacing w:before="0" w:beforeAutospacing="0" w:after="0" w:afterAutospacing="0" w:line="360" w:lineRule="auto"/>
        <w:jc w:val="both"/>
        <w:rPr>
          <w:rFonts w:ascii="宋体" w:hAnsi="宋体" w:cs="宋体"/>
          <w:spacing w:val="-4"/>
          <w:kern w:val="2"/>
          <w:sz w:val="21"/>
          <w:szCs w:val="21"/>
          <w:lang w:bidi="ar"/>
        </w:rPr>
      </w:pPr>
      <w:r>
        <w:rPr>
          <w:rFonts w:hint="eastAsia" w:ascii="宋体" w:hAnsi="宋体" w:cs="宋体"/>
          <w:spacing w:val="-4"/>
          <w:kern w:val="2"/>
          <w:sz w:val="21"/>
          <w:szCs w:val="21"/>
          <w:lang w:bidi="ar"/>
        </w:rPr>
        <w:t>2、以上投标报价应与“投标报价明细表”中的“</w:t>
      </w:r>
      <w:r>
        <w:rPr>
          <w:rFonts w:hint="eastAsia" w:ascii="宋体" w:hAnsi="宋体" w:cs="宋体"/>
          <w:spacing w:val="-4"/>
          <w:kern w:val="2"/>
          <w:sz w:val="21"/>
          <w:szCs w:val="21"/>
          <w:lang w:val="en-US" w:eastAsia="zh-CN" w:bidi="ar"/>
        </w:rPr>
        <w:t>一年</w:t>
      </w:r>
      <w:r>
        <w:rPr>
          <w:rFonts w:hint="eastAsia" w:ascii="宋体" w:hAnsi="宋体" w:cs="宋体"/>
          <w:spacing w:val="-4"/>
          <w:kern w:val="2"/>
          <w:sz w:val="21"/>
          <w:szCs w:val="21"/>
          <w:lang w:bidi="ar"/>
        </w:rPr>
        <w:t>投标总价”相一致。</w:t>
      </w:r>
    </w:p>
    <w:p>
      <w:pPr>
        <w:widowControl/>
        <w:spacing w:line="360" w:lineRule="auto"/>
        <w:jc w:val="left"/>
        <w:rPr>
          <w:rFonts w:ascii="宋体" w:hAnsi="宋体" w:cs="宋体"/>
          <w:kern w:val="0"/>
          <w:szCs w:val="21"/>
        </w:rPr>
      </w:pPr>
    </w:p>
    <w:p>
      <w:pPr>
        <w:pStyle w:val="15"/>
      </w:pPr>
    </w:p>
    <w:p>
      <w:pPr>
        <w:widowControl/>
        <w:snapToGrid w:val="0"/>
        <w:spacing w:before="50"/>
        <w:jc w:val="left"/>
        <w:rPr>
          <w:rFonts w:ascii="宋体" w:hAnsi="宋体" w:cs="宋体"/>
          <w:kern w:val="0"/>
          <w:szCs w:val="21"/>
        </w:rPr>
      </w:pPr>
      <w:r>
        <w:rPr>
          <w:rFonts w:hint="eastAsia" w:ascii="宋体" w:hAnsi="宋体" w:cs="宋体"/>
          <w:kern w:val="0"/>
          <w:szCs w:val="21"/>
        </w:rPr>
        <w:t>供应商名称（公章）：</w:t>
      </w:r>
    </w:p>
    <w:p>
      <w:pPr>
        <w:widowControl/>
        <w:snapToGrid w:val="0"/>
        <w:spacing w:before="50"/>
        <w:jc w:val="left"/>
        <w:rPr>
          <w:rFonts w:ascii="宋体" w:hAnsi="宋体" w:cs="宋体"/>
          <w:kern w:val="0"/>
          <w:szCs w:val="21"/>
        </w:rPr>
      </w:pPr>
      <w:r>
        <w:rPr>
          <w:rFonts w:hint="eastAsia" w:ascii="宋体" w:hAnsi="宋体" w:cs="宋体"/>
          <w:kern w:val="0"/>
          <w:szCs w:val="21"/>
        </w:rPr>
        <w:t>法定代表人或授权代表（签</w:t>
      </w:r>
      <w:r>
        <w:rPr>
          <w:rFonts w:hint="eastAsia" w:ascii="宋体" w:hAnsi="宋体" w:cs="宋体"/>
          <w:kern w:val="0"/>
          <w:szCs w:val="21"/>
          <w:lang w:val="en-US" w:eastAsia="zh-CN"/>
        </w:rPr>
        <w:t>字</w:t>
      </w:r>
      <w:r>
        <w:rPr>
          <w:rFonts w:hint="eastAsia" w:ascii="宋体" w:hAnsi="宋体" w:cs="宋体"/>
          <w:kern w:val="0"/>
          <w:szCs w:val="21"/>
        </w:rPr>
        <w:t>或</w:t>
      </w:r>
      <w:r>
        <w:rPr>
          <w:rFonts w:hint="eastAsia" w:ascii="宋体" w:hAnsi="宋体" w:cs="宋体"/>
          <w:kern w:val="0"/>
          <w:szCs w:val="21"/>
          <w:lang w:val="en-US" w:eastAsia="zh-CN"/>
        </w:rPr>
        <w:t>盖</w:t>
      </w:r>
      <w:r>
        <w:rPr>
          <w:rFonts w:hint="eastAsia" w:ascii="宋体" w:hAnsi="宋体" w:cs="宋体"/>
          <w:kern w:val="0"/>
          <w:szCs w:val="21"/>
        </w:rPr>
        <w:t>章）：</w:t>
      </w:r>
    </w:p>
    <w:p>
      <w:pPr>
        <w:widowControl/>
        <w:snapToGrid w:val="0"/>
        <w:spacing w:before="50"/>
        <w:jc w:val="left"/>
        <w:rPr>
          <w:rFonts w:ascii="宋体" w:hAnsi="宋体" w:cs="宋体"/>
          <w:kern w:val="0"/>
          <w:szCs w:val="21"/>
        </w:rPr>
      </w:pPr>
    </w:p>
    <w:p>
      <w:pPr>
        <w:widowControl/>
        <w:snapToGrid w:val="0"/>
        <w:spacing w:before="50"/>
        <w:jc w:val="left"/>
        <w:rPr>
          <w:rFonts w:ascii="宋体" w:hAnsi="宋体" w:cs="宋体"/>
          <w:kern w:val="0"/>
          <w:szCs w:val="21"/>
        </w:rPr>
      </w:pPr>
      <w:r>
        <w:rPr>
          <w:rFonts w:hint="eastAsia" w:ascii="宋体" w:hAnsi="宋体" w:cs="宋体"/>
          <w:kern w:val="0"/>
          <w:szCs w:val="21"/>
        </w:rPr>
        <w:t xml:space="preserve">                                                              年    月    日</w:t>
      </w:r>
    </w:p>
    <w:p>
      <w:pPr>
        <w:snapToGrid w:val="0"/>
        <w:spacing w:before="50" w:after="50"/>
        <w:ind w:right="-817" w:rightChars="-389"/>
        <w:rPr>
          <w:rFonts w:hAnsi="宋体"/>
          <w:b/>
          <w:szCs w:val="21"/>
        </w:rPr>
      </w:pPr>
    </w:p>
    <w:p>
      <w:pPr>
        <w:pStyle w:val="86"/>
        <w:spacing w:before="120" w:after="120"/>
        <w:rPr>
          <w:rFonts w:hint="default" w:hAnsi="宋体"/>
          <w:b/>
          <w:sz w:val="21"/>
        </w:rPr>
      </w:pPr>
    </w:p>
    <w:p>
      <w:pPr>
        <w:snapToGrid w:val="0"/>
        <w:rPr>
          <w:rFonts w:ascii="宋体" w:hAnsi="宋体" w:cs="宋体"/>
          <w:b/>
          <w:bCs/>
          <w:szCs w:val="21"/>
        </w:rPr>
      </w:pPr>
    </w:p>
    <w:p>
      <w:pPr>
        <w:snapToGrid w:val="0"/>
        <w:rPr>
          <w:rFonts w:ascii="宋体" w:hAnsi="宋体" w:cs="宋体"/>
          <w:b/>
          <w:bCs/>
          <w:szCs w:val="21"/>
        </w:rPr>
      </w:pPr>
    </w:p>
    <w:p>
      <w:pPr>
        <w:snapToGrid w:val="0"/>
        <w:rPr>
          <w:rFonts w:ascii="宋体" w:hAnsi="宋体" w:cs="宋体"/>
          <w:b/>
          <w:bCs/>
          <w:szCs w:val="21"/>
        </w:rPr>
      </w:pPr>
    </w:p>
    <w:p>
      <w:pPr>
        <w:snapToGrid w:val="0"/>
        <w:rPr>
          <w:rFonts w:ascii="宋体" w:hAnsi="宋体" w:cs="宋体"/>
          <w:b/>
          <w:bCs/>
          <w:szCs w:val="21"/>
        </w:rPr>
      </w:pPr>
    </w:p>
    <w:p>
      <w:pPr>
        <w:snapToGrid w:val="0"/>
        <w:rPr>
          <w:rFonts w:ascii="宋体" w:hAnsi="宋体" w:cs="宋体"/>
          <w:b/>
          <w:bCs/>
          <w:szCs w:val="21"/>
        </w:rPr>
      </w:pPr>
    </w:p>
    <w:p>
      <w:pPr>
        <w:snapToGrid w:val="0"/>
        <w:rPr>
          <w:rFonts w:ascii="宋体" w:hAnsi="宋体" w:cs="宋体"/>
          <w:b/>
          <w:bCs/>
          <w:szCs w:val="21"/>
        </w:rPr>
      </w:pPr>
    </w:p>
    <w:p>
      <w:pPr>
        <w:snapToGrid w:val="0"/>
        <w:rPr>
          <w:rFonts w:ascii="宋体" w:hAnsi="宋体" w:cs="宋体"/>
          <w:b/>
          <w:bCs/>
          <w:szCs w:val="21"/>
        </w:rPr>
      </w:pPr>
    </w:p>
    <w:p>
      <w:pPr>
        <w:snapToGrid w:val="0"/>
        <w:rPr>
          <w:rFonts w:ascii="宋体" w:hAnsi="宋体" w:cs="宋体"/>
          <w:b/>
          <w:bCs/>
          <w:szCs w:val="21"/>
        </w:rPr>
      </w:pPr>
    </w:p>
    <w:p>
      <w:pPr>
        <w:snapToGrid w:val="0"/>
        <w:rPr>
          <w:rFonts w:ascii="宋体" w:hAnsi="宋体" w:cs="宋体"/>
          <w:b/>
          <w:bCs/>
          <w:szCs w:val="21"/>
        </w:rPr>
      </w:pPr>
    </w:p>
    <w:p>
      <w:pPr>
        <w:snapToGrid w:val="0"/>
        <w:rPr>
          <w:rFonts w:ascii="宋体" w:hAnsi="宋体" w:cs="宋体"/>
          <w:b/>
          <w:bCs/>
          <w:szCs w:val="21"/>
        </w:rPr>
      </w:pPr>
    </w:p>
    <w:p>
      <w:pPr>
        <w:snapToGrid w:val="0"/>
        <w:rPr>
          <w:rFonts w:ascii="宋体" w:hAnsi="宋体" w:cs="宋体"/>
          <w:b/>
          <w:bCs/>
          <w:szCs w:val="21"/>
        </w:rPr>
      </w:pPr>
    </w:p>
    <w:p>
      <w:pPr>
        <w:pStyle w:val="57"/>
        <w:ind w:firstLine="422"/>
        <w:rPr>
          <w:rFonts w:ascii="宋体" w:hAnsi="宋体" w:cs="宋体"/>
          <w:b/>
          <w:bCs/>
          <w:kern w:val="0"/>
          <w:szCs w:val="21"/>
          <w:lang w:bidi="ar"/>
        </w:rPr>
      </w:pPr>
    </w:p>
    <w:p>
      <w:pPr>
        <w:pStyle w:val="57"/>
        <w:ind w:firstLine="422"/>
        <w:rPr>
          <w:rFonts w:ascii="宋体" w:hAnsi="宋体" w:cs="宋体"/>
          <w:b/>
          <w:bCs/>
          <w:kern w:val="0"/>
          <w:szCs w:val="21"/>
          <w:lang w:bidi="ar"/>
        </w:rPr>
      </w:pPr>
    </w:p>
    <w:p>
      <w:pPr>
        <w:pStyle w:val="57"/>
        <w:ind w:firstLine="422"/>
        <w:rPr>
          <w:rFonts w:ascii="宋体" w:hAnsi="宋体" w:cs="宋体"/>
          <w:b/>
          <w:bCs/>
          <w:kern w:val="0"/>
          <w:szCs w:val="21"/>
          <w:lang w:bidi="ar"/>
        </w:rPr>
      </w:pPr>
    </w:p>
    <w:p>
      <w:pPr>
        <w:pStyle w:val="57"/>
        <w:ind w:firstLine="422"/>
        <w:rPr>
          <w:rFonts w:ascii="宋体" w:hAnsi="宋体" w:cs="宋体"/>
          <w:b/>
          <w:bCs/>
          <w:kern w:val="0"/>
          <w:szCs w:val="21"/>
          <w:lang w:bidi="ar"/>
        </w:rPr>
      </w:pPr>
    </w:p>
    <w:p>
      <w:pPr>
        <w:pStyle w:val="57"/>
        <w:ind w:firstLine="422"/>
        <w:rPr>
          <w:rFonts w:ascii="宋体" w:hAnsi="宋体" w:cs="宋体"/>
          <w:b/>
          <w:bCs/>
          <w:kern w:val="0"/>
          <w:szCs w:val="21"/>
          <w:lang w:bidi="ar"/>
        </w:rPr>
      </w:pPr>
    </w:p>
    <w:p>
      <w:pPr>
        <w:pStyle w:val="57"/>
        <w:ind w:firstLine="422"/>
        <w:rPr>
          <w:rFonts w:ascii="宋体" w:hAnsi="宋体" w:cs="宋体"/>
          <w:b/>
          <w:bCs/>
          <w:kern w:val="0"/>
          <w:szCs w:val="21"/>
          <w:lang w:bidi="ar"/>
        </w:rPr>
      </w:pPr>
    </w:p>
    <w:p>
      <w:pPr>
        <w:pStyle w:val="57"/>
        <w:ind w:firstLine="422"/>
        <w:rPr>
          <w:rFonts w:ascii="宋体" w:hAnsi="宋体" w:cs="宋体"/>
          <w:b/>
          <w:bCs/>
          <w:kern w:val="0"/>
          <w:szCs w:val="21"/>
          <w:lang w:bidi="ar"/>
        </w:rPr>
      </w:pPr>
    </w:p>
    <w:p>
      <w:pPr>
        <w:jc w:val="left"/>
        <w:rPr>
          <w:rFonts w:ascii="宋体" w:hAnsi="宋体" w:cs="宋体"/>
          <w:b/>
          <w:kern w:val="0"/>
          <w:szCs w:val="21"/>
        </w:rPr>
      </w:pPr>
      <w:r>
        <w:rPr>
          <w:rFonts w:hint="eastAsia" w:ascii="宋体" w:hAnsi="宋体" w:cs="宋体"/>
          <w:b/>
          <w:kern w:val="0"/>
          <w:szCs w:val="21"/>
        </w:rPr>
        <w:t>14.投标报价明细表</w:t>
      </w:r>
    </w:p>
    <w:p>
      <w:pPr>
        <w:numPr>
          <w:ilvl w:val="255"/>
          <w:numId w:val="0"/>
        </w:numPr>
        <w:jc w:val="center"/>
        <w:rPr>
          <w:rFonts w:ascii="宋体" w:hAnsi="宋体" w:cs="宋体"/>
          <w:b/>
          <w:kern w:val="0"/>
          <w:szCs w:val="21"/>
        </w:rPr>
      </w:pPr>
      <w:r>
        <w:rPr>
          <w:rFonts w:hint="eastAsia" w:ascii="宋体" w:hAnsi="宋体" w:cs="宋体"/>
          <w:b/>
          <w:kern w:val="0"/>
          <w:szCs w:val="21"/>
        </w:rPr>
        <w:t>投标报价明细表</w:t>
      </w:r>
    </w:p>
    <w:p>
      <w:pPr>
        <w:rPr>
          <w:rFonts w:ascii="宋体" w:hAnsi="宋体" w:cs="宋体"/>
          <w:spacing w:val="-4"/>
          <w:szCs w:val="21"/>
          <w:lang w:bidi="ar"/>
        </w:rPr>
      </w:pPr>
    </w:p>
    <w:p>
      <w:pPr>
        <w:rPr>
          <w:rFonts w:hint="eastAsia" w:ascii="宋体" w:hAnsi="宋体" w:cs="宋体"/>
          <w:spacing w:val="-4"/>
          <w:szCs w:val="21"/>
          <w:lang w:bidi="ar"/>
        </w:rPr>
      </w:pPr>
      <w:r>
        <w:rPr>
          <w:rFonts w:hint="eastAsia" w:ascii="宋体" w:hAnsi="宋体" w:cs="宋体"/>
          <w:spacing w:val="-4"/>
          <w:szCs w:val="21"/>
          <w:lang w:bidi="ar"/>
        </w:rPr>
        <w:t>项目编号：                                    项目名称：</w:t>
      </w:r>
    </w:p>
    <w:p>
      <w:pPr>
        <w:pStyle w:val="2"/>
        <w:rPr>
          <w:rFonts w:hint="eastAsia" w:ascii="宋体" w:hAnsi="宋体" w:cs="宋体"/>
          <w:spacing w:val="-4"/>
          <w:szCs w:val="21"/>
          <w:lang w:bidi="ar"/>
        </w:rPr>
      </w:pPr>
    </w:p>
    <w:tbl>
      <w:tblPr>
        <w:tblStyle w:val="49"/>
        <w:tblW w:w="839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33"/>
        <w:gridCol w:w="1140"/>
        <w:gridCol w:w="1140"/>
        <w:gridCol w:w="1432"/>
        <w:gridCol w:w="1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项目内容</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r>
              <w:rPr>
                <w:rFonts w:hint="eastAsia" w:ascii="宋体" w:hAnsi="宋体" w:cs="宋体"/>
                <w:i w:val="0"/>
                <w:iCs w:val="0"/>
                <w:color w:val="000000"/>
                <w:kern w:val="0"/>
                <w:sz w:val="21"/>
                <w:szCs w:val="21"/>
                <w:u w:val="none"/>
                <w:lang w:val="en-US" w:eastAsia="zh-CN" w:bidi="ar"/>
              </w:rPr>
              <w:t>（暂估）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农药瓶回收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农药袋回收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农药瓶、农药袋运输处置</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农膜回收处置费（按公斤计算）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特种用具、准备期费用、宣传费及相关管理费税金利润等费用</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一年投标总价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sz w:val="21"/>
                <w:szCs w:val="21"/>
                <w:u w:val="none"/>
                <w:lang w:val="en-US" w:eastAsia="zh-CN"/>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sz w:val="21"/>
                <w:szCs w:val="21"/>
                <w:u w:val="none"/>
                <w:lang w:val="en-US" w:eastAsia="zh-CN"/>
              </w:rPr>
              <w:t>/</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pPr>
        <w:pStyle w:val="15"/>
      </w:pPr>
    </w:p>
    <w:p>
      <w:pPr>
        <w:pStyle w:val="3"/>
      </w:pPr>
    </w:p>
    <w:p>
      <w:pPr>
        <w:pStyle w:val="34"/>
      </w:pPr>
    </w:p>
    <w:p>
      <w:pPr>
        <w:pStyle w:val="15"/>
      </w:pPr>
    </w:p>
    <w:p>
      <w:pPr>
        <w:widowControl/>
        <w:snapToGrid w:val="0"/>
        <w:spacing w:before="50"/>
        <w:jc w:val="left"/>
        <w:rPr>
          <w:rFonts w:ascii="宋体" w:hAnsi="宋体" w:cs="宋体"/>
          <w:kern w:val="0"/>
          <w:szCs w:val="21"/>
        </w:rPr>
      </w:pPr>
      <w:r>
        <w:rPr>
          <w:rFonts w:hint="eastAsia" w:ascii="宋体" w:hAnsi="宋体" w:cs="宋体"/>
          <w:kern w:val="0"/>
          <w:szCs w:val="21"/>
        </w:rPr>
        <w:t>供应商名称（公章）：</w:t>
      </w:r>
    </w:p>
    <w:p>
      <w:pPr>
        <w:widowControl/>
        <w:snapToGrid w:val="0"/>
        <w:spacing w:before="50"/>
        <w:jc w:val="left"/>
        <w:rPr>
          <w:rFonts w:ascii="宋体" w:hAnsi="宋体" w:cs="宋体"/>
          <w:kern w:val="0"/>
          <w:szCs w:val="21"/>
        </w:rPr>
      </w:pPr>
      <w:r>
        <w:rPr>
          <w:rFonts w:hint="eastAsia" w:ascii="宋体" w:hAnsi="宋体" w:cs="宋体"/>
          <w:kern w:val="0"/>
          <w:szCs w:val="21"/>
        </w:rPr>
        <w:t>法定代表人或授权代表（签</w:t>
      </w:r>
      <w:r>
        <w:rPr>
          <w:rFonts w:hint="eastAsia" w:ascii="宋体" w:hAnsi="宋体" w:cs="宋体"/>
          <w:kern w:val="0"/>
          <w:szCs w:val="21"/>
          <w:lang w:val="en-US" w:eastAsia="zh-CN"/>
        </w:rPr>
        <w:t>字</w:t>
      </w:r>
      <w:r>
        <w:rPr>
          <w:rFonts w:hint="eastAsia" w:ascii="宋体" w:hAnsi="宋体" w:cs="宋体"/>
          <w:kern w:val="0"/>
          <w:szCs w:val="21"/>
        </w:rPr>
        <w:t>或</w:t>
      </w:r>
      <w:r>
        <w:rPr>
          <w:rFonts w:hint="eastAsia" w:ascii="宋体" w:hAnsi="宋体" w:cs="宋体"/>
          <w:kern w:val="0"/>
          <w:szCs w:val="21"/>
          <w:lang w:val="en-US" w:eastAsia="zh-CN"/>
        </w:rPr>
        <w:t>盖</w:t>
      </w:r>
      <w:r>
        <w:rPr>
          <w:rFonts w:hint="eastAsia" w:ascii="宋体" w:hAnsi="宋体" w:cs="宋体"/>
          <w:kern w:val="0"/>
          <w:szCs w:val="21"/>
        </w:rPr>
        <w:t>章）：</w:t>
      </w:r>
    </w:p>
    <w:p>
      <w:pPr>
        <w:widowControl/>
        <w:snapToGrid w:val="0"/>
        <w:spacing w:before="50"/>
        <w:jc w:val="left"/>
        <w:rPr>
          <w:rFonts w:ascii="宋体" w:hAnsi="宋体" w:cs="宋体"/>
          <w:kern w:val="0"/>
          <w:szCs w:val="21"/>
        </w:rPr>
      </w:pPr>
    </w:p>
    <w:p>
      <w:pPr>
        <w:widowControl/>
        <w:snapToGrid w:val="0"/>
        <w:spacing w:before="50"/>
        <w:jc w:val="left"/>
        <w:rPr>
          <w:rFonts w:ascii="宋体" w:hAnsi="宋体" w:cs="宋体"/>
          <w:kern w:val="0"/>
          <w:szCs w:val="21"/>
        </w:rPr>
      </w:pPr>
      <w:r>
        <w:rPr>
          <w:rFonts w:hint="eastAsia" w:ascii="宋体" w:hAnsi="宋体" w:cs="宋体"/>
          <w:kern w:val="0"/>
          <w:szCs w:val="21"/>
        </w:rPr>
        <w:t xml:space="preserve">                                                              年    月    日</w:t>
      </w:r>
    </w:p>
    <w:p>
      <w:pPr>
        <w:pStyle w:val="57"/>
      </w:pPr>
    </w:p>
    <w:p>
      <w:pPr>
        <w:pStyle w:val="57"/>
      </w:pPr>
    </w:p>
    <w:p>
      <w:pPr>
        <w:pStyle w:val="57"/>
        <w:ind w:firstLine="422"/>
        <w:rPr>
          <w:rFonts w:ascii="宋体" w:hAnsi="宋体" w:cs="宋体"/>
          <w:b/>
          <w:bCs/>
          <w:kern w:val="0"/>
          <w:szCs w:val="21"/>
          <w:lang w:bidi="ar"/>
        </w:rPr>
      </w:pPr>
    </w:p>
    <w:p>
      <w:pPr>
        <w:pStyle w:val="57"/>
        <w:ind w:firstLine="422"/>
        <w:rPr>
          <w:rFonts w:ascii="宋体" w:hAnsi="宋体" w:cs="宋体"/>
          <w:b/>
          <w:bCs/>
          <w:kern w:val="0"/>
          <w:szCs w:val="21"/>
          <w:lang w:bidi="ar"/>
        </w:rPr>
      </w:pPr>
    </w:p>
    <w:p>
      <w:pPr>
        <w:pStyle w:val="57"/>
        <w:ind w:firstLine="422"/>
        <w:rPr>
          <w:rFonts w:ascii="宋体" w:hAnsi="宋体" w:cs="宋体"/>
          <w:b/>
          <w:bCs/>
          <w:kern w:val="0"/>
          <w:szCs w:val="21"/>
          <w:lang w:bidi="ar"/>
        </w:rPr>
      </w:pPr>
    </w:p>
    <w:p>
      <w:pPr>
        <w:pStyle w:val="57"/>
        <w:ind w:firstLine="422"/>
        <w:rPr>
          <w:rFonts w:ascii="宋体" w:hAnsi="宋体" w:cs="宋体"/>
          <w:b/>
          <w:bCs/>
          <w:kern w:val="0"/>
          <w:szCs w:val="21"/>
          <w:lang w:bidi="ar"/>
        </w:rPr>
      </w:pPr>
    </w:p>
    <w:p>
      <w:pPr>
        <w:pStyle w:val="57"/>
        <w:ind w:firstLine="422"/>
        <w:rPr>
          <w:rFonts w:ascii="宋体" w:hAnsi="宋体" w:cs="宋体"/>
          <w:b/>
          <w:bCs/>
          <w:kern w:val="0"/>
          <w:szCs w:val="21"/>
          <w:lang w:bidi="ar"/>
        </w:rPr>
      </w:pPr>
    </w:p>
    <w:p>
      <w:pPr>
        <w:pStyle w:val="57"/>
        <w:ind w:firstLine="422"/>
        <w:rPr>
          <w:rFonts w:ascii="宋体" w:hAnsi="宋体" w:cs="宋体"/>
          <w:b/>
          <w:bCs/>
          <w:kern w:val="0"/>
          <w:szCs w:val="21"/>
          <w:lang w:bidi="ar"/>
        </w:rPr>
      </w:pPr>
    </w:p>
    <w:p>
      <w:pPr>
        <w:pStyle w:val="57"/>
        <w:ind w:firstLine="422"/>
        <w:rPr>
          <w:rFonts w:ascii="宋体" w:hAnsi="宋体" w:cs="宋体"/>
          <w:b/>
          <w:bCs/>
          <w:kern w:val="0"/>
          <w:szCs w:val="21"/>
          <w:lang w:bidi="ar"/>
        </w:rPr>
      </w:pPr>
    </w:p>
    <w:p>
      <w:pPr>
        <w:pStyle w:val="57"/>
        <w:ind w:firstLine="422"/>
        <w:rPr>
          <w:rFonts w:ascii="宋体" w:hAnsi="宋体" w:cs="宋体"/>
          <w:b/>
          <w:bCs/>
          <w:kern w:val="0"/>
          <w:szCs w:val="21"/>
          <w:lang w:bidi="ar"/>
        </w:rPr>
      </w:pPr>
    </w:p>
    <w:p>
      <w:pPr>
        <w:pStyle w:val="57"/>
        <w:ind w:firstLine="422"/>
        <w:rPr>
          <w:rFonts w:ascii="宋体" w:hAnsi="宋体" w:cs="宋体"/>
          <w:b/>
          <w:bCs/>
          <w:kern w:val="0"/>
          <w:szCs w:val="21"/>
          <w:lang w:bidi="ar"/>
        </w:rPr>
      </w:pPr>
    </w:p>
    <w:p>
      <w:pPr>
        <w:pStyle w:val="57"/>
        <w:ind w:firstLine="422"/>
        <w:rPr>
          <w:rFonts w:ascii="宋体" w:hAnsi="宋体" w:cs="宋体"/>
          <w:b/>
          <w:bCs/>
          <w:kern w:val="0"/>
          <w:szCs w:val="21"/>
          <w:lang w:bidi="ar"/>
        </w:rPr>
      </w:pPr>
    </w:p>
    <w:p>
      <w:pPr>
        <w:pStyle w:val="57"/>
        <w:ind w:firstLine="422"/>
        <w:rPr>
          <w:rFonts w:ascii="宋体" w:hAnsi="宋体" w:cs="宋体"/>
          <w:b/>
          <w:bCs/>
          <w:kern w:val="0"/>
          <w:szCs w:val="21"/>
          <w:lang w:bidi="ar"/>
        </w:rPr>
      </w:pPr>
    </w:p>
    <w:p>
      <w:pPr>
        <w:pStyle w:val="57"/>
        <w:ind w:firstLine="422"/>
        <w:rPr>
          <w:rFonts w:ascii="宋体" w:hAnsi="宋体" w:cs="宋体"/>
          <w:b/>
          <w:bCs/>
          <w:kern w:val="0"/>
          <w:szCs w:val="21"/>
          <w:lang w:bidi="ar"/>
        </w:rPr>
      </w:pPr>
    </w:p>
    <w:sectPr>
      <w:headerReference r:id="rId9" w:type="default"/>
      <w:footerReference r:id="rId10" w:type="default"/>
      <w:pgSz w:w="11906" w:h="16838"/>
      <w:pgMar w:top="1304" w:right="1797" w:bottom="1247" w:left="1797" w:header="720" w:footer="720"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华文细黑">
    <w:altName w:val="微软雅黑"/>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Thorndale">
    <w:altName w:val="Times New Roman"/>
    <w:panose1 w:val="00000000000000000000"/>
    <w:charset w:val="00"/>
    <w:family w:val="roman"/>
    <w:pitch w:val="default"/>
    <w:sig w:usb0="00000000" w:usb1="00000000" w:usb2="00000000" w:usb3="00000000" w:csb0="00040001" w:csb1="00000000"/>
  </w:font>
  <w:font w:name="HG Mincho Light J">
    <w:altName w:val="Times New Roman"/>
    <w:panose1 w:val="00000000000000000000"/>
    <w:charset w:val="00"/>
    <w:family w:val="auto"/>
    <w:pitch w:val="default"/>
    <w:sig w:usb0="00000000" w:usb1="00000000" w:usb2="00000000" w:usb3="00000000" w:csb0="00040001" w:csb1="00000000"/>
  </w:font>
  <w:font w:name="ヒラギノ角ゴ Pro W3">
    <w:altName w:val="Yu Gothic"/>
    <w:panose1 w:val="00000000000000000000"/>
    <w:charset w:val="80"/>
    <w:family w:val="swiss"/>
    <w:pitch w:val="default"/>
    <w:sig w:usb0="00000000" w:usb1="00000000" w:usb2="00000012" w:usb3="00000000" w:csb0="0002000D"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rPr>
                              <w:rFonts w:hint="default"/>
                            </w:rPr>
                          </w:pPr>
                          <w:r>
                            <w:fldChar w:fldCharType="begin"/>
                          </w:r>
                          <w:r>
                            <w:instrText xml:space="preserve"> PAGE  \* MERGEFORMAT </w:instrText>
                          </w:r>
                          <w:r>
                            <w:fldChar w:fldCharType="separate"/>
                          </w:r>
                          <w:r>
                            <w:rPr>
                              <w:rFonts w:hint="default"/>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3"/>
                      <w:rPr>
                        <w:rFonts w:hint="default"/>
                      </w:rPr>
                    </w:pPr>
                    <w:r>
                      <w:fldChar w:fldCharType="begin"/>
                    </w:r>
                    <w:r>
                      <w:instrText xml:space="preserve"> PAGE  \* MERGEFORMAT </w:instrText>
                    </w:r>
                    <w:r>
                      <w:fldChar w:fldCharType="separate"/>
                    </w:r>
                    <w:r>
                      <w:rPr>
                        <w:rFonts w:hint="default"/>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Fonts w:hint="default"/>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rPr>
                              <w:rFonts w:hint="default"/>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3"/>
                      <w:rPr>
                        <w:rFonts w:hint="default"/>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40</w:t>
                          </w:r>
                          <w:r>
                            <w:rPr>
                              <w:sz w:val="18"/>
                            </w:rP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b2b07fAQAAvAMAAA4AAABkcnMvZTJvRG9jLnhtbK1TzY7TMBC+&#10;I/EOlu802aK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8wb1jqEcKrA1Kfuf1Ueqw3dURD&#10;zQJMC5i25u9zjrp/dJ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Mb2b07fAQAAvAMAAA4A&#10;AAAAAAAAAQAgAAAAIgEAAGRycy9lMm9Eb2MueG1sUEsFBgAAAAAGAAYAWQEAAHMFAAAAAA==&#10;">
              <v:fill on="f" focussize="0,0"/>
              <v:stroke on="f" weight="1.2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40</w:t>
                    </w:r>
                    <w:r>
                      <w:rPr>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hint="default"/>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3"/>
                            <w:rPr>
                              <w:rFonts w:hint="default"/>
                            </w:rPr>
                          </w:pPr>
                          <w:r>
                            <w:fldChar w:fldCharType="begin"/>
                          </w:r>
                          <w:r>
                            <w:instrText xml:space="preserve"> PAGE  \* MERGEFORMAT </w:instrText>
                          </w:r>
                          <w:r>
                            <w:fldChar w:fldCharType="separate"/>
                          </w:r>
                          <w:r>
                            <w:rPr>
                              <w:rFonts w:hint="default"/>
                            </w:rPr>
                            <w:t>60</w:t>
                          </w:r>
                          <w:r>
                            <w:fldChar w:fldCharType="end"/>
                          </w:r>
                        </w:p>
                      </w:txbxContent>
                    </wps:txbx>
                    <wps:bodyPr wrap="none" lIns="0" tIns="0" rIns="0" bIns="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9HhVfswBAACXAwAADgAAAAAAAAABACAAAAAiAQAAZHJz&#10;L2Uyb0RvYy54bWxQSwUGAAAAAAYABgBZAQAAYAUAAAAA&#10;">
              <v:fill on="f" focussize="0,0"/>
              <v:stroke on="f" weight="1.25pt"/>
              <v:imagedata o:title=""/>
              <o:lock v:ext="edit" aspectratio="f"/>
              <v:textbox inset="0mm,0mm,0mm,0mm" style="mso-fit-shape-to-text:t;">
                <w:txbxContent>
                  <w:p>
                    <w:pPr>
                      <w:pStyle w:val="33"/>
                      <w:rPr>
                        <w:rFonts w:hint="default"/>
                      </w:rPr>
                    </w:pPr>
                    <w:r>
                      <w:fldChar w:fldCharType="begin"/>
                    </w:r>
                    <w:r>
                      <w:instrText xml:space="preserve"> PAGE  \* MERGEFORMAT </w:instrText>
                    </w:r>
                    <w:r>
                      <w:fldChar w:fldCharType="separate"/>
                    </w:r>
                    <w:r>
                      <w:rPr>
                        <w:rFonts w:hint="default"/>
                      </w:rP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DF9AE"/>
    <w:multiLevelType w:val="singleLevel"/>
    <w:tmpl w:val="8FCDF9AE"/>
    <w:lvl w:ilvl="0" w:tentative="0">
      <w:start w:val="6"/>
      <w:numFmt w:val="decimal"/>
      <w:suff w:val="nothing"/>
      <w:lvlText w:val="%1、"/>
      <w:lvlJc w:val="left"/>
    </w:lvl>
  </w:abstractNum>
  <w:abstractNum w:abstractNumId="1">
    <w:nsid w:val="E92685E9"/>
    <w:multiLevelType w:val="singleLevel"/>
    <w:tmpl w:val="E92685E9"/>
    <w:lvl w:ilvl="0" w:tentative="0">
      <w:start w:val="1"/>
      <w:numFmt w:val="decimal"/>
      <w:suff w:val="nothing"/>
      <w:lvlText w:val="%1）"/>
      <w:lvlJc w:val="left"/>
    </w:lvl>
  </w:abstractNum>
  <w:abstractNum w:abstractNumId="2">
    <w:nsid w:val="00000006"/>
    <w:multiLevelType w:val="singleLevel"/>
    <w:tmpl w:val="00000006"/>
    <w:lvl w:ilvl="0" w:tentative="0">
      <w:start w:val="4"/>
      <w:numFmt w:val="chineseCounting"/>
      <w:suff w:val="nothing"/>
      <w:lvlText w:val="%1、"/>
      <w:lvlJc w:val="left"/>
      <w:rPr>
        <w:rFonts w:hint="eastAsia"/>
      </w:rPr>
    </w:lvl>
  </w:abstractNum>
  <w:abstractNum w:abstractNumId="3">
    <w:nsid w:val="00000008"/>
    <w:multiLevelType w:val="multilevel"/>
    <w:tmpl w:val="00000008"/>
    <w:lvl w:ilvl="0" w:tentative="0">
      <w:start w:val="1"/>
      <w:numFmt w:val="japaneseCounting"/>
      <w:lvlText w:val="第%1章"/>
      <w:lvlJc w:val="left"/>
      <w:pPr>
        <w:tabs>
          <w:tab w:val="left" w:pos="1200"/>
        </w:tabs>
        <w:ind w:left="1200" w:hanging="1200"/>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71"/>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multilevel"/>
    <w:tmpl w:val="0000000B"/>
    <w:lvl w:ilvl="0" w:tentative="0">
      <w:start w:val="1"/>
      <w:numFmt w:val="upperLetter"/>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1"/>
    <w:multiLevelType w:val="multilevel"/>
    <w:tmpl w:val="00000011"/>
    <w:lvl w:ilvl="0" w:tentative="0">
      <w:start w:val="1"/>
      <w:numFmt w:val="decimal"/>
      <w:pStyle w:val="20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4"/>
    <w:multiLevelType w:val="singleLevel"/>
    <w:tmpl w:val="00000014"/>
    <w:lvl w:ilvl="0" w:tentative="0">
      <w:start w:val="5"/>
      <w:numFmt w:val="chineseCounting"/>
      <w:suff w:val="nothing"/>
      <w:lvlText w:val="%1、"/>
      <w:lvlJc w:val="left"/>
    </w:lvl>
  </w:abstractNum>
  <w:abstractNum w:abstractNumId="7">
    <w:nsid w:val="00000017"/>
    <w:multiLevelType w:val="multilevel"/>
    <w:tmpl w:val="00000017"/>
    <w:lvl w:ilvl="0" w:tentative="0">
      <w:start w:val="1"/>
      <w:numFmt w:val="decimal"/>
      <w:lvlText w:val="(%1)"/>
      <w:lvlJc w:val="left"/>
      <w:pPr>
        <w:tabs>
          <w:tab w:val="left" w:pos="660"/>
        </w:tabs>
        <w:ind w:left="660" w:hanging="480"/>
      </w:pPr>
      <w:rPr>
        <w:rFonts w:cs="Times New Roman"/>
      </w:rPr>
    </w:lvl>
    <w:lvl w:ilvl="1" w:tentative="0">
      <w:start w:val="1"/>
      <w:numFmt w:val="decimal"/>
      <w:pStyle w:val="157"/>
      <w:lvlText w:val="%2、"/>
      <w:lvlJc w:val="left"/>
      <w:pPr>
        <w:tabs>
          <w:tab w:val="left" w:pos="1080"/>
        </w:tabs>
        <w:ind w:left="1080" w:hanging="360"/>
      </w:pPr>
      <w:rPr>
        <w:rFonts w:cs="Times New Roman"/>
      </w:rPr>
    </w:lvl>
    <w:lvl w:ilvl="2" w:tentative="0">
      <w:start w:val="3"/>
      <w:numFmt w:val="japaneseCounting"/>
      <w:lvlText w:val="（%3）"/>
      <w:lvlJc w:val="left"/>
      <w:pPr>
        <w:tabs>
          <w:tab w:val="left" w:pos="1800"/>
        </w:tabs>
        <w:ind w:left="1800" w:hanging="720"/>
      </w:pPr>
      <w:rPr>
        <w:rFonts w:cs="Times New Roman"/>
        <w:color w:val="FF0000"/>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8">
    <w:nsid w:val="00000020"/>
    <w:multiLevelType w:val="singleLevel"/>
    <w:tmpl w:val="00000020"/>
    <w:lvl w:ilvl="0" w:tentative="0">
      <w:start w:val="1"/>
      <w:numFmt w:val="chineseCounting"/>
      <w:suff w:val="nothing"/>
      <w:lvlText w:val="（%1）"/>
      <w:lvlJc w:val="left"/>
    </w:lvl>
  </w:abstractNum>
  <w:abstractNum w:abstractNumId="9">
    <w:nsid w:val="00000022"/>
    <w:multiLevelType w:val="multilevel"/>
    <w:tmpl w:val="00000022"/>
    <w:lvl w:ilvl="0" w:tentative="0">
      <w:start w:val="1"/>
      <w:numFmt w:val="decimal"/>
      <w:pStyle w:val="22"/>
      <w:lvlText w:val="%1."/>
      <w:lvlJc w:val="left"/>
      <w:pPr>
        <w:tabs>
          <w:tab w:val="left" w:pos="1200"/>
        </w:tabs>
        <w:ind w:left="1200" w:hanging="360"/>
      </w:p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10">
    <w:nsid w:val="00000023"/>
    <w:multiLevelType w:val="singleLevel"/>
    <w:tmpl w:val="00000023"/>
    <w:lvl w:ilvl="0" w:tentative="0">
      <w:start w:val="1"/>
      <w:numFmt w:val="decimal"/>
      <w:lvlText w:val="%1."/>
      <w:lvlJc w:val="left"/>
      <w:pPr>
        <w:tabs>
          <w:tab w:val="left" w:pos="312"/>
        </w:tabs>
      </w:pPr>
    </w:lvl>
  </w:abstractNum>
  <w:abstractNum w:abstractNumId="11">
    <w:nsid w:val="00000024"/>
    <w:multiLevelType w:val="multilevel"/>
    <w:tmpl w:val="00000024"/>
    <w:lvl w:ilvl="0" w:tentative="0">
      <w:start w:val="1"/>
      <w:numFmt w:val="decimal"/>
      <w:pStyle w:val="218"/>
      <w:suff w:val="nothing"/>
      <w:lvlText w:val="%1　"/>
      <w:lvlJc w:val="left"/>
      <w:rPr>
        <w:rFonts w:ascii="Times New Roman" w:hAnsi="Times New Roman" w:cs="Times New Roman"/>
        <w:b w:val="0"/>
        <w:bCs w:val="0"/>
        <w:iCs w:val="0"/>
        <w:caps w:val="0"/>
        <w:strike w:val="0"/>
        <w:dstrike w:val="0"/>
        <w:vanish w:val="0"/>
        <w:color w:val="000000"/>
        <w:spacing w:val="0"/>
        <w:w w:val="0"/>
        <w:kern w:val="0"/>
        <w:position w:val="0"/>
        <w:szCs w:val="0"/>
        <w:u w:val="none"/>
      </w:rPr>
    </w:lvl>
    <w:lvl w:ilvl="1" w:tentative="0">
      <w:start w:val="1"/>
      <w:numFmt w:val="decimal"/>
      <w:suff w:val="nothing"/>
      <w:lvlText w:val="%1.%2　"/>
      <w:lvlJc w:val="left"/>
      <w:rPr>
        <w:rFonts w:ascii="Times New Roman" w:hAnsi="Times New Roman" w:cs="Times New Roman"/>
        <w:b w:val="0"/>
        <w:bCs w:val="0"/>
        <w:iCs w:val="0"/>
        <w:caps w:val="0"/>
        <w:strike w:val="0"/>
        <w:dstrike w:val="0"/>
        <w:vanish w:val="0"/>
        <w:color w:val="000000"/>
        <w:spacing w:val="0"/>
        <w:w w:val="0"/>
        <w:kern w:val="0"/>
        <w:position w:val="0"/>
        <w:szCs w:val="0"/>
        <w:u w:val="none"/>
      </w:rPr>
    </w:lvl>
    <w:lvl w:ilvl="2" w:tentative="0">
      <w:start w:val="1"/>
      <w:numFmt w:val="decimal"/>
      <w:suff w:val="nothing"/>
      <w:lvlText w:val="%1.%2.%3　"/>
      <w:lvlJc w:val="left"/>
      <w:pPr>
        <w:tabs>
          <w:tab w:val="left" w:pos="0"/>
        </w:tabs>
        <w:ind w:left="1985" w:hanging="1985"/>
      </w:pPr>
      <w:rPr>
        <w:rFonts w:hint="eastAsia" w:ascii="黑体" w:hAnsi="Times New Roman" w:eastAsia="黑体" w:cs="黑体"/>
        <w:b w:val="0"/>
        <w:sz w:val="21"/>
      </w:rPr>
    </w:lvl>
    <w:lvl w:ilvl="3" w:tentative="0">
      <w:start w:val="1"/>
      <w:numFmt w:val="decimal"/>
      <w:suff w:val="nothing"/>
      <w:lvlText w:val="%1.%2.%3.%4　"/>
      <w:lvlJc w:val="left"/>
      <w:pPr>
        <w:tabs>
          <w:tab w:val="left" w:pos="0"/>
        </w:tabs>
        <w:ind w:left="0" w:firstLine="0"/>
      </w:pPr>
      <w:rPr>
        <w:rFonts w:hint="eastAsia" w:ascii="黑体" w:hAnsi="Times New Roman" w:eastAsia="黑体" w:cs="黑体"/>
        <w:b w:val="0"/>
        <w:sz w:val="21"/>
      </w:rPr>
    </w:lvl>
    <w:lvl w:ilvl="4" w:tentative="0">
      <w:start w:val="1"/>
      <w:numFmt w:val="decimal"/>
      <w:suff w:val="nothing"/>
      <w:lvlText w:val="%1.%2.%3.%4.%5　"/>
      <w:lvlJc w:val="left"/>
      <w:pPr>
        <w:tabs>
          <w:tab w:val="left" w:pos="0"/>
        </w:tabs>
        <w:ind w:left="0" w:firstLine="0"/>
      </w:pPr>
      <w:rPr>
        <w:rFonts w:hint="eastAsia" w:ascii="黑体" w:hAnsi="Times New Roman" w:eastAsia="黑体" w:cs="黑体"/>
        <w:b w:val="0"/>
        <w:sz w:val="21"/>
      </w:rPr>
    </w:lvl>
    <w:lvl w:ilvl="5" w:tentative="0">
      <w:start w:val="1"/>
      <w:numFmt w:val="decimal"/>
      <w:suff w:val="nothing"/>
      <w:lvlText w:val="%1.%2.%3.%4.%5.%6　"/>
      <w:lvlJc w:val="left"/>
      <w:pPr>
        <w:tabs>
          <w:tab w:val="left" w:pos="0"/>
        </w:tabs>
        <w:ind w:left="0" w:firstLine="0"/>
      </w:pPr>
      <w:rPr>
        <w:rFonts w:hint="eastAsia" w:ascii="黑体" w:hAnsi="Times New Roman" w:eastAsia="黑体" w:cs="黑体"/>
        <w:b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2">
    <w:nsid w:val="29D120CC"/>
    <w:multiLevelType w:val="singleLevel"/>
    <w:tmpl w:val="29D120CC"/>
    <w:lvl w:ilvl="0" w:tentative="0">
      <w:start w:val="1"/>
      <w:numFmt w:val="decimal"/>
      <w:suff w:val="nothing"/>
      <w:lvlText w:val="（%1）"/>
      <w:lvlJc w:val="left"/>
    </w:lvl>
  </w:abstractNum>
  <w:abstractNum w:abstractNumId="13">
    <w:nsid w:val="53F7068D"/>
    <w:multiLevelType w:val="singleLevel"/>
    <w:tmpl w:val="53F7068D"/>
    <w:lvl w:ilvl="0" w:tentative="0">
      <w:start w:val="1"/>
      <w:numFmt w:val="decimal"/>
      <w:suff w:val="nothing"/>
      <w:lvlText w:val="（%1）"/>
      <w:lvlJc w:val="left"/>
      <w:pPr>
        <w:ind w:left="-70"/>
      </w:pPr>
    </w:lvl>
  </w:abstractNum>
  <w:abstractNum w:abstractNumId="14">
    <w:nsid w:val="59F56D91"/>
    <w:multiLevelType w:val="singleLevel"/>
    <w:tmpl w:val="59F56D91"/>
    <w:lvl w:ilvl="0" w:tentative="0">
      <w:start w:val="1"/>
      <w:numFmt w:val="decimal"/>
      <w:suff w:val="nothing"/>
      <w:lvlText w:val="（%1）"/>
      <w:lvlJc w:val="left"/>
    </w:lvl>
  </w:abstractNum>
  <w:abstractNum w:abstractNumId="15">
    <w:nsid w:val="7B5FFEA9"/>
    <w:multiLevelType w:val="singleLevel"/>
    <w:tmpl w:val="7B5FFEA9"/>
    <w:lvl w:ilvl="0" w:tentative="0">
      <w:start w:val="1"/>
      <w:numFmt w:val="decimal"/>
      <w:suff w:val="nothing"/>
      <w:lvlText w:val="%1、"/>
      <w:lvlJc w:val="left"/>
    </w:lvl>
  </w:abstractNum>
  <w:num w:numId="1">
    <w:abstractNumId w:val="9"/>
  </w:num>
  <w:num w:numId="2">
    <w:abstractNumId w:val="7"/>
  </w:num>
  <w:num w:numId="3">
    <w:abstractNumId w:val="3"/>
  </w:num>
  <w:num w:numId="4">
    <w:abstractNumId w:val="5"/>
  </w:num>
  <w:num w:numId="5">
    <w:abstractNumId w:val="11"/>
  </w:num>
  <w:num w:numId="6">
    <w:abstractNumId w:val="0"/>
  </w:num>
  <w:num w:numId="7">
    <w:abstractNumId w:val="1"/>
  </w:num>
  <w:num w:numId="8">
    <w:abstractNumId w:val="10"/>
  </w:num>
  <w:num w:numId="9">
    <w:abstractNumId w:val="14"/>
  </w:num>
  <w:num w:numId="10">
    <w:abstractNumId w:val="13"/>
  </w:num>
  <w:num w:numId="11">
    <w:abstractNumId w:val="15"/>
  </w:num>
  <w:num w:numId="12">
    <w:abstractNumId w:val="12"/>
  </w:num>
  <w:num w:numId="13">
    <w:abstractNumId w:val="6"/>
  </w:num>
  <w:num w:numId="14">
    <w:abstractNumId w:val="8"/>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6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okNames" w:val="year1_2;filetype1_2"/>
    <w:docVar w:name="commondata" w:val="eyJoZGlkIjoiZDE4YjRmY2NjYWQwNzRiYWQ2MzViNGYxZTc3M2JhZTI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1819"/>
    <w:rsid w:val="00003736"/>
    <w:rsid w:val="00016431"/>
    <w:rsid w:val="00020D1D"/>
    <w:rsid w:val="00027301"/>
    <w:rsid w:val="00027BBD"/>
    <w:rsid w:val="00043C49"/>
    <w:rsid w:val="00043E46"/>
    <w:rsid w:val="00046D02"/>
    <w:rsid w:val="00073268"/>
    <w:rsid w:val="00076568"/>
    <w:rsid w:val="0007724A"/>
    <w:rsid w:val="0008353B"/>
    <w:rsid w:val="000A2780"/>
    <w:rsid w:val="000A6300"/>
    <w:rsid w:val="000A6B65"/>
    <w:rsid w:val="000B2B95"/>
    <w:rsid w:val="000B2D97"/>
    <w:rsid w:val="000B4944"/>
    <w:rsid w:val="000B6213"/>
    <w:rsid w:val="000C3B75"/>
    <w:rsid w:val="000C44A5"/>
    <w:rsid w:val="000D3830"/>
    <w:rsid w:val="000E0387"/>
    <w:rsid w:val="000E10E7"/>
    <w:rsid w:val="000E34C5"/>
    <w:rsid w:val="000E6B30"/>
    <w:rsid w:val="000E7E2D"/>
    <w:rsid w:val="000F000F"/>
    <w:rsid w:val="00103884"/>
    <w:rsid w:val="00105D13"/>
    <w:rsid w:val="00106F98"/>
    <w:rsid w:val="00112ECA"/>
    <w:rsid w:val="00114E64"/>
    <w:rsid w:val="001214D8"/>
    <w:rsid w:val="00122DA1"/>
    <w:rsid w:val="0012749D"/>
    <w:rsid w:val="001330A1"/>
    <w:rsid w:val="001355D8"/>
    <w:rsid w:val="001356C6"/>
    <w:rsid w:val="001405CB"/>
    <w:rsid w:val="001437E8"/>
    <w:rsid w:val="00143B4E"/>
    <w:rsid w:val="00143E60"/>
    <w:rsid w:val="001512F0"/>
    <w:rsid w:val="001541A3"/>
    <w:rsid w:val="001545F0"/>
    <w:rsid w:val="0016513C"/>
    <w:rsid w:val="00167E95"/>
    <w:rsid w:val="00170280"/>
    <w:rsid w:val="00172A27"/>
    <w:rsid w:val="00173C4C"/>
    <w:rsid w:val="00173CBF"/>
    <w:rsid w:val="001758AD"/>
    <w:rsid w:val="00183EE2"/>
    <w:rsid w:val="001905D8"/>
    <w:rsid w:val="001A0375"/>
    <w:rsid w:val="001A5C76"/>
    <w:rsid w:val="001A6DB9"/>
    <w:rsid w:val="001B0785"/>
    <w:rsid w:val="001B2E7F"/>
    <w:rsid w:val="001B31DB"/>
    <w:rsid w:val="001B36DE"/>
    <w:rsid w:val="001B521D"/>
    <w:rsid w:val="001B7905"/>
    <w:rsid w:val="001C11AA"/>
    <w:rsid w:val="001C6605"/>
    <w:rsid w:val="001C70B5"/>
    <w:rsid w:val="001E3E44"/>
    <w:rsid w:val="001E64DA"/>
    <w:rsid w:val="00210449"/>
    <w:rsid w:val="00215A54"/>
    <w:rsid w:val="00223AFA"/>
    <w:rsid w:val="00236E40"/>
    <w:rsid w:val="002402EE"/>
    <w:rsid w:val="00243730"/>
    <w:rsid w:val="00245817"/>
    <w:rsid w:val="00251F58"/>
    <w:rsid w:val="00255A5F"/>
    <w:rsid w:val="0025694B"/>
    <w:rsid w:val="002714FC"/>
    <w:rsid w:val="00274BF9"/>
    <w:rsid w:val="00280CAB"/>
    <w:rsid w:val="002839CD"/>
    <w:rsid w:val="002925B0"/>
    <w:rsid w:val="002B03E5"/>
    <w:rsid w:val="002C755B"/>
    <w:rsid w:val="002F2031"/>
    <w:rsid w:val="002F3B87"/>
    <w:rsid w:val="002F46C4"/>
    <w:rsid w:val="0030510F"/>
    <w:rsid w:val="00314C94"/>
    <w:rsid w:val="00321A6A"/>
    <w:rsid w:val="003223FC"/>
    <w:rsid w:val="003245DA"/>
    <w:rsid w:val="0033238B"/>
    <w:rsid w:val="00336C17"/>
    <w:rsid w:val="00342694"/>
    <w:rsid w:val="00343486"/>
    <w:rsid w:val="0034350A"/>
    <w:rsid w:val="00347105"/>
    <w:rsid w:val="00366918"/>
    <w:rsid w:val="00366FCF"/>
    <w:rsid w:val="00367914"/>
    <w:rsid w:val="00372435"/>
    <w:rsid w:val="00382EE0"/>
    <w:rsid w:val="0038578D"/>
    <w:rsid w:val="003A1876"/>
    <w:rsid w:val="003B39BC"/>
    <w:rsid w:val="003B615D"/>
    <w:rsid w:val="003B66A3"/>
    <w:rsid w:val="003C0AF4"/>
    <w:rsid w:val="003C1CF4"/>
    <w:rsid w:val="003C63AB"/>
    <w:rsid w:val="003C7FA7"/>
    <w:rsid w:val="003D3F33"/>
    <w:rsid w:val="003D63AD"/>
    <w:rsid w:val="00400F93"/>
    <w:rsid w:val="004105DA"/>
    <w:rsid w:val="004200E3"/>
    <w:rsid w:val="0042033A"/>
    <w:rsid w:val="00427EE2"/>
    <w:rsid w:val="00440002"/>
    <w:rsid w:val="0044075C"/>
    <w:rsid w:val="00445EAF"/>
    <w:rsid w:val="00473112"/>
    <w:rsid w:val="0047747E"/>
    <w:rsid w:val="00477885"/>
    <w:rsid w:val="00485360"/>
    <w:rsid w:val="00487A88"/>
    <w:rsid w:val="00493874"/>
    <w:rsid w:val="00493ED4"/>
    <w:rsid w:val="004A3785"/>
    <w:rsid w:val="004A45A9"/>
    <w:rsid w:val="004A6162"/>
    <w:rsid w:val="004B0D73"/>
    <w:rsid w:val="004B305B"/>
    <w:rsid w:val="004B40AA"/>
    <w:rsid w:val="004C1A6A"/>
    <w:rsid w:val="004C1FEF"/>
    <w:rsid w:val="004D2BAC"/>
    <w:rsid w:val="004E0F7E"/>
    <w:rsid w:val="004E1C49"/>
    <w:rsid w:val="004E1DB4"/>
    <w:rsid w:val="004E4692"/>
    <w:rsid w:val="004F6CEF"/>
    <w:rsid w:val="00503350"/>
    <w:rsid w:val="0051122C"/>
    <w:rsid w:val="00512524"/>
    <w:rsid w:val="005354CC"/>
    <w:rsid w:val="00536ECF"/>
    <w:rsid w:val="00541A53"/>
    <w:rsid w:val="00544F38"/>
    <w:rsid w:val="00554DE0"/>
    <w:rsid w:val="00555B0B"/>
    <w:rsid w:val="00565416"/>
    <w:rsid w:val="00574888"/>
    <w:rsid w:val="005773F2"/>
    <w:rsid w:val="005801B8"/>
    <w:rsid w:val="00591153"/>
    <w:rsid w:val="005A3FB3"/>
    <w:rsid w:val="005B171B"/>
    <w:rsid w:val="005B1DCD"/>
    <w:rsid w:val="005B4C1A"/>
    <w:rsid w:val="005B578C"/>
    <w:rsid w:val="005B616A"/>
    <w:rsid w:val="005C18F9"/>
    <w:rsid w:val="005C5E32"/>
    <w:rsid w:val="005F5FF4"/>
    <w:rsid w:val="0060060A"/>
    <w:rsid w:val="00611B90"/>
    <w:rsid w:val="00620B78"/>
    <w:rsid w:val="00620F55"/>
    <w:rsid w:val="00640E10"/>
    <w:rsid w:val="00645646"/>
    <w:rsid w:val="00645695"/>
    <w:rsid w:val="00647726"/>
    <w:rsid w:val="006521F0"/>
    <w:rsid w:val="00653E35"/>
    <w:rsid w:val="00664D23"/>
    <w:rsid w:val="00665A31"/>
    <w:rsid w:val="00674F90"/>
    <w:rsid w:val="00683347"/>
    <w:rsid w:val="00684F05"/>
    <w:rsid w:val="00687F7C"/>
    <w:rsid w:val="00691BB2"/>
    <w:rsid w:val="00696AB7"/>
    <w:rsid w:val="006A2F24"/>
    <w:rsid w:val="006A7627"/>
    <w:rsid w:val="006B24E5"/>
    <w:rsid w:val="006C3156"/>
    <w:rsid w:val="006D12DA"/>
    <w:rsid w:val="006D2B52"/>
    <w:rsid w:val="006E0404"/>
    <w:rsid w:val="006E04CE"/>
    <w:rsid w:val="006E3201"/>
    <w:rsid w:val="006F1BC8"/>
    <w:rsid w:val="0070033A"/>
    <w:rsid w:val="00706ED8"/>
    <w:rsid w:val="00707948"/>
    <w:rsid w:val="00712DDA"/>
    <w:rsid w:val="0071693A"/>
    <w:rsid w:val="00716A2F"/>
    <w:rsid w:val="00726C60"/>
    <w:rsid w:val="00731DBA"/>
    <w:rsid w:val="0074455F"/>
    <w:rsid w:val="007501E1"/>
    <w:rsid w:val="007546C9"/>
    <w:rsid w:val="00757CC2"/>
    <w:rsid w:val="00760015"/>
    <w:rsid w:val="00760F0E"/>
    <w:rsid w:val="00770638"/>
    <w:rsid w:val="007852CF"/>
    <w:rsid w:val="00785F60"/>
    <w:rsid w:val="007A0097"/>
    <w:rsid w:val="007A218D"/>
    <w:rsid w:val="007A27B2"/>
    <w:rsid w:val="007A2F69"/>
    <w:rsid w:val="007A3668"/>
    <w:rsid w:val="007B26AA"/>
    <w:rsid w:val="007B5E19"/>
    <w:rsid w:val="007C5698"/>
    <w:rsid w:val="007E46F3"/>
    <w:rsid w:val="007E7997"/>
    <w:rsid w:val="007F519C"/>
    <w:rsid w:val="008008E2"/>
    <w:rsid w:val="008013B2"/>
    <w:rsid w:val="00801C61"/>
    <w:rsid w:val="00805004"/>
    <w:rsid w:val="008116ED"/>
    <w:rsid w:val="00813749"/>
    <w:rsid w:val="0082022F"/>
    <w:rsid w:val="0083101D"/>
    <w:rsid w:val="008315A1"/>
    <w:rsid w:val="008323D9"/>
    <w:rsid w:val="0084213B"/>
    <w:rsid w:val="008464AC"/>
    <w:rsid w:val="00863D5D"/>
    <w:rsid w:val="008676E9"/>
    <w:rsid w:val="008732B6"/>
    <w:rsid w:val="00873860"/>
    <w:rsid w:val="00875E0B"/>
    <w:rsid w:val="00877C50"/>
    <w:rsid w:val="008939BB"/>
    <w:rsid w:val="00895E29"/>
    <w:rsid w:val="008A17C8"/>
    <w:rsid w:val="008A51B8"/>
    <w:rsid w:val="008B3EAF"/>
    <w:rsid w:val="008B5158"/>
    <w:rsid w:val="008C28EF"/>
    <w:rsid w:val="008D04C4"/>
    <w:rsid w:val="008D52D4"/>
    <w:rsid w:val="008D7C97"/>
    <w:rsid w:val="008E3289"/>
    <w:rsid w:val="008E4DF1"/>
    <w:rsid w:val="008E6F9C"/>
    <w:rsid w:val="00903054"/>
    <w:rsid w:val="00913682"/>
    <w:rsid w:val="00916C7A"/>
    <w:rsid w:val="00920D6F"/>
    <w:rsid w:val="00923892"/>
    <w:rsid w:val="00927078"/>
    <w:rsid w:val="00932549"/>
    <w:rsid w:val="00942C1A"/>
    <w:rsid w:val="00943A1E"/>
    <w:rsid w:val="009452FA"/>
    <w:rsid w:val="009454A4"/>
    <w:rsid w:val="009467E3"/>
    <w:rsid w:val="009625B4"/>
    <w:rsid w:val="0096412B"/>
    <w:rsid w:val="00966B99"/>
    <w:rsid w:val="00986118"/>
    <w:rsid w:val="009901B5"/>
    <w:rsid w:val="009A73BE"/>
    <w:rsid w:val="009B5142"/>
    <w:rsid w:val="009C04BC"/>
    <w:rsid w:val="009C66F4"/>
    <w:rsid w:val="009C6A06"/>
    <w:rsid w:val="009C7F34"/>
    <w:rsid w:val="009D5B2C"/>
    <w:rsid w:val="009D6C21"/>
    <w:rsid w:val="009E0CB8"/>
    <w:rsid w:val="009E39FD"/>
    <w:rsid w:val="009E6102"/>
    <w:rsid w:val="009E6C4B"/>
    <w:rsid w:val="009F4379"/>
    <w:rsid w:val="00A20E0A"/>
    <w:rsid w:val="00A4023F"/>
    <w:rsid w:val="00A66A6E"/>
    <w:rsid w:val="00A735DA"/>
    <w:rsid w:val="00A758AE"/>
    <w:rsid w:val="00A870B5"/>
    <w:rsid w:val="00A87D04"/>
    <w:rsid w:val="00A95015"/>
    <w:rsid w:val="00AA0463"/>
    <w:rsid w:val="00AA375A"/>
    <w:rsid w:val="00AB06EA"/>
    <w:rsid w:val="00AC36B5"/>
    <w:rsid w:val="00AE1B7B"/>
    <w:rsid w:val="00AE3382"/>
    <w:rsid w:val="00B17426"/>
    <w:rsid w:val="00B20AE6"/>
    <w:rsid w:val="00B26DF6"/>
    <w:rsid w:val="00B34B71"/>
    <w:rsid w:val="00B41730"/>
    <w:rsid w:val="00B47693"/>
    <w:rsid w:val="00B562C2"/>
    <w:rsid w:val="00B60CEA"/>
    <w:rsid w:val="00B6106B"/>
    <w:rsid w:val="00B76AA1"/>
    <w:rsid w:val="00B936D7"/>
    <w:rsid w:val="00B948EA"/>
    <w:rsid w:val="00BC08EC"/>
    <w:rsid w:val="00BC203A"/>
    <w:rsid w:val="00BD13A9"/>
    <w:rsid w:val="00BD4120"/>
    <w:rsid w:val="00BF5156"/>
    <w:rsid w:val="00BF7353"/>
    <w:rsid w:val="00C00639"/>
    <w:rsid w:val="00C10A97"/>
    <w:rsid w:val="00C14EFF"/>
    <w:rsid w:val="00C31180"/>
    <w:rsid w:val="00C31C52"/>
    <w:rsid w:val="00C43E53"/>
    <w:rsid w:val="00C51A3A"/>
    <w:rsid w:val="00C52616"/>
    <w:rsid w:val="00C52CF8"/>
    <w:rsid w:val="00C53795"/>
    <w:rsid w:val="00C53A3B"/>
    <w:rsid w:val="00C55164"/>
    <w:rsid w:val="00C55D6C"/>
    <w:rsid w:val="00C6715C"/>
    <w:rsid w:val="00C675CF"/>
    <w:rsid w:val="00C82084"/>
    <w:rsid w:val="00C85945"/>
    <w:rsid w:val="00C9038E"/>
    <w:rsid w:val="00CA13A3"/>
    <w:rsid w:val="00CA240C"/>
    <w:rsid w:val="00CA4088"/>
    <w:rsid w:val="00CB2CDC"/>
    <w:rsid w:val="00CB3233"/>
    <w:rsid w:val="00CE1180"/>
    <w:rsid w:val="00CE35D2"/>
    <w:rsid w:val="00CE37CF"/>
    <w:rsid w:val="00CE5C1A"/>
    <w:rsid w:val="00CF3FD1"/>
    <w:rsid w:val="00CF4173"/>
    <w:rsid w:val="00CF554F"/>
    <w:rsid w:val="00D11944"/>
    <w:rsid w:val="00D13EFB"/>
    <w:rsid w:val="00D14772"/>
    <w:rsid w:val="00D22078"/>
    <w:rsid w:val="00D34207"/>
    <w:rsid w:val="00D40CB4"/>
    <w:rsid w:val="00D57DCD"/>
    <w:rsid w:val="00D610BF"/>
    <w:rsid w:val="00D62FA5"/>
    <w:rsid w:val="00D866B8"/>
    <w:rsid w:val="00D9349C"/>
    <w:rsid w:val="00D944CE"/>
    <w:rsid w:val="00D96667"/>
    <w:rsid w:val="00DB48DE"/>
    <w:rsid w:val="00DD0D9B"/>
    <w:rsid w:val="00DD17CB"/>
    <w:rsid w:val="00DD23CC"/>
    <w:rsid w:val="00DD6121"/>
    <w:rsid w:val="00DE4F4F"/>
    <w:rsid w:val="00DE51F0"/>
    <w:rsid w:val="00DF509C"/>
    <w:rsid w:val="00E022F1"/>
    <w:rsid w:val="00E1120F"/>
    <w:rsid w:val="00E15E5C"/>
    <w:rsid w:val="00E230FC"/>
    <w:rsid w:val="00E26F60"/>
    <w:rsid w:val="00E2702C"/>
    <w:rsid w:val="00E36D72"/>
    <w:rsid w:val="00E42C7B"/>
    <w:rsid w:val="00E44F15"/>
    <w:rsid w:val="00E56199"/>
    <w:rsid w:val="00E61B6D"/>
    <w:rsid w:val="00E63694"/>
    <w:rsid w:val="00E70021"/>
    <w:rsid w:val="00E709C6"/>
    <w:rsid w:val="00E712AF"/>
    <w:rsid w:val="00E74B3C"/>
    <w:rsid w:val="00E85707"/>
    <w:rsid w:val="00E87478"/>
    <w:rsid w:val="00E87AF1"/>
    <w:rsid w:val="00E90FD0"/>
    <w:rsid w:val="00EA463E"/>
    <w:rsid w:val="00EB35E1"/>
    <w:rsid w:val="00EB6490"/>
    <w:rsid w:val="00EB678F"/>
    <w:rsid w:val="00EC57BA"/>
    <w:rsid w:val="00EC584C"/>
    <w:rsid w:val="00EE1DBE"/>
    <w:rsid w:val="00EE4998"/>
    <w:rsid w:val="00EE4F9C"/>
    <w:rsid w:val="00EF2DF5"/>
    <w:rsid w:val="00F0044B"/>
    <w:rsid w:val="00F01029"/>
    <w:rsid w:val="00F02EAE"/>
    <w:rsid w:val="00F0459E"/>
    <w:rsid w:val="00F07786"/>
    <w:rsid w:val="00F12B10"/>
    <w:rsid w:val="00F27203"/>
    <w:rsid w:val="00F326DB"/>
    <w:rsid w:val="00F36279"/>
    <w:rsid w:val="00F416F4"/>
    <w:rsid w:val="00F47FE2"/>
    <w:rsid w:val="00F51466"/>
    <w:rsid w:val="00F705B3"/>
    <w:rsid w:val="00F71A3E"/>
    <w:rsid w:val="00F7388F"/>
    <w:rsid w:val="00F74EB7"/>
    <w:rsid w:val="00FC1E6D"/>
    <w:rsid w:val="00FE35DC"/>
    <w:rsid w:val="00FE57DA"/>
    <w:rsid w:val="00FE70EF"/>
    <w:rsid w:val="00FF1B26"/>
    <w:rsid w:val="00FF68DB"/>
    <w:rsid w:val="01002D1C"/>
    <w:rsid w:val="01114B8F"/>
    <w:rsid w:val="01173FF6"/>
    <w:rsid w:val="01253372"/>
    <w:rsid w:val="01324854"/>
    <w:rsid w:val="0136557F"/>
    <w:rsid w:val="01423F24"/>
    <w:rsid w:val="01426E05"/>
    <w:rsid w:val="014F507E"/>
    <w:rsid w:val="01541287"/>
    <w:rsid w:val="016A5229"/>
    <w:rsid w:val="0188648C"/>
    <w:rsid w:val="018F52CB"/>
    <w:rsid w:val="01960839"/>
    <w:rsid w:val="01BC7C0E"/>
    <w:rsid w:val="01CA1CDE"/>
    <w:rsid w:val="01E56646"/>
    <w:rsid w:val="01FB5357"/>
    <w:rsid w:val="02162EC2"/>
    <w:rsid w:val="021F6629"/>
    <w:rsid w:val="022B55EB"/>
    <w:rsid w:val="023976A3"/>
    <w:rsid w:val="023A2572"/>
    <w:rsid w:val="024A38C0"/>
    <w:rsid w:val="024F68D8"/>
    <w:rsid w:val="026704F1"/>
    <w:rsid w:val="028824E8"/>
    <w:rsid w:val="029A7D90"/>
    <w:rsid w:val="02AA01DC"/>
    <w:rsid w:val="02B068EF"/>
    <w:rsid w:val="02D53A9D"/>
    <w:rsid w:val="02ED6112"/>
    <w:rsid w:val="031646D2"/>
    <w:rsid w:val="03220A8A"/>
    <w:rsid w:val="033232D6"/>
    <w:rsid w:val="034118EB"/>
    <w:rsid w:val="03433F57"/>
    <w:rsid w:val="034C6E41"/>
    <w:rsid w:val="03697BFD"/>
    <w:rsid w:val="03775890"/>
    <w:rsid w:val="03886A90"/>
    <w:rsid w:val="03917A7B"/>
    <w:rsid w:val="03B96C55"/>
    <w:rsid w:val="03C647A7"/>
    <w:rsid w:val="03C66D3A"/>
    <w:rsid w:val="03D84CEA"/>
    <w:rsid w:val="03DE3CAC"/>
    <w:rsid w:val="03FE5904"/>
    <w:rsid w:val="041D268E"/>
    <w:rsid w:val="042A13CF"/>
    <w:rsid w:val="044E384D"/>
    <w:rsid w:val="046319D0"/>
    <w:rsid w:val="04844EE9"/>
    <w:rsid w:val="048D28EB"/>
    <w:rsid w:val="04B2498B"/>
    <w:rsid w:val="04BA1FC1"/>
    <w:rsid w:val="04C91DED"/>
    <w:rsid w:val="04F14DB6"/>
    <w:rsid w:val="05047743"/>
    <w:rsid w:val="051870C5"/>
    <w:rsid w:val="053158C8"/>
    <w:rsid w:val="05387ECA"/>
    <w:rsid w:val="056C251A"/>
    <w:rsid w:val="057523EE"/>
    <w:rsid w:val="057738A2"/>
    <w:rsid w:val="058202DC"/>
    <w:rsid w:val="05B469AA"/>
    <w:rsid w:val="05C8356B"/>
    <w:rsid w:val="05DC5310"/>
    <w:rsid w:val="06030AF8"/>
    <w:rsid w:val="0612610E"/>
    <w:rsid w:val="06153F51"/>
    <w:rsid w:val="0639341C"/>
    <w:rsid w:val="063F4B76"/>
    <w:rsid w:val="064420F4"/>
    <w:rsid w:val="06577571"/>
    <w:rsid w:val="066A2D8B"/>
    <w:rsid w:val="068259CE"/>
    <w:rsid w:val="06AE1539"/>
    <w:rsid w:val="06C734FB"/>
    <w:rsid w:val="06CD5210"/>
    <w:rsid w:val="06D17D4E"/>
    <w:rsid w:val="06E1269F"/>
    <w:rsid w:val="06F41689"/>
    <w:rsid w:val="06F6649D"/>
    <w:rsid w:val="070B60F9"/>
    <w:rsid w:val="07140325"/>
    <w:rsid w:val="07221694"/>
    <w:rsid w:val="073D6E08"/>
    <w:rsid w:val="07673187"/>
    <w:rsid w:val="077D0341"/>
    <w:rsid w:val="077D46B4"/>
    <w:rsid w:val="07831916"/>
    <w:rsid w:val="07A70F85"/>
    <w:rsid w:val="07AC0B58"/>
    <w:rsid w:val="07AF71F9"/>
    <w:rsid w:val="07C96FE6"/>
    <w:rsid w:val="07D77390"/>
    <w:rsid w:val="08006815"/>
    <w:rsid w:val="080A3E1C"/>
    <w:rsid w:val="081C7D29"/>
    <w:rsid w:val="08455717"/>
    <w:rsid w:val="084C7109"/>
    <w:rsid w:val="089D63E7"/>
    <w:rsid w:val="08BB6C88"/>
    <w:rsid w:val="08BF44DD"/>
    <w:rsid w:val="08C74B52"/>
    <w:rsid w:val="08D02167"/>
    <w:rsid w:val="08D244A8"/>
    <w:rsid w:val="090B21AC"/>
    <w:rsid w:val="09263087"/>
    <w:rsid w:val="093822B1"/>
    <w:rsid w:val="093C424D"/>
    <w:rsid w:val="094E0D20"/>
    <w:rsid w:val="09920DB0"/>
    <w:rsid w:val="09A5445D"/>
    <w:rsid w:val="09AA6316"/>
    <w:rsid w:val="09B1420E"/>
    <w:rsid w:val="09B950D4"/>
    <w:rsid w:val="09CE67F0"/>
    <w:rsid w:val="09E915CD"/>
    <w:rsid w:val="09EE642B"/>
    <w:rsid w:val="0A011FE7"/>
    <w:rsid w:val="0A026AE6"/>
    <w:rsid w:val="0A411552"/>
    <w:rsid w:val="0A570314"/>
    <w:rsid w:val="0A5C592B"/>
    <w:rsid w:val="0A5E1A14"/>
    <w:rsid w:val="0A6D3FDD"/>
    <w:rsid w:val="0A6F687B"/>
    <w:rsid w:val="0A8D3FA1"/>
    <w:rsid w:val="0A8E73F1"/>
    <w:rsid w:val="0A935DB0"/>
    <w:rsid w:val="0AB82632"/>
    <w:rsid w:val="0ABA3A59"/>
    <w:rsid w:val="0AE8785D"/>
    <w:rsid w:val="0B0E4E77"/>
    <w:rsid w:val="0B1D27B6"/>
    <w:rsid w:val="0B3A50E9"/>
    <w:rsid w:val="0B43606F"/>
    <w:rsid w:val="0B5E473F"/>
    <w:rsid w:val="0B6F5DB2"/>
    <w:rsid w:val="0B7863DB"/>
    <w:rsid w:val="0B8F3A0C"/>
    <w:rsid w:val="0B9D355B"/>
    <w:rsid w:val="0BA01F3A"/>
    <w:rsid w:val="0BCE7DAA"/>
    <w:rsid w:val="0C1119BD"/>
    <w:rsid w:val="0C142450"/>
    <w:rsid w:val="0C4E5160"/>
    <w:rsid w:val="0C570C5F"/>
    <w:rsid w:val="0C7053DE"/>
    <w:rsid w:val="0C747B49"/>
    <w:rsid w:val="0C887893"/>
    <w:rsid w:val="0C9C4B44"/>
    <w:rsid w:val="0CBD68DF"/>
    <w:rsid w:val="0CC12870"/>
    <w:rsid w:val="0CDF7BB4"/>
    <w:rsid w:val="0D160EAF"/>
    <w:rsid w:val="0D1E3E98"/>
    <w:rsid w:val="0D245CFE"/>
    <w:rsid w:val="0D25762A"/>
    <w:rsid w:val="0D45530B"/>
    <w:rsid w:val="0D650680"/>
    <w:rsid w:val="0D76571A"/>
    <w:rsid w:val="0D781272"/>
    <w:rsid w:val="0D824F03"/>
    <w:rsid w:val="0DB51C6D"/>
    <w:rsid w:val="0DC21F49"/>
    <w:rsid w:val="0DC50425"/>
    <w:rsid w:val="0DC8662D"/>
    <w:rsid w:val="0DEA1BCB"/>
    <w:rsid w:val="0E145E8E"/>
    <w:rsid w:val="0E31617E"/>
    <w:rsid w:val="0E400E48"/>
    <w:rsid w:val="0E77482B"/>
    <w:rsid w:val="0E9450A5"/>
    <w:rsid w:val="0EA42543"/>
    <w:rsid w:val="0EC32352"/>
    <w:rsid w:val="0EC73CBB"/>
    <w:rsid w:val="0ED434F5"/>
    <w:rsid w:val="0EE37B28"/>
    <w:rsid w:val="0EE53B0D"/>
    <w:rsid w:val="0EFA0439"/>
    <w:rsid w:val="0F04053B"/>
    <w:rsid w:val="0F200666"/>
    <w:rsid w:val="0F2575D3"/>
    <w:rsid w:val="0F430E35"/>
    <w:rsid w:val="0F4A612D"/>
    <w:rsid w:val="0F575F9A"/>
    <w:rsid w:val="0F5F43BC"/>
    <w:rsid w:val="0F757CEC"/>
    <w:rsid w:val="0F847C30"/>
    <w:rsid w:val="0F95263D"/>
    <w:rsid w:val="0F9A2890"/>
    <w:rsid w:val="0FC01BBA"/>
    <w:rsid w:val="0FC42AB2"/>
    <w:rsid w:val="0FCA16C2"/>
    <w:rsid w:val="0FE61592"/>
    <w:rsid w:val="1026481C"/>
    <w:rsid w:val="102D62EA"/>
    <w:rsid w:val="10416A24"/>
    <w:rsid w:val="104957CA"/>
    <w:rsid w:val="10877A4C"/>
    <w:rsid w:val="10A342B4"/>
    <w:rsid w:val="10D54448"/>
    <w:rsid w:val="10DD1069"/>
    <w:rsid w:val="110A3425"/>
    <w:rsid w:val="11366CE3"/>
    <w:rsid w:val="113D4D5F"/>
    <w:rsid w:val="11564743"/>
    <w:rsid w:val="1163035F"/>
    <w:rsid w:val="117A4938"/>
    <w:rsid w:val="118D3E1B"/>
    <w:rsid w:val="11B806F5"/>
    <w:rsid w:val="11D1448A"/>
    <w:rsid w:val="11D80BFA"/>
    <w:rsid w:val="120F7CB7"/>
    <w:rsid w:val="123B4782"/>
    <w:rsid w:val="12441A7C"/>
    <w:rsid w:val="12543FAB"/>
    <w:rsid w:val="12547A1D"/>
    <w:rsid w:val="125D2B77"/>
    <w:rsid w:val="12630CAF"/>
    <w:rsid w:val="126338E8"/>
    <w:rsid w:val="12793292"/>
    <w:rsid w:val="129C6943"/>
    <w:rsid w:val="12A66820"/>
    <w:rsid w:val="12B332CD"/>
    <w:rsid w:val="12C82534"/>
    <w:rsid w:val="12C9042C"/>
    <w:rsid w:val="12F71501"/>
    <w:rsid w:val="130E3A09"/>
    <w:rsid w:val="13104DF0"/>
    <w:rsid w:val="131778C3"/>
    <w:rsid w:val="1319370E"/>
    <w:rsid w:val="133203CD"/>
    <w:rsid w:val="133D69DB"/>
    <w:rsid w:val="134E49AB"/>
    <w:rsid w:val="135065A0"/>
    <w:rsid w:val="135D14D3"/>
    <w:rsid w:val="135E0B7B"/>
    <w:rsid w:val="137B5074"/>
    <w:rsid w:val="13802077"/>
    <w:rsid w:val="13A9115B"/>
    <w:rsid w:val="13E018E4"/>
    <w:rsid w:val="13E25B79"/>
    <w:rsid w:val="13EA1697"/>
    <w:rsid w:val="14190998"/>
    <w:rsid w:val="14197EEC"/>
    <w:rsid w:val="141D3733"/>
    <w:rsid w:val="144569B0"/>
    <w:rsid w:val="147869F3"/>
    <w:rsid w:val="148256C6"/>
    <w:rsid w:val="14931E55"/>
    <w:rsid w:val="14AC34C4"/>
    <w:rsid w:val="14AE7E8C"/>
    <w:rsid w:val="14B05FC8"/>
    <w:rsid w:val="14CB4227"/>
    <w:rsid w:val="14D04729"/>
    <w:rsid w:val="14D22406"/>
    <w:rsid w:val="14F767DE"/>
    <w:rsid w:val="152902FA"/>
    <w:rsid w:val="156D1AE3"/>
    <w:rsid w:val="15AC15B0"/>
    <w:rsid w:val="15B94777"/>
    <w:rsid w:val="15BD4C71"/>
    <w:rsid w:val="15CB2510"/>
    <w:rsid w:val="15D46F90"/>
    <w:rsid w:val="160D099B"/>
    <w:rsid w:val="16135A37"/>
    <w:rsid w:val="16143B93"/>
    <w:rsid w:val="16203C9F"/>
    <w:rsid w:val="162E130A"/>
    <w:rsid w:val="165E4538"/>
    <w:rsid w:val="1669478E"/>
    <w:rsid w:val="168A20AD"/>
    <w:rsid w:val="16A37905"/>
    <w:rsid w:val="16A45B9C"/>
    <w:rsid w:val="16A86080"/>
    <w:rsid w:val="16AF40E1"/>
    <w:rsid w:val="16B94831"/>
    <w:rsid w:val="16BD5C37"/>
    <w:rsid w:val="16C451A9"/>
    <w:rsid w:val="16EE0B33"/>
    <w:rsid w:val="16F27608"/>
    <w:rsid w:val="16F3507B"/>
    <w:rsid w:val="16FB792E"/>
    <w:rsid w:val="16FF66F5"/>
    <w:rsid w:val="170535D2"/>
    <w:rsid w:val="170D7152"/>
    <w:rsid w:val="17233804"/>
    <w:rsid w:val="17306175"/>
    <w:rsid w:val="17367C2F"/>
    <w:rsid w:val="17472692"/>
    <w:rsid w:val="175207E1"/>
    <w:rsid w:val="17A24FD4"/>
    <w:rsid w:val="17B73E08"/>
    <w:rsid w:val="17B9260F"/>
    <w:rsid w:val="17EC0057"/>
    <w:rsid w:val="17F46A26"/>
    <w:rsid w:val="1802514D"/>
    <w:rsid w:val="180513A4"/>
    <w:rsid w:val="181C3669"/>
    <w:rsid w:val="182075E9"/>
    <w:rsid w:val="182940D0"/>
    <w:rsid w:val="18351DF5"/>
    <w:rsid w:val="18366DBB"/>
    <w:rsid w:val="18553091"/>
    <w:rsid w:val="185C54ED"/>
    <w:rsid w:val="18763B01"/>
    <w:rsid w:val="188071EB"/>
    <w:rsid w:val="188B3D35"/>
    <w:rsid w:val="18900A1F"/>
    <w:rsid w:val="189A1D2D"/>
    <w:rsid w:val="18B004D2"/>
    <w:rsid w:val="18D77B2C"/>
    <w:rsid w:val="18EF6DE4"/>
    <w:rsid w:val="190D5B11"/>
    <w:rsid w:val="19174FB0"/>
    <w:rsid w:val="19197A55"/>
    <w:rsid w:val="191A1127"/>
    <w:rsid w:val="191C7B6F"/>
    <w:rsid w:val="191E097B"/>
    <w:rsid w:val="193627CE"/>
    <w:rsid w:val="193D2486"/>
    <w:rsid w:val="19650358"/>
    <w:rsid w:val="198C0AC2"/>
    <w:rsid w:val="19926C31"/>
    <w:rsid w:val="19A44CF9"/>
    <w:rsid w:val="19A622A9"/>
    <w:rsid w:val="19B17966"/>
    <w:rsid w:val="19B62055"/>
    <w:rsid w:val="19BA38BC"/>
    <w:rsid w:val="19CE3F37"/>
    <w:rsid w:val="19F0580C"/>
    <w:rsid w:val="1A036ECB"/>
    <w:rsid w:val="1A145DAD"/>
    <w:rsid w:val="1A427151"/>
    <w:rsid w:val="1A4F53CE"/>
    <w:rsid w:val="1A63253D"/>
    <w:rsid w:val="1A6C302F"/>
    <w:rsid w:val="1A6F650A"/>
    <w:rsid w:val="1A9E5F0A"/>
    <w:rsid w:val="1AA61C07"/>
    <w:rsid w:val="1AB15758"/>
    <w:rsid w:val="1AB42D0D"/>
    <w:rsid w:val="1ABB1AE5"/>
    <w:rsid w:val="1AC35DCB"/>
    <w:rsid w:val="1AE80251"/>
    <w:rsid w:val="1AF554C1"/>
    <w:rsid w:val="1AF65859"/>
    <w:rsid w:val="1B0A685C"/>
    <w:rsid w:val="1B2D0D80"/>
    <w:rsid w:val="1B481E69"/>
    <w:rsid w:val="1B516EA0"/>
    <w:rsid w:val="1B9204B8"/>
    <w:rsid w:val="1B9B6681"/>
    <w:rsid w:val="1BAD70CA"/>
    <w:rsid w:val="1BBE2E6C"/>
    <w:rsid w:val="1BEB45CE"/>
    <w:rsid w:val="1C115E31"/>
    <w:rsid w:val="1C144907"/>
    <w:rsid w:val="1C287B68"/>
    <w:rsid w:val="1C6C6B9D"/>
    <w:rsid w:val="1C8A0D07"/>
    <w:rsid w:val="1C920D26"/>
    <w:rsid w:val="1CB0614A"/>
    <w:rsid w:val="1CB27CF7"/>
    <w:rsid w:val="1CC5072A"/>
    <w:rsid w:val="1CC86CD8"/>
    <w:rsid w:val="1CDE4B9F"/>
    <w:rsid w:val="1CF01618"/>
    <w:rsid w:val="1CF97557"/>
    <w:rsid w:val="1CFC62AA"/>
    <w:rsid w:val="1D085AC3"/>
    <w:rsid w:val="1D3F10F2"/>
    <w:rsid w:val="1D470009"/>
    <w:rsid w:val="1D6F0646"/>
    <w:rsid w:val="1D7B214D"/>
    <w:rsid w:val="1D7C7A9E"/>
    <w:rsid w:val="1D92333D"/>
    <w:rsid w:val="1DBE407B"/>
    <w:rsid w:val="1DE10F22"/>
    <w:rsid w:val="1DE60A06"/>
    <w:rsid w:val="1DEF0C14"/>
    <w:rsid w:val="1E0426EC"/>
    <w:rsid w:val="1E04324C"/>
    <w:rsid w:val="1E0A6632"/>
    <w:rsid w:val="1E173B9E"/>
    <w:rsid w:val="1E193369"/>
    <w:rsid w:val="1E4A47B4"/>
    <w:rsid w:val="1E9A1431"/>
    <w:rsid w:val="1EAA4905"/>
    <w:rsid w:val="1EAE1D8B"/>
    <w:rsid w:val="1ECB3353"/>
    <w:rsid w:val="1EDF26D8"/>
    <w:rsid w:val="1EF4161A"/>
    <w:rsid w:val="1F073057"/>
    <w:rsid w:val="1F1924E2"/>
    <w:rsid w:val="1F370175"/>
    <w:rsid w:val="1F3B304B"/>
    <w:rsid w:val="1F692DA0"/>
    <w:rsid w:val="1F6E4595"/>
    <w:rsid w:val="1F8938D2"/>
    <w:rsid w:val="1F8F2B02"/>
    <w:rsid w:val="1FC708CF"/>
    <w:rsid w:val="1FC71EC7"/>
    <w:rsid w:val="1FCA53B9"/>
    <w:rsid w:val="1FD74EE6"/>
    <w:rsid w:val="1FED3477"/>
    <w:rsid w:val="1FEF54D4"/>
    <w:rsid w:val="1FF041B3"/>
    <w:rsid w:val="20107346"/>
    <w:rsid w:val="201605FE"/>
    <w:rsid w:val="201C60D1"/>
    <w:rsid w:val="20215BEB"/>
    <w:rsid w:val="20287B58"/>
    <w:rsid w:val="202C3EC3"/>
    <w:rsid w:val="20400F2A"/>
    <w:rsid w:val="20457135"/>
    <w:rsid w:val="204750F3"/>
    <w:rsid w:val="2050604D"/>
    <w:rsid w:val="20765EAF"/>
    <w:rsid w:val="2086408C"/>
    <w:rsid w:val="209C5373"/>
    <w:rsid w:val="20AB3F76"/>
    <w:rsid w:val="20CB60E5"/>
    <w:rsid w:val="20F02804"/>
    <w:rsid w:val="20FD17BE"/>
    <w:rsid w:val="21003389"/>
    <w:rsid w:val="210B5C89"/>
    <w:rsid w:val="21234012"/>
    <w:rsid w:val="2141798A"/>
    <w:rsid w:val="21443153"/>
    <w:rsid w:val="214B2529"/>
    <w:rsid w:val="215A1290"/>
    <w:rsid w:val="219E341D"/>
    <w:rsid w:val="21A1511C"/>
    <w:rsid w:val="21B01C18"/>
    <w:rsid w:val="21D17878"/>
    <w:rsid w:val="21EA0D88"/>
    <w:rsid w:val="220B3A67"/>
    <w:rsid w:val="221A1718"/>
    <w:rsid w:val="221A62CA"/>
    <w:rsid w:val="223650FE"/>
    <w:rsid w:val="224F3CB8"/>
    <w:rsid w:val="22A259E9"/>
    <w:rsid w:val="22CC04E5"/>
    <w:rsid w:val="22D563FC"/>
    <w:rsid w:val="22E236BE"/>
    <w:rsid w:val="22E920A8"/>
    <w:rsid w:val="22F8341B"/>
    <w:rsid w:val="230458A4"/>
    <w:rsid w:val="230F6E96"/>
    <w:rsid w:val="234C2C81"/>
    <w:rsid w:val="235F46AD"/>
    <w:rsid w:val="237C69FF"/>
    <w:rsid w:val="23876C36"/>
    <w:rsid w:val="238A7D90"/>
    <w:rsid w:val="23A216A4"/>
    <w:rsid w:val="23AC7DBD"/>
    <w:rsid w:val="23B62477"/>
    <w:rsid w:val="23C93668"/>
    <w:rsid w:val="23D07366"/>
    <w:rsid w:val="23DC1B5F"/>
    <w:rsid w:val="23EB1DA2"/>
    <w:rsid w:val="23F65ABA"/>
    <w:rsid w:val="240B5385"/>
    <w:rsid w:val="24506C75"/>
    <w:rsid w:val="246F4A4D"/>
    <w:rsid w:val="24877D64"/>
    <w:rsid w:val="249238A8"/>
    <w:rsid w:val="24C10C01"/>
    <w:rsid w:val="24D35B3C"/>
    <w:rsid w:val="24D45D46"/>
    <w:rsid w:val="24EF2796"/>
    <w:rsid w:val="2501693D"/>
    <w:rsid w:val="2513335E"/>
    <w:rsid w:val="252A598D"/>
    <w:rsid w:val="257D6700"/>
    <w:rsid w:val="25964253"/>
    <w:rsid w:val="25A53FB8"/>
    <w:rsid w:val="25BA5ED0"/>
    <w:rsid w:val="25C342E0"/>
    <w:rsid w:val="25CB3A91"/>
    <w:rsid w:val="2613381C"/>
    <w:rsid w:val="262010F5"/>
    <w:rsid w:val="264B40A8"/>
    <w:rsid w:val="265D2225"/>
    <w:rsid w:val="266E4103"/>
    <w:rsid w:val="26750DCD"/>
    <w:rsid w:val="267E0CAB"/>
    <w:rsid w:val="26986224"/>
    <w:rsid w:val="26A526DC"/>
    <w:rsid w:val="26C07516"/>
    <w:rsid w:val="26C35542"/>
    <w:rsid w:val="26CE10F9"/>
    <w:rsid w:val="27223F6F"/>
    <w:rsid w:val="276A69F2"/>
    <w:rsid w:val="27A504B9"/>
    <w:rsid w:val="27B61629"/>
    <w:rsid w:val="27CC048B"/>
    <w:rsid w:val="27D65E71"/>
    <w:rsid w:val="27DA374F"/>
    <w:rsid w:val="27E240BC"/>
    <w:rsid w:val="28312516"/>
    <w:rsid w:val="28375B92"/>
    <w:rsid w:val="28423E59"/>
    <w:rsid w:val="286A0245"/>
    <w:rsid w:val="286E49E7"/>
    <w:rsid w:val="28841280"/>
    <w:rsid w:val="288E7478"/>
    <w:rsid w:val="28905C5E"/>
    <w:rsid w:val="28AF7842"/>
    <w:rsid w:val="28B365E1"/>
    <w:rsid w:val="28C8622D"/>
    <w:rsid w:val="290A4A78"/>
    <w:rsid w:val="290D104D"/>
    <w:rsid w:val="2919259D"/>
    <w:rsid w:val="292F7B3E"/>
    <w:rsid w:val="295305FD"/>
    <w:rsid w:val="297063C8"/>
    <w:rsid w:val="297835DF"/>
    <w:rsid w:val="299334A3"/>
    <w:rsid w:val="299E0E21"/>
    <w:rsid w:val="29A11B13"/>
    <w:rsid w:val="29B84BCD"/>
    <w:rsid w:val="29BF6037"/>
    <w:rsid w:val="29E63173"/>
    <w:rsid w:val="29FE48A2"/>
    <w:rsid w:val="2A03510C"/>
    <w:rsid w:val="2A174A41"/>
    <w:rsid w:val="2A193C1E"/>
    <w:rsid w:val="2A3322EC"/>
    <w:rsid w:val="2A44045E"/>
    <w:rsid w:val="2A4E2046"/>
    <w:rsid w:val="2A507555"/>
    <w:rsid w:val="2A6A6BF8"/>
    <w:rsid w:val="2AA055DC"/>
    <w:rsid w:val="2AB459FF"/>
    <w:rsid w:val="2AD85B57"/>
    <w:rsid w:val="2AE11DEA"/>
    <w:rsid w:val="2AEE7170"/>
    <w:rsid w:val="2B5106E3"/>
    <w:rsid w:val="2B597049"/>
    <w:rsid w:val="2B6A1B7F"/>
    <w:rsid w:val="2B6F0B2B"/>
    <w:rsid w:val="2B801BF0"/>
    <w:rsid w:val="2BA151BE"/>
    <w:rsid w:val="2BB6106A"/>
    <w:rsid w:val="2BE16647"/>
    <w:rsid w:val="2BFF73C3"/>
    <w:rsid w:val="2C161F5D"/>
    <w:rsid w:val="2C1874AC"/>
    <w:rsid w:val="2C1B7FB3"/>
    <w:rsid w:val="2C1C3440"/>
    <w:rsid w:val="2C1E1258"/>
    <w:rsid w:val="2C471521"/>
    <w:rsid w:val="2C497A9A"/>
    <w:rsid w:val="2C4F56F2"/>
    <w:rsid w:val="2C8213ED"/>
    <w:rsid w:val="2C9E7996"/>
    <w:rsid w:val="2CAA1B3B"/>
    <w:rsid w:val="2CC87CCD"/>
    <w:rsid w:val="2CD22B99"/>
    <w:rsid w:val="2CD44ED2"/>
    <w:rsid w:val="2CE43832"/>
    <w:rsid w:val="2CED099D"/>
    <w:rsid w:val="2D0637A8"/>
    <w:rsid w:val="2D117637"/>
    <w:rsid w:val="2D157A2D"/>
    <w:rsid w:val="2D796670"/>
    <w:rsid w:val="2D7E2021"/>
    <w:rsid w:val="2D904194"/>
    <w:rsid w:val="2DA73530"/>
    <w:rsid w:val="2DB23AC9"/>
    <w:rsid w:val="2DB87198"/>
    <w:rsid w:val="2DCD54E3"/>
    <w:rsid w:val="2DF50270"/>
    <w:rsid w:val="2E2269E1"/>
    <w:rsid w:val="2E4758A2"/>
    <w:rsid w:val="2E617166"/>
    <w:rsid w:val="2E6F3616"/>
    <w:rsid w:val="2E8D6C16"/>
    <w:rsid w:val="2E97180F"/>
    <w:rsid w:val="2E994A7C"/>
    <w:rsid w:val="2ECF30F7"/>
    <w:rsid w:val="2ED0007E"/>
    <w:rsid w:val="2ED539BC"/>
    <w:rsid w:val="2EE84CD3"/>
    <w:rsid w:val="2EF02A1B"/>
    <w:rsid w:val="2EF47A18"/>
    <w:rsid w:val="2F1754DB"/>
    <w:rsid w:val="2F272596"/>
    <w:rsid w:val="2F517FE7"/>
    <w:rsid w:val="2F66505B"/>
    <w:rsid w:val="2F666602"/>
    <w:rsid w:val="2F70746A"/>
    <w:rsid w:val="2F931AF8"/>
    <w:rsid w:val="2FA33E52"/>
    <w:rsid w:val="2FA40A66"/>
    <w:rsid w:val="2FB63051"/>
    <w:rsid w:val="2FBC4467"/>
    <w:rsid w:val="2FCC3933"/>
    <w:rsid w:val="2FD03A0D"/>
    <w:rsid w:val="30085D5E"/>
    <w:rsid w:val="301E5F88"/>
    <w:rsid w:val="303C569A"/>
    <w:rsid w:val="30444410"/>
    <w:rsid w:val="305157F1"/>
    <w:rsid w:val="305542E1"/>
    <w:rsid w:val="307F174A"/>
    <w:rsid w:val="309A3846"/>
    <w:rsid w:val="30AB16C4"/>
    <w:rsid w:val="30B314C5"/>
    <w:rsid w:val="30B63CCE"/>
    <w:rsid w:val="30C34F1A"/>
    <w:rsid w:val="30CD1ECF"/>
    <w:rsid w:val="30CE6CD3"/>
    <w:rsid w:val="30E93409"/>
    <w:rsid w:val="30FC5B6E"/>
    <w:rsid w:val="30FC62D2"/>
    <w:rsid w:val="31273D62"/>
    <w:rsid w:val="313F63BC"/>
    <w:rsid w:val="31462D01"/>
    <w:rsid w:val="315E02E1"/>
    <w:rsid w:val="31646687"/>
    <w:rsid w:val="3186527A"/>
    <w:rsid w:val="31876F61"/>
    <w:rsid w:val="318C00CE"/>
    <w:rsid w:val="31A95F6A"/>
    <w:rsid w:val="31BE6BB0"/>
    <w:rsid w:val="31EA2D76"/>
    <w:rsid w:val="31F21F52"/>
    <w:rsid w:val="31F91B2E"/>
    <w:rsid w:val="32183AE6"/>
    <w:rsid w:val="323205BB"/>
    <w:rsid w:val="323B5E6B"/>
    <w:rsid w:val="32543208"/>
    <w:rsid w:val="325E2D47"/>
    <w:rsid w:val="32A3057E"/>
    <w:rsid w:val="32F6035D"/>
    <w:rsid w:val="32F64339"/>
    <w:rsid w:val="331A2E4C"/>
    <w:rsid w:val="332D5F33"/>
    <w:rsid w:val="334A7C75"/>
    <w:rsid w:val="338631E6"/>
    <w:rsid w:val="338776A9"/>
    <w:rsid w:val="33971D3F"/>
    <w:rsid w:val="33BA090F"/>
    <w:rsid w:val="33D00149"/>
    <w:rsid w:val="34086582"/>
    <w:rsid w:val="340B4A9F"/>
    <w:rsid w:val="34534DD2"/>
    <w:rsid w:val="345B262C"/>
    <w:rsid w:val="347A6CDA"/>
    <w:rsid w:val="34AC40BF"/>
    <w:rsid w:val="34BE1741"/>
    <w:rsid w:val="34F74ED3"/>
    <w:rsid w:val="34F777FE"/>
    <w:rsid w:val="3506381D"/>
    <w:rsid w:val="351A797A"/>
    <w:rsid w:val="351F61B6"/>
    <w:rsid w:val="352617E5"/>
    <w:rsid w:val="352B46F4"/>
    <w:rsid w:val="35386E11"/>
    <w:rsid w:val="35483A7C"/>
    <w:rsid w:val="355377A7"/>
    <w:rsid w:val="358801C8"/>
    <w:rsid w:val="358D569A"/>
    <w:rsid w:val="35A6648F"/>
    <w:rsid w:val="35A6695C"/>
    <w:rsid w:val="35CA4433"/>
    <w:rsid w:val="35D012EB"/>
    <w:rsid w:val="35D31CC0"/>
    <w:rsid w:val="35D93DE0"/>
    <w:rsid w:val="35E70196"/>
    <w:rsid w:val="360B7885"/>
    <w:rsid w:val="36162E38"/>
    <w:rsid w:val="3621534E"/>
    <w:rsid w:val="3627342B"/>
    <w:rsid w:val="363A5360"/>
    <w:rsid w:val="363C0A89"/>
    <w:rsid w:val="36402AD5"/>
    <w:rsid w:val="364F00D0"/>
    <w:rsid w:val="367D1777"/>
    <w:rsid w:val="369040B0"/>
    <w:rsid w:val="36927FE6"/>
    <w:rsid w:val="36AA67E5"/>
    <w:rsid w:val="36E013A9"/>
    <w:rsid w:val="36FD552A"/>
    <w:rsid w:val="370B7E09"/>
    <w:rsid w:val="371D132A"/>
    <w:rsid w:val="37243875"/>
    <w:rsid w:val="373C75EC"/>
    <w:rsid w:val="375249C3"/>
    <w:rsid w:val="377E108B"/>
    <w:rsid w:val="378136B6"/>
    <w:rsid w:val="379B6AD7"/>
    <w:rsid w:val="37A53BB2"/>
    <w:rsid w:val="37A548EB"/>
    <w:rsid w:val="37A857AC"/>
    <w:rsid w:val="37CB1850"/>
    <w:rsid w:val="380D1E8F"/>
    <w:rsid w:val="3812032D"/>
    <w:rsid w:val="3816529E"/>
    <w:rsid w:val="3818493A"/>
    <w:rsid w:val="381C3B8F"/>
    <w:rsid w:val="38455ACD"/>
    <w:rsid w:val="384C71EC"/>
    <w:rsid w:val="38623084"/>
    <w:rsid w:val="388A72CA"/>
    <w:rsid w:val="389D17EE"/>
    <w:rsid w:val="38A6111B"/>
    <w:rsid w:val="38D978EA"/>
    <w:rsid w:val="38DC4346"/>
    <w:rsid w:val="38ED1349"/>
    <w:rsid w:val="39037CD8"/>
    <w:rsid w:val="390C5B22"/>
    <w:rsid w:val="39213B81"/>
    <w:rsid w:val="392C1B16"/>
    <w:rsid w:val="394A1CC0"/>
    <w:rsid w:val="395C42DC"/>
    <w:rsid w:val="39730A58"/>
    <w:rsid w:val="398712D6"/>
    <w:rsid w:val="398E34A3"/>
    <w:rsid w:val="398F5CF6"/>
    <w:rsid w:val="39994163"/>
    <w:rsid w:val="39AE3C5B"/>
    <w:rsid w:val="39AF79B8"/>
    <w:rsid w:val="39BF1D2F"/>
    <w:rsid w:val="39DE134C"/>
    <w:rsid w:val="39E87141"/>
    <w:rsid w:val="39F3271A"/>
    <w:rsid w:val="39F81232"/>
    <w:rsid w:val="3A0C509A"/>
    <w:rsid w:val="3A10090B"/>
    <w:rsid w:val="3A106AEE"/>
    <w:rsid w:val="3A1367E2"/>
    <w:rsid w:val="3A364393"/>
    <w:rsid w:val="3A4234A1"/>
    <w:rsid w:val="3A4C09FE"/>
    <w:rsid w:val="3A711CCC"/>
    <w:rsid w:val="3A972A05"/>
    <w:rsid w:val="3AA01FFE"/>
    <w:rsid w:val="3AAC1E33"/>
    <w:rsid w:val="3ACD5DD2"/>
    <w:rsid w:val="3B066C27"/>
    <w:rsid w:val="3B142F73"/>
    <w:rsid w:val="3B2052E5"/>
    <w:rsid w:val="3B38152F"/>
    <w:rsid w:val="3B403995"/>
    <w:rsid w:val="3B6F290B"/>
    <w:rsid w:val="3B6F5473"/>
    <w:rsid w:val="3B824942"/>
    <w:rsid w:val="3B882AAB"/>
    <w:rsid w:val="3B9B1C5B"/>
    <w:rsid w:val="3BA448B8"/>
    <w:rsid w:val="3BB45E33"/>
    <w:rsid w:val="3BC10822"/>
    <w:rsid w:val="3BEA42EB"/>
    <w:rsid w:val="3BF8644D"/>
    <w:rsid w:val="3BFA7B81"/>
    <w:rsid w:val="3C0B1FE7"/>
    <w:rsid w:val="3C0F3C95"/>
    <w:rsid w:val="3C1001A0"/>
    <w:rsid w:val="3C470FEC"/>
    <w:rsid w:val="3C5F1310"/>
    <w:rsid w:val="3C76224C"/>
    <w:rsid w:val="3CA0683B"/>
    <w:rsid w:val="3CB35362"/>
    <w:rsid w:val="3CBC5414"/>
    <w:rsid w:val="3CBF055D"/>
    <w:rsid w:val="3CCA4A1E"/>
    <w:rsid w:val="3CD03C43"/>
    <w:rsid w:val="3CDB69FF"/>
    <w:rsid w:val="3D012FF0"/>
    <w:rsid w:val="3D080697"/>
    <w:rsid w:val="3D171DBE"/>
    <w:rsid w:val="3D524C71"/>
    <w:rsid w:val="3D566B14"/>
    <w:rsid w:val="3D7755B8"/>
    <w:rsid w:val="3D7B3D3F"/>
    <w:rsid w:val="3D98307D"/>
    <w:rsid w:val="3D986515"/>
    <w:rsid w:val="3DAC5243"/>
    <w:rsid w:val="3DBB36F6"/>
    <w:rsid w:val="3DCC0CF2"/>
    <w:rsid w:val="3DD01806"/>
    <w:rsid w:val="3DDA0A65"/>
    <w:rsid w:val="3DE51648"/>
    <w:rsid w:val="3E000124"/>
    <w:rsid w:val="3E3C56F0"/>
    <w:rsid w:val="3E7A2248"/>
    <w:rsid w:val="3E833C64"/>
    <w:rsid w:val="3EAF27F0"/>
    <w:rsid w:val="3ED74C37"/>
    <w:rsid w:val="3EF455DD"/>
    <w:rsid w:val="3F1E1D95"/>
    <w:rsid w:val="3F414665"/>
    <w:rsid w:val="3F41510C"/>
    <w:rsid w:val="3F503049"/>
    <w:rsid w:val="3F5E73DB"/>
    <w:rsid w:val="3F6C1B91"/>
    <w:rsid w:val="3F743FC9"/>
    <w:rsid w:val="3F7C7853"/>
    <w:rsid w:val="3F886C43"/>
    <w:rsid w:val="3F8D1E0C"/>
    <w:rsid w:val="3F9A6B8B"/>
    <w:rsid w:val="3FB360A5"/>
    <w:rsid w:val="3FBC47DC"/>
    <w:rsid w:val="3FBC7BEE"/>
    <w:rsid w:val="3FE32C8C"/>
    <w:rsid w:val="401954D3"/>
    <w:rsid w:val="401D0250"/>
    <w:rsid w:val="40266227"/>
    <w:rsid w:val="403A57EB"/>
    <w:rsid w:val="403D39E7"/>
    <w:rsid w:val="404107FC"/>
    <w:rsid w:val="40605751"/>
    <w:rsid w:val="406B1E48"/>
    <w:rsid w:val="4081166C"/>
    <w:rsid w:val="40A40510"/>
    <w:rsid w:val="40A650D2"/>
    <w:rsid w:val="40E86291"/>
    <w:rsid w:val="40ED2CBB"/>
    <w:rsid w:val="40F754BB"/>
    <w:rsid w:val="410615B5"/>
    <w:rsid w:val="4117092B"/>
    <w:rsid w:val="412D35A2"/>
    <w:rsid w:val="41485D91"/>
    <w:rsid w:val="414F0756"/>
    <w:rsid w:val="41766CF7"/>
    <w:rsid w:val="418A0ECA"/>
    <w:rsid w:val="41970AE1"/>
    <w:rsid w:val="41A07E33"/>
    <w:rsid w:val="41CC3423"/>
    <w:rsid w:val="41E10404"/>
    <w:rsid w:val="42145D9F"/>
    <w:rsid w:val="42273128"/>
    <w:rsid w:val="423A128D"/>
    <w:rsid w:val="42412626"/>
    <w:rsid w:val="428C17B7"/>
    <w:rsid w:val="429029E8"/>
    <w:rsid w:val="429377B5"/>
    <w:rsid w:val="42BE193F"/>
    <w:rsid w:val="42DA265C"/>
    <w:rsid w:val="42F06533"/>
    <w:rsid w:val="430E1757"/>
    <w:rsid w:val="434421E6"/>
    <w:rsid w:val="4345394E"/>
    <w:rsid w:val="43597202"/>
    <w:rsid w:val="435D1F13"/>
    <w:rsid w:val="43720F75"/>
    <w:rsid w:val="4379421C"/>
    <w:rsid w:val="43794748"/>
    <w:rsid w:val="437A12E7"/>
    <w:rsid w:val="438C73C5"/>
    <w:rsid w:val="43AD6DA0"/>
    <w:rsid w:val="43C86B08"/>
    <w:rsid w:val="43E51F25"/>
    <w:rsid w:val="43FD35EA"/>
    <w:rsid w:val="44133F84"/>
    <w:rsid w:val="445115AC"/>
    <w:rsid w:val="446E63AB"/>
    <w:rsid w:val="447912A2"/>
    <w:rsid w:val="447E1A08"/>
    <w:rsid w:val="4484797D"/>
    <w:rsid w:val="448C43BF"/>
    <w:rsid w:val="448F085F"/>
    <w:rsid w:val="44AE3BD0"/>
    <w:rsid w:val="44C6031F"/>
    <w:rsid w:val="44EB3558"/>
    <w:rsid w:val="45163CE2"/>
    <w:rsid w:val="451928D0"/>
    <w:rsid w:val="451B69E8"/>
    <w:rsid w:val="452F42D4"/>
    <w:rsid w:val="45364D97"/>
    <w:rsid w:val="455309FF"/>
    <w:rsid w:val="45617CBE"/>
    <w:rsid w:val="457263CD"/>
    <w:rsid w:val="4575780E"/>
    <w:rsid w:val="457F302A"/>
    <w:rsid w:val="45826795"/>
    <w:rsid w:val="45A5250D"/>
    <w:rsid w:val="45AD2F03"/>
    <w:rsid w:val="45B33CEB"/>
    <w:rsid w:val="45B5389A"/>
    <w:rsid w:val="45B778DE"/>
    <w:rsid w:val="45C061D6"/>
    <w:rsid w:val="45D524CA"/>
    <w:rsid w:val="45DE30BD"/>
    <w:rsid w:val="45FD78C7"/>
    <w:rsid w:val="46032B23"/>
    <w:rsid w:val="460620D1"/>
    <w:rsid w:val="4628541D"/>
    <w:rsid w:val="46292723"/>
    <w:rsid w:val="468123C6"/>
    <w:rsid w:val="46B408EF"/>
    <w:rsid w:val="46CA39F9"/>
    <w:rsid w:val="46CE5F85"/>
    <w:rsid w:val="46D104BC"/>
    <w:rsid w:val="46E26B11"/>
    <w:rsid w:val="46E61B61"/>
    <w:rsid w:val="46FF32EA"/>
    <w:rsid w:val="470716F0"/>
    <w:rsid w:val="47097F61"/>
    <w:rsid w:val="470F0F68"/>
    <w:rsid w:val="47402699"/>
    <w:rsid w:val="474433F3"/>
    <w:rsid w:val="4767675E"/>
    <w:rsid w:val="476F1912"/>
    <w:rsid w:val="47B00376"/>
    <w:rsid w:val="47C02A7A"/>
    <w:rsid w:val="47C8757B"/>
    <w:rsid w:val="47C94141"/>
    <w:rsid w:val="47EC1A5D"/>
    <w:rsid w:val="48004F22"/>
    <w:rsid w:val="48033426"/>
    <w:rsid w:val="480C06F6"/>
    <w:rsid w:val="48376A59"/>
    <w:rsid w:val="483C7905"/>
    <w:rsid w:val="486340DC"/>
    <w:rsid w:val="48685A07"/>
    <w:rsid w:val="48727FD3"/>
    <w:rsid w:val="48757D5A"/>
    <w:rsid w:val="487A113F"/>
    <w:rsid w:val="48851A5F"/>
    <w:rsid w:val="48922A69"/>
    <w:rsid w:val="48B210C5"/>
    <w:rsid w:val="48C04F71"/>
    <w:rsid w:val="48C13DF6"/>
    <w:rsid w:val="48CB5CDE"/>
    <w:rsid w:val="48CD5A6E"/>
    <w:rsid w:val="491D261D"/>
    <w:rsid w:val="496549D0"/>
    <w:rsid w:val="496B1F84"/>
    <w:rsid w:val="49767FF3"/>
    <w:rsid w:val="499003F2"/>
    <w:rsid w:val="499261A9"/>
    <w:rsid w:val="499A2EBD"/>
    <w:rsid w:val="499B4383"/>
    <w:rsid w:val="49A565E2"/>
    <w:rsid w:val="49A84AD7"/>
    <w:rsid w:val="49C61B90"/>
    <w:rsid w:val="49F27976"/>
    <w:rsid w:val="4A151485"/>
    <w:rsid w:val="4A182A00"/>
    <w:rsid w:val="4A421E6C"/>
    <w:rsid w:val="4A4A6CD1"/>
    <w:rsid w:val="4A5706CA"/>
    <w:rsid w:val="4A6E17F3"/>
    <w:rsid w:val="4AA37D17"/>
    <w:rsid w:val="4AC14DB1"/>
    <w:rsid w:val="4AC37544"/>
    <w:rsid w:val="4AD1133C"/>
    <w:rsid w:val="4AD36C66"/>
    <w:rsid w:val="4AED0613"/>
    <w:rsid w:val="4AF869CF"/>
    <w:rsid w:val="4B0B3AC9"/>
    <w:rsid w:val="4B21187A"/>
    <w:rsid w:val="4B272CF2"/>
    <w:rsid w:val="4B35377F"/>
    <w:rsid w:val="4B3D0885"/>
    <w:rsid w:val="4B4308D6"/>
    <w:rsid w:val="4B4D6D1A"/>
    <w:rsid w:val="4B533025"/>
    <w:rsid w:val="4B630C74"/>
    <w:rsid w:val="4B9B041C"/>
    <w:rsid w:val="4BC52D55"/>
    <w:rsid w:val="4BDD029D"/>
    <w:rsid w:val="4C0940B0"/>
    <w:rsid w:val="4C11719B"/>
    <w:rsid w:val="4C291480"/>
    <w:rsid w:val="4C406AA1"/>
    <w:rsid w:val="4C5C2F5A"/>
    <w:rsid w:val="4C815633"/>
    <w:rsid w:val="4C836D71"/>
    <w:rsid w:val="4C9814EE"/>
    <w:rsid w:val="4C9E1C5B"/>
    <w:rsid w:val="4CA42B81"/>
    <w:rsid w:val="4CBB2CCE"/>
    <w:rsid w:val="4CE1234F"/>
    <w:rsid w:val="4CFF27E8"/>
    <w:rsid w:val="4D167014"/>
    <w:rsid w:val="4D211BBF"/>
    <w:rsid w:val="4D403BC4"/>
    <w:rsid w:val="4D553942"/>
    <w:rsid w:val="4D6A7E66"/>
    <w:rsid w:val="4DA949BA"/>
    <w:rsid w:val="4DAD45FE"/>
    <w:rsid w:val="4DB637EB"/>
    <w:rsid w:val="4DC41B49"/>
    <w:rsid w:val="4DDD58E5"/>
    <w:rsid w:val="4DE20BC3"/>
    <w:rsid w:val="4DF416CF"/>
    <w:rsid w:val="4DF80A94"/>
    <w:rsid w:val="4E064079"/>
    <w:rsid w:val="4E0B6A19"/>
    <w:rsid w:val="4E3A54D8"/>
    <w:rsid w:val="4E42531F"/>
    <w:rsid w:val="4E5C3DB1"/>
    <w:rsid w:val="4E655605"/>
    <w:rsid w:val="4E656428"/>
    <w:rsid w:val="4E664F60"/>
    <w:rsid w:val="4E6D6388"/>
    <w:rsid w:val="4E6E0585"/>
    <w:rsid w:val="4E6F6FA8"/>
    <w:rsid w:val="4E853130"/>
    <w:rsid w:val="4E8934D7"/>
    <w:rsid w:val="4E8C4BD2"/>
    <w:rsid w:val="4E9609D8"/>
    <w:rsid w:val="4E9D6D35"/>
    <w:rsid w:val="4EA327D7"/>
    <w:rsid w:val="4F0F747D"/>
    <w:rsid w:val="4F120D1E"/>
    <w:rsid w:val="4F217E5D"/>
    <w:rsid w:val="4F2C7A9E"/>
    <w:rsid w:val="4F415D78"/>
    <w:rsid w:val="4F5C4DD0"/>
    <w:rsid w:val="4F626B0C"/>
    <w:rsid w:val="4F70201B"/>
    <w:rsid w:val="4FAD19AB"/>
    <w:rsid w:val="4FBE2C03"/>
    <w:rsid w:val="4FCD0D2A"/>
    <w:rsid w:val="4FD231EC"/>
    <w:rsid w:val="4FFE4A87"/>
    <w:rsid w:val="50062C34"/>
    <w:rsid w:val="501931EB"/>
    <w:rsid w:val="501F5E35"/>
    <w:rsid w:val="50203D29"/>
    <w:rsid w:val="50403DC2"/>
    <w:rsid w:val="506A1275"/>
    <w:rsid w:val="508563EE"/>
    <w:rsid w:val="508B3E41"/>
    <w:rsid w:val="50B14DE8"/>
    <w:rsid w:val="50CA0E44"/>
    <w:rsid w:val="50D22F32"/>
    <w:rsid w:val="50E13A61"/>
    <w:rsid w:val="50F422EF"/>
    <w:rsid w:val="50FE043E"/>
    <w:rsid w:val="510C7055"/>
    <w:rsid w:val="5112731B"/>
    <w:rsid w:val="51241FA1"/>
    <w:rsid w:val="512F41C4"/>
    <w:rsid w:val="51446F15"/>
    <w:rsid w:val="51534663"/>
    <w:rsid w:val="51551AA0"/>
    <w:rsid w:val="516809B2"/>
    <w:rsid w:val="516904FA"/>
    <w:rsid w:val="51736A67"/>
    <w:rsid w:val="51955A4F"/>
    <w:rsid w:val="51B03B5F"/>
    <w:rsid w:val="51BD354A"/>
    <w:rsid w:val="51BD46A1"/>
    <w:rsid w:val="51FE434F"/>
    <w:rsid w:val="520843D2"/>
    <w:rsid w:val="52316BEF"/>
    <w:rsid w:val="52325304"/>
    <w:rsid w:val="523470CD"/>
    <w:rsid w:val="523F1387"/>
    <w:rsid w:val="52653EF7"/>
    <w:rsid w:val="527E56F6"/>
    <w:rsid w:val="529C1D3A"/>
    <w:rsid w:val="52B44A82"/>
    <w:rsid w:val="52B458D1"/>
    <w:rsid w:val="52C3059D"/>
    <w:rsid w:val="52F2656B"/>
    <w:rsid w:val="53023764"/>
    <w:rsid w:val="53081882"/>
    <w:rsid w:val="53252D68"/>
    <w:rsid w:val="53425821"/>
    <w:rsid w:val="53446F7F"/>
    <w:rsid w:val="53451F77"/>
    <w:rsid w:val="53510C30"/>
    <w:rsid w:val="53651C45"/>
    <w:rsid w:val="53690469"/>
    <w:rsid w:val="536F7A4A"/>
    <w:rsid w:val="5374606B"/>
    <w:rsid w:val="5381416F"/>
    <w:rsid w:val="53957D10"/>
    <w:rsid w:val="53A5521A"/>
    <w:rsid w:val="53B864F3"/>
    <w:rsid w:val="53C307BF"/>
    <w:rsid w:val="54613FD7"/>
    <w:rsid w:val="54790CE9"/>
    <w:rsid w:val="548A578D"/>
    <w:rsid w:val="54A035C0"/>
    <w:rsid w:val="54B809E6"/>
    <w:rsid w:val="550117B4"/>
    <w:rsid w:val="55052A5F"/>
    <w:rsid w:val="554F18E1"/>
    <w:rsid w:val="55772F7D"/>
    <w:rsid w:val="55961D0E"/>
    <w:rsid w:val="559659E4"/>
    <w:rsid w:val="559E7EC8"/>
    <w:rsid w:val="55D31B7D"/>
    <w:rsid w:val="55D77231"/>
    <w:rsid w:val="55DC4CFB"/>
    <w:rsid w:val="55DE72E8"/>
    <w:rsid w:val="55E501B3"/>
    <w:rsid w:val="55FC04A7"/>
    <w:rsid w:val="560416E9"/>
    <w:rsid w:val="5632087B"/>
    <w:rsid w:val="56381EF6"/>
    <w:rsid w:val="56444C51"/>
    <w:rsid w:val="56902A47"/>
    <w:rsid w:val="56A53918"/>
    <w:rsid w:val="56B3623C"/>
    <w:rsid w:val="56C740B3"/>
    <w:rsid w:val="56D842AC"/>
    <w:rsid w:val="56E21403"/>
    <w:rsid w:val="570F3752"/>
    <w:rsid w:val="57222B83"/>
    <w:rsid w:val="57340D3D"/>
    <w:rsid w:val="573861DD"/>
    <w:rsid w:val="57523927"/>
    <w:rsid w:val="57650FD3"/>
    <w:rsid w:val="576F76BB"/>
    <w:rsid w:val="578E1A22"/>
    <w:rsid w:val="5794182D"/>
    <w:rsid w:val="57AC7B7D"/>
    <w:rsid w:val="57C81B2F"/>
    <w:rsid w:val="57EC4A41"/>
    <w:rsid w:val="57F12BEF"/>
    <w:rsid w:val="58014C6C"/>
    <w:rsid w:val="58190DED"/>
    <w:rsid w:val="583C31B4"/>
    <w:rsid w:val="585D60C3"/>
    <w:rsid w:val="58810EAC"/>
    <w:rsid w:val="588F1BBE"/>
    <w:rsid w:val="58A108EC"/>
    <w:rsid w:val="58B764A3"/>
    <w:rsid w:val="58D47E0A"/>
    <w:rsid w:val="58DC65F8"/>
    <w:rsid w:val="58FD3402"/>
    <w:rsid w:val="590A0EB7"/>
    <w:rsid w:val="590B0E06"/>
    <w:rsid w:val="591257CE"/>
    <w:rsid w:val="59132A7C"/>
    <w:rsid w:val="5928535B"/>
    <w:rsid w:val="592C6DC9"/>
    <w:rsid w:val="593340F4"/>
    <w:rsid w:val="593341DD"/>
    <w:rsid w:val="597B17CE"/>
    <w:rsid w:val="597D301C"/>
    <w:rsid w:val="598909C7"/>
    <w:rsid w:val="599621CB"/>
    <w:rsid w:val="59A0446A"/>
    <w:rsid w:val="59B231EB"/>
    <w:rsid w:val="59B501F6"/>
    <w:rsid w:val="59B52E52"/>
    <w:rsid w:val="59B63F00"/>
    <w:rsid w:val="59D62978"/>
    <w:rsid w:val="59E85AEA"/>
    <w:rsid w:val="5A290D26"/>
    <w:rsid w:val="5A2C2E22"/>
    <w:rsid w:val="5A2C536D"/>
    <w:rsid w:val="5A3426E8"/>
    <w:rsid w:val="5A43094D"/>
    <w:rsid w:val="5A4D4181"/>
    <w:rsid w:val="5A585C40"/>
    <w:rsid w:val="5A5E2D3C"/>
    <w:rsid w:val="5A753F56"/>
    <w:rsid w:val="5A7F300D"/>
    <w:rsid w:val="5A8F645E"/>
    <w:rsid w:val="5A947FA8"/>
    <w:rsid w:val="5ABD490E"/>
    <w:rsid w:val="5AC900E0"/>
    <w:rsid w:val="5AD23DF5"/>
    <w:rsid w:val="5ADA403E"/>
    <w:rsid w:val="5AEB7A5E"/>
    <w:rsid w:val="5AFE0486"/>
    <w:rsid w:val="5B1344F7"/>
    <w:rsid w:val="5B3218D4"/>
    <w:rsid w:val="5B357636"/>
    <w:rsid w:val="5B431FA9"/>
    <w:rsid w:val="5B4F666F"/>
    <w:rsid w:val="5B717F77"/>
    <w:rsid w:val="5B793214"/>
    <w:rsid w:val="5B7A10F7"/>
    <w:rsid w:val="5B881AE0"/>
    <w:rsid w:val="5B8E2B97"/>
    <w:rsid w:val="5B9A4D41"/>
    <w:rsid w:val="5BD021AA"/>
    <w:rsid w:val="5BD963A8"/>
    <w:rsid w:val="5BDD1924"/>
    <w:rsid w:val="5BF02F59"/>
    <w:rsid w:val="5BF336ED"/>
    <w:rsid w:val="5BF6657A"/>
    <w:rsid w:val="5C0461B5"/>
    <w:rsid w:val="5C15164D"/>
    <w:rsid w:val="5C151F37"/>
    <w:rsid w:val="5C1904FE"/>
    <w:rsid w:val="5C1D315F"/>
    <w:rsid w:val="5C25339C"/>
    <w:rsid w:val="5C3754AC"/>
    <w:rsid w:val="5C3B239C"/>
    <w:rsid w:val="5C3E446F"/>
    <w:rsid w:val="5C56543E"/>
    <w:rsid w:val="5C7D194A"/>
    <w:rsid w:val="5CA01D73"/>
    <w:rsid w:val="5CAC5490"/>
    <w:rsid w:val="5CD17C2A"/>
    <w:rsid w:val="5CF52F29"/>
    <w:rsid w:val="5CF80AB0"/>
    <w:rsid w:val="5D2C16C1"/>
    <w:rsid w:val="5D39096A"/>
    <w:rsid w:val="5D3C335D"/>
    <w:rsid w:val="5D3F4519"/>
    <w:rsid w:val="5D487BDE"/>
    <w:rsid w:val="5D4B6C16"/>
    <w:rsid w:val="5DAD29AF"/>
    <w:rsid w:val="5DAD33E6"/>
    <w:rsid w:val="5DDD0920"/>
    <w:rsid w:val="5DE6709D"/>
    <w:rsid w:val="5DEC3CC9"/>
    <w:rsid w:val="5E066FF5"/>
    <w:rsid w:val="5E15030B"/>
    <w:rsid w:val="5E191EEB"/>
    <w:rsid w:val="5E316028"/>
    <w:rsid w:val="5E3636C9"/>
    <w:rsid w:val="5E51337F"/>
    <w:rsid w:val="5E5E2A02"/>
    <w:rsid w:val="5E936069"/>
    <w:rsid w:val="5EA707EA"/>
    <w:rsid w:val="5ED01686"/>
    <w:rsid w:val="5EF51DED"/>
    <w:rsid w:val="5F083260"/>
    <w:rsid w:val="5F093FB7"/>
    <w:rsid w:val="5F1F3CF6"/>
    <w:rsid w:val="5F2C6A42"/>
    <w:rsid w:val="5F366428"/>
    <w:rsid w:val="5F37676C"/>
    <w:rsid w:val="5F4167F1"/>
    <w:rsid w:val="5F47763D"/>
    <w:rsid w:val="5F4A0DFD"/>
    <w:rsid w:val="5F565D68"/>
    <w:rsid w:val="5F6C607A"/>
    <w:rsid w:val="5FB65171"/>
    <w:rsid w:val="5FB75A00"/>
    <w:rsid w:val="5FC467F1"/>
    <w:rsid w:val="602D281F"/>
    <w:rsid w:val="60414EAB"/>
    <w:rsid w:val="604424CC"/>
    <w:rsid w:val="60626BC9"/>
    <w:rsid w:val="606B0FE6"/>
    <w:rsid w:val="608F4184"/>
    <w:rsid w:val="60AF4273"/>
    <w:rsid w:val="60D86A6F"/>
    <w:rsid w:val="60EA1779"/>
    <w:rsid w:val="6120604F"/>
    <w:rsid w:val="617F7862"/>
    <w:rsid w:val="619064C0"/>
    <w:rsid w:val="619E489E"/>
    <w:rsid w:val="61A15ED8"/>
    <w:rsid w:val="61C55E6C"/>
    <w:rsid w:val="61C715A9"/>
    <w:rsid w:val="61EB0D3C"/>
    <w:rsid w:val="61F038C0"/>
    <w:rsid w:val="62247174"/>
    <w:rsid w:val="629B4164"/>
    <w:rsid w:val="62A0654F"/>
    <w:rsid w:val="62A83415"/>
    <w:rsid w:val="62AA69C4"/>
    <w:rsid w:val="62D41756"/>
    <w:rsid w:val="62D5438F"/>
    <w:rsid w:val="62EB00D8"/>
    <w:rsid w:val="62F16E70"/>
    <w:rsid w:val="630C6111"/>
    <w:rsid w:val="63264AEB"/>
    <w:rsid w:val="63271A84"/>
    <w:rsid w:val="63463A84"/>
    <w:rsid w:val="635368EA"/>
    <w:rsid w:val="63626C83"/>
    <w:rsid w:val="63640C4D"/>
    <w:rsid w:val="63716E76"/>
    <w:rsid w:val="637570E5"/>
    <w:rsid w:val="638B02C3"/>
    <w:rsid w:val="639C35CC"/>
    <w:rsid w:val="63D01E3F"/>
    <w:rsid w:val="63D67FF5"/>
    <w:rsid w:val="641B49B5"/>
    <w:rsid w:val="641C629E"/>
    <w:rsid w:val="643A5B47"/>
    <w:rsid w:val="645A1DBD"/>
    <w:rsid w:val="648C30B6"/>
    <w:rsid w:val="64907893"/>
    <w:rsid w:val="64CD15EE"/>
    <w:rsid w:val="64CF1DA3"/>
    <w:rsid w:val="64DE0BBD"/>
    <w:rsid w:val="64ED67B6"/>
    <w:rsid w:val="64F92AF7"/>
    <w:rsid w:val="65101E77"/>
    <w:rsid w:val="65443991"/>
    <w:rsid w:val="655A36EF"/>
    <w:rsid w:val="65727F63"/>
    <w:rsid w:val="6577460D"/>
    <w:rsid w:val="658F1276"/>
    <w:rsid w:val="65A7264B"/>
    <w:rsid w:val="65C74701"/>
    <w:rsid w:val="65C8092B"/>
    <w:rsid w:val="65CF6E8D"/>
    <w:rsid w:val="65F26CF1"/>
    <w:rsid w:val="65F8742B"/>
    <w:rsid w:val="660F5288"/>
    <w:rsid w:val="66216AD9"/>
    <w:rsid w:val="66310DB0"/>
    <w:rsid w:val="665F3AC1"/>
    <w:rsid w:val="66C077AF"/>
    <w:rsid w:val="66CF66FE"/>
    <w:rsid w:val="66E24EEC"/>
    <w:rsid w:val="670C14FF"/>
    <w:rsid w:val="67126344"/>
    <w:rsid w:val="6715798F"/>
    <w:rsid w:val="671C6838"/>
    <w:rsid w:val="67395BF4"/>
    <w:rsid w:val="674630D3"/>
    <w:rsid w:val="67646F99"/>
    <w:rsid w:val="679715AA"/>
    <w:rsid w:val="67C24A54"/>
    <w:rsid w:val="67E20393"/>
    <w:rsid w:val="67EE6878"/>
    <w:rsid w:val="68093B71"/>
    <w:rsid w:val="681749C3"/>
    <w:rsid w:val="681F120D"/>
    <w:rsid w:val="6837248C"/>
    <w:rsid w:val="68442DC9"/>
    <w:rsid w:val="684575DA"/>
    <w:rsid w:val="684E499C"/>
    <w:rsid w:val="68522937"/>
    <w:rsid w:val="685C03EA"/>
    <w:rsid w:val="686727E1"/>
    <w:rsid w:val="6875256E"/>
    <w:rsid w:val="688110E3"/>
    <w:rsid w:val="688C49F5"/>
    <w:rsid w:val="68926C88"/>
    <w:rsid w:val="68A2510E"/>
    <w:rsid w:val="68BB30BE"/>
    <w:rsid w:val="68C12961"/>
    <w:rsid w:val="68C2226B"/>
    <w:rsid w:val="68C305E7"/>
    <w:rsid w:val="68DB5239"/>
    <w:rsid w:val="692E23BD"/>
    <w:rsid w:val="69316C74"/>
    <w:rsid w:val="693A35B5"/>
    <w:rsid w:val="69681038"/>
    <w:rsid w:val="69835B70"/>
    <w:rsid w:val="69886D18"/>
    <w:rsid w:val="69887E86"/>
    <w:rsid w:val="69C7285E"/>
    <w:rsid w:val="69E37643"/>
    <w:rsid w:val="69F12B0F"/>
    <w:rsid w:val="69F71FB6"/>
    <w:rsid w:val="69FC6C64"/>
    <w:rsid w:val="6A225E74"/>
    <w:rsid w:val="6A4D2E64"/>
    <w:rsid w:val="6A4D6295"/>
    <w:rsid w:val="6A640463"/>
    <w:rsid w:val="6A905B6D"/>
    <w:rsid w:val="6A98708D"/>
    <w:rsid w:val="6AA05F32"/>
    <w:rsid w:val="6AB65CF5"/>
    <w:rsid w:val="6AC9206A"/>
    <w:rsid w:val="6ACE16D9"/>
    <w:rsid w:val="6AD9570F"/>
    <w:rsid w:val="6AE51C08"/>
    <w:rsid w:val="6B010C46"/>
    <w:rsid w:val="6B2303AC"/>
    <w:rsid w:val="6B3A366A"/>
    <w:rsid w:val="6B4D068F"/>
    <w:rsid w:val="6B643C27"/>
    <w:rsid w:val="6B6A0462"/>
    <w:rsid w:val="6B6C65F0"/>
    <w:rsid w:val="6B792DBC"/>
    <w:rsid w:val="6B7A0050"/>
    <w:rsid w:val="6B9F05AF"/>
    <w:rsid w:val="6BC52EB4"/>
    <w:rsid w:val="6BE23C30"/>
    <w:rsid w:val="6BE7786F"/>
    <w:rsid w:val="6C134034"/>
    <w:rsid w:val="6C1F1BB5"/>
    <w:rsid w:val="6C2610AD"/>
    <w:rsid w:val="6C50079B"/>
    <w:rsid w:val="6C8E74F7"/>
    <w:rsid w:val="6C8F30E6"/>
    <w:rsid w:val="6CB33C84"/>
    <w:rsid w:val="6CF42F1C"/>
    <w:rsid w:val="6D004DA8"/>
    <w:rsid w:val="6D090AE2"/>
    <w:rsid w:val="6D220D92"/>
    <w:rsid w:val="6D4E366B"/>
    <w:rsid w:val="6D543DB3"/>
    <w:rsid w:val="6D6221E0"/>
    <w:rsid w:val="6D773FDC"/>
    <w:rsid w:val="6D9B22AA"/>
    <w:rsid w:val="6DA5553E"/>
    <w:rsid w:val="6DB549CC"/>
    <w:rsid w:val="6DF04E6B"/>
    <w:rsid w:val="6E1141A4"/>
    <w:rsid w:val="6E232AB3"/>
    <w:rsid w:val="6E257A4F"/>
    <w:rsid w:val="6E3048E9"/>
    <w:rsid w:val="6E3F132C"/>
    <w:rsid w:val="6E517746"/>
    <w:rsid w:val="6E8046A7"/>
    <w:rsid w:val="6E810905"/>
    <w:rsid w:val="6E861F5A"/>
    <w:rsid w:val="6E8B41A2"/>
    <w:rsid w:val="6EA406C9"/>
    <w:rsid w:val="6EAB0FB5"/>
    <w:rsid w:val="6EBF2C8C"/>
    <w:rsid w:val="6EE67379"/>
    <w:rsid w:val="6EF502F5"/>
    <w:rsid w:val="6EFC1D3A"/>
    <w:rsid w:val="6EFD1C95"/>
    <w:rsid w:val="6F0D031B"/>
    <w:rsid w:val="6F2F24EB"/>
    <w:rsid w:val="6F305E87"/>
    <w:rsid w:val="6F3C5F3C"/>
    <w:rsid w:val="6F475D18"/>
    <w:rsid w:val="6F4B3B49"/>
    <w:rsid w:val="6F6551A2"/>
    <w:rsid w:val="6F801900"/>
    <w:rsid w:val="6FBD6CAE"/>
    <w:rsid w:val="6FD256EB"/>
    <w:rsid w:val="6FD97012"/>
    <w:rsid w:val="6FDA2294"/>
    <w:rsid w:val="70052E11"/>
    <w:rsid w:val="7007252D"/>
    <w:rsid w:val="700C3057"/>
    <w:rsid w:val="7014721B"/>
    <w:rsid w:val="702B63B0"/>
    <w:rsid w:val="702C2966"/>
    <w:rsid w:val="7049607A"/>
    <w:rsid w:val="70545562"/>
    <w:rsid w:val="70C5699B"/>
    <w:rsid w:val="70C8609C"/>
    <w:rsid w:val="70EE2DD8"/>
    <w:rsid w:val="70F30A56"/>
    <w:rsid w:val="70FA0EAB"/>
    <w:rsid w:val="71106560"/>
    <w:rsid w:val="71292FBC"/>
    <w:rsid w:val="713752AB"/>
    <w:rsid w:val="71437115"/>
    <w:rsid w:val="715536FE"/>
    <w:rsid w:val="718F0C48"/>
    <w:rsid w:val="71CC3EB7"/>
    <w:rsid w:val="71DE2934"/>
    <w:rsid w:val="71F12086"/>
    <w:rsid w:val="71F51101"/>
    <w:rsid w:val="71F77BB8"/>
    <w:rsid w:val="720C4851"/>
    <w:rsid w:val="721B3CC5"/>
    <w:rsid w:val="722019ED"/>
    <w:rsid w:val="72235C8E"/>
    <w:rsid w:val="722B08F5"/>
    <w:rsid w:val="72710C91"/>
    <w:rsid w:val="7278653E"/>
    <w:rsid w:val="729826AA"/>
    <w:rsid w:val="72A45C65"/>
    <w:rsid w:val="72BB6F40"/>
    <w:rsid w:val="72E565C0"/>
    <w:rsid w:val="72EE06A5"/>
    <w:rsid w:val="731A3FEC"/>
    <w:rsid w:val="731E1EAE"/>
    <w:rsid w:val="73322077"/>
    <w:rsid w:val="73473177"/>
    <w:rsid w:val="73484595"/>
    <w:rsid w:val="734962D5"/>
    <w:rsid w:val="73685DD0"/>
    <w:rsid w:val="736B3BB5"/>
    <w:rsid w:val="73734595"/>
    <w:rsid w:val="738D0387"/>
    <w:rsid w:val="73AC0938"/>
    <w:rsid w:val="73F1016F"/>
    <w:rsid w:val="73F30579"/>
    <w:rsid w:val="74010932"/>
    <w:rsid w:val="740B328F"/>
    <w:rsid w:val="74141B6B"/>
    <w:rsid w:val="74244545"/>
    <w:rsid w:val="743326A2"/>
    <w:rsid w:val="74376210"/>
    <w:rsid w:val="74395942"/>
    <w:rsid w:val="74401536"/>
    <w:rsid w:val="744045DA"/>
    <w:rsid w:val="745F77A7"/>
    <w:rsid w:val="747108A9"/>
    <w:rsid w:val="74760969"/>
    <w:rsid w:val="7477782D"/>
    <w:rsid w:val="74882989"/>
    <w:rsid w:val="74A76BEC"/>
    <w:rsid w:val="74BD5147"/>
    <w:rsid w:val="74C73C7A"/>
    <w:rsid w:val="74E120FE"/>
    <w:rsid w:val="74E95C3C"/>
    <w:rsid w:val="75171ED4"/>
    <w:rsid w:val="75331C2C"/>
    <w:rsid w:val="753D30AC"/>
    <w:rsid w:val="75834A29"/>
    <w:rsid w:val="75837EEC"/>
    <w:rsid w:val="75AE1DB9"/>
    <w:rsid w:val="75B664E0"/>
    <w:rsid w:val="75E21168"/>
    <w:rsid w:val="75E77528"/>
    <w:rsid w:val="75E97311"/>
    <w:rsid w:val="75F037BC"/>
    <w:rsid w:val="760D154C"/>
    <w:rsid w:val="760E4675"/>
    <w:rsid w:val="760F6E84"/>
    <w:rsid w:val="761D71A3"/>
    <w:rsid w:val="76330AED"/>
    <w:rsid w:val="76373F9F"/>
    <w:rsid w:val="76385DB2"/>
    <w:rsid w:val="76622B76"/>
    <w:rsid w:val="76655B13"/>
    <w:rsid w:val="76870EAD"/>
    <w:rsid w:val="76920401"/>
    <w:rsid w:val="76B71E5D"/>
    <w:rsid w:val="76B722D9"/>
    <w:rsid w:val="76CB4928"/>
    <w:rsid w:val="76CE73F1"/>
    <w:rsid w:val="76DF7942"/>
    <w:rsid w:val="76ED632F"/>
    <w:rsid w:val="76FD2AF3"/>
    <w:rsid w:val="77034827"/>
    <w:rsid w:val="772B2CA0"/>
    <w:rsid w:val="774829C9"/>
    <w:rsid w:val="77492CFF"/>
    <w:rsid w:val="778441C8"/>
    <w:rsid w:val="778766B4"/>
    <w:rsid w:val="77914171"/>
    <w:rsid w:val="779F348D"/>
    <w:rsid w:val="77AF5EED"/>
    <w:rsid w:val="77B53324"/>
    <w:rsid w:val="77BC650A"/>
    <w:rsid w:val="77CA38C2"/>
    <w:rsid w:val="77E260FF"/>
    <w:rsid w:val="78062A2A"/>
    <w:rsid w:val="78203E5B"/>
    <w:rsid w:val="782F73CD"/>
    <w:rsid w:val="78505A0B"/>
    <w:rsid w:val="786B0AE4"/>
    <w:rsid w:val="787968B8"/>
    <w:rsid w:val="78A54DD0"/>
    <w:rsid w:val="78D4303D"/>
    <w:rsid w:val="78DD2425"/>
    <w:rsid w:val="78EC5C27"/>
    <w:rsid w:val="78F03E18"/>
    <w:rsid w:val="79144C7D"/>
    <w:rsid w:val="79383345"/>
    <w:rsid w:val="79395A28"/>
    <w:rsid w:val="793F53A2"/>
    <w:rsid w:val="795B42DD"/>
    <w:rsid w:val="79853E56"/>
    <w:rsid w:val="79E60265"/>
    <w:rsid w:val="7A102B7D"/>
    <w:rsid w:val="7A137011"/>
    <w:rsid w:val="7A1D2FC0"/>
    <w:rsid w:val="7A1E0C36"/>
    <w:rsid w:val="7A2A2E7A"/>
    <w:rsid w:val="7A300DF9"/>
    <w:rsid w:val="7A330A57"/>
    <w:rsid w:val="7A463B8C"/>
    <w:rsid w:val="7A652E89"/>
    <w:rsid w:val="7A8924E5"/>
    <w:rsid w:val="7AA1053C"/>
    <w:rsid w:val="7AA811C5"/>
    <w:rsid w:val="7ABD4109"/>
    <w:rsid w:val="7B1E6B7D"/>
    <w:rsid w:val="7B3A1BDD"/>
    <w:rsid w:val="7B5530A5"/>
    <w:rsid w:val="7B876E2F"/>
    <w:rsid w:val="7B890DF9"/>
    <w:rsid w:val="7B92136F"/>
    <w:rsid w:val="7BB11A35"/>
    <w:rsid w:val="7BD92D22"/>
    <w:rsid w:val="7BDE70AD"/>
    <w:rsid w:val="7BE01710"/>
    <w:rsid w:val="7BEF658C"/>
    <w:rsid w:val="7C1C2408"/>
    <w:rsid w:val="7C1F09B4"/>
    <w:rsid w:val="7C254C6D"/>
    <w:rsid w:val="7C2E4B32"/>
    <w:rsid w:val="7C723057"/>
    <w:rsid w:val="7C914545"/>
    <w:rsid w:val="7CBA7EAB"/>
    <w:rsid w:val="7CC20DEA"/>
    <w:rsid w:val="7CC436D1"/>
    <w:rsid w:val="7CD9063F"/>
    <w:rsid w:val="7CE17A14"/>
    <w:rsid w:val="7CFC412C"/>
    <w:rsid w:val="7D0344F0"/>
    <w:rsid w:val="7D1E11E0"/>
    <w:rsid w:val="7D227A85"/>
    <w:rsid w:val="7D4B6235"/>
    <w:rsid w:val="7D8442EE"/>
    <w:rsid w:val="7D9A5507"/>
    <w:rsid w:val="7DCB589C"/>
    <w:rsid w:val="7DEF16E8"/>
    <w:rsid w:val="7DF94455"/>
    <w:rsid w:val="7E161FF2"/>
    <w:rsid w:val="7E4B4A8C"/>
    <w:rsid w:val="7E6C1866"/>
    <w:rsid w:val="7E7741B6"/>
    <w:rsid w:val="7E9B53CC"/>
    <w:rsid w:val="7EAB2A81"/>
    <w:rsid w:val="7EAB3D5F"/>
    <w:rsid w:val="7EB40EC7"/>
    <w:rsid w:val="7EBC7738"/>
    <w:rsid w:val="7EBF3A74"/>
    <w:rsid w:val="7ED056F7"/>
    <w:rsid w:val="7ED66BFB"/>
    <w:rsid w:val="7EE0537C"/>
    <w:rsid w:val="7EEE360D"/>
    <w:rsid w:val="7EF600D9"/>
    <w:rsid w:val="7EF96296"/>
    <w:rsid w:val="7EFD57D3"/>
    <w:rsid w:val="7F111786"/>
    <w:rsid w:val="7F187E12"/>
    <w:rsid w:val="7F197281"/>
    <w:rsid w:val="7F3C4C8A"/>
    <w:rsid w:val="7F596765"/>
    <w:rsid w:val="7F5D4515"/>
    <w:rsid w:val="7F6D503D"/>
    <w:rsid w:val="7F792F33"/>
    <w:rsid w:val="7F7B224E"/>
    <w:rsid w:val="7F93124C"/>
    <w:rsid w:val="7F994B60"/>
    <w:rsid w:val="7FBB6B61"/>
    <w:rsid w:val="7FC957A4"/>
    <w:rsid w:val="7FD43287"/>
    <w:rsid w:val="7FD970F1"/>
    <w:rsid w:val="7FDD3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1"/>
    <w:autoRedefine/>
    <w:qFormat/>
    <w:uiPriority w:val="0"/>
    <w:pPr>
      <w:keepNext/>
      <w:keepLines/>
      <w:spacing w:before="340" w:after="330" w:line="576" w:lineRule="auto"/>
      <w:outlineLvl w:val="0"/>
    </w:pPr>
    <w:rPr>
      <w:rFonts w:ascii="Calibri" w:hAnsi="Calibri"/>
      <w:b/>
      <w:kern w:val="44"/>
      <w:sz w:val="44"/>
      <w:szCs w:val="20"/>
    </w:rPr>
  </w:style>
  <w:style w:type="paragraph" w:styleId="5">
    <w:name w:val="heading 2"/>
    <w:basedOn w:val="1"/>
    <w:next w:val="1"/>
    <w:link w:val="62"/>
    <w:autoRedefine/>
    <w:qFormat/>
    <w:uiPriority w:val="9"/>
    <w:pPr>
      <w:keepNext/>
      <w:keepLines/>
      <w:spacing w:before="260" w:after="260" w:line="413" w:lineRule="auto"/>
      <w:outlineLvl w:val="1"/>
    </w:pPr>
    <w:rPr>
      <w:rFonts w:ascii="Arial" w:hAnsi="Arial" w:eastAsia="仿宋_GB2312"/>
      <w:b/>
      <w:bCs/>
      <w:sz w:val="28"/>
      <w:szCs w:val="32"/>
    </w:rPr>
  </w:style>
  <w:style w:type="paragraph" w:styleId="6">
    <w:name w:val="heading 3"/>
    <w:basedOn w:val="1"/>
    <w:next w:val="1"/>
    <w:link w:val="63"/>
    <w:autoRedefine/>
    <w:qFormat/>
    <w:uiPriority w:val="0"/>
    <w:pPr>
      <w:keepNext/>
      <w:keepLines/>
      <w:spacing w:before="260" w:after="260" w:line="416" w:lineRule="auto"/>
      <w:outlineLvl w:val="2"/>
    </w:pPr>
    <w:rPr>
      <w:b/>
      <w:sz w:val="32"/>
      <w:szCs w:val="20"/>
    </w:rPr>
  </w:style>
  <w:style w:type="paragraph" w:styleId="7">
    <w:name w:val="heading 4"/>
    <w:basedOn w:val="1"/>
    <w:next w:val="1"/>
    <w:link w:val="64"/>
    <w:autoRedefine/>
    <w:qFormat/>
    <w:uiPriority w:val="0"/>
    <w:pPr>
      <w:keepNext/>
      <w:keepLines/>
      <w:spacing w:before="280" w:after="290" w:line="372" w:lineRule="auto"/>
      <w:outlineLvl w:val="3"/>
    </w:pPr>
    <w:rPr>
      <w:rFonts w:ascii="Cambria" w:hAnsi="Cambria" w:eastAsia="Cambria"/>
      <w:b/>
      <w:sz w:val="28"/>
      <w:szCs w:val="28"/>
    </w:rPr>
  </w:style>
  <w:style w:type="paragraph" w:styleId="8">
    <w:name w:val="heading 5"/>
    <w:basedOn w:val="1"/>
    <w:next w:val="1"/>
    <w:link w:val="65"/>
    <w:autoRedefine/>
    <w:qFormat/>
    <w:uiPriority w:val="0"/>
    <w:pPr>
      <w:keepNext/>
      <w:keepLines/>
      <w:spacing w:before="280" w:after="290" w:line="372" w:lineRule="auto"/>
      <w:outlineLvl w:val="4"/>
    </w:pPr>
    <w:rPr>
      <w:rFonts w:ascii="Tahoma" w:hAnsi="Tahoma"/>
      <w:b/>
      <w:sz w:val="28"/>
      <w:szCs w:val="20"/>
    </w:rPr>
  </w:style>
  <w:style w:type="paragraph" w:styleId="9">
    <w:name w:val="heading 6"/>
    <w:basedOn w:val="1"/>
    <w:next w:val="1"/>
    <w:link w:val="66"/>
    <w:autoRedefine/>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1"/>
    <w:link w:val="68"/>
    <w:autoRedefine/>
    <w:qFormat/>
    <w:uiPriority w:val="0"/>
    <w:pPr>
      <w:keepNext/>
      <w:keepLines/>
      <w:spacing w:before="240" w:after="64" w:line="317" w:lineRule="auto"/>
      <w:outlineLvl w:val="6"/>
    </w:pPr>
    <w:rPr>
      <w:rFonts w:ascii="Tahoma" w:hAnsi="Tahoma"/>
      <w:b/>
      <w:sz w:val="24"/>
      <w:szCs w:val="20"/>
    </w:rPr>
  </w:style>
  <w:style w:type="paragraph" w:styleId="11">
    <w:name w:val="heading 8"/>
    <w:basedOn w:val="1"/>
    <w:next w:val="1"/>
    <w:link w:val="69"/>
    <w:autoRedefine/>
    <w:qFormat/>
    <w:uiPriority w:val="0"/>
    <w:pPr>
      <w:keepNext/>
      <w:keepLines/>
      <w:spacing w:before="240" w:after="64" w:line="317" w:lineRule="auto"/>
      <w:outlineLvl w:val="7"/>
    </w:pPr>
    <w:rPr>
      <w:rFonts w:ascii="Arial" w:hAnsi="Arial" w:eastAsia="黑体"/>
    </w:rPr>
  </w:style>
  <w:style w:type="paragraph" w:styleId="12">
    <w:name w:val="heading 9"/>
    <w:basedOn w:val="1"/>
    <w:next w:val="1"/>
    <w:link w:val="70"/>
    <w:autoRedefine/>
    <w:qFormat/>
    <w:uiPriority w:val="0"/>
    <w:pPr>
      <w:keepNext/>
      <w:keepLines/>
      <w:spacing w:before="240" w:after="64" w:line="317" w:lineRule="auto"/>
      <w:outlineLvl w:val="8"/>
    </w:pPr>
    <w:rPr>
      <w:rFonts w:ascii="Arial" w:hAnsi="Arial" w:eastAsia="黑体"/>
      <w:szCs w:val="20"/>
    </w:rPr>
  </w:style>
  <w:style w:type="character" w:default="1" w:styleId="51">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rPr>
      <w:rFonts w:ascii="Times New Roman" w:hAnsi="Times New Roman"/>
      <w:lang w:val="zh-CN"/>
    </w:rPr>
  </w:style>
  <w:style w:type="paragraph" w:styleId="3">
    <w:name w:val="Body Text Indent"/>
    <w:basedOn w:val="1"/>
    <w:link w:val="74"/>
    <w:autoRedefine/>
    <w:qFormat/>
    <w:uiPriority w:val="0"/>
    <w:pPr>
      <w:spacing w:line="200" w:lineRule="exact"/>
      <w:ind w:firstLine="301"/>
    </w:pPr>
    <w:rPr>
      <w:rFonts w:hint="eastAsia" w:ascii="宋体" w:hAnsi="Courier New"/>
      <w:spacing w:val="-4"/>
      <w:sz w:val="18"/>
      <w:szCs w:val="20"/>
    </w:rPr>
  </w:style>
  <w:style w:type="paragraph" w:styleId="13">
    <w:name w:val="toc 7"/>
    <w:basedOn w:val="1"/>
    <w:next w:val="1"/>
    <w:autoRedefine/>
    <w:qFormat/>
    <w:uiPriority w:val="0"/>
    <w:pPr>
      <w:ind w:left="2520" w:leftChars="1200"/>
    </w:pPr>
  </w:style>
  <w:style w:type="paragraph" w:styleId="14">
    <w:name w:val="List Number"/>
    <w:basedOn w:val="1"/>
    <w:autoRedefine/>
    <w:qFormat/>
    <w:uiPriority w:val="0"/>
    <w:pPr>
      <w:widowControl/>
      <w:tabs>
        <w:tab w:val="left" w:pos="454"/>
        <w:tab w:val="left" w:pos="720"/>
      </w:tabs>
      <w:spacing w:after="156" w:afterLines="50"/>
      <w:ind w:left="454" w:hanging="284"/>
      <w:jc w:val="left"/>
    </w:pPr>
    <w:rPr>
      <w:kern w:val="0"/>
      <w:sz w:val="24"/>
      <w:szCs w:val="20"/>
    </w:rPr>
  </w:style>
  <w:style w:type="paragraph" w:styleId="15">
    <w:name w:val="Normal Indent"/>
    <w:basedOn w:val="1"/>
    <w:next w:val="3"/>
    <w:link w:val="67"/>
    <w:autoRedefine/>
    <w:qFormat/>
    <w:uiPriority w:val="0"/>
    <w:pPr>
      <w:ind w:firstLine="420"/>
    </w:pPr>
    <w:rPr>
      <w:rFonts w:ascii="Tahoma" w:hAnsi="Tahoma" w:eastAsia="Tahoma"/>
      <w:b/>
    </w:rPr>
  </w:style>
  <w:style w:type="paragraph" w:styleId="16">
    <w:name w:val="caption"/>
    <w:basedOn w:val="1"/>
    <w:next w:val="1"/>
    <w:autoRedefine/>
    <w:qFormat/>
    <w:uiPriority w:val="0"/>
    <w:pPr>
      <w:spacing w:before="152" w:after="160"/>
    </w:pPr>
    <w:rPr>
      <w:rFonts w:ascii="Arial" w:hAnsi="Arial" w:eastAsia="黑体" w:cs="Arial"/>
      <w:sz w:val="20"/>
      <w:szCs w:val="20"/>
    </w:rPr>
  </w:style>
  <w:style w:type="paragraph" w:styleId="17">
    <w:name w:val="Document Map"/>
    <w:basedOn w:val="1"/>
    <w:link w:val="71"/>
    <w:autoRedefine/>
    <w:qFormat/>
    <w:uiPriority w:val="0"/>
    <w:pPr>
      <w:shd w:val="clear" w:color="auto" w:fill="000080"/>
    </w:pPr>
    <w:rPr>
      <w:rFonts w:hint="eastAsia" w:ascii="宋体" w:hAnsi="宋体"/>
      <w:sz w:val="18"/>
      <w:szCs w:val="18"/>
    </w:rPr>
  </w:style>
  <w:style w:type="paragraph" w:styleId="18">
    <w:name w:val="annotation text"/>
    <w:basedOn w:val="1"/>
    <w:link w:val="72"/>
    <w:autoRedefine/>
    <w:qFormat/>
    <w:uiPriority w:val="0"/>
    <w:pPr>
      <w:jc w:val="left"/>
    </w:pPr>
    <w:rPr>
      <w:rFonts w:ascii="Tahoma" w:hAnsi="Tahoma"/>
    </w:rPr>
  </w:style>
  <w:style w:type="paragraph" w:styleId="19">
    <w:name w:val="Body Text 3"/>
    <w:basedOn w:val="1"/>
    <w:link w:val="73"/>
    <w:autoRedefine/>
    <w:qFormat/>
    <w:uiPriority w:val="0"/>
    <w:pPr>
      <w:snapToGrid w:val="0"/>
      <w:spacing w:before="50" w:after="50"/>
    </w:pPr>
    <w:rPr>
      <w:rFonts w:ascii="Tahoma" w:hAnsi="Tahoma"/>
      <w:sz w:val="16"/>
      <w:szCs w:val="16"/>
    </w:rPr>
  </w:style>
  <w:style w:type="paragraph" w:styleId="20">
    <w:name w:val="Body Text"/>
    <w:basedOn w:val="1"/>
    <w:next w:val="21"/>
    <w:link w:val="59"/>
    <w:autoRedefine/>
    <w:qFormat/>
    <w:uiPriority w:val="0"/>
    <w:pPr>
      <w:spacing w:after="120"/>
    </w:pPr>
    <w:rPr>
      <w:rFonts w:ascii="Tahoma" w:hAnsi="Tahoma"/>
      <w:sz w:val="28"/>
    </w:rPr>
  </w:style>
  <w:style w:type="paragraph" w:styleId="21">
    <w:name w:val="Body Text First Indent"/>
    <w:basedOn w:val="20"/>
    <w:next w:val="1"/>
    <w:link w:val="60"/>
    <w:autoRedefine/>
    <w:qFormat/>
    <w:uiPriority w:val="0"/>
    <w:pPr>
      <w:ind w:firstLine="420" w:firstLineChars="100"/>
    </w:pPr>
  </w:style>
  <w:style w:type="paragraph" w:styleId="22">
    <w:name w:val="List Number 3"/>
    <w:basedOn w:val="1"/>
    <w:autoRedefine/>
    <w:qFormat/>
    <w:uiPriority w:val="0"/>
    <w:pPr>
      <w:numPr>
        <w:ilvl w:val="0"/>
        <w:numId w:val="1"/>
      </w:numPr>
    </w:pPr>
  </w:style>
  <w:style w:type="paragraph" w:styleId="23">
    <w:name w:val="List 2"/>
    <w:basedOn w:val="1"/>
    <w:autoRedefine/>
    <w:qFormat/>
    <w:uiPriority w:val="0"/>
    <w:pPr>
      <w:ind w:left="100" w:leftChars="200" w:hanging="200" w:hangingChars="200"/>
    </w:pPr>
    <w:rPr>
      <w:sz w:val="28"/>
    </w:rPr>
  </w:style>
  <w:style w:type="paragraph" w:styleId="24">
    <w:name w:val="Block Text"/>
    <w:basedOn w:val="1"/>
    <w:autoRedefine/>
    <w:unhideWhenUsed/>
    <w:qFormat/>
    <w:uiPriority w:val="99"/>
    <w:pPr>
      <w:spacing w:after="120"/>
      <w:ind w:left="1440" w:leftChars="700" w:right="1440" w:rightChars="700"/>
    </w:pPr>
  </w:style>
  <w:style w:type="paragraph" w:styleId="25">
    <w:name w:val="index 4"/>
    <w:basedOn w:val="1"/>
    <w:next w:val="1"/>
    <w:autoRedefine/>
    <w:unhideWhenUsed/>
    <w:qFormat/>
    <w:uiPriority w:val="99"/>
    <w:pPr>
      <w:ind w:left="600" w:leftChars="600"/>
    </w:pPr>
  </w:style>
  <w:style w:type="paragraph" w:styleId="26">
    <w:name w:val="toc 5"/>
    <w:basedOn w:val="1"/>
    <w:next w:val="1"/>
    <w:autoRedefine/>
    <w:qFormat/>
    <w:uiPriority w:val="0"/>
    <w:pPr>
      <w:ind w:left="1680" w:leftChars="800"/>
    </w:pPr>
  </w:style>
  <w:style w:type="paragraph" w:styleId="27">
    <w:name w:val="toc 3"/>
    <w:basedOn w:val="1"/>
    <w:next w:val="1"/>
    <w:autoRedefine/>
    <w:qFormat/>
    <w:uiPriority w:val="0"/>
    <w:pPr>
      <w:ind w:left="840" w:leftChars="400"/>
    </w:pPr>
  </w:style>
  <w:style w:type="paragraph" w:styleId="28">
    <w:name w:val="Plain Text"/>
    <w:basedOn w:val="1"/>
    <w:link w:val="75"/>
    <w:autoRedefine/>
    <w:qFormat/>
    <w:uiPriority w:val="0"/>
    <w:pPr>
      <w:spacing w:before="156" w:beforeLines="50" w:after="156" w:afterLines="50" w:line="400" w:lineRule="exact"/>
    </w:pPr>
    <w:rPr>
      <w:rFonts w:hint="eastAsia" w:ascii="宋体" w:hAnsi="Courier New"/>
      <w:szCs w:val="21"/>
    </w:rPr>
  </w:style>
  <w:style w:type="paragraph" w:styleId="29">
    <w:name w:val="toc 8"/>
    <w:basedOn w:val="1"/>
    <w:next w:val="1"/>
    <w:autoRedefine/>
    <w:qFormat/>
    <w:uiPriority w:val="0"/>
    <w:pPr>
      <w:ind w:left="2940" w:leftChars="1400"/>
    </w:pPr>
  </w:style>
  <w:style w:type="paragraph" w:styleId="30">
    <w:name w:val="Date"/>
    <w:basedOn w:val="1"/>
    <w:next w:val="1"/>
    <w:link w:val="76"/>
    <w:autoRedefine/>
    <w:qFormat/>
    <w:uiPriority w:val="0"/>
    <w:pPr>
      <w:ind w:left="2500" w:leftChars="2500"/>
    </w:pPr>
    <w:rPr>
      <w:rFonts w:hint="eastAsia" w:ascii="黑体" w:hAnsi="宋体" w:eastAsia="黑体"/>
      <w:kern w:val="44"/>
      <w:position w:val="6"/>
      <w:szCs w:val="20"/>
    </w:rPr>
  </w:style>
  <w:style w:type="paragraph" w:styleId="31">
    <w:name w:val="Body Text Indent 2"/>
    <w:basedOn w:val="1"/>
    <w:link w:val="77"/>
    <w:autoRedefine/>
    <w:qFormat/>
    <w:uiPriority w:val="0"/>
    <w:pPr>
      <w:snapToGrid w:val="0"/>
      <w:ind w:firstLine="542" w:firstLineChars="225"/>
    </w:pPr>
    <w:rPr>
      <w:rFonts w:ascii="Tahoma" w:hAnsi="Tahoma"/>
    </w:rPr>
  </w:style>
  <w:style w:type="paragraph" w:styleId="32">
    <w:name w:val="Balloon Text"/>
    <w:basedOn w:val="1"/>
    <w:link w:val="78"/>
    <w:autoRedefine/>
    <w:qFormat/>
    <w:uiPriority w:val="0"/>
    <w:rPr>
      <w:rFonts w:ascii="Tahoma" w:hAnsi="Tahoma"/>
      <w:sz w:val="18"/>
      <w:szCs w:val="18"/>
    </w:rPr>
  </w:style>
  <w:style w:type="paragraph" w:styleId="33">
    <w:name w:val="footer"/>
    <w:basedOn w:val="1"/>
    <w:link w:val="79"/>
    <w:autoRedefine/>
    <w:qFormat/>
    <w:uiPriority w:val="0"/>
    <w:pPr>
      <w:tabs>
        <w:tab w:val="center" w:pos="4153"/>
        <w:tab w:val="right" w:pos="8306"/>
      </w:tabs>
      <w:snapToGrid w:val="0"/>
      <w:jc w:val="left"/>
    </w:pPr>
    <w:rPr>
      <w:rFonts w:hint="eastAsia" w:ascii="黑体" w:hAnsi="宋体" w:eastAsia="黑体"/>
      <w:kern w:val="0"/>
      <w:sz w:val="18"/>
      <w:szCs w:val="18"/>
    </w:rPr>
  </w:style>
  <w:style w:type="paragraph" w:styleId="34">
    <w:name w:val="envelope return"/>
    <w:basedOn w:val="1"/>
    <w:autoRedefine/>
    <w:qFormat/>
    <w:uiPriority w:val="0"/>
    <w:pPr>
      <w:snapToGrid w:val="0"/>
    </w:pPr>
    <w:rPr>
      <w:rFonts w:ascii="Arial" w:hAnsi="Arial"/>
    </w:rPr>
  </w:style>
  <w:style w:type="paragraph" w:styleId="35">
    <w:name w:val="header"/>
    <w:basedOn w:val="1"/>
    <w:link w:val="80"/>
    <w:autoRedefine/>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36">
    <w:name w:val="toc 1"/>
    <w:basedOn w:val="1"/>
    <w:next w:val="1"/>
    <w:autoRedefine/>
    <w:qFormat/>
    <w:uiPriority w:val="39"/>
  </w:style>
  <w:style w:type="paragraph" w:styleId="37">
    <w:name w:val="toc 4"/>
    <w:basedOn w:val="1"/>
    <w:next w:val="1"/>
    <w:autoRedefine/>
    <w:qFormat/>
    <w:uiPriority w:val="0"/>
    <w:pPr>
      <w:ind w:left="1260" w:leftChars="600"/>
    </w:pPr>
  </w:style>
  <w:style w:type="paragraph" w:styleId="38">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39">
    <w:name w:val="List"/>
    <w:basedOn w:val="1"/>
    <w:autoRedefine/>
    <w:qFormat/>
    <w:uiPriority w:val="0"/>
    <w:pPr>
      <w:ind w:left="200" w:hanging="200" w:hangingChars="200"/>
    </w:pPr>
    <w:rPr>
      <w:sz w:val="28"/>
    </w:rPr>
  </w:style>
  <w:style w:type="paragraph" w:styleId="40">
    <w:name w:val="toc 6"/>
    <w:basedOn w:val="1"/>
    <w:next w:val="1"/>
    <w:autoRedefine/>
    <w:qFormat/>
    <w:uiPriority w:val="0"/>
    <w:pPr>
      <w:ind w:left="2100" w:leftChars="1000"/>
    </w:pPr>
  </w:style>
  <w:style w:type="paragraph" w:styleId="41">
    <w:name w:val="Body Text Indent 3"/>
    <w:basedOn w:val="1"/>
    <w:link w:val="81"/>
    <w:autoRedefine/>
    <w:qFormat/>
    <w:uiPriority w:val="0"/>
    <w:pPr>
      <w:snapToGrid w:val="0"/>
      <w:ind w:firstLine="480" w:firstLineChars="200"/>
      <w:jc w:val="left"/>
    </w:pPr>
    <w:rPr>
      <w:rFonts w:ascii="Tahoma" w:hAnsi="Tahoma"/>
      <w:sz w:val="16"/>
      <w:szCs w:val="16"/>
    </w:rPr>
  </w:style>
  <w:style w:type="paragraph" w:styleId="42">
    <w:name w:val="toc 2"/>
    <w:basedOn w:val="1"/>
    <w:next w:val="1"/>
    <w:autoRedefine/>
    <w:qFormat/>
    <w:uiPriority w:val="0"/>
    <w:pPr>
      <w:ind w:left="420" w:leftChars="200"/>
    </w:pPr>
  </w:style>
  <w:style w:type="paragraph" w:styleId="43">
    <w:name w:val="toc 9"/>
    <w:basedOn w:val="1"/>
    <w:next w:val="1"/>
    <w:autoRedefine/>
    <w:qFormat/>
    <w:uiPriority w:val="0"/>
    <w:pPr>
      <w:ind w:left="3360" w:leftChars="1600"/>
    </w:pPr>
  </w:style>
  <w:style w:type="paragraph" w:styleId="44">
    <w:name w:val="Body Text 2"/>
    <w:basedOn w:val="1"/>
    <w:link w:val="82"/>
    <w:autoRedefine/>
    <w:qFormat/>
    <w:uiPriority w:val="0"/>
    <w:pPr>
      <w:widowControl/>
      <w:snapToGrid w:val="0"/>
      <w:spacing w:before="50" w:after="156" w:afterLines="50" w:line="400" w:lineRule="exact"/>
      <w:jc w:val="left"/>
    </w:pPr>
    <w:rPr>
      <w:rFonts w:ascii="Tahoma" w:hAnsi="Tahoma"/>
      <w:spacing w:val="20"/>
    </w:rPr>
  </w:style>
  <w:style w:type="paragraph" w:styleId="45">
    <w:name w:val="HTML Preformatted"/>
    <w:basedOn w:val="1"/>
    <w:link w:val="83"/>
    <w:autoRedefine/>
    <w:qFormat/>
    <w:uiPriority w:val="0"/>
    <w:rPr>
      <w:rFonts w:hint="eastAsia" w:ascii="宋体" w:hAnsi="宋体"/>
      <w:kern w:val="0"/>
      <w:sz w:val="24"/>
    </w:rPr>
  </w:style>
  <w:style w:type="paragraph" w:styleId="46">
    <w:name w:val="Normal (Web)"/>
    <w:basedOn w:val="1"/>
    <w:autoRedefine/>
    <w:qFormat/>
    <w:uiPriority w:val="0"/>
    <w:pPr>
      <w:widowControl/>
      <w:spacing w:before="100" w:beforeAutospacing="1" w:after="100" w:afterAutospacing="1"/>
      <w:jc w:val="left"/>
    </w:pPr>
    <w:rPr>
      <w:kern w:val="0"/>
      <w:sz w:val="24"/>
    </w:rPr>
  </w:style>
  <w:style w:type="paragraph" w:styleId="47">
    <w:name w:val="Title"/>
    <w:basedOn w:val="1"/>
    <w:next w:val="1"/>
    <w:link w:val="84"/>
    <w:autoRedefine/>
    <w:qFormat/>
    <w:uiPriority w:val="0"/>
    <w:pPr>
      <w:spacing w:before="240" w:after="60"/>
      <w:jc w:val="center"/>
      <w:outlineLvl w:val="0"/>
    </w:pPr>
    <w:rPr>
      <w:rFonts w:ascii="Cambria" w:hAnsi="Cambria" w:eastAsia="Cambria"/>
      <w:b/>
      <w:sz w:val="32"/>
      <w:szCs w:val="32"/>
    </w:rPr>
  </w:style>
  <w:style w:type="paragraph" w:styleId="48">
    <w:name w:val="annotation subject"/>
    <w:basedOn w:val="18"/>
    <w:next w:val="18"/>
    <w:link w:val="85"/>
    <w:autoRedefine/>
    <w:qFormat/>
    <w:uiPriority w:val="0"/>
    <w:rPr>
      <w:b/>
    </w:rPr>
  </w:style>
  <w:style w:type="table" w:styleId="50">
    <w:name w:val="Table Grid"/>
    <w:basedOn w:val="49"/>
    <w:autoRedefine/>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autoRedefine/>
    <w:qFormat/>
    <w:uiPriority w:val="0"/>
    <w:rPr>
      <w:b/>
      <w:bCs/>
    </w:rPr>
  </w:style>
  <w:style w:type="character" w:styleId="53">
    <w:name w:val="page number"/>
    <w:autoRedefine/>
    <w:qFormat/>
    <w:uiPriority w:val="0"/>
    <w:rPr>
      <w:rFonts w:hint="default" w:ascii="Times New Roman" w:hAnsi="Times New Roman" w:cs="Times New Roman"/>
      <w:sz w:val="24"/>
      <w:szCs w:val="20"/>
    </w:rPr>
  </w:style>
  <w:style w:type="character" w:styleId="54">
    <w:name w:val="FollowedHyperlink"/>
    <w:autoRedefine/>
    <w:qFormat/>
    <w:uiPriority w:val="0"/>
    <w:rPr>
      <w:rFonts w:ascii="Tahoma" w:hAnsi="Tahoma"/>
      <w:color w:val="004102"/>
      <w:sz w:val="24"/>
      <w:szCs w:val="20"/>
      <w:u w:val="none"/>
    </w:rPr>
  </w:style>
  <w:style w:type="character" w:styleId="55">
    <w:name w:val="Hyperlink"/>
    <w:basedOn w:val="51"/>
    <w:autoRedefine/>
    <w:qFormat/>
    <w:uiPriority w:val="99"/>
    <w:rPr>
      <w:rFonts w:ascii="Tahoma" w:hAnsi="Tahoma"/>
      <w:color w:val="004102"/>
      <w:sz w:val="24"/>
      <w:szCs w:val="20"/>
      <w:u w:val="none"/>
    </w:rPr>
  </w:style>
  <w:style w:type="character" w:styleId="56">
    <w:name w:val="annotation reference"/>
    <w:autoRedefine/>
    <w:qFormat/>
    <w:uiPriority w:val="0"/>
    <w:rPr>
      <w:sz w:val="21"/>
      <w:szCs w:val="21"/>
    </w:rPr>
  </w:style>
  <w:style w:type="paragraph" w:customStyle="1" w:styleId="57">
    <w:name w:val="列出段落1"/>
    <w:basedOn w:val="1"/>
    <w:autoRedefine/>
    <w:qFormat/>
    <w:uiPriority w:val="34"/>
    <w:pPr>
      <w:ind w:firstLine="420" w:firstLineChars="200"/>
    </w:pPr>
    <w:rPr>
      <w:rFonts w:ascii="Calibri" w:hAnsi="Calibri"/>
      <w:szCs w:val="22"/>
    </w:rPr>
  </w:style>
  <w:style w:type="paragraph" w:customStyle="1" w:styleId="58">
    <w:name w:val="正文首行缩进2字符"/>
    <w:basedOn w:val="1"/>
    <w:autoRedefine/>
    <w:qFormat/>
    <w:uiPriority w:val="0"/>
    <w:pPr>
      <w:widowControl/>
      <w:adjustRightInd w:val="0"/>
    </w:pPr>
  </w:style>
  <w:style w:type="character" w:customStyle="1" w:styleId="59">
    <w:name w:val="正文文本 Char"/>
    <w:link w:val="20"/>
    <w:autoRedefine/>
    <w:qFormat/>
    <w:uiPriority w:val="0"/>
    <w:rPr>
      <w:rFonts w:ascii="Tahoma" w:hAnsi="Tahoma"/>
      <w:kern w:val="2"/>
      <w:sz w:val="28"/>
      <w:szCs w:val="24"/>
    </w:rPr>
  </w:style>
  <w:style w:type="character" w:customStyle="1" w:styleId="60">
    <w:name w:val="正文首行缩进 Char"/>
    <w:link w:val="21"/>
    <w:autoRedefine/>
    <w:qFormat/>
    <w:uiPriority w:val="0"/>
    <w:rPr>
      <w:rFonts w:ascii="Tahoma" w:hAnsi="Tahoma"/>
      <w:kern w:val="2"/>
      <w:sz w:val="28"/>
      <w:szCs w:val="24"/>
    </w:rPr>
  </w:style>
  <w:style w:type="character" w:customStyle="1" w:styleId="61">
    <w:name w:val="标题 1 Char"/>
    <w:link w:val="4"/>
    <w:autoRedefine/>
    <w:qFormat/>
    <w:uiPriority w:val="0"/>
    <w:rPr>
      <w:rFonts w:ascii="Calibri" w:hAnsi="Calibri"/>
      <w:b/>
      <w:kern w:val="44"/>
      <w:sz w:val="44"/>
    </w:rPr>
  </w:style>
  <w:style w:type="character" w:customStyle="1" w:styleId="62">
    <w:name w:val="标题 2 Char1"/>
    <w:link w:val="5"/>
    <w:autoRedefine/>
    <w:qFormat/>
    <w:uiPriority w:val="9"/>
    <w:rPr>
      <w:rFonts w:ascii="Arial" w:hAnsi="Arial" w:eastAsia="仿宋_GB2312"/>
      <w:b/>
      <w:bCs/>
      <w:kern w:val="2"/>
      <w:sz w:val="28"/>
      <w:szCs w:val="32"/>
    </w:rPr>
  </w:style>
  <w:style w:type="character" w:customStyle="1" w:styleId="63">
    <w:name w:val="标题 3 Char"/>
    <w:link w:val="6"/>
    <w:autoRedefine/>
    <w:qFormat/>
    <w:uiPriority w:val="0"/>
    <w:rPr>
      <w:b/>
      <w:kern w:val="2"/>
      <w:sz w:val="32"/>
    </w:rPr>
  </w:style>
  <w:style w:type="character" w:customStyle="1" w:styleId="64">
    <w:name w:val="标题 4 Char"/>
    <w:link w:val="7"/>
    <w:autoRedefine/>
    <w:qFormat/>
    <w:uiPriority w:val="0"/>
    <w:rPr>
      <w:rFonts w:hint="default" w:ascii="Cambria" w:hAnsi="Cambria" w:eastAsia="Cambria" w:cs="Cambria"/>
      <w:b/>
      <w:kern w:val="2"/>
      <w:sz w:val="28"/>
      <w:szCs w:val="28"/>
    </w:rPr>
  </w:style>
  <w:style w:type="character" w:customStyle="1" w:styleId="65">
    <w:name w:val="标题 5 Char"/>
    <w:link w:val="8"/>
    <w:autoRedefine/>
    <w:qFormat/>
    <w:uiPriority w:val="0"/>
    <w:rPr>
      <w:rFonts w:ascii="Tahoma" w:hAnsi="Tahoma"/>
      <w:b/>
      <w:kern w:val="2"/>
      <w:sz w:val="28"/>
      <w:szCs w:val="20"/>
    </w:rPr>
  </w:style>
  <w:style w:type="character" w:customStyle="1" w:styleId="66">
    <w:name w:val="标题 6 Char"/>
    <w:link w:val="9"/>
    <w:autoRedefine/>
    <w:qFormat/>
    <w:uiPriority w:val="0"/>
    <w:rPr>
      <w:rFonts w:hint="default" w:ascii="Arial" w:hAnsi="Arial" w:eastAsia="黑体" w:cs="Arial"/>
      <w:b/>
      <w:kern w:val="2"/>
      <w:sz w:val="24"/>
      <w:szCs w:val="20"/>
    </w:rPr>
  </w:style>
  <w:style w:type="character" w:customStyle="1" w:styleId="67">
    <w:name w:val="正文缩进 Char"/>
    <w:link w:val="15"/>
    <w:autoRedefine/>
    <w:qFormat/>
    <w:uiPriority w:val="0"/>
    <w:rPr>
      <w:rFonts w:hint="default" w:ascii="Tahoma" w:hAnsi="Tahoma" w:eastAsia="Tahoma" w:cs="Tahoma"/>
      <w:b/>
      <w:kern w:val="2"/>
      <w:sz w:val="21"/>
      <w:szCs w:val="24"/>
    </w:rPr>
  </w:style>
  <w:style w:type="character" w:customStyle="1" w:styleId="68">
    <w:name w:val="标题 7 Char"/>
    <w:link w:val="10"/>
    <w:autoRedefine/>
    <w:qFormat/>
    <w:uiPriority w:val="0"/>
    <w:rPr>
      <w:rFonts w:ascii="Tahoma" w:hAnsi="Tahoma"/>
      <w:b/>
      <w:kern w:val="2"/>
      <w:sz w:val="24"/>
      <w:szCs w:val="20"/>
    </w:rPr>
  </w:style>
  <w:style w:type="character" w:customStyle="1" w:styleId="69">
    <w:name w:val="标题 8 Char"/>
    <w:link w:val="11"/>
    <w:autoRedefine/>
    <w:qFormat/>
    <w:uiPriority w:val="0"/>
    <w:rPr>
      <w:rFonts w:ascii="Arial" w:hAnsi="Arial" w:eastAsia="黑体" w:cs="Arial"/>
      <w:kern w:val="2"/>
      <w:sz w:val="21"/>
      <w:szCs w:val="24"/>
    </w:rPr>
  </w:style>
  <w:style w:type="character" w:customStyle="1" w:styleId="70">
    <w:name w:val="标题 9 Char"/>
    <w:link w:val="12"/>
    <w:autoRedefine/>
    <w:qFormat/>
    <w:uiPriority w:val="0"/>
    <w:rPr>
      <w:rFonts w:hint="default" w:ascii="Arial" w:hAnsi="Arial" w:eastAsia="黑体" w:cs="Arial"/>
      <w:kern w:val="2"/>
      <w:sz w:val="21"/>
      <w:szCs w:val="20"/>
    </w:rPr>
  </w:style>
  <w:style w:type="character" w:customStyle="1" w:styleId="71">
    <w:name w:val="文档结构图 Char"/>
    <w:link w:val="17"/>
    <w:autoRedefine/>
    <w:qFormat/>
    <w:uiPriority w:val="0"/>
    <w:rPr>
      <w:rFonts w:hint="eastAsia" w:ascii="宋体" w:hAnsi="宋体" w:eastAsia="宋体" w:cs="宋体"/>
      <w:kern w:val="2"/>
      <w:sz w:val="18"/>
      <w:szCs w:val="18"/>
    </w:rPr>
  </w:style>
  <w:style w:type="character" w:customStyle="1" w:styleId="72">
    <w:name w:val="批注文字 Char"/>
    <w:link w:val="18"/>
    <w:autoRedefine/>
    <w:qFormat/>
    <w:uiPriority w:val="0"/>
    <w:rPr>
      <w:rFonts w:ascii="Tahoma" w:hAnsi="Tahoma"/>
      <w:kern w:val="2"/>
      <w:sz w:val="21"/>
      <w:szCs w:val="24"/>
    </w:rPr>
  </w:style>
  <w:style w:type="character" w:customStyle="1" w:styleId="73">
    <w:name w:val="正文文本 3 Char"/>
    <w:link w:val="19"/>
    <w:autoRedefine/>
    <w:qFormat/>
    <w:uiPriority w:val="0"/>
    <w:rPr>
      <w:rFonts w:ascii="Tahoma" w:hAnsi="Tahoma"/>
      <w:kern w:val="2"/>
      <w:sz w:val="16"/>
      <w:szCs w:val="16"/>
    </w:rPr>
  </w:style>
  <w:style w:type="character" w:customStyle="1" w:styleId="74">
    <w:name w:val="正文文本缩进 Char"/>
    <w:link w:val="3"/>
    <w:autoRedefine/>
    <w:qFormat/>
    <w:uiPriority w:val="0"/>
    <w:rPr>
      <w:rFonts w:hint="eastAsia" w:ascii="宋体" w:hAnsi="Courier New" w:eastAsia="宋体" w:cs="宋体"/>
      <w:spacing w:val="-4"/>
      <w:kern w:val="2"/>
      <w:sz w:val="18"/>
      <w:szCs w:val="20"/>
    </w:rPr>
  </w:style>
  <w:style w:type="character" w:customStyle="1" w:styleId="75">
    <w:name w:val="纯文本 Char"/>
    <w:link w:val="28"/>
    <w:autoRedefine/>
    <w:qFormat/>
    <w:uiPriority w:val="0"/>
    <w:rPr>
      <w:rFonts w:hint="eastAsia" w:ascii="宋体" w:hAnsi="Courier New" w:eastAsia="宋体" w:cs="Courier New"/>
      <w:kern w:val="2"/>
      <w:sz w:val="21"/>
      <w:szCs w:val="21"/>
    </w:rPr>
  </w:style>
  <w:style w:type="character" w:customStyle="1" w:styleId="76">
    <w:name w:val="日期 Char"/>
    <w:link w:val="30"/>
    <w:autoRedefine/>
    <w:qFormat/>
    <w:uiPriority w:val="0"/>
    <w:rPr>
      <w:rFonts w:hint="eastAsia" w:ascii="黑体" w:hAnsi="宋体" w:eastAsia="黑体" w:cs="黑体"/>
      <w:kern w:val="44"/>
      <w:position w:val="6"/>
      <w:sz w:val="21"/>
      <w:szCs w:val="20"/>
    </w:rPr>
  </w:style>
  <w:style w:type="character" w:customStyle="1" w:styleId="77">
    <w:name w:val="正文文本缩进 2 Char"/>
    <w:link w:val="31"/>
    <w:autoRedefine/>
    <w:qFormat/>
    <w:uiPriority w:val="0"/>
    <w:rPr>
      <w:rFonts w:ascii="Tahoma" w:hAnsi="Tahoma"/>
      <w:kern w:val="2"/>
      <w:sz w:val="21"/>
      <w:szCs w:val="24"/>
    </w:rPr>
  </w:style>
  <w:style w:type="character" w:customStyle="1" w:styleId="78">
    <w:name w:val="批注框文本 Char"/>
    <w:link w:val="32"/>
    <w:autoRedefine/>
    <w:qFormat/>
    <w:uiPriority w:val="0"/>
    <w:rPr>
      <w:rFonts w:ascii="Tahoma" w:hAnsi="Tahoma"/>
      <w:kern w:val="2"/>
      <w:sz w:val="18"/>
      <w:szCs w:val="18"/>
    </w:rPr>
  </w:style>
  <w:style w:type="character" w:customStyle="1" w:styleId="79">
    <w:name w:val="页脚 Char"/>
    <w:link w:val="33"/>
    <w:autoRedefine/>
    <w:qFormat/>
    <w:uiPriority w:val="0"/>
    <w:rPr>
      <w:rFonts w:hint="eastAsia" w:ascii="黑体" w:hAnsi="宋体" w:eastAsia="黑体" w:cs="黑体"/>
      <w:snapToGrid/>
      <w:sz w:val="18"/>
      <w:szCs w:val="18"/>
    </w:rPr>
  </w:style>
  <w:style w:type="character" w:customStyle="1" w:styleId="80">
    <w:name w:val="页眉 Char"/>
    <w:link w:val="35"/>
    <w:autoRedefine/>
    <w:qFormat/>
    <w:uiPriority w:val="99"/>
    <w:rPr>
      <w:rFonts w:ascii="Tahoma" w:hAnsi="Tahoma"/>
      <w:kern w:val="2"/>
      <w:sz w:val="18"/>
      <w:szCs w:val="18"/>
    </w:rPr>
  </w:style>
  <w:style w:type="character" w:customStyle="1" w:styleId="81">
    <w:name w:val="正文文本缩进 3 Char"/>
    <w:link w:val="41"/>
    <w:autoRedefine/>
    <w:qFormat/>
    <w:uiPriority w:val="0"/>
    <w:rPr>
      <w:rFonts w:ascii="Tahoma" w:hAnsi="Tahoma"/>
      <w:kern w:val="2"/>
      <w:sz w:val="16"/>
      <w:szCs w:val="16"/>
    </w:rPr>
  </w:style>
  <w:style w:type="character" w:customStyle="1" w:styleId="82">
    <w:name w:val="正文文本 2 Char"/>
    <w:link w:val="44"/>
    <w:autoRedefine/>
    <w:qFormat/>
    <w:uiPriority w:val="0"/>
    <w:rPr>
      <w:rFonts w:ascii="Tahoma" w:hAnsi="Tahoma"/>
      <w:spacing w:val="20"/>
      <w:kern w:val="2"/>
      <w:sz w:val="21"/>
      <w:szCs w:val="24"/>
    </w:rPr>
  </w:style>
  <w:style w:type="character" w:customStyle="1" w:styleId="83">
    <w:name w:val="HTML 预设格式 Char"/>
    <w:link w:val="45"/>
    <w:autoRedefine/>
    <w:qFormat/>
    <w:uiPriority w:val="0"/>
    <w:rPr>
      <w:rFonts w:hint="eastAsia" w:ascii="宋体" w:hAnsi="宋体" w:eastAsia="宋体" w:cs="宋体"/>
      <w:sz w:val="24"/>
      <w:szCs w:val="24"/>
    </w:rPr>
  </w:style>
  <w:style w:type="character" w:customStyle="1" w:styleId="84">
    <w:name w:val="标题 Char"/>
    <w:link w:val="47"/>
    <w:autoRedefine/>
    <w:qFormat/>
    <w:uiPriority w:val="0"/>
    <w:rPr>
      <w:rFonts w:hint="default" w:ascii="Cambria" w:hAnsi="Cambria" w:eastAsia="Cambria" w:cs="Times New Roman"/>
      <w:b/>
      <w:kern w:val="2"/>
      <w:sz w:val="32"/>
      <w:szCs w:val="32"/>
    </w:rPr>
  </w:style>
  <w:style w:type="character" w:customStyle="1" w:styleId="85">
    <w:name w:val="批注主题 Char"/>
    <w:link w:val="48"/>
    <w:autoRedefine/>
    <w:qFormat/>
    <w:uiPriority w:val="0"/>
    <w:rPr>
      <w:rFonts w:ascii="Tahoma" w:hAnsi="Tahoma"/>
      <w:b/>
      <w:kern w:val="2"/>
      <w:sz w:val="21"/>
      <w:szCs w:val="24"/>
    </w:rPr>
  </w:style>
  <w:style w:type="paragraph" w:customStyle="1" w:styleId="86">
    <w:name w:val="样式3"/>
    <w:basedOn w:val="28"/>
    <w:next w:val="1"/>
    <w:autoRedefine/>
    <w:qFormat/>
    <w:uiPriority w:val="99"/>
    <w:pPr>
      <w:spacing w:line="0" w:lineRule="atLeast"/>
      <w:outlineLvl w:val="0"/>
    </w:pPr>
    <w:rPr>
      <w:sz w:val="28"/>
    </w:rPr>
  </w:style>
  <w:style w:type="paragraph" w:customStyle="1" w:styleId="87">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8">
    <w:name w:val="纯文本 Char1"/>
    <w:autoRedefine/>
    <w:qFormat/>
    <w:uiPriority w:val="0"/>
    <w:rPr>
      <w:rFonts w:ascii="宋体" w:hAnsi="Courier New" w:eastAsia="宋体" w:cs="Courier New"/>
      <w:kern w:val="2"/>
      <w:sz w:val="21"/>
      <w:szCs w:val="21"/>
      <w:lang w:val="en-US" w:eastAsia="zh-CN" w:bidi="ar-SA"/>
    </w:rPr>
  </w:style>
  <w:style w:type="character" w:customStyle="1" w:styleId="89">
    <w:name w:val="msobooktitle"/>
    <w:autoRedefine/>
    <w:qFormat/>
    <w:uiPriority w:val="0"/>
    <w:rPr>
      <w:rFonts w:ascii="Tahoma" w:hAnsi="Tahoma"/>
      <w:b/>
      <w:smallCaps/>
      <w:spacing w:val="5"/>
      <w:sz w:val="24"/>
      <w:szCs w:val="20"/>
    </w:rPr>
  </w:style>
  <w:style w:type="character" w:customStyle="1" w:styleId="90">
    <w:name w:val="纯文本 Char2"/>
    <w:autoRedefine/>
    <w:qFormat/>
    <w:uiPriority w:val="0"/>
    <w:rPr>
      <w:rFonts w:hint="eastAsia" w:ascii="宋体" w:hAnsi="Courier New" w:eastAsia="宋体" w:cs="宋体"/>
      <w:kern w:val="2"/>
      <w:sz w:val="24"/>
      <w:szCs w:val="24"/>
    </w:rPr>
  </w:style>
  <w:style w:type="character" w:customStyle="1" w:styleId="91">
    <w:name w:val="fontheight2"/>
    <w:autoRedefine/>
    <w:qFormat/>
    <w:uiPriority w:val="0"/>
    <w:rPr>
      <w:rFonts w:ascii="Tahoma" w:hAnsi="Tahoma"/>
      <w:sz w:val="20"/>
      <w:szCs w:val="20"/>
      <w:u w:val="none"/>
    </w:rPr>
  </w:style>
  <w:style w:type="character" w:customStyle="1" w:styleId="92">
    <w:name w:val="news1"/>
    <w:autoRedefine/>
    <w:qFormat/>
    <w:uiPriority w:val="0"/>
    <w:rPr>
      <w:rFonts w:hint="default" w:ascii="Tahoma" w:hAnsi="Tahoma" w:eastAsia="Tahoma" w:cs="Tahoma"/>
      <w:b/>
      <w:sz w:val="24"/>
      <w:szCs w:val="24"/>
    </w:rPr>
  </w:style>
  <w:style w:type="character" w:customStyle="1" w:styleId="93">
    <w:name w:val="c_title1"/>
    <w:autoRedefine/>
    <w:qFormat/>
    <w:uiPriority w:val="0"/>
    <w:rPr>
      <w:rFonts w:hint="eastAsia" w:ascii="黑体" w:hAnsi="Tahoma" w:eastAsia="黑体" w:cs="黑体"/>
      <w:b/>
      <w:color w:val="03005C"/>
      <w:sz w:val="30"/>
      <w:szCs w:val="30"/>
      <w:u w:val="none"/>
    </w:rPr>
  </w:style>
  <w:style w:type="character" w:customStyle="1" w:styleId="94">
    <w:name w:val="kleintab"/>
    <w:autoRedefine/>
    <w:qFormat/>
    <w:uiPriority w:val="0"/>
    <w:rPr>
      <w:rFonts w:hint="default" w:ascii="Tahoma" w:hAnsi="Tahoma" w:eastAsia="Tahoma" w:cs="Tahoma"/>
      <w:b/>
      <w:sz w:val="24"/>
      <w:szCs w:val="24"/>
    </w:rPr>
  </w:style>
  <w:style w:type="character" w:customStyle="1" w:styleId="95">
    <w:name w:val="font51"/>
    <w:autoRedefine/>
    <w:qFormat/>
    <w:uiPriority w:val="0"/>
    <w:rPr>
      <w:rFonts w:hint="default" w:ascii="Times New Roman" w:hAnsi="Times New Roman" w:cs="Times New Roman"/>
      <w:color w:val="000000"/>
      <w:sz w:val="21"/>
      <w:szCs w:val="21"/>
      <w:u w:val="none"/>
    </w:rPr>
  </w:style>
  <w:style w:type="character" w:customStyle="1" w:styleId="96">
    <w:name w:val="font71"/>
    <w:basedOn w:val="51"/>
    <w:autoRedefine/>
    <w:qFormat/>
    <w:uiPriority w:val="0"/>
    <w:rPr>
      <w:rFonts w:hint="eastAsia" w:ascii="宋体" w:hAnsi="宋体" w:eastAsia="宋体" w:cs="宋体"/>
      <w:b/>
      <w:color w:val="000000"/>
      <w:sz w:val="22"/>
      <w:szCs w:val="22"/>
      <w:u w:val="none"/>
    </w:rPr>
  </w:style>
  <w:style w:type="character" w:customStyle="1" w:styleId="97">
    <w:name w:val="font141"/>
    <w:autoRedefine/>
    <w:qFormat/>
    <w:uiPriority w:val="0"/>
    <w:rPr>
      <w:rFonts w:hint="default" w:ascii="Tahoma" w:hAnsi="Tahoma" w:eastAsia="Tahoma" w:cs="Tahoma"/>
      <w:sz w:val="24"/>
      <w:szCs w:val="24"/>
    </w:rPr>
  </w:style>
  <w:style w:type="character" w:customStyle="1" w:styleId="98">
    <w:name w:val="H5 Char"/>
    <w:autoRedefine/>
    <w:qFormat/>
    <w:uiPriority w:val="0"/>
    <w:rPr>
      <w:rFonts w:ascii="Tahoma" w:hAnsi="Tahoma"/>
      <w:sz w:val="28"/>
      <w:szCs w:val="20"/>
    </w:rPr>
  </w:style>
  <w:style w:type="character" w:customStyle="1" w:styleId="99">
    <w:name w:val="font61"/>
    <w:autoRedefine/>
    <w:qFormat/>
    <w:uiPriority w:val="0"/>
    <w:rPr>
      <w:rFonts w:hint="eastAsia" w:ascii="宋体" w:hAnsi="宋体" w:eastAsia="宋体" w:cs="宋体"/>
      <w:color w:val="000000"/>
      <w:sz w:val="20"/>
      <w:szCs w:val="20"/>
      <w:u w:val="none"/>
    </w:rPr>
  </w:style>
  <w:style w:type="character" w:customStyle="1" w:styleId="100">
    <w:name w:val="样式 标题 1合同标题卷标题H1h1Level 1 Topic HeadingH11H12H111H13H1... Char Char"/>
    <w:autoRedefine/>
    <w:qFormat/>
    <w:uiPriority w:val="0"/>
    <w:rPr>
      <w:rFonts w:hint="eastAsia" w:ascii="宋体" w:hAnsi="宋体" w:eastAsia="宋体" w:cs="宋体"/>
      <w:b/>
      <w:kern w:val="44"/>
      <w:sz w:val="24"/>
      <w:szCs w:val="44"/>
      <w:lang w:val="en-US" w:eastAsia="zh-CN" w:bidi="ar"/>
    </w:rPr>
  </w:style>
  <w:style w:type="character" w:customStyle="1" w:styleId="101">
    <w:name w:val="aa1"/>
    <w:autoRedefine/>
    <w:qFormat/>
    <w:uiPriority w:val="0"/>
    <w:rPr>
      <w:rFonts w:hint="default" w:ascii="Tahoma" w:hAnsi="Tahoma" w:eastAsia="Tahoma" w:cs="Tahoma"/>
      <w:b/>
      <w:sz w:val="24"/>
      <w:szCs w:val="24"/>
    </w:rPr>
  </w:style>
  <w:style w:type="character" w:customStyle="1" w:styleId="102">
    <w:name w:val="Char Char1"/>
    <w:autoRedefine/>
    <w:qFormat/>
    <w:uiPriority w:val="0"/>
    <w:rPr>
      <w:rFonts w:ascii="宋体" w:hAnsi="Courier New" w:eastAsia="宋体" w:cs="Courier New"/>
      <w:kern w:val="2"/>
      <w:sz w:val="21"/>
      <w:szCs w:val="21"/>
      <w:lang w:val="en-US" w:eastAsia="zh-CN" w:bidi="ar-SA"/>
    </w:rPr>
  </w:style>
  <w:style w:type="character" w:customStyle="1" w:styleId="103">
    <w:name w:val="标题 1 Char Char"/>
    <w:autoRedefine/>
    <w:qFormat/>
    <w:uiPriority w:val="0"/>
    <w:rPr>
      <w:rFonts w:eastAsia="宋体"/>
      <w:b/>
      <w:spacing w:val="-2"/>
      <w:sz w:val="24"/>
      <w:lang w:val="en-US" w:eastAsia="zh-CN" w:bidi="ar-SA"/>
    </w:rPr>
  </w:style>
  <w:style w:type="character" w:customStyle="1" w:styleId="104">
    <w:name w:val="font01"/>
    <w:autoRedefine/>
    <w:qFormat/>
    <w:uiPriority w:val="0"/>
    <w:rPr>
      <w:rFonts w:hint="eastAsia" w:ascii="宋体" w:hAnsi="宋体" w:eastAsia="宋体" w:cs="宋体"/>
      <w:color w:val="000000"/>
      <w:sz w:val="20"/>
      <w:szCs w:val="20"/>
      <w:u w:val="none"/>
    </w:rPr>
  </w:style>
  <w:style w:type="character" w:customStyle="1" w:styleId="105">
    <w:name w:val="font41"/>
    <w:basedOn w:val="51"/>
    <w:autoRedefine/>
    <w:qFormat/>
    <w:uiPriority w:val="0"/>
    <w:rPr>
      <w:rFonts w:hint="eastAsia" w:ascii="宋体" w:hAnsi="宋体" w:eastAsia="宋体" w:cs="宋体"/>
      <w:color w:val="000000"/>
      <w:sz w:val="21"/>
      <w:szCs w:val="21"/>
      <w:u w:val="none"/>
    </w:rPr>
  </w:style>
  <w:style w:type="character" w:customStyle="1" w:styleId="106">
    <w:name w:val="正文文本缩进 Char2"/>
    <w:autoRedefine/>
    <w:qFormat/>
    <w:uiPriority w:val="0"/>
    <w:rPr>
      <w:rFonts w:hint="eastAsia" w:ascii="宋体" w:hAnsi="Courier New" w:eastAsia="宋体" w:cs="宋体"/>
      <w:spacing w:val="-4"/>
      <w:kern w:val="2"/>
      <w:sz w:val="18"/>
      <w:szCs w:val="20"/>
    </w:rPr>
  </w:style>
  <w:style w:type="character" w:customStyle="1" w:styleId="107">
    <w:name w:val="标题 1 字符"/>
    <w:autoRedefine/>
    <w:qFormat/>
    <w:uiPriority w:val="9"/>
    <w:rPr>
      <w:rFonts w:ascii="Tahoma" w:hAnsi="Tahoma"/>
      <w:b/>
      <w:kern w:val="44"/>
      <w:sz w:val="44"/>
      <w:szCs w:val="44"/>
    </w:rPr>
  </w:style>
  <w:style w:type="character" w:customStyle="1" w:styleId="108">
    <w:name w:val="文档结构图 Char Char"/>
    <w:autoRedefine/>
    <w:qFormat/>
    <w:uiPriority w:val="0"/>
    <w:rPr>
      <w:rFonts w:hint="eastAsia" w:ascii="Microsoft YaHei UI" w:hAnsi="Tahoma" w:eastAsia="Microsoft YaHei UI" w:cs="Microsoft YaHei UI"/>
      <w:kern w:val="2"/>
      <w:sz w:val="18"/>
      <w:szCs w:val="18"/>
    </w:rPr>
  </w:style>
  <w:style w:type="character" w:customStyle="1" w:styleId="109">
    <w:name w:val="批注文字 字符1"/>
    <w:autoRedefine/>
    <w:qFormat/>
    <w:uiPriority w:val="0"/>
    <w:rPr>
      <w:rFonts w:ascii="Tahoma" w:hAnsi="Tahoma"/>
      <w:kern w:val="2"/>
      <w:sz w:val="21"/>
      <w:szCs w:val="24"/>
    </w:rPr>
  </w:style>
  <w:style w:type="character" w:customStyle="1" w:styleId="110">
    <w:name w:val="font111"/>
    <w:autoRedefine/>
    <w:qFormat/>
    <w:uiPriority w:val="0"/>
    <w:rPr>
      <w:rFonts w:hint="eastAsia" w:ascii="宋体" w:hAnsi="宋体" w:eastAsia="宋体" w:cs="宋体"/>
      <w:color w:val="000000"/>
      <w:sz w:val="20"/>
      <w:szCs w:val="20"/>
      <w:u w:val="none"/>
    </w:rPr>
  </w:style>
  <w:style w:type="character" w:customStyle="1" w:styleId="111">
    <w:name w:val="font31"/>
    <w:basedOn w:val="51"/>
    <w:autoRedefine/>
    <w:qFormat/>
    <w:uiPriority w:val="0"/>
    <w:rPr>
      <w:rFonts w:hint="eastAsia" w:ascii="Microsoft JhengHei" w:hAnsi="Microsoft JhengHei" w:eastAsia="Microsoft JhengHei" w:cs="Microsoft JhengHei"/>
      <w:b/>
      <w:color w:val="000000"/>
      <w:sz w:val="11"/>
      <w:szCs w:val="11"/>
      <w:u w:val="none"/>
    </w:rPr>
  </w:style>
  <w:style w:type="character" w:customStyle="1" w:styleId="112">
    <w:name w:val="正文首行缩进 Char1"/>
    <w:autoRedefine/>
    <w:qFormat/>
    <w:uiPriority w:val="99"/>
    <w:rPr>
      <w:rFonts w:eastAsia="仿宋_GB2312"/>
      <w:kern w:val="2"/>
      <w:sz w:val="28"/>
      <w:szCs w:val="24"/>
    </w:rPr>
  </w:style>
  <w:style w:type="character" w:customStyle="1" w:styleId="113">
    <w:name w:val="font21"/>
    <w:basedOn w:val="51"/>
    <w:autoRedefine/>
    <w:qFormat/>
    <w:uiPriority w:val="0"/>
    <w:rPr>
      <w:rFonts w:hint="default" w:ascii="Times New Roman" w:hAnsi="Times New Roman" w:cs="Times New Roman"/>
      <w:b/>
      <w:color w:val="000000"/>
      <w:sz w:val="22"/>
      <w:szCs w:val="22"/>
      <w:u w:val="single"/>
    </w:rPr>
  </w:style>
  <w:style w:type="character" w:customStyle="1" w:styleId="114">
    <w:name w:val="样式 标题 1合同标题卷标题H1h1Level 1 Topic HeadingH11H12H111H13H1... Char"/>
    <w:autoRedefine/>
    <w:qFormat/>
    <w:uiPriority w:val="0"/>
    <w:rPr>
      <w:rFonts w:ascii="宋体" w:hAnsi="宋体" w:eastAsia="宋体"/>
      <w:b/>
      <w:bCs/>
      <w:kern w:val="44"/>
      <w:sz w:val="24"/>
      <w:szCs w:val="44"/>
      <w:lang w:val="en-US" w:eastAsia="zh-CN" w:bidi="ar-SA"/>
    </w:rPr>
  </w:style>
  <w:style w:type="character" w:customStyle="1" w:styleId="115">
    <w:name w:val="普通文字 Char Char1"/>
    <w:autoRedefine/>
    <w:qFormat/>
    <w:uiPriority w:val="0"/>
    <w:rPr>
      <w:rFonts w:ascii="宋体" w:hAnsi="Courier New" w:eastAsia="宋体"/>
      <w:kern w:val="2"/>
      <w:sz w:val="24"/>
      <w:szCs w:val="24"/>
      <w:lang w:val="en-US" w:eastAsia="zh-CN" w:bidi="ar-SA"/>
    </w:rPr>
  </w:style>
  <w:style w:type="character" w:customStyle="1" w:styleId="116">
    <w:name w:val="a41"/>
    <w:autoRedefine/>
    <w:qFormat/>
    <w:uiPriority w:val="0"/>
    <w:rPr>
      <w:rFonts w:ascii="Tahoma" w:hAnsi="Tahoma"/>
      <w:color w:val="666666"/>
      <w:sz w:val="26"/>
      <w:szCs w:val="26"/>
    </w:rPr>
  </w:style>
  <w:style w:type="character" w:customStyle="1" w:styleId="117">
    <w:name w:val="font112"/>
    <w:autoRedefine/>
    <w:qFormat/>
    <w:uiPriority w:val="0"/>
    <w:rPr>
      <w:rFonts w:hint="eastAsia" w:ascii="宋体" w:hAnsi="宋体" w:eastAsia="宋体" w:cs="宋体"/>
      <w:b/>
      <w:color w:val="000000"/>
      <w:sz w:val="22"/>
      <w:szCs w:val="22"/>
      <w:u w:val="none"/>
    </w:rPr>
  </w:style>
  <w:style w:type="character" w:customStyle="1" w:styleId="118">
    <w:name w:val="样式 正文（缩进） Char"/>
    <w:link w:val="119"/>
    <w:autoRedefine/>
    <w:qFormat/>
    <w:uiPriority w:val="0"/>
    <w:rPr>
      <w:rFonts w:hAnsi="Calibri"/>
      <w:kern w:val="0"/>
      <w:szCs w:val="20"/>
    </w:rPr>
  </w:style>
  <w:style w:type="paragraph" w:customStyle="1" w:styleId="119">
    <w:name w:val="样式 正文（缩进）"/>
    <w:basedOn w:val="1"/>
    <w:link w:val="118"/>
    <w:autoRedefine/>
    <w:qFormat/>
    <w:uiPriority w:val="0"/>
    <w:pPr>
      <w:spacing w:line="360" w:lineRule="auto"/>
      <w:ind w:firstLine="480" w:firstLineChars="200"/>
      <w:jc w:val="left"/>
    </w:pPr>
    <w:rPr>
      <w:rFonts w:hAnsi="Calibri"/>
      <w:kern w:val="0"/>
      <w:sz w:val="20"/>
      <w:szCs w:val="20"/>
    </w:rPr>
  </w:style>
  <w:style w:type="character" w:customStyle="1" w:styleId="120">
    <w:name w:val="标题 41"/>
    <w:autoRedefine/>
    <w:qFormat/>
    <w:uiPriority w:val="0"/>
  </w:style>
  <w:style w:type="character" w:customStyle="1" w:styleId="121">
    <w:name w:val="正文文本 3 Char Char"/>
    <w:autoRedefine/>
    <w:qFormat/>
    <w:uiPriority w:val="0"/>
    <w:rPr>
      <w:rFonts w:ascii="Tahoma" w:hAnsi="Tahoma"/>
      <w:kern w:val="2"/>
      <w:sz w:val="16"/>
      <w:szCs w:val="16"/>
    </w:rPr>
  </w:style>
  <w:style w:type="character" w:customStyle="1" w:styleId="122">
    <w:name w:val="medium_text1"/>
    <w:autoRedefine/>
    <w:qFormat/>
    <w:uiPriority w:val="0"/>
    <w:rPr>
      <w:rFonts w:hint="default" w:ascii="Times New Roman" w:hAnsi="Times New Roman" w:cs="Times New Roman"/>
      <w:sz w:val="24"/>
      <w:szCs w:val="24"/>
    </w:rPr>
  </w:style>
  <w:style w:type="character" w:customStyle="1" w:styleId="123">
    <w:name w:val="标题 2 Char Char"/>
    <w:autoRedefine/>
    <w:qFormat/>
    <w:uiPriority w:val="0"/>
    <w:rPr>
      <w:rFonts w:ascii="Arial" w:hAnsi="Arial" w:eastAsia="黑体"/>
      <w:b/>
      <w:bCs/>
      <w:kern w:val="2"/>
      <w:sz w:val="32"/>
      <w:szCs w:val="32"/>
      <w:lang w:val="en-US" w:eastAsia="zh-CN" w:bidi="ar-SA"/>
    </w:rPr>
  </w:style>
  <w:style w:type="character" w:customStyle="1" w:styleId="124">
    <w:name w:val="font181"/>
    <w:autoRedefine/>
    <w:qFormat/>
    <w:uiPriority w:val="0"/>
    <w:rPr>
      <w:rFonts w:hint="default" w:ascii="Times New Roman" w:hAnsi="Times New Roman" w:cs="Times New Roman"/>
      <w:b/>
      <w:color w:val="000000"/>
      <w:sz w:val="22"/>
      <w:szCs w:val="22"/>
      <w:u w:val="none"/>
    </w:rPr>
  </w:style>
  <w:style w:type="character" w:customStyle="1" w:styleId="125">
    <w:name w:val="Table Text Char Char Char Char"/>
    <w:autoRedefine/>
    <w:qFormat/>
    <w:uiPriority w:val="0"/>
    <w:rPr>
      <w:rFonts w:hint="default" w:ascii="Arial" w:hAnsi="Arial" w:eastAsia="宋体" w:cs="Arial"/>
      <w:kern w:val="2"/>
      <w:sz w:val="18"/>
      <w:szCs w:val="18"/>
      <w:lang w:val="en-US" w:eastAsia="zh-CN" w:bidi="ar"/>
    </w:rPr>
  </w:style>
  <w:style w:type="character" w:customStyle="1" w:styleId="126">
    <w:name w:val="样式 宋体"/>
    <w:autoRedefine/>
    <w:qFormat/>
    <w:uiPriority w:val="0"/>
    <w:rPr>
      <w:rFonts w:ascii="宋体" w:hAnsi="宋体" w:eastAsia="宋体"/>
      <w:sz w:val="24"/>
      <w:szCs w:val="24"/>
    </w:rPr>
  </w:style>
  <w:style w:type="character" w:customStyle="1" w:styleId="127">
    <w:name w:val="文档结构图 Char1"/>
    <w:autoRedefine/>
    <w:qFormat/>
    <w:uiPriority w:val="0"/>
    <w:rPr>
      <w:rFonts w:hint="eastAsia" w:ascii="宋体" w:hAnsi="宋体" w:eastAsia="宋体" w:cs="宋体"/>
      <w:kern w:val="2"/>
      <w:sz w:val="18"/>
      <w:szCs w:val="18"/>
    </w:rPr>
  </w:style>
  <w:style w:type="character" w:customStyle="1" w:styleId="128">
    <w:name w:val="Plain Text Char"/>
    <w:autoRedefine/>
    <w:qFormat/>
    <w:uiPriority w:val="0"/>
    <w:rPr>
      <w:rFonts w:ascii="宋体" w:hAnsi="Courier New" w:eastAsia="宋体" w:cs="Times New Roman"/>
      <w:sz w:val="20"/>
      <w:szCs w:val="20"/>
    </w:rPr>
  </w:style>
  <w:style w:type="character" w:customStyle="1" w:styleId="129">
    <w:name w:val="e"/>
    <w:autoRedefine/>
    <w:qFormat/>
    <w:uiPriority w:val="0"/>
    <w:rPr>
      <w:rFonts w:hint="default" w:ascii="Tahoma" w:hAnsi="Tahoma" w:eastAsia="Tahoma" w:cs="Tahoma"/>
      <w:b/>
      <w:sz w:val="24"/>
      <w:szCs w:val="24"/>
    </w:rPr>
  </w:style>
  <w:style w:type="character" w:customStyle="1" w:styleId="130">
    <w:name w:val="正文文本缩进 2 Char Char"/>
    <w:autoRedefine/>
    <w:qFormat/>
    <w:uiPriority w:val="0"/>
    <w:rPr>
      <w:rFonts w:ascii="Tahoma" w:hAnsi="Tahoma"/>
      <w:kern w:val="2"/>
      <w:sz w:val="21"/>
      <w:szCs w:val="20"/>
    </w:rPr>
  </w:style>
  <w:style w:type="character" w:customStyle="1" w:styleId="131">
    <w:name w:val="r21"/>
    <w:autoRedefine/>
    <w:qFormat/>
    <w:uiPriority w:val="0"/>
    <w:rPr>
      <w:rFonts w:hint="default" w:ascii="Tahoma" w:hAnsi="Tahoma" w:eastAsia="Tahoma" w:cs="Tahoma"/>
      <w:b/>
      <w:color w:val="666666"/>
      <w:sz w:val="18"/>
      <w:szCs w:val="18"/>
      <w:u w:val="none"/>
    </w:rPr>
  </w:style>
  <w:style w:type="character" w:customStyle="1" w:styleId="132">
    <w:name w:val="页脚 字符1"/>
    <w:autoRedefine/>
    <w:qFormat/>
    <w:uiPriority w:val="0"/>
    <w:rPr>
      <w:rFonts w:ascii="Tahoma" w:hAnsi="Tahoma"/>
      <w:kern w:val="2"/>
      <w:sz w:val="18"/>
      <w:szCs w:val="18"/>
    </w:rPr>
  </w:style>
  <w:style w:type="character" w:customStyle="1" w:styleId="133">
    <w:name w:val="font12"/>
    <w:autoRedefine/>
    <w:qFormat/>
    <w:uiPriority w:val="0"/>
    <w:rPr>
      <w:rFonts w:hint="eastAsia" w:ascii="宋体" w:hAnsi="宋体" w:eastAsia="宋体" w:cs="宋体"/>
      <w:color w:val="FF0000"/>
      <w:sz w:val="20"/>
      <w:szCs w:val="20"/>
      <w:u w:val="none"/>
    </w:rPr>
  </w:style>
  <w:style w:type="character" w:customStyle="1" w:styleId="134">
    <w:name w:val="en"/>
    <w:autoRedefine/>
    <w:qFormat/>
    <w:uiPriority w:val="0"/>
    <w:rPr>
      <w:rFonts w:hint="default" w:ascii="Tahoma" w:hAnsi="Tahoma" w:eastAsia="Tahoma" w:cs="Tahoma"/>
      <w:b/>
      <w:sz w:val="24"/>
      <w:szCs w:val="24"/>
    </w:rPr>
  </w:style>
  <w:style w:type="character" w:customStyle="1" w:styleId="135">
    <w:name w:val="页码1"/>
    <w:autoRedefine/>
    <w:qFormat/>
    <w:uiPriority w:val="0"/>
    <w:rPr>
      <w:rFonts w:hint="default" w:ascii="Times New Roman" w:hAnsi="Tahoma" w:cs="Times New Roman"/>
      <w:b/>
      <w:sz w:val="24"/>
      <w:szCs w:val="24"/>
    </w:rPr>
  </w:style>
  <w:style w:type="character" w:customStyle="1" w:styleId="136">
    <w:name w:val="tx_news9"/>
    <w:autoRedefine/>
    <w:qFormat/>
    <w:uiPriority w:val="0"/>
    <w:rPr>
      <w:rFonts w:hint="default" w:ascii="Tahoma" w:hAnsi="Tahoma" w:eastAsia="Tahoma" w:cs="Tahoma"/>
      <w:b/>
      <w:sz w:val="24"/>
      <w:szCs w:val="24"/>
    </w:rPr>
  </w:style>
  <w:style w:type="character" w:customStyle="1" w:styleId="137">
    <w:name w:val="NormalCharacter"/>
    <w:autoRedefine/>
    <w:semiHidden/>
    <w:qFormat/>
    <w:uiPriority w:val="0"/>
    <w:rPr>
      <w:kern w:val="2"/>
      <w:sz w:val="21"/>
      <w:szCs w:val="24"/>
      <w:lang w:val="en-US" w:eastAsia="zh-CN" w:bidi="ar-SA"/>
    </w:rPr>
  </w:style>
  <w:style w:type="character" w:customStyle="1" w:styleId="138">
    <w:name w:val="页脚 Char Char"/>
    <w:autoRedefine/>
    <w:qFormat/>
    <w:uiPriority w:val="0"/>
    <w:rPr>
      <w:rFonts w:eastAsia="黑体"/>
      <w:snapToGrid w:val="0"/>
      <w:kern w:val="2"/>
      <w:sz w:val="18"/>
      <w:szCs w:val="18"/>
    </w:rPr>
  </w:style>
  <w:style w:type="character" w:customStyle="1" w:styleId="139">
    <w:name w:val="Char Char Char"/>
    <w:autoRedefine/>
    <w:qFormat/>
    <w:uiPriority w:val="0"/>
    <w:rPr>
      <w:rFonts w:ascii="宋体" w:hAnsi="Courier New" w:eastAsia="宋体"/>
      <w:kern w:val="2"/>
      <w:sz w:val="24"/>
      <w:szCs w:val="24"/>
      <w:lang w:val="en-US" w:eastAsia="zh-CN" w:bidi="ar-SA"/>
    </w:rPr>
  </w:style>
  <w:style w:type="character" w:customStyle="1" w:styleId="140">
    <w:name w:val="HTML 预设格式 Char1"/>
    <w:autoRedefine/>
    <w:qFormat/>
    <w:uiPriority w:val="0"/>
    <w:rPr>
      <w:rFonts w:hint="default" w:ascii="Courier New" w:hAnsi="Courier New" w:cs="Courier New"/>
      <w:kern w:val="2"/>
      <w:sz w:val="24"/>
      <w:szCs w:val="20"/>
    </w:rPr>
  </w:style>
  <w:style w:type="character" w:customStyle="1" w:styleId="141">
    <w:name w:val="正文文本缩进 Char Char"/>
    <w:autoRedefine/>
    <w:qFormat/>
    <w:uiPriority w:val="0"/>
    <w:rPr>
      <w:rFonts w:ascii="Tahoma" w:hAnsi="Tahoma"/>
      <w:kern w:val="2"/>
      <w:sz w:val="21"/>
      <w:szCs w:val="24"/>
    </w:rPr>
  </w:style>
  <w:style w:type="character" w:customStyle="1" w:styleId="142">
    <w:name w:val="font11"/>
    <w:autoRedefine/>
    <w:qFormat/>
    <w:uiPriority w:val="0"/>
    <w:rPr>
      <w:rFonts w:hint="eastAsia" w:ascii="宋体" w:hAnsi="宋体" w:eastAsia="宋体"/>
      <w:color w:val="000000"/>
      <w:sz w:val="18"/>
      <w:szCs w:val="18"/>
      <w:u w:val="none"/>
    </w:rPr>
  </w:style>
  <w:style w:type="character" w:customStyle="1" w:styleId="143">
    <w:name w:val="text1"/>
    <w:autoRedefine/>
    <w:qFormat/>
    <w:uiPriority w:val="0"/>
    <w:rPr>
      <w:rFonts w:ascii="Tahoma" w:hAnsi="Tahoma"/>
      <w:color w:val="000000"/>
      <w:sz w:val="24"/>
      <w:szCs w:val="24"/>
    </w:rPr>
  </w:style>
  <w:style w:type="character" w:customStyle="1" w:styleId="144">
    <w:name w:val="标题 Char Char"/>
    <w:autoRedefine/>
    <w:qFormat/>
    <w:uiPriority w:val="0"/>
    <w:rPr>
      <w:rFonts w:ascii="Tahoma" w:hAnsi="Tahoma"/>
      <w:b/>
      <w:sz w:val="24"/>
      <w:szCs w:val="20"/>
      <w:lang w:val="en-US"/>
    </w:rPr>
  </w:style>
  <w:style w:type="character" w:customStyle="1" w:styleId="145">
    <w:name w:val="标题 2 Char"/>
    <w:autoRedefine/>
    <w:qFormat/>
    <w:uiPriority w:val="0"/>
    <w:rPr>
      <w:rFonts w:hint="default" w:ascii="Arial" w:hAnsi="Arial" w:eastAsia="黑体" w:cs="Arial"/>
      <w:b/>
      <w:kern w:val="2"/>
      <w:sz w:val="32"/>
      <w:szCs w:val="32"/>
    </w:rPr>
  </w:style>
  <w:style w:type="character" w:customStyle="1" w:styleId="146">
    <w:name w:val="批注主题 Char Char"/>
    <w:autoRedefine/>
    <w:qFormat/>
    <w:uiPriority w:val="0"/>
    <w:rPr>
      <w:kern w:val="2"/>
      <w:sz w:val="21"/>
      <w:szCs w:val="24"/>
    </w:rPr>
  </w:style>
  <w:style w:type="character" w:customStyle="1" w:styleId="147">
    <w:name w:val="Char Char11"/>
    <w:link w:val="148"/>
    <w:autoRedefine/>
    <w:qFormat/>
    <w:uiPriority w:val="0"/>
    <w:rPr>
      <w:rFonts w:ascii="Verdana" w:hAnsi="Verdana"/>
      <w:kern w:val="0"/>
      <w:sz w:val="24"/>
      <w:szCs w:val="20"/>
      <w:lang w:eastAsia="en-US"/>
    </w:rPr>
  </w:style>
  <w:style w:type="paragraph" w:customStyle="1" w:styleId="148">
    <w:name w:val="Char"/>
    <w:basedOn w:val="1"/>
    <w:link w:val="147"/>
    <w:autoRedefine/>
    <w:qFormat/>
    <w:uiPriority w:val="0"/>
    <w:pPr>
      <w:widowControl/>
      <w:spacing w:line="400" w:lineRule="exact"/>
      <w:jc w:val="center"/>
    </w:pPr>
    <w:rPr>
      <w:rFonts w:ascii="Verdana" w:hAnsi="Verdana"/>
      <w:kern w:val="0"/>
      <w:sz w:val="24"/>
      <w:szCs w:val="20"/>
      <w:lang w:eastAsia="en-US"/>
    </w:rPr>
  </w:style>
  <w:style w:type="character" w:customStyle="1" w:styleId="149">
    <w:name w:val="纯文本 字符1"/>
    <w:autoRedefine/>
    <w:qFormat/>
    <w:uiPriority w:val="0"/>
    <w:rPr>
      <w:rFonts w:ascii="等线" w:hAnsi="Courier New" w:eastAsia="等线" w:cs="Courier New"/>
      <w:kern w:val="2"/>
      <w:sz w:val="21"/>
      <w:szCs w:val="24"/>
    </w:rPr>
  </w:style>
  <w:style w:type="character" w:customStyle="1" w:styleId="150">
    <w:name w:val="HTML 预设格式 Char2"/>
    <w:autoRedefine/>
    <w:qFormat/>
    <w:uiPriority w:val="0"/>
    <w:rPr>
      <w:rFonts w:ascii="Courier New" w:hAnsi="Courier New" w:cs="Courier New"/>
      <w:kern w:val="2"/>
      <w:sz w:val="24"/>
      <w:szCs w:val="20"/>
    </w:rPr>
  </w:style>
  <w:style w:type="character" w:customStyle="1" w:styleId="151">
    <w:name w:val="正文文本缩进 字符1"/>
    <w:autoRedefine/>
    <w:qFormat/>
    <w:uiPriority w:val="0"/>
    <w:rPr>
      <w:rFonts w:ascii="Tahoma" w:hAnsi="Tahoma"/>
      <w:kern w:val="2"/>
      <w:sz w:val="21"/>
      <w:szCs w:val="24"/>
    </w:rPr>
  </w:style>
  <w:style w:type="character" w:customStyle="1" w:styleId="152">
    <w:name w:val="md1"/>
    <w:autoRedefine/>
    <w:qFormat/>
    <w:uiPriority w:val="0"/>
    <w:rPr>
      <w:rFonts w:ascii="Tahoma" w:hAnsi="Tahoma"/>
      <w:sz w:val="21"/>
      <w:szCs w:val="21"/>
    </w:rPr>
  </w:style>
  <w:style w:type="character" w:customStyle="1" w:styleId="153">
    <w:name w:val="fontstyle01"/>
    <w:autoRedefine/>
    <w:qFormat/>
    <w:uiPriority w:val="0"/>
    <w:rPr>
      <w:rFonts w:hint="eastAsia" w:ascii="宋体" w:hAnsi="宋体" w:eastAsia="宋体"/>
      <w:color w:val="000000"/>
      <w:sz w:val="24"/>
      <w:szCs w:val="24"/>
    </w:rPr>
  </w:style>
  <w:style w:type="character" w:customStyle="1" w:styleId="154">
    <w:name w:val="纯文本 Char Char"/>
    <w:autoRedefine/>
    <w:qFormat/>
    <w:uiPriority w:val="0"/>
    <w:rPr>
      <w:rFonts w:ascii="宋体" w:hAnsi="Courier New" w:eastAsia="宋体"/>
      <w:kern w:val="2"/>
      <w:sz w:val="24"/>
      <w:szCs w:val="24"/>
      <w:lang w:val="en-US" w:eastAsia="zh-CN" w:bidi="ar-SA"/>
    </w:rPr>
  </w:style>
  <w:style w:type="character" w:customStyle="1" w:styleId="155">
    <w:name w:val="批注文字 Char Char"/>
    <w:autoRedefine/>
    <w:qFormat/>
    <w:uiPriority w:val="0"/>
    <w:rPr>
      <w:rFonts w:ascii="Tahoma" w:hAnsi="Tahoma"/>
      <w:kern w:val="2"/>
      <w:sz w:val="21"/>
      <w:szCs w:val="20"/>
    </w:rPr>
  </w:style>
  <w:style w:type="character" w:customStyle="1" w:styleId="156">
    <w:name w:val="z21"/>
    <w:autoRedefine/>
    <w:qFormat/>
    <w:uiPriority w:val="0"/>
    <w:rPr>
      <w:rFonts w:ascii="Tahoma" w:hAnsi="Tahoma"/>
      <w:color w:val="000000"/>
      <w:sz w:val="18"/>
      <w:szCs w:val="18"/>
    </w:rPr>
  </w:style>
  <w:style w:type="paragraph" w:customStyle="1" w:styleId="157">
    <w:name w:val="一级条标题"/>
    <w:basedOn w:val="1"/>
    <w:next w:val="158"/>
    <w:autoRedefine/>
    <w:qFormat/>
    <w:uiPriority w:val="0"/>
    <w:pPr>
      <w:widowControl/>
      <w:numPr>
        <w:ilvl w:val="1"/>
        <w:numId w:val="2"/>
      </w:numPr>
      <w:spacing w:before="156" w:beforeLines="50"/>
      <w:outlineLvl w:val="2"/>
    </w:pPr>
    <w:rPr>
      <w:rFonts w:hint="eastAsia" w:ascii="黑体" w:eastAsia="黑体"/>
      <w:kern w:val="0"/>
      <w:sz w:val="20"/>
      <w:szCs w:val="21"/>
    </w:rPr>
  </w:style>
  <w:style w:type="paragraph" w:customStyle="1" w:styleId="15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9">
    <w:name w:val="正文1"/>
    <w:basedOn w:val="1"/>
    <w:next w:val="1"/>
    <w:autoRedefine/>
    <w:qFormat/>
    <w:uiPriority w:val="0"/>
    <w:pPr>
      <w:adjustRightInd w:val="0"/>
      <w:spacing w:line="318" w:lineRule="atLeast"/>
      <w:ind w:left="369" w:firstLine="369"/>
      <w:textAlignment w:val="baseline"/>
    </w:pPr>
    <w:rPr>
      <w:rFonts w:ascii="宋体"/>
      <w:szCs w:val="20"/>
    </w:rPr>
  </w:style>
  <w:style w:type="paragraph" w:customStyle="1" w:styleId="160">
    <w:name w:val="无间隔1"/>
    <w:autoRedefine/>
    <w:qFormat/>
    <w:uiPriority w:val="0"/>
    <w:pPr>
      <w:spacing w:after="160" w:line="259" w:lineRule="auto"/>
    </w:pPr>
    <w:rPr>
      <w:rFonts w:ascii="Times New Roman" w:hAnsi="Times New Roman" w:eastAsia="宋体" w:cs="Times New Roman"/>
      <w:sz w:val="22"/>
      <w:szCs w:val="22"/>
      <w:lang w:val="en-US" w:eastAsia="zh-CN" w:bidi="ar-SA"/>
    </w:rPr>
  </w:style>
  <w:style w:type="paragraph" w:customStyle="1" w:styleId="161">
    <w:name w:val="默认段落字体 Para Char Char Char Char Char Char Char Char Char1 Char Char Char Char"/>
    <w:basedOn w:val="1"/>
    <w:autoRedefine/>
    <w:qFormat/>
    <w:uiPriority w:val="0"/>
    <w:rPr>
      <w:rFonts w:ascii="Tahoma" w:hAnsi="Tahoma"/>
      <w:sz w:val="24"/>
      <w:szCs w:val="20"/>
    </w:rPr>
  </w:style>
  <w:style w:type="paragraph" w:customStyle="1" w:styleId="162">
    <w:name w:val="表格"/>
    <w:basedOn w:val="1"/>
    <w:next w:val="1"/>
    <w:autoRedefine/>
    <w:qFormat/>
    <w:uiPriority w:val="0"/>
    <w:pPr>
      <w:widowControl/>
      <w:jc w:val="center"/>
    </w:pPr>
    <w:rPr>
      <w:rFonts w:ascii="宋体" w:hAnsi="宋体"/>
      <w:bCs/>
      <w:color w:val="000000"/>
      <w:kern w:val="0"/>
      <w:szCs w:val="21"/>
    </w:rPr>
  </w:style>
  <w:style w:type="paragraph" w:customStyle="1" w:styleId="163">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4">
    <w:name w:val="方案正文"/>
    <w:basedOn w:val="1"/>
    <w:autoRedefine/>
    <w:qFormat/>
    <w:uiPriority w:val="0"/>
    <w:pPr>
      <w:spacing w:before="120" w:line="360" w:lineRule="auto"/>
      <w:ind w:firstLine="425" w:firstLineChars="177"/>
    </w:pPr>
    <w:rPr>
      <w:rFonts w:ascii="华文细黑" w:hAnsi="华文细黑" w:eastAsia="华文细黑"/>
      <w:sz w:val="24"/>
    </w:rPr>
  </w:style>
  <w:style w:type="paragraph" w:customStyle="1" w:styleId="165">
    <w:name w:val="_Style 3"/>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6">
    <w:name w:val="正文缩进2格"/>
    <w:basedOn w:val="1"/>
    <w:autoRedefine/>
    <w:qFormat/>
    <w:uiPriority w:val="0"/>
    <w:pPr>
      <w:spacing w:line="600" w:lineRule="exact"/>
      <w:ind w:firstLine="639" w:firstLineChars="206"/>
    </w:pPr>
    <w:rPr>
      <w:rFonts w:hint="eastAsia" w:ascii="仿宋_GB2312" w:hAnsi="宋体" w:eastAsia="仿宋_GB2312"/>
      <w:sz w:val="31"/>
      <w:szCs w:val="28"/>
    </w:rPr>
  </w:style>
  <w:style w:type="paragraph" w:customStyle="1" w:styleId="167">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8">
    <w:name w:val="Char1"/>
    <w:basedOn w:val="1"/>
    <w:autoRedefine/>
    <w:qFormat/>
    <w:uiPriority w:val="0"/>
  </w:style>
  <w:style w:type="paragraph" w:customStyle="1" w:styleId="169">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0">
    <w:name w:val="纯文本1"/>
    <w:basedOn w:val="1"/>
    <w:autoRedefine/>
    <w:qFormat/>
    <w:uiPriority w:val="0"/>
    <w:rPr>
      <w:rFonts w:ascii="宋体" w:hAnsi="Courier New"/>
      <w:szCs w:val="20"/>
    </w:rPr>
  </w:style>
  <w:style w:type="paragraph" w:customStyle="1" w:styleId="171">
    <w:name w:val="二级条标题"/>
    <w:basedOn w:val="157"/>
    <w:next w:val="158"/>
    <w:autoRedefine/>
    <w:qFormat/>
    <w:uiPriority w:val="0"/>
    <w:pPr>
      <w:numPr>
        <w:ilvl w:val="3"/>
        <w:numId w:val="3"/>
      </w:numPr>
      <w:tabs>
        <w:tab w:val="clear" w:pos="1080"/>
      </w:tabs>
      <w:ind w:left="2310" w:firstLine="0"/>
      <w:outlineLvl w:val="3"/>
    </w:pPr>
  </w:style>
  <w:style w:type="paragraph" w:customStyle="1" w:styleId="172">
    <w:name w:val="默认段落字体 Para Char Char Char Char Char Char Char"/>
    <w:basedOn w:val="17"/>
    <w:autoRedefine/>
    <w:qFormat/>
    <w:uiPriority w:val="0"/>
    <w:pPr>
      <w:adjustRightInd w:val="0"/>
      <w:spacing w:line="436" w:lineRule="exact"/>
      <w:ind w:left="357"/>
      <w:jc w:val="left"/>
      <w:outlineLvl w:val="3"/>
    </w:pPr>
    <w:rPr>
      <w:rFonts w:ascii="Tahoma" w:hAnsi="Tahoma"/>
      <w:b/>
      <w:sz w:val="24"/>
    </w:rPr>
  </w:style>
  <w:style w:type="paragraph" w:customStyle="1" w:styleId="173">
    <w:name w:val="正文文本缩进1"/>
    <w:basedOn w:val="1"/>
    <w:autoRedefine/>
    <w:qFormat/>
    <w:uiPriority w:val="0"/>
    <w:pPr>
      <w:spacing w:line="200" w:lineRule="exact"/>
      <w:ind w:firstLine="301"/>
    </w:pPr>
    <w:rPr>
      <w:rFonts w:hint="eastAsia" w:ascii="宋体" w:hAnsi="Courier New"/>
      <w:spacing w:val="-4"/>
      <w:sz w:val="18"/>
    </w:rPr>
  </w:style>
  <w:style w:type="paragraph" w:customStyle="1" w:styleId="174">
    <w:name w:val="Table Paragraph"/>
    <w:basedOn w:val="1"/>
    <w:autoRedefine/>
    <w:qFormat/>
    <w:uiPriority w:val="1"/>
    <w:pPr>
      <w:spacing w:before="94"/>
      <w:jc w:val="center"/>
    </w:pPr>
    <w:rPr>
      <w:rFonts w:ascii="宋体" w:hAnsi="宋体" w:cs="宋体"/>
      <w:lang w:val="zh-CN" w:bidi="zh-CN"/>
    </w:rPr>
  </w:style>
  <w:style w:type="paragraph" w:customStyle="1" w:styleId="175">
    <w:name w:val="正文－恩普"/>
    <w:basedOn w:val="15"/>
    <w:autoRedefine/>
    <w:qFormat/>
    <w:uiPriority w:val="0"/>
    <w:pPr>
      <w:widowControl/>
      <w:spacing w:line="360" w:lineRule="auto"/>
      <w:ind w:firstLine="480" w:firstLineChars="200"/>
      <w:jc w:val="left"/>
    </w:pPr>
    <w:rPr>
      <w:kern w:val="0"/>
      <w:sz w:val="24"/>
    </w:rPr>
  </w:style>
  <w:style w:type="paragraph" w:customStyle="1" w:styleId="176">
    <w:name w:val="Char Char Char Char Char Char Char Char Char Char Char Char1 Char"/>
    <w:basedOn w:val="17"/>
    <w:autoRedefine/>
    <w:qFormat/>
    <w:uiPriority w:val="0"/>
    <w:rPr>
      <w:rFonts w:ascii="Tahoma" w:hAnsi="Tahoma"/>
      <w:sz w:val="24"/>
    </w:rPr>
  </w:style>
  <w:style w:type="paragraph" w:customStyle="1" w:styleId="177">
    <w:name w:val="xl27"/>
    <w:basedOn w:val="1"/>
    <w:autoRedefine/>
    <w:qFormat/>
    <w:uiPriority w:val="0"/>
    <w:pPr>
      <w:widowControl/>
      <w:spacing w:before="100" w:beforeAutospacing="1" w:after="100" w:afterAutospacing="1"/>
      <w:textAlignment w:val="top"/>
    </w:pPr>
    <w:rPr>
      <w:rFonts w:ascii="宋体" w:hAnsi="宋体"/>
      <w:kern w:val="0"/>
      <w:sz w:val="24"/>
    </w:rPr>
  </w:style>
  <w:style w:type="paragraph" w:customStyle="1" w:styleId="178">
    <w:name w:val="xl29"/>
    <w:basedOn w:val="1"/>
    <w:autoRedefine/>
    <w:qFormat/>
    <w:uiPriority w:val="0"/>
    <w:pPr>
      <w:widowControl/>
      <w:spacing w:before="100" w:beforeAutospacing="1" w:after="100" w:afterAutospacing="1"/>
      <w:jc w:val="center"/>
    </w:pPr>
    <w:rPr>
      <w:rFonts w:ascii="宋体" w:hAnsi="宋体"/>
      <w:kern w:val="0"/>
      <w:sz w:val="28"/>
      <w:szCs w:val="28"/>
    </w:rPr>
  </w:style>
  <w:style w:type="paragraph" w:styleId="179">
    <w:name w:val="No Spacing"/>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0">
    <w:name w:val="--规划正文"/>
    <w:basedOn w:val="1"/>
    <w:autoRedefine/>
    <w:qFormat/>
    <w:uiPriority w:val="0"/>
    <w:pPr>
      <w:spacing w:line="360" w:lineRule="auto"/>
      <w:ind w:firstLine="200" w:firstLineChars="200"/>
    </w:pPr>
    <w:rPr>
      <w:szCs w:val="20"/>
    </w:rPr>
  </w:style>
  <w:style w:type="paragraph" w:customStyle="1" w:styleId="181">
    <w:name w:val="_Style 175"/>
    <w:basedOn w:val="4"/>
    <w:next w:val="1"/>
    <w:autoRedefine/>
    <w:qFormat/>
    <w:uiPriority w:val="39"/>
    <w:pPr>
      <w:spacing w:line="578" w:lineRule="auto"/>
      <w:outlineLvl w:val="9"/>
    </w:pPr>
    <w:rPr>
      <w:rFonts w:ascii="Times New Roman" w:hAnsi="Times New Roman"/>
      <w:bCs/>
    </w:rPr>
  </w:style>
  <w:style w:type="paragraph" w:styleId="182">
    <w:name w:val="List Paragraph"/>
    <w:basedOn w:val="1"/>
    <w:autoRedefine/>
    <w:qFormat/>
    <w:uiPriority w:val="0"/>
    <w:pPr>
      <w:ind w:firstLine="420" w:firstLineChars="200"/>
    </w:pPr>
    <w:rPr>
      <w:rFonts w:ascii="Calibri" w:hAnsi="Calibri"/>
      <w:szCs w:val="22"/>
    </w:rPr>
  </w:style>
  <w:style w:type="paragraph" w:customStyle="1" w:styleId="183">
    <w:name w:val="xl82"/>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5">
    <w:name w:val="List Paragraph1"/>
    <w:basedOn w:val="1"/>
    <w:autoRedefine/>
    <w:qFormat/>
    <w:uiPriority w:val="34"/>
    <w:pPr>
      <w:ind w:firstLine="420" w:firstLineChars="200"/>
    </w:pPr>
  </w:style>
  <w:style w:type="paragraph" w:customStyle="1" w:styleId="186">
    <w:name w:val="_Style 0"/>
    <w:basedOn w:val="1"/>
    <w:autoRedefine/>
    <w:qFormat/>
    <w:uiPriority w:val="0"/>
    <w:rPr>
      <w:szCs w:val="21"/>
    </w:rPr>
  </w:style>
  <w:style w:type="paragraph" w:customStyle="1" w:styleId="187">
    <w:name w:val="p0"/>
    <w:basedOn w:val="1"/>
    <w:autoRedefine/>
    <w:qFormat/>
    <w:uiPriority w:val="0"/>
    <w:pPr>
      <w:widowControl/>
    </w:pPr>
    <w:rPr>
      <w:kern w:val="0"/>
      <w:szCs w:val="21"/>
    </w:rPr>
  </w:style>
  <w:style w:type="paragraph" w:customStyle="1" w:styleId="188">
    <w:name w:val="Char Char Char1"/>
    <w:basedOn w:val="1"/>
    <w:autoRedefine/>
    <w:qFormat/>
    <w:uiPriority w:val="0"/>
  </w:style>
  <w:style w:type="paragraph" w:customStyle="1" w:styleId="189">
    <w:name w:val="Char2"/>
    <w:basedOn w:val="1"/>
    <w:autoRedefine/>
    <w:qFormat/>
    <w:uiPriority w:val="0"/>
    <w:pPr>
      <w:tabs>
        <w:tab w:val="left" w:pos="1200"/>
        <w:tab w:val="left" w:pos="1800"/>
      </w:tabs>
      <w:ind w:left="1200" w:hanging="1110"/>
    </w:pPr>
    <w:rPr>
      <w:sz w:val="24"/>
    </w:rPr>
  </w:style>
  <w:style w:type="paragraph" w:customStyle="1" w:styleId="190">
    <w:name w:val="Char11"/>
    <w:basedOn w:val="1"/>
    <w:autoRedefine/>
    <w:qFormat/>
    <w:uiPriority w:val="0"/>
    <w:rPr>
      <w:rFonts w:ascii="Tahoma" w:hAnsi="Tahoma"/>
      <w:sz w:val="24"/>
      <w:szCs w:val="20"/>
    </w:rPr>
  </w:style>
  <w:style w:type="paragraph" w:customStyle="1" w:styleId="191">
    <w:name w:val="样式1"/>
    <w:basedOn w:val="7"/>
    <w:autoRedefine/>
    <w:qFormat/>
    <w:uiPriority w:val="0"/>
  </w:style>
  <w:style w:type="paragraph" w:customStyle="1" w:styleId="192">
    <w:name w:val="_Style 1"/>
    <w:basedOn w:val="1"/>
    <w:autoRedefine/>
    <w:qFormat/>
    <w:uiPriority w:val="0"/>
    <w:pPr>
      <w:ind w:firstLine="420" w:firstLineChars="200"/>
    </w:pPr>
    <w:rPr>
      <w:rFonts w:ascii="Calibri" w:hAnsi="Calibri"/>
      <w:szCs w:val="22"/>
    </w:rPr>
  </w:style>
  <w:style w:type="paragraph" w:customStyle="1" w:styleId="193">
    <w:name w:val="表格用"/>
    <w:basedOn w:val="1"/>
    <w:autoRedefine/>
    <w:qFormat/>
    <w:uiPriority w:val="0"/>
    <w:pPr>
      <w:widowControl/>
      <w:spacing w:line="360" w:lineRule="auto"/>
    </w:pPr>
    <w:rPr>
      <w:rFonts w:ascii="宋体" w:hAnsi="宋体"/>
      <w:kern w:val="0"/>
    </w:rPr>
  </w:style>
  <w:style w:type="paragraph" w:customStyle="1" w:styleId="194">
    <w:name w:val="样式5"/>
    <w:basedOn w:val="1"/>
    <w:autoRedefine/>
    <w:qFormat/>
    <w:uiPriority w:val="0"/>
    <w:pPr>
      <w:spacing w:before="120" w:line="360" w:lineRule="auto"/>
      <w:ind w:firstLine="425" w:firstLineChars="177"/>
    </w:pPr>
    <w:rPr>
      <w:rFonts w:ascii="华文细黑" w:hAnsi="华文细黑" w:eastAsia="华文细黑"/>
      <w:sz w:val="24"/>
    </w:rPr>
  </w:style>
  <w:style w:type="paragraph" w:customStyle="1" w:styleId="195">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196">
    <w:name w:val="msolistparagraph"/>
    <w:basedOn w:val="1"/>
    <w:autoRedefine/>
    <w:qFormat/>
    <w:uiPriority w:val="0"/>
    <w:pPr>
      <w:spacing w:beforeLines="50"/>
      <w:ind w:firstLine="420" w:firstLineChars="200"/>
    </w:pPr>
    <w:rPr>
      <w:rFonts w:ascii="Calibri" w:hAnsi="Calibri"/>
      <w:szCs w:val="22"/>
    </w:rPr>
  </w:style>
  <w:style w:type="paragraph" w:customStyle="1" w:styleId="197">
    <w:name w:val="Char Char Char Char Char Char Char Char Char Char Char Char"/>
    <w:basedOn w:val="1"/>
    <w:autoRedefine/>
    <w:qFormat/>
    <w:uiPriority w:val="0"/>
    <w:pPr>
      <w:widowControl/>
      <w:spacing w:after="160" w:line="240" w:lineRule="exact"/>
      <w:jc w:val="left"/>
    </w:pPr>
  </w:style>
  <w:style w:type="paragraph" w:customStyle="1" w:styleId="198">
    <w:name w:val="正文11"/>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99">
    <w:name w:val="四级无"/>
    <w:basedOn w:val="1"/>
    <w:autoRedefine/>
    <w:qFormat/>
    <w:uiPriority w:val="0"/>
    <w:pPr>
      <w:widowControl/>
      <w:tabs>
        <w:tab w:val="left" w:pos="2100"/>
      </w:tabs>
      <w:ind w:left="2100" w:hanging="420"/>
      <w:jc w:val="left"/>
      <w:outlineLvl w:val="5"/>
    </w:pPr>
    <w:rPr>
      <w:rFonts w:hint="eastAsia" w:ascii="宋体" w:hAnsi="Calibri"/>
      <w:kern w:val="0"/>
    </w:rPr>
  </w:style>
  <w:style w:type="paragraph" w:customStyle="1" w:styleId="200">
    <w:name w:val="正文表标题"/>
    <w:next w:val="158"/>
    <w:autoRedefine/>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201">
    <w:name w:val="Normal Char"/>
    <w:basedOn w:val="1"/>
    <w:autoRedefine/>
    <w:qFormat/>
    <w:uiPriority w:val="0"/>
    <w:pPr>
      <w:suppressAutoHyphens/>
      <w:autoSpaceDE w:val="0"/>
      <w:jc w:val="left"/>
    </w:pPr>
    <w:rPr>
      <w:rFonts w:ascii="Thorndale" w:hAnsi="Thorndale" w:eastAsia="HG Mincho Light J"/>
      <w:color w:val="000000"/>
      <w:kern w:val="0"/>
      <w:sz w:val="20"/>
      <w:szCs w:val="20"/>
      <w:lang w:val="hu-HU"/>
    </w:rPr>
  </w:style>
  <w:style w:type="paragraph" w:customStyle="1" w:styleId="202">
    <w:name w:val="自由格式 A"/>
    <w:autoRedefine/>
    <w:qFormat/>
    <w:uiPriority w:val="0"/>
    <w:rPr>
      <w:rFonts w:ascii="Helvetica" w:hAnsi="Helvetica" w:eastAsia="ヒラギノ角ゴ Pro W3" w:cs="Times New Roman"/>
      <w:color w:val="000000"/>
      <w:sz w:val="24"/>
      <w:lang w:val="en-US" w:eastAsia="zh-CN" w:bidi="ar-SA"/>
    </w:rPr>
  </w:style>
  <w:style w:type="paragraph" w:customStyle="1" w:styleId="203">
    <w:name w:val="此正文"/>
    <w:basedOn w:val="1"/>
    <w:autoRedefine/>
    <w:qFormat/>
    <w:uiPriority w:val="0"/>
    <w:pPr>
      <w:spacing w:line="360" w:lineRule="auto"/>
      <w:ind w:firstLine="200" w:firstLineChars="200"/>
    </w:pPr>
    <w:rPr>
      <w:sz w:val="24"/>
    </w:rPr>
  </w:style>
  <w:style w:type="paragraph" w:customStyle="1" w:styleId="204">
    <w:name w:val="表格文字"/>
    <w:basedOn w:val="1"/>
    <w:autoRedefine/>
    <w:qFormat/>
    <w:uiPriority w:val="0"/>
    <w:pPr>
      <w:jc w:val="center"/>
    </w:pPr>
    <w:rPr>
      <w:rFonts w:ascii="Arial" w:hAnsi="Arial" w:eastAsia="仿宋_GB2312" w:cs="Arial"/>
      <w:spacing w:val="10"/>
      <w:sz w:val="24"/>
      <w:szCs w:val="28"/>
    </w:rPr>
  </w:style>
  <w:style w:type="paragraph" w:customStyle="1" w:styleId="205">
    <w:name w:val="Char Char Char Char Char Char"/>
    <w:basedOn w:val="1"/>
    <w:autoRedefine/>
    <w:qFormat/>
    <w:uiPriority w:val="0"/>
    <w:pPr>
      <w:ind w:firstLine="200" w:firstLineChars="200"/>
    </w:pPr>
    <w:rPr>
      <w:rFonts w:ascii="Tahoma" w:hAnsi="Tahoma"/>
      <w:sz w:val="24"/>
      <w:szCs w:val="20"/>
    </w:rPr>
  </w:style>
  <w:style w:type="paragraph" w:customStyle="1" w:styleId="206">
    <w:name w:val="列出段落8"/>
    <w:basedOn w:val="1"/>
    <w:autoRedefine/>
    <w:qFormat/>
    <w:uiPriority w:val="34"/>
    <w:pPr>
      <w:ind w:firstLine="420"/>
    </w:pPr>
    <w:rPr>
      <w:rFonts w:ascii="Calibri" w:hAnsi="Calibri"/>
      <w:szCs w:val="22"/>
    </w:rPr>
  </w:style>
  <w:style w:type="paragraph" w:customStyle="1" w:styleId="207">
    <w:name w:val="msonospacing"/>
    <w:basedOn w:val="1"/>
    <w:autoRedefine/>
    <w:qFormat/>
    <w:uiPriority w:val="0"/>
    <w:rPr>
      <w:szCs w:val="21"/>
    </w:rPr>
  </w:style>
  <w:style w:type="paragraph" w:customStyle="1" w:styleId="208">
    <w:name w:val="二级无"/>
    <w:basedOn w:val="171"/>
    <w:autoRedefine/>
    <w:qFormat/>
    <w:uiPriority w:val="0"/>
    <w:pPr>
      <w:tabs>
        <w:tab w:val="left" w:pos="1260"/>
        <w:tab w:val="clear" w:pos="1680"/>
      </w:tabs>
      <w:spacing w:before="0" w:beforeLines="0"/>
    </w:pPr>
    <w:rPr>
      <w:rFonts w:ascii="宋体" w:eastAsia="宋体"/>
      <w:sz w:val="21"/>
    </w:rPr>
  </w:style>
  <w:style w:type="paragraph" w:customStyle="1" w:styleId="209">
    <w:name w:val="列出段落12"/>
    <w:basedOn w:val="1"/>
    <w:autoRedefine/>
    <w:qFormat/>
    <w:uiPriority w:val="0"/>
    <w:pPr>
      <w:ind w:firstLine="420" w:firstLineChars="200"/>
    </w:pPr>
  </w:style>
  <w:style w:type="paragraph" w:customStyle="1" w:styleId="210">
    <w:name w:val="正文 New"/>
    <w:basedOn w:val="1"/>
    <w:autoRedefine/>
    <w:qFormat/>
    <w:uiPriority w:val="0"/>
  </w:style>
  <w:style w:type="paragraph" w:customStyle="1" w:styleId="211">
    <w:name w:val="GP正文(无首行缩进)"/>
    <w:basedOn w:val="1"/>
    <w:autoRedefine/>
    <w:qFormat/>
    <w:uiPriority w:val="0"/>
    <w:pPr>
      <w:spacing w:line="360" w:lineRule="auto"/>
      <w:ind w:firstLine="480" w:firstLineChars="200"/>
      <w:jc w:val="left"/>
    </w:pPr>
    <w:rPr>
      <w:rFonts w:hAnsi="宋体"/>
      <w:sz w:val="24"/>
    </w:rPr>
  </w:style>
  <w:style w:type="paragraph" w:customStyle="1" w:styleId="212">
    <w:name w:val="Char Char Char Char Char Char Char"/>
    <w:basedOn w:val="1"/>
    <w:autoRedefine/>
    <w:qFormat/>
    <w:uiPriority w:val="0"/>
    <w:rPr>
      <w:rFonts w:ascii="Tahoma" w:hAnsi="Tahoma"/>
      <w:sz w:val="24"/>
      <w:szCs w:val="20"/>
    </w:rPr>
  </w:style>
  <w:style w:type="paragraph" w:customStyle="1" w:styleId="213">
    <w:name w:val="纯文本11"/>
    <w:basedOn w:val="198"/>
    <w:autoRedefine/>
    <w:qFormat/>
    <w:uiPriority w:val="99"/>
    <w:pPr>
      <w:widowControl/>
      <w:jc w:val="left"/>
    </w:pPr>
    <w:rPr>
      <w:rFonts w:ascii="宋体" w:hAnsi="Courier New" w:cs="宋体"/>
    </w:rPr>
  </w:style>
  <w:style w:type="paragraph" w:customStyle="1" w:styleId="214">
    <w:name w:val="文档正文"/>
    <w:basedOn w:val="1"/>
    <w:autoRedefine/>
    <w:qFormat/>
    <w:uiPriority w:val="0"/>
    <w:pPr>
      <w:adjustRightInd w:val="0"/>
      <w:snapToGrid w:val="0"/>
      <w:spacing w:line="480" w:lineRule="atLeast"/>
      <w:ind w:firstLine="567"/>
    </w:pPr>
    <w:rPr>
      <w:rFonts w:ascii="长城仿宋" w:eastAsia="长城仿宋"/>
      <w:kern w:val="0"/>
      <w:szCs w:val="20"/>
    </w:rPr>
  </w:style>
  <w:style w:type="paragraph" w:customStyle="1" w:styleId="215">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16">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17">
    <w:name w:val="Char Char Char1 Char8"/>
    <w:basedOn w:val="1"/>
    <w:autoRedefine/>
    <w:qFormat/>
    <w:uiPriority w:val="0"/>
    <w:pPr>
      <w:spacing w:line="360" w:lineRule="auto"/>
      <w:ind w:firstLine="200" w:firstLineChars="200"/>
    </w:pPr>
    <w:rPr>
      <w:rFonts w:hint="eastAsia" w:ascii="宋体" w:hAnsi="宋体"/>
      <w:sz w:val="24"/>
      <w:szCs w:val="20"/>
    </w:rPr>
  </w:style>
  <w:style w:type="paragraph" w:customStyle="1" w:styleId="218">
    <w:name w:val="章标题"/>
    <w:basedOn w:val="1"/>
    <w:next w:val="158"/>
    <w:autoRedefine/>
    <w:qFormat/>
    <w:uiPriority w:val="0"/>
    <w:pPr>
      <w:widowControl/>
      <w:numPr>
        <w:ilvl w:val="0"/>
        <w:numId w:val="5"/>
      </w:numPr>
      <w:spacing w:before="312" w:beforeLines="100"/>
      <w:outlineLvl w:val="1"/>
    </w:pPr>
    <w:rPr>
      <w:rFonts w:hint="eastAsia" w:ascii="黑体" w:eastAsia="黑体"/>
      <w:kern w:val="0"/>
      <w:sz w:val="20"/>
      <w:szCs w:val="20"/>
    </w:rPr>
  </w:style>
  <w:style w:type="paragraph" w:customStyle="1" w:styleId="219">
    <w:name w:val="Char Char Char Char"/>
    <w:basedOn w:val="1"/>
    <w:autoRedefine/>
    <w:qFormat/>
    <w:uiPriority w:val="0"/>
  </w:style>
  <w:style w:type="paragraph" w:customStyle="1" w:styleId="220">
    <w:name w:val="正文空2格  1."/>
    <w:basedOn w:val="1"/>
    <w:autoRedefine/>
    <w:qFormat/>
    <w:uiPriority w:val="0"/>
    <w:pPr>
      <w:ind w:firstLine="480" w:firstLineChars="200"/>
    </w:pPr>
    <w:rPr>
      <w:rFonts w:cs="宋体"/>
      <w:sz w:val="28"/>
      <w:szCs w:val="20"/>
    </w:rPr>
  </w:style>
  <w:style w:type="paragraph" w:customStyle="1" w:styleId="221">
    <w:name w:val="Char Char Char Char Char Char Char Char Char Char Char Char1 Char1"/>
    <w:basedOn w:val="17"/>
    <w:autoRedefine/>
    <w:qFormat/>
    <w:uiPriority w:val="0"/>
    <w:rPr>
      <w:rFonts w:ascii="Tahoma" w:hAnsi="Tahoma"/>
      <w:sz w:val="24"/>
    </w:rPr>
  </w:style>
  <w:style w:type="character" w:customStyle="1" w:styleId="222">
    <w:name w:val="maintxt11"/>
    <w:autoRedefine/>
    <w:qFormat/>
    <w:uiPriority w:val="0"/>
    <w:rPr>
      <w:rFonts w:hint="default" w:ascii="Arial" w:hAnsi="Arial" w:cs="Arial"/>
      <w:color w:val="000000"/>
      <w:sz w:val="18"/>
      <w:szCs w:val="18"/>
    </w:rPr>
  </w:style>
  <w:style w:type="paragraph" w:customStyle="1" w:styleId="223">
    <w:name w:val="my正文"/>
    <w:basedOn w:val="1"/>
    <w:autoRedefine/>
    <w:qFormat/>
    <w:uiPriority w:val="99"/>
    <w:pPr>
      <w:widowControl/>
      <w:spacing w:before="120" w:after="120" w:line="360" w:lineRule="auto"/>
      <w:ind w:right="210" w:rightChars="100" w:firstLine="540"/>
      <w:jc w:val="left"/>
    </w:pPr>
    <w:rPr>
      <w:rFonts w:ascii="宋体" w:hAnsi="宋体" w:eastAsia="仿宋_GB2312" w:cs="宋体"/>
      <w:sz w:val="24"/>
      <w:lang w:val="zh-CN"/>
    </w:rPr>
  </w:style>
  <w:style w:type="paragraph" w:customStyle="1" w:styleId="224">
    <w:name w:val="公文"/>
    <w:basedOn w:val="1"/>
    <w:autoRedefine/>
    <w:qFormat/>
    <w:uiPriority w:val="0"/>
    <w:pPr>
      <w:ind w:firstLine="640" w:firstLineChars="200"/>
    </w:pPr>
    <w:rPr>
      <w:rFonts w:ascii="仿宋_GB2312" w:hAnsi="仿宋_GB2312" w:eastAsia="仿宋_GB2312"/>
      <w:sz w:val="32"/>
    </w:rPr>
  </w:style>
  <w:style w:type="paragraph" w:customStyle="1" w:styleId="225">
    <w:name w:val="Plain Text1"/>
    <w:basedOn w:val="1"/>
    <w:autoRedefine/>
    <w:qFormat/>
    <w:uiPriority w:val="7"/>
    <w:rPr>
      <w:rFonts w:ascii="宋体" w:hAnsi="Courier New"/>
    </w:rPr>
  </w:style>
  <w:style w:type="paragraph" w:customStyle="1" w:styleId="226">
    <w:name w:val="表头"/>
    <w:basedOn w:val="1"/>
    <w:autoRedefine/>
    <w:qFormat/>
    <w:uiPriority w:val="9"/>
    <w:pPr>
      <w:jc w:val="center"/>
    </w:pPr>
    <w:rPr>
      <w:b/>
      <w:szCs w:val="21"/>
    </w:rPr>
  </w:style>
  <w:style w:type="paragraph" w:customStyle="1" w:styleId="227">
    <w:name w:val="正文首行缩进1"/>
    <w:basedOn w:val="20"/>
    <w:autoRedefine/>
    <w:semiHidden/>
    <w:qFormat/>
    <w:uiPriority w:val="0"/>
    <w:pPr>
      <w:spacing w:before="100" w:beforeAutospacing="1"/>
      <w:ind w:firstLine="420" w:firstLineChars="100"/>
    </w:pPr>
    <w:rPr>
      <w:rFonts w:ascii="Calibri" w:hAnsi="Calibri"/>
      <w:sz w:val="21"/>
    </w:rPr>
  </w:style>
  <w:style w:type="paragraph" w:customStyle="1" w:styleId="228">
    <w:name w:val="纯文本2"/>
    <w:autoRedefine/>
    <w:qFormat/>
    <w:uiPriority w:val="0"/>
    <w:pPr>
      <w:spacing w:before="156" w:beforeLines="50" w:after="156" w:afterLines="50" w:line="400" w:lineRule="exact"/>
    </w:pPr>
    <w:rPr>
      <w:rFonts w:ascii="宋体" w:hAnsi="Courier New"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60</Pages>
  <Words>6037</Words>
  <Characters>34416</Characters>
  <Lines>286</Lines>
  <Paragraphs>80</Paragraphs>
  <TotalTime>3</TotalTime>
  <ScaleCrop>false</ScaleCrop>
  <LinksUpToDate>false</LinksUpToDate>
  <CharactersWithSpaces>40373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2023-12-05T08:46:00Z</dcterms:created>
  <dc:creator>黄旭明</dc:creator>
  <cp:lastModifiedBy>Helena</cp:lastModifiedBy>
  <cp:lastPrinted>2024-02-26T01:30:33Z</cp:lastPrinted>
  <dcterms:modified xsi:type="dcterms:W3CDTF">2024-02-26T01:47:09Z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099C5D10317547C19101D8AF7439C69B_13</vt:lpwstr>
  </property>
</Properties>
</file>