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衢州市柯城区百家坊小学（筹）办公桌椅、会议桌椅等采购项目（二次）</w:t>
      </w:r>
    </w:p>
    <w:p>
      <w:pPr>
        <w:pStyle w:val="35"/>
        <w:rPr>
          <w:rFonts w:hint="eastAsia" w:ascii="宋体" w:hAnsi="宋体" w:eastAsia="宋体" w:cs="宋体"/>
          <w:color w:val="auto"/>
          <w:sz w:val="48"/>
          <w:szCs w:val="48"/>
          <w:highlight w:val="none"/>
        </w:rPr>
      </w:pPr>
    </w:p>
    <w:p>
      <w:pPr>
        <w:pStyle w:val="36"/>
        <w:rPr>
          <w:rFonts w:hint="eastAsia" w:ascii="宋体" w:hAnsi="宋体" w:eastAsia="宋体" w:cs="宋体"/>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87"/>
        <w:kinsoku/>
        <w:overflowPunct/>
        <w:bidi w:val="0"/>
        <w:spacing w:after="0" w:line="360" w:lineRule="auto"/>
        <w:rPr>
          <w:rFonts w:hint="eastAsia" w:ascii="宋体" w:hAnsi="宋体" w:eastAsia="宋体" w:cs="宋体"/>
          <w:color w:val="auto"/>
          <w:highlight w:val="none"/>
        </w:rPr>
      </w:pPr>
    </w:p>
    <w:p>
      <w:pPr>
        <w:pStyle w:val="87"/>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bookmarkStart w:id="0" w:name="OLE_LINK12"/>
      <w:r>
        <w:rPr>
          <w:rFonts w:hint="eastAsia" w:ascii="宋体" w:hAnsi="宋体" w:cs="宋体"/>
          <w:b/>
          <w:color w:val="auto"/>
          <w:sz w:val="36"/>
          <w:highlight w:val="none"/>
          <w:lang w:val="en-US" w:eastAsia="zh-CN"/>
        </w:rPr>
        <w:t>DC1425039-1</w:t>
      </w:r>
      <w:bookmarkEnd w:id="0"/>
      <w:r>
        <w:rPr>
          <w:rFonts w:hint="eastAsia" w:ascii="宋体" w:hAnsi="宋体" w:cs="宋体"/>
          <w:b/>
          <w:color w:val="auto"/>
          <w:sz w:val="36"/>
          <w:highlight w:val="none"/>
          <w:lang w:val="en-US" w:eastAsia="zh-CN"/>
        </w:rPr>
        <w:t xml:space="preserve"> </w:t>
      </w:r>
    </w:p>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衢州市柯城区百家坊小学（筹）办公桌椅、会议桌椅等采购项目（二次）</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7"/>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87"/>
        <w:kinsoku/>
        <w:overflowPunct/>
        <w:bidi w:val="0"/>
        <w:spacing w:after="0" w:line="360" w:lineRule="auto"/>
        <w:ind w:left="560"/>
        <w:rPr>
          <w:rFonts w:hint="eastAsia" w:ascii="宋体" w:hAnsi="宋体" w:eastAsia="宋体" w:cs="宋体"/>
          <w:color w:val="auto"/>
          <w:highlight w:val="none"/>
        </w:rPr>
      </w:pPr>
    </w:p>
    <w:p>
      <w:pPr>
        <w:pStyle w:val="36"/>
        <w:kinsoku/>
        <w:overflowPunct/>
        <w:bidi w:val="0"/>
        <w:spacing w:after="0" w:line="360" w:lineRule="auto"/>
        <w:rPr>
          <w:rFonts w:hint="eastAsia" w:ascii="宋体" w:hAnsi="宋体" w:eastAsia="宋体" w:cs="宋体"/>
          <w:color w:val="auto"/>
          <w:highlight w:val="none"/>
        </w:rPr>
      </w:pPr>
    </w:p>
    <w:p>
      <w:pPr>
        <w:pStyle w:val="36"/>
        <w:kinsoku/>
        <w:overflowPunct/>
        <w:bidi w:val="0"/>
        <w:spacing w:after="0" w:line="360" w:lineRule="auto"/>
        <w:ind w:firstLine="21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pPr>
        <w:pStyle w:val="51"/>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7</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1"/>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32</w:t>
      </w:r>
    </w:p>
    <w:p>
      <w:pPr>
        <w:pStyle w:val="60"/>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1" w:name="_Toc32624"/>
      <w:r>
        <w:rPr>
          <w:rFonts w:hint="eastAsia" w:ascii="宋体" w:hAnsi="宋体" w:eastAsia="宋体" w:cs="宋体"/>
          <w:b/>
          <w:color w:val="auto"/>
          <w:sz w:val="36"/>
          <w:highlight w:val="none"/>
        </w:rPr>
        <w:t xml:space="preserve"> 第一部分  招标公告</w:t>
      </w:r>
      <w:bookmarkEnd w:id="1"/>
      <w:bookmarkStart w:id="2"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衢州市柯城区百家坊小学（筹）办公桌椅、会议桌椅等采购项目（二次）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项目编号：DC1425039-1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衢州市柯城区百家坊小学（筹）办公桌椅、会议桌椅等采购项目（二次）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329290</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302947</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衢州市柯城区百家坊小学（筹）办公桌椅、会议桌椅等采购项目（二次）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329290</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3"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衢州市柯城区百家坊小学（筹）办公室桌椅、会议桌椅等采购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3"/>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4" w:name="OLE_LINK8"/>
      <w:r>
        <w:rPr>
          <w:rFonts w:hint="eastAsia" w:ascii="宋体" w:hAnsi="宋体" w:eastAsia="宋体" w:cs="宋体"/>
          <w:b/>
          <w:bCs/>
          <w:color w:val="auto"/>
          <w:sz w:val="24"/>
          <w:szCs w:val="24"/>
          <w:highlight w:val="none"/>
        </w:rPr>
        <w:t>本项目属于专门面向中小企业采购的项目</w:t>
      </w:r>
      <w:bookmarkEnd w:id="4"/>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https://zfcg.czt.zj.gov.cn/site/detail?categoryCode=ZcyAnnouncement&amp;parentId=600007&amp;articleId=UVY2dXwMS5wnYxDMLL6ARg==</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5"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5"/>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6" w:name="OLE_LINK4"/>
      <w:r>
        <w:rPr>
          <w:rFonts w:hint="eastAsia" w:ascii="宋体" w:hAnsi="宋体" w:eastAsia="宋体" w:cs="宋体"/>
          <w:color w:val="auto"/>
          <w:sz w:val="24"/>
          <w:szCs w:val="24"/>
          <w:highlight w:val="none"/>
          <w:lang w:val="en-US" w:eastAsia="zh-CN"/>
        </w:rPr>
        <w:t>衢州市柯城区四喜路1号</w:t>
      </w:r>
      <w:bookmarkEnd w:id="6"/>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7"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7"/>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8"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8"/>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0570-888</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9" w:name="OLE_LINK6"/>
      <w:r>
        <w:rPr>
          <w:rFonts w:hint="eastAsia" w:ascii="宋体" w:hAnsi="宋体" w:eastAsia="宋体" w:cs="宋体"/>
          <w:color w:val="auto"/>
          <w:sz w:val="24"/>
          <w:szCs w:val="22"/>
          <w:highlight w:val="none"/>
        </w:rPr>
        <w:t>荷三路行政中心9号楼210办公室</w:t>
      </w:r>
      <w:bookmarkEnd w:id="9"/>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10"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10"/>
    </w:p>
    <w:p>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 w:name="_Toc31506"/>
      <w:r>
        <w:rPr>
          <w:rFonts w:hint="eastAsia" w:ascii="宋体" w:hAnsi="宋体" w:eastAsia="宋体" w:cs="宋体"/>
          <w:b/>
          <w:color w:val="auto"/>
          <w:sz w:val="36"/>
          <w:highlight w:val="none"/>
        </w:rPr>
        <w:t>第二部分  投标人须知</w:t>
      </w:r>
      <w:bookmarkEnd w:id="11"/>
    </w:p>
    <w:p>
      <w:pPr>
        <w:pStyle w:val="7"/>
        <w:kinsoku/>
        <w:overflowPunct/>
        <w:bidi w:val="0"/>
        <w:spacing w:line="400" w:lineRule="exact"/>
        <w:ind w:left="560" w:firstLine="0"/>
        <w:jc w:val="center"/>
        <w:rPr>
          <w:rFonts w:hint="eastAsia" w:ascii="宋体" w:hAnsi="宋体" w:eastAsia="宋体" w:cs="宋体"/>
          <w:color w:val="auto"/>
          <w:sz w:val="32"/>
          <w:highlight w:val="none"/>
        </w:rPr>
      </w:pPr>
      <w:bookmarkStart w:id="12" w:name="_Toc522530040"/>
      <w:bookmarkStart w:id="13" w:name="_Toc519670190"/>
      <w:bookmarkStart w:id="14" w:name="_Toc16117"/>
      <w:r>
        <w:rPr>
          <w:rFonts w:hint="eastAsia" w:ascii="宋体" w:hAnsi="宋体" w:eastAsia="宋体" w:cs="宋体"/>
          <w:color w:val="auto"/>
          <w:sz w:val="32"/>
          <w:highlight w:val="none"/>
        </w:rPr>
        <w:t>前 附 表</w:t>
      </w:r>
      <w:bookmarkEnd w:id="12"/>
      <w:bookmarkEnd w:id="13"/>
      <w:bookmarkEnd w:id="14"/>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否；</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2、样品送至地点：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3、中标人样品处理：□退还；</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、样品退还时间：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2"/>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5" w:name="_Toc233618972"/>
      <w:bookmarkStart w:id="16" w:name="_Toc994"/>
      <w:bookmarkStart w:id="17" w:name="_Toc522530041"/>
      <w:bookmarkStart w:id="18" w:name="_Toc226106467"/>
      <w:bookmarkStart w:id="19" w:name="_Toc226106516"/>
      <w:bookmarkStart w:id="20" w:name="_Toc225840109"/>
      <w:bookmarkStart w:id="21" w:name="_Toc22652190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00"/>
        <w:rPr>
          <w:rFonts w:hint="eastAsia" w:ascii="宋体" w:hAnsi="宋体" w:eastAsia="宋体" w:cs="宋体"/>
          <w:color w:val="auto"/>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color w:val="auto"/>
          <w:highlight w:val="none"/>
        </w:rPr>
      </w:pPr>
    </w:p>
    <w:p>
      <w:pPr>
        <w:pStyle w:val="6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5"/>
        <w:rPr>
          <w:rFonts w:hint="eastAsia" w:ascii="宋体" w:hAnsi="宋体" w:eastAsia="宋体" w:cs="宋体"/>
          <w:b/>
          <w:color w:val="auto"/>
          <w:sz w:val="32"/>
          <w:highlight w:val="none"/>
        </w:rPr>
      </w:pPr>
    </w:p>
    <w:p>
      <w:pPr>
        <w:pStyle w:val="36"/>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5"/>
      <w:bookmarkEnd w:id="16"/>
      <w:bookmarkEnd w:id="17"/>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2" w:name="_Hlt74730295"/>
      <w:bookmarkEnd w:id="22"/>
      <w:bookmarkStart w:id="23" w:name="_Hlt74714665"/>
      <w:bookmarkEnd w:id="23"/>
      <w:bookmarkStart w:id="24" w:name="_Hlt74730208"/>
      <w:bookmarkStart w:id="25"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6" w:name="_Toc91899873"/>
      <w:r>
        <w:rPr>
          <w:rFonts w:hint="eastAsia" w:ascii="宋体" w:hAnsi="宋体" w:eastAsia="宋体" w:cs="宋体"/>
          <w:b/>
          <w:color w:val="auto"/>
          <w:sz w:val="24"/>
          <w:highlight w:val="none"/>
        </w:rPr>
        <w:t>（二）采购方式</w:t>
      </w:r>
      <w:bookmarkEnd w:id="26"/>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4"/>
      <w:bookmarkEnd w:id="25"/>
      <w:bookmarkStart w:id="27" w:name="_Hlt74388212"/>
      <w:bookmarkEnd w:id="27"/>
      <w:bookmarkStart w:id="28" w:name="_Hlt68516771"/>
      <w:bookmarkEnd w:id="28"/>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9" w:name="_Toc91899877"/>
      <w:bookmarkStart w:id="30"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9"/>
    <w:bookmarkEnd w:id="30"/>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31" w:name="_Hlt75236290"/>
      <w:bookmarkEnd w:id="31"/>
      <w:bookmarkStart w:id="32" w:name="_Hlt68057669"/>
      <w:bookmarkEnd w:id="32"/>
      <w:bookmarkStart w:id="33" w:name="_Hlt74707468"/>
      <w:bookmarkEnd w:id="33"/>
      <w:bookmarkStart w:id="34" w:name="_Hlt68072990"/>
      <w:bookmarkEnd w:id="34"/>
      <w:bookmarkStart w:id="35" w:name="_Hlt74729768"/>
      <w:bookmarkEnd w:id="35"/>
      <w:bookmarkStart w:id="36"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法定代表人授权代表须为投标人在职职工，投标人须在投标文件中提供附有该授权代表为投标人在职员工相关证明文件（如投标人为该员工缴纳的社保记录或劳务合同等）的《法定代表人授权书》</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6"/>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7" w:name="_Toc233618973"/>
      <w:bookmarkStart w:id="38" w:name="_Toc522530042"/>
      <w:bookmarkStart w:id="39" w:name="_Toc935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7"/>
      <w:bookmarkEnd w:id="38"/>
      <w:bookmarkEnd w:id="39"/>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40" w:name="_Toc91899880"/>
      <w:bookmarkStart w:id="41" w:name="_Hlt74730307"/>
      <w:r>
        <w:rPr>
          <w:rFonts w:hint="eastAsia" w:ascii="宋体" w:hAnsi="宋体" w:eastAsia="宋体" w:cs="宋体"/>
          <w:b/>
          <w:color w:val="auto"/>
          <w:sz w:val="24"/>
          <w:highlight w:val="none"/>
        </w:rPr>
        <w:t>（一）招标文件的</w:t>
      </w:r>
      <w:bookmarkEnd w:id="40"/>
      <w:r>
        <w:rPr>
          <w:rFonts w:hint="eastAsia" w:ascii="宋体" w:hAnsi="宋体" w:eastAsia="宋体" w:cs="宋体"/>
          <w:b/>
          <w:color w:val="auto"/>
          <w:sz w:val="24"/>
          <w:highlight w:val="none"/>
        </w:rPr>
        <w:t>组成</w:t>
      </w:r>
    </w:p>
    <w:bookmarkEnd w:id="41"/>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20674"/>
      <w:bookmarkStart w:id="43" w:name="_Toc522530043"/>
      <w:bookmarkStart w:id="44" w:name="_Toc91899884"/>
      <w:bookmarkStart w:id="45" w:name="_Toc2336189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2"/>
      <w:bookmarkEnd w:id="43"/>
      <w:bookmarkEnd w:id="44"/>
      <w:bookmarkEnd w:id="45"/>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w:t>
      </w:r>
      <w:r>
        <w:rPr>
          <w:rFonts w:hint="eastAsia" w:ascii="宋体" w:hAnsi="宋体" w:eastAsia="宋体" w:cs="宋体"/>
          <w:color w:val="auto"/>
          <w:sz w:val="24"/>
          <w:szCs w:val="22"/>
          <w:highlight w:val="none"/>
        </w:rPr>
        <w:t>法定代表人身份证明或附有法定代表人身份证明及授权代表为投标人在职员工的证明文件（投标人为其缴纳的社保记录或劳务合同等）的授权委托书（格式见第五部分格式三）</w:t>
      </w:r>
      <w:r>
        <w:rPr>
          <w:rFonts w:hint="eastAsia" w:ascii="宋体" w:hAnsi="宋体" w:cs="宋体"/>
          <w:color w:val="auto"/>
          <w:sz w:val="24"/>
          <w:szCs w:val="22"/>
          <w:highlight w:val="none"/>
          <w:lang w:eastAsia="zh-CN"/>
        </w:rPr>
        <w:t>。</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4</w:t>
      </w:r>
      <w:r>
        <w:rPr>
          <w:rFonts w:hint="eastAsia" w:ascii="宋体" w:hAnsi="宋体" w:eastAsia="宋体" w:cs="宋体"/>
          <w:color w:val="auto"/>
          <w:kern w:val="2"/>
          <w:sz w:val="24"/>
          <w:szCs w:val="22"/>
          <w:highlight w:val="none"/>
          <w:lang w:val="en-US" w:eastAsia="zh-CN" w:bidi="ar-SA"/>
        </w:rPr>
        <w:t>）商务/技术偏离表（格式见第五部分格式五）；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）其他商务技术文件或说明（如有）。</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302947</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eastAsia="宋体" w:cs="宋体"/>
          <w:color w:val="auto"/>
          <w:kern w:val="2"/>
          <w:sz w:val="24"/>
          <w:szCs w:val="22"/>
          <w:highlight w:val="none"/>
          <w:lang w:val="en-US" w:eastAsia="zh-CN" w:bidi="ar-SA"/>
        </w:rPr>
        <w:t>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6" w:name="_Hlt75236011"/>
      <w:bookmarkEnd w:id="46"/>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3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eastAsia="宋体" w:cs="宋体"/>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7"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7"/>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8" w:name="_Toc522530044"/>
      <w:bookmarkStart w:id="49" w:name="_Toc19525"/>
      <w:bookmarkStart w:id="50" w:name="_Toc9189989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8"/>
      <w:bookmarkEnd w:id="49"/>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50"/>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1" w:name="_Toc522530045"/>
      <w:bookmarkStart w:id="52" w:name="_Toc233618976"/>
      <w:bookmarkStart w:id="53" w:name="_Toc6430"/>
      <w:bookmarkStart w:id="54" w:name="_Toc91899897"/>
      <w:r>
        <w:rPr>
          <w:rFonts w:hint="eastAsia" w:ascii="宋体" w:hAnsi="宋体" w:eastAsia="宋体" w:cs="宋体"/>
          <w:b/>
          <w:color w:val="auto"/>
          <w:sz w:val="32"/>
          <w:highlight w:val="none"/>
        </w:rPr>
        <w:t>五、开 标</w:t>
      </w:r>
      <w:bookmarkEnd w:id="51"/>
      <w:bookmarkEnd w:id="52"/>
      <w:bookmarkEnd w:id="53"/>
      <w:bookmarkEnd w:id="54"/>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5" w:name="_Toc24550037"/>
      <w:bookmarkStart w:id="56" w:name="_Toc33194393"/>
      <w:r>
        <w:rPr>
          <w:rFonts w:hint="eastAsia" w:ascii="宋体" w:hAnsi="宋体" w:eastAsia="宋体" w:cs="宋体"/>
          <w:b/>
          <w:bCs/>
          <w:color w:val="auto"/>
          <w:sz w:val="24"/>
          <w:szCs w:val="22"/>
          <w:highlight w:val="none"/>
        </w:rPr>
        <w:t>（四）投标人资格审查</w:t>
      </w:r>
      <w:bookmarkEnd w:id="55"/>
      <w:bookmarkEnd w:id="56"/>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7" w:name="_Hlt75236101"/>
      <w:bookmarkEnd w:id="57"/>
      <w:bookmarkStart w:id="58" w:name="_Toc233618977"/>
      <w:bookmarkStart w:id="59" w:name="_Toc29851"/>
      <w:bookmarkStart w:id="60" w:name="_Toc522530046"/>
      <w:bookmarkStart w:id="61" w:name="_Toc9189990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8"/>
      <w:bookmarkEnd w:id="59"/>
      <w:bookmarkEnd w:id="60"/>
      <w:bookmarkEnd w:id="61"/>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2"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3"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4"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4"/>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5"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5"/>
      <w:bookmarkStart w:id="66"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6"/>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3"/>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《技术商务评分汇总表》得分低于商务技术总分60%的供应商的报价将被拒绝，“报价符合性审查”为不合格。</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2"/>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7"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8" w:name="_Toc23416"/>
      <w:bookmarkStart w:id="69" w:name="_Toc233618978"/>
      <w:bookmarkStart w:id="70" w:name="_Toc522530047"/>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7"/>
      <w:bookmarkEnd w:id="68"/>
      <w:bookmarkEnd w:id="69"/>
      <w:bookmarkEnd w:id="70"/>
    </w:p>
    <w:p>
      <w:pPr>
        <w:pStyle w:val="4"/>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4"/>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1" w:name="_Hlt75236103"/>
      <w:bookmarkEnd w:id="71"/>
      <w:bookmarkStart w:id="72" w:name="_Toc86216995"/>
      <w:bookmarkStart w:id="73"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4" w:name="_Toc15506"/>
      <w:bookmarkStart w:id="75" w:name="_Toc233618979"/>
      <w:bookmarkStart w:id="76" w:name="_Toc52253004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2"/>
      <w:r>
        <w:rPr>
          <w:rFonts w:hint="eastAsia" w:ascii="宋体" w:hAnsi="宋体" w:eastAsia="宋体" w:cs="宋体"/>
          <w:b/>
          <w:color w:val="auto"/>
          <w:sz w:val="32"/>
          <w:highlight w:val="none"/>
        </w:rPr>
        <w:t>合同签订及其他</w:t>
      </w:r>
      <w:bookmarkEnd w:id="74"/>
      <w:bookmarkEnd w:id="75"/>
      <w:bookmarkEnd w:id="76"/>
    </w:p>
    <w:bookmarkEnd w:id="73"/>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7" w:name="OLE_LINK5"/>
      <w:bookmarkStart w:id="78" w:name="OLE_LINK3"/>
      <w:r>
        <w:rPr>
          <w:rFonts w:hint="eastAsia" w:ascii="宋体" w:hAnsi="宋体" w:eastAsia="宋体" w:cs="宋体"/>
          <w:b/>
          <w:color w:val="auto"/>
          <w:sz w:val="36"/>
          <w:highlight w:val="none"/>
        </w:rPr>
        <w:t>采购需求</w:t>
      </w:r>
    </w:p>
    <w:p>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79" w:name="_Toc86217003"/>
      <w:bookmarkStart w:id="80" w:name="_Toc1203"/>
      <w:bookmarkStart w:id="81" w:name="_Toc233618986"/>
      <w:bookmarkStart w:id="82" w:name="_Toc492733886"/>
      <w:r>
        <w:rPr>
          <w:rFonts w:hint="eastAsia" w:ascii="宋体" w:hAnsi="宋体" w:eastAsia="宋体" w:cs="宋体"/>
          <w:b/>
          <w:bCs w:val="0"/>
          <w:color w:val="auto"/>
          <w:sz w:val="24"/>
          <w:szCs w:val="24"/>
          <w:highlight w:val="none"/>
          <w:lang w:val="en-US" w:eastAsia="zh-CN"/>
        </w:rPr>
        <w:t>一、项目名称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衢州市柯城区百家坊小学（筹）办公桌椅、会议桌椅等采购项目（二次）</w:t>
      </w:r>
    </w:p>
    <w:p>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lang w:val="en-US" w:eastAsia="zh-CN"/>
        </w:rPr>
        <w:t>采购清单及要求</w:t>
      </w:r>
    </w:p>
    <w:tbl>
      <w:tblPr>
        <w:tblStyle w:val="8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772"/>
        <w:gridCol w:w="8682"/>
        <w:gridCol w:w="865"/>
        <w:gridCol w:w="865"/>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技术参数要求</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单人沙发</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实木框架、加粗实木腿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科技布（免拆洗，可湿毛巾擦）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高密度海绵坐垫、靠背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规格高750*宽730*深650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碳素钢腿、免漆板桌面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规格600*600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3、封边胶：采用高温封边热溶胶，热稳定好，抗高低温性能好；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4、贴面胶：采用环保胶水，符合国际E1级环保标准；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6、规格尺寸1000*350*800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沙发桌椅</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4个单人沙发1个茶几：实木框架结构，NAPPA仿真皮单人休闲椅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碳素钢高脚，高密度海绵+弹簧座包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岩板桌面茶几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单人座椅规格长610*高750*深720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茶几规格高560，桌面600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3、封边胶：采用高温封边热溶胶，热稳定好，抗高低温性能好；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4、贴面胶：采用环保胶水，符合国际E1级环保标准；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6、规格尺寸1800*800*750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椅子</w:t>
            </w:r>
            <w:r>
              <w:rPr>
                <w:rFonts w:hint="eastAsia" w:ascii="宋体" w:hAnsi="宋体" w:cs="宋体"/>
                <w:i w:val="0"/>
                <w:iCs w:val="0"/>
                <w:color w:val="000000"/>
                <w:kern w:val="0"/>
                <w:sz w:val="22"/>
                <w:szCs w:val="22"/>
                <w:u w:val="none"/>
                <w:lang w:val="en-US" w:eastAsia="zh-CN" w:bidi="ar"/>
              </w:rPr>
              <w:t>1</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办公椅，五星带滑轮椅脚，PU滑轮不伤地板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加厚防爆托盘，托盘将气压杆隔离，安全系数高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SGS认证3级气压杆，2.0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钢壁管                                             规格尺寸520*400*1140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普通工位桌</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3、封边胶：采用高温封边热溶胶，热稳定好，抗高低温性能好；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4、贴面胶：采用环保胶水，符合国际E1级环保标准；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6、规格尺寸1400*宽600*高1100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含隔断玻璃</w:t>
            </w:r>
            <w:r>
              <w:rPr>
                <w:rFonts w:hint="eastAsia" w:ascii="宋体" w:hAnsi="宋体" w:cs="宋体"/>
                <w:i w:val="0"/>
                <w:iCs w:val="0"/>
                <w:color w:val="000000"/>
                <w:kern w:val="0"/>
                <w:sz w:val="22"/>
                <w:szCs w:val="22"/>
                <w:u w:val="none"/>
                <w:lang w:val="en-US" w:eastAsia="zh-CN" w:bidi="ar"/>
              </w:rPr>
              <w:t>），侧边柜尺寸长1400*深300*高1100。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椅子</w:t>
            </w:r>
            <w:r>
              <w:rPr>
                <w:rFonts w:hint="eastAsia" w:ascii="宋体" w:hAnsi="宋体" w:cs="宋体"/>
                <w:i w:val="0"/>
                <w:iCs w:val="0"/>
                <w:color w:val="000000"/>
                <w:kern w:val="0"/>
                <w:sz w:val="22"/>
                <w:szCs w:val="22"/>
                <w:u w:val="none"/>
                <w:lang w:val="en-US" w:eastAsia="zh-CN" w:bidi="ar"/>
              </w:rPr>
              <w:t>2</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躺平午休可舒适久坐办公椅，采用加厚钢管以及加厚脚撑，加厚可躺防爆托盘，3D可调头枕，高弹透气网布，升降调节腰托，8㎝定型坐垫，可95度-170度选择舒适的角度锁定，脚托（可选配）隐藏式设计，多色可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仿真皮沙发三人位1，单人位2，茶几1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3、封边胶：采用高温封边热溶胶，热稳定好，抗高低温性能好；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4、贴面胶：采用环保胶水，符合国际E1级环保标准；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规格3500*1400*750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椅子</w:t>
            </w:r>
            <w:r>
              <w:rPr>
                <w:rFonts w:hint="eastAsia" w:ascii="宋体" w:hAnsi="宋体" w:cs="宋体"/>
                <w:i w:val="0"/>
                <w:iCs w:val="0"/>
                <w:color w:val="000000"/>
                <w:kern w:val="0"/>
                <w:sz w:val="22"/>
                <w:szCs w:val="22"/>
                <w:u w:val="none"/>
                <w:lang w:val="en-US" w:eastAsia="zh-CN" w:bidi="ar"/>
              </w:rPr>
              <w:t>3</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弓形网布透气办公椅，采用加厚金属框架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结构牢固，采用尼龙材质圆弧设计的承托手臂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高弹力加厚坐垫，不易变形，高回弹、亲肤透气规格高920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*宽460</w:t>
            </w:r>
            <w:r>
              <w:rPr>
                <w:rFonts w:ascii="宋体" w:hAnsi="宋体" w:eastAsia="宋体" w:cs="宋体"/>
                <w:i w:val="0"/>
                <w:iCs w:val="0"/>
                <w:color w:val="000000"/>
                <w:kern w:val="0"/>
                <w:sz w:val="24"/>
                <w:szCs w:val="24"/>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圆形会议桌2</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3、封边胶：采用高温封边热溶胶，热稳定好，抗高低温性能好；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4、贴面胶：采用环保胶水，符合国际E1级环保标准；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6、规格长度12米*宽度2米</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椅子</w:t>
            </w:r>
            <w:r>
              <w:rPr>
                <w:rFonts w:hint="eastAsia" w:ascii="宋体" w:hAnsi="宋体" w:cs="宋体"/>
                <w:i w:val="0"/>
                <w:iCs w:val="0"/>
                <w:color w:val="000000"/>
                <w:kern w:val="0"/>
                <w:sz w:val="22"/>
                <w:szCs w:val="22"/>
                <w:u w:val="none"/>
                <w:lang w:val="en-US" w:eastAsia="zh-CN" w:bidi="ar"/>
              </w:rPr>
              <w:t>4</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弓形网布透气办公椅，采用加厚金属框架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结构牢固，采用尼龙材质圆弧设计的承托手臂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高弹力加厚坐垫，不易变形，高回弹、亲肤透气规格高920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*宽460</w:t>
            </w:r>
            <w:r>
              <w:rPr>
                <w:rFonts w:ascii="宋体" w:hAnsi="宋体" w:eastAsia="宋体" w:cs="宋体"/>
                <w:i w:val="0"/>
                <w:iCs w:val="0"/>
                <w:color w:val="000000"/>
                <w:kern w:val="0"/>
                <w:sz w:val="24"/>
                <w:szCs w:val="24"/>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文件柜</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3、封边胶：采用高温封边热溶胶，热稳定好，抗高低温性能好；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4、贴面胶：采用环保胶水，符合国际E1级环保标准；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6、规格长</w:t>
            </w:r>
            <w:r>
              <w:rPr>
                <w:rFonts w:hint="eastAsia" w:ascii="宋体" w:hAnsi="宋体" w:cs="宋体"/>
                <w:i w:val="0"/>
                <w:iCs w:val="0"/>
                <w:color w:val="000000"/>
                <w:kern w:val="0"/>
                <w:sz w:val="24"/>
                <w:szCs w:val="24"/>
                <w:u w:val="none"/>
                <w:lang w:val="en-US" w:eastAsia="zh-CN" w:bidi="ar"/>
              </w:rPr>
              <w:t>800*2000*400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书柜</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1、基材：采用环保优质三聚氰胺板，符合国际E1级环保标准，含水率≤9%，经防潮、防虫、防腐处理，抗弯力强，不易变形；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2、封边：2mm厚PVC封边。采用高温封边热溶胶，经全自动封边机热压与板材粘连无丝无缝，在不同地区气温、湿度的变化中不受影响，能长期不变形、不开裂；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3、封边胶：采用高温封边热溶胶，热稳定好，抗高低温性能好；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4、贴面胶：采用环保胶水，符合国际E1级环保标准；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5、五金配件：采用"BMB五金配件，所有五金件作防锈、防腐处理；导轨-三节，拉趟次数超过10万次，隐藏式滑道带防滑脱系统，滑动无声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6、规格长1200*高2000*深400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置物架</w:t>
            </w:r>
          </w:p>
        </w:tc>
        <w:tc>
          <w:tcPr>
            <w:tcW w:w="3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2000*500*2000四层双面存取置物架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隔板采用一级冷轧优质钢板，折弯冲压而成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厚度0.6mm.立柱为货架专用C型钢材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厚度1.0mm尺寸为40*80mm。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横梁为P型管，厚度1.0mm，尺寸为40*60mm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生产工艺：喷塑前需经过脱脂、酸洗、磷化等工艺。除油、除锈；表面喷涂环保塑粉。喷塑硬度＞0.4，冲击力4N/m，附着力不低于2级要求。载荷；搁板每层承重≥300Kg，每架大于1000Kg, 层距可调。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widowControl w:val="0"/>
        <w:spacing w:line="420" w:lineRule="exact"/>
        <w:ind w:firstLine="482"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lang w:val="en-US" w:eastAsia="zh-CN" w:bidi="ar-SA"/>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年。从验收合格交付使用起。在此期间，除人为因素外，若不能正常使用，投标供应商应免费维修并对其中材料进行更换，直至正常使用。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3"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7"/>
      <w:bookmarkEnd w:id="78"/>
      <w:bookmarkEnd w:id="83"/>
    </w:p>
    <w:p>
      <w:pPr>
        <w:pStyle w:val="46"/>
        <w:kinsoku/>
        <w:overflowPunct/>
        <w:bidi w:val="0"/>
        <w:snapToGrid w:val="0"/>
        <w:spacing w:line="400" w:lineRule="exact"/>
        <w:jc w:val="center"/>
        <w:rPr>
          <w:rFonts w:hint="eastAsia" w:ascii="宋体" w:hAnsi="宋体" w:eastAsia="宋体" w:cs="宋体"/>
          <w:b/>
          <w:color w:val="auto"/>
          <w:sz w:val="36"/>
          <w:highlight w:val="none"/>
        </w:rPr>
        <w:sectPr>
          <w:headerReference r:id="rId8" w:type="default"/>
          <w:footerReference r:id="rId9" w:type="default"/>
          <w:pgSz w:w="16838" w:h="11906" w:orient="landscape"/>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4" w:name="_Toc2553"/>
      <w:bookmarkStart w:id="85" w:name="_Toc519670202"/>
      <w:bookmarkStart w:id="86"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pPr>
        <w:pStyle w:val="57"/>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衢州市柯城区百家坊小学（筹）办公桌椅、会议桌椅等采购项目（二次）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88"/>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（三）乙方需提供增值税专票，乙方未提供发票的甲方有权拒绝付款。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46"/>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6"/>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4"/>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5"/>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5"/>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35"/>
        <w:rPr>
          <w:rFonts w:hint="eastAsia" w:ascii="宋体" w:hAnsi="宋体" w:eastAsia="宋体" w:cs="宋体"/>
          <w:color w:val="auto"/>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35"/>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cs="宋体"/>
                <w:color w:val="auto"/>
                <w:sz w:val="20"/>
                <w:szCs w:val="20"/>
                <w:highlight w:val="none"/>
                <w:shd w:val="clear" w:color="auto" w:fill="auto"/>
                <w:lang w:val="en-US" w:eastAsia="zh-CN"/>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lang w:val="zh-CN"/>
              </w:rPr>
            </w:pPr>
            <w:bookmarkStart w:id="87" w:name="OLE_LINK14"/>
            <w:r>
              <w:rPr>
                <w:rFonts w:hint="eastAsia" w:ascii="宋体" w:hAnsi="宋体" w:eastAsia="宋体" w:cs="宋体"/>
                <w:color w:val="auto"/>
                <w:sz w:val="20"/>
                <w:szCs w:val="20"/>
                <w:highlight w:val="none"/>
                <w:shd w:val="clear" w:color="auto" w:fill="auto"/>
                <w:lang w:val="zh-CN"/>
              </w:rPr>
              <w:t>法定代表人身份证明或附有法定代表人身份证明及授权代表为投标人</w:t>
            </w:r>
            <w:bookmarkEnd w:id="87"/>
          </w:p>
        </w:tc>
        <w:tc>
          <w:tcPr>
            <w:tcW w:w="5968" w:type="dxa"/>
            <w:gridSpan w:val="2"/>
            <w:vAlign w:val="center"/>
          </w:tcPr>
          <w:p>
            <w:pPr>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法定代表人身份证明或附有法定代表人身份证明及授权代表为投标人在职员工的证明文件（投标人为其缴纳的社保记录或劳务合同等）的授权委托书（格式见第五部分格式三）</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31"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5</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szCs w:val="20"/>
                <w:highlight w:val="none"/>
                <w:shd w:val="clear" w:color="auto" w:fill="auto"/>
              </w:rPr>
              <w:t>1.</w:t>
            </w:r>
            <w:r>
              <w:rPr>
                <w:rFonts w:hint="eastAsia" w:ascii="宋体" w:hAnsi="宋体" w:cs="宋体"/>
                <w:color w:val="auto"/>
                <w:sz w:val="20"/>
                <w:szCs w:val="20"/>
                <w:highlight w:val="none"/>
                <w:shd w:val="clear" w:color="auto" w:fill="auto"/>
                <w:lang w:val="en-US" w:eastAsia="zh-CN"/>
              </w:rPr>
              <w:t>7</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本项目属于专门面向中小企业采购的项目,供应商应为中小企业或监狱企业或残疾人福利性单位</w:t>
            </w:r>
          </w:p>
        </w:tc>
        <w:tc>
          <w:tcPr>
            <w:tcW w:w="3793"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35"/>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6"/>
        <w:rPr>
          <w:rFonts w:hint="eastAsia" w:ascii="宋体" w:hAnsi="宋体" w:eastAsia="宋体" w:cs="宋体"/>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87"/>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pStyle w:val="87"/>
        <w:rPr>
          <w:rFonts w:hint="eastAsia" w:ascii="宋体" w:hAnsi="宋体" w:eastAsia="宋体" w:cs="宋体"/>
          <w:color w:val="auto"/>
          <w:sz w:val="24"/>
          <w:highlight w:val="none"/>
          <w:shd w:val="clear" w:color="auto" w:fill="auto"/>
          <w:lang w:eastAsia="zh-CN"/>
        </w:rPr>
      </w:pPr>
    </w:p>
    <w:p>
      <w:pPr>
        <w:pStyle w:val="87"/>
        <w:ind w:left="0" w:leftChars="0" w:firstLine="0" w:firstLineChars="0"/>
        <w:rPr>
          <w:rFonts w:hint="eastAsia" w:ascii="宋体" w:hAnsi="宋体" w:eastAsia="宋体" w:cs="宋体"/>
          <w:color w:val="auto"/>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36"/>
        <w:rPr>
          <w:rFonts w:hint="eastAsia" w:ascii="宋体" w:hAnsi="宋体" w:eastAsia="宋体" w:cs="宋体"/>
          <w:color w:val="auto"/>
          <w:highlight w:val="none"/>
        </w:rPr>
      </w:pPr>
    </w:p>
    <w:p>
      <w:pPr>
        <w:pStyle w:val="35"/>
        <w:spacing w:before="66"/>
        <w:rPr>
          <w:rFonts w:hint="eastAsia" w:ascii="宋体" w:hAnsi="宋体" w:eastAsia="宋体" w:cs="宋体"/>
          <w:color w:val="auto"/>
          <w:sz w:val="24"/>
          <w:highlight w:val="none"/>
          <w:shd w:val="clear" w:color="auto" w:fill="auto"/>
        </w:rPr>
      </w:pPr>
    </w:p>
    <w:p>
      <w:pPr>
        <w:pStyle w:val="36"/>
        <w:rPr>
          <w:rFonts w:hint="eastAsia" w:ascii="宋体" w:hAnsi="宋体" w:eastAsia="宋体" w:cs="宋体"/>
          <w:color w:val="auto"/>
          <w:highlight w:val="none"/>
        </w:rPr>
      </w:pPr>
    </w:p>
    <w:p>
      <w:pPr>
        <w:pStyle w:val="35"/>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7"/>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供应商：</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87"/>
        <w:ind w:left="0" w:leftChars="0" w:firstLine="0" w:firstLineChars="0"/>
        <w:rPr>
          <w:rFonts w:hint="eastAsia" w:ascii="宋体" w:hAnsi="宋体" w:eastAsia="宋体" w:cs="宋体"/>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en-US" w:eastAsia="zh-CN"/>
        </w:rPr>
        <w:t>供应商</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35"/>
        <w:rPr>
          <w:rFonts w:hint="eastAsia" w:ascii="宋体" w:hAnsi="宋体" w:eastAsia="宋体" w:cs="宋体"/>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8"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9"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9"/>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0" w:name="bookmark30"/>
      <w:bookmarkEnd w:id="90"/>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2"/>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1" w:name="bookmark31"/>
      <w:bookmarkEnd w:id="91"/>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35"/>
        <w:rPr>
          <w:rFonts w:hint="eastAsia" w:ascii="宋体" w:hAnsi="宋体" w:eastAsia="宋体" w:cs="宋体"/>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pPr>
        <w:pStyle w:val="35"/>
        <w:rPr>
          <w:rFonts w:hint="eastAsia" w:ascii="宋体" w:hAnsi="宋体" w:eastAsia="宋体" w:cs="宋体"/>
          <w:color w:val="auto"/>
          <w:highlight w:val="none"/>
        </w:rPr>
      </w:pPr>
    </w:p>
    <w:p>
      <w:pPr>
        <w:pStyle w:val="35"/>
        <w:numPr>
          <w:ilvl w:val="0"/>
          <w:numId w:val="0"/>
        </w:numPr>
        <w:rPr>
          <w:rFonts w:hint="eastAsia" w:ascii="宋体" w:hAnsi="宋体" w:eastAsia="宋体" w:cs="宋体"/>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5"/>
        <w:rPr>
          <w:rFonts w:hint="eastAsia" w:ascii="宋体" w:hAnsi="宋体" w:eastAsia="宋体" w:cs="宋体"/>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5"/>
        <w:rPr>
          <w:rFonts w:hint="eastAsia" w:ascii="宋体" w:hAnsi="宋体" w:eastAsia="宋体" w:cs="宋体"/>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3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3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供应商全称：（盖单位公章）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87"/>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8"/>
        <w:rPr>
          <w:rFonts w:hint="eastAsia" w:ascii="宋体" w:hAnsi="宋体" w:eastAsia="宋体" w:cs="宋体"/>
          <w:color w:val="auto"/>
          <w:sz w:val="24"/>
          <w:highlight w:val="none"/>
        </w:rPr>
      </w:pPr>
    </w:p>
    <w:p>
      <w:pPr>
        <w:pStyle w:val="38"/>
        <w:rPr>
          <w:rFonts w:hint="eastAsia" w:ascii="宋体" w:hAnsi="宋体" w:eastAsia="宋体" w:cs="宋体"/>
          <w:color w:val="auto"/>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6"/>
      <w:bookmarkEnd w:id="88"/>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 xml:space="preserve">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pStyle w:val="38"/>
        <w:ind w:left="0" w:leftChars="0" w:firstLine="0" w:firstLineChars="0"/>
        <w:rPr>
          <w:rFonts w:hint="eastAsia" w:ascii="宋体" w:hAnsi="宋体" w:eastAsia="宋体" w:cs="宋体"/>
          <w:b/>
          <w:color w:val="auto"/>
          <w:sz w:val="36"/>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79"/>
    <w:bookmarkEnd w:id="80"/>
    <w:bookmarkEnd w:id="81"/>
    <w:bookmarkEnd w:id="82"/>
    <w:p>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2" w:name="_Toc522530053"/>
      <w:bookmarkStart w:id="93" w:name="_Toc15127"/>
      <w:bookmarkStart w:id="94" w:name="_Toc233618990"/>
      <w:bookmarkStart w:id="95"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2"/>
      <w:bookmarkEnd w:id="93"/>
    </w:p>
    <w:p>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4"/>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6" w:name="_Toc522530054"/>
      <w:bookmarkStart w:id="97" w:name="_Toc354859551"/>
      <w:bookmarkStart w:id="98" w:name="_Toc391277571"/>
      <w:bookmarkStart w:id="99" w:name="_Toc233618991"/>
      <w:bookmarkStart w:id="100" w:name="_Toc354859632"/>
      <w:bookmarkStart w:id="101" w:name="_Toc354859475"/>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6"/>
        <w:rPr>
          <w:rFonts w:hint="eastAsia" w:ascii="宋体" w:hAnsi="宋体" w:eastAsia="宋体" w:cs="宋体"/>
          <w:color w:val="auto"/>
          <w:highlight w:val="none"/>
          <w:lang w:val="zh-CN"/>
        </w:rPr>
      </w:pPr>
    </w:p>
    <w:p>
      <w:pPr>
        <w:pStyle w:val="69"/>
        <w:rPr>
          <w:rFonts w:hint="eastAsia" w:ascii="宋体" w:hAnsi="宋体" w:eastAsia="宋体" w:cs="宋体"/>
          <w:color w:val="auto"/>
          <w:highlight w:val="none"/>
          <w:lang w:val="zh-CN"/>
        </w:rPr>
      </w:pPr>
    </w:p>
    <w:p>
      <w:pPr>
        <w:pStyle w:val="46"/>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2" w:name="_Toc10253"/>
      <w:r>
        <w:rPr>
          <w:rFonts w:hint="eastAsia" w:ascii="宋体" w:hAnsi="宋体" w:eastAsia="宋体" w:cs="宋体"/>
          <w:b/>
          <w:color w:val="auto"/>
          <w:kern w:val="0"/>
          <w:sz w:val="30"/>
          <w:highlight w:val="none"/>
          <w:lang w:val="zh-CN"/>
        </w:rPr>
        <w:t>格式四：以往业绩情况表</w:t>
      </w:r>
      <w:bookmarkEnd w:id="96"/>
      <w:bookmarkEnd w:id="102"/>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3" w:name="_Toc522530055"/>
      <w:bookmarkStart w:id="104" w:name="_Toc25910"/>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3"/>
      <w:bookmarkEnd w:id="104"/>
      <w:bookmarkStart w:id="105"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6"/>
        <w:kinsoku/>
        <w:overflowPunct/>
        <w:bidi w:val="0"/>
        <w:spacing w:after="0" w:line="400" w:lineRule="exact"/>
        <w:rPr>
          <w:rFonts w:hint="eastAsia" w:ascii="宋体" w:hAnsi="宋体" w:eastAsia="宋体" w:cs="宋体"/>
          <w:color w:val="auto"/>
          <w:kern w:val="0"/>
          <w:sz w:val="24"/>
          <w:highlight w:val="none"/>
          <w:lang w:val="zh-CN"/>
        </w:rPr>
      </w:pPr>
    </w:p>
    <w:p>
      <w:pPr>
        <w:pStyle w:val="69"/>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kern w:val="0"/>
          <w:sz w:val="24"/>
          <w:highlight w:val="none"/>
          <w:lang w:val="zh-CN"/>
        </w:rPr>
      </w:pPr>
    </w:p>
    <w:p>
      <w:pPr>
        <w:pStyle w:val="4"/>
        <w:kinsoku/>
        <w:overflowPunct/>
        <w:bidi w:val="0"/>
        <w:spacing w:after="0" w:line="400" w:lineRule="exact"/>
        <w:rPr>
          <w:rFonts w:hint="eastAsia" w:ascii="宋体" w:hAnsi="宋体" w:eastAsia="宋体" w:cs="宋体"/>
          <w:color w:val="auto"/>
          <w:kern w:val="0"/>
          <w:sz w:val="24"/>
          <w:highlight w:val="none"/>
          <w:lang w:val="zh-CN"/>
        </w:rPr>
      </w:pP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6"/>
        <w:kinsoku/>
        <w:overflowPunct/>
        <w:bidi w:val="0"/>
        <w:spacing w:after="0" w:line="400" w:lineRule="exact"/>
        <w:rPr>
          <w:rFonts w:hint="eastAsia" w:ascii="宋体" w:hAnsi="宋体" w:eastAsia="宋体" w:cs="宋体"/>
          <w:color w:val="auto"/>
          <w:highlight w:val="none"/>
          <w:lang w:val="zh-CN"/>
        </w:rPr>
      </w:pPr>
    </w:p>
    <w:p>
      <w:pPr>
        <w:pStyle w:val="36"/>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5"/>
    </w:p>
    <w:p>
      <w:pPr>
        <w:pStyle w:val="4"/>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pStyle w:val="7"/>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6" w:name="_Toc522530058"/>
      <w:bookmarkStart w:id="107" w:name="_Toc8841"/>
      <w:r>
        <w:rPr>
          <w:rFonts w:hint="eastAsia" w:ascii="宋体" w:hAnsi="宋体" w:eastAsia="宋体" w:cs="宋体"/>
          <w:color w:val="auto"/>
          <w:sz w:val="28"/>
          <w:szCs w:val="22"/>
          <w:highlight w:val="none"/>
        </w:rPr>
        <w:t>开标一览表</w:t>
      </w:r>
      <w:bookmarkEnd w:id="97"/>
      <w:bookmarkEnd w:id="98"/>
      <w:bookmarkEnd w:id="99"/>
      <w:bookmarkEnd w:id="100"/>
      <w:bookmarkEnd w:id="101"/>
      <w:bookmarkEnd w:id="106"/>
      <w:bookmarkEnd w:id="107"/>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衢州市柯城区百家坊小学（筹）办公桌椅、会议桌椅等采购项目（二次）</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
          <w:bCs w:val="0"/>
          <w:color w:val="auto"/>
          <w:sz w:val="24"/>
          <w:szCs w:val="24"/>
          <w:highlight w:val="none"/>
          <w:lang w:val="en-US"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7"/>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8" w:name="_Toc522530061"/>
      <w:bookmarkStart w:id="109" w:name="_Toc16646"/>
    </w:p>
    <w:p>
      <w:pPr>
        <w:pStyle w:val="7"/>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ascii="宋体" w:hAnsi="宋体" w:eastAsia="宋体" w:cs="宋体"/>
          <w:color w:val="auto"/>
          <w:highlight w:val="none"/>
          <w:lang w:eastAsia="zh-CN"/>
        </w:rPr>
      </w:pPr>
    </w:p>
    <w:tbl>
      <w:tblPr>
        <w:tblStyle w:val="8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7"/>
        <w:kinsoku/>
        <w:overflowPunct/>
        <w:bidi w:val="0"/>
        <w:spacing w:line="400" w:lineRule="exact"/>
        <w:ind w:left="0" w:firstLine="0"/>
        <w:rPr>
          <w:rFonts w:hint="eastAsia" w:ascii="宋体" w:hAnsi="宋体" w:eastAsia="宋体" w:cs="宋体"/>
          <w:color w:val="auto"/>
          <w:sz w:val="28"/>
          <w:highlight w:val="none"/>
        </w:rPr>
      </w:pPr>
    </w:p>
    <w:p>
      <w:pPr>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7"/>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8"/>
      <w:bookmarkEnd w:id="109"/>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衢州市柯城区百家坊小学（筹）办公桌椅、会议桌椅等采购项目（二次）</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pPr>
        <w:pStyle w:val="87"/>
        <w:kinsoku/>
        <w:overflowPunct/>
        <w:bidi w:val="0"/>
        <w:spacing w:after="0" w:line="360" w:lineRule="auto"/>
        <w:ind w:left="560"/>
        <w:rPr>
          <w:rFonts w:hint="eastAsia" w:ascii="宋体" w:hAnsi="宋体" w:eastAsia="宋体" w:cs="宋体"/>
          <w:color w:val="auto"/>
          <w:highlight w:val="none"/>
        </w:rPr>
      </w:pPr>
    </w:p>
    <w:bookmarkEnd w:id="18"/>
    <w:bookmarkEnd w:id="19"/>
    <w:bookmarkEnd w:id="20"/>
    <w:bookmarkEnd w:id="21"/>
    <w:bookmarkEnd w:id="95"/>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6"/>
        <w:kinsoku/>
        <w:overflowPunct/>
        <w:bidi w:val="0"/>
        <w:spacing w:line="360" w:lineRule="auto"/>
        <w:rPr>
          <w:rFonts w:hint="eastAsia" w:ascii="宋体" w:hAnsi="宋体" w:eastAsia="宋体" w:cs="宋体"/>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0" w:name="_Toc15453"/>
      <w:r>
        <w:rPr>
          <w:rFonts w:hint="eastAsia" w:ascii="宋体" w:hAnsi="宋体" w:eastAsia="宋体" w:cs="宋体"/>
          <w:b/>
          <w:color w:val="auto"/>
          <w:sz w:val="36"/>
          <w:highlight w:val="none"/>
        </w:rPr>
        <w:t>第六部分  评分办法</w:t>
      </w:r>
      <w:bookmarkEnd w:id="110"/>
    </w:p>
    <w:p>
      <w:pPr>
        <w:pStyle w:val="6"/>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6"/>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6"/>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6"/>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6"/>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6"/>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2"/>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2"/>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2"/>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vAlign w:val="center"/>
          </w:tcPr>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vAlign w:val="center"/>
          </w:tcPr>
          <w:p>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jc w:val="center"/>
        </w:trPr>
        <w:tc>
          <w:tcPr>
            <w:tcW w:w="1251" w:type="dxa"/>
            <w:vMerge w:val="restart"/>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i w:val="0"/>
                <w:iCs w:val="0"/>
                <w:kern w:val="0"/>
                <w:sz w:val="24"/>
                <w:szCs w:val="24"/>
                <w:lang w:val="en-US" w:eastAsia="zh-CN"/>
              </w:rPr>
              <w:t>产品技术参数全部满足招标文件要求的得</w:t>
            </w:r>
            <w:r>
              <w:rPr>
                <w:rFonts w:hint="eastAsia" w:ascii="宋体" w:hAnsi="宋体" w:cs="宋体"/>
                <w:i w:val="0"/>
                <w:iCs w:val="0"/>
                <w:kern w:val="0"/>
                <w:sz w:val="24"/>
                <w:szCs w:val="24"/>
                <w:lang w:val="en-US" w:eastAsia="zh-CN"/>
              </w:rPr>
              <w:t>8</w:t>
            </w:r>
            <w:r>
              <w:rPr>
                <w:rFonts w:hint="eastAsia" w:ascii="宋体" w:hAnsi="宋体" w:eastAsia="宋体" w:cs="宋体"/>
                <w:i w:val="0"/>
                <w:iCs w:val="0"/>
                <w:kern w:val="0"/>
                <w:sz w:val="24"/>
                <w:szCs w:val="24"/>
                <w:lang w:val="en-US" w:eastAsia="zh-CN"/>
              </w:rPr>
              <w:t>分</w:t>
            </w:r>
            <w:r>
              <w:rPr>
                <w:rFonts w:hint="eastAsia" w:ascii="宋体" w:hAnsi="宋体" w:cs="宋体"/>
                <w:i w:val="0"/>
                <w:iCs w:val="0"/>
                <w:kern w:val="0"/>
                <w:sz w:val="24"/>
                <w:szCs w:val="24"/>
                <w:lang w:val="en-US" w:eastAsia="zh-CN"/>
              </w:rPr>
              <w:t>，</w:t>
            </w:r>
            <w:r>
              <w:rPr>
                <w:rFonts w:hint="eastAsia" w:ascii="宋体" w:hAnsi="宋体" w:eastAsia="宋体" w:cs="宋体"/>
                <w:i w:val="0"/>
                <w:iCs w:val="0"/>
                <w:kern w:val="0"/>
                <w:sz w:val="24"/>
                <w:szCs w:val="24"/>
                <w:lang w:val="en-US" w:eastAsia="zh-CN"/>
              </w:rPr>
              <w:t>有负偏离的每项扣</w:t>
            </w:r>
            <w:r>
              <w:rPr>
                <w:rFonts w:hint="eastAsia" w:ascii="宋体" w:hAnsi="宋体" w:cs="宋体"/>
                <w:i w:val="0"/>
                <w:iCs w:val="0"/>
                <w:kern w:val="0"/>
                <w:sz w:val="24"/>
                <w:szCs w:val="24"/>
                <w:lang w:val="en-US" w:eastAsia="zh-CN"/>
              </w:rPr>
              <w:t>1</w:t>
            </w:r>
            <w:r>
              <w:rPr>
                <w:rFonts w:hint="eastAsia" w:ascii="宋体" w:hAnsi="宋体" w:eastAsia="宋体" w:cs="宋体"/>
                <w:i w:val="0"/>
                <w:iCs w:val="0"/>
                <w:kern w:val="0"/>
                <w:sz w:val="24"/>
                <w:szCs w:val="24"/>
                <w:lang w:val="en-US" w:eastAsia="zh-CN"/>
              </w:rPr>
              <w:t>分，扣完为止。</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10分，9.5分，9分，8.5分，8分，7.5分，7分，6.5分，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ind w:firstLine="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设计方案</w:t>
            </w:r>
          </w:p>
        </w:tc>
        <w:tc>
          <w:tcPr>
            <w:tcW w:w="6634" w:type="dxa"/>
            <w:vAlign w:val="center"/>
          </w:tcPr>
          <w:p>
            <w:pPr>
              <w:ind w:firstLine="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w:t>
            </w:r>
            <w:r>
              <w:rPr>
                <w:rFonts w:hint="eastAsia" w:ascii="宋体" w:hAnsi="宋体" w:cs="宋体"/>
                <w:color w:val="auto"/>
                <w:sz w:val="24"/>
                <w:szCs w:val="24"/>
                <w:highlight w:val="none"/>
                <w:lang w:val="en-US" w:eastAsia="zh-CN"/>
              </w:rPr>
              <w:t>平面图深化图及效果图</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深化图及效果图</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10分，9.5分，9分，8.5分，8分，7.5分，7分，6.5分，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等进行综合打分。（评分范围：评分范围：8分，7.5分，7分，6.5分，6分，5.5分，5分，4.5分，4分，3.5分，3分，2.5分，2分，1.5分，1分，0.5分，0分）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年的不得分，优于招标文件的，每延长1年得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分。（提供承诺函，不提供不得分）</w:t>
            </w:r>
            <w:bookmarkStart w:id="112" w:name="_GoBack"/>
            <w:bookmarkEnd w:id="112"/>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c>
          <w:tcPr>
            <w:tcW w:w="6634" w:type="dxa"/>
            <w:vAlign w:val="center"/>
          </w:tcPr>
          <w:p>
            <w:pPr>
              <w:ind w:firstLine="2"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结合以往项目经验，对本项目采购过程提出合理化建议</w:t>
            </w:r>
          </w:p>
        </w:tc>
        <w:tc>
          <w:tcPr>
            <w:tcW w:w="903" w:type="dxa"/>
            <w:vAlign w:val="center"/>
          </w:tcPr>
          <w:p>
            <w:pPr>
              <w:ind w:firstLine="2"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tcBorders>
              <w:top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vAlign w:val="center"/>
          </w:tcPr>
          <w:p>
            <w:pPr>
              <w:rPr>
                <w:rFonts w:hint="eastAsia" w:ascii="宋体" w:hAnsi="宋体" w:eastAsia="宋体" w:cs="宋体"/>
                <w:color w:val="auto"/>
                <w:sz w:val="24"/>
                <w:szCs w:val="24"/>
                <w:highlight w:val="none"/>
              </w:rPr>
            </w:pPr>
            <w:bookmarkStart w:id="111" w:name="OLE_LINK11"/>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bookmarkEnd w:id="111"/>
          <w:p>
            <w:pPr>
              <w:pStyle w:val="448"/>
              <w:ind w:left="0" w:leftChars="0" w:firstLine="0" w:firstLineChars="0"/>
              <w:rPr>
                <w:rFonts w:hint="eastAsia" w:ascii="宋体" w:hAnsi="宋体" w:eastAsia="宋体" w:cs="宋体"/>
                <w:color w:val="auto"/>
                <w:sz w:val="24"/>
                <w:szCs w:val="24"/>
                <w:highlight w:val="none"/>
              </w:rPr>
            </w:pPr>
            <w:r>
              <w:rPr>
                <w:rFonts w:hint="eastAsia" w:ascii="宋体" w:hAnsi="宋体" w:cs="宋体"/>
                <w:i w:val="0"/>
                <w:iCs w:val="0"/>
                <w:sz w:val="24"/>
                <w:szCs w:val="24"/>
                <w:lang w:val="en-US" w:eastAsia="zh-CN"/>
              </w:rPr>
              <w:t>注：须提供</w:t>
            </w:r>
            <w:r>
              <w:rPr>
                <w:rFonts w:hint="eastAsia" w:ascii="宋体" w:hAnsi="宋体" w:eastAsia="宋体" w:cs="宋体"/>
                <w:i w:val="0"/>
                <w:iCs w:val="0"/>
                <w:sz w:val="24"/>
                <w:szCs w:val="24"/>
                <w:lang w:val="en-US" w:eastAsia="zh-CN"/>
              </w:rPr>
              <w:t>合同</w:t>
            </w:r>
            <w:r>
              <w:rPr>
                <w:rFonts w:hint="eastAsia" w:ascii="宋体" w:hAnsi="宋体" w:cs="宋体"/>
                <w:i w:val="0"/>
                <w:iCs w:val="0"/>
                <w:sz w:val="24"/>
                <w:szCs w:val="24"/>
                <w:lang w:val="en-US" w:eastAsia="zh-CN"/>
              </w:rPr>
              <w:t>原件扫描件。</w:t>
            </w:r>
          </w:p>
        </w:tc>
        <w:tc>
          <w:tcPr>
            <w:tcW w:w="903" w:type="dxa"/>
            <w:tcBorders>
              <w:top w:val="single" w:color="auto" w:sz="4" w:space="0"/>
            </w:tcBorders>
            <w:vAlign w:val="center"/>
          </w:tcPr>
          <w:p>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bl>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7FFAEFF" w:usb1="F9DFFFFF"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E520E"/>
    <w:rsid w:val="01A65DF4"/>
    <w:rsid w:val="01AA487D"/>
    <w:rsid w:val="01C325E7"/>
    <w:rsid w:val="01F70F33"/>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7C2D13"/>
    <w:rsid w:val="0F8A67B5"/>
    <w:rsid w:val="0FA461AB"/>
    <w:rsid w:val="0FE663C2"/>
    <w:rsid w:val="0FE718AE"/>
    <w:rsid w:val="0FE81A41"/>
    <w:rsid w:val="0FEA4359"/>
    <w:rsid w:val="0FF504C5"/>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A2186"/>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3B1492"/>
    <w:rsid w:val="1D3F5CDF"/>
    <w:rsid w:val="1D520FE4"/>
    <w:rsid w:val="1D647783"/>
    <w:rsid w:val="1D8525E2"/>
    <w:rsid w:val="1D884B4B"/>
    <w:rsid w:val="1D8D7350"/>
    <w:rsid w:val="1D9B7143"/>
    <w:rsid w:val="1DA7646F"/>
    <w:rsid w:val="1DC558A4"/>
    <w:rsid w:val="1DD4732B"/>
    <w:rsid w:val="1DE63612"/>
    <w:rsid w:val="1DE85F2E"/>
    <w:rsid w:val="1E19374A"/>
    <w:rsid w:val="1E195BB5"/>
    <w:rsid w:val="1E29538D"/>
    <w:rsid w:val="1E497EFC"/>
    <w:rsid w:val="1E6D4EB4"/>
    <w:rsid w:val="1E7F7B76"/>
    <w:rsid w:val="1E9A38F0"/>
    <w:rsid w:val="1EB9164B"/>
    <w:rsid w:val="1EBA0BB2"/>
    <w:rsid w:val="1EBF0860"/>
    <w:rsid w:val="1EE447BD"/>
    <w:rsid w:val="1EF2097C"/>
    <w:rsid w:val="1F0075A3"/>
    <w:rsid w:val="1F2C0899"/>
    <w:rsid w:val="1F415C80"/>
    <w:rsid w:val="1F7223F2"/>
    <w:rsid w:val="1F9A2B40"/>
    <w:rsid w:val="1FA936A0"/>
    <w:rsid w:val="1FB47614"/>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757BBB"/>
    <w:rsid w:val="2585514B"/>
    <w:rsid w:val="258D50FE"/>
    <w:rsid w:val="259C237B"/>
    <w:rsid w:val="25A42B2E"/>
    <w:rsid w:val="25AB2640"/>
    <w:rsid w:val="25AB5457"/>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602BCE"/>
    <w:rsid w:val="2D6C0E74"/>
    <w:rsid w:val="2D811361"/>
    <w:rsid w:val="2D861736"/>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6B5222"/>
    <w:rsid w:val="32802FE1"/>
    <w:rsid w:val="32C257D5"/>
    <w:rsid w:val="32D86D2B"/>
    <w:rsid w:val="33547BBB"/>
    <w:rsid w:val="335C64D7"/>
    <w:rsid w:val="337631E1"/>
    <w:rsid w:val="33775F59"/>
    <w:rsid w:val="33824DCA"/>
    <w:rsid w:val="3388544D"/>
    <w:rsid w:val="338A0A3C"/>
    <w:rsid w:val="33930D63"/>
    <w:rsid w:val="339E1AB7"/>
    <w:rsid w:val="33A07A69"/>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E27A0D"/>
    <w:rsid w:val="3E0620BF"/>
    <w:rsid w:val="3E236A22"/>
    <w:rsid w:val="3E251D20"/>
    <w:rsid w:val="3E4B5A15"/>
    <w:rsid w:val="3E554C90"/>
    <w:rsid w:val="3E570E68"/>
    <w:rsid w:val="3E7D7A5C"/>
    <w:rsid w:val="3E99230E"/>
    <w:rsid w:val="3EB30D2E"/>
    <w:rsid w:val="3EB3129C"/>
    <w:rsid w:val="3EE24830"/>
    <w:rsid w:val="3EE905BF"/>
    <w:rsid w:val="3F165706"/>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620B13"/>
    <w:rsid w:val="47673289"/>
    <w:rsid w:val="47707058"/>
    <w:rsid w:val="478A49F3"/>
    <w:rsid w:val="47AC01DC"/>
    <w:rsid w:val="47CA0E20"/>
    <w:rsid w:val="47CF2CAA"/>
    <w:rsid w:val="47E37A43"/>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274D78"/>
    <w:rsid w:val="53372DC0"/>
    <w:rsid w:val="53563C85"/>
    <w:rsid w:val="536757A3"/>
    <w:rsid w:val="537E241C"/>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111742"/>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620C4F"/>
    <w:rsid w:val="6086434B"/>
    <w:rsid w:val="60B6165D"/>
    <w:rsid w:val="60CF3E67"/>
    <w:rsid w:val="60F819E2"/>
    <w:rsid w:val="61057182"/>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858D2"/>
    <w:rsid w:val="63BC10F2"/>
    <w:rsid w:val="63FB31A4"/>
    <w:rsid w:val="64445A06"/>
    <w:rsid w:val="64A81F49"/>
    <w:rsid w:val="64D442D4"/>
    <w:rsid w:val="64EB2CED"/>
    <w:rsid w:val="64F0256E"/>
    <w:rsid w:val="64F94851"/>
    <w:rsid w:val="65280160"/>
    <w:rsid w:val="65300EC5"/>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14E01"/>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807E26"/>
    <w:rsid w:val="728C3623"/>
    <w:rsid w:val="72A024FF"/>
    <w:rsid w:val="72A722C8"/>
    <w:rsid w:val="72AD39B6"/>
    <w:rsid w:val="72D16B6E"/>
    <w:rsid w:val="72FC33BD"/>
    <w:rsid w:val="72FF2E55"/>
    <w:rsid w:val="735E2EF6"/>
    <w:rsid w:val="73831138"/>
    <w:rsid w:val="73976045"/>
    <w:rsid w:val="73A43391"/>
    <w:rsid w:val="73BE0238"/>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941DF3"/>
    <w:rsid w:val="75954DD4"/>
    <w:rsid w:val="759C6DC0"/>
    <w:rsid w:val="75B65B36"/>
    <w:rsid w:val="75B66081"/>
    <w:rsid w:val="75F04356"/>
    <w:rsid w:val="75F94C86"/>
    <w:rsid w:val="76387C51"/>
    <w:rsid w:val="76480B2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B61858"/>
    <w:rsid w:val="79CC1038"/>
    <w:rsid w:val="79F67E12"/>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420AB"/>
    <w:rsid w:val="7CAB28AE"/>
    <w:rsid w:val="7CB82337"/>
    <w:rsid w:val="7CC71594"/>
    <w:rsid w:val="7CD35696"/>
    <w:rsid w:val="7CDD1473"/>
    <w:rsid w:val="7CF52769"/>
    <w:rsid w:val="7CFD4495"/>
    <w:rsid w:val="7D4E42BA"/>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6">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7">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8">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2">
    <w:name w:val="heading 4"/>
    <w:basedOn w:val="1"/>
    <w:next w:val="3"/>
    <w:link w:val="109"/>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0"/>
    <w:qFormat/>
    <w:uiPriority w:val="0"/>
    <w:pPr>
      <w:keepNext/>
      <w:keepLines/>
      <w:spacing w:before="280" w:after="290" w:line="372" w:lineRule="auto"/>
      <w:outlineLvl w:val="4"/>
    </w:pPr>
    <w:rPr>
      <w:b/>
    </w:rPr>
  </w:style>
  <w:style w:type="paragraph" w:styleId="10">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3">
    <w:name w:val="Normal Indent"/>
    <w:basedOn w:val="1"/>
    <w:next w:val="4"/>
    <w:link w:val="305"/>
    <w:qFormat/>
    <w:uiPriority w:val="0"/>
    <w:pPr>
      <w:widowControl/>
      <w:ind w:firstLine="420"/>
      <w:jc w:val="left"/>
    </w:pPr>
    <w:rPr>
      <w:rFonts w:asciiTheme="minorHAnsi" w:hAnsiTheme="minorHAnsi" w:cstheme="minorBidi"/>
      <w:sz w:val="24"/>
      <w:szCs w:val="22"/>
    </w:rPr>
  </w:style>
  <w:style w:type="paragraph" w:styleId="4">
    <w:name w:val="Body Text Indent"/>
    <w:basedOn w:val="1"/>
    <w:next w:val="3"/>
    <w:link w:val="115"/>
    <w:unhideWhenUsed/>
    <w:qFormat/>
    <w:uiPriority w:val="0"/>
    <w:pPr>
      <w:spacing w:after="120"/>
      <w:ind w:left="420" w:leftChars="200"/>
    </w:pPr>
  </w:style>
  <w:style w:type="paragraph" w:styleId="5">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4">
    <w:name w:val="List 3"/>
    <w:basedOn w:val="1"/>
    <w:qFormat/>
    <w:uiPriority w:val="0"/>
    <w:pPr>
      <w:ind w:left="100" w:leftChars="400" w:hanging="200" w:hangingChars="200"/>
    </w:pPr>
    <w:rPr>
      <w:sz w:val="21"/>
    </w:rPr>
  </w:style>
  <w:style w:type="paragraph" w:styleId="15">
    <w:name w:val="toc 7"/>
    <w:basedOn w:val="1"/>
    <w:next w:val="1"/>
    <w:qFormat/>
    <w:uiPriority w:val="0"/>
    <w:pPr>
      <w:ind w:left="1680"/>
      <w:jc w:val="left"/>
    </w:pPr>
    <w:rPr>
      <w:sz w:val="18"/>
    </w:rPr>
  </w:style>
  <w:style w:type="paragraph" w:styleId="16">
    <w:name w:val="List Number 2"/>
    <w:basedOn w:val="1"/>
    <w:qFormat/>
    <w:uiPriority w:val="0"/>
    <w:pPr>
      <w:tabs>
        <w:tab w:val="left" w:pos="0"/>
      </w:tabs>
      <w:ind w:left="1146" w:hanging="720"/>
    </w:pPr>
    <w:rPr>
      <w:sz w:val="21"/>
    </w:rPr>
  </w:style>
  <w:style w:type="paragraph" w:styleId="17">
    <w:name w:val="table of authorities"/>
    <w:basedOn w:val="1"/>
    <w:next w:val="1"/>
    <w:qFormat/>
    <w:uiPriority w:val="0"/>
    <w:pPr>
      <w:ind w:left="420" w:leftChars="200"/>
    </w:pPr>
    <w:rPr>
      <w:sz w:val="21"/>
    </w:rPr>
  </w:style>
  <w:style w:type="paragraph" w:styleId="18">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19">
    <w:name w:val="List Bullet 4"/>
    <w:basedOn w:val="1"/>
    <w:qFormat/>
    <w:uiPriority w:val="0"/>
    <w:pPr>
      <w:tabs>
        <w:tab w:val="left" w:pos="1620"/>
      </w:tabs>
      <w:ind w:left="1620" w:hanging="360"/>
    </w:pPr>
    <w:rPr>
      <w:sz w:val="21"/>
    </w:rPr>
  </w:style>
  <w:style w:type="paragraph" w:styleId="20">
    <w:name w:val="index 8"/>
    <w:basedOn w:val="1"/>
    <w:next w:val="1"/>
    <w:qFormat/>
    <w:uiPriority w:val="0"/>
    <w:pPr>
      <w:ind w:left="1400" w:leftChars="1400"/>
    </w:pPr>
    <w:rPr>
      <w:sz w:val="21"/>
    </w:rPr>
  </w:style>
  <w:style w:type="paragraph" w:styleId="21">
    <w:name w:val="E-mail Signature"/>
    <w:basedOn w:val="1"/>
    <w:link w:val="328"/>
    <w:qFormat/>
    <w:uiPriority w:val="0"/>
    <w:rPr>
      <w:rFonts w:asciiTheme="minorHAnsi" w:hAnsiTheme="minorHAnsi" w:eastAsiaTheme="minorEastAsia" w:cstheme="minorBidi"/>
      <w:sz w:val="21"/>
      <w:szCs w:val="22"/>
    </w:rPr>
  </w:style>
  <w:style w:type="paragraph" w:styleId="22">
    <w:name w:val="List Number"/>
    <w:basedOn w:val="1"/>
    <w:qFormat/>
    <w:uiPriority w:val="0"/>
    <w:pPr>
      <w:tabs>
        <w:tab w:val="left" w:pos="360"/>
      </w:tabs>
      <w:ind w:left="360" w:hanging="360"/>
    </w:pPr>
    <w:rPr>
      <w:sz w:val="21"/>
    </w:r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21"/>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4"/>
    <w:qFormat/>
    <w:uiPriority w:val="0"/>
    <w:rPr>
      <w:rFonts w:ascii="宋体" w:hAnsiTheme="minorHAnsi" w:eastAsiaTheme="minorEastAsia" w:cstheme="minorBidi"/>
      <w:szCs w:val="22"/>
    </w:rPr>
  </w:style>
  <w:style w:type="paragraph" w:styleId="32">
    <w:name w:val="Body Text 3"/>
    <w:basedOn w:val="1"/>
    <w:link w:val="348"/>
    <w:qFormat/>
    <w:uiPriority w:val="0"/>
    <w:pPr>
      <w:spacing w:after="120"/>
    </w:pPr>
    <w:rPr>
      <w:rFonts w:asciiTheme="minorHAnsi" w:hAnsiTheme="minorHAnsi" w:eastAsiaTheme="minorEastAsia" w:cstheme="minorBidi"/>
      <w:sz w:val="16"/>
      <w:szCs w:val="22"/>
    </w:rPr>
  </w:style>
  <w:style w:type="paragraph" w:styleId="33">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36"/>
    <w:link w:val="117"/>
    <w:unhideWhenUsed/>
    <w:qFormat/>
    <w:uiPriority w:val="0"/>
    <w:pPr>
      <w:spacing w:after="120"/>
    </w:pPr>
  </w:style>
  <w:style w:type="paragraph" w:styleId="36">
    <w:name w:val="Body Text First Indent"/>
    <w:basedOn w:val="35"/>
    <w:next w:val="1"/>
    <w:link w:val="340"/>
    <w:qFormat/>
    <w:uiPriority w:val="0"/>
    <w:pPr>
      <w:ind w:firstLine="420" w:firstLineChars="100"/>
    </w:pPr>
    <w:rPr>
      <w:rFonts w:ascii="等线" w:hAnsi="等线" w:eastAsia="等线" w:cstheme="minorBidi"/>
      <w:sz w:val="21"/>
      <w:szCs w:val="22"/>
    </w:rPr>
  </w:style>
  <w:style w:type="paragraph" w:styleId="37">
    <w:name w:val="List Number 3"/>
    <w:basedOn w:val="1"/>
    <w:qFormat/>
    <w:uiPriority w:val="0"/>
    <w:pPr>
      <w:tabs>
        <w:tab w:val="left" w:pos="1200"/>
      </w:tabs>
      <w:ind w:left="1200" w:hanging="360"/>
    </w:pPr>
    <w:rPr>
      <w:sz w:val="21"/>
    </w:rPr>
  </w:style>
  <w:style w:type="paragraph" w:styleId="38">
    <w:name w:val="List 2"/>
    <w:basedOn w:val="1"/>
    <w:qFormat/>
    <w:uiPriority w:val="0"/>
    <w:pPr>
      <w:ind w:left="100" w:leftChars="200" w:hanging="200" w:hangingChars="20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9"/>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next w:val="1"/>
    <w:link w:val="332"/>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7"/>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3"/>
    <w:qFormat/>
    <w:uiPriority w:val="99"/>
    <w:rPr>
      <w:rFonts w:asciiTheme="minorHAnsi" w:hAnsiTheme="minorHAnsi" w:eastAsiaTheme="minorEastAsia" w:cstheme="minorBidi"/>
      <w:sz w:val="18"/>
      <w:szCs w:val="22"/>
    </w:rPr>
  </w:style>
  <w:style w:type="paragraph" w:styleId="56">
    <w:name w:val="footer"/>
    <w:basedOn w:val="1"/>
    <w:link w:val="10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29"/>
    <w:next w:val="29"/>
    <w:link w:val="353"/>
    <w:qFormat/>
    <w:uiPriority w:val="0"/>
    <w:rPr>
      <w:rFonts w:asciiTheme="minorHAnsi" w:hAnsiTheme="minorHAnsi" w:eastAsiaTheme="minorEastAsia" w:cstheme="minorBidi"/>
      <w:b/>
      <w:sz w:val="21"/>
      <w:szCs w:val="22"/>
    </w:rPr>
  </w:style>
  <w:style w:type="paragraph" w:styleId="87">
    <w:name w:val="Body Text First Indent 2"/>
    <w:basedOn w:val="4"/>
    <w:next w:val="35"/>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6"/>
    <w:next w:val="35"/>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7"/>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8"/>
    <w:qFormat/>
    <w:uiPriority w:val="99"/>
    <w:rPr>
      <w:sz w:val="18"/>
      <w:szCs w:val="18"/>
    </w:rPr>
  </w:style>
  <w:style w:type="character" w:customStyle="1" w:styleId="105">
    <w:name w:val="页脚 Char"/>
    <w:basedOn w:val="90"/>
    <w:link w:val="56"/>
    <w:qFormat/>
    <w:uiPriority w:val="99"/>
    <w:rPr>
      <w:sz w:val="18"/>
      <w:szCs w:val="18"/>
    </w:rPr>
  </w:style>
  <w:style w:type="character" w:customStyle="1" w:styleId="106">
    <w:name w:val="标题 1 Char"/>
    <w:basedOn w:val="90"/>
    <w:link w:val="6"/>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8"/>
    <w:qFormat/>
    <w:uiPriority w:val="0"/>
    <w:rPr>
      <w:rFonts w:ascii="Calibri" w:hAnsi="Calibri" w:eastAsia="宋体" w:cs="Times New Roman"/>
      <w:b/>
      <w:kern w:val="0"/>
      <w:sz w:val="32"/>
      <w:szCs w:val="20"/>
    </w:rPr>
  </w:style>
  <w:style w:type="character" w:customStyle="1" w:styleId="109">
    <w:name w:val="标题 4 Char"/>
    <w:basedOn w:val="90"/>
    <w:link w:val="2"/>
    <w:qFormat/>
    <w:uiPriority w:val="0"/>
    <w:rPr>
      <w:rFonts w:ascii="Arial" w:hAnsi="Arial" w:eastAsia="黑体" w:cs="Times New Roman"/>
      <w:b/>
      <w:sz w:val="28"/>
      <w:szCs w:val="20"/>
    </w:rPr>
  </w:style>
  <w:style w:type="character" w:customStyle="1" w:styleId="110">
    <w:name w:val="标题 5 Char"/>
    <w:basedOn w:val="90"/>
    <w:link w:val="9"/>
    <w:qFormat/>
    <w:uiPriority w:val="0"/>
    <w:rPr>
      <w:rFonts w:ascii="Calibri" w:hAnsi="Calibri" w:eastAsia="宋体" w:cs="Times New Roman"/>
      <w:b/>
      <w:sz w:val="28"/>
      <w:szCs w:val="20"/>
    </w:rPr>
  </w:style>
  <w:style w:type="character" w:customStyle="1" w:styleId="111">
    <w:name w:val="标题 6 Char"/>
    <w:basedOn w:val="90"/>
    <w:link w:val="10"/>
    <w:qFormat/>
    <w:uiPriority w:val="0"/>
    <w:rPr>
      <w:rFonts w:ascii="Arial" w:hAnsi="Arial" w:eastAsia="黑体" w:cs="Times New Roman"/>
      <w:b/>
      <w:kern w:val="0"/>
      <w:sz w:val="24"/>
      <w:szCs w:val="20"/>
    </w:rPr>
  </w:style>
  <w:style w:type="character" w:customStyle="1" w:styleId="112">
    <w:name w:val="标题 7 Char"/>
    <w:basedOn w:val="90"/>
    <w:link w:val="11"/>
    <w:qFormat/>
    <w:uiPriority w:val="0"/>
    <w:rPr>
      <w:rFonts w:ascii="Calibri" w:hAnsi="Calibri" w:eastAsia="宋体" w:cs="Times New Roman"/>
      <w:b/>
      <w:kern w:val="0"/>
      <w:sz w:val="24"/>
      <w:szCs w:val="20"/>
    </w:rPr>
  </w:style>
  <w:style w:type="character" w:customStyle="1" w:styleId="113">
    <w:name w:val="标题 8 Char"/>
    <w:basedOn w:val="90"/>
    <w:link w:val="12"/>
    <w:qFormat/>
    <w:uiPriority w:val="0"/>
    <w:rPr>
      <w:rFonts w:ascii="Arial" w:hAnsi="Arial" w:eastAsia="黑体" w:cs="Times New Roman"/>
      <w:kern w:val="0"/>
      <w:sz w:val="24"/>
      <w:szCs w:val="20"/>
    </w:rPr>
  </w:style>
  <w:style w:type="character" w:customStyle="1" w:styleId="114">
    <w:name w:val="标题 9 Char"/>
    <w:basedOn w:val="90"/>
    <w:link w:val="13"/>
    <w:qFormat/>
    <w:uiPriority w:val="0"/>
    <w:rPr>
      <w:rFonts w:ascii="Arial" w:hAnsi="Arial" w:eastAsia="黑体" w:cs="Times New Roman"/>
      <w:kern w:val="0"/>
      <w:szCs w:val="20"/>
    </w:rPr>
  </w:style>
  <w:style w:type="character" w:customStyle="1" w:styleId="115">
    <w:name w:val="正文文本缩进 Char"/>
    <w:basedOn w:val="90"/>
    <w:link w:val="4"/>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5"/>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5"/>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29"/>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29"/>
    <w:next w:val="29"/>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6"/>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7"/>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8"/>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3"/>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3"/>
    <w:qFormat/>
    <w:uiPriority w:val="0"/>
  </w:style>
  <w:style w:type="character" w:customStyle="1" w:styleId="328">
    <w:name w:val="电子邮件签名 Char1"/>
    <w:basedOn w:val="90"/>
    <w:link w:val="21"/>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1"/>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3"/>
    <w:qFormat/>
    <w:uiPriority w:val="0"/>
  </w:style>
  <w:style w:type="character" w:customStyle="1" w:styleId="334">
    <w:name w:val="注释标题 Char1"/>
    <w:basedOn w:val="90"/>
    <w:link w:val="18"/>
    <w:qFormat/>
    <w:uiPriority w:val="0"/>
  </w:style>
  <w:style w:type="character" w:customStyle="1" w:styleId="335">
    <w:name w:val="正文文本缩进 2 Char2"/>
    <w:basedOn w:val="90"/>
    <w:link w:val="52"/>
    <w:qFormat/>
    <w:uiPriority w:val="0"/>
    <w:rPr>
      <w:rFonts w:ascii="黑体" w:eastAsia="黑体"/>
      <w:sz w:val="28"/>
    </w:rPr>
  </w:style>
  <w:style w:type="character" w:customStyle="1" w:styleId="336">
    <w:name w:val="文档结构图 Char2"/>
    <w:basedOn w:val="90"/>
    <w:link w:val="27"/>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5"/>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36"/>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5"/>
    <w:qFormat/>
    <w:uiPriority w:val="99"/>
    <w:rPr>
      <w:sz w:val="18"/>
    </w:rPr>
  </w:style>
  <w:style w:type="character" w:customStyle="1" w:styleId="344">
    <w:name w:val="称呼 Char1"/>
    <w:basedOn w:val="90"/>
    <w:link w:val="31"/>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2"/>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3"/>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6"/>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6"/>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8"/>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7"/>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8"/>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6"/>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7"/>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8"/>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2"/>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6"/>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8"/>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7"/>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8"/>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36280</Words>
  <Characters>37550</Characters>
  <Lines>299</Lines>
  <Paragraphs>84</Paragraphs>
  <TotalTime>14</TotalTime>
  <ScaleCrop>false</ScaleCrop>
  <LinksUpToDate>false</LinksUpToDate>
  <CharactersWithSpaces>39255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抹茶</cp:lastModifiedBy>
  <cp:lastPrinted>2022-12-01T02:43:00Z</cp:lastPrinted>
  <dcterms:modified xsi:type="dcterms:W3CDTF">2025-07-12T11:32:45Z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1EA1854F3DC841A79B3AEA9264E977DE_13</vt:lpwstr>
  </property>
  <property fmtid="{D5CDD505-2E9C-101B-9397-08002B2CF9AE}" pid="4" name="commondata">
    <vt:lpwstr>eyJoZGlkIjoiNmRkMjM0YzBkMTQyODhiY2M3ZWU5ZTE4NTFhMDAxMGUifQ==</vt:lpwstr>
  </property>
  <property fmtid="{D5CDD505-2E9C-101B-9397-08002B2CF9AE}" pid="5" name="KSOTemplateDocerSaveRecord">
    <vt:lpwstr>eyJoZGlkIjoiMjJhNGQwMWIwMjExYWQ2MDZhNGZkMDBlNjYzM2RhNmYiLCJ1c2VySWQiOiI2NTA3MzE3NTgifQ==</vt:lpwstr>
  </property>
</Properties>
</file>