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EA36E">
      <w:pPr>
        <w:jc w:val="center"/>
        <w:rPr>
          <w:rFonts w:hint="eastAsia" w:ascii="宋体" w:hAnsi="宋体"/>
          <w:sz w:val="84"/>
          <w:szCs w:val="84"/>
          <w:highlight w:val="none"/>
        </w:rPr>
      </w:pPr>
      <w:bookmarkStart w:id="0" w:name="_Toc97372564"/>
      <w:r>
        <w:rPr>
          <w:rFonts w:hint="eastAsia" w:ascii="宋体" w:hAnsi="宋体"/>
          <w:sz w:val="84"/>
          <w:szCs w:val="84"/>
          <w:highlight w:val="none"/>
        </w:rPr>
        <w:t>国内采购文件</w:t>
      </w:r>
    </w:p>
    <w:p w14:paraId="5BB07F16">
      <w:pPr>
        <w:rPr>
          <w:rFonts w:hint="eastAsia" w:ascii="宋体" w:hAnsi="宋体"/>
          <w:highlight w:val="none"/>
        </w:rPr>
      </w:pPr>
    </w:p>
    <w:p w14:paraId="1D085DD0">
      <w:pPr>
        <w:rPr>
          <w:rFonts w:hint="eastAsia" w:ascii="宋体" w:hAnsi="宋体"/>
          <w:highlight w:val="none"/>
        </w:rPr>
      </w:pPr>
    </w:p>
    <w:p w14:paraId="6503C0D6">
      <w:pPr>
        <w:rPr>
          <w:rFonts w:hint="eastAsia" w:ascii="宋体" w:hAnsi="宋体"/>
          <w:highlight w:val="none"/>
        </w:rPr>
      </w:pPr>
    </w:p>
    <w:p w14:paraId="5C09CE7F">
      <w:pPr>
        <w:rPr>
          <w:rFonts w:hint="eastAsia" w:ascii="宋体" w:hAnsi="宋体"/>
          <w:highlight w:val="none"/>
        </w:rPr>
      </w:pPr>
    </w:p>
    <w:p w14:paraId="7F43C888">
      <w:pPr>
        <w:rPr>
          <w:rFonts w:hint="eastAsia" w:ascii="宋体" w:hAnsi="宋体"/>
          <w:highlight w:val="none"/>
        </w:rPr>
      </w:pPr>
    </w:p>
    <w:p w14:paraId="667106E9">
      <w:pPr>
        <w:rPr>
          <w:rFonts w:hint="eastAsia" w:ascii="宋体" w:hAnsi="宋体"/>
          <w:highlight w:val="none"/>
        </w:rPr>
      </w:pPr>
    </w:p>
    <w:p w14:paraId="1922FC14">
      <w:pPr>
        <w:rPr>
          <w:rFonts w:hint="eastAsia" w:ascii="宋体" w:hAnsi="宋体"/>
          <w:highlight w:val="none"/>
        </w:rPr>
      </w:pPr>
    </w:p>
    <w:p w14:paraId="6E2D402A">
      <w:pPr>
        <w:rPr>
          <w:rFonts w:hint="eastAsia" w:ascii="宋体" w:hAnsi="宋体"/>
          <w:highlight w:val="none"/>
        </w:rPr>
      </w:pPr>
    </w:p>
    <w:p w14:paraId="59036E3D">
      <w:pPr>
        <w:jc w:val="center"/>
        <w:rPr>
          <w:rFonts w:hint="eastAsia" w:ascii="宋体" w:hAnsi="宋体" w:cs="宋体"/>
          <w:bCs/>
          <w:spacing w:val="-20"/>
          <w:position w:val="-6"/>
          <w:sz w:val="48"/>
          <w:szCs w:val="48"/>
          <w:highlight w:val="none"/>
        </w:rPr>
      </w:pPr>
      <w:r>
        <w:rPr>
          <w:rFonts w:hint="eastAsia" w:ascii="宋体" w:hAnsi="宋体" w:cs="宋体"/>
          <w:bCs/>
          <w:spacing w:val="-20"/>
          <w:position w:val="-6"/>
          <w:sz w:val="48"/>
          <w:szCs w:val="48"/>
          <w:highlight w:val="none"/>
        </w:rPr>
        <w:t>宁海教育系统创新实验室项目</w:t>
      </w:r>
    </w:p>
    <w:p w14:paraId="73A8F20C">
      <w:pPr>
        <w:rPr>
          <w:rFonts w:ascii="方正小标宋简体" w:eastAsia="方正小标宋简体"/>
          <w:sz w:val="44"/>
          <w:szCs w:val="44"/>
          <w:highlight w:val="none"/>
        </w:rPr>
      </w:pPr>
    </w:p>
    <w:p w14:paraId="335AB909">
      <w:pPr>
        <w:jc w:val="center"/>
        <w:rPr>
          <w:rFonts w:hint="eastAsia" w:ascii="宋体" w:hAnsi="宋体"/>
          <w:sz w:val="32"/>
          <w:szCs w:val="32"/>
          <w:highlight w:val="none"/>
        </w:rPr>
      </w:pPr>
    </w:p>
    <w:p w14:paraId="3A795FB8">
      <w:pPr>
        <w:jc w:val="center"/>
        <w:rPr>
          <w:rFonts w:hint="eastAsia" w:ascii="宋体" w:hAnsi="宋体" w:cs="宋体"/>
          <w:sz w:val="32"/>
          <w:highlight w:val="none"/>
        </w:rPr>
      </w:pPr>
      <w:r>
        <w:rPr>
          <w:rFonts w:hint="eastAsia" w:ascii="宋体" w:hAnsi="宋体" w:cs="宋体"/>
          <w:sz w:val="32"/>
          <w:highlight w:val="none"/>
        </w:rPr>
        <w:t xml:space="preserve"> ZGZB-NHCG2025060</w:t>
      </w:r>
    </w:p>
    <w:p w14:paraId="5D59DA54">
      <w:pPr>
        <w:rPr>
          <w:rFonts w:ascii="方正小标宋简体" w:eastAsia="方正小标宋简体"/>
          <w:sz w:val="24"/>
          <w:highlight w:val="none"/>
        </w:rPr>
      </w:pPr>
    </w:p>
    <w:p w14:paraId="5B19A31A">
      <w:pPr>
        <w:rPr>
          <w:rFonts w:ascii="方正小标宋简体" w:eastAsia="方正小标宋简体"/>
          <w:sz w:val="24"/>
          <w:highlight w:val="none"/>
        </w:rPr>
      </w:pPr>
    </w:p>
    <w:p w14:paraId="01930D71">
      <w:pPr>
        <w:rPr>
          <w:rFonts w:ascii="方正小标宋简体" w:eastAsia="方正小标宋简体"/>
          <w:sz w:val="24"/>
          <w:highlight w:val="none"/>
        </w:rPr>
      </w:pPr>
    </w:p>
    <w:p w14:paraId="0177583C">
      <w:pPr>
        <w:rPr>
          <w:rFonts w:ascii="方正小标宋简体" w:eastAsia="方正小标宋简体"/>
          <w:sz w:val="24"/>
          <w:highlight w:val="none"/>
        </w:rPr>
      </w:pPr>
    </w:p>
    <w:p w14:paraId="5A80A168">
      <w:pPr>
        <w:spacing w:line="480" w:lineRule="auto"/>
        <w:rPr>
          <w:rFonts w:ascii="方正小标宋简体" w:eastAsia="方正小标宋简体"/>
          <w:sz w:val="24"/>
          <w:highlight w:val="none"/>
        </w:rPr>
      </w:pPr>
    </w:p>
    <w:p w14:paraId="13BCED2F">
      <w:pPr>
        <w:spacing w:line="480" w:lineRule="auto"/>
        <w:rPr>
          <w:rFonts w:ascii="方正小标宋简体" w:eastAsia="方正小标宋简体"/>
          <w:sz w:val="24"/>
          <w:highlight w:val="none"/>
        </w:rPr>
      </w:pPr>
    </w:p>
    <w:p w14:paraId="51E3D97F">
      <w:pPr>
        <w:spacing w:line="480" w:lineRule="auto"/>
        <w:rPr>
          <w:rFonts w:ascii="方正小标宋简体" w:eastAsia="方正小标宋简体"/>
          <w:sz w:val="24"/>
          <w:highlight w:val="none"/>
        </w:rPr>
      </w:pPr>
    </w:p>
    <w:p w14:paraId="2D1BCA89">
      <w:pPr>
        <w:spacing w:line="480" w:lineRule="auto"/>
        <w:ind w:firstLine="480" w:firstLineChars="150"/>
        <w:rPr>
          <w:rFonts w:hint="eastAsia" w:ascii="宋体" w:hAnsi="宋体" w:cs="宋体"/>
          <w:sz w:val="32"/>
          <w:highlight w:val="none"/>
        </w:rPr>
      </w:pPr>
      <w:r>
        <w:rPr>
          <w:rFonts w:hint="eastAsia" w:ascii="宋体" w:hAnsi="宋体"/>
          <w:sz w:val="32"/>
          <w:highlight w:val="none"/>
        </w:rPr>
        <w:t>招  标  人：</w:t>
      </w:r>
      <w:r>
        <w:rPr>
          <w:rFonts w:hint="eastAsia" w:ascii="宋体" w:hAnsi="宋体" w:cs="宋体"/>
          <w:sz w:val="32"/>
          <w:highlight w:val="none"/>
        </w:rPr>
        <w:t>宁海县教育局装备与信息管理中心</w:t>
      </w:r>
    </w:p>
    <w:p w14:paraId="1E35A4BE">
      <w:pPr>
        <w:spacing w:line="480" w:lineRule="auto"/>
        <w:ind w:firstLine="480" w:firstLineChars="150"/>
        <w:rPr>
          <w:rFonts w:hint="eastAsia" w:ascii="宋体" w:hAnsi="宋体"/>
          <w:sz w:val="32"/>
          <w:highlight w:val="none"/>
        </w:rPr>
      </w:pPr>
      <w:r>
        <w:rPr>
          <w:rFonts w:hint="eastAsia" w:ascii="宋体" w:hAnsi="宋体"/>
          <w:sz w:val="32"/>
          <w:highlight w:val="none"/>
        </w:rPr>
        <w:t xml:space="preserve">招标代理人: </w:t>
      </w:r>
      <w:r>
        <w:rPr>
          <w:rFonts w:hint="eastAsia" w:ascii="宋体" w:hAnsi="宋体" w:cs="宋体"/>
          <w:sz w:val="32"/>
          <w:highlight w:val="none"/>
        </w:rPr>
        <w:t>中冠工程管理咨询有限公司</w:t>
      </w:r>
    </w:p>
    <w:p w14:paraId="0AFDBEA1">
      <w:pPr>
        <w:pStyle w:val="24"/>
        <w:snapToGrid w:val="0"/>
        <w:spacing w:line="360" w:lineRule="auto"/>
        <w:ind w:firstLine="480" w:firstLineChars="150"/>
        <w:contextualSpacing/>
        <w:rPr>
          <w:b/>
          <w:sz w:val="48"/>
          <w:highlight w:val="none"/>
        </w:rPr>
      </w:pPr>
      <w:r>
        <w:rPr>
          <w:rFonts w:hint="eastAsia" w:hAnsi="宋体" w:cs="宋体"/>
          <w:sz w:val="32"/>
          <w:highlight w:val="none"/>
        </w:rPr>
        <w:t>时      间：二○二五年</w:t>
      </w:r>
      <w:r>
        <w:rPr>
          <w:rFonts w:hint="eastAsia" w:hAnsi="宋体" w:cs="宋体"/>
          <w:sz w:val="32"/>
          <w:highlight w:val="none"/>
          <w:lang w:val="en-US" w:eastAsia="zh-CN"/>
        </w:rPr>
        <w:t>七</w:t>
      </w:r>
      <w:r>
        <w:rPr>
          <w:rFonts w:hint="eastAsia" w:hAnsi="宋体" w:cs="宋体"/>
          <w:sz w:val="32"/>
          <w:highlight w:val="none"/>
        </w:rPr>
        <w:t>月</w:t>
      </w:r>
    </w:p>
    <w:p w14:paraId="4386E368">
      <w:pPr>
        <w:spacing w:line="360" w:lineRule="auto"/>
        <w:ind w:right="-57"/>
        <w:contextualSpacing/>
        <w:rPr>
          <w:w w:val="80"/>
          <w:sz w:val="32"/>
          <w:szCs w:val="32"/>
          <w:highlight w:val="none"/>
        </w:rPr>
        <w:sectPr>
          <w:headerReference r:id="rId5" w:type="first"/>
          <w:headerReference r:id="rId3" w:type="default"/>
          <w:footerReference r:id="rId6" w:type="default"/>
          <w:headerReference r:id="rId4" w:type="even"/>
          <w:footerReference r:id="rId7" w:type="even"/>
          <w:pgSz w:w="11907" w:h="16840"/>
          <w:pgMar w:top="1247" w:right="1559" w:bottom="1304" w:left="1560" w:header="720" w:footer="720" w:gutter="0"/>
          <w:pgNumType w:start="1"/>
          <w:cols w:space="720" w:num="1"/>
          <w:titlePg/>
          <w:docGrid w:linePitch="285" w:charSpace="0"/>
        </w:sectPr>
      </w:pPr>
    </w:p>
    <w:p w14:paraId="28CEDA1C">
      <w:pPr>
        <w:jc w:val="center"/>
        <w:outlineLvl w:val="0"/>
        <w:rPr>
          <w:sz w:val="44"/>
          <w:szCs w:val="44"/>
          <w:highlight w:val="none"/>
        </w:rPr>
      </w:pPr>
      <w:r>
        <w:rPr>
          <w:rFonts w:hint="eastAsia"/>
          <w:sz w:val="44"/>
          <w:szCs w:val="44"/>
          <w:highlight w:val="none"/>
        </w:rPr>
        <w:t>目  录</w:t>
      </w:r>
    </w:p>
    <w:p w14:paraId="22922908">
      <w:pPr>
        <w:jc w:val="center"/>
        <w:outlineLvl w:val="0"/>
        <w:rPr>
          <w:sz w:val="44"/>
          <w:szCs w:val="44"/>
          <w:highlight w:val="none"/>
        </w:rPr>
      </w:pPr>
    </w:p>
    <w:p w14:paraId="5C3CEEF9">
      <w:pPr>
        <w:pStyle w:val="31"/>
        <w:rPr>
          <w:rFonts w:ascii="Calibri" w:hAnsi="Calibri"/>
          <w:sz w:val="21"/>
          <w:szCs w:val="22"/>
          <w:highlight w:val="none"/>
        </w:rPr>
      </w:pPr>
      <w:r>
        <w:rPr>
          <w:w w:val="80"/>
          <w:szCs w:val="24"/>
          <w:highlight w:val="none"/>
        </w:rPr>
        <w:fldChar w:fldCharType="begin"/>
      </w:r>
      <w:r>
        <w:rPr>
          <w:w w:val="80"/>
          <w:szCs w:val="24"/>
          <w:highlight w:val="none"/>
        </w:rPr>
        <w:instrText xml:space="preserve"> TOC \h \z \u \t "标题 1,2,目次、标准名称标题,1,章标题,2,标题,1"</w:instrText>
      </w:r>
      <w:r>
        <w:rPr>
          <w:w w:val="80"/>
          <w:szCs w:val="24"/>
          <w:highlight w:val="none"/>
        </w:rPr>
        <w:fldChar w:fldCharType="separate"/>
      </w:r>
      <w:r>
        <w:rPr>
          <w:highlight w:val="none"/>
        </w:rPr>
        <w:fldChar w:fldCharType="begin"/>
      </w:r>
      <w:r>
        <w:rPr>
          <w:highlight w:val="none"/>
        </w:rPr>
        <w:instrText xml:space="preserve"> HYPERLINK \l "_Toc435088062" </w:instrText>
      </w:r>
      <w:r>
        <w:rPr>
          <w:highlight w:val="none"/>
        </w:rPr>
        <w:fldChar w:fldCharType="separate"/>
      </w:r>
      <w:r>
        <w:rPr>
          <w:rStyle w:val="50"/>
          <w:rFonts w:hint="eastAsia"/>
          <w:color w:val="auto"/>
          <w:kern w:val="44"/>
          <w:highlight w:val="none"/>
        </w:rPr>
        <w:t>第一部分采购公告</w:t>
      </w:r>
      <w:r>
        <w:rPr>
          <w:highlight w:val="none"/>
        </w:rPr>
        <w:tab/>
      </w:r>
      <w:r>
        <w:rPr>
          <w:rFonts w:hint="eastAsia"/>
          <w:highlight w:val="none"/>
        </w:rPr>
        <w:t>1</w:t>
      </w:r>
      <w:r>
        <w:rPr>
          <w:rFonts w:hint="eastAsia"/>
          <w:highlight w:val="none"/>
        </w:rPr>
        <w:fldChar w:fldCharType="end"/>
      </w:r>
    </w:p>
    <w:p w14:paraId="28A8A2D8">
      <w:pPr>
        <w:pStyle w:val="31"/>
        <w:rPr>
          <w:rFonts w:ascii="Calibri" w:hAnsi="Calibri"/>
          <w:sz w:val="21"/>
          <w:szCs w:val="22"/>
          <w:highlight w:val="none"/>
        </w:rPr>
      </w:pPr>
      <w:r>
        <w:rPr>
          <w:highlight w:val="none"/>
        </w:rPr>
        <w:fldChar w:fldCharType="begin"/>
      </w:r>
      <w:r>
        <w:rPr>
          <w:highlight w:val="none"/>
        </w:rPr>
        <w:instrText xml:space="preserve"> HYPERLINK \l "_Toc435088063" </w:instrText>
      </w:r>
      <w:r>
        <w:rPr>
          <w:highlight w:val="none"/>
        </w:rPr>
        <w:fldChar w:fldCharType="separate"/>
      </w:r>
      <w:r>
        <w:rPr>
          <w:rStyle w:val="50"/>
          <w:rFonts w:hint="eastAsia"/>
          <w:color w:val="auto"/>
          <w:kern w:val="44"/>
          <w:highlight w:val="none"/>
        </w:rPr>
        <w:t>第二部分投标资料表</w:t>
      </w:r>
      <w:r>
        <w:rPr>
          <w:highlight w:val="none"/>
        </w:rPr>
        <w:tab/>
      </w:r>
      <w:r>
        <w:rPr>
          <w:highlight w:val="none"/>
        </w:rPr>
        <w:fldChar w:fldCharType="end"/>
      </w:r>
      <w:r>
        <w:rPr>
          <w:rFonts w:hint="eastAsia"/>
          <w:highlight w:val="none"/>
        </w:rPr>
        <w:t>6</w:t>
      </w:r>
    </w:p>
    <w:p w14:paraId="687C10E2">
      <w:pPr>
        <w:pStyle w:val="31"/>
        <w:rPr>
          <w:rFonts w:ascii="Calibri" w:hAnsi="Calibri"/>
          <w:sz w:val="21"/>
          <w:szCs w:val="22"/>
          <w:highlight w:val="none"/>
        </w:rPr>
      </w:pPr>
      <w:r>
        <w:rPr>
          <w:highlight w:val="none"/>
        </w:rPr>
        <w:fldChar w:fldCharType="begin"/>
      </w:r>
      <w:r>
        <w:rPr>
          <w:highlight w:val="none"/>
        </w:rPr>
        <w:instrText xml:space="preserve"> HYPERLINK \l "_Toc435088064" </w:instrText>
      </w:r>
      <w:r>
        <w:rPr>
          <w:highlight w:val="none"/>
        </w:rPr>
        <w:fldChar w:fldCharType="separate"/>
      </w:r>
      <w:r>
        <w:rPr>
          <w:rStyle w:val="50"/>
          <w:rFonts w:hint="eastAsia"/>
          <w:color w:val="auto"/>
          <w:kern w:val="44"/>
          <w:highlight w:val="none"/>
        </w:rPr>
        <w:t>第三部分投标人须知</w:t>
      </w:r>
      <w:r>
        <w:rPr>
          <w:highlight w:val="none"/>
        </w:rPr>
        <w:tab/>
      </w:r>
      <w:r>
        <w:rPr>
          <w:highlight w:val="none"/>
        </w:rPr>
        <w:fldChar w:fldCharType="end"/>
      </w:r>
      <w:r>
        <w:rPr>
          <w:rFonts w:hint="eastAsia"/>
          <w:highlight w:val="none"/>
        </w:rPr>
        <w:t>10</w:t>
      </w:r>
    </w:p>
    <w:p w14:paraId="7AA094D3">
      <w:pPr>
        <w:pStyle w:val="31"/>
        <w:rPr>
          <w:rFonts w:ascii="Calibri" w:hAnsi="Calibri"/>
          <w:sz w:val="21"/>
          <w:szCs w:val="22"/>
          <w:highlight w:val="none"/>
        </w:rPr>
      </w:pPr>
      <w:r>
        <w:rPr>
          <w:highlight w:val="none"/>
        </w:rPr>
        <w:fldChar w:fldCharType="begin"/>
      </w:r>
      <w:r>
        <w:rPr>
          <w:highlight w:val="none"/>
        </w:rPr>
        <w:instrText xml:space="preserve"> HYPERLINK \l "_Toc435088076" </w:instrText>
      </w:r>
      <w:r>
        <w:rPr>
          <w:highlight w:val="none"/>
        </w:rPr>
        <w:fldChar w:fldCharType="separate"/>
      </w:r>
      <w:r>
        <w:rPr>
          <w:rStyle w:val="50"/>
          <w:rFonts w:hint="eastAsia"/>
          <w:color w:val="auto"/>
          <w:kern w:val="44"/>
          <w:highlight w:val="none"/>
        </w:rPr>
        <w:t>第四部分评标办法及标准</w:t>
      </w:r>
      <w:r>
        <w:rPr>
          <w:highlight w:val="none"/>
        </w:rPr>
        <w:tab/>
      </w:r>
      <w:r>
        <w:rPr>
          <w:highlight w:val="none"/>
        </w:rPr>
        <w:fldChar w:fldCharType="end"/>
      </w:r>
      <w:r>
        <w:rPr>
          <w:rFonts w:hint="eastAsia"/>
          <w:highlight w:val="none"/>
        </w:rPr>
        <w:t>21</w:t>
      </w:r>
    </w:p>
    <w:p w14:paraId="7D7A63FA">
      <w:pPr>
        <w:pStyle w:val="31"/>
        <w:rPr>
          <w:rFonts w:ascii="Calibri" w:hAnsi="Calibri"/>
          <w:sz w:val="21"/>
          <w:szCs w:val="22"/>
          <w:highlight w:val="none"/>
        </w:rPr>
      </w:pPr>
      <w:r>
        <w:rPr>
          <w:highlight w:val="none"/>
        </w:rPr>
        <w:fldChar w:fldCharType="begin"/>
      </w:r>
      <w:r>
        <w:rPr>
          <w:highlight w:val="none"/>
        </w:rPr>
        <w:instrText xml:space="preserve"> HYPERLINK \l "_Toc435088077" </w:instrText>
      </w:r>
      <w:r>
        <w:rPr>
          <w:highlight w:val="none"/>
        </w:rPr>
        <w:fldChar w:fldCharType="separate"/>
      </w:r>
      <w:r>
        <w:rPr>
          <w:rStyle w:val="50"/>
          <w:rFonts w:hint="eastAsia"/>
          <w:color w:val="auto"/>
          <w:kern w:val="44"/>
          <w:highlight w:val="none"/>
        </w:rPr>
        <w:t>第五部分采购内容及要求</w:t>
      </w:r>
      <w:r>
        <w:rPr>
          <w:highlight w:val="none"/>
        </w:rPr>
        <w:tab/>
      </w:r>
      <w:r>
        <w:rPr>
          <w:highlight w:val="none"/>
        </w:rPr>
        <w:fldChar w:fldCharType="end"/>
      </w:r>
      <w:r>
        <w:rPr>
          <w:rFonts w:hint="eastAsia"/>
          <w:highlight w:val="none"/>
        </w:rPr>
        <w:t>26</w:t>
      </w:r>
    </w:p>
    <w:p w14:paraId="5B5A5B70">
      <w:pPr>
        <w:pStyle w:val="31"/>
        <w:rPr>
          <w:rFonts w:ascii="Calibri" w:hAnsi="Calibri"/>
          <w:sz w:val="21"/>
          <w:szCs w:val="22"/>
          <w:highlight w:val="none"/>
        </w:rPr>
      </w:pPr>
      <w:r>
        <w:rPr>
          <w:highlight w:val="none"/>
        </w:rPr>
        <w:fldChar w:fldCharType="begin"/>
      </w:r>
      <w:r>
        <w:rPr>
          <w:highlight w:val="none"/>
        </w:rPr>
        <w:instrText xml:space="preserve"> HYPERLINK \l "_Toc435088080" </w:instrText>
      </w:r>
      <w:r>
        <w:rPr>
          <w:highlight w:val="none"/>
        </w:rPr>
        <w:fldChar w:fldCharType="separate"/>
      </w:r>
      <w:r>
        <w:rPr>
          <w:rStyle w:val="50"/>
          <w:rFonts w:hint="eastAsia"/>
          <w:color w:val="auto"/>
          <w:kern w:val="44"/>
          <w:highlight w:val="none"/>
        </w:rPr>
        <w:t>第六部分拟签订的合同</w:t>
      </w:r>
      <w:r>
        <w:rPr>
          <w:highlight w:val="none"/>
        </w:rPr>
        <w:tab/>
      </w:r>
      <w:r>
        <w:rPr>
          <w:highlight w:val="none"/>
        </w:rPr>
        <w:fldChar w:fldCharType="end"/>
      </w:r>
      <w:r>
        <w:rPr>
          <w:rFonts w:hint="eastAsia"/>
          <w:highlight w:val="none"/>
        </w:rPr>
        <w:t>35</w:t>
      </w:r>
    </w:p>
    <w:p w14:paraId="3472CE00">
      <w:pPr>
        <w:pStyle w:val="31"/>
        <w:rPr>
          <w:w w:val="80"/>
          <w:sz w:val="32"/>
          <w:highlight w:val="none"/>
        </w:rPr>
      </w:pPr>
      <w:r>
        <w:rPr>
          <w:highlight w:val="none"/>
        </w:rPr>
        <w:fldChar w:fldCharType="begin"/>
      </w:r>
      <w:r>
        <w:rPr>
          <w:highlight w:val="none"/>
        </w:rPr>
        <w:instrText xml:space="preserve"> HYPERLINK \l "_Toc435088081" </w:instrText>
      </w:r>
      <w:r>
        <w:rPr>
          <w:highlight w:val="none"/>
        </w:rPr>
        <w:fldChar w:fldCharType="separate"/>
      </w:r>
      <w:r>
        <w:rPr>
          <w:rStyle w:val="50"/>
          <w:rFonts w:hint="eastAsia"/>
          <w:color w:val="auto"/>
          <w:kern w:val="44"/>
          <w:highlight w:val="none"/>
        </w:rPr>
        <w:t>第七部分格式与表格</w:t>
      </w:r>
      <w:r>
        <w:rPr>
          <w:highlight w:val="none"/>
        </w:rPr>
        <w:tab/>
      </w:r>
      <w:r>
        <w:rPr>
          <w:rFonts w:hint="eastAsia"/>
          <w:highlight w:val="none"/>
        </w:rPr>
        <w:t>3</w:t>
      </w:r>
      <w:r>
        <w:rPr>
          <w:rFonts w:hint="eastAsia"/>
          <w:highlight w:val="none"/>
        </w:rPr>
        <w:fldChar w:fldCharType="end"/>
      </w:r>
      <w:r>
        <w:rPr>
          <w:rFonts w:hint="eastAsia"/>
          <w:highlight w:val="none"/>
        </w:rPr>
        <w:t>8</w:t>
      </w:r>
      <w:r>
        <w:rPr>
          <w:w w:val="80"/>
          <w:szCs w:val="24"/>
          <w:highlight w:val="none"/>
        </w:rPr>
        <w:fldChar w:fldCharType="end"/>
      </w:r>
    </w:p>
    <w:p w14:paraId="3355A892">
      <w:pPr>
        <w:rPr>
          <w:highlight w:val="none"/>
        </w:rPr>
      </w:pPr>
    </w:p>
    <w:p w14:paraId="7830C952">
      <w:pPr>
        <w:rPr>
          <w:highlight w:val="none"/>
        </w:rPr>
      </w:pPr>
    </w:p>
    <w:p w14:paraId="02A8384B">
      <w:pPr>
        <w:rPr>
          <w:highlight w:val="none"/>
        </w:rPr>
      </w:pPr>
    </w:p>
    <w:p w14:paraId="0A843F22">
      <w:pPr>
        <w:rPr>
          <w:highlight w:val="none"/>
        </w:rPr>
      </w:pPr>
    </w:p>
    <w:p w14:paraId="0E76C370">
      <w:pPr>
        <w:rPr>
          <w:highlight w:val="none"/>
        </w:rPr>
      </w:pPr>
    </w:p>
    <w:p w14:paraId="7D34601D">
      <w:pPr>
        <w:rPr>
          <w:highlight w:val="none"/>
        </w:rPr>
      </w:pPr>
    </w:p>
    <w:p w14:paraId="5D583195">
      <w:pPr>
        <w:rPr>
          <w:highlight w:val="none"/>
        </w:rPr>
      </w:pPr>
    </w:p>
    <w:p w14:paraId="1B72F8B9">
      <w:pPr>
        <w:rPr>
          <w:highlight w:val="none"/>
        </w:rPr>
      </w:pPr>
    </w:p>
    <w:p w14:paraId="24BC91A6">
      <w:pPr>
        <w:rPr>
          <w:highlight w:val="none"/>
        </w:rPr>
      </w:pPr>
    </w:p>
    <w:p w14:paraId="712C48DF">
      <w:pPr>
        <w:rPr>
          <w:highlight w:val="none"/>
        </w:rPr>
      </w:pPr>
    </w:p>
    <w:p w14:paraId="4AF47C5C">
      <w:pPr>
        <w:rPr>
          <w:highlight w:val="none"/>
        </w:rPr>
      </w:pPr>
    </w:p>
    <w:p w14:paraId="2053BE40">
      <w:pPr>
        <w:rPr>
          <w:highlight w:val="none"/>
        </w:rPr>
      </w:pPr>
    </w:p>
    <w:p w14:paraId="47B65525">
      <w:pPr>
        <w:rPr>
          <w:highlight w:val="none"/>
        </w:rPr>
      </w:pPr>
    </w:p>
    <w:p w14:paraId="38ED599D">
      <w:pPr>
        <w:rPr>
          <w:highlight w:val="none"/>
        </w:rPr>
      </w:pPr>
    </w:p>
    <w:p w14:paraId="0493A877">
      <w:pPr>
        <w:rPr>
          <w:highlight w:val="none"/>
        </w:rPr>
      </w:pPr>
    </w:p>
    <w:p w14:paraId="2FB29B33">
      <w:pPr>
        <w:rPr>
          <w:highlight w:val="none"/>
        </w:rPr>
      </w:pPr>
    </w:p>
    <w:p w14:paraId="71F8AF51">
      <w:pPr>
        <w:rPr>
          <w:highlight w:val="none"/>
        </w:rPr>
      </w:pPr>
    </w:p>
    <w:p w14:paraId="6C6AB4AD">
      <w:pPr>
        <w:rPr>
          <w:highlight w:val="none"/>
        </w:rPr>
      </w:pPr>
    </w:p>
    <w:p w14:paraId="54A25399">
      <w:pPr>
        <w:rPr>
          <w:highlight w:val="none"/>
        </w:rPr>
      </w:pPr>
    </w:p>
    <w:p w14:paraId="726DED12">
      <w:pPr>
        <w:rPr>
          <w:highlight w:val="none"/>
        </w:rPr>
      </w:pPr>
    </w:p>
    <w:p w14:paraId="7E2CB93B">
      <w:pPr>
        <w:rPr>
          <w:highlight w:val="none"/>
        </w:rPr>
      </w:pPr>
    </w:p>
    <w:p w14:paraId="14CB09A4">
      <w:pPr>
        <w:rPr>
          <w:highlight w:val="none"/>
        </w:rPr>
      </w:pPr>
    </w:p>
    <w:p w14:paraId="4C3DA022">
      <w:pPr>
        <w:rPr>
          <w:highlight w:val="none"/>
        </w:rPr>
      </w:pPr>
    </w:p>
    <w:p w14:paraId="73352418">
      <w:pPr>
        <w:rPr>
          <w:highlight w:val="none"/>
        </w:rPr>
      </w:pPr>
    </w:p>
    <w:p w14:paraId="58B6B490">
      <w:pPr>
        <w:rPr>
          <w:highlight w:val="none"/>
        </w:rPr>
      </w:pPr>
    </w:p>
    <w:p w14:paraId="7439DE49">
      <w:pPr>
        <w:rPr>
          <w:highlight w:val="none"/>
        </w:rPr>
      </w:pPr>
    </w:p>
    <w:p w14:paraId="6B119EE3">
      <w:pPr>
        <w:rPr>
          <w:highlight w:val="none"/>
        </w:rPr>
      </w:pPr>
    </w:p>
    <w:p w14:paraId="1E095AC9">
      <w:pPr>
        <w:rPr>
          <w:highlight w:val="none"/>
        </w:rPr>
      </w:pPr>
    </w:p>
    <w:p w14:paraId="67EC8F48">
      <w:pPr>
        <w:rPr>
          <w:highlight w:val="none"/>
        </w:rPr>
      </w:pPr>
    </w:p>
    <w:p w14:paraId="7941BB2F">
      <w:pPr>
        <w:rPr>
          <w:highlight w:val="none"/>
        </w:rPr>
      </w:pPr>
    </w:p>
    <w:p w14:paraId="69B6E7D8">
      <w:pPr>
        <w:rPr>
          <w:highlight w:val="none"/>
        </w:rPr>
      </w:pPr>
    </w:p>
    <w:p w14:paraId="28E9275B">
      <w:pPr>
        <w:rPr>
          <w:highlight w:val="none"/>
        </w:rPr>
      </w:pPr>
    </w:p>
    <w:p w14:paraId="13979864">
      <w:pPr>
        <w:rPr>
          <w:highlight w:val="none"/>
        </w:rPr>
      </w:pPr>
    </w:p>
    <w:p w14:paraId="39BDEEFF">
      <w:pPr>
        <w:rPr>
          <w:highlight w:val="none"/>
        </w:rPr>
      </w:pPr>
    </w:p>
    <w:p w14:paraId="46868F18">
      <w:pPr>
        <w:rPr>
          <w:highlight w:val="none"/>
        </w:rPr>
      </w:pPr>
    </w:p>
    <w:p w14:paraId="332C591F">
      <w:pPr>
        <w:rPr>
          <w:highlight w:val="none"/>
        </w:rPr>
      </w:pPr>
    </w:p>
    <w:p w14:paraId="4763C617">
      <w:pPr>
        <w:rPr>
          <w:highlight w:val="none"/>
        </w:rPr>
      </w:pPr>
    </w:p>
    <w:p w14:paraId="59B3334D">
      <w:pPr>
        <w:rPr>
          <w:highlight w:val="none"/>
        </w:rPr>
      </w:pPr>
    </w:p>
    <w:p w14:paraId="4AC3EDBC">
      <w:pPr>
        <w:rPr>
          <w:highlight w:val="none"/>
        </w:rPr>
      </w:pPr>
    </w:p>
    <w:p w14:paraId="59841A30">
      <w:pPr>
        <w:pStyle w:val="42"/>
        <w:rPr>
          <w:rFonts w:ascii="Times New Roman" w:hAnsi="Times New Roman"/>
          <w:kern w:val="44"/>
          <w:highlight w:val="none"/>
        </w:rPr>
        <w:sectPr>
          <w:headerReference r:id="rId8" w:type="default"/>
          <w:type w:val="nextColumn"/>
          <w:pgSz w:w="11907" w:h="16840"/>
          <w:pgMar w:top="1247" w:right="1531" w:bottom="1304" w:left="1531" w:header="426" w:footer="706" w:gutter="0"/>
          <w:cols w:space="720" w:num="1"/>
          <w:docGrid w:linePitch="285" w:charSpace="0"/>
        </w:sectPr>
      </w:pPr>
      <w:bookmarkStart w:id="1" w:name="_Toc262312595"/>
      <w:bookmarkStart w:id="2" w:name="_Toc263083249"/>
      <w:bookmarkStart w:id="3" w:name="_Toc435088062"/>
    </w:p>
    <w:p w14:paraId="3BED9BEC">
      <w:pPr>
        <w:pStyle w:val="42"/>
        <w:rPr>
          <w:rFonts w:ascii="Times New Roman" w:hAnsi="Times New Roman"/>
          <w:kern w:val="44"/>
          <w:highlight w:val="none"/>
        </w:rPr>
      </w:pPr>
      <w:r>
        <w:rPr>
          <w:rFonts w:hint="eastAsia" w:ascii="Times New Roman" w:hAnsi="Times New Roman"/>
          <w:kern w:val="44"/>
          <w:highlight w:val="none"/>
        </w:rPr>
        <w:t xml:space="preserve">第一部分 </w:t>
      </w:r>
      <w:bookmarkEnd w:id="1"/>
      <w:bookmarkEnd w:id="2"/>
      <w:r>
        <w:rPr>
          <w:rFonts w:hint="eastAsia" w:ascii="Times New Roman" w:hAnsi="Times New Roman"/>
          <w:kern w:val="44"/>
          <w:highlight w:val="none"/>
        </w:rPr>
        <w:t>采购公告</w:t>
      </w:r>
      <w:bookmarkEnd w:id="3"/>
    </w:p>
    <w:p w14:paraId="25838993">
      <w:pPr>
        <w:pStyle w:val="42"/>
        <w:rPr>
          <w:rFonts w:ascii="Times New Roman" w:hAnsi="Times New Roman"/>
          <w:kern w:val="44"/>
          <w:highlight w:val="none"/>
        </w:rPr>
      </w:pPr>
    </w:p>
    <w:p w14:paraId="424181E7">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u w:val="single"/>
        </w:rPr>
        <w:t>宁海教育系统创新实验室项目</w:t>
      </w:r>
      <w:r>
        <w:rPr>
          <w:rFonts w:hint="eastAsia" w:ascii="宋体" w:hAnsi="宋体" w:cs="Arial"/>
          <w:color w:val="333333"/>
          <w:kern w:val="0"/>
          <w:szCs w:val="21"/>
          <w:highlight w:val="none"/>
        </w:rPr>
        <w:t>招标项目的潜在投标人应在</w:t>
      </w:r>
      <w:r>
        <w:rPr>
          <w:rFonts w:hint="eastAsia" w:ascii="宋体" w:hAnsi="宋体" w:cs="Arial"/>
          <w:color w:val="333333"/>
          <w:kern w:val="0"/>
          <w:szCs w:val="21"/>
          <w:highlight w:val="none"/>
          <w:u w:val="single"/>
        </w:rPr>
        <w:t>政府采购云平台（</w:t>
      </w:r>
      <w:r>
        <w:rPr>
          <w:highlight w:val="none"/>
        </w:rPr>
        <w:fldChar w:fldCharType="begin"/>
      </w:r>
      <w:r>
        <w:rPr>
          <w:highlight w:val="none"/>
        </w:rPr>
        <w:instrText xml:space="preserve"> HYPERLINK "http://www.zcygov.cn）获取招标文件，并于2020年" </w:instrText>
      </w:r>
      <w:r>
        <w:rPr>
          <w:highlight w:val="none"/>
        </w:rPr>
        <w:fldChar w:fldCharType="separate"/>
      </w:r>
      <w:r>
        <w:rPr>
          <w:rFonts w:hint="eastAsia"/>
          <w:color w:val="333333"/>
          <w:highlight w:val="none"/>
          <w:u w:val="single"/>
        </w:rPr>
        <w:t>www.zcygov.cn</w:t>
      </w:r>
      <w:r>
        <w:rPr>
          <w:rFonts w:hint="eastAsia"/>
          <w:color w:val="333333"/>
          <w:highlight w:val="none"/>
        </w:rPr>
        <w:t>）获取招标文件，并于</w:t>
      </w:r>
      <w:r>
        <w:rPr>
          <w:rFonts w:hint="eastAsia"/>
          <w:color w:val="333333"/>
          <w:highlight w:val="none"/>
          <w:u w:val="single"/>
        </w:rPr>
        <w:t>2025</w:t>
      </w:r>
      <w:r>
        <w:rPr>
          <w:rFonts w:hint="eastAsia"/>
          <w:color w:val="333333"/>
          <w:highlight w:val="none"/>
        </w:rPr>
        <w:t>年</w:t>
      </w:r>
      <w:r>
        <w:rPr>
          <w:rFonts w:hint="eastAsia"/>
          <w:color w:val="333333"/>
          <w:highlight w:val="none"/>
        </w:rPr>
        <w:fldChar w:fldCharType="end"/>
      </w:r>
      <w:r>
        <w:rPr>
          <w:rFonts w:hint="eastAsia"/>
          <w:color w:val="333333"/>
          <w:highlight w:val="none"/>
          <w:u w:val="single"/>
          <w:lang w:val="en-US" w:eastAsia="zh-CN"/>
        </w:rPr>
        <w:t>07</w:t>
      </w:r>
      <w:r>
        <w:rPr>
          <w:rFonts w:hint="eastAsia"/>
          <w:color w:val="333333"/>
          <w:highlight w:val="none"/>
        </w:rPr>
        <w:t>月</w:t>
      </w:r>
      <w:r>
        <w:rPr>
          <w:rFonts w:hint="eastAsia"/>
          <w:color w:val="333333"/>
          <w:highlight w:val="none"/>
          <w:u w:val="single"/>
          <w:lang w:val="en-US" w:eastAsia="zh-CN"/>
        </w:rPr>
        <w:t>25</w:t>
      </w:r>
      <w:r>
        <w:rPr>
          <w:rFonts w:hint="eastAsia"/>
          <w:color w:val="333333"/>
          <w:highlight w:val="none"/>
        </w:rPr>
        <w:t>日</w:t>
      </w:r>
      <w:r>
        <w:rPr>
          <w:rFonts w:hint="eastAsia"/>
          <w:color w:val="333333"/>
          <w:highlight w:val="none"/>
          <w:u w:val="single"/>
          <w:lang w:val="en-US" w:eastAsia="zh-CN"/>
        </w:rPr>
        <w:t>09</w:t>
      </w:r>
      <w:r>
        <w:rPr>
          <w:rFonts w:hint="eastAsia"/>
          <w:color w:val="333333"/>
          <w:highlight w:val="none"/>
        </w:rPr>
        <w:t>点</w:t>
      </w:r>
      <w:r>
        <w:rPr>
          <w:rFonts w:hint="eastAsia"/>
          <w:color w:val="333333"/>
          <w:highlight w:val="none"/>
          <w:u w:val="single"/>
          <w:lang w:val="en-US" w:eastAsia="zh-CN"/>
        </w:rPr>
        <w:t>00</w:t>
      </w:r>
      <w:r>
        <w:rPr>
          <w:rFonts w:hint="eastAsia"/>
          <w:color w:val="333333"/>
          <w:highlight w:val="none"/>
        </w:rPr>
        <w:t>分（</w:t>
      </w:r>
      <w:r>
        <w:rPr>
          <w:rFonts w:hint="eastAsia" w:ascii="宋体" w:hAnsi="宋体" w:cs="Arial"/>
          <w:color w:val="333333"/>
          <w:kern w:val="0"/>
          <w:szCs w:val="21"/>
          <w:highlight w:val="none"/>
        </w:rPr>
        <w:t>北京时间）前递交投标文件。</w:t>
      </w:r>
    </w:p>
    <w:p w14:paraId="662148EB">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一、项目基本情况</w:t>
      </w:r>
    </w:p>
    <w:p w14:paraId="25F73C95">
      <w:pPr>
        <w:widowControl/>
        <w:spacing w:before="100" w:beforeAutospacing="1" w:after="100" w:afterAutospacing="1" w:line="405" w:lineRule="atLeast"/>
        <w:ind w:firstLine="420"/>
        <w:jc w:val="left"/>
        <w:rPr>
          <w:rFonts w:ascii="Arial" w:hAnsi="Arial" w:cs="Arial"/>
          <w:color w:val="333333"/>
          <w:kern w:val="0"/>
          <w:szCs w:val="21"/>
          <w:highlight w:val="none"/>
        </w:rPr>
      </w:pPr>
      <w:r>
        <w:rPr>
          <w:rFonts w:hint="eastAsia" w:ascii="宋体" w:hAnsi="宋体" w:cs="Arial"/>
          <w:color w:val="333333"/>
          <w:kern w:val="0"/>
          <w:szCs w:val="21"/>
          <w:highlight w:val="none"/>
        </w:rPr>
        <w:t>项目编号：ZGZB-NHCG2025060</w:t>
      </w:r>
    </w:p>
    <w:p w14:paraId="18DBF879">
      <w:pPr>
        <w:widowControl/>
        <w:spacing w:before="100" w:beforeAutospacing="1" w:after="100" w:afterAutospacing="1" w:line="405" w:lineRule="atLeast"/>
        <w:ind w:firstLine="420"/>
        <w:jc w:val="left"/>
        <w:rPr>
          <w:rFonts w:ascii="Arial" w:hAnsi="Arial" w:cs="Arial"/>
          <w:color w:val="333333"/>
          <w:kern w:val="0"/>
          <w:szCs w:val="21"/>
          <w:highlight w:val="none"/>
        </w:rPr>
      </w:pPr>
      <w:r>
        <w:rPr>
          <w:rFonts w:hint="eastAsia" w:ascii="宋体" w:hAnsi="宋体" w:cs="Arial"/>
          <w:color w:val="333333"/>
          <w:kern w:val="0"/>
          <w:szCs w:val="21"/>
          <w:highlight w:val="none"/>
        </w:rPr>
        <w:t>项目名称：宁海教育系统创新实验室项目</w:t>
      </w:r>
    </w:p>
    <w:p w14:paraId="49D7F35A">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预算金额：81.2050万元。</w:t>
      </w:r>
    </w:p>
    <w:p w14:paraId="7C9FA2C7">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采购需求：采购用于跃龙中学AI智慧实验室、桃源中学基础教研室、金桥小学科学探索中心的设备及安装服务一批。详见采购文件第五章“采购内容及要求”。</w:t>
      </w:r>
    </w:p>
    <w:p w14:paraId="13349964">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合同履行期限：合同签订后2个月内完成所有设备的安装、调试</w:t>
      </w:r>
      <w:r>
        <w:rPr>
          <w:rFonts w:hint="eastAsia" w:ascii="宋体" w:hAnsi="宋体" w:cs="宋体"/>
          <w:szCs w:val="21"/>
          <w:highlight w:val="none"/>
        </w:rPr>
        <w:t>并完成初验</w:t>
      </w:r>
      <w:r>
        <w:rPr>
          <w:rFonts w:hint="eastAsia" w:ascii="宋体" w:hAnsi="宋体" w:cs="Arial"/>
          <w:color w:val="333333"/>
          <w:kern w:val="0"/>
          <w:szCs w:val="21"/>
          <w:highlight w:val="none"/>
        </w:rPr>
        <w:t>。</w:t>
      </w:r>
    </w:p>
    <w:p w14:paraId="63ED56C9">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本项目（否）接受联合体投标。</w:t>
      </w:r>
    </w:p>
    <w:p w14:paraId="23274579">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二、申请人的资格要求：</w:t>
      </w:r>
    </w:p>
    <w:p w14:paraId="34A0EE60">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1.满足《中华人民共和国政府采购法》第二十二条规定；</w:t>
      </w:r>
    </w:p>
    <w:p w14:paraId="1CE5B44A">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2.落实政府采购政策需满足的资格要求：无；</w:t>
      </w:r>
    </w:p>
    <w:p w14:paraId="33424570">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3.本项目的特定资格要求：</w:t>
      </w:r>
      <w:r>
        <w:rPr>
          <w:rFonts w:hint="eastAsia" w:ascii="Arial" w:hAnsi="Arial" w:cs="宋体"/>
          <w:highlight w:val="none"/>
        </w:rPr>
        <w:t>项目属于专门面向中小企业采购的项目，所投产品的制造商应为符合《政府采购促进中小企业发展管理办法》（财库﹝2020﹞46 号）规定的中小企业（其中，小微企业包括视同为小型、微型企业的监狱企业、残疾人福利性单位。）</w:t>
      </w:r>
      <w:r>
        <w:rPr>
          <w:rFonts w:hint="eastAsia" w:ascii="宋体" w:hAnsi="宋体" w:cs="Arial"/>
          <w:color w:val="333333"/>
          <w:kern w:val="0"/>
          <w:szCs w:val="21"/>
          <w:highlight w:val="none"/>
        </w:rPr>
        <w:t>；</w:t>
      </w:r>
    </w:p>
    <w:p w14:paraId="106EA944">
      <w:pPr>
        <w:widowControl/>
        <w:wordWrap w:val="0"/>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4. 投标人和投标人的法定代表人/负责人未被列入失信被执行人、重大税收违法失信主体、政府采购严重违法失信行为记录名单等。</w:t>
      </w:r>
    </w:p>
    <w:p w14:paraId="00604570">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三、获取招标文件</w:t>
      </w:r>
    </w:p>
    <w:p w14:paraId="085481DA">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时间：</w:t>
      </w:r>
      <w:r>
        <w:rPr>
          <w:rFonts w:hint="eastAsia" w:cs="宋体"/>
          <w:szCs w:val="21"/>
          <w:highlight w:val="none"/>
        </w:rPr>
        <w:t>提交投标文件截止时间前</w:t>
      </w:r>
      <w:r>
        <w:rPr>
          <w:rFonts w:hint="eastAsia" w:ascii="宋体" w:hAnsi="宋体" w:cs="Arial"/>
          <w:kern w:val="0"/>
          <w:szCs w:val="21"/>
          <w:highlight w:val="none"/>
        </w:rPr>
        <w:t>。</w:t>
      </w:r>
    </w:p>
    <w:p w14:paraId="2D064976">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地点：政府采购云平台（www.zcygov.cn）。</w:t>
      </w:r>
    </w:p>
    <w:p w14:paraId="653CFDBC">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方式：通过政府采购云平台下载。</w:t>
      </w:r>
    </w:p>
    <w:p w14:paraId="6FDF09FF">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售价：无。</w:t>
      </w:r>
    </w:p>
    <w:p w14:paraId="5A8F64FC">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四、提交投标文件截止时间、开标时间和地点</w:t>
      </w:r>
    </w:p>
    <w:p w14:paraId="4A22005F">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提交投标文件截止时间：</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ascii="宋体" w:hAnsi="宋体" w:cs="Arial"/>
          <w:color w:val="333333"/>
          <w:kern w:val="0"/>
          <w:szCs w:val="21"/>
          <w:highlight w:val="none"/>
          <w:lang w:val="en-US" w:eastAsia="zh-CN"/>
        </w:rPr>
        <w:t>09</w:t>
      </w:r>
      <w:r>
        <w:rPr>
          <w:rFonts w:hint="eastAsia" w:ascii="宋体" w:hAnsi="宋体" w:cs="Arial"/>
          <w:color w:val="333333"/>
          <w:kern w:val="0"/>
          <w:szCs w:val="21"/>
          <w:highlight w:val="none"/>
        </w:rPr>
        <w:t>点</w:t>
      </w:r>
      <w:r>
        <w:rPr>
          <w:rFonts w:hint="eastAsia" w:ascii="宋体" w:hAnsi="宋体" w:cs="Arial"/>
          <w:color w:val="333333"/>
          <w:kern w:val="0"/>
          <w:szCs w:val="21"/>
          <w:highlight w:val="none"/>
          <w:lang w:val="en-US" w:eastAsia="zh-CN"/>
        </w:rPr>
        <w:t>00</w:t>
      </w:r>
      <w:r>
        <w:rPr>
          <w:rFonts w:hint="eastAsia" w:ascii="宋体" w:hAnsi="宋体" w:cs="Arial"/>
          <w:color w:val="333333"/>
          <w:kern w:val="0"/>
          <w:szCs w:val="21"/>
          <w:highlight w:val="none"/>
        </w:rPr>
        <w:t>分（北京时间）</w:t>
      </w:r>
    </w:p>
    <w:p w14:paraId="15751AC6">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投标地点（网址）：请登录政采云投标客户端投标</w:t>
      </w:r>
    </w:p>
    <w:p w14:paraId="4890E4BD">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开标时间：</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ascii="宋体" w:hAnsi="宋体" w:cs="Arial"/>
          <w:color w:val="333333"/>
          <w:kern w:val="0"/>
          <w:szCs w:val="21"/>
          <w:highlight w:val="none"/>
          <w:lang w:val="en-US" w:eastAsia="zh-CN"/>
        </w:rPr>
        <w:t>09</w:t>
      </w:r>
      <w:r>
        <w:rPr>
          <w:rFonts w:hint="eastAsia" w:ascii="宋体" w:hAnsi="宋体" w:cs="Arial"/>
          <w:color w:val="333333"/>
          <w:kern w:val="0"/>
          <w:szCs w:val="21"/>
          <w:highlight w:val="none"/>
        </w:rPr>
        <w:t>点</w:t>
      </w:r>
      <w:r>
        <w:rPr>
          <w:rFonts w:hint="eastAsia" w:ascii="宋体" w:hAnsi="宋体" w:cs="Arial"/>
          <w:color w:val="333333"/>
          <w:kern w:val="0"/>
          <w:szCs w:val="21"/>
          <w:highlight w:val="none"/>
          <w:lang w:val="en-US" w:eastAsia="zh-CN"/>
        </w:rPr>
        <w:t>00</w:t>
      </w:r>
      <w:r>
        <w:rPr>
          <w:rFonts w:hint="eastAsia" w:ascii="宋体" w:hAnsi="宋体" w:cs="Arial"/>
          <w:color w:val="333333"/>
          <w:kern w:val="0"/>
          <w:szCs w:val="21"/>
          <w:highlight w:val="none"/>
        </w:rPr>
        <w:t>分（北京时间）</w:t>
      </w:r>
    </w:p>
    <w:p w14:paraId="79A3F315">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开标地点（网址）：</w:t>
      </w:r>
      <w:r>
        <w:rPr>
          <w:rFonts w:hint="eastAsia" w:ascii="宋体" w:hAnsi="宋体" w:cs="Arial"/>
          <w:color w:val="333333"/>
          <w:kern w:val="0"/>
          <w:szCs w:val="21"/>
          <w:highlight w:val="none"/>
        </w:rPr>
        <w:t>供应商于2025年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ascii="宋体" w:hAnsi="宋体" w:cs="Arial"/>
          <w:color w:val="333333"/>
          <w:kern w:val="0"/>
          <w:szCs w:val="21"/>
          <w:highlight w:val="none"/>
          <w:lang w:val="en-US" w:eastAsia="zh-CN"/>
        </w:rPr>
        <w:t>09</w:t>
      </w:r>
      <w:r>
        <w:rPr>
          <w:rFonts w:hint="eastAsia" w:ascii="宋体" w:hAnsi="宋体" w:cs="Arial"/>
          <w:color w:val="333333"/>
          <w:kern w:val="0"/>
          <w:szCs w:val="21"/>
          <w:highlight w:val="none"/>
        </w:rPr>
        <w:t>点</w:t>
      </w:r>
      <w:r>
        <w:rPr>
          <w:rFonts w:hint="eastAsia" w:ascii="宋体" w:hAnsi="宋体" w:cs="Arial"/>
          <w:color w:val="333333"/>
          <w:kern w:val="0"/>
          <w:szCs w:val="21"/>
          <w:highlight w:val="none"/>
          <w:lang w:val="en-US" w:eastAsia="zh-CN"/>
        </w:rPr>
        <w:t>00</w:t>
      </w:r>
      <w:r>
        <w:rPr>
          <w:rFonts w:hint="eastAsia" w:ascii="宋体" w:hAnsi="宋体" w:cs="Arial"/>
          <w:color w:val="333333"/>
          <w:kern w:val="0"/>
          <w:szCs w:val="21"/>
          <w:highlight w:val="none"/>
        </w:rPr>
        <w:t>分（北京时间）前将电子投标文件上传到政府采购云平台，未上传电子投标文件的，视为供应商放弃投标。</w:t>
      </w:r>
    </w:p>
    <w:p w14:paraId="21B17753">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五、公告期限</w:t>
      </w:r>
    </w:p>
    <w:p w14:paraId="303B6705">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自本公告发布之日起5个工作日。</w:t>
      </w:r>
    </w:p>
    <w:p w14:paraId="71EC09AC">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六、其他补充事宜</w:t>
      </w:r>
    </w:p>
    <w:p w14:paraId="073C0A0B">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Arial"/>
          <w:kern w:val="0"/>
          <w:szCs w:val="21"/>
          <w:highlight w:val="none"/>
        </w:rPr>
        <w:br w:type="textWrapping"/>
      </w:r>
      <w:r>
        <w:rPr>
          <w:rFonts w:hint="eastAsia" w:ascii="宋体" w:hAnsi="宋体" w:cs="Arial"/>
          <w:kern w:val="0"/>
          <w:szCs w:val="21"/>
          <w:highlight w:val="none"/>
        </w:rPr>
        <w:t>  2.其他事项：</w:t>
      </w:r>
    </w:p>
    <w:p w14:paraId="2559F388">
      <w:pPr>
        <w:widowControl/>
        <w:spacing w:before="100" w:beforeAutospacing="1" w:line="405" w:lineRule="atLeast"/>
        <w:ind w:firstLine="420"/>
        <w:jc w:val="left"/>
        <w:rPr>
          <w:rFonts w:hint="eastAsia" w:ascii="宋体" w:hAnsi="宋体" w:cs="Arial"/>
          <w:kern w:val="0"/>
          <w:szCs w:val="21"/>
          <w:highlight w:val="none"/>
        </w:rPr>
      </w:pPr>
      <w:r>
        <w:rPr>
          <w:rFonts w:hint="eastAsia" w:ascii="宋体" w:hAnsi="宋体" w:cs="Arial"/>
          <w:kern w:val="0"/>
          <w:szCs w:val="21"/>
          <w:highlight w:val="none"/>
        </w:rPr>
        <w:t>2.1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6E07057">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 xml:space="preserve">2.2落实的政策： </w:t>
      </w:r>
    </w:p>
    <w:p w14:paraId="6B427B77">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2.2.1对小微企业的产品给予价格优惠（监狱企业、残疾人福利性单位视同小微企业；残疾人福利性单位属于小型、微型企业的，不重复享受政策）；</w:t>
      </w:r>
    </w:p>
    <w:p w14:paraId="70877778">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2.2.2优先采购节能环保产品（注：所采购的货物在政府采购节能产品、环境标志产品实施品目清单范围内，且具有国家确定的认证机构出具的、处于有效期之内的节能产品、环境标志产品认证证书）。</w:t>
      </w:r>
    </w:p>
    <w:p w14:paraId="17FF1E86">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2.3供应商需按照《浙江省政府采购供应商注册及诚信管理暂行办法》的规定在“浙江政府采购网”政采云平台注册登记的，成为浙江省政府采购注册供应商。如未注册的供应商，请注意注册所需时间。</w:t>
      </w:r>
    </w:p>
    <w:p w14:paraId="3142ABC2">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2.4投标与开标注意事项：</w:t>
      </w:r>
    </w:p>
    <w:p w14:paraId="65C40A57">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4.1本项目实行网上投标，采用电子响应文件。若供应商参与投标，自行承担投标一切费用。</w:t>
      </w:r>
    </w:p>
    <w:p w14:paraId="2CCD95C8">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4.2标前准备：各供应商应在开标前确保成为浙江政府采购网正式注册入库供应商，并完成CA数字证书办理。同时供应商须保证在政府采购云平台注册的手机号码通讯畅通，能够及时收到评标过程中发送的询标通知。因未注册入库、未办理CA数字证书、手机通讯不畅等原因造成无法投标、投标失败或响应不及时等后果由供应商自行承担。</w:t>
      </w:r>
    </w:p>
    <w:p w14:paraId="65F7DBE4">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4.3响应文件制作：</w:t>
      </w:r>
    </w:p>
    <w:p w14:paraId="70BBA98B">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4.3.1应按照本项目采购文件和政府采购云平台的要求编制、加密并递交响应文件。供应商在使用系统进行投标的过程中遇到涉及平台使用的任何问题，可致电政府采购云平台技术支持热线咨询，联系方式：95763。</w:t>
      </w:r>
    </w:p>
    <w:p w14:paraId="6A643307">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4.3.2供应商通过政府采购云平台电子投标工具制作响应文件，电子投标工具请供应商自行前往浙江政府采购网下载并安装，响应文件制作具体流程详见政府采购云平台。</w:t>
      </w:r>
    </w:p>
    <w:p w14:paraId="2106855C">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 4.3.3以U盘存储的电子备份响应文件1份，按政府采购云平台要求制作的电子备份响应文件，以用于异常情况处理。</w:t>
      </w:r>
    </w:p>
    <w:p w14:paraId="1236F0E4">
      <w:pPr>
        <w:widowControl/>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2.5本采购公告附件中的采购文件仅供阅览使用，供应商应在规定的采购文件获取期限内在政采云平台登录供应商注册的账号后获取采购文件，未按上述方式获取采购文件的，不得对采购文件提起质疑投诉。</w:t>
      </w:r>
    </w:p>
    <w:p w14:paraId="60C425D4">
      <w:pPr>
        <w:widowControl/>
        <w:wordWrap w:val="0"/>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2.6供应商应于提交响应文件截止时间前将电子响应文件上传到政府采购云平台www.zcygov.cn，未上传电子响应文件，视为供应商放弃投标。</w:t>
      </w:r>
    </w:p>
    <w:p w14:paraId="5FEC2F66">
      <w:pPr>
        <w:widowControl/>
        <w:wordWrap w:val="0"/>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2.7供应商电子备份响应文件的投标方式：供应商可采用邮寄（含快递）方式或现场方式递交。</w:t>
      </w:r>
    </w:p>
    <w:p w14:paraId="02E33FCA">
      <w:pPr>
        <w:widowControl/>
        <w:wordWrap w:val="0"/>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2.7.1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14:paraId="6312D2CA">
      <w:pPr>
        <w:widowControl/>
        <w:wordWrap w:val="0"/>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邮寄须在</w:t>
      </w:r>
      <w:r>
        <w:rPr>
          <w:rFonts w:ascii="宋体" w:hAnsi="宋体" w:cs="Arial"/>
          <w:color w:val="333333"/>
          <w:kern w:val="0"/>
          <w:szCs w:val="21"/>
          <w:highlight w:val="none"/>
        </w:rPr>
        <w:t>提交投标文件截止时间</w:t>
      </w:r>
      <w:r>
        <w:rPr>
          <w:rFonts w:hint="eastAsia" w:ascii="宋体" w:hAnsi="宋体" w:cs="Arial"/>
          <w:color w:val="333333"/>
          <w:kern w:val="0"/>
          <w:szCs w:val="21"/>
          <w:highlight w:val="none"/>
        </w:rPr>
        <w:t>前一天</w:t>
      </w:r>
      <w:r>
        <w:rPr>
          <w:rFonts w:hint="eastAsia" w:ascii="宋体" w:hAnsi="宋体" w:cs="Arial"/>
          <w:kern w:val="0"/>
          <w:szCs w:val="21"/>
          <w:highlight w:val="none"/>
        </w:rPr>
        <w:t>17:00前到件，,邮寄地址为：宁波市宁海县兴工二路29号三楼。收件人：周全 联系方式：15257871020。供应商自行安排好邮寄事宜，招标代理机构不对邮寄过程中的任何事情负责。</w:t>
      </w:r>
    </w:p>
    <w:p w14:paraId="642D883E">
      <w:pPr>
        <w:widowControl/>
        <w:wordWrap w:val="0"/>
        <w:spacing w:before="100" w:beforeAutospacing="1" w:line="405" w:lineRule="atLeast"/>
        <w:ind w:firstLine="420"/>
        <w:jc w:val="left"/>
        <w:outlineLvl w:val="1"/>
        <w:rPr>
          <w:rFonts w:hint="eastAsia" w:ascii="宋体" w:hAnsi="宋体" w:cs="Arial"/>
          <w:kern w:val="0"/>
          <w:szCs w:val="21"/>
          <w:highlight w:val="none"/>
        </w:rPr>
      </w:pPr>
      <w:r>
        <w:rPr>
          <w:rFonts w:hint="eastAsia" w:ascii="宋体" w:hAnsi="宋体" w:cs="Arial"/>
          <w:kern w:val="0"/>
          <w:szCs w:val="21"/>
          <w:highlight w:val="none"/>
        </w:rPr>
        <w:t>请各供应商确保密封包装在邮寄过程密封包装完好，因邮寄过程的密封破损造成不符合开标要求的，本采购代理及采购人概不负责。</w:t>
      </w:r>
    </w:p>
    <w:p w14:paraId="41D0A2D7">
      <w:pPr>
        <w:widowControl/>
        <w:spacing w:before="100" w:beforeAutospacing="1" w:line="405" w:lineRule="atLeast"/>
        <w:ind w:firstLine="420"/>
        <w:jc w:val="left"/>
        <w:outlineLvl w:val="1"/>
        <w:rPr>
          <w:rFonts w:ascii="Arial" w:hAnsi="Arial" w:eastAsia="微软雅黑" w:cs="Arial"/>
          <w:color w:val="333333"/>
          <w:kern w:val="0"/>
          <w:sz w:val="36"/>
          <w:szCs w:val="36"/>
          <w:highlight w:val="none"/>
        </w:rPr>
      </w:pPr>
      <w:r>
        <w:rPr>
          <w:rFonts w:ascii="Arial" w:hAnsi="Arial" w:eastAsia="微软雅黑" w:cs="Arial"/>
          <w:color w:val="333333"/>
          <w:kern w:val="0"/>
          <w:szCs w:val="21"/>
          <w:highlight w:val="none"/>
        </w:rPr>
        <w:t>七、对本次招标提出询问，请按以下方式联系。</w:t>
      </w:r>
    </w:p>
    <w:p w14:paraId="7C03F6A8">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1.采购人信息</w:t>
      </w:r>
    </w:p>
    <w:p w14:paraId="3F1A8218">
      <w:pPr>
        <w:tabs>
          <w:tab w:val="left" w:pos="426"/>
        </w:tabs>
        <w:spacing w:line="520" w:lineRule="exact"/>
        <w:ind w:firstLine="420" w:firstLineChars="200"/>
        <w:contextualSpacing/>
        <w:rPr>
          <w:rFonts w:hint="eastAsia" w:ascii="宋体" w:hAnsi="宋体" w:cs="Arial"/>
          <w:color w:val="333333"/>
          <w:kern w:val="0"/>
          <w:szCs w:val="21"/>
          <w:highlight w:val="none"/>
          <w:u w:val="single"/>
        </w:rPr>
      </w:pPr>
      <w:r>
        <w:rPr>
          <w:rFonts w:ascii="宋体" w:hAnsi="宋体" w:cs="Arial"/>
          <w:color w:val="333333"/>
          <w:kern w:val="0"/>
          <w:szCs w:val="21"/>
          <w:highlight w:val="none"/>
        </w:rPr>
        <w:t>采购人：</w:t>
      </w:r>
      <w:r>
        <w:rPr>
          <w:rFonts w:hint="eastAsia" w:ascii="宋体" w:hAnsi="宋体" w:cs="Arial"/>
          <w:color w:val="333333"/>
          <w:kern w:val="0"/>
          <w:szCs w:val="21"/>
          <w:highlight w:val="none"/>
          <w:u w:val="single"/>
        </w:rPr>
        <w:t>宁海县教育局装备与信息管理中心</w:t>
      </w:r>
    </w:p>
    <w:p w14:paraId="76FD9E52">
      <w:pPr>
        <w:tabs>
          <w:tab w:val="left" w:pos="426"/>
        </w:tabs>
        <w:spacing w:line="520" w:lineRule="exact"/>
        <w:ind w:firstLine="420" w:firstLineChars="200"/>
        <w:contextualSpacing/>
        <w:rPr>
          <w:rFonts w:hint="eastAsia" w:ascii="宋体" w:hAnsi="宋体" w:cs="Arial"/>
          <w:color w:val="333333"/>
          <w:kern w:val="0"/>
          <w:szCs w:val="21"/>
          <w:highlight w:val="none"/>
          <w:u w:val="single"/>
        </w:rPr>
      </w:pPr>
      <w:r>
        <w:rPr>
          <w:rFonts w:ascii="宋体" w:hAnsi="宋体" w:cs="Arial"/>
          <w:color w:val="333333"/>
          <w:kern w:val="0"/>
          <w:szCs w:val="21"/>
          <w:highlight w:val="none"/>
        </w:rPr>
        <w:t>地址</w:t>
      </w:r>
      <w:r>
        <w:rPr>
          <w:rFonts w:hint="eastAsia" w:ascii="宋体" w:hAnsi="宋体" w:cs="Arial"/>
          <w:color w:val="333333"/>
          <w:kern w:val="0"/>
          <w:szCs w:val="21"/>
          <w:highlight w:val="none"/>
        </w:rPr>
        <w:t>：</w:t>
      </w:r>
      <w:r>
        <w:rPr>
          <w:rFonts w:hint="eastAsia" w:ascii="宋体" w:hAnsi="宋体" w:cs="Arial"/>
          <w:color w:val="333333"/>
          <w:kern w:val="0"/>
          <w:szCs w:val="21"/>
          <w:highlight w:val="none"/>
          <w:u w:val="single"/>
        </w:rPr>
        <w:t>宁海县跃龙街道人民路290号</w:t>
      </w:r>
    </w:p>
    <w:p w14:paraId="7AAF9431">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项目联系人（询问）</w:t>
      </w:r>
      <w:r>
        <w:rPr>
          <w:rFonts w:hint="eastAsia" w:ascii="宋体" w:hAnsi="宋体" w:cs="Arial"/>
          <w:color w:val="333333"/>
          <w:kern w:val="0"/>
          <w:szCs w:val="21"/>
          <w:highlight w:val="none"/>
        </w:rPr>
        <w:t>：</w:t>
      </w:r>
      <w:r>
        <w:rPr>
          <w:rFonts w:hint="eastAsia" w:ascii="宋体" w:hAnsi="宋体" w:cs="Arial"/>
          <w:color w:val="333333"/>
          <w:kern w:val="0"/>
          <w:szCs w:val="21"/>
          <w:highlight w:val="none"/>
          <w:u w:val="single"/>
        </w:rPr>
        <w:t>孙老师</w:t>
      </w:r>
    </w:p>
    <w:p w14:paraId="3CD504ED">
      <w:pPr>
        <w:widowControl/>
        <w:spacing w:before="100" w:beforeAutospacing="1" w:after="100" w:afterAutospacing="1" w:line="405" w:lineRule="atLeast"/>
        <w:ind w:firstLine="420"/>
        <w:jc w:val="left"/>
        <w:rPr>
          <w:rFonts w:hint="eastAsia" w:ascii="宋体" w:hAnsi="宋体" w:cs="Arial"/>
          <w:color w:val="333333"/>
          <w:kern w:val="0"/>
          <w:szCs w:val="21"/>
          <w:highlight w:val="none"/>
          <w:u w:val="single"/>
        </w:rPr>
      </w:pPr>
      <w:r>
        <w:rPr>
          <w:rFonts w:hint="eastAsia" w:ascii="宋体" w:hAnsi="宋体" w:cs="Arial"/>
          <w:color w:val="333333"/>
          <w:kern w:val="0"/>
          <w:szCs w:val="21"/>
          <w:highlight w:val="none"/>
        </w:rPr>
        <w:t>联系方式：</w:t>
      </w:r>
      <w:r>
        <w:rPr>
          <w:rFonts w:hint="eastAsia" w:ascii="宋体" w:hAnsi="宋体" w:cs="Arial"/>
          <w:color w:val="333333"/>
          <w:kern w:val="0"/>
          <w:szCs w:val="21"/>
          <w:highlight w:val="none"/>
          <w:u w:val="single"/>
        </w:rPr>
        <w:t>0574-65259635</w:t>
      </w:r>
    </w:p>
    <w:p w14:paraId="532ACBF1">
      <w:pPr>
        <w:widowControl/>
        <w:spacing w:before="100" w:beforeAutospacing="1" w:after="100" w:afterAutospacing="1" w:line="405" w:lineRule="atLeast"/>
        <w:ind w:firstLine="420"/>
        <w:jc w:val="left"/>
        <w:rPr>
          <w:rFonts w:hint="eastAsia" w:ascii="宋体" w:hAnsi="宋体" w:cs="Arial"/>
          <w:color w:val="333333"/>
          <w:kern w:val="0"/>
          <w:szCs w:val="21"/>
          <w:highlight w:val="none"/>
          <w:u w:val="single"/>
        </w:rPr>
      </w:pPr>
      <w:r>
        <w:rPr>
          <w:rFonts w:hint="eastAsia" w:ascii="宋体" w:hAnsi="宋体" w:cs="Arial"/>
          <w:color w:val="333333"/>
          <w:kern w:val="0"/>
          <w:szCs w:val="21"/>
          <w:highlight w:val="none"/>
        </w:rPr>
        <w:t>质疑联系人：</w:t>
      </w:r>
      <w:r>
        <w:rPr>
          <w:rFonts w:hint="eastAsia" w:ascii="宋体" w:hAnsi="宋体" w:cs="Arial"/>
          <w:color w:val="333333"/>
          <w:kern w:val="0"/>
          <w:szCs w:val="21"/>
          <w:highlight w:val="none"/>
          <w:u w:val="single"/>
        </w:rPr>
        <w:t>华老师</w:t>
      </w:r>
    </w:p>
    <w:p w14:paraId="2BDEC035">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联系方式：</w:t>
      </w:r>
      <w:r>
        <w:rPr>
          <w:rFonts w:hint="eastAsia" w:ascii="宋体" w:hAnsi="宋体" w:cs="Arial"/>
          <w:color w:val="333333"/>
          <w:kern w:val="0"/>
          <w:szCs w:val="21"/>
          <w:highlight w:val="none"/>
          <w:u w:val="single"/>
        </w:rPr>
        <w:t>0574-65259635</w:t>
      </w:r>
    </w:p>
    <w:p w14:paraId="1B807B10">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2.采购代理机构信息</w:t>
      </w:r>
    </w:p>
    <w:p w14:paraId="2AFDC511">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代理机构：</w:t>
      </w:r>
      <w:r>
        <w:rPr>
          <w:rFonts w:hint="eastAsia" w:ascii="宋体" w:hAnsi="宋体" w:cs="Arial"/>
          <w:color w:val="333333"/>
          <w:kern w:val="0"/>
          <w:szCs w:val="21"/>
          <w:highlight w:val="none"/>
          <w:u w:val="single"/>
        </w:rPr>
        <w:t>中冠</w:t>
      </w:r>
      <w:r>
        <w:rPr>
          <w:rFonts w:ascii="宋体" w:hAnsi="宋体" w:cs="Arial"/>
          <w:color w:val="333333"/>
          <w:kern w:val="0"/>
          <w:szCs w:val="21"/>
          <w:highlight w:val="none"/>
          <w:u w:val="single"/>
        </w:rPr>
        <w:t>工程管理咨询有限公司</w:t>
      </w:r>
    </w:p>
    <w:p w14:paraId="647DF61D">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联系地址：</w:t>
      </w:r>
      <w:r>
        <w:rPr>
          <w:rFonts w:ascii="宋体" w:hAnsi="宋体" w:cs="Arial"/>
          <w:color w:val="333333"/>
          <w:kern w:val="0"/>
          <w:szCs w:val="21"/>
          <w:highlight w:val="none"/>
          <w:u w:val="single"/>
        </w:rPr>
        <w:t>宁海县兴工二路29号</w:t>
      </w:r>
    </w:p>
    <w:p w14:paraId="4F57A7AD">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项目联系人：</w:t>
      </w:r>
      <w:r>
        <w:rPr>
          <w:rFonts w:hint="eastAsia" w:ascii="宋体" w:hAnsi="宋体" w:cs="Arial"/>
          <w:color w:val="333333"/>
          <w:kern w:val="0"/>
          <w:szCs w:val="21"/>
          <w:highlight w:val="none"/>
          <w:u w:val="single"/>
        </w:rPr>
        <w:t>周全</w:t>
      </w:r>
    </w:p>
    <w:p w14:paraId="70C87C53">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联系方式</w:t>
      </w:r>
      <w:r>
        <w:rPr>
          <w:rFonts w:hint="eastAsia" w:ascii="宋体" w:hAnsi="宋体" w:cs="Arial"/>
          <w:color w:val="333333"/>
          <w:kern w:val="0"/>
          <w:szCs w:val="21"/>
          <w:highlight w:val="none"/>
        </w:rPr>
        <w:t>：</w:t>
      </w:r>
      <w:r>
        <w:rPr>
          <w:rFonts w:hint="eastAsia" w:ascii="宋体" w:hAnsi="宋体" w:cs="Arial"/>
          <w:color w:val="333333"/>
          <w:kern w:val="0"/>
          <w:szCs w:val="21"/>
          <w:highlight w:val="none"/>
          <w:u w:val="single"/>
        </w:rPr>
        <w:t>0574-83556096</w:t>
      </w:r>
    </w:p>
    <w:p w14:paraId="56566C3E">
      <w:pPr>
        <w:widowControl/>
        <w:spacing w:before="100" w:beforeAutospacing="1" w:after="100" w:afterAutospacing="1" w:line="405" w:lineRule="atLeast"/>
        <w:ind w:firstLine="420"/>
        <w:jc w:val="left"/>
        <w:rPr>
          <w:rFonts w:ascii="Arial" w:hAnsi="Arial" w:eastAsia="微软雅黑" w:cs="Arial"/>
          <w:color w:val="333333"/>
          <w:kern w:val="0"/>
          <w:szCs w:val="21"/>
          <w:highlight w:val="none"/>
        </w:rPr>
      </w:pPr>
      <w:r>
        <w:rPr>
          <w:rFonts w:hint="eastAsia" w:ascii="宋体" w:hAnsi="宋体" w:cs="Arial"/>
          <w:color w:val="333333"/>
          <w:kern w:val="0"/>
          <w:szCs w:val="21"/>
          <w:highlight w:val="none"/>
        </w:rPr>
        <w:t>质疑联系人：</w:t>
      </w:r>
      <w:r>
        <w:rPr>
          <w:rFonts w:hint="eastAsia" w:ascii="宋体" w:hAnsi="宋体" w:cs="Arial"/>
          <w:color w:val="333333"/>
          <w:kern w:val="0"/>
          <w:szCs w:val="21"/>
          <w:highlight w:val="none"/>
          <w:u w:val="single"/>
        </w:rPr>
        <w:t>鲍建锋</w:t>
      </w:r>
    </w:p>
    <w:p w14:paraId="4C837C89">
      <w:pPr>
        <w:widowControl/>
        <w:spacing w:before="100" w:beforeAutospacing="1" w:after="100" w:afterAutospacing="1" w:line="405" w:lineRule="atLeast"/>
        <w:ind w:firstLine="420"/>
        <w:jc w:val="left"/>
        <w:rPr>
          <w:rFonts w:hint="eastAsia" w:ascii="宋体" w:hAnsi="宋体" w:cs="Arial"/>
          <w:color w:val="333333"/>
          <w:kern w:val="0"/>
          <w:szCs w:val="21"/>
          <w:highlight w:val="none"/>
          <w:u w:val="single"/>
        </w:rPr>
      </w:pPr>
      <w:r>
        <w:rPr>
          <w:rFonts w:hint="eastAsia" w:ascii="宋体" w:hAnsi="宋体" w:cs="Arial"/>
          <w:color w:val="333333"/>
          <w:kern w:val="0"/>
          <w:szCs w:val="21"/>
          <w:highlight w:val="none"/>
        </w:rPr>
        <w:t>电 话：</w:t>
      </w:r>
      <w:r>
        <w:rPr>
          <w:rFonts w:hint="eastAsia" w:ascii="宋体" w:hAnsi="宋体" w:cs="Arial"/>
          <w:color w:val="333333"/>
          <w:kern w:val="0"/>
          <w:szCs w:val="21"/>
          <w:highlight w:val="none"/>
          <w:u w:val="single"/>
        </w:rPr>
        <w:t>15257871020</w:t>
      </w:r>
      <w:bookmarkStart w:id="4" w:name="_Hlt21454952"/>
      <w:bookmarkEnd w:id="4"/>
      <w:bookmarkStart w:id="5" w:name="_Hlt21454953"/>
      <w:bookmarkEnd w:id="5"/>
      <w:bookmarkStart w:id="6" w:name="_Hlt21454954"/>
      <w:bookmarkEnd w:id="6"/>
      <w:bookmarkStart w:id="7" w:name="_Hlt21454969"/>
      <w:bookmarkEnd w:id="7"/>
    </w:p>
    <w:p w14:paraId="6B4D70D4">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hint="eastAsia" w:ascii="宋体" w:hAnsi="宋体" w:cs="Arial"/>
          <w:color w:val="333333"/>
          <w:kern w:val="0"/>
          <w:szCs w:val="21"/>
          <w:highlight w:val="none"/>
        </w:rPr>
        <w:t>3.</w:t>
      </w:r>
      <w:r>
        <w:rPr>
          <w:rFonts w:ascii="宋体" w:hAnsi="宋体" w:cs="Arial"/>
          <w:color w:val="333333"/>
          <w:kern w:val="0"/>
          <w:szCs w:val="21"/>
          <w:highlight w:val="none"/>
        </w:rPr>
        <w:t>政府采购监督管理部门及投诉受理部门：</w:t>
      </w:r>
      <w:r>
        <w:rPr>
          <w:rFonts w:ascii="宋体" w:hAnsi="宋体" w:cs="Arial"/>
          <w:color w:val="333333"/>
          <w:kern w:val="0"/>
          <w:szCs w:val="21"/>
          <w:highlight w:val="none"/>
          <w:u w:val="single"/>
        </w:rPr>
        <w:t xml:space="preserve">宁海县政府采购管理办公室 </w:t>
      </w:r>
    </w:p>
    <w:p w14:paraId="14EE65C9">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地址：</w:t>
      </w:r>
      <w:r>
        <w:rPr>
          <w:rFonts w:ascii="宋体" w:hAnsi="宋体" w:cs="Arial"/>
          <w:color w:val="333333"/>
          <w:kern w:val="0"/>
          <w:szCs w:val="21"/>
          <w:highlight w:val="none"/>
          <w:u w:val="single"/>
        </w:rPr>
        <w:t xml:space="preserve">宁海县跃龙街道桃源中路218号 </w:t>
      </w:r>
    </w:p>
    <w:p w14:paraId="18C391BC">
      <w:pPr>
        <w:widowControl/>
        <w:spacing w:before="100" w:beforeAutospacing="1" w:after="100" w:afterAutospacing="1" w:line="405" w:lineRule="atLeast"/>
        <w:ind w:firstLine="420"/>
        <w:jc w:val="left"/>
        <w:rPr>
          <w:rFonts w:hint="eastAsia" w:ascii="宋体" w:hAnsi="宋体" w:cs="Arial"/>
          <w:color w:val="333333"/>
          <w:kern w:val="0"/>
          <w:szCs w:val="21"/>
          <w:highlight w:val="none"/>
        </w:rPr>
      </w:pPr>
      <w:r>
        <w:rPr>
          <w:rFonts w:ascii="宋体" w:hAnsi="宋体" w:cs="Arial"/>
          <w:color w:val="333333"/>
          <w:kern w:val="0"/>
          <w:szCs w:val="21"/>
          <w:highlight w:val="none"/>
        </w:rPr>
        <w:t>联系人：</w:t>
      </w:r>
      <w:r>
        <w:rPr>
          <w:rFonts w:ascii="宋体" w:hAnsi="宋体" w:cs="Arial"/>
          <w:color w:val="333333"/>
          <w:kern w:val="0"/>
          <w:szCs w:val="21"/>
          <w:highlight w:val="none"/>
          <w:u w:val="single"/>
        </w:rPr>
        <w:t>王老师</w:t>
      </w:r>
    </w:p>
    <w:p w14:paraId="21BA983D">
      <w:pPr>
        <w:widowControl/>
        <w:spacing w:before="100" w:beforeAutospacing="1" w:after="100" w:afterAutospacing="1" w:line="405" w:lineRule="atLeast"/>
        <w:ind w:firstLine="420"/>
        <w:jc w:val="left"/>
        <w:rPr>
          <w:rFonts w:hint="eastAsia" w:ascii="宋体" w:hAnsi="宋体" w:cs="Arial"/>
          <w:color w:val="333333"/>
          <w:kern w:val="0"/>
          <w:szCs w:val="21"/>
          <w:highlight w:val="none"/>
          <w:u w:val="single"/>
        </w:rPr>
      </w:pPr>
      <w:r>
        <w:rPr>
          <w:rFonts w:ascii="宋体" w:hAnsi="宋体" w:cs="Arial"/>
          <w:color w:val="333333"/>
          <w:kern w:val="0"/>
          <w:szCs w:val="21"/>
          <w:highlight w:val="none"/>
        </w:rPr>
        <w:t>联系电话：</w:t>
      </w:r>
      <w:r>
        <w:rPr>
          <w:rFonts w:ascii="宋体" w:hAnsi="宋体" w:cs="Arial"/>
          <w:color w:val="333333"/>
          <w:kern w:val="0"/>
          <w:szCs w:val="21"/>
          <w:highlight w:val="none"/>
          <w:u w:val="single"/>
        </w:rPr>
        <w:t>0574-65265668</w:t>
      </w:r>
    </w:p>
    <w:p w14:paraId="0E6F25D1">
      <w:pPr>
        <w:widowControl/>
        <w:spacing w:before="100" w:beforeAutospacing="1" w:after="100" w:afterAutospacing="1" w:line="405" w:lineRule="atLeast"/>
        <w:ind w:firstLine="420"/>
        <w:jc w:val="left"/>
        <w:rPr>
          <w:rFonts w:hint="eastAsia" w:ascii="宋体" w:hAnsi="宋体" w:cs="Arial"/>
          <w:color w:val="333333"/>
          <w:kern w:val="0"/>
          <w:szCs w:val="21"/>
          <w:highlight w:val="none"/>
          <w:u w:val="single"/>
        </w:rPr>
      </w:pPr>
    </w:p>
    <w:p w14:paraId="590A8B9B">
      <w:pPr>
        <w:widowControl/>
        <w:jc w:val="left"/>
        <w:rPr>
          <w:rFonts w:hint="eastAsia" w:ascii="宋体" w:hAnsi="宋体" w:cs="Arial"/>
          <w:color w:val="333333"/>
          <w:kern w:val="0"/>
          <w:szCs w:val="21"/>
          <w:highlight w:val="none"/>
        </w:rPr>
      </w:pPr>
      <w:r>
        <w:rPr>
          <w:rFonts w:ascii="宋体" w:hAnsi="宋体" w:cs="Arial"/>
          <w:color w:val="333333"/>
          <w:kern w:val="0"/>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Arial"/>
          <w:color w:val="333333"/>
          <w:kern w:val="0"/>
          <w:szCs w:val="21"/>
          <w:highlight w:val="none"/>
        </w:rPr>
        <w:t>95763</w:t>
      </w:r>
      <w:r>
        <w:rPr>
          <w:rFonts w:ascii="宋体" w:hAnsi="宋体" w:cs="Arial"/>
          <w:color w:val="333333"/>
          <w:kern w:val="0"/>
          <w:szCs w:val="21"/>
          <w:highlight w:val="none"/>
        </w:rPr>
        <w:t>获取热线服务帮助。CA问题联系电话（人工）：汇信CA 400-888-4636；天谷CA 400-087-8198。</w:t>
      </w:r>
    </w:p>
    <w:p w14:paraId="049A9A7F">
      <w:pPr>
        <w:widowControl/>
        <w:spacing w:before="100" w:beforeAutospacing="1" w:after="100" w:afterAutospacing="1" w:line="405" w:lineRule="atLeast"/>
        <w:ind w:firstLine="420"/>
        <w:jc w:val="left"/>
        <w:rPr>
          <w:rFonts w:hint="eastAsia" w:ascii="宋体" w:hAnsi="宋体" w:cs="Arial"/>
          <w:color w:val="333333"/>
          <w:kern w:val="0"/>
          <w:szCs w:val="21"/>
          <w:highlight w:val="none"/>
        </w:rPr>
        <w:sectPr>
          <w:footerReference r:id="rId9" w:type="default"/>
          <w:pgSz w:w="11907" w:h="16840"/>
          <w:pgMar w:top="1247" w:right="1531" w:bottom="1304" w:left="1531" w:header="426" w:footer="706" w:gutter="0"/>
          <w:pgNumType w:start="1"/>
          <w:cols w:space="720" w:num="1"/>
          <w:docGrid w:linePitch="285" w:charSpace="0"/>
        </w:sectPr>
      </w:pPr>
    </w:p>
    <w:p w14:paraId="3A259DCE">
      <w:pPr>
        <w:pStyle w:val="42"/>
        <w:rPr>
          <w:rFonts w:ascii="Times New Roman" w:hAnsi="Times New Roman"/>
          <w:w w:val="80"/>
          <w:highlight w:val="none"/>
        </w:rPr>
      </w:pPr>
      <w:bookmarkStart w:id="8" w:name="_Toc435088063"/>
      <w:r>
        <w:rPr>
          <w:rFonts w:hint="eastAsia" w:ascii="Times New Roman" w:hAnsi="Times New Roman"/>
          <w:kern w:val="44"/>
          <w:highlight w:val="none"/>
        </w:rPr>
        <w:t>第二部分 投标资料表</w:t>
      </w:r>
      <w:bookmarkEnd w:id="8"/>
    </w:p>
    <w:tbl>
      <w:tblPr>
        <w:tblStyle w:val="45"/>
        <w:tblW w:w="91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8388"/>
      </w:tblGrid>
      <w:tr w14:paraId="250D2C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37" w:hRule="atLeast"/>
          <w:tblHeader/>
          <w:jc w:val="center"/>
        </w:trPr>
        <w:tc>
          <w:tcPr>
            <w:tcW w:w="714" w:type="dxa"/>
            <w:tcBorders>
              <w:bottom w:val="single" w:color="auto" w:sz="4" w:space="0"/>
            </w:tcBorders>
            <w:vAlign w:val="center"/>
          </w:tcPr>
          <w:p w14:paraId="5023ACFE">
            <w:pPr>
              <w:spacing w:line="340" w:lineRule="exact"/>
              <w:ind w:left="-108" w:right="-113"/>
              <w:contextualSpacing/>
              <w:rPr>
                <w:rFonts w:ascii="Arial" w:hAnsi="Arial" w:eastAsia="黑体"/>
                <w:b/>
                <w:bCs/>
                <w:sz w:val="32"/>
                <w:szCs w:val="24"/>
                <w:highlight w:val="none"/>
              </w:rPr>
            </w:pPr>
            <w:r>
              <w:rPr>
                <w:rFonts w:hint="eastAsia"/>
                <w:szCs w:val="24"/>
                <w:highlight w:val="none"/>
              </w:rPr>
              <w:t>序号</w:t>
            </w:r>
          </w:p>
        </w:tc>
        <w:tc>
          <w:tcPr>
            <w:tcW w:w="8388" w:type="dxa"/>
            <w:tcBorders>
              <w:bottom w:val="single" w:color="auto" w:sz="4" w:space="0"/>
            </w:tcBorders>
            <w:vAlign w:val="center"/>
          </w:tcPr>
          <w:p w14:paraId="03B07F38">
            <w:pPr>
              <w:spacing w:line="340" w:lineRule="exact"/>
              <w:contextualSpacing/>
              <w:jc w:val="center"/>
              <w:rPr>
                <w:szCs w:val="24"/>
                <w:highlight w:val="none"/>
              </w:rPr>
            </w:pPr>
            <w:r>
              <w:rPr>
                <w:rFonts w:hint="eastAsia"/>
                <w:szCs w:val="24"/>
                <w:highlight w:val="none"/>
              </w:rPr>
              <w:t>内容</w:t>
            </w:r>
          </w:p>
        </w:tc>
      </w:tr>
      <w:tr w14:paraId="0F29D6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9102" w:type="dxa"/>
            <w:gridSpan w:val="2"/>
            <w:tcBorders>
              <w:top w:val="single" w:color="auto" w:sz="4" w:space="0"/>
              <w:bottom w:val="single" w:color="auto" w:sz="2" w:space="0"/>
            </w:tcBorders>
            <w:vAlign w:val="center"/>
          </w:tcPr>
          <w:p w14:paraId="057FB405">
            <w:pPr>
              <w:spacing w:line="340" w:lineRule="exact"/>
              <w:contextualSpacing/>
              <w:jc w:val="center"/>
              <w:rPr>
                <w:szCs w:val="24"/>
                <w:highlight w:val="none"/>
              </w:rPr>
            </w:pPr>
            <w:r>
              <w:rPr>
                <w:rFonts w:hint="eastAsia"/>
                <w:szCs w:val="24"/>
                <w:highlight w:val="none"/>
              </w:rPr>
              <w:t>说明部分</w:t>
            </w:r>
          </w:p>
        </w:tc>
      </w:tr>
      <w:tr w14:paraId="03EECA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4" w:type="dxa"/>
            <w:vMerge w:val="restart"/>
            <w:vAlign w:val="center"/>
          </w:tcPr>
          <w:p w14:paraId="53072BFC">
            <w:pPr>
              <w:autoSpaceDE w:val="0"/>
              <w:autoSpaceDN w:val="0"/>
              <w:snapToGrid w:val="0"/>
              <w:spacing w:line="440" w:lineRule="exact"/>
              <w:ind w:left="-95" w:right="-129"/>
              <w:contextualSpacing/>
              <w:jc w:val="center"/>
              <w:rPr>
                <w:szCs w:val="21"/>
                <w:highlight w:val="none"/>
              </w:rPr>
            </w:pPr>
            <w:r>
              <w:rPr>
                <w:rFonts w:hint="eastAsia"/>
                <w:szCs w:val="21"/>
                <w:highlight w:val="none"/>
              </w:rPr>
              <w:t>2.1</w:t>
            </w:r>
          </w:p>
        </w:tc>
        <w:tc>
          <w:tcPr>
            <w:tcW w:w="8388" w:type="dxa"/>
            <w:vAlign w:val="center"/>
          </w:tcPr>
          <w:p w14:paraId="552F5782">
            <w:pPr>
              <w:tabs>
                <w:tab w:val="left" w:pos="1580"/>
                <w:tab w:val="left" w:pos="3436"/>
                <w:tab w:val="left" w:pos="5512"/>
              </w:tabs>
              <w:spacing w:line="440" w:lineRule="exact"/>
              <w:ind w:left="21"/>
              <w:contextualSpacing/>
              <w:rPr>
                <w:szCs w:val="24"/>
                <w:highlight w:val="none"/>
              </w:rPr>
            </w:pPr>
            <w:r>
              <w:rPr>
                <w:rFonts w:hint="eastAsia"/>
                <w:szCs w:val="24"/>
                <w:highlight w:val="none"/>
              </w:rPr>
              <w:t>采购人：宁海县教育局装备与信息管理中心</w:t>
            </w:r>
          </w:p>
          <w:p w14:paraId="143D04D3">
            <w:pPr>
              <w:tabs>
                <w:tab w:val="left" w:pos="426"/>
              </w:tabs>
              <w:spacing w:line="520" w:lineRule="exact"/>
              <w:contextualSpacing/>
              <w:rPr>
                <w:rFonts w:hint="eastAsia" w:ascii="宋体" w:hAnsi="宋体" w:cs="Arial"/>
                <w:color w:val="333333"/>
                <w:kern w:val="0"/>
                <w:szCs w:val="21"/>
                <w:highlight w:val="none"/>
              </w:rPr>
            </w:pPr>
            <w:r>
              <w:rPr>
                <w:rFonts w:hint="eastAsia"/>
                <w:szCs w:val="24"/>
                <w:highlight w:val="none"/>
              </w:rPr>
              <w:t>联系人：孙老师     联系电话：0574-65259635</w:t>
            </w:r>
          </w:p>
        </w:tc>
      </w:tr>
      <w:tr w14:paraId="09639E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vMerge w:val="continue"/>
            <w:vAlign w:val="center"/>
          </w:tcPr>
          <w:p w14:paraId="7AC92AEF">
            <w:pPr>
              <w:autoSpaceDE w:val="0"/>
              <w:autoSpaceDN w:val="0"/>
              <w:snapToGrid w:val="0"/>
              <w:spacing w:line="440" w:lineRule="exact"/>
              <w:ind w:left="-95" w:right="-129"/>
              <w:contextualSpacing/>
              <w:jc w:val="center"/>
              <w:rPr>
                <w:szCs w:val="21"/>
                <w:highlight w:val="none"/>
              </w:rPr>
            </w:pPr>
          </w:p>
        </w:tc>
        <w:tc>
          <w:tcPr>
            <w:tcW w:w="8388" w:type="dxa"/>
            <w:vAlign w:val="center"/>
          </w:tcPr>
          <w:p w14:paraId="1280FC1A">
            <w:pPr>
              <w:tabs>
                <w:tab w:val="left" w:pos="1580"/>
                <w:tab w:val="left" w:pos="3436"/>
                <w:tab w:val="left" w:pos="5512"/>
              </w:tabs>
              <w:spacing w:line="440" w:lineRule="exact"/>
              <w:ind w:left="23"/>
              <w:contextualSpacing/>
              <w:rPr>
                <w:szCs w:val="24"/>
                <w:highlight w:val="none"/>
              </w:rPr>
            </w:pPr>
            <w:r>
              <w:rPr>
                <w:szCs w:val="24"/>
                <w:highlight w:val="none"/>
              </w:rPr>
              <w:t>代理机构：</w:t>
            </w:r>
            <w:r>
              <w:rPr>
                <w:rFonts w:hint="eastAsia"/>
                <w:szCs w:val="24"/>
                <w:highlight w:val="none"/>
              </w:rPr>
              <w:t>中冠</w:t>
            </w:r>
            <w:r>
              <w:rPr>
                <w:szCs w:val="24"/>
                <w:highlight w:val="none"/>
              </w:rPr>
              <w:t>工程管理咨询有限公司</w:t>
            </w:r>
          </w:p>
          <w:p w14:paraId="79542CDC">
            <w:pPr>
              <w:tabs>
                <w:tab w:val="left" w:pos="1580"/>
                <w:tab w:val="left" w:pos="3436"/>
                <w:tab w:val="left" w:pos="5512"/>
              </w:tabs>
              <w:spacing w:line="440" w:lineRule="exact"/>
              <w:ind w:left="23"/>
              <w:contextualSpacing/>
              <w:rPr>
                <w:szCs w:val="24"/>
                <w:highlight w:val="none"/>
              </w:rPr>
            </w:pPr>
            <w:r>
              <w:rPr>
                <w:szCs w:val="24"/>
                <w:highlight w:val="none"/>
              </w:rPr>
              <w:t>联系地址：宁海县兴工二路29号</w:t>
            </w:r>
          </w:p>
          <w:p w14:paraId="2D49F5B3">
            <w:pPr>
              <w:tabs>
                <w:tab w:val="left" w:pos="1580"/>
                <w:tab w:val="left" w:pos="3436"/>
                <w:tab w:val="left" w:pos="5512"/>
              </w:tabs>
              <w:spacing w:line="440" w:lineRule="exact"/>
              <w:ind w:left="23"/>
              <w:contextualSpacing/>
              <w:rPr>
                <w:szCs w:val="24"/>
                <w:highlight w:val="none"/>
              </w:rPr>
            </w:pPr>
            <w:r>
              <w:rPr>
                <w:rFonts w:hint="eastAsia"/>
                <w:szCs w:val="24"/>
                <w:highlight w:val="none"/>
              </w:rPr>
              <w:t>联系人：周全</w:t>
            </w:r>
            <w:r>
              <w:rPr>
                <w:rFonts w:hint="eastAsia"/>
                <w:szCs w:val="24"/>
                <w:highlight w:val="none"/>
              </w:rPr>
              <w:tab/>
            </w:r>
            <w:r>
              <w:rPr>
                <w:rFonts w:hint="eastAsia"/>
                <w:szCs w:val="24"/>
                <w:highlight w:val="none"/>
              </w:rPr>
              <w:t xml:space="preserve">    电话/传真：0574-83556096</w:t>
            </w:r>
          </w:p>
        </w:tc>
      </w:tr>
      <w:tr w14:paraId="7A1F27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tcBorders>
              <w:top w:val="single" w:color="auto" w:sz="4" w:space="0"/>
              <w:bottom w:val="single" w:color="auto" w:sz="2" w:space="0"/>
            </w:tcBorders>
            <w:vAlign w:val="center"/>
          </w:tcPr>
          <w:p w14:paraId="4DC789B4">
            <w:pPr>
              <w:spacing w:line="440" w:lineRule="exact"/>
              <w:contextualSpacing/>
              <w:jc w:val="center"/>
              <w:rPr>
                <w:szCs w:val="24"/>
                <w:highlight w:val="none"/>
              </w:rPr>
            </w:pPr>
            <w:r>
              <w:rPr>
                <w:rFonts w:hint="eastAsia"/>
                <w:szCs w:val="21"/>
                <w:highlight w:val="none"/>
              </w:rPr>
              <w:t>2.2</w:t>
            </w:r>
          </w:p>
        </w:tc>
        <w:tc>
          <w:tcPr>
            <w:tcW w:w="8388" w:type="dxa"/>
            <w:tcBorders>
              <w:top w:val="single" w:color="auto" w:sz="4" w:space="0"/>
              <w:bottom w:val="single" w:color="auto" w:sz="2" w:space="0"/>
            </w:tcBorders>
            <w:vAlign w:val="center"/>
          </w:tcPr>
          <w:p w14:paraId="7AFA947B">
            <w:pPr>
              <w:spacing w:line="440" w:lineRule="exact"/>
              <w:contextualSpacing/>
              <w:rPr>
                <w:highlight w:val="none"/>
              </w:rPr>
            </w:pPr>
            <w:r>
              <w:rPr>
                <w:rFonts w:hint="eastAsia"/>
                <w:szCs w:val="24"/>
                <w:highlight w:val="none"/>
              </w:rPr>
              <w:t>经批准的本次采购方式：公开招标</w:t>
            </w:r>
          </w:p>
        </w:tc>
      </w:tr>
      <w:tr w14:paraId="1BB9A2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102" w:type="dxa"/>
            <w:gridSpan w:val="2"/>
            <w:vAlign w:val="center"/>
          </w:tcPr>
          <w:p w14:paraId="183DF3AB">
            <w:pPr>
              <w:spacing w:line="340" w:lineRule="exact"/>
              <w:ind w:left="-108" w:right="-113"/>
              <w:contextualSpacing/>
              <w:jc w:val="center"/>
              <w:rPr>
                <w:szCs w:val="24"/>
                <w:highlight w:val="none"/>
              </w:rPr>
            </w:pPr>
            <w:r>
              <w:rPr>
                <w:rFonts w:hint="eastAsia"/>
                <w:szCs w:val="24"/>
                <w:highlight w:val="none"/>
              </w:rPr>
              <w:t>投  标  报  价  和  货  币</w:t>
            </w:r>
          </w:p>
        </w:tc>
      </w:tr>
      <w:tr w14:paraId="059808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14" w:type="dxa"/>
            <w:vAlign w:val="center"/>
          </w:tcPr>
          <w:p w14:paraId="3BA3234A">
            <w:pPr>
              <w:spacing w:line="340" w:lineRule="exact"/>
              <w:ind w:left="-108" w:right="-113"/>
              <w:contextualSpacing/>
              <w:jc w:val="center"/>
              <w:rPr>
                <w:szCs w:val="24"/>
                <w:highlight w:val="none"/>
              </w:rPr>
            </w:pPr>
            <w:r>
              <w:rPr>
                <w:rFonts w:hint="eastAsia"/>
                <w:szCs w:val="24"/>
                <w:highlight w:val="none"/>
              </w:rPr>
              <w:t>★2.4</w:t>
            </w:r>
          </w:p>
        </w:tc>
        <w:tc>
          <w:tcPr>
            <w:tcW w:w="8388" w:type="dxa"/>
            <w:vAlign w:val="center"/>
          </w:tcPr>
          <w:p w14:paraId="7C8D9031">
            <w:pPr>
              <w:spacing w:line="340" w:lineRule="exact"/>
              <w:ind w:left="-108" w:right="-113"/>
              <w:contextualSpacing/>
              <w:jc w:val="left"/>
              <w:rPr>
                <w:szCs w:val="24"/>
                <w:highlight w:val="none"/>
              </w:rPr>
            </w:pPr>
            <w:r>
              <w:rPr>
                <w:rFonts w:hint="eastAsia"/>
                <w:szCs w:val="24"/>
                <w:highlight w:val="none"/>
              </w:rPr>
              <w:t>投标报价：</w:t>
            </w:r>
          </w:p>
          <w:p w14:paraId="5DE19E7C">
            <w:pPr>
              <w:spacing w:line="340" w:lineRule="exact"/>
              <w:ind w:left="-108" w:right="-113"/>
              <w:contextualSpacing/>
              <w:jc w:val="left"/>
              <w:rPr>
                <w:szCs w:val="24"/>
                <w:highlight w:val="none"/>
              </w:rPr>
            </w:pPr>
            <w:r>
              <w:rPr>
                <w:rFonts w:hint="eastAsia"/>
                <w:szCs w:val="24"/>
                <w:highlight w:val="none"/>
              </w:rPr>
              <w:t>1、本项目投标应以人民币报价；</w:t>
            </w:r>
          </w:p>
          <w:p w14:paraId="3389F076">
            <w:pPr>
              <w:spacing w:line="340" w:lineRule="exact"/>
              <w:ind w:left="-108" w:right="-113"/>
              <w:contextualSpacing/>
              <w:jc w:val="left"/>
              <w:rPr>
                <w:szCs w:val="24"/>
                <w:highlight w:val="none"/>
              </w:rPr>
            </w:pPr>
            <w:r>
              <w:rPr>
                <w:rFonts w:hint="eastAsia"/>
                <w:szCs w:val="24"/>
                <w:highlight w:val="none"/>
              </w:rPr>
              <w:t>2、不论投标结果如何，投标人均应自行承担所有与投标有关的全部费用。</w:t>
            </w:r>
          </w:p>
          <w:p w14:paraId="4DDAAA8B">
            <w:pPr>
              <w:spacing w:line="340" w:lineRule="exact"/>
              <w:ind w:left="-108" w:right="-113"/>
              <w:contextualSpacing/>
              <w:jc w:val="left"/>
              <w:rPr>
                <w:b/>
                <w:szCs w:val="24"/>
                <w:highlight w:val="none"/>
              </w:rPr>
            </w:pPr>
            <w:r>
              <w:rPr>
                <w:rFonts w:hint="eastAsia"/>
                <w:szCs w:val="24"/>
                <w:highlight w:val="none"/>
              </w:rPr>
              <w:t>3、</w:t>
            </w:r>
            <w:r>
              <w:rPr>
                <w:rFonts w:hint="eastAsia"/>
                <w:b/>
                <w:szCs w:val="24"/>
                <w:highlight w:val="none"/>
              </w:rPr>
              <w:t>最高限价：81.2050万元。投标报价超过最高限价的，投标将做无效标处理。</w:t>
            </w:r>
          </w:p>
          <w:p w14:paraId="58CD81DE">
            <w:pPr>
              <w:spacing w:line="340" w:lineRule="exact"/>
              <w:ind w:left="-108" w:right="-113"/>
              <w:contextualSpacing/>
              <w:jc w:val="left"/>
              <w:rPr>
                <w:szCs w:val="24"/>
                <w:highlight w:val="none"/>
              </w:rPr>
            </w:pPr>
            <w:r>
              <w:rPr>
                <w:rFonts w:hint="eastAsia"/>
                <w:szCs w:val="24"/>
                <w:highlight w:val="none"/>
              </w:rPr>
              <w:t>4、供应商未在投标之前提出异议的，视为所有设备均已满足现场安装条件，后续相应问题由中标供应商负责。</w:t>
            </w:r>
          </w:p>
          <w:p w14:paraId="5EFC06A6">
            <w:pPr>
              <w:spacing w:line="340" w:lineRule="exact"/>
              <w:ind w:left="-108" w:right="-113"/>
              <w:contextualSpacing/>
              <w:jc w:val="left"/>
              <w:rPr>
                <w:szCs w:val="24"/>
                <w:highlight w:val="none"/>
              </w:rPr>
            </w:pPr>
            <w:r>
              <w:rPr>
                <w:rFonts w:hint="eastAsia"/>
                <w:szCs w:val="24"/>
                <w:highlight w:val="none"/>
              </w:rPr>
              <w:t>5、投标报价是履行合同的最终价格，应包括设备价、安装调试、货物运至项目现场的运输费、装卸费、保管费、保险费、培训费、售后服务、利润、税金等一切与本次采购相关的费用。本项目相关软件、系统服务期为3年，自项目验收合格之日期计算，服务期内供应商需免费提供软件升级、授权等服务，相关费用已包含在最高限价内。</w:t>
            </w:r>
          </w:p>
        </w:tc>
      </w:tr>
      <w:tr w14:paraId="4FF944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714" w:type="dxa"/>
            <w:vAlign w:val="center"/>
          </w:tcPr>
          <w:p w14:paraId="3496ECBA">
            <w:pPr>
              <w:spacing w:line="340" w:lineRule="exact"/>
              <w:ind w:left="-108" w:right="-113"/>
              <w:contextualSpacing/>
              <w:jc w:val="center"/>
              <w:rPr>
                <w:szCs w:val="24"/>
                <w:highlight w:val="none"/>
              </w:rPr>
            </w:pPr>
            <w:r>
              <w:rPr>
                <w:rFonts w:hint="eastAsia"/>
                <w:szCs w:val="24"/>
                <w:highlight w:val="none"/>
              </w:rPr>
              <w:t>2.5</w:t>
            </w:r>
          </w:p>
        </w:tc>
        <w:tc>
          <w:tcPr>
            <w:tcW w:w="8388" w:type="dxa"/>
            <w:vAlign w:val="center"/>
          </w:tcPr>
          <w:p w14:paraId="1D047B42">
            <w:pPr>
              <w:spacing w:line="340" w:lineRule="exact"/>
              <w:ind w:left="-108" w:right="-113"/>
              <w:contextualSpacing/>
              <w:jc w:val="left"/>
              <w:rPr>
                <w:szCs w:val="24"/>
                <w:highlight w:val="none"/>
              </w:rPr>
            </w:pPr>
            <w:r>
              <w:rPr>
                <w:rFonts w:hint="eastAsia"/>
                <w:szCs w:val="24"/>
                <w:highlight w:val="none"/>
              </w:rPr>
              <w:t>投标货币：人民币</w:t>
            </w:r>
          </w:p>
        </w:tc>
      </w:tr>
      <w:tr w14:paraId="15C8F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102" w:type="dxa"/>
            <w:gridSpan w:val="2"/>
            <w:vAlign w:val="center"/>
          </w:tcPr>
          <w:p w14:paraId="28CE84CA">
            <w:pPr>
              <w:spacing w:line="340" w:lineRule="exact"/>
              <w:ind w:left="-108" w:right="-113"/>
              <w:contextualSpacing/>
              <w:jc w:val="center"/>
              <w:rPr>
                <w:szCs w:val="24"/>
                <w:highlight w:val="none"/>
              </w:rPr>
            </w:pPr>
            <w:r>
              <w:rPr>
                <w:rFonts w:hint="eastAsia"/>
                <w:szCs w:val="24"/>
                <w:highlight w:val="none"/>
              </w:rPr>
              <w:t>投 标 书 的 编 制 和 递 交</w:t>
            </w:r>
          </w:p>
        </w:tc>
      </w:tr>
      <w:tr w14:paraId="65B837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0" w:hRule="atLeast"/>
          <w:jc w:val="center"/>
        </w:trPr>
        <w:tc>
          <w:tcPr>
            <w:tcW w:w="714" w:type="dxa"/>
            <w:vAlign w:val="center"/>
          </w:tcPr>
          <w:p w14:paraId="5AD70733">
            <w:pPr>
              <w:spacing w:line="340" w:lineRule="exact"/>
              <w:ind w:left="-108" w:right="-113"/>
              <w:contextualSpacing/>
              <w:jc w:val="center"/>
              <w:rPr>
                <w:szCs w:val="24"/>
                <w:highlight w:val="none"/>
              </w:rPr>
            </w:pPr>
            <w:r>
              <w:rPr>
                <w:rFonts w:hint="eastAsia"/>
                <w:szCs w:val="24"/>
                <w:highlight w:val="none"/>
              </w:rPr>
              <w:t>2.6</w:t>
            </w:r>
          </w:p>
        </w:tc>
        <w:tc>
          <w:tcPr>
            <w:tcW w:w="8388" w:type="dxa"/>
            <w:vAlign w:val="center"/>
          </w:tcPr>
          <w:p w14:paraId="063C25EB">
            <w:pPr>
              <w:tabs>
                <w:tab w:val="left" w:pos="426"/>
              </w:tabs>
              <w:spacing w:line="440" w:lineRule="exact"/>
              <w:contextualSpacing/>
              <w:rPr>
                <w:szCs w:val="24"/>
                <w:highlight w:val="none"/>
              </w:rPr>
            </w:pPr>
            <w:r>
              <w:rPr>
                <w:rFonts w:hint="eastAsia"/>
                <w:szCs w:val="24"/>
                <w:highlight w:val="none"/>
              </w:rPr>
              <w:t>本次采购对合格的投标人的专门规定与审查方法：</w:t>
            </w:r>
          </w:p>
          <w:p w14:paraId="4C875B8C">
            <w:pPr>
              <w:tabs>
                <w:tab w:val="left" w:pos="426"/>
              </w:tabs>
              <w:spacing w:line="440" w:lineRule="exact"/>
              <w:contextualSpacing/>
              <w:rPr>
                <w:szCs w:val="24"/>
                <w:highlight w:val="none"/>
              </w:rPr>
            </w:pPr>
            <w:r>
              <w:rPr>
                <w:rFonts w:hint="eastAsia"/>
                <w:szCs w:val="24"/>
                <w:highlight w:val="none"/>
              </w:rPr>
              <w:t>投标人资格要求：详见本采购文件第一章。</w:t>
            </w:r>
          </w:p>
          <w:p w14:paraId="7FCFE605">
            <w:pPr>
              <w:tabs>
                <w:tab w:val="left" w:pos="426"/>
              </w:tabs>
              <w:spacing w:line="440" w:lineRule="exact"/>
              <w:contextualSpacing/>
              <w:rPr>
                <w:szCs w:val="24"/>
                <w:highlight w:val="none"/>
              </w:rPr>
            </w:pPr>
            <w:r>
              <w:rPr>
                <w:rFonts w:hint="eastAsia"/>
                <w:szCs w:val="24"/>
                <w:highlight w:val="none"/>
              </w:rPr>
              <w:t>资格审查：资格后审</w:t>
            </w:r>
          </w:p>
        </w:tc>
      </w:tr>
      <w:tr w14:paraId="714AB7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673D4E1A">
            <w:pPr>
              <w:spacing w:line="340" w:lineRule="exact"/>
              <w:ind w:left="-108" w:right="-113"/>
              <w:contextualSpacing/>
              <w:jc w:val="center"/>
              <w:rPr>
                <w:szCs w:val="24"/>
                <w:highlight w:val="none"/>
              </w:rPr>
            </w:pPr>
            <w:r>
              <w:rPr>
                <w:rFonts w:hint="eastAsia"/>
                <w:szCs w:val="24"/>
                <w:highlight w:val="none"/>
              </w:rPr>
              <w:t>2.7</w:t>
            </w:r>
          </w:p>
        </w:tc>
        <w:tc>
          <w:tcPr>
            <w:tcW w:w="8388" w:type="dxa"/>
            <w:vAlign w:val="center"/>
          </w:tcPr>
          <w:p w14:paraId="35EA1C41">
            <w:pPr>
              <w:spacing w:line="440" w:lineRule="exact"/>
              <w:contextualSpacing/>
              <w:rPr>
                <w:szCs w:val="24"/>
                <w:highlight w:val="none"/>
              </w:rPr>
            </w:pPr>
            <w:r>
              <w:rPr>
                <w:rFonts w:hint="eastAsia"/>
                <w:szCs w:val="24"/>
                <w:highlight w:val="none"/>
              </w:rPr>
              <w:t>投标有效期： 90天</w:t>
            </w:r>
          </w:p>
        </w:tc>
      </w:tr>
      <w:tr w14:paraId="06B5C7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5A61A005">
            <w:pPr>
              <w:spacing w:line="340" w:lineRule="exact"/>
              <w:ind w:left="-108" w:right="-113"/>
              <w:contextualSpacing/>
              <w:jc w:val="center"/>
              <w:rPr>
                <w:szCs w:val="24"/>
                <w:highlight w:val="none"/>
              </w:rPr>
            </w:pPr>
            <w:r>
              <w:rPr>
                <w:rFonts w:hint="eastAsia"/>
                <w:szCs w:val="24"/>
                <w:highlight w:val="none"/>
              </w:rPr>
              <w:t>2.8</w:t>
            </w:r>
          </w:p>
        </w:tc>
        <w:tc>
          <w:tcPr>
            <w:tcW w:w="8388" w:type="dxa"/>
            <w:vAlign w:val="center"/>
          </w:tcPr>
          <w:p w14:paraId="6E44D108">
            <w:pPr>
              <w:spacing w:line="440" w:lineRule="exact"/>
              <w:rPr>
                <w:szCs w:val="24"/>
                <w:highlight w:val="none"/>
              </w:rPr>
            </w:pPr>
            <w:r>
              <w:rPr>
                <w:rFonts w:hint="eastAsia"/>
                <w:szCs w:val="24"/>
                <w:highlight w:val="none"/>
              </w:rPr>
              <w:t>本项目实行网上投标，供应商应准备以下投标文件：</w:t>
            </w:r>
          </w:p>
          <w:p w14:paraId="61140B5A">
            <w:pPr>
              <w:spacing w:line="440" w:lineRule="exact"/>
              <w:rPr>
                <w:szCs w:val="24"/>
                <w:highlight w:val="none"/>
              </w:rPr>
            </w:pPr>
            <w:r>
              <w:rPr>
                <w:rFonts w:hint="eastAsia"/>
                <w:szCs w:val="24"/>
                <w:highlight w:val="none"/>
              </w:rPr>
              <w:t>（1）上传到政府采购云平台的电子投标文件1份，</w:t>
            </w:r>
            <w:r>
              <w:rPr>
                <w:rFonts w:hint="eastAsia" w:ascii="宋体" w:hAnsi="宋体" w:cs="宋体"/>
                <w:szCs w:val="21"/>
                <w:highlight w:val="none"/>
              </w:rPr>
              <w:t>由</w:t>
            </w:r>
            <w:r>
              <w:rPr>
                <w:rFonts w:hint="eastAsia" w:ascii="宋体" w:hAnsi="宋体" w:cs="宋体"/>
                <w:b/>
                <w:szCs w:val="21"/>
                <w:highlight w:val="none"/>
                <w:u w:val="single"/>
              </w:rPr>
              <w:t>资格证明文件</w:t>
            </w:r>
            <w:r>
              <w:rPr>
                <w:rFonts w:hint="eastAsia" w:ascii="宋体" w:hAnsi="宋体" w:cs="宋体"/>
                <w:b/>
                <w:bCs/>
                <w:szCs w:val="21"/>
                <w:highlight w:val="none"/>
                <w:u w:val="single"/>
              </w:rPr>
              <w:t>、</w:t>
            </w:r>
            <w:r>
              <w:rPr>
                <w:rFonts w:hint="eastAsia" w:ascii="宋体" w:hAnsi="宋体" w:cs="宋体"/>
                <w:b/>
                <w:szCs w:val="21"/>
                <w:highlight w:val="none"/>
                <w:u w:val="single"/>
              </w:rPr>
              <w:t>报价文件、</w:t>
            </w:r>
            <w:r>
              <w:rPr>
                <w:rFonts w:hint="eastAsia" w:ascii="宋体" w:hAnsi="宋体" w:cs="宋体"/>
                <w:b/>
                <w:bCs/>
                <w:szCs w:val="21"/>
                <w:highlight w:val="none"/>
                <w:u w:val="single"/>
              </w:rPr>
              <w:t>技术商务文件</w:t>
            </w:r>
            <w:r>
              <w:rPr>
                <w:rFonts w:hint="eastAsia" w:ascii="宋体" w:hAnsi="宋体" w:cs="宋体"/>
                <w:szCs w:val="21"/>
                <w:highlight w:val="none"/>
              </w:rPr>
              <w:t>组成</w:t>
            </w:r>
            <w:r>
              <w:rPr>
                <w:rFonts w:hint="eastAsia"/>
                <w:szCs w:val="24"/>
                <w:highlight w:val="none"/>
              </w:rPr>
              <w:t>。</w:t>
            </w:r>
          </w:p>
          <w:p w14:paraId="590467D1">
            <w:pPr>
              <w:spacing w:line="440" w:lineRule="exact"/>
              <w:rPr>
                <w:szCs w:val="24"/>
                <w:highlight w:val="none"/>
              </w:rPr>
            </w:pPr>
            <w:r>
              <w:rPr>
                <w:rFonts w:hint="eastAsia"/>
                <w:szCs w:val="24"/>
                <w:highlight w:val="none"/>
              </w:rPr>
              <w:t>（2）以U盘存储的电子备份投标文件1份，</w:t>
            </w:r>
            <w:r>
              <w:rPr>
                <w:rFonts w:hint="eastAsia" w:ascii="宋体" w:hAnsi="宋体" w:cs="宋体"/>
                <w:szCs w:val="21"/>
                <w:highlight w:val="none"/>
              </w:rPr>
              <w:t>由</w:t>
            </w:r>
            <w:r>
              <w:rPr>
                <w:rFonts w:hint="eastAsia" w:ascii="宋体" w:hAnsi="宋体" w:cs="宋体"/>
                <w:b/>
                <w:szCs w:val="21"/>
                <w:highlight w:val="none"/>
                <w:u w:val="single"/>
              </w:rPr>
              <w:t>资格证明文件</w:t>
            </w:r>
            <w:r>
              <w:rPr>
                <w:rFonts w:hint="eastAsia" w:ascii="宋体" w:hAnsi="宋体" w:cs="宋体"/>
                <w:b/>
                <w:bCs/>
                <w:szCs w:val="21"/>
                <w:highlight w:val="none"/>
                <w:u w:val="single"/>
              </w:rPr>
              <w:t>、</w:t>
            </w:r>
            <w:r>
              <w:rPr>
                <w:rFonts w:hint="eastAsia" w:ascii="宋体" w:hAnsi="宋体" w:cs="宋体"/>
                <w:b/>
                <w:szCs w:val="21"/>
                <w:highlight w:val="none"/>
                <w:u w:val="single"/>
              </w:rPr>
              <w:t>报价文件、</w:t>
            </w:r>
            <w:r>
              <w:rPr>
                <w:rFonts w:hint="eastAsia" w:ascii="宋体" w:hAnsi="宋体" w:cs="宋体"/>
                <w:b/>
                <w:bCs/>
                <w:szCs w:val="21"/>
                <w:highlight w:val="none"/>
                <w:u w:val="single"/>
              </w:rPr>
              <w:t>技术商务文件</w:t>
            </w:r>
            <w:r>
              <w:rPr>
                <w:rFonts w:hint="eastAsia" w:ascii="宋体" w:hAnsi="宋体" w:cs="宋体"/>
                <w:szCs w:val="21"/>
                <w:highlight w:val="none"/>
              </w:rPr>
              <w:t>组成</w:t>
            </w:r>
            <w:r>
              <w:rPr>
                <w:rFonts w:hint="eastAsia"/>
                <w:szCs w:val="24"/>
                <w:highlight w:val="none"/>
              </w:rPr>
              <w:t>。</w:t>
            </w:r>
          </w:p>
          <w:p w14:paraId="190F9AE3">
            <w:pPr>
              <w:spacing w:line="360" w:lineRule="auto"/>
              <w:rPr>
                <w:szCs w:val="24"/>
                <w:highlight w:val="none"/>
              </w:rPr>
            </w:pPr>
            <w:r>
              <w:rPr>
                <w:rFonts w:hint="eastAsia"/>
                <w:szCs w:val="24"/>
                <w:highlight w:val="none"/>
              </w:rPr>
              <w:t>上传到政府采购云平台的电子投标文件、以U盘存储的电子备份投标文件投标文件内容须保持一致。上传到政府采购云平台的电子投标文件</w:t>
            </w:r>
            <w:r>
              <w:rPr>
                <w:rFonts w:hint="eastAsia" w:ascii="宋体" w:hAnsi="宋体" w:cs="宋体"/>
                <w:highlight w:val="none"/>
              </w:rPr>
              <w:t>供应商应根据“政采云供应商项目采购-电子招投标操作指南”及本采购文件规定的格式和顺序编制电子投标文件并进行关联定位。</w:t>
            </w:r>
          </w:p>
        </w:tc>
      </w:tr>
      <w:tr w14:paraId="62C586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714" w:type="dxa"/>
            <w:vAlign w:val="center"/>
          </w:tcPr>
          <w:p w14:paraId="06BD60C1">
            <w:pPr>
              <w:spacing w:line="340" w:lineRule="exact"/>
              <w:ind w:left="-108" w:right="-113"/>
              <w:contextualSpacing/>
              <w:jc w:val="center"/>
              <w:rPr>
                <w:szCs w:val="24"/>
                <w:highlight w:val="none"/>
              </w:rPr>
            </w:pPr>
            <w:r>
              <w:rPr>
                <w:rFonts w:hint="eastAsia"/>
                <w:szCs w:val="24"/>
                <w:highlight w:val="none"/>
              </w:rPr>
              <w:t>2.9</w:t>
            </w:r>
          </w:p>
        </w:tc>
        <w:tc>
          <w:tcPr>
            <w:tcW w:w="8388" w:type="dxa"/>
            <w:vAlign w:val="center"/>
          </w:tcPr>
          <w:p w14:paraId="2A358895">
            <w:pPr>
              <w:spacing w:line="360" w:lineRule="auto"/>
              <w:rPr>
                <w:szCs w:val="24"/>
                <w:highlight w:val="none"/>
              </w:rPr>
            </w:pPr>
            <w:r>
              <w:rPr>
                <w:rFonts w:hint="eastAsia"/>
                <w:szCs w:val="24"/>
                <w:highlight w:val="none"/>
              </w:rPr>
              <w:t>U盘存储的电子备份投标文件单独装袋按要求密封做好标记，不符合规定的为无效投标。中标人在领取中标通知书前需向招标代理机构提供纸质版投标文件一正三副。</w:t>
            </w:r>
          </w:p>
        </w:tc>
      </w:tr>
      <w:tr w14:paraId="2D622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14" w:type="dxa"/>
            <w:vAlign w:val="center"/>
          </w:tcPr>
          <w:p w14:paraId="4EB2D850">
            <w:pPr>
              <w:spacing w:line="340" w:lineRule="exact"/>
              <w:ind w:left="-108" w:right="-113"/>
              <w:contextualSpacing/>
              <w:jc w:val="center"/>
              <w:rPr>
                <w:szCs w:val="24"/>
                <w:highlight w:val="none"/>
              </w:rPr>
            </w:pPr>
            <w:r>
              <w:rPr>
                <w:rFonts w:hint="eastAsia"/>
                <w:szCs w:val="24"/>
                <w:highlight w:val="none"/>
              </w:rPr>
              <w:t>2.10</w:t>
            </w:r>
          </w:p>
        </w:tc>
        <w:tc>
          <w:tcPr>
            <w:tcW w:w="8388" w:type="dxa"/>
            <w:vAlign w:val="center"/>
          </w:tcPr>
          <w:p w14:paraId="3E2149E2">
            <w:pPr>
              <w:spacing w:line="440" w:lineRule="exact"/>
              <w:rPr>
                <w:szCs w:val="24"/>
                <w:highlight w:val="none"/>
              </w:rPr>
            </w:pPr>
            <w:r>
              <w:rPr>
                <w:rFonts w:hint="eastAsia"/>
                <w:szCs w:val="24"/>
                <w:highlight w:val="none"/>
              </w:rPr>
              <w:t>投标文件提交时间及投标截止时间：</w:t>
            </w:r>
          </w:p>
          <w:p w14:paraId="1E1C2E42">
            <w:pPr>
              <w:spacing w:line="340" w:lineRule="exact"/>
              <w:ind w:left="-108" w:right="-113"/>
              <w:contextualSpacing/>
              <w:jc w:val="left"/>
              <w:rPr>
                <w:szCs w:val="24"/>
                <w:highlight w:val="none"/>
              </w:rPr>
            </w:pPr>
            <w:r>
              <w:rPr>
                <w:rFonts w:hint="eastAsia"/>
                <w:szCs w:val="24"/>
                <w:highlight w:val="none"/>
              </w:rPr>
              <w:t>供应商应于</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szCs w:val="24"/>
                <w:highlight w:val="none"/>
                <w:lang w:val="en-US" w:eastAsia="zh-CN"/>
              </w:rPr>
              <w:t>09</w:t>
            </w:r>
            <w:r>
              <w:rPr>
                <w:rFonts w:hint="eastAsia"/>
                <w:szCs w:val="24"/>
                <w:highlight w:val="none"/>
              </w:rPr>
              <w:t>点</w:t>
            </w:r>
            <w:r>
              <w:rPr>
                <w:rFonts w:hint="eastAsia"/>
                <w:szCs w:val="24"/>
                <w:highlight w:val="none"/>
                <w:lang w:val="en-US" w:eastAsia="zh-CN"/>
              </w:rPr>
              <w:t>0</w:t>
            </w:r>
            <w:r>
              <w:rPr>
                <w:rFonts w:hint="eastAsia"/>
                <w:szCs w:val="24"/>
                <w:highlight w:val="none"/>
              </w:rPr>
              <w:t>0分（北京时间）前将电子投标文件上传到政府采购云平台</w:t>
            </w:r>
            <w:r>
              <w:rPr>
                <w:rFonts w:hint="eastAsia"/>
                <w:highlight w:val="none"/>
              </w:rPr>
              <w:fldChar w:fldCharType="begin"/>
            </w:r>
            <w:r>
              <w:rPr>
                <w:highlight w:val="none"/>
              </w:rPr>
              <w:instrText xml:space="preserve"> HYPERLINK "http://www.zcygov.cn" </w:instrText>
            </w:r>
            <w:r>
              <w:rPr>
                <w:rFonts w:hint="eastAsia"/>
                <w:highlight w:val="none"/>
              </w:rPr>
              <w:fldChar w:fldCharType="separate"/>
            </w:r>
            <w:r>
              <w:rPr>
                <w:rFonts w:hint="eastAsia"/>
                <w:szCs w:val="24"/>
                <w:highlight w:val="none"/>
              </w:rPr>
              <w:t>www.zcygov.cn</w:t>
            </w:r>
            <w:r>
              <w:rPr>
                <w:rFonts w:hint="eastAsia"/>
                <w:szCs w:val="24"/>
                <w:highlight w:val="none"/>
              </w:rPr>
              <w:fldChar w:fldCharType="end"/>
            </w:r>
          </w:p>
          <w:p w14:paraId="3A275492">
            <w:pPr>
              <w:spacing w:line="440" w:lineRule="exact"/>
              <w:rPr>
                <w:szCs w:val="24"/>
                <w:highlight w:val="none"/>
              </w:rPr>
            </w:pPr>
            <w:r>
              <w:rPr>
                <w:rFonts w:hint="eastAsia"/>
                <w:szCs w:val="24"/>
                <w:highlight w:val="none"/>
              </w:rPr>
              <w:t>开标时间：</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szCs w:val="24"/>
                <w:highlight w:val="none"/>
                <w:lang w:val="en-US" w:eastAsia="zh-CN"/>
              </w:rPr>
              <w:t>09</w:t>
            </w:r>
            <w:r>
              <w:rPr>
                <w:rFonts w:hint="eastAsia"/>
                <w:szCs w:val="24"/>
                <w:highlight w:val="none"/>
              </w:rPr>
              <w:t>点</w:t>
            </w:r>
            <w:r>
              <w:rPr>
                <w:rFonts w:hint="eastAsia" w:ascii="宋体" w:hAnsi="宋体" w:cs="Arial"/>
                <w:color w:val="333333"/>
                <w:kern w:val="0"/>
                <w:szCs w:val="21"/>
                <w:highlight w:val="none"/>
                <w:lang w:val="en-US" w:eastAsia="zh-CN"/>
              </w:rPr>
              <w:t>0</w:t>
            </w:r>
            <w:r>
              <w:rPr>
                <w:rFonts w:hint="eastAsia"/>
                <w:szCs w:val="24"/>
                <w:highlight w:val="none"/>
              </w:rPr>
              <w:t>0分(北京时间)</w:t>
            </w:r>
          </w:p>
          <w:p w14:paraId="11E44088">
            <w:pPr>
              <w:spacing w:line="440" w:lineRule="exact"/>
              <w:rPr>
                <w:szCs w:val="24"/>
                <w:highlight w:val="none"/>
              </w:rPr>
            </w:pPr>
            <w:r>
              <w:rPr>
                <w:rFonts w:hint="eastAsia"/>
                <w:szCs w:val="24"/>
                <w:highlight w:val="none"/>
              </w:rPr>
              <w:t>开标地点：宁海县公共资源交易中心（宁海县桃源街道金水东路5号五楼），具体开标室见当日公告栏，投标人无须派授权代表出席开标会议，</w:t>
            </w:r>
            <w:r>
              <w:rPr>
                <w:rFonts w:hint="eastAsia" w:cs="宋体"/>
                <w:szCs w:val="21"/>
                <w:highlight w:val="none"/>
              </w:rPr>
              <w:t>本项目通过“政府采购云平台”实行在线电子评标，供应商可在线参加开标</w:t>
            </w:r>
            <w:r>
              <w:rPr>
                <w:rFonts w:hint="eastAsia"/>
                <w:szCs w:val="24"/>
                <w:highlight w:val="none"/>
              </w:rPr>
              <w:t>。</w:t>
            </w:r>
          </w:p>
          <w:p w14:paraId="7C8C4C90">
            <w:pPr>
              <w:wordWrap w:val="0"/>
              <w:spacing w:line="440" w:lineRule="exact"/>
              <w:rPr>
                <w:szCs w:val="24"/>
                <w:highlight w:val="none"/>
              </w:rPr>
            </w:pPr>
            <w:r>
              <w:rPr>
                <w:rFonts w:hint="eastAsia"/>
                <w:szCs w:val="24"/>
                <w:highlight w:val="none"/>
              </w:rPr>
              <w:t>开标时间后30分钟内（</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szCs w:val="24"/>
                <w:highlight w:val="none"/>
                <w:lang w:val="en-US" w:eastAsia="zh-CN"/>
              </w:rPr>
              <w:t>09</w:t>
            </w:r>
            <w:r>
              <w:rPr>
                <w:rFonts w:hint="eastAsia"/>
                <w:szCs w:val="24"/>
                <w:highlight w:val="none"/>
              </w:rPr>
              <w:t>:</w:t>
            </w:r>
            <w:r>
              <w:rPr>
                <w:rFonts w:hint="eastAsia"/>
                <w:szCs w:val="24"/>
                <w:highlight w:val="none"/>
                <w:lang w:val="en-US" w:eastAsia="zh-CN"/>
              </w:rPr>
              <w:t>3</w:t>
            </w:r>
            <w:r>
              <w:rPr>
                <w:rFonts w:hint="eastAsia"/>
                <w:szCs w:val="24"/>
                <w:highlight w:val="none"/>
              </w:rPr>
              <w:t>0分）供应商可以登录政府采购云平台</w:t>
            </w:r>
            <w:r>
              <w:rPr>
                <w:rFonts w:hint="eastAsia"/>
                <w:highlight w:val="none"/>
              </w:rPr>
              <w:fldChar w:fldCharType="begin"/>
            </w:r>
            <w:r>
              <w:rPr>
                <w:highlight w:val="none"/>
              </w:rPr>
              <w:instrText xml:space="preserve"> HYPERLINK "http://www.zcygov.cn" </w:instrText>
            </w:r>
            <w:r>
              <w:rPr>
                <w:rFonts w:hint="eastAsia"/>
                <w:highlight w:val="none"/>
              </w:rPr>
              <w:fldChar w:fldCharType="separate"/>
            </w:r>
            <w:r>
              <w:rPr>
                <w:rFonts w:hint="eastAsia"/>
                <w:szCs w:val="24"/>
                <w:highlight w:val="none"/>
              </w:rPr>
              <w:t>www.zcygov.cn</w:t>
            </w:r>
            <w:r>
              <w:rPr>
                <w:rFonts w:hint="eastAsia"/>
                <w:szCs w:val="24"/>
                <w:highlight w:val="none"/>
              </w:rPr>
              <w:fldChar w:fldCharType="end"/>
            </w:r>
            <w:r>
              <w:rPr>
                <w:rFonts w:hint="eastAsia"/>
                <w:szCs w:val="24"/>
                <w:highlight w:val="none"/>
              </w:rPr>
              <w:t>，用“项目采购-开标评标”功能进行解密投标文件。若供应商在规定时间内（</w:t>
            </w:r>
            <w:r>
              <w:rPr>
                <w:rFonts w:hint="eastAsia" w:ascii="宋体" w:hAnsi="宋体" w:cs="Arial"/>
                <w:color w:val="333333"/>
                <w:kern w:val="0"/>
                <w:szCs w:val="21"/>
                <w:highlight w:val="none"/>
              </w:rPr>
              <w:t>2025年</w:t>
            </w:r>
            <w:r>
              <w:rPr>
                <w:rFonts w:hint="eastAsia" w:ascii="宋体" w:hAnsi="宋体" w:cs="Arial"/>
                <w:color w:val="333333"/>
                <w:kern w:val="0"/>
                <w:szCs w:val="21"/>
                <w:highlight w:val="none"/>
                <w:lang w:val="en-US" w:eastAsia="zh-CN"/>
              </w:rPr>
              <w:t>07</w:t>
            </w:r>
            <w:r>
              <w:rPr>
                <w:rFonts w:hint="eastAsia" w:ascii="宋体" w:hAnsi="宋体" w:cs="Arial"/>
                <w:color w:val="333333"/>
                <w:kern w:val="0"/>
                <w:szCs w:val="21"/>
                <w:highlight w:val="none"/>
              </w:rPr>
              <w:t>月</w:t>
            </w:r>
            <w:r>
              <w:rPr>
                <w:rFonts w:hint="eastAsia" w:ascii="宋体" w:hAnsi="宋体" w:cs="Arial"/>
                <w:color w:val="333333"/>
                <w:kern w:val="0"/>
                <w:szCs w:val="21"/>
                <w:highlight w:val="none"/>
                <w:lang w:val="en-US" w:eastAsia="zh-CN"/>
              </w:rPr>
              <w:t>25</w:t>
            </w:r>
            <w:r>
              <w:rPr>
                <w:rFonts w:hint="eastAsia" w:ascii="宋体" w:hAnsi="宋体" w:cs="Arial"/>
                <w:color w:val="333333"/>
                <w:kern w:val="0"/>
                <w:szCs w:val="21"/>
                <w:highlight w:val="none"/>
              </w:rPr>
              <w:t>日</w:t>
            </w:r>
            <w:r>
              <w:rPr>
                <w:rFonts w:hint="eastAsia"/>
                <w:szCs w:val="24"/>
                <w:highlight w:val="none"/>
                <w:lang w:val="en-US" w:eastAsia="zh-CN"/>
              </w:rPr>
              <w:t>09</w:t>
            </w:r>
            <w:r>
              <w:rPr>
                <w:rFonts w:hint="eastAsia"/>
                <w:szCs w:val="24"/>
                <w:highlight w:val="none"/>
              </w:rPr>
              <w:t>:</w:t>
            </w:r>
            <w:r>
              <w:rPr>
                <w:rFonts w:hint="eastAsia"/>
                <w:szCs w:val="24"/>
                <w:highlight w:val="none"/>
                <w:lang w:val="en-US" w:eastAsia="zh-CN"/>
              </w:rPr>
              <w:t>3</w:t>
            </w:r>
            <w:r>
              <w:rPr>
                <w:rFonts w:hint="eastAsia"/>
                <w:szCs w:val="24"/>
                <w:highlight w:val="none"/>
              </w:rPr>
              <w:t>0分）无法解密或解密失败，可使用备份电子投标文件进行解密。若供应商电子投标文件和备份电子投标文件均无法解密或解密失败的，视为供应商放弃投标。</w:t>
            </w:r>
          </w:p>
        </w:tc>
      </w:tr>
      <w:tr w14:paraId="076D8D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102" w:type="dxa"/>
            <w:gridSpan w:val="2"/>
            <w:vAlign w:val="center"/>
          </w:tcPr>
          <w:p w14:paraId="28C42288">
            <w:pPr>
              <w:autoSpaceDE w:val="0"/>
              <w:autoSpaceDN w:val="0"/>
              <w:snapToGrid w:val="0"/>
              <w:spacing w:line="360" w:lineRule="auto"/>
              <w:contextualSpacing/>
              <w:jc w:val="center"/>
              <w:rPr>
                <w:color w:val="000000"/>
                <w:szCs w:val="24"/>
                <w:highlight w:val="none"/>
              </w:rPr>
            </w:pPr>
            <w:r>
              <w:rPr>
                <w:rFonts w:hint="eastAsia"/>
                <w:color w:val="000000"/>
                <w:szCs w:val="24"/>
                <w:highlight w:val="none"/>
              </w:rPr>
              <w:t>开标程序</w:t>
            </w:r>
          </w:p>
        </w:tc>
      </w:tr>
      <w:tr w14:paraId="6EA08C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14" w:type="dxa"/>
            <w:vAlign w:val="center"/>
          </w:tcPr>
          <w:p w14:paraId="10D59124">
            <w:pPr>
              <w:spacing w:line="340" w:lineRule="exact"/>
              <w:ind w:left="-108" w:right="-113"/>
              <w:contextualSpacing/>
              <w:jc w:val="center"/>
              <w:rPr>
                <w:szCs w:val="24"/>
                <w:highlight w:val="none"/>
              </w:rPr>
            </w:pPr>
            <w:r>
              <w:rPr>
                <w:rFonts w:hint="eastAsia"/>
                <w:szCs w:val="24"/>
                <w:highlight w:val="none"/>
              </w:rPr>
              <w:t>2.11</w:t>
            </w:r>
          </w:p>
        </w:tc>
        <w:tc>
          <w:tcPr>
            <w:tcW w:w="8388" w:type="dxa"/>
            <w:vAlign w:val="center"/>
          </w:tcPr>
          <w:p w14:paraId="6C2DCFD1">
            <w:pPr>
              <w:spacing w:line="440" w:lineRule="exact"/>
              <w:rPr>
                <w:szCs w:val="24"/>
                <w:highlight w:val="none"/>
              </w:rPr>
            </w:pPr>
            <w:r>
              <w:rPr>
                <w:rFonts w:hint="eastAsia"/>
                <w:szCs w:val="24"/>
                <w:highlight w:val="none"/>
              </w:rPr>
              <w:t>开标程序：</w:t>
            </w:r>
          </w:p>
          <w:p w14:paraId="348A788B">
            <w:pPr>
              <w:spacing w:line="440" w:lineRule="exact"/>
              <w:rPr>
                <w:szCs w:val="24"/>
                <w:highlight w:val="none"/>
              </w:rPr>
            </w:pPr>
            <w:r>
              <w:rPr>
                <w:rFonts w:hint="eastAsia"/>
                <w:szCs w:val="24"/>
                <w:highlight w:val="none"/>
              </w:rPr>
              <w:t>1、电子招投标开标程序：</w:t>
            </w:r>
          </w:p>
          <w:p w14:paraId="3F3F2A76">
            <w:pPr>
              <w:spacing w:line="440" w:lineRule="exact"/>
              <w:rPr>
                <w:szCs w:val="24"/>
                <w:highlight w:val="none"/>
              </w:rPr>
            </w:pPr>
            <w:r>
              <w:rPr>
                <w:rFonts w:hint="eastAsia"/>
                <w:szCs w:val="24"/>
                <w:highlight w:val="none"/>
              </w:rPr>
              <w:t>第一阶段：</w:t>
            </w:r>
          </w:p>
          <w:p w14:paraId="754CD305">
            <w:pPr>
              <w:spacing w:line="440" w:lineRule="exact"/>
              <w:rPr>
                <w:szCs w:val="24"/>
                <w:highlight w:val="none"/>
              </w:rPr>
            </w:pPr>
            <w:r>
              <w:rPr>
                <w:rFonts w:hint="eastAsia"/>
                <w:szCs w:val="24"/>
                <w:highlight w:val="none"/>
              </w:rPr>
              <w:t>投标截止时间后，供应商登录政府采购云平台，用“项目采购-开标评标”功能对电子投标文件进行在线解密，在线解密电子投标文件时间为开标时间后30分钟内。</w:t>
            </w:r>
          </w:p>
          <w:p w14:paraId="1F486513">
            <w:pPr>
              <w:spacing w:line="440" w:lineRule="exact"/>
              <w:rPr>
                <w:szCs w:val="24"/>
                <w:highlight w:val="none"/>
              </w:rPr>
            </w:pPr>
            <w:r>
              <w:rPr>
                <w:rFonts w:hint="eastAsia"/>
                <w:szCs w:val="24"/>
                <w:highlight w:val="none"/>
              </w:rPr>
              <w:t>在政府采购云平台开启已解密供应商的“资格证明文件、技术商务文件”，并做开标记录；</w:t>
            </w:r>
          </w:p>
          <w:p w14:paraId="375A3FED">
            <w:pPr>
              <w:spacing w:line="440" w:lineRule="exact"/>
              <w:rPr>
                <w:szCs w:val="24"/>
                <w:highlight w:val="none"/>
              </w:rPr>
            </w:pPr>
            <w:r>
              <w:rPr>
                <w:rFonts w:hint="eastAsia"/>
                <w:szCs w:val="24"/>
                <w:highlight w:val="none"/>
              </w:rPr>
              <w:t>第二阶段：</w:t>
            </w:r>
          </w:p>
          <w:p w14:paraId="1C533F84">
            <w:pPr>
              <w:spacing w:line="440" w:lineRule="exact"/>
              <w:rPr>
                <w:szCs w:val="24"/>
                <w:highlight w:val="none"/>
              </w:rPr>
            </w:pPr>
            <w:r>
              <w:rPr>
                <w:rFonts w:hint="eastAsia"/>
                <w:szCs w:val="24"/>
                <w:highlight w:val="none"/>
              </w:rPr>
              <w:t>（</w:t>
            </w:r>
            <w:r>
              <w:rPr>
                <w:szCs w:val="24"/>
                <w:highlight w:val="none"/>
              </w:rPr>
              <w:t>1</w:t>
            </w:r>
            <w:r>
              <w:rPr>
                <w:rFonts w:hint="eastAsia"/>
                <w:szCs w:val="24"/>
                <w:highlight w:val="none"/>
              </w:rPr>
              <w:t>）在政府采购云平台宣告第一阶段评审无效供应商名单及理由；</w:t>
            </w:r>
          </w:p>
          <w:p w14:paraId="40B86B51">
            <w:pPr>
              <w:spacing w:line="440" w:lineRule="exact"/>
              <w:rPr>
                <w:szCs w:val="24"/>
                <w:highlight w:val="none"/>
              </w:rPr>
            </w:pPr>
            <w:r>
              <w:rPr>
                <w:rFonts w:hint="eastAsia"/>
                <w:szCs w:val="24"/>
                <w:highlight w:val="none"/>
              </w:rPr>
              <w:t>（</w:t>
            </w:r>
            <w:r>
              <w:rPr>
                <w:szCs w:val="24"/>
                <w:highlight w:val="none"/>
              </w:rPr>
              <w:t>2</w:t>
            </w:r>
            <w:r>
              <w:rPr>
                <w:rFonts w:hint="eastAsia"/>
                <w:szCs w:val="24"/>
                <w:highlight w:val="none"/>
              </w:rPr>
              <w:t>）公布经第一阶段评审符合采购文件要求的供应商的商务技术得分情况；</w:t>
            </w:r>
          </w:p>
          <w:p w14:paraId="7DF9DD63">
            <w:pPr>
              <w:spacing w:line="440" w:lineRule="exact"/>
              <w:rPr>
                <w:szCs w:val="24"/>
                <w:highlight w:val="none"/>
              </w:rPr>
            </w:pPr>
            <w:r>
              <w:rPr>
                <w:rFonts w:hint="eastAsia"/>
                <w:szCs w:val="24"/>
                <w:highlight w:val="none"/>
              </w:rPr>
              <w:t>（</w:t>
            </w:r>
            <w:r>
              <w:rPr>
                <w:szCs w:val="24"/>
                <w:highlight w:val="none"/>
              </w:rPr>
              <w:t>3</w:t>
            </w:r>
            <w:r>
              <w:rPr>
                <w:rFonts w:hint="eastAsia"/>
                <w:szCs w:val="24"/>
                <w:highlight w:val="none"/>
              </w:rPr>
              <w:t>）在政府采购云平台开启除第一阶段无效标外的供应商的“报价文件”，并做开标记录；</w:t>
            </w:r>
          </w:p>
          <w:p w14:paraId="75AF0C6F">
            <w:pPr>
              <w:spacing w:line="440" w:lineRule="exact"/>
              <w:rPr>
                <w:szCs w:val="24"/>
                <w:highlight w:val="none"/>
              </w:rPr>
            </w:pPr>
            <w:r>
              <w:rPr>
                <w:rFonts w:hint="eastAsia"/>
                <w:szCs w:val="24"/>
                <w:highlight w:val="none"/>
              </w:rPr>
              <w:t>（</w:t>
            </w:r>
            <w:r>
              <w:rPr>
                <w:szCs w:val="24"/>
                <w:highlight w:val="none"/>
              </w:rPr>
              <w:t>4</w:t>
            </w:r>
            <w:r>
              <w:rPr>
                <w:rFonts w:hint="eastAsia"/>
                <w:szCs w:val="24"/>
                <w:highlight w:val="none"/>
              </w:rPr>
              <w:t>）在政府采购云平台公布评审结果；</w:t>
            </w:r>
          </w:p>
          <w:p w14:paraId="577CE6B3">
            <w:pPr>
              <w:spacing w:line="440" w:lineRule="exact"/>
              <w:rPr>
                <w:szCs w:val="24"/>
                <w:highlight w:val="none"/>
              </w:rPr>
            </w:pPr>
            <w:r>
              <w:rPr>
                <w:rFonts w:hint="eastAsia"/>
                <w:szCs w:val="24"/>
                <w:highlight w:val="none"/>
              </w:rPr>
              <w:t>（5）开标会议结束。</w:t>
            </w:r>
          </w:p>
          <w:p w14:paraId="6DAB3BEA">
            <w:pPr>
              <w:spacing w:line="400" w:lineRule="exact"/>
              <w:jc w:val="left"/>
              <w:rPr>
                <w:rFonts w:hint="eastAsia" w:ascii="宋体" w:hAnsi="宋体"/>
                <w:szCs w:val="21"/>
                <w:highlight w:val="none"/>
              </w:rPr>
            </w:pPr>
            <w:r>
              <w:rPr>
                <w:rFonts w:hint="eastAsia"/>
                <w:szCs w:val="24"/>
                <w:highlight w:val="none"/>
              </w:rPr>
              <w:t>2、</w:t>
            </w:r>
            <w:r>
              <w:rPr>
                <w:rFonts w:hint="eastAsia" w:ascii="宋体" w:hAnsi="宋体"/>
                <w:szCs w:val="21"/>
                <w:highlight w:val="none"/>
              </w:rPr>
              <w:t>特别说明：</w:t>
            </w: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，但有下情形之一的，按以下情况处理：</w:t>
            </w:r>
          </w:p>
          <w:p w14:paraId="5D266682">
            <w:pPr>
              <w:spacing w:line="400" w:lineRule="exact"/>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）若供应商在规定时间内无法解密或解密失败，代理机构将开启所有供应商递交的</w:t>
            </w:r>
            <w:r>
              <w:rPr>
                <w:rFonts w:hint="eastAsia" w:ascii="宋体" w:hAnsi="宋体" w:cs="宋体"/>
                <w:kern w:val="0"/>
                <w:szCs w:val="21"/>
                <w:highlight w:val="none"/>
              </w:rPr>
              <w:t>以U盘存储的电子备份投标文件</w:t>
            </w:r>
            <w:r>
              <w:rPr>
                <w:rFonts w:hint="eastAsia" w:ascii="宋体" w:hAnsi="宋体"/>
                <w:szCs w:val="21"/>
                <w:highlight w:val="none"/>
              </w:rPr>
              <w:t>，上传至政采云平台项目采购模块，以完成开标，电子投标文件自动失效。</w:t>
            </w:r>
          </w:p>
          <w:p w14:paraId="253775A6">
            <w:pPr>
              <w:spacing w:line="400" w:lineRule="exact"/>
              <w:jc w:val="left"/>
              <w:rPr>
                <w:rFonts w:hint="eastAsia"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（2）采购过程中出现以下情形，导致电子交易平台无法正常运行，或者无法保证电子交易的公平、公正和安全时，采购人（或代理机构）可中止电子交易活动：</w:t>
            </w:r>
          </w:p>
          <w:p w14:paraId="5BA934C6">
            <w:pPr>
              <w:spacing w:line="440" w:lineRule="exact"/>
              <w:rPr>
                <w:szCs w:val="24"/>
                <w:highlight w:val="none"/>
              </w:rPr>
            </w:pPr>
            <w:r>
              <w:rPr>
                <w:rFonts w:hint="eastAsia" w:ascii="宋体" w:hAnsi="宋体"/>
                <w:szCs w:val="21"/>
                <w:highlight w:val="none"/>
              </w:rPr>
              <w:t>①电子交</w:t>
            </w:r>
            <w:r>
              <w:rPr>
                <w:rFonts w:hint="eastAsia"/>
                <w:szCs w:val="24"/>
                <w:highlight w:val="none"/>
              </w:rPr>
              <w:t xml:space="preserve">易平台发生故障而无法登录访问的； </w:t>
            </w:r>
          </w:p>
          <w:p w14:paraId="055A771C">
            <w:pPr>
              <w:spacing w:line="440" w:lineRule="exact"/>
              <w:rPr>
                <w:szCs w:val="24"/>
                <w:highlight w:val="none"/>
              </w:rPr>
            </w:pPr>
            <w:r>
              <w:rPr>
                <w:rFonts w:hint="eastAsia"/>
                <w:szCs w:val="24"/>
                <w:highlight w:val="none"/>
              </w:rPr>
              <w:t>②电子交易平台应用或数据库出现错误，不能进行正常操作的；</w:t>
            </w:r>
          </w:p>
          <w:p w14:paraId="7A982537">
            <w:pPr>
              <w:spacing w:line="440" w:lineRule="exact"/>
              <w:rPr>
                <w:szCs w:val="24"/>
                <w:highlight w:val="none"/>
              </w:rPr>
            </w:pPr>
            <w:r>
              <w:rPr>
                <w:rFonts w:hint="eastAsia"/>
                <w:szCs w:val="24"/>
                <w:highlight w:val="none"/>
              </w:rPr>
              <w:t>③电子交易平台发现严重安全漏洞，有潜在泄密危险的；</w:t>
            </w:r>
          </w:p>
          <w:p w14:paraId="39D8AA17">
            <w:pPr>
              <w:spacing w:line="440" w:lineRule="exact"/>
              <w:rPr>
                <w:szCs w:val="24"/>
                <w:highlight w:val="none"/>
              </w:rPr>
            </w:pPr>
            <w:r>
              <w:rPr>
                <w:rFonts w:hint="eastAsia"/>
                <w:szCs w:val="24"/>
                <w:highlight w:val="none"/>
              </w:rPr>
              <w:t xml:space="preserve">④病毒发作导致不能进行正常操作的； </w:t>
            </w:r>
          </w:p>
          <w:p w14:paraId="4801F89D">
            <w:pPr>
              <w:spacing w:line="440" w:lineRule="exact"/>
              <w:rPr>
                <w:szCs w:val="24"/>
                <w:highlight w:val="none"/>
              </w:rPr>
            </w:pPr>
            <w:r>
              <w:rPr>
                <w:rFonts w:hint="eastAsia"/>
                <w:szCs w:val="24"/>
                <w:highlight w:val="none"/>
              </w:rPr>
              <w:t>⑤其他无法保证电子交易的公平、公正和安全的情况。</w:t>
            </w:r>
          </w:p>
          <w:p w14:paraId="0EAB8B16">
            <w:pPr>
              <w:spacing w:line="440" w:lineRule="exact"/>
              <w:rPr>
                <w:szCs w:val="24"/>
                <w:highlight w:val="none"/>
              </w:rPr>
            </w:pPr>
            <w:r>
              <w:rPr>
                <w:rFonts w:hint="eastAsia"/>
                <w:szCs w:val="24"/>
                <w:highlight w:val="none"/>
              </w:rPr>
              <w:t>出现前款规定情形，不影响采购公平、公正性的，采购人（或代理机构）可以待上述情形消除后继续组织电子交易活动。</w:t>
            </w:r>
          </w:p>
          <w:p w14:paraId="66037B9E">
            <w:pPr>
              <w:spacing w:line="440" w:lineRule="exact"/>
              <w:rPr>
                <w:szCs w:val="24"/>
                <w:highlight w:val="none"/>
              </w:rPr>
            </w:pPr>
            <w:r>
              <w:rPr>
                <w:rFonts w:hint="eastAsia"/>
                <w:szCs w:val="24"/>
                <w:highlight w:val="none"/>
              </w:rPr>
              <w:t>开标顺序：</w:t>
            </w:r>
          </w:p>
          <w:p w14:paraId="2EAA582E">
            <w:pPr>
              <w:spacing w:line="440" w:lineRule="exact"/>
              <w:rPr>
                <w:szCs w:val="24"/>
                <w:highlight w:val="none"/>
              </w:rPr>
            </w:pPr>
            <w:r>
              <w:rPr>
                <w:szCs w:val="24"/>
                <w:highlight w:val="none"/>
              </w:rPr>
              <w:t>按照投标的顺序依次开标，按照招标内容分类分段依次唱标</w:t>
            </w:r>
            <w:r>
              <w:rPr>
                <w:rFonts w:hint="eastAsia"/>
                <w:szCs w:val="24"/>
                <w:highlight w:val="none"/>
              </w:rPr>
              <w:t>；</w:t>
            </w:r>
          </w:p>
          <w:p w14:paraId="5805B93F">
            <w:pPr>
              <w:spacing w:line="440" w:lineRule="exact"/>
              <w:rPr>
                <w:color w:val="000000"/>
                <w:szCs w:val="24"/>
                <w:highlight w:val="none"/>
              </w:rPr>
            </w:pPr>
            <w:r>
              <w:rPr>
                <w:szCs w:val="24"/>
                <w:highlight w:val="none"/>
              </w:rPr>
              <w:t>开标时，先开技术商务文件</w:t>
            </w:r>
            <w:r>
              <w:rPr>
                <w:rFonts w:hint="eastAsia"/>
                <w:szCs w:val="24"/>
                <w:highlight w:val="none"/>
              </w:rPr>
              <w:t>、资格审查文件</w:t>
            </w:r>
            <w:r>
              <w:rPr>
                <w:szCs w:val="24"/>
                <w:highlight w:val="none"/>
              </w:rPr>
              <w:t>，待技术商务文件</w:t>
            </w:r>
            <w:r>
              <w:rPr>
                <w:rFonts w:hint="eastAsia"/>
                <w:szCs w:val="24"/>
                <w:highlight w:val="none"/>
              </w:rPr>
              <w:t>、资格审查文件</w:t>
            </w:r>
            <w:r>
              <w:rPr>
                <w:szCs w:val="24"/>
                <w:highlight w:val="none"/>
              </w:rPr>
              <w:t>评审结束后开启投标报价文件。如技术商务文件</w:t>
            </w:r>
            <w:r>
              <w:rPr>
                <w:rFonts w:hint="eastAsia"/>
                <w:szCs w:val="24"/>
                <w:highlight w:val="none"/>
              </w:rPr>
              <w:t>、资格审查文件</w:t>
            </w:r>
            <w:r>
              <w:rPr>
                <w:szCs w:val="24"/>
                <w:highlight w:val="none"/>
              </w:rPr>
              <w:t>经评审确定为无效</w:t>
            </w:r>
            <w:r>
              <w:rPr>
                <w:rFonts w:hint="eastAsia"/>
                <w:szCs w:val="24"/>
                <w:highlight w:val="none"/>
              </w:rPr>
              <w:t>标</w:t>
            </w:r>
            <w:r>
              <w:rPr>
                <w:szCs w:val="24"/>
                <w:highlight w:val="none"/>
              </w:rPr>
              <w:t>的投标单位则不能进行报价文件的评审，作为无效标处理</w:t>
            </w:r>
            <w:r>
              <w:rPr>
                <w:rFonts w:hint="eastAsia"/>
                <w:szCs w:val="24"/>
                <w:highlight w:val="none"/>
              </w:rPr>
              <w:t>；</w:t>
            </w:r>
          </w:p>
        </w:tc>
      </w:tr>
      <w:tr w14:paraId="4612D2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14" w:type="dxa"/>
            <w:vAlign w:val="center"/>
          </w:tcPr>
          <w:p w14:paraId="2030DEA6">
            <w:pPr>
              <w:spacing w:line="340" w:lineRule="exact"/>
              <w:ind w:left="-108" w:right="-113"/>
              <w:contextualSpacing/>
              <w:jc w:val="center"/>
              <w:rPr>
                <w:szCs w:val="24"/>
                <w:highlight w:val="none"/>
              </w:rPr>
            </w:pPr>
            <w:r>
              <w:rPr>
                <w:rFonts w:hint="eastAsia"/>
                <w:szCs w:val="24"/>
                <w:highlight w:val="none"/>
              </w:rPr>
              <w:t>★2.12</w:t>
            </w:r>
          </w:p>
        </w:tc>
        <w:tc>
          <w:tcPr>
            <w:tcW w:w="8388" w:type="dxa"/>
            <w:vAlign w:val="center"/>
          </w:tcPr>
          <w:p w14:paraId="0DDA3BBB">
            <w:pPr>
              <w:tabs>
                <w:tab w:val="left" w:pos="426"/>
              </w:tabs>
              <w:spacing w:line="440" w:lineRule="exact"/>
              <w:contextualSpacing/>
              <w:rPr>
                <w:rFonts w:hint="eastAsia" w:ascii="宋体" w:hAnsi="宋体"/>
                <w:szCs w:val="24"/>
                <w:highlight w:val="none"/>
              </w:rPr>
            </w:pPr>
            <w:r>
              <w:rPr>
                <w:rFonts w:hint="eastAsia" w:ascii="宋体" w:hAnsi="宋体"/>
                <w:szCs w:val="24"/>
                <w:highlight w:val="none"/>
              </w:rPr>
              <w:t>关于核心产品：</w:t>
            </w:r>
          </w:p>
          <w:p w14:paraId="08323BF8">
            <w:pPr>
              <w:tabs>
                <w:tab w:val="left" w:pos="426"/>
              </w:tabs>
              <w:spacing w:line="440" w:lineRule="exact"/>
              <w:contextualSpacing/>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提供相同品牌产品且通过资格性审查、符合性审查的不同供应商参加本项目投标的，按一家供应商计算，评审后综合得分最高的同品牌供应商获得中标候选人推荐资格；综合得分相同的，由评标委员会采取随机抽取方式确定，其他同品牌供应商不作为中标候选人。</w:t>
            </w:r>
          </w:p>
          <w:p w14:paraId="0A335411">
            <w:pPr>
              <w:tabs>
                <w:tab w:val="left" w:pos="426"/>
              </w:tabs>
              <w:spacing w:line="440" w:lineRule="exact"/>
              <w:contextualSpacing/>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非单一产品采购项目，多家供应商提供的核心产品品牌相同的，按上述规定处理。</w:t>
            </w:r>
          </w:p>
          <w:p w14:paraId="6E2CC1C7">
            <w:pPr>
              <w:autoSpaceDE w:val="0"/>
              <w:autoSpaceDN w:val="0"/>
              <w:snapToGrid w:val="0"/>
              <w:spacing w:line="440" w:lineRule="exact"/>
              <w:contextualSpacing/>
              <w:rPr>
                <w:color w:val="000000"/>
                <w:szCs w:val="24"/>
                <w:highlight w:val="none"/>
              </w:rPr>
            </w:pPr>
            <w:r>
              <w:rPr>
                <w:rFonts w:hint="eastAsia" w:ascii="宋体" w:hAnsi="宋体"/>
                <w:color w:val="000000" w:themeColor="text1"/>
                <w:szCs w:val="24"/>
                <w:highlight w:val="none"/>
                <w14:textFill>
                  <w14:solidFill>
                    <w14:schemeClr w14:val="tx1"/>
                  </w14:solidFill>
                </w14:textFill>
              </w:rPr>
              <w:t>本项目的核心产品指：</w:t>
            </w:r>
            <w:r>
              <w:rPr>
                <w:rFonts w:hint="eastAsia" w:ascii="宋体" w:hAnsi="宋体" w:cs="宋体"/>
                <w:color w:val="000000"/>
                <w:kern w:val="0"/>
                <w:szCs w:val="21"/>
                <w:highlight w:val="none"/>
                <w:lang w:bidi="ar"/>
                <w14:ligatures w14:val="standardContextual"/>
              </w:rPr>
              <w:t>86寸一体机、86寸智慧黑板</w:t>
            </w:r>
            <w:r>
              <w:rPr>
                <w:rFonts w:hint="eastAsia" w:ascii="宋体" w:hAnsi="宋体"/>
                <w:color w:val="000000" w:themeColor="text1"/>
                <w:szCs w:val="24"/>
                <w:highlight w:val="none"/>
                <w14:textFill>
                  <w14:solidFill>
                    <w14:schemeClr w14:val="tx1"/>
                  </w14:solidFill>
                </w14:textFill>
              </w:rPr>
              <w:t>。</w:t>
            </w:r>
          </w:p>
        </w:tc>
      </w:tr>
      <w:tr w14:paraId="3A1B90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102" w:type="dxa"/>
            <w:gridSpan w:val="2"/>
            <w:vAlign w:val="center"/>
          </w:tcPr>
          <w:p w14:paraId="5B251ECD">
            <w:pPr>
              <w:spacing w:line="340" w:lineRule="exact"/>
              <w:ind w:left="-108" w:right="-113"/>
              <w:contextualSpacing/>
              <w:jc w:val="center"/>
              <w:rPr>
                <w:szCs w:val="24"/>
                <w:highlight w:val="none"/>
              </w:rPr>
            </w:pPr>
            <w:r>
              <w:rPr>
                <w:rFonts w:hint="eastAsia"/>
                <w:szCs w:val="24"/>
                <w:highlight w:val="none"/>
              </w:rPr>
              <w:t>合 同 条 款 资 料</w:t>
            </w:r>
          </w:p>
        </w:tc>
      </w:tr>
      <w:tr w14:paraId="0886E7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714" w:type="dxa"/>
            <w:vAlign w:val="center"/>
          </w:tcPr>
          <w:p w14:paraId="4E899CB4">
            <w:pPr>
              <w:spacing w:line="340" w:lineRule="exact"/>
              <w:ind w:left="-108" w:right="-113"/>
              <w:contextualSpacing/>
              <w:jc w:val="center"/>
              <w:rPr>
                <w:szCs w:val="24"/>
                <w:highlight w:val="none"/>
              </w:rPr>
            </w:pPr>
            <w:r>
              <w:rPr>
                <w:rFonts w:hint="eastAsia"/>
                <w:szCs w:val="24"/>
                <w:highlight w:val="none"/>
              </w:rPr>
              <w:t>2.13</w:t>
            </w:r>
          </w:p>
        </w:tc>
        <w:tc>
          <w:tcPr>
            <w:tcW w:w="8388" w:type="dxa"/>
            <w:vAlign w:val="center"/>
          </w:tcPr>
          <w:p w14:paraId="104D8228">
            <w:pPr>
              <w:spacing w:line="400" w:lineRule="exact"/>
              <w:jc w:val="left"/>
              <w:rPr>
                <w:bCs/>
                <w:highlight w:val="none"/>
              </w:rPr>
            </w:pPr>
            <w:r>
              <w:rPr>
                <w:rFonts w:hint="eastAsia"/>
                <w:bCs/>
                <w:highlight w:val="none"/>
              </w:rPr>
              <w:t>签订合同时间：中标通知书发出后30日内。</w:t>
            </w:r>
          </w:p>
        </w:tc>
      </w:tr>
      <w:tr w14:paraId="1894AB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14" w:type="dxa"/>
            <w:vAlign w:val="center"/>
          </w:tcPr>
          <w:p w14:paraId="3A5B22EF">
            <w:pPr>
              <w:spacing w:line="340" w:lineRule="exact"/>
              <w:ind w:left="-108" w:right="-113"/>
              <w:contextualSpacing/>
              <w:jc w:val="center"/>
              <w:rPr>
                <w:szCs w:val="24"/>
                <w:highlight w:val="none"/>
              </w:rPr>
            </w:pPr>
            <w:r>
              <w:rPr>
                <w:rFonts w:hint="eastAsia"/>
                <w:szCs w:val="24"/>
                <w:highlight w:val="none"/>
              </w:rPr>
              <w:t>2.14</w:t>
            </w:r>
          </w:p>
        </w:tc>
        <w:tc>
          <w:tcPr>
            <w:tcW w:w="8388" w:type="dxa"/>
            <w:vAlign w:val="center"/>
          </w:tcPr>
          <w:p w14:paraId="555807A9">
            <w:pPr>
              <w:spacing w:line="400" w:lineRule="exact"/>
              <w:jc w:val="left"/>
              <w:rPr>
                <w:bCs/>
                <w:highlight w:val="none"/>
              </w:rPr>
            </w:pPr>
            <w:r>
              <w:rPr>
                <w:rFonts w:hint="eastAsia"/>
                <w:bCs/>
                <w:highlight w:val="none"/>
              </w:rPr>
              <w:t>付款方法和条件：</w:t>
            </w:r>
          </w:p>
          <w:p w14:paraId="2D2ABA42">
            <w:pPr>
              <w:spacing w:line="400" w:lineRule="exact"/>
              <w:jc w:val="left"/>
              <w:rPr>
                <w:bCs/>
                <w:highlight w:val="none"/>
                <w:lang w:val="zh-CN"/>
              </w:rPr>
            </w:pPr>
            <w:r>
              <w:rPr>
                <w:rFonts w:hint="eastAsia"/>
                <w:bCs/>
                <w:highlight w:val="none"/>
                <w:lang w:val="zh-CN"/>
              </w:rPr>
              <w:t>（1）合同签订后</w:t>
            </w:r>
            <w:r>
              <w:rPr>
                <w:rFonts w:hint="eastAsia"/>
                <w:bCs/>
                <w:highlight w:val="none"/>
              </w:rPr>
              <w:t>7个工作日内</w:t>
            </w:r>
            <w:r>
              <w:rPr>
                <w:rFonts w:hint="eastAsia"/>
                <w:bCs/>
                <w:highlight w:val="none"/>
                <w:lang w:val="zh-CN"/>
              </w:rPr>
              <w:t>，采购人向中标人支付合同总价的</w:t>
            </w:r>
            <w:r>
              <w:rPr>
                <w:rFonts w:hint="eastAsia"/>
                <w:bCs/>
                <w:highlight w:val="none"/>
              </w:rPr>
              <w:t>4</w:t>
            </w:r>
            <w:r>
              <w:rPr>
                <w:rFonts w:hint="eastAsia"/>
                <w:bCs/>
                <w:highlight w:val="none"/>
                <w:lang w:val="zh-CN"/>
              </w:rPr>
              <w:t>0%；</w:t>
            </w:r>
          </w:p>
          <w:p w14:paraId="5B3843FA">
            <w:pPr>
              <w:spacing w:line="400" w:lineRule="exact"/>
              <w:jc w:val="left"/>
              <w:rPr>
                <w:bCs/>
                <w:highlight w:val="none"/>
              </w:rPr>
            </w:pPr>
            <w:r>
              <w:rPr>
                <w:rFonts w:hint="eastAsia"/>
                <w:bCs/>
                <w:highlight w:val="none"/>
                <w:lang w:val="zh-CN"/>
              </w:rPr>
              <w:t>（</w:t>
            </w:r>
            <w:r>
              <w:rPr>
                <w:rFonts w:hint="eastAsia"/>
                <w:bCs/>
                <w:highlight w:val="none"/>
              </w:rPr>
              <w:t>2</w:t>
            </w:r>
            <w:r>
              <w:rPr>
                <w:rFonts w:hint="eastAsia"/>
                <w:bCs/>
                <w:highlight w:val="none"/>
                <w:lang w:val="zh-CN"/>
              </w:rPr>
              <w:t>）</w:t>
            </w:r>
            <w:r>
              <w:rPr>
                <w:rFonts w:hint="eastAsia"/>
                <w:bCs/>
                <w:highlight w:val="none"/>
              </w:rPr>
              <w:t>项目</w:t>
            </w:r>
            <w:r>
              <w:rPr>
                <w:rFonts w:hint="eastAsia"/>
                <w:bCs/>
                <w:highlight w:val="none"/>
                <w:lang w:val="zh-CN"/>
              </w:rPr>
              <w:t>验收合格并办理交付手续后</w:t>
            </w:r>
            <w:r>
              <w:rPr>
                <w:rFonts w:hint="eastAsia"/>
                <w:bCs/>
                <w:highlight w:val="none"/>
              </w:rPr>
              <w:t>7个工作日内</w:t>
            </w:r>
            <w:r>
              <w:rPr>
                <w:rFonts w:hint="eastAsia"/>
                <w:bCs/>
                <w:highlight w:val="none"/>
                <w:lang w:val="zh-CN"/>
              </w:rPr>
              <w:t>支付</w:t>
            </w:r>
            <w:r>
              <w:rPr>
                <w:rFonts w:hint="eastAsia"/>
                <w:bCs/>
                <w:highlight w:val="none"/>
              </w:rPr>
              <w:t>剩余</w:t>
            </w:r>
            <w:r>
              <w:rPr>
                <w:rFonts w:hint="eastAsia"/>
                <w:bCs/>
                <w:highlight w:val="none"/>
                <w:lang w:val="zh-CN"/>
              </w:rPr>
              <w:t>合同</w:t>
            </w:r>
            <w:r>
              <w:rPr>
                <w:rFonts w:hint="eastAsia"/>
                <w:bCs/>
                <w:highlight w:val="none"/>
              </w:rPr>
              <w:t>价</w:t>
            </w:r>
            <w:r>
              <w:rPr>
                <w:rFonts w:hint="eastAsia"/>
                <w:bCs/>
                <w:highlight w:val="none"/>
                <w:lang w:val="zh-CN"/>
              </w:rPr>
              <w:t>。</w:t>
            </w:r>
          </w:p>
        </w:tc>
      </w:tr>
      <w:tr w14:paraId="24C5A3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1" w:hRule="atLeast"/>
          <w:jc w:val="center"/>
        </w:trPr>
        <w:tc>
          <w:tcPr>
            <w:tcW w:w="714" w:type="dxa"/>
            <w:vAlign w:val="center"/>
          </w:tcPr>
          <w:p w14:paraId="1A722A40">
            <w:pPr>
              <w:spacing w:line="340" w:lineRule="exact"/>
              <w:ind w:left="-108" w:right="-113"/>
              <w:contextualSpacing/>
              <w:jc w:val="center"/>
              <w:rPr>
                <w:szCs w:val="24"/>
                <w:highlight w:val="none"/>
              </w:rPr>
            </w:pPr>
            <w:r>
              <w:rPr>
                <w:rFonts w:hint="eastAsia"/>
                <w:szCs w:val="24"/>
                <w:highlight w:val="none"/>
              </w:rPr>
              <w:t>★2.15</w:t>
            </w:r>
          </w:p>
        </w:tc>
        <w:tc>
          <w:tcPr>
            <w:tcW w:w="8388" w:type="dxa"/>
            <w:vAlign w:val="center"/>
          </w:tcPr>
          <w:p w14:paraId="28CB92A6">
            <w:pPr>
              <w:spacing w:line="440" w:lineRule="exact"/>
              <w:rPr>
                <w:szCs w:val="24"/>
                <w:highlight w:val="none"/>
              </w:rPr>
            </w:pPr>
            <w:r>
              <w:rPr>
                <w:rFonts w:hint="eastAsia"/>
                <w:szCs w:val="24"/>
                <w:highlight w:val="none"/>
              </w:rPr>
              <w:t>质保期：</w:t>
            </w:r>
            <w:r>
              <w:rPr>
                <w:rFonts w:hint="eastAsia" w:ascii="宋体" w:hAnsi="宋体"/>
                <w:bCs/>
                <w:szCs w:val="21"/>
                <w:highlight w:val="none"/>
              </w:rPr>
              <w:t>所投所有产品提供三年质保</w:t>
            </w:r>
            <w:r>
              <w:rPr>
                <w:rFonts w:hint="eastAsia" w:cs="宋体" w:asciiTheme="minorEastAsia" w:hAnsiTheme="minorEastAsia"/>
                <w:bCs/>
                <w:szCs w:val="21"/>
                <w:highlight w:val="none"/>
              </w:rPr>
              <w:t>。质保期从最终验收合格之日起开始计算。</w:t>
            </w:r>
          </w:p>
        </w:tc>
      </w:tr>
      <w:tr w14:paraId="44037E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4D0C0A46">
            <w:pPr>
              <w:spacing w:line="340" w:lineRule="exact"/>
              <w:ind w:left="-108" w:right="-113"/>
              <w:contextualSpacing/>
              <w:jc w:val="center"/>
              <w:rPr>
                <w:szCs w:val="24"/>
                <w:highlight w:val="none"/>
              </w:rPr>
            </w:pPr>
            <w:r>
              <w:rPr>
                <w:rFonts w:hint="eastAsia"/>
                <w:szCs w:val="24"/>
                <w:highlight w:val="none"/>
              </w:rPr>
              <w:t>★2.16</w:t>
            </w:r>
          </w:p>
        </w:tc>
        <w:tc>
          <w:tcPr>
            <w:tcW w:w="8388" w:type="dxa"/>
            <w:vAlign w:val="center"/>
          </w:tcPr>
          <w:p w14:paraId="61F30B40">
            <w:pPr>
              <w:spacing w:line="440" w:lineRule="exact"/>
              <w:rPr>
                <w:szCs w:val="24"/>
                <w:highlight w:val="none"/>
              </w:rPr>
            </w:pPr>
            <w:r>
              <w:rPr>
                <w:rFonts w:hint="eastAsia" w:ascii="宋体" w:hAnsi="宋体" w:cs="宋体"/>
                <w:color w:val="000000"/>
                <w:kern w:val="0"/>
                <w:szCs w:val="21"/>
                <w:highlight w:val="none"/>
                <w:lang w:bidi="ar"/>
              </w:rPr>
              <w:t>售后技术服务要求：</w:t>
            </w:r>
            <w:r>
              <w:rPr>
                <w:rFonts w:hint="eastAsia" w:ascii="宋体" w:hAnsi="宋体"/>
                <w:bCs/>
                <w:szCs w:val="21"/>
                <w:highlight w:val="none"/>
              </w:rPr>
              <w:t>所投产品质保期内提供免费服务，接到用户维修电话1个小时内响应，24个小时内修复（不能修复的，用备机替代）</w:t>
            </w:r>
            <w:r>
              <w:rPr>
                <w:rFonts w:hint="eastAsia" w:cs="宋体" w:asciiTheme="minorEastAsia" w:hAnsiTheme="minorEastAsia"/>
                <w:bCs/>
                <w:szCs w:val="21"/>
                <w:highlight w:val="none"/>
              </w:rPr>
              <w:t>。</w:t>
            </w:r>
          </w:p>
        </w:tc>
      </w:tr>
      <w:tr w14:paraId="4C201F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55207ACF">
            <w:pPr>
              <w:spacing w:line="340" w:lineRule="exact"/>
              <w:ind w:left="-108" w:right="-113"/>
              <w:contextualSpacing/>
              <w:jc w:val="center"/>
              <w:rPr>
                <w:szCs w:val="24"/>
                <w:highlight w:val="none"/>
              </w:rPr>
            </w:pPr>
            <w:r>
              <w:rPr>
                <w:rFonts w:hint="eastAsia"/>
                <w:szCs w:val="24"/>
                <w:highlight w:val="none"/>
              </w:rPr>
              <w:t>★2.17</w:t>
            </w:r>
          </w:p>
        </w:tc>
        <w:tc>
          <w:tcPr>
            <w:tcW w:w="8388" w:type="dxa"/>
            <w:vAlign w:val="center"/>
          </w:tcPr>
          <w:p w14:paraId="5A14329C">
            <w:pPr>
              <w:spacing w:line="400" w:lineRule="exact"/>
              <w:jc w:val="left"/>
              <w:rPr>
                <w:bCs/>
                <w:highlight w:val="none"/>
              </w:rPr>
            </w:pPr>
            <w:r>
              <w:rPr>
                <w:rFonts w:hint="eastAsia"/>
                <w:bCs/>
                <w:highlight w:val="none"/>
              </w:rPr>
              <w:t>交货时间：</w:t>
            </w:r>
            <w:r>
              <w:rPr>
                <w:rFonts w:hint="eastAsia" w:ascii="宋体" w:hAnsi="宋体" w:cs="宋体"/>
                <w:szCs w:val="21"/>
                <w:highlight w:val="none"/>
              </w:rPr>
              <w:t>合同签订后2个月内完成所有设备的安装、调试并完成初验</w:t>
            </w:r>
            <w:r>
              <w:rPr>
                <w:rFonts w:hint="eastAsia"/>
                <w:bCs/>
                <w:highlight w:val="none"/>
              </w:rPr>
              <w:t>；</w:t>
            </w:r>
          </w:p>
          <w:p w14:paraId="53E67B97">
            <w:pPr>
              <w:spacing w:line="440" w:lineRule="exact"/>
              <w:rPr>
                <w:szCs w:val="24"/>
                <w:highlight w:val="none"/>
              </w:rPr>
            </w:pPr>
            <w:r>
              <w:rPr>
                <w:rFonts w:hint="eastAsia" w:ascii="宋体" w:hAnsi="宋体" w:cs="宋体"/>
                <w:bCs/>
                <w:color w:val="000000"/>
                <w:sz w:val="22"/>
                <w:szCs w:val="18"/>
                <w:highlight w:val="none"/>
              </w:rPr>
              <w:t>交货地点：采购人指定地点。</w:t>
            </w:r>
          </w:p>
        </w:tc>
      </w:tr>
      <w:tr w14:paraId="65403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0762950F">
            <w:pPr>
              <w:spacing w:line="340" w:lineRule="exact"/>
              <w:ind w:left="-108" w:right="-113"/>
              <w:contextualSpacing/>
              <w:jc w:val="center"/>
              <w:rPr>
                <w:szCs w:val="24"/>
                <w:highlight w:val="none"/>
              </w:rPr>
            </w:pPr>
            <w:r>
              <w:rPr>
                <w:rFonts w:hint="eastAsia"/>
                <w:szCs w:val="24"/>
                <w:highlight w:val="none"/>
              </w:rPr>
              <w:t>2.18</w:t>
            </w:r>
          </w:p>
        </w:tc>
        <w:tc>
          <w:tcPr>
            <w:tcW w:w="8388" w:type="dxa"/>
            <w:vAlign w:val="center"/>
          </w:tcPr>
          <w:p w14:paraId="6BFD089C">
            <w:pPr>
              <w:spacing w:line="440" w:lineRule="exact"/>
              <w:rPr>
                <w:rFonts w:hint="eastAsia" w:ascii="宋体" w:hAnsi="宋体" w:cs="宋体"/>
                <w:bCs/>
                <w:szCs w:val="21"/>
                <w:highlight w:val="none"/>
              </w:rPr>
            </w:pPr>
            <w:r>
              <w:rPr>
                <w:rFonts w:hint="eastAsia" w:ascii="宋体" w:hAnsi="宋体" w:cs="宋体"/>
                <w:color w:val="000000"/>
                <w:kern w:val="0"/>
                <w:szCs w:val="21"/>
                <w:highlight w:val="none"/>
                <w:lang w:bidi="ar"/>
              </w:rPr>
              <w:t>采购结果发布后，采购人将对中标候选人的证书原件进行核查，若复印件存在伪造欺瞒行为，将取消其中标资格并追究法律责任。</w:t>
            </w:r>
          </w:p>
        </w:tc>
      </w:tr>
      <w:tr w14:paraId="40065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102" w:type="dxa"/>
            <w:gridSpan w:val="2"/>
            <w:vAlign w:val="center"/>
          </w:tcPr>
          <w:p w14:paraId="6A89B58A">
            <w:pPr>
              <w:spacing w:line="340" w:lineRule="exact"/>
              <w:ind w:left="-108" w:right="-113"/>
              <w:contextualSpacing/>
              <w:jc w:val="center"/>
              <w:rPr>
                <w:szCs w:val="24"/>
                <w:highlight w:val="none"/>
              </w:rPr>
            </w:pPr>
            <w:r>
              <w:rPr>
                <w:rFonts w:hint="eastAsia"/>
                <w:szCs w:val="24"/>
                <w:highlight w:val="none"/>
              </w:rPr>
              <w:t>中  标  服  务  费</w:t>
            </w:r>
          </w:p>
        </w:tc>
      </w:tr>
      <w:tr w14:paraId="790867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94" w:hRule="atLeast"/>
          <w:jc w:val="center"/>
        </w:trPr>
        <w:tc>
          <w:tcPr>
            <w:tcW w:w="9102" w:type="dxa"/>
            <w:gridSpan w:val="2"/>
            <w:vAlign w:val="center"/>
          </w:tcPr>
          <w:p w14:paraId="4E7D4F5C">
            <w:pPr>
              <w:spacing w:line="440" w:lineRule="exact"/>
              <w:contextualSpacing/>
              <w:rPr>
                <w:szCs w:val="24"/>
                <w:highlight w:val="none"/>
              </w:rPr>
            </w:pPr>
            <w:r>
              <w:rPr>
                <w:rFonts w:hint="eastAsia"/>
                <w:szCs w:val="24"/>
                <w:highlight w:val="none"/>
              </w:rPr>
              <w:t>1.中标人与采购人签订合同后，本采购代理机构参照宁波市招标投标协会关于印发《宁波市招标（采购）代理服务收费指导意见》的通知规定的货物招标费率标准，按照中标人中标的总金额，向中标人收取招标代理费；收费标准如下：</w:t>
            </w:r>
          </w:p>
          <w:tbl>
            <w:tblPr>
              <w:tblStyle w:val="45"/>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14:paraId="3ED8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753" w:type="dxa"/>
                  <w:tcBorders>
                    <w:tl2br w:val="single" w:color="auto" w:sz="4" w:space="0"/>
                  </w:tcBorders>
                  <w:tcMar>
                    <w:top w:w="30" w:type="dxa"/>
                    <w:left w:w="150" w:type="dxa"/>
                    <w:bottom w:w="30" w:type="dxa"/>
                    <w:right w:w="150" w:type="dxa"/>
                  </w:tcMar>
                  <w:vAlign w:val="center"/>
                </w:tcPr>
                <w:p w14:paraId="385A4CBF">
                  <w:pPr>
                    <w:spacing w:line="312" w:lineRule="auto"/>
                    <w:jc w:val="right"/>
                    <w:rPr>
                      <w:rFonts w:hint="eastAsia" w:ascii="宋体" w:hAnsi="宋体" w:cs="宋体"/>
                      <w:highlight w:val="none"/>
                    </w:rPr>
                  </w:pPr>
                  <w:r>
                    <w:rPr>
                      <w:rFonts w:hint="eastAsia" w:ascii="宋体" w:hAnsi="宋体" w:cs="宋体"/>
                      <w:highlight w:val="none"/>
                    </w:rPr>
                    <w:t>服务类型</w:t>
                  </w:r>
                </w:p>
                <w:p w14:paraId="7B3F0A6F">
                  <w:pPr>
                    <w:snapToGrid w:val="0"/>
                    <w:rPr>
                      <w:rFonts w:hint="eastAsia" w:ascii="宋体" w:hAnsi="宋体" w:cs="宋体"/>
                      <w:highlight w:val="none"/>
                    </w:rPr>
                  </w:pPr>
                  <w:r>
                    <w:rPr>
                      <w:rFonts w:hint="eastAsia" w:ascii="宋体" w:hAnsi="宋体" w:cs="宋体"/>
                      <w:highlight w:val="none"/>
                    </w:rPr>
                    <w:t>金额（万元）                费率</w:t>
                  </w:r>
                </w:p>
                <w:p w14:paraId="3C80365E">
                  <w:pPr>
                    <w:spacing w:line="312" w:lineRule="auto"/>
                    <w:rPr>
                      <w:rFonts w:hint="eastAsia" w:ascii="宋体" w:hAnsi="宋体" w:cs="宋体"/>
                      <w:highlight w:val="none"/>
                    </w:rPr>
                  </w:pPr>
                </w:p>
              </w:tc>
              <w:tc>
                <w:tcPr>
                  <w:tcW w:w="1241" w:type="dxa"/>
                  <w:tcMar>
                    <w:top w:w="30" w:type="dxa"/>
                    <w:left w:w="150" w:type="dxa"/>
                    <w:bottom w:w="30" w:type="dxa"/>
                    <w:right w:w="150" w:type="dxa"/>
                  </w:tcMar>
                  <w:vAlign w:val="center"/>
                </w:tcPr>
                <w:p w14:paraId="1DB2794F">
                  <w:pPr>
                    <w:spacing w:line="312" w:lineRule="auto"/>
                    <w:jc w:val="center"/>
                    <w:rPr>
                      <w:rFonts w:hint="eastAsia" w:ascii="宋体" w:hAnsi="宋体" w:cs="宋体"/>
                      <w:highlight w:val="none"/>
                    </w:rPr>
                  </w:pPr>
                  <w:r>
                    <w:rPr>
                      <w:rFonts w:hint="eastAsia" w:ascii="宋体" w:hAnsi="宋体" w:cs="宋体"/>
                      <w:highlight w:val="none"/>
                    </w:rPr>
                    <w:t>货物招标</w:t>
                  </w:r>
                </w:p>
              </w:tc>
              <w:tc>
                <w:tcPr>
                  <w:tcW w:w="1241" w:type="dxa"/>
                  <w:tcMar>
                    <w:top w:w="30" w:type="dxa"/>
                    <w:left w:w="150" w:type="dxa"/>
                    <w:bottom w:w="30" w:type="dxa"/>
                    <w:right w:w="150" w:type="dxa"/>
                  </w:tcMar>
                  <w:vAlign w:val="center"/>
                </w:tcPr>
                <w:p w14:paraId="62E49846">
                  <w:pPr>
                    <w:spacing w:line="312" w:lineRule="auto"/>
                    <w:jc w:val="center"/>
                    <w:rPr>
                      <w:rFonts w:hint="eastAsia" w:ascii="宋体" w:hAnsi="宋体" w:cs="宋体"/>
                      <w:highlight w:val="none"/>
                    </w:rPr>
                  </w:pPr>
                  <w:r>
                    <w:rPr>
                      <w:rFonts w:hint="eastAsia" w:ascii="宋体" w:hAnsi="宋体" w:cs="宋体"/>
                      <w:highlight w:val="none"/>
                    </w:rPr>
                    <w:t>服务招标</w:t>
                  </w:r>
                </w:p>
              </w:tc>
              <w:tc>
                <w:tcPr>
                  <w:tcW w:w="1243" w:type="dxa"/>
                  <w:tcMar>
                    <w:top w:w="30" w:type="dxa"/>
                    <w:left w:w="150" w:type="dxa"/>
                    <w:bottom w:w="30" w:type="dxa"/>
                    <w:right w:w="150" w:type="dxa"/>
                  </w:tcMar>
                  <w:vAlign w:val="center"/>
                </w:tcPr>
                <w:p w14:paraId="76B2A7B1">
                  <w:pPr>
                    <w:spacing w:line="312" w:lineRule="auto"/>
                    <w:jc w:val="center"/>
                    <w:rPr>
                      <w:rFonts w:hint="eastAsia" w:ascii="宋体" w:hAnsi="宋体" w:cs="宋体"/>
                      <w:highlight w:val="none"/>
                    </w:rPr>
                  </w:pPr>
                  <w:r>
                    <w:rPr>
                      <w:rFonts w:hint="eastAsia" w:ascii="宋体" w:hAnsi="宋体" w:cs="宋体"/>
                      <w:highlight w:val="none"/>
                    </w:rPr>
                    <w:t>工程招标</w:t>
                  </w:r>
                </w:p>
              </w:tc>
            </w:tr>
            <w:tr w14:paraId="7EF0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3753" w:type="dxa"/>
                  <w:tcMar>
                    <w:top w:w="30" w:type="dxa"/>
                    <w:left w:w="150" w:type="dxa"/>
                    <w:bottom w:w="30" w:type="dxa"/>
                    <w:right w:w="150" w:type="dxa"/>
                  </w:tcMar>
                  <w:vAlign w:val="center"/>
                </w:tcPr>
                <w:p w14:paraId="06F2D369">
                  <w:pPr>
                    <w:spacing w:line="312" w:lineRule="auto"/>
                    <w:jc w:val="center"/>
                    <w:rPr>
                      <w:rFonts w:hint="eastAsia" w:ascii="宋体" w:hAnsi="宋体" w:cs="宋体"/>
                      <w:highlight w:val="none"/>
                    </w:rPr>
                  </w:pPr>
                  <w:r>
                    <w:rPr>
                      <w:rFonts w:hint="eastAsia" w:ascii="宋体" w:hAnsi="宋体" w:cs="宋体"/>
                      <w:highlight w:val="none"/>
                    </w:rPr>
                    <w:t>100以下</w:t>
                  </w:r>
                </w:p>
              </w:tc>
              <w:tc>
                <w:tcPr>
                  <w:tcW w:w="1241" w:type="dxa"/>
                  <w:tcMar>
                    <w:top w:w="30" w:type="dxa"/>
                    <w:left w:w="150" w:type="dxa"/>
                    <w:bottom w:w="30" w:type="dxa"/>
                    <w:right w:w="150" w:type="dxa"/>
                  </w:tcMar>
                  <w:vAlign w:val="center"/>
                </w:tcPr>
                <w:p w14:paraId="2CA5120D">
                  <w:pPr>
                    <w:spacing w:line="312" w:lineRule="auto"/>
                    <w:jc w:val="center"/>
                    <w:rPr>
                      <w:rFonts w:hint="eastAsia" w:ascii="宋体" w:hAnsi="宋体" w:cs="宋体"/>
                      <w:highlight w:val="none"/>
                    </w:rPr>
                  </w:pPr>
                  <w:r>
                    <w:rPr>
                      <w:rFonts w:hint="eastAsia" w:ascii="宋体" w:hAnsi="宋体" w:cs="宋体"/>
                      <w:highlight w:val="none"/>
                    </w:rPr>
                    <w:t>1.6%</w:t>
                  </w:r>
                </w:p>
              </w:tc>
              <w:tc>
                <w:tcPr>
                  <w:tcW w:w="1241" w:type="dxa"/>
                  <w:tcMar>
                    <w:top w:w="30" w:type="dxa"/>
                    <w:left w:w="150" w:type="dxa"/>
                    <w:bottom w:w="30" w:type="dxa"/>
                    <w:right w:w="150" w:type="dxa"/>
                  </w:tcMar>
                  <w:vAlign w:val="center"/>
                </w:tcPr>
                <w:p w14:paraId="53B24B52">
                  <w:pPr>
                    <w:spacing w:line="312" w:lineRule="auto"/>
                    <w:jc w:val="center"/>
                    <w:rPr>
                      <w:rFonts w:hint="eastAsia" w:ascii="宋体" w:hAnsi="宋体" w:cs="宋体"/>
                      <w:highlight w:val="none"/>
                    </w:rPr>
                  </w:pPr>
                  <w:r>
                    <w:rPr>
                      <w:rFonts w:hint="eastAsia" w:ascii="宋体" w:hAnsi="宋体" w:cs="宋体"/>
                      <w:highlight w:val="none"/>
                    </w:rPr>
                    <w:t>1.6%</w:t>
                  </w:r>
                </w:p>
              </w:tc>
              <w:tc>
                <w:tcPr>
                  <w:tcW w:w="1243" w:type="dxa"/>
                  <w:tcMar>
                    <w:top w:w="30" w:type="dxa"/>
                    <w:left w:w="150" w:type="dxa"/>
                    <w:bottom w:w="30" w:type="dxa"/>
                    <w:right w:w="150" w:type="dxa"/>
                  </w:tcMar>
                  <w:vAlign w:val="center"/>
                </w:tcPr>
                <w:p w14:paraId="7A007761">
                  <w:pPr>
                    <w:spacing w:line="312" w:lineRule="auto"/>
                    <w:jc w:val="center"/>
                    <w:rPr>
                      <w:rFonts w:hint="eastAsia" w:ascii="宋体" w:hAnsi="宋体" w:cs="宋体"/>
                      <w:highlight w:val="none"/>
                    </w:rPr>
                  </w:pPr>
                  <w:r>
                    <w:rPr>
                      <w:rFonts w:hint="eastAsia" w:ascii="宋体" w:hAnsi="宋体" w:cs="宋体"/>
                      <w:highlight w:val="none"/>
                    </w:rPr>
                    <w:t>1.0%</w:t>
                  </w:r>
                </w:p>
              </w:tc>
            </w:tr>
            <w:tr w14:paraId="154E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76426E12">
                  <w:pPr>
                    <w:spacing w:line="312" w:lineRule="auto"/>
                    <w:jc w:val="center"/>
                    <w:rPr>
                      <w:rFonts w:hint="eastAsia" w:ascii="宋体" w:hAnsi="宋体" w:cs="宋体"/>
                      <w:highlight w:val="none"/>
                    </w:rPr>
                  </w:pPr>
                  <w:r>
                    <w:rPr>
                      <w:rFonts w:hint="eastAsia" w:ascii="宋体" w:hAnsi="宋体" w:cs="宋体"/>
                      <w:highlight w:val="none"/>
                    </w:rPr>
                    <w:t>100-500</w:t>
                  </w:r>
                </w:p>
              </w:tc>
              <w:tc>
                <w:tcPr>
                  <w:tcW w:w="1241" w:type="dxa"/>
                  <w:tcMar>
                    <w:top w:w="30" w:type="dxa"/>
                    <w:left w:w="150" w:type="dxa"/>
                    <w:bottom w:w="30" w:type="dxa"/>
                    <w:right w:w="150" w:type="dxa"/>
                  </w:tcMar>
                  <w:vAlign w:val="center"/>
                </w:tcPr>
                <w:p w14:paraId="6D8598DB">
                  <w:pPr>
                    <w:spacing w:line="312" w:lineRule="auto"/>
                    <w:jc w:val="center"/>
                    <w:rPr>
                      <w:rFonts w:hint="eastAsia" w:ascii="宋体" w:hAnsi="宋体" w:cs="宋体"/>
                      <w:highlight w:val="none"/>
                    </w:rPr>
                  </w:pPr>
                  <w:r>
                    <w:rPr>
                      <w:rFonts w:hint="eastAsia" w:ascii="宋体" w:hAnsi="宋体" w:cs="宋体"/>
                      <w:highlight w:val="none"/>
                    </w:rPr>
                    <w:t>1.2%</w:t>
                  </w:r>
                </w:p>
              </w:tc>
              <w:tc>
                <w:tcPr>
                  <w:tcW w:w="1241" w:type="dxa"/>
                  <w:tcMar>
                    <w:top w:w="30" w:type="dxa"/>
                    <w:left w:w="150" w:type="dxa"/>
                    <w:bottom w:w="30" w:type="dxa"/>
                    <w:right w:w="150" w:type="dxa"/>
                  </w:tcMar>
                  <w:vAlign w:val="center"/>
                </w:tcPr>
                <w:p w14:paraId="3945EE30">
                  <w:pPr>
                    <w:spacing w:line="312" w:lineRule="auto"/>
                    <w:jc w:val="center"/>
                    <w:rPr>
                      <w:rFonts w:hint="eastAsia" w:ascii="宋体" w:hAnsi="宋体" w:cs="宋体"/>
                      <w:highlight w:val="none"/>
                    </w:rPr>
                  </w:pPr>
                  <w:r>
                    <w:rPr>
                      <w:rFonts w:hint="eastAsia" w:ascii="宋体" w:hAnsi="宋体" w:cs="宋体"/>
                      <w:highlight w:val="none"/>
                    </w:rPr>
                    <w:t>0.9%</w:t>
                  </w:r>
                </w:p>
              </w:tc>
              <w:tc>
                <w:tcPr>
                  <w:tcW w:w="1243" w:type="dxa"/>
                  <w:tcMar>
                    <w:top w:w="30" w:type="dxa"/>
                    <w:left w:w="150" w:type="dxa"/>
                    <w:bottom w:w="30" w:type="dxa"/>
                    <w:right w:w="150" w:type="dxa"/>
                  </w:tcMar>
                  <w:vAlign w:val="center"/>
                </w:tcPr>
                <w:p w14:paraId="4ACF7F2E">
                  <w:pPr>
                    <w:spacing w:line="312" w:lineRule="auto"/>
                    <w:jc w:val="center"/>
                    <w:rPr>
                      <w:rFonts w:hint="eastAsia" w:ascii="宋体" w:hAnsi="宋体" w:cs="宋体"/>
                      <w:highlight w:val="none"/>
                    </w:rPr>
                  </w:pPr>
                  <w:r>
                    <w:rPr>
                      <w:rFonts w:hint="eastAsia" w:ascii="宋体" w:hAnsi="宋体" w:cs="宋体"/>
                      <w:highlight w:val="none"/>
                    </w:rPr>
                    <w:t>0.7%</w:t>
                  </w:r>
                </w:p>
              </w:tc>
            </w:tr>
            <w:tr w14:paraId="5AC1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0C77E3AF">
                  <w:pPr>
                    <w:spacing w:line="312" w:lineRule="auto"/>
                    <w:jc w:val="center"/>
                    <w:rPr>
                      <w:rFonts w:hint="eastAsia" w:ascii="宋体" w:hAnsi="宋体" w:cs="宋体"/>
                      <w:highlight w:val="none"/>
                    </w:rPr>
                  </w:pPr>
                  <w:r>
                    <w:rPr>
                      <w:rFonts w:hint="eastAsia" w:ascii="宋体" w:hAnsi="宋体" w:cs="宋体"/>
                      <w:highlight w:val="none"/>
                    </w:rPr>
                    <w:t>500-1000</w:t>
                  </w:r>
                </w:p>
              </w:tc>
              <w:tc>
                <w:tcPr>
                  <w:tcW w:w="1241" w:type="dxa"/>
                  <w:tcMar>
                    <w:top w:w="30" w:type="dxa"/>
                    <w:left w:w="150" w:type="dxa"/>
                    <w:bottom w:w="30" w:type="dxa"/>
                    <w:right w:w="150" w:type="dxa"/>
                  </w:tcMar>
                  <w:vAlign w:val="center"/>
                </w:tcPr>
                <w:p w14:paraId="6E66744F">
                  <w:pPr>
                    <w:spacing w:line="312" w:lineRule="auto"/>
                    <w:jc w:val="center"/>
                    <w:rPr>
                      <w:rFonts w:hint="eastAsia" w:ascii="宋体" w:hAnsi="宋体" w:cs="宋体"/>
                      <w:highlight w:val="none"/>
                    </w:rPr>
                  </w:pPr>
                  <w:r>
                    <w:rPr>
                      <w:rFonts w:hint="eastAsia" w:ascii="宋体" w:hAnsi="宋体" w:cs="宋体"/>
                      <w:highlight w:val="none"/>
                    </w:rPr>
                    <w:t>0.9%</w:t>
                  </w:r>
                </w:p>
              </w:tc>
              <w:tc>
                <w:tcPr>
                  <w:tcW w:w="1241" w:type="dxa"/>
                  <w:tcMar>
                    <w:top w:w="30" w:type="dxa"/>
                    <w:left w:w="150" w:type="dxa"/>
                    <w:bottom w:w="30" w:type="dxa"/>
                    <w:right w:w="150" w:type="dxa"/>
                  </w:tcMar>
                  <w:vAlign w:val="center"/>
                </w:tcPr>
                <w:p w14:paraId="6B88DC54">
                  <w:pPr>
                    <w:spacing w:line="312" w:lineRule="auto"/>
                    <w:jc w:val="center"/>
                    <w:rPr>
                      <w:rFonts w:hint="eastAsia" w:ascii="宋体" w:hAnsi="宋体" w:cs="宋体"/>
                      <w:highlight w:val="none"/>
                    </w:rPr>
                  </w:pPr>
                  <w:r>
                    <w:rPr>
                      <w:rFonts w:hint="eastAsia" w:ascii="宋体" w:hAnsi="宋体" w:cs="宋体"/>
                      <w:highlight w:val="none"/>
                    </w:rPr>
                    <w:t>0.50%</w:t>
                  </w:r>
                </w:p>
              </w:tc>
              <w:tc>
                <w:tcPr>
                  <w:tcW w:w="1243" w:type="dxa"/>
                  <w:tcMar>
                    <w:top w:w="30" w:type="dxa"/>
                    <w:left w:w="150" w:type="dxa"/>
                    <w:bottom w:w="30" w:type="dxa"/>
                    <w:right w:w="150" w:type="dxa"/>
                  </w:tcMar>
                  <w:vAlign w:val="center"/>
                </w:tcPr>
                <w:p w14:paraId="7C79766D">
                  <w:pPr>
                    <w:spacing w:line="312" w:lineRule="auto"/>
                    <w:jc w:val="center"/>
                    <w:rPr>
                      <w:rFonts w:hint="eastAsia" w:ascii="宋体" w:hAnsi="宋体" w:cs="宋体"/>
                      <w:highlight w:val="none"/>
                    </w:rPr>
                  </w:pPr>
                  <w:r>
                    <w:rPr>
                      <w:rFonts w:hint="eastAsia" w:ascii="宋体" w:hAnsi="宋体" w:cs="宋体"/>
                      <w:highlight w:val="none"/>
                    </w:rPr>
                    <w:t>0.55%</w:t>
                  </w:r>
                </w:p>
              </w:tc>
            </w:tr>
            <w:tr w14:paraId="0D3A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40ED1138">
                  <w:pPr>
                    <w:spacing w:line="312" w:lineRule="auto"/>
                    <w:jc w:val="center"/>
                    <w:rPr>
                      <w:rFonts w:hint="eastAsia" w:ascii="宋体" w:hAnsi="宋体" w:cs="宋体"/>
                      <w:highlight w:val="none"/>
                    </w:rPr>
                  </w:pPr>
                  <w:r>
                    <w:rPr>
                      <w:rFonts w:hint="eastAsia" w:ascii="宋体" w:hAnsi="宋体" w:cs="宋体"/>
                      <w:highlight w:val="none"/>
                    </w:rPr>
                    <w:t>1000-5000</w:t>
                  </w:r>
                </w:p>
              </w:tc>
              <w:tc>
                <w:tcPr>
                  <w:tcW w:w="1241" w:type="dxa"/>
                  <w:tcMar>
                    <w:top w:w="30" w:type="dxa"/>
                    <w:left w:w="150" w:type="dxa"/>
                    <w:bottom w:w="30" w:type="dxa"/>
                    <w:right w:w="150" w:type="dxa"/>
                  </w:tcMar>
                  <w:vAlign w:val="center"/>
                </w:tcPr>
                <w:p w14:paraId="61BA71B3">
                  <w:pPr>
                    <w:spacing w:line="312" w:lineRule="auto"/>
                    <w:jc w:val="center"/>
                    <w:rPr>
                      <w:rFonts w:hint="eastAsia" w:ascii="宋体" w:hAnsi="宋体" w:cs="宋体"/>
                      <w:highlight w:val="none"/>
                    </w:rPr>
                  </w:pPr>
                  <w:r>
                    <w:rPr>
                      <w:rFonts w:hint="eastAsia" w:ascii="宋体" w:hAnsi="宋体" w:cs="宋体"/>
                      <w:highlight w:val="none"/>
                    </w:rPr>
                    <w:t>0.6%</w:t>
                  </w:r>
                </w:p>
              </w:tc>
              <w:tc>
                <w:tcPr>
                  <w:tcW w:w="1241" w:type="dxa"/>
                  <w:tcMar>
                    <w:top w:w="30" w:type="dxa"/>
                    <w:left w:w="150" w:type="dxa"/>
                    <w:bottom w:w="30" w:type="dxa"/>
                    <w:right w:w="150" w:type="dxa"/>
                  </w:tcMar>
                  <w:vAlign w:val="center"/>
                </w:tcPr>
                <w:p w14:paraId="48A8D07F">
                  <w:pPr>
                    <w:spacing w:line="312" w:lineRule="auto"/>
                    <w:jc w:val="center"/>
                    <w:rPr>
                      <w:rFonts w:hint="eastAsia" w:ascii="宋体" w:hAnsi="宋体" w:cs="宋体"/>
                      <w:highlight w:val="none"/>
                    </w:rPr>
                  </w:pPr>
                  <w:r>
                    <w:rPr>
                      <w:rFonts w:hint="eastAsia" w:ascii="宋体" w:hAnsi="宋体" w:cs="宋体"/>
                      <w:highlight w:val="none"/>
                    </w:rPr>
                    <w:t>0.20%</w:t>
                  </w:r>
                </w:p>
              </w:tc>
              <w:tc>
                <w:tcPr>
                  <w:tcW w:w="1243" w:type="dxa"/>
                  <w:tcMar>
                    <w:top w:w="30" w:type="dxa"/>
                    <w:left w:w="150" w:type="dxa"/>
                    <w:bottom w:w="30" w:type="dxa"/>
                    <w:right w:w="150" w:type="dxa"/>
                  </w:tcMar>
                  <w:vAlign w:val="center"/>
                </w:tcPr>
                <w:p w14:paraId="0F536444">
                  <w:pPr>
                    <w:spacing w:line="312" w:lineRule="auto"/>
                    <w:jc w:val="center"/>
                    <w:rPr>
                      <w:rFonts w:hint="eastAsia" w:ascii="宋体" w:hAnsi="宋体" w:cs="宋体"/>
                      <w:highlight w:val="none"/>
                    </w:rPr>
                  </w:pPr>
                  <w:r>
                    <w:rPr>
                      <w:rFonts w:hint="eastAsia" w:ascii="宋体" w:hAnsi="宋体" w:cs="宋体"/>
                      <w:highlight w:val="none"/>
                    </w:rPr>
                    <w:t>0.35%</w:t>
                  </w:r>
                </w:p>
              </w:tc>
            </w:tr>
            <w:tr w14:paraId="6AA0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10AEEA2D">
                  <w:pPr>
                    <w:spacing w:line="312" w:lineRule="auto"/>
                    <w:jc w:val="center"/>
                    <w:rPr>
                      <w:rFonts w:hint="eastAsia" w:ascii="宋体" w:hAnsi="宋体" w:cs="宋体"/>
                      <w:highlight w:val="none"/>
                    </w:rPr>
                  </w:pPr>
                  <w:r>
                    <w:rPr>
                      <w:rFonts w:hint="eastAsia" w:ascii="宋体" w:hAnsi="宋体" w:cs="宋体"/>
                      <w:highlight w:val="none"/>
                    </w:rPr>
                    <w:t>5000-10000</w:t>
                  </w:r>
                </w:p>
              </w:tc>
              <w:tc>
                <w:tcPr>
                  <w:tcW w:w="1241" w:type="dxa"/>
                  <w:tcMar>
                    <w:top w:w="30" w:type="dxa"/>
                    <w:left w:w="150" w:type="dxa"/>
                    <w:bottom w:w="30" w:type="dxa"/>
                    <w:right w:w="150" w:type="dxa"/>
                  </w:tcMar>
                  <w:vAlign w:val="center"/>
                </w:tcPr>
                <w:p w14:paraId="215A7061">
                  <w:pPr>
                    <w:spacing w:line="312" w:lineRule="auto"/>
                    <w:jc w:val="center"/>
                    <w:rPr>
                      <w:rFonts w:hint="eastAsia" w:ascii="宋体" w:hAnsi="宋体" w:cs="宋体"/>
                      <w:highlight w:val="none"/>
                    </w:rPr>
                  </w:pPr>
                  <w:r>
                    <w:rPr>
                      <w:rFonts w:hint="eastAsia" w:ascii="宋体" w:hAnsi="宋体" w:cs="宋体"/>
                      <w:highlight w:val="none"/>
                    </w:rPr>
                    <w:t>0.20%</w:t>
                  </w:r>
                </w:p>
              </w:tc>
              <w:tc>
                <w:tcPr>
                  <w:tcW w:w="1241" w:type="dxa"/>
                  <w:tcMar>
                    <w:top w:w="30" w:type="dxa"/>
                    <w:left w:w="150" w:type="dxa"/>
                    <w:bottom w:w="30" w:type="dxa"/>
                    <w:right w:w="150" w:type="dxa"/>
                  </w:tcMar>
                  <w:vAlign w:val="center"/>
                </w:tcPr>
                <w:p w14:paraId="2595FD46">
                  <w:pPr>
                    <w:spacing w:line="312" w:lineRule="auto"/>
                    <w:jc w:val="center"/>
                    <w:rPr>
                      <w:rFonts w:hint="eastAsia" w:ascii="宋体" w:hAnsi="宋体" w:cs="宋体"/>
                      <w:highlight w:val="none"/>
                    </w:rPr>
                  </w:pPr>
                  <w:r>
                    <w:rPr>
                      <w:rFonts w:hint="eastAsia" w:ascii="宋体" w:hAnsi="宋体" w:cs="宋体"/>
                      <w:highlight w:val="none"/>
                    </w:rPr>
                    <w:t>0.10%</w:t>
                  </w:r>
                </w:p>
              </w:tc>
              <w:tc>
                <w:tcPr>
                  <w:tcW w:w="1243" w:type="dxa"/>
                  <w:tcMar>
                    <w:top w:w="30" w:type="dxa"/>
                    <w:left w:w="150" w:type="dxa"/>
                    <w:bottom w:w="30" w:type="dxa"/>
                    <w:right w:w="150" w:type="dxa"/>
                  </w:tcMar>
                  <w:vAlign w:val="center"/>
                </w:tcPr>
                <w:p w14:paraId="06223D93">
                  <w:pPr>
                    <w:spacing w:line="312" w:lineRule="auto"/>
                    <w:jc w:val="center"/>
                    <w:rPr>
                      <w:rFonts w:hint="eastAsia" w:ascii="宋体" w:hAnsi="宋体" w:cs="宋体"/>
                      <w:highlight w:val="none"/>
                    </w:rPr>
                  </w:pPr>
                  <w:r>
                    <w:rPr>
                      <w:rFonts w:hint="eastAsia" w:ascii="宋体" w:hAnsi="宋体" w:cs="宋体"/>
                      <w:highlight w:val="none"/>
                    </w:rPr>
                    <w:t>0.20%</w:t>
                  </w:r>
                </w:p>
              </w:tc>
            </w:tr>
            <w:tr w14:paraId="2A54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3753" w:type="dxa"/>
                  <w:tcMar>
                    <w:top w:w="30" w:type="dxa"/>
                    <w:left w:w="150" w:type="dxa"/>
                    <w:bottom w:w="30" w:type="dxa"/>
                    <w:right w:w="150" w:type="dxa"/>
                  </w:tcMar>
                  <w:vAlign w:val="center"/>
                </w:tcPr>
                <w:p w14:paraId="3AC00FFD">
                  <w:pPr>
                    <w:spacing w:line="312" w:lineRule="auto"/>
                    <w:jc w:val="center"/>
                    <w:rPr>
                      <w:rFonts w:hint="eastAsia" w:ascii="宋体" w:hAnsi="宋体" w:cs="宋体"/>
                      <w:highlight w:val="none"/>
                    </w:rPr>
                  </w:pPr>
                  <w:r>
                    <w:rPr>
                      <w:rFonts w:hint="eastAsia" w:ascii="宋体" w:hAnsi="宋体" w:cs="宋体"/>
                      <w:highlight w:val="none"/>
                    </w:rPr>
                    <w:t>1亿～5亿</w:t>
                  </w:r>
                </w:p>
              </w:tc>
              <w:tc>
                <w:tcPr>
                  <w:tcW w:w="1241" w:type="dxa"/>
                  <w:tcMar>
                    <w:top w:w="30" w:type="dxa"/>
                    <w:left w:w="150" w:type="dxa"/>
                    <w:bottom w:w="30" w:type="dxa"/>
                    <w:right w:w="150" w:type="dxa"/>
                  </w:tcMar>
                  <w:vAlign w:val="center"/>
                </w:tcPr>
                <w:p w14:paraId="75321DA5">
                  <w:pPr>
                    <w:spacing w:line="312" w:lineRule="auto"/>
                    <w:jc w:val="center"/>
                    <w:rPr>
                      <w:rFonts w:hint="eastAsia" w:ascii="宋体" w:hAnsi="宋体" w:cs="宋体"/>
                      <w:highlight w:val="none"/>
                    </w:rPr>
                  </w:pPr>
                  <w:r>
                    <w:rPr>
                      <w:rFonts w:hint="eastAsia" w:ascii="宋体" w:hAnsi="宋体" w:cs="宋体"/>
                      <w:highlight w:val="none"/>
                    </w:rPr>
                    <w:t>0.05%</w:t>
                  </w:r>
                </w:p>
              </w:tc>
              <w:tc>
                <w:tcPr>
                  <w:tcW w:w="1241" w:type="dxa"/>
                  <w:tcMar>
                    <w:top w:w="30" w:type="dxa"/>
                    <w:left w:w="150" w:type="dxa"/>
                    <w:bottom w:w="30" w:type="dxa"/>
                    <w:right w:w="150" w:type="dxa"/>
                  </w:tcMar>
                  <w:vAlign w:val="center"/>
                </w:tcPr>
                <w:p w14:paraId="1EA840C0">
                  <w:pPr>
                    <w:spacing w:line="312" w:lineRule="auto"/>
                    <w:jc w:val="center"/>
                    <w:rPr>
                      <w:rFonts w:hint="eastAsia" w:ascii="宋体" w:hAnsi="宋体" w:cs="宋体"/>
                      <w:highlight w:val="none"/>
                    </w:rPr>
                  </w:pPr>
                  <w:r>
                    <w:rPr>
                      <w:rFonts w:hint="eastAsia" w:ascii="宋体" w:hAnsi="宋体" w:cs="宋体"/>
                      <w:highlight w:val="none"/>
                    </w:rPr>
                    <w:t>0.05%</w:t>
                  </w:r>
                </w:p>
              </w:tc>
              <w:tc>
                <w:tcPr>
                  <w:tcW w:w="1243" w:type="dxa"/>
                  <w:tcMar>
                    <w:top w:w="30" w:type="dxa"/>
                    <w:left w:w="150" w:type="dxa"/>
                    <w:bottom w:w="30" w:type="dxa"/>
                    <w:right w:w="150" w:type="dxa"/>
                  </w:tcMar>
                  <w:vAlign w:val="center"/>
                </w:tcPr>
                <w:p w14:paraId="37C8B854">
                  <w:pPr>
                    <w:spacing w:line="312" w:lineRule="auto"/>
                    <w:jc w:val="center"/>
                    <w:rPr>
                      <w:rFonts w:hint="eastAsia" w:ascii="宋体" w:hAnsi="宋体" w:cs="宋体"/>
                      <w:highlight w:val="none"/>
                    </w:rPr>
                  </w:pPr>
                  <w:r>
                    <w:rPr>
                      <w:rFonts w:hint="eastAsia" w:ascii="宋体" w:hAnsi="宋体" w:cs="宋体"/>
                      <w:highlight w:val="none"/>
                    </w:rPr>
                    <w:t>0.05%</w:t>
                  </w:r>
                </w:p>
              </w:tc>
            </w:tr>
          </w:tbl>
          <w:p w14:paraId="7C26D6B9">
            <w:pPr>
              <w:autoSpaceDE w:val="0"/>
              <w:autoSpaceDN w:val="0"/>
              <w:snapToGrid w:val="0"/>
              <w:spacing w:line="440" w:lineRule="exact"/>
              <w:ind w:left="877" w:hanging="877"/>
              <w:contextualSpacing/>
              <w:rPr>
                <w:szCs w:val="24"/>
                <w:highlight w:val="none"/>
              </w:rPr>
            </w:pPr>
            <w:r>
              <w:rPr>
                <w:rFonts w:hint="eastAsia"/>
                <w:color w:val="000000"/>
                <w:szCs w:val="24"/>
                <w:highlight w:val="none"/>
              </w:rPr>
              <w:t>2.中标人在本招标代理机构发出通知5个工作日领取中标通知书。</w:t>
            </w:r>
          </w:p>
        </w:tc>
      </w:tr>
    </w:tbl>
    <w:p w14:paraId="526FC49F">
      <w:pPr>
        <w:spacing w:line="400" w:lineRule="exact"/>
        <w:ind w:left="143" w:hanging="143" w:hangingChars="68"/>
        <w:rPr>
          <w:b/>
          <w:szCs w:val="21"/>
          <w:highlight w:val="none"/>
        </w:rPr>
      </w:pPr>
      <w:r>
        <w:rPr>
          <w:rFonts w:hint="eastAsia"/>
          <w:b/>
          <w:szCs w:val="21"/>
          <w:highlight w:val="none"/>
        </w:rPr>
        <w:t>本采购文件内打有“★”的条款系实质性条款，任何负偏离将导致投标被否决。</w:t>
      </w:r>
    </w:p>
    <w:p w14:paraId="24D6E4E6">
      <w:pPr>
        <w:pStyle w:val="42"/>
        <w:rPr>
          <w:rFonts w:ascii="Times New Roman" w:hAnsi="Times New Roman"/>
          <w:color w:val="000000"/>
          <w:kern w:val="44"/>
          <w:highlight w:val="none"/>
        </w:rPr>
      </w:pPr>
      <w:r>
        <w:rPr>
          <w:rFonts w:ascii="Times New Roman" w:hAnsi="Times New Roman"/>
          <w:highlight w:val="none"/>
        </w:rPr>
        <w:br w:type="page"/>
      </w:r>
      <w:bookmarkStart w:id="9" w:name="_Toc500334853"/>
      <w:bookmarkStart w:id="10" w:name="_Toc498429629"/>
      <w:bookmarkStart w:id="11" w:name="_Toc435088064"/>
      <w:bookmarkStart w:id="12" w:name="_Toc157022442"/>
      <w:bookmarkStart w:id="13" w:name="_Toc146800983"/>
      <w:bookmarkStart w:id="14" w:name="_Toc263083257"/>
      <w:r>
        <w:rPr>
          <w:rFonts w:hint="eastAsia" w:ascii="Times New Roman" w:hAnsi="Times New Roman"/>
          <w:color w:val="000000"/>
          <w:kern w:val="44"/>
          <w:highlight w:val="none"/>
        </w:rPr>
        <w:t>第三章 投标人须知</w:t>
      </w:r>
    </w:p>
    <w:p w14:paraId="63181CED">
      <w:pPr>
        <w:spacing w:line="380" w:lineRule="exact"/>
        <w:rPr>
          <w:rFonts w:hint="eastAsia" w:ascii="宋体" w:hAnsi="宋体" w:cs="宋体"/>
          <w:color w:val="000000"/>
          <w:szCs w:val="21"/>
          <w:highlight w:val="none"/>
        </w:rPr>
      </w:pPr>
    </w:p>
    <w:p w14:paraId="2F1A93FA">
      <w:pPr>
        <w:spacing w:before="120" w:after="120"/>
        <w:jc w:val="center"/>
        <w:rPr>
          <w:b/>
          <w:highlight w:val="none"/>
        </w:rPr>
      </w:pPr>
      <w:r>
        <w:rPr>
          <w:rFonts w:hint="eastAsia"/>
          <w:b/>
          <w:highlight w:val="none"/>
        </w:rPr>
        <w:t>一、说明</w:t>
      </w:r>
    </w:p>
    <w:p w14:paraId="29ABBC88">
      <w:pPr>
        <w:pStyle w:val="4"/>
        <w:tabs>
          <w:tab w:val="left" w:pos="350"/>
        </w:tabs>
        <w:spacing w:before="0" w:after="0" w:line="360" w:lineRule="auto"/>
        <w:contextualSpacing/>
        <w:rPr>
          <w:rFonts w:hint="eastAsia" w:ascii="宋体" w:hAnsi="宋体" w:cs="宋体"/>
          <w:b w:val="0"/>
          <w:color w:val="000000"/>
          <w:sz w:val="21"/>
          <w:szCs w:val="21"/>
          <w:highlight w:val="none"/>
        </w:rPr>
      </w:pPr>
      <w:r>
        <w:rPr>
          <w:rFonts w:hint="eastAsia" w:ascii="宋体" w:hAnsi="宋体" w:cs="宋体"/>
          <w:b w:val="0"/>
          <w:color w:val="000000"/>
          <w:sz w:val="21"/>
          <w:szCs w:val="21"/>
          <w:highlight w:val="none"/>
        </w:rPr>
        <w:t>1、项目概况</w:t>
      </w:r>
    </w:p>
    <w:p w14:paraId="3C6C77A9">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1.1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28376876">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1.2经批准的本次采购方式载明在《投标资料表》中。</w:t>
      </w:r>
    </w:p>
    <w:p w14:paraId="70AF3714">
      <w:pPr>
        <w:spacing w:line="360" w:lineRule="auto"/>
        <w:ind w:firstLine="422" w:firstLineChars="200"/>
        <w:contextualSpacing/>
        <w:jc w:val="center"/>
        <w:rPr>
          <w:rFonts w:hint="eastAsia" w:hAnsi="宋体" w:cs="宋体"/>
          <w:b/>
          <w:color w:val="000000"/>
          <w:szCs w:val="21"/>
          <w:highlight w:val="none"/>
        </w:rPr>
      </w:pPr>
      <w:r>
        <w:rPr>
          <w:rFonts w:hint="eastAsia"/>
          <w:b/>
          <w:highlight w:val="none"/>
        </w:rPr>
        <w:t>二、</w:t>
      </w:r>
      <w:r>
        <w:rPr>
          <w:rFonts w:hint="eastAsia" w:hAnsi="宋体" w:cs="宋体"/>
          <w:b/>
          <w:color w:val="000000"/>
          <w:szCs w:val="21"/>
          <w:highlight w:val="none"/>
        </w:rPr>
        <w:t>投标人</w:t>
      </w:r>
    </w:p>
    <w:p w14:paraId="0CE0EDA9">
      <w:pPr>
        <w:pStyle w:val="4"/>
        <w:tabs>
          <w:tab w:val="left" w:pos="350"/>
        </w:tabs>
        <w:spacing w:before="0" w:after="0" w:line="360" w:lineRule="auto"/>
        <w:contextualSpacing/>
        <w:rPr>
          <w:rFonts w:hint="eastAsia" w:ascii="宋体" w:hAnsi="宋体" w:cs="宋体"/>
          <w:b w:val="0"/>
          <w:color w:val="000000"/>
          <w:sz w:val="21"/>
          <w:szCs w:val="21"/>
          <w:highlight w:val="none"/>
        </w:rPr>
      </w:pPr>
      <w:r>
        <w:rPr>
          <w:rFonts w:hint="eastAsia" w:ascii="宋体" w:hAnsi="宋体" w:cs="宋体"/>
          <w:b w:val="0"/>
          <w:color w:val="000000"/>
          <w:sz w:val="21"/>
          <w:szCs w:val="21"/>
          <w:highlight w:val="none"/>
        </w:rPr>
        <w:t>2、合格的投标人</w:t>
      </w:r>
    </w:p>
    <w:p w14:paraId="2C0A1562">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2.1投标人应该是符合《投标资料表》的报名条件，符合、承认并承诺履行本招标文件各项要求的具有独立法人资格的中国境内企业或组织或其分支机构。</w:t>
      </w:r>
    </w:p>
    <w:p w14:paraId="19E311CB">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2.2参加本次投标活动的投标人应具备以下条件，并遵守国家有关的法律、法令和条例的规定：</w:t>
      </w:r>
    </w:p>
    <w:p w14:paraId="372E4D46">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（1）具有良好的商业信誉和健全的财务会计制度；</w:t>
      </w:r>
    </w:p>
    <w:p w14:paraId="06573692">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（2）具有履行合同要求提供服务所必须的设备、人员和专业技术能力；</w:t>
      </w:r>
    </w:p>
    <w:p w14:paraId="5AD54519">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（3）有依法缴纳税收和社会保障资金的良好纪录；</w:t>
      </w:r>
    </w:p>
    <w:p w14:paraId="42C8A38D">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（4）参加本次投标活动之前三年内经营活动无重大违法纪录；</w:t>
      </w:r>
    </w:p>
    <w:p w14:paraId="26373F67">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（5）满足采购人为获得满意服务供应而提出的其他要求。（见《投标资料表》中要求）</w:t>
      </w:r>
    </w:p>
    <w:p w14:paraId="30880A77">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（6）单位负责人为同一人或者存在直接控股、管理关系的不同供应商，不得参加同一合同项下的政府采购活动；</w:t>
      </w:r>
    </w:p>
    <w:p w14:paraId="6E064BF9">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（7）除单一来源采购项目外，为采购项目提供整体设计、规范编制或者项目管理、监理、检测等服务的供应商，不得再参加该采购项目的其他采购活动。</w:t>
      </w:r>
    </w:p>
    <w:p w14:paraId="029D7A02">
      <w:pPr>
        <w:pStyle w:val="4"/>
        <w:tabs>
          <w:tab w:val="left" w:pos="350"/>
        </w:tabs>
        <w:spacing w:before="0" w:after="0" w:line="360" w:lineRule="auto"/>
        <w:contextualSpacing/>
        <w:rPr>
          <w:rFonts w:hint="eastAsia" w:ascii="宋体" w:hAnsi="宋体" w:cs="宋体"/>
          <w:b w:val="0"/>
          <w:color w:val="000000"/>
          <w:sz w:val="21"/>
          <w:szCs w:val="21"/>
          <w:highlight w:val="none"/>
        </w:rPr>
      </w:pPr>
      <w:r>
        <w:rPr>
          <w:rFonts w:hint="eastAsia" w:ascii="宋体" w:hAnsi="宋体" w:cs="宋体"/>
          <w:b w:val="0"/>
          <w:color w:val="000000"/>
          <w:sz w:val="21"/>
          <w:szCs w:val="21"/>
          <w:highlight w:val="none"/>
        </w:rPr>
        <w:t>3、投标人代表</w:t>
      </w:r>
    </w:p>
    <w:p w14:paraId="6E5E5D97">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若投标人为具有独立法人资格的中国境内企业或组织必须为该企业或组织的人员，若投标人为自然人必须为中国合法公民。</w:t>
      </w:r>
    </w:p>
    <w:p w14:paraId="353952E9">
      <w:pPr>
        <w:pStyle w:val="4"/>
        <w:tabs>
          <w:tab w:val="left" w:pos="350"/>
        </w:tabs>
        <w:spacing w:before="0" w:after="0" w:line="360" w:lineRule="auto"/>
        <w:contextualSpacing/>
        <w:rPr>
          <w:rFonts w:hint="eastAsia" w:ascii="宋体" w:hAnsi="宋体" w:cs="宋体"/>
          <w:b w:val="0"/>
          <w:color w:val="000000"/>
          <w:sz w:val="21"/>
          <w:szCs w:val="21"/>
          <w:highlight w:val="none"/>
        </w:rPr>
      </w:pPr>
      <w:r>
        <w:rPr>
          <w:rFonts w:hint="eastAsia" w:ascii="宋体" w:hAnsi="宋体" w:cs="宋体"/>
          <w:b w:val="0"/>
          <w:color w:val="000000"/>
          <w:sz w:val="21"/>
          <w:szCs w:val="21"/>
          <w:highlight w:val="none"/>
        </w:rPr>
        <w:t>4、投标费用</w:t>
      </w:r>
    </w:p>
    <w:p w14:paraId="732E7228">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不论招标的结果如何，投标人自行承担其参加本次投标有关的全部费用。</w:t>
      </w:r>
    </w:p>
    <w:p w14:paraId="57DE6D9A">
      <w:pPr>
        <w:pStyle w:val="4"/>
        <w:tabs>
          <w:tab w:val="left" w:pos="350"/>
        </w:tabs>
        <w:spacing w:before="0" w:after="0" w:line="360" w:lineRule="auto"/>
        <w:contextualSpacing/>
        <w:rPr>
          <w:rFonts w:hint="eastAsia" w:ascii="宋体" w:hAnsi="宋体" w:cs="宋体"/>
          <w:b w:val="0"/>
          <w:color w:val="000000"/>
          <w:sz w:val="21"/>
          <w:szCs w:val="21"/>
          <w:highlight w:val="none"/>
        </w:rPr>
      </w:pPr>
      <w:r>
        <w:rPr>
          <w:rFonts w:hint="eastAsia" w:ascii="宋体" w:hAnsi="宋体" w:cs="宋体"/>
          <w:b w:val="0"/>
          <w:color w:val="000000"/>
          <w:sz w:val="21"/>
          <w:szCs w:val="21"/>
          <w:highlight w:val="none"/>
        </w:rPr>
        <w:t>5、特别说明（针对货物采购）</w:t>
      </w:r>
      <w:r>
        <w:rPr>
          <w:rFonts w:hint="eastAsia"/>
          <w:b w:val="0"/>
          <w:sz w:val="21"/>
          <w:szCs w:val="21"/>
          <w:highlight w:val="none"/>
        </w:rPr>
        <w:t>：不适用。</w:t>
      </w:r>
    </w:p>
    <w:p w14:paraId="0B1F9D91">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三、招标文件</w:t>
      </w:r>
    </w:p>
    <w:p w14:paraId="56EC7760">
      <w:pPr>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6、招标文件的构成</w:t>
      </w:r>
    </w:p>
    <w:p w14:paraId="48AC8474">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招标文件含有以下部分，文本条款装订成册。内容如下：</w:t>
      </w:r>
    </w:p>
    <w:p w14:paraId="1D62232B">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第一部分 采购公告</w:t>
      </w:r>
    </w:p>
    <w:p w14:paraId="58EBF7F8">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第二部分 投标资料表</w:t>
      </w:r>
    </w:p>
    <w:p w14:paraId="6F94CCA4">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第三部分 投标人须知</w:t>
      </w:r>
    </w:p>
    <w:p w14:paraId="3A7BB0D5">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第四部分 评标办法及标准</w:t>
      </w:r>
    </w:p>
    <w:p w14:paraId="363B9B98">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第五部分 招标内容及要求</w:t>
      </w:r>
    </w:p>
    <w:p w14:paraId="27CCE33F">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第六部分 拟签订的合同文本</w:t>
      </w:r>
    </w:p>
    <w:p w14:paraId="7A36B73C">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第七部分 格式与表格</w:t>
      </w:r>
    </w:p>
    <w:p w14:paraId="2020605A">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投标人应详细阅读招标文件的全部内容和要求，不按招标文件的要求递交投标文件和资料导致的风险由投标人承担。</w:t>
      </w:r>
    </w:p>
    <w:p w14:paraId="151D115F">
      <w:pPr>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7、质疑与投诉</w:t>
      </w:r>
    </w:p>
    <w:p w14:paraId="17303797">
      <w:pPr>
        <w:tabs>
          <w:tab w:val="left" w:pos="709"/>
        </w:tabs>
        <w:spacing w:line="360" w:lineRule="auto"/>
        <w:ind w:firstLine="420" w:firstLineChars="200"/>
        <w:contextualSpacing/>
        <w:rPr>
          <w:rFonts w:hint="eastAsia" w:ascii="宋体" w:hAnsi="宋体" w:cs="宋体"/>
          <w:color w:val="000000"/>
          <w:szCs w:val="21"/>
          <w:highlight w:val="none"/>
        </w:rPr>
      </w:pPr>
      <w:r>
        <w:rPr>
          <w:rFonts w:ascii="宋体" w:hAnsi="宋体" w:cs="宋体"/>
          <w:color w:val="000000"/>
          <w:szCs w:val="21"/>
          <w:highlight w:val="none"/>
        </w:rPr>
        <w:t>7</w:t>
      </w:r>
      <w:r>
        <w:rPr>
          <w:rFonts w:hint="eastAsia" w:ascii="宋体" w:hAnsi="宋体" w:cs="宋体"/>
          <w:color w:val="000000"/>
          <w:szCs w:val="21"/>
          <w:highlight w:val="none"/>
        </w:rPr>
        <w:t>.1</w:t>
      </w:r>
      <w:r>
        <w:rPr>
          <w:rFonts w:hint="eastAsia" w:ascii="宋体" w:hAnsi="宋体" w:cs="宋体"/>
          <w:color w:val="000000"/>
          <w:szCs w:val="21"/>
          <w:highlight w:val="none"/>
        </w:rPr>
        <w:tab/>
      </w:r>
      <w:r>
        <w:rPr>
          <w:rFonts w:hint="eastAsia" w:ascii="宋体" w:hAnsi="宋体" w:cs="宋体"/>
          <w:color w:val="000000"/>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宋体" w:hAnsi="宋体" w:cs="宋体"/>
          <w:b/>
          <w:color w:val="000000"/>
          <w:szCs w:val="21"/>
          <w:highlight w:val="none"/>
        </w:rPr>
        <w:t>注</w:t>
      </w:r>
      <w:r>
        <w:rPr>
          <w:rFonts w:ascii="宋体" w:hAnsi="宋体" w:cs="宋体"/>
          <w:b/>
          <w:color w:val="000000"/>
          <w:szCs w:val="21"/>
          <w:highlight w:val="none"/>
        </w:rPr>
        <w:t>：</w:t>
      </w:r>
      <w:r>
        <w:rPr>
          <w:rFonts w:hint="eastAsia" w:ascii="宋体" w:hAnsi="宋体" w:cs="宋体"/>
          <w:b/>
          <w:color w:val="000000"/>
          <w:szCs w:val="21"/>
          <w:highlight w:val="none"/>
        </w:rPr>
        <w:t>投标人须</w:t>
      </w:r>
      <w:r>
        <w:rPr>
          <w:rFonts w:ascii="宋体" w:hAnsi="宋体" w:cs="宋体"/>
          <w:b/>
          <w:color w:val="000000"/>
          <w:szCs w:val="21"/>
          <w:highlight w:val="none"/>
        </w:rPr>
        <w:t>在法定质疑期内一次性提出针对同一采购程序环节的质疑</w:t>
      </w:r>
      <w:r>
        <w:rPr>
          <w:rFonts w:hint="eastAsia" w:ascii="宋体" w:hAnsi="宋体" w:cs="宋体"/>
          <w:color w:val="000000"/>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2FD159AC">
      <w:pPr>
        <w:tabs>
          <w:tab w:val="left" w:pos="709"/>
        </w:tabs>
        <w:spacing w:line="360" w:lineRule="auto"/>
        <w:ind w:firstLine="420" w:firstLineChars="200"/>
        <w:contextualSpacing/>
        <w:rPr>
          <w:rFonts w:hint="eastAsia" w:ascii="宋体" w:hAnsi="宋体" w:cs="宋体"/>
          <w:color w:val="000000"/>
          <w:szCs w:val="21"/>
          <w:highlight w:val="none"/>
        </w:rPr>
      </w:pPr>
      <w:r>
        <w:rPr>
          <w:rFonts w:ascii="宋体" w:hAnsi="宋体" w:cs="宋体"/>
          <w:color w:val="000000"/>
          <w:szCs w:val="21"/>
          <w:highlight w:val="none"/>
        </w:rPr>
        <w:t>7</w:t>
      </w:r>
      <w:r>
        <w:rPr>
          <w:rFonts w:hint="eastAsia" w:ascii="宋体" w:hAnsi="宋体" w:cs="宋体"/>
          <w:color w:val="000000"/>
          <w:szCs w:val="21"/>
          <w:highlight w:val="none"/>
        </w:rPr>
        <w:t>.2</w:t>
      </w:r>
      <w:r>
        <w:rPr>
          <w:rFonts w:hint="eastAsia" w:ascii="宋体" w:hAnsi="宋体" w:cs="宋体"/>
          <w:color w:val="000000"/>
          <w:szCs w:val="21"/>
          <w:highlight w:val="none"/>
        </w:rPr>
        <w:tab/>
      </w:r>
      <w:r>
        <w:rPr>
          <w:rFonts w:hint="eastAsia" w:ascii="宋体" w:hAnsi="宋体" w:cs="宋体"/>
          <w:color w:val="000000"/>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0D69EFB5">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7.3</w:t>
      </w:r>
      <w:r>
        <w:rPr>
          <w:rFonts w:hint="eastAsia" w:ascii="宋体" w:hAnsi="宋体" w:cs="宋体"/>
          <w:color w:val="000000"/>
          <w:szCs w:val="21"/>
          <w:highlight w:val="none"/>
        </w:rPr>
        <w:tab/>
      </w:r>
      <w:r>
        <w:rPr>
          <w:rFonts w:hint="eastAsia" w:ascii="宋体" w:hAnsi="宋体" w:cs="宋体"/>
          <w:color w:val="000000"/>
          <w:szCs w:val="21"/>
          <w:highlight w:val="none"/>
        </w:rPr>
        <w:t>采购代理机构发送的答疑文件是采购文件的组成部分，对投标人具有约束力。</w:t>
      </w:r>
    </w:p>
    <w:p w14:paraId="341DAC86">
      <w:pPr>
        <w:tabs>
          <w:tab w:val="left" w:pos="709"/>
        </w:tabs>
        <w:spacing w:line="360" w:lineRule="auto"/>
        <w:ind w:firstLine="420" w:firstLineChars="200"/>
        <w:contextualSpacing/>
        <w:rPr>
          <w:rFonts w:hint="eastAsia" w:ascii="宋体" w:hAnsi="宋体" w:cs="宋体"/>
          <w:color w:val="000000"/>
          <w:szCs w:val="21"/>
          <w:highlight w:val="none"/>
        </w:rPr>
      </w:pPr>
      <w:bookmarkStart w:id="15" w:name="_Hlk49407732"/>
      <w:r>
        <w:rPr>
          <w:rFonts w:hint="eastAsia" w:ascii="宋体" w:hAnsi="宋体" w:cs="宋体"/>
          <w:color w:val="000000"/>
          <w:szCs w:val="21"/>
          <w:highlight w:val="none"/>
        </w:rPr>
        <w:t>7.4未尽事宜，见《政府采购质疑和投诉办法》（中华人民共和国财政部令第94号）。</w:t>
      </w:r>
      <w:bookmarkEnd w:id="15"/>
    </w:p>
    <w:p w14:paraId="71706C3D">
      <w:pPr>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8、招标文件的澄清与修改</w:t>
      </w:r>
    </w:p>
    <w:p w14:paraId="00F55F05">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04AE3DC">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4144CBC">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8.2采购代理机构必须以书面形式答复投标人要求澄清的问题，并将不包含问题来源的答复书面通知所有购买招标文件的投标人；除书面答复以外的其他澄清方式及澄清内容均无效。</w:t>
      </w:r>
    </w:p>
    <w:p w14:paraId="09D09720">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8.3招标文件澄清、答复、修改、补充的内容为招标文件的组成部分。当招标文件与招标文件的答复、澄清、修改、补充通知就同一内容的表述不一致时，以最后发出的书面文件为准。</w:t>
      </w:r>
    </w:p>
    <w:p w14:paraId="22425D66">
      <w:pPr>
        <w:tabs>
          <w:tab w:val="left" w:pos="709"/>
        </w:tabs>
        <w:spacing w:before="120" w:after="120"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8.4招标文件的澄清、答复、修改或补充都应该通过本代理机构以法定形式发布，采购人非通过本机构，不得擅自澄清、答复、修改或补充招标文件。</w:t>
      </w:r>
    </w:p>
    <w:p w14:paraId="6705E36D">
      <w:pPr>
        <w:tabs>
          <w:tab w:val="left" w:pos="709"/>
        </w:tabs>
        <w:spacing w:line="380" w:lineRule="exact"/>
        <w:contextualSpacing/>
        <w:rPr>
          <w:szCs w:val="21"/>
          <w:highlight w:val="none"/>
        </w:rPr>
      </w:pPr>
      <w:r>
        <w:rPr>
          <w:szCs w:val="21"/>
          <w:highlight w:val="none"/>
        </w:rPr>
        <w:t>9</w:t>
      </w:r>
      <w:r>
        <w:rPr>
          <w:rFonts w:hint="eastAsia"/>
          <w:szCs w:val="21"/>
          <w:highlight w:val="none"/>
        </w:rPr>
        <w:t>、关于分公司投标</w:t>
      </w:r>
    </w:p>
    <w:p w14:paraId="67F2B07A">
      <w:pPr>
        <w:tabs>
          <w:tab w:val="left" w:pos="709"/>
        </w:tabs>
        <w:spacing w:line="380" w:lineRule="exact"/>
        <w:ind w:firstLine="420" w:firstLineChars="200"/>
        <w:contextualSpacing/>
        <w:rPr>
          <w:szCs w:val="21"/>
          <w:highlight w:val="none"/>
        </w:rPr>
      </w:pPr>
      <w:r>
        <w:rPr>
          <w:rFonts w:hint="eastAsia"/>
          <w:szCs w:val="21"/>
          <w:highlight w:val="none"/>
        </w:rPr>
        <w:t>除金融、保险、通讯等特定行业外，法人的分支机构由于不能独立承担民事责任，不能以分支机构的身份参加政府采购，只能法人身份参加。</w:t>
      </w:r>
    </w:p>
    <w:p w14:paraId="64691707">
      <w:pPr>
        <w:tabs>
          <w:tab w:val="left" w:pos="709"/>
        </w:tabs>
        <w:spacing w:line="380" w:lineRule="exact"/>
        <w:contextualSpacing/>
        <w:rPr>
          <w:szCs w:val="21"/>
          <w:highlight w:val="none"/>
        </w:rPr>
      </w:pPr>
      <w:r>
        <w:rPr>
          <w:szCs w:val="21"/>
          <w:highlight w:val="none"/>
        </w:rPr>
        <w:t>10</w:t>
      </w:r>
      <w:r>
        <w:rPr>
          <w:rFonts w:hint="eastAsia"/>
          <w:szCs w:val="21"/>
          <w:highlight w:val="none"/>
        </w:rPr>
        <w:t>、关于知识产权</w:t>
      </w:r>
    </w:p>
    <w:p w14:paraId="2EA55829">
      <w:pPr>
        <w:tabs>
          <w:tab w:val="left" w:pos="709"/>
        </w:tabs>
        <w:spacing w:line="380" w:lineRule="exact"/>
        <w:ind w:firstLine="420" w:firstLineChars="200"/>
        <w:contextualSpacing/>
        <w:rPr>
          <w:szCs w:val="21"/>
          <w:highlight w:val="none"/>
        </w:rPr>
      </w:pPr>
      <w:r>
        <w:rPr>
          <w:szCs w:val="21"/>
          <w:highlight w:val="none"/>
        </w:rPr>
        <w:t>10</w:t>
      </w:r>
      <w:r>
        <w:rPr>
          <w:rFonts w:hint="eastAsia"/>
          <w:szCs w:val="21"/>
          <w:highlight w:val="none"/>
        </w:rPr>
        <w:t>.</w:t>
      </w:r>
      <w:r>
        <w:rPr>
          <w:szCs w:val="21"/>
          <w:highlight w:val="none"/>
        </w:rPr>
        <w:t>1</w:t>
      </w:r>
      <w:r>
        <w:rPr>
          <w:rFonts w:hint="eastAsia"/>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1833F6F6">
      <w:pPr>
        <w:tabs>
          <w:tab w:val="left" w:pos="709"/>
        </w:tabs>
        <w:spacing w:line="380" w:lineRule="exact"/>
        <w:ind w:firstLine="420" w:firstLineChars="200"/>
        <w:contextualSpacing/>
        <w:rPr>
          <w:szCs w:val="21"/>
          <w:highlight w:val="none"/>
        </w:rPr>
      </w:pPr>
      <w:r>
        <w:rPr>
          <w:szCs w:val="21"/>
          <w:highlight w:val="none"/>
        </w:rPr>
        <w:t>10.2</w:t>
      </w:r>
      <w:r>
        <w:rPr>
          <w:rFonts w:hint="eastAsia"/>
          <w:szCs w:val="21"/>
          <w:highlight w:val="none"/>
        </w:rPr>
        <w:t>投标报价应包含所有应向所有权人支付的专利权、商标权或其它知识产权的一切相关费用。</w:t>
      </w:r>
    </w:p>
    <w:p w14:paraId="1C95FB95">
      <w:pPr>
        <w:tabs>
          <w:tab w:val="left" w:pos="709"/>
        </w:tabs>
        <w:spacing w:line="380" w:lineRule="exact"/>
        <w:ind w:firstLine="420" w:firstLineChars="200"/>
        <w:contextualSpacing/>
        <w:rPr>
          <w:szCs w:val="21"/>
          <w:highlight w:val="none"/>
        </w:rPr>
      </w:pPr>
      <w:r>
        <w:rPr>
          <w:szCs w:val="21"/>
          <w:highlight w:val="none"/>
        </w:rPr>
        <w:t>10.3</w:t>
      </w:r>
      <w:r>
        <w:rPr>
          <w:rFonts w:hint="eastAsia"/>
          <w:szCs w:val="21"/>
          <w:highlight w:val="none"/>
        </w:rPr>
        <w:t>系统软件、通用软件必须是具有在中国境内的合法使用权或版权的正版软件，涉及到第三方提出侵权或知识产权的起诉及支付版税等费用由供应商承担所有责任及费用。</w:t>
      </w:r>
    </w:p>
    <w:p w14:paraId="40E15028">
      <w:pPr>
        <w:tabs>
          <w:tab w:val="left" w:pos="709"/>
        </w:tabs>
        <w:spacing w:before="120" w:after="120" w:line="360" w:lineRule="auto"/>
        <w:ind w:firstLine="420" w:firstLineChars="200"/>
        <w:contextualSpacing/>
        <w:rPr>
          <w:rFonts w:hint="eastAsia" w:hAnsi="宋体" w:cs="宋体"/>
          <w:color w:val="000000"/>
          <w:szCs w:val="21"/>
          <w:highlight w:val="none"/>
        </w:rPr>
      </w:pPr>
    </w:p>
    <w:p w14:paraId="1ECCDDE2">
      <w:pPr>
        <w:tabs>
          <w:tab w:val="left" w:pos="709"/>
        </w:tabs>
        <w:spacing w:before="120" w:after="120" w:line="360" w:lineRule="auto"/>
        <w:ind w:firstLine="422" w:firstLineChars="200"/>
        <w:contextualSpacing/>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四、投标文件</w:t>
      </w:r>
    </w:p>
    <w:p w14:paraId="3468E84A">
      <w:pPr>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11、投标文件的组成</w:t>
      </w:r>
    </w:p>
    <w:p w14:paraId="37A439C6">
      <w:pPr>
        <w:tabs>
          <w:tab w:val="left" w:pos="709"/>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 xml:space="preserve">11.1投标文件分为资格证明文件、报价文件、技术商务文件三部分； </w:t>
      </w:r>
    </w:p>
    <w:p w14:paraId="32492112">
      <w:pPr>
        <w:tabs>
          <w:tab w:val="left" w:pos="709"/>
        </w:tabs>
        <w:spacing w:line="360" w:lineRule="auto"/>
        <w:ind w:firstLine="422" w:firstLineChars="200"/>
        <w:contextualSpacing/>
        <w:rPr>
          <w:b/>
          <w:i/>
          <w:color w:val="000000"/>
          <w:szCs w:val="21"/>
          <w:highlight w:val="none"/>
        </w:rPr>
      </w:pPr>
      <w:r>
        <w:rPr>
          <w:rFonts w:hint="eastAsia"/>
          <w:b/>
          <w:i/>
          <w:color w:val="000000"/>
          <w:szCs w:val="21"/>
          <w:highlight w:val="none"/>
        </w:rPr>
        <w:t>资格证明文件包含但不限于以下文件：</w:t>
      </w:r>
      <w:r>
        <w:rPr>
          <w:b/>
          <w:i/>
          <w:color w:val="000000"/>
          <w:szCs w:val="21"/>
          <w:highlight w:val="none"/>
        </w:rPr>
        <w:tab/>
      </w:r>
    </w:p>
    <w:p w14:paraId="3A867599">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（1）资格条件自查表（格式见附件）；</w:t>
      </w:r>
    </w:p>
    <w:p w14:paraId="535A420D">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（2）有效的企业法人营业执照（或事业法人登记证）、其他组织（个体工商户）的营业执照或者民办非企业单位登记证书复印件；</w:t>
      </w:r>
    </w:p>
    <w:p w14:paraId="48A4D3E6">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（3）关于资格的承诺函（格式见附件）；</w:t>
      </w:r>
    </w:p>
    <w:p w14:paraId="7661FCF6">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（4）中小企业声明函（如有，格式见附件）；</w:t>
      </w:r>
    </w:p>
    <w:p w14:paraId="2832647A">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（5）残疾人福利单位声明函（如有，格式见附件）；</w:t>
      </w:r>
    </w:p>
    <w:p w14:paraId="30456095">
      <w:pPr>
        <w:tabs>
          <w:tab w:val="left" w:pos="1418"/>
        </w:tabs>
        <w:spacing w:line="360" w:lineRule="auto"/>
        <w:ind w:firstLine="413" w:firstLineChars="196"/>
        <w:contextualSpacing/>
        <w:rPr>
          <w:b/>
          <w:color w:val="000000"/>
          <w:szCs w:val="21"/>
          <w:highlight w:val="none"/>
        </w:rPr>
      </w:pPr>
      <w:r>
        <w:rPr>
          <w:rFonts w:hint="eastAsia"/>
          <w:b/>
          <w:color w:val="000000"/>
          <w:szCs w:val="21"/>
          <w:highlight w:val="none"/>
        </w:rPr>
        <w:t>（6）投标人认为需要提交的其他文件资料。</w:t>
      </w:r>
    </w:p>
    <w:p w14:paraId="7096F9CF">
      <w:pPr>
        <w:tabs>
          <w:tab w:val="left" w:pos="1418"/>
        </w:tabs>
        <w:spacing w:line="360" w:lineRule="auto"/>
        <w:rPr>
          <w:rFonts w:cs="Arial"/>
          <w:color w:val="000000"/>
          <w:szCs w:val="21"/>
          <w:highlight w:val="none"/>
        </w:rPr>
      </w:pPr>
      <w:r>
        <w:rPr>
          <w:rFonts w:hint="eastAsia"/>
          <w:color w:val="000000"/>
          <w:szCs w:val="21"/>
          <w:highlight w:val="none"/>
        </w:rPr>
        <w:t>注：</w:t>
      </w:r>
      <w:r>
        <w:rPr>
          <w:rFonts w:hint="eastAsia" w:cs="Arial"/>
          <w:color w:val="000000"/>
          <w:szCs w:val="21"/>
          <w:highlight w:val="none"/>
        </w:rPr>
        <w:t>采购人或采购代理机构在资格审查时，通过“信用中国”网站</w:t>
      </w:r>
      <w:r>
        <w:rPr>
          <w:rFonts w:cs="Arial"/>
          <w:color w:val="000000"/>
          <w:szCs w:val="21"/>
          <w:highlight w:val="none"/>
        </w:rPr>
        <w:t>(www.creditchina.gov.cn)</w:t>
      </w:r>
      <w:r>
        <w:rPr>
          <w:rFonts w:hint="eastAsia" w:cs="Arial"/>
          <w:color w:val="000000"/>
          <w:szCs w:val="21"/>
          <w:highlight w:val="none"/>
        </w:rPr>
        <w:t>、中国政府采购网</w:t>
      </w:r>
      <w:r>
        <w:rPr>
          <w:rFonts w:cs="Arial"/>
          <w:color w:val="000000"/>
          <w:szCs w:val="21"/>
          <w:highlight w:val="none"/>
        </w:rPr>
        <w:t xml:space="preserve">(www.ccgp.gov.cn) </w:t>
      </w:r>
      <w:r>
        <w:rPr>
          <w:rFonts w:hint="eastAsia" w:cs="Arial"/>
          <w:color w:val="000000"/>
          <w:szCs w:val="21"/>
          <w:highlight w:val="none"/>
        </w:rPr>
        <w:t>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6AFA778D">
      <w:pPr>
        <w:tabs>
          <w:tab w:val="left" w:pos="1418"/>
        </w:tabs>
        <w:spacing w:line="360" w:lineRule="auto"/>
        <w:ind w:firstLine="422" w:firstLineChars="200"/>
        <w:contextualSpacing/>
        <w:rPr>
          <w:rFonts w:hint="eastAsia" w:ascii="宋体" w:hAnsi="宋体" w:cs="宋体"/>
          <w:b/>
          <w:i/>
          <w:color w:val="000000"/>
          <w:szCs w:val="21"/>
          <w:highlight w:val="none"/>
        </w:rPr>
      </w:pPr>
      <w:r>
        <w:rPr>
          <w:rFonts w:hint="eastAsia" w:ascii="宋体" w:hAnsi="宋体" w:cs="宋体"/>
          <w:b/>
          <w:i/>
          <w:color w:val="000000"/>
          <w:szCs w:val="21"/>
          <w:highlight w:val="none"/>
        </w:rPr>
        <w:t>报价文件包含但不限于以下文件：</w:t>
      </w:r>
    </w:p>
    <w:p w14:paraId="25C95815">
      <w:pPr>
        <w:tabs>
          <w:tab w:val="left" w:pos="1418"/>
        </w:tabs>
        <w:spacing w:line="380" w:lineRule="exact"/>
        <w:ind w:firstLine="420" w:firstLineChars="200"/>
        <w:contextualSpacing/>
        <w:rPr>
          <w:szCs w:val="21"/>
          <w:highlight w:val="none"/>
        </w:rPr>
      </w:pPr>
      <w:r>
        <w:rPr>
          <w:rFonts w:hint="eastAsia"/>
          <w:szCs w:val="21"/>
          <w:highlight w:val="none"/>
        </w:rPr>
        <w:t>（1）投标函（格式见附件）；</w:t>
      </w:r>
    </w:p>
    <w:p w14:paraId="3844DAD9">
      <w:pPr>
        <w:tabs>
          <w:tab w:val="left" w:pos="1418"/>
        </w:tabs>
        <w:spacing w:line="380" w:lineRule="exact"/>
        <w:ind w:firstLine="420" w:firstLineChars="200"/>
        <w:contextualSpacing/>
        <w:rPr>
          <w:szCs w:val="21"/>
          <w:highlight w:val="none"/>
        </w:rPr>
      </w:pPr>
      <w:r>
        <w:rPr>
          <w:rFonts w:hint="eastAsia"/>
          <w:szCs w:val="21"/>
          <w:highlight w:val="none"/>
        </w:rPr>
        <w:t>（2）开标一览表（格式见附件）；</w:t>
      </w:r>
    </w:p>
    <w:p w14:paraId="448C79AB">
      <w:pPr>
        <w:tabs>
          <w:tab w:val="left" w:pos="1418"/>
        </w:tabs>
        <w:spacing w:line="380" w:lineRule="exact"/>
        <w:ind w:firstLine="420" w:firstLineChars="200"/>
        <w:contextualSpacing/>
        <w:rPr>
          <w:szCs w:val="21"/>
          <w:highlight w:val="none"/>
        </w:rPr>
      </w:pPr>
      <w:r>
        <w:rPr>
          <w:rFonts w:hint="eastAsia"/>
          <w:szCs w:val="21"/>
          <w:highlight w:val="none"/>
        </w:rPr>
        <w:t>（3）分项报价表（格式见附件）；</w:t>
      </w:r>
    </w:p>
    <w:p w14:paraId="5C246FDC">
      <w:pPr>
        <w:tabs>
          <w:tab w:val="left" w:pos="1418"/>
        </w:tabs>
        <w:spacing w:line="380" w:lineRule="exact"/>
        <w:ind w:firstLine="420" w:firstLineChars="200"/>
        <w:contextualSpacing/>
        <w:rPr>
          <w:szCs w:val="21"/>
          <w:highlight w:val="none"/>
        </w:rPr>
      </w:pPr>
      <w:r>
        <w:rPr>
          <w:rFonts w:hint="eastAsia"/>
          <w:szCs w:val="21"/>
          <w:highlight w:val="none"/>
        </w:rPr>
        <w:t>（4）投标人认为需提交的其他文件资料；</w:t>
      </w:r>
    </w:p>
    <w:p w14:paraId="7CE4237C">
      <w:pPr>
        <w:tabs>
          <w:tab w:val="left" w:pos="1418"/>
        </w:tabs>
        <w:spacing w:line="360" w:lineRule="auto"/>
        <w:ind w:firstLine="422" w:firstLineChars="200"/>
        <w:contextualSpacing/>
        <w:rPr>
          <w:rFonts w:hint="eastAsia" w:ascii="宋体" w:hAnsi="宋体" w:cs="宋体"/>
          <w:b/>
          <w:i/>
          <w:color w:val="000000"/>
          <w:szCs w:val="21"/>
          <w:highlight w:val="none"/>
        </w:rPr>
      </w:pPr>
      <w:r>
        <w:rPr>
          <w:rFonts w:hint="eastAsia" w:ascii="宋体" w:hAnsi="宋体" w:cs="宋体"/>
          <w:b/>
          <w:i/>
          <w:color w:val="000000"/>
          <w:szCs w:val="21"/>
          <w:highlight w:val="none"/>
        </w:rPr>
        <w:t>技术商务文件包含但不限于以下文件：</w:t>
      </w:r>
    </w:p>
    <w:p w14:paraId="573240B6">
      <w:pPr>
        <w:numPr>
          <w:ilvl w:val="0"/>
          <w:numId w:val="1"/>
        </w:numPr>
        <w:tabs>
          <w:tab w:val="left" w:pos="1418"/>
        </w:tabs>
        <w:spacing w:line="360" w:lineRule="auto"/>
        <w:ind w:left="420"/>
        <w:contextualSpacing/>
        <w:rPr>
          <w:rFonts w:hint="eastAsia" w:ascii="宋体" w:hAnsi="宋体"/>
          <w:color w:val="000000"/>
          <w:szCs w:val="21"/>
          <w:highlight w:val="none"/>
        </w:rPr>
      </w:pPr>
      <w:r>
        <w:rPr>
          <w:rFonts w:hint="eastAsia" w:ascii="宋体" w:hAnsi="宋体"/>
          <w:color w:val="000000"/>
          <w:szCs w:val="21"/>
          <w:highlight w:val="none"/>
        </w:rPr>
        <w:t>目录索引（格式自拟）；</w:t>
      </w:r>
    </w:p>
    <w:p w14:paraId="3DE958EA">
      <w:pPr>
        <w:numPr>
          <w:ilvl w:val="0"/>
          <w:numId w:val="1"/>
        </w:numPr>
        <w:tabs>
          <w:tab w:val="left" w:pos="1418"/>
        </w:tabs>
        <w:spacing w:line="360" w:lineRule="auto"/>
        <w:ind w:left="420"/>
        <w:contextualSpacing/>
        <w:rPr>
          <w:rFonts w:hint="eastAsia" w:ascii="宋体" w:hAnsi="宋体"/>
          <w:color w:val="000000"/>
          <w:szCs w:val="21"/>
          <w:highlight w:val="none"/>
        </w:rPr>
      </w:pPr>
      <w:r>
        <w:rPr>
          <w:rFonts w:hint="eastAsia" w:ascii="宋体" w:hAnsi="宋体"/>
          <w:color w:val="000000"/>
          <w:szCs w:val="21"/>
          <w:highlight w:val="none"/>
        </w:rPr>
        <w:t>技术商务分自评表</w:t>
      </w:r>
      <w:r>
        <w:rPr>
          <w:rFonts w:hint="eastAsia"/>
          <w:color w:val="000000"/>
          <w:szCs w:val="24"/>
          <w:highlight w:val="none"/>
        </w:rPr>
        <w:t>（格式可自拟）；</w:t>
      </w:r>
    </w:p>
    <w:p w14:paraId="3C04D7D5">
      <w:pPr>
        <w:numPr>
          <w:ilvl w:val="0"/>
          <w:numId w:val="1"/>
        </w:numPr>
        <w:tabs>
          <w:tab w:val="left" w:pos="1418"/>
        </w:tabs>
        <w:spacing w:line="360" w:lineRule="auto"/>
        <w:ind w:left="420"/>
        <w:contextualSpacing/>
        <w:rPr>
          <w:color w:val="000000"/>
          <w:szCs w:val="24"/>
          <w:highlight w:val="none"/>
        </w:rPr>
      </w:pPr>
      <w:r>
        <w:rPr>
          <w:rFonts w:hint="eastAsia" w:ascii="宋体" w:hAnsi="宋体"/>
          <w:color w:val="000000"/>
          <w:szCs w:val="21"/>
          <w:highlight w:val="none"/>
        </w:rPr>
        <w:t>法定代表人授权书及被授权人身份证复印件（若投标人代表系法定代表人，无需提供授权书，必须提</w:t>
      </w:r>
      <w:r>
        <w:rPr>
          <w:rFonts w:hint="eastAsia" w:ascii="宋体" w:hAnsi="宋体" w:cs="宋体"/>
          <w:color w:val="000000"/>
          <w:szCs w:val="21"/>
          <w:highlight w:val="none"/>
        </w:rPr>
        <w:t>供法定代表人身份证复印件及法定代表人身份证明书（格式见附件））；</w:t>
      </w:r>
    </w:p>
    <w:p w14:paraId="20D8E384">
      <w:pPr>
        <w:numPr>
          <w:ilvl w:val="0"/>
          <w:numId w:val="1"/>
        </w:numPr>
        <w:tabs>
          <w:tab w:val="left" w:pos="1418"/>
        </w:tabs>
        <w:spacing w:line="360" w:lineRule="auto"/>
        <w:ind w:left="420"/>
        <w:contextualSpacing/>
        <w:rPr>
          <w:color w:val="000000"/>
          <w:szCs w:val="24"/>
          <w:highlight w:val="none"/>
        </w:rPr>
      </w:pPr>
      <w:r>
        <w:rPr>
          <w:rFonts w:hint="eastAsia"/>
          <w:color w:val="000000"/>
          <w:szCs w:val="24"/>
          <w:highlight w:val="none"/>
        </w:rPr>
        <w:t>商务技术条款偏离表（格式见附件）；</w:t>
      </w:r>
    </w:p>
    <w:p w14:paraId="3B9D1053">
      <w:pPr>
        <w:numPr>
          <w:ilvl w:val="0"/>
          <w:numId w:val="1"/>
        </w:numPr>
        <w:tabs>
          <w:tab w:val="left" w:pos="1418"/>
        </w:tabs>
        <w:spacing w:line="360" w:lineRule="auto"/>
        <w:ind w:left="420"/>
        <w:contextualSpacing/>
        <w:rPr>
          <w:color w:val="000000"/>
          <w:szCs w:val="24"/>
          <w:highlight w:val="none"/>
        </w:rPr>
      </w:pPr>
      <w:r>
        <w:rPr>
          <w:rFonts w:hint="eastAsia"/>
          <w:color w:val="000000"/>
          <w:szCs w:val="24"/>
          <w:highlight w:val="none"/>
        </w:rPr>
        <w:t>项目组织实施方案（含评分标准内要求提供的内容，方案自拟）；</w:t>
      </w:r>
    </w:p>
    <w:p w14:paraId="13882409">
      <w:pPr>
        <w:numPr>
          <w:ilvl w:val="0"/>
          <w:numId w:val="1"/>
        </w:numPr>
        <w:tabs>
          <w:tab w:val="left" w:pos="1418"/>
        </w:tabs>
        <w:spacing w:line="360" w:lineRule="auto"/>
        <w:ind w:left="420"/>
        <w:contextualSpacing/>
        <w:rPr>
          <w:rFonts w:hint="eastAsia" w:ascii="宋体" w:hAnsi="宋体"/>
          <w:color w:val="000000"/>
          <w:kern w:val="0"/>
          <w:szCs w:val="21"/>
          <w:highlight w:val="none"/>
        </w:rPr>
      </w:pPr>
      <w:r>
        <w:rPr>
          <w:rFonts w:hint="eastAsia" w:ascii="宋体" w:hAnsi="宋体" w:cs="宋体"/>
          <w:color w:val="000000"/>
          <w:szCs w:val="21"/>
          <w:highlight w:val="none"/>
        </w:rPr>
        <w:t>评分标准中要求提供的</w:t>
      </w:r>
      <w:r>
        <w:rPr>
          <w:rFonts w:hint="eastAsia" w:ascii="宋体" w:hAnsi="宋体"/>
          <w:color w:val="000000"/>
          <w:szCs w:val="21"/>
          <w:highlight w:val="none"/>
        </w:rPr>
        <w:t>资料；</w:t>
      </w:r>
    </w:p>
    <w:p w14:paraId="68DB259D">
      <w:pPr>
        <w:numPr>
          <w:ilvl w:val="0"/>
          <w:numId w:val="1"/>
        </w:numPr>
        <w:tabs>
          <w:tab w:val="left" w:pos="1418"/>
        </w:tabs>
        <w:spacing w:line="360" w:lineRule="auto"/>
        <w:ind w:left="420"/>
        <w:contextualSpacing/>
        <w:rPr>
          <w:rFonts w:hint="eastAsia" w:ascii="宋体" w:hAnsi="宋体" w:cs="宋体"/>
          <w:color w:val="000000"/>
          <w:szCs w:val="21"/>
          <w:highlight w:val="none"/>
        </w:rPr>
      </w:pPr>
      <w:r>
        <w:rPr>
          <w:rFonts w:hint="eastAsia" w:ascii="宋体" w:hAnsi="宋体" w:cs="宋体"/>
          <w:color w:val="000000"/>
          <w:szCs w:val="21"/>
          <w:highlight w:val="none"/>
        </w:rPr>
        <w:t>其他投标人认为需提交的文件资料。</w:t>
      </w:r>
    </w:p>
    <w:p w14:paraId="3A3EE8A7">
      <w:pPr>
        <w:tabs>
          <w:tab w:val="left" w:pos="1418"/>
        </w:tabs>
        <w:spacing w:line="360" w:lineRule="auto"/>
        <w:ind w:left="420"/>
        <w:contextualSpacing/>
        <w:rPr>
          <w:rFonts w:hint="eastAsia" w:ascii="宋体" w:hAnsi="宋体" w:cs="宋体"/>
          <w:color w:val="000000"/>
          <w:szCs w:val="21"/>
          <w:highlight w:val="none"/>
        </w:rPr>
      </w:pPr>
      <w:r>
        <w:rPr>
          <w:rFonts w:hint="eastAsia" w:ascii="宋体" w:hAnsi="宋体" w:cs="宋体"/>
          <w:color w:val="000000"/>
          <w:szCs w:val="21"/>
          <w:highlight w:val="none"/>
        </w:rPr>
        <w:t>11.2本次招标对投标文件组成要求，表述在《投标资料表》中。</w:t>
      </w:r>
    </w:p>
    <w:p w14:paraId="1A7028BC">
      <w:pPr>
        <w:spacing w:line="380" w:lineRule="exact"/>
        <w:contextualSpacing/>
        <w:rPr>
          <w:szCs w:val="21"/>
          <w:highlight w:val="none"/>
        </w:rPr>
      </w:pPr>
      <w:r>
        <w:rPr>
          <w:szCs w:val="21"/>
          <w:highlight w:val="none"/>
        </w:rPr>
        <w:t>12</w:t>
      </w:r>
      <w:r>
        <w:rPr>
          <w:rFonts w:hint="eastAsia"/>
          <w:szCs w:val="21"/>
          <w:highlight w:val="none"/>
        </w:rPr>
        <w:t>、</w:t>
      </w:r>
      <w:r>
        <w:rPr>
          <w:szCs w:val="21"/>
          <w:highlight w:val="none"/>
        </w:rPr>
        <w:t>投标报价</w:t>
      </w:r>
    </w:p>
    <w:p w14:paraId="5BD77482">
      <w:pPr>
        <w:tabs>
          <w:tab w:val="left" w:pos="709"/>
        </w:tabs>
        <w:spacing w:line="380" w:lineRule="exact"/>
        <w:ind w:firstLine="420" w:firstLineChars="200"/>
        <w:contextualSpacing/>
        <w:rPr>
          <w:szCs w:val="21"/>
          <w:highlight w:val="none"/>
        </w:rPr>
      </w:pPr>
      <w:r>
        <w:rPr>
          <w:szCs w:val="21"/>
          <w:highlight w:val="none"/>
        </w:rPr>
        <w:t>12</w:t>
      </w:r>
      <w:r>
        <w:rPr>
          <w:rFonts w:hint="eastAsia"/>
          <w:szCs w:val="21"/>
          <w:highlight w:val="none"/>
        </w:rPr>
        <w:t>.1</w:t>
      </w:r>
      <w:r>
        <w:rPr>
          <w:szCs w:val="21"/>
          <w:highlight w:val="none"/>
        </w:rPr>
        <w:t>投标人应全面充分了解本招标项目的全部内容及要求以及服务现场的基本条件，按照《投标资料表》</w:t>
      </w:r>
      <w:r>
        <w:rPr>
          <w:rFonts w:hint="eastAsia"/>
          <w:szCs w:val="21"/>
          <w:highlight w:val="none"/>
        </w:rPr>
        <w:t>规定与</w:t>
      </w:r>
      <w:r>
        <w:rPr>
          <w:szCs w:val="21"/>
          <w:highlight w:val="none"/>
        </w:rPr>
        <w:t>要求报价，并包含服务过程中可能涉及的所有费用</w:t>
      </w:r>
      <w:r>
        <w:rPr>
          <w:rFonts w:hint="eastAsia"/>
          <w:szCs w:val="21"/>
          <w:highlight w:val="none"/>
        </w:rPr>
        <w:t>。</w:t>
      </w:r>
    </w:p>
    <w:p w14:paraId="739D929D">
      <w:pPr>
        <w:tabs>
          <w:tab w:val="left" w:pos="709"/>
        </w:tabs>
        <w:spacing w:line="380" w:lineRule="exact"/>
        <w:ind w:firstLine="420" w:firstLineChars="200"/>
        <w:contextualSpacing/>
        <w:rPr>
          <w:szCs w:val="21"/>
          <w:highlight w:val="none"/>
        </w:rPr>
      </w:pPr>
      <w:r>
        <w:rPr>
          <w:szCs w:val="21"/>
          <w:highlight w:val="none"/>
        </w:rPr>
        <w:t>12</w:t>
      </w:r>
      <w:r>
        <w:rPr>
          <w:rFonts w:hint="eastAsia"/>
          <w:szCs w:val="21"/>
          <w:highlight w:val="none"/>
        </w:rPr>
        <w:t>.2</w:t>
      </w:r>
      <w:r>
        <w:rPr>
          <w:szCs w:val="21"/>
          <w:highlight w:val="none"/>
        </w:rPr>
        <w:t>所有投标报价必须以人民币报价，不接受外币报价。</w:t>
      </w:r>
    </w:p>
    <w:p w14:paraId="7F0E86BE">
      <w:pPr>
        <w:tabs>
          <w:tab w:val="left" w:pos="709"/>
        </w:tabs>
        <w:spacing w:line="380" w:lineRule="exact"/>
        <w:ind w:firstLine="420" w:firstLineChars="200"/>
        <w:contextualSpacing/>
        <w:rPr>
          <w:szCs w:val="21"/>
          <w:highlight w:val="none"/>
        </w:rPr>
      </w:pPr>
      <w:r>
        <w:rPr>
          <w:szCs w:val="21"/>
          <w:highlight w:val="none"/>
        </w:rPr>
        <w:t>12</w:t>
      </w:r>
      <w:r>
        <w:rPr>
          <w:rFonts w:hint="eastAsia"/>
          <w:szCs w:val="21"/>
          <w:highlight w:val="none"/>
        </w:rPr>
        <w:t>.3</w:t>
      </w:r>
      <w:r>
        <w:rPr>
          <w:szCs w:val="21"/>
          <w:highlight w:val="none"/>
        </w:rPr>
        <w:t>投标报价只有一个，而且一经开标，投标价不得变更。如果出现有两个及以上的报价又未声明以哪一报价方案为主，则</w:t>
      </w:r>
      <w:r>
        <w:rPr>
          <w:rFonts w:hint="eastAsia"/>
          <w:szCs w:val="21"/>
          <w:highlight w:val="none"/>
        </w:rPr>
        <w:t>投标将被拒绝</w:t>
      </w:r>
      <w:r>
        <w:rPr>
          <w:szCs w:val="21"/>
          <w:highlight w:val="none"/>
        </w:rPr>
        <w:t>。投标声明应载明在</w:t>
      </w:r>
      <w:r>
        <w:rPr>
          <w:rFonts w:hint="eastAsia"/>
          <w:szCs w:val="21"/>
          <w:highlight w:val="none"/>
        </w:rPr>
        <w:t>“</w:t>
      </w:r>
      <w:r>
        <w:rPr>
          <w:szCs w:val="21"/>
          <w:highlight w:val="none"/>
        </w:rPr>
        <w:t>开标一览表</w:t>
      </w:r>
      <w:r>
        <w:rPr>
          <w:rFonts w:hint="eastAsia"/>
          <w:szCs w:val="21"/>
          <w:highlight w:val="none"/>
        </w:rPr>
        <w:t>”</w:t>
      </w:r>
      <w:r>
        <w:rPr>
          <w:szCs w:val="21"/>
          <w:highlight w:val="none"/>
        </w:rPr>
        <w:t>中，供开标时唱出。未经唱出的投标声明在评标时不作考虑。</w:t>
      </w:r>
    </w:p>
    <w:p w14:paraId="6B543503">
      <w:pPr>
        <w:tabs>
          <w:tab w:val="left" w:pos="709"/>
        </w:tabs>
        <w:spacing w:line="380" w:lineRule="exact"/>
        <w:ind w:firstLine="420" w:firstLineChars="200"/>
        <w:contextualSpacing/>
        <w:rPr>
          <w:szCs w:val="21"/>
          <w:highlight w:val="none"/>
        </w:rPr>
      </w:pPr>
      <w:r>
        <w:rPr>
          <w:szCs w:val="21"/>
          <w:highlight w:val="none"/>
        </w:rPr>
        <w:t>12</w:t>
      </w:r>
      <w:r>
        <w:rPr>
          <w:rFonts w:hint="eastAsia"/>
          <w:szCs w:val="21"/>
          <w:highlight w:val="none"/>
        </w:rPr>
        <w:t>.4</w:t>
      </w:r>
      <w:r>
        <w:rPr>
          <w:szCs w:val="21"/>
          <w:highlight w:val="none"/>
        </w:rPr>
        <w:t>投标报价</w:t>
      </w:r>
      <w:r>
        <w:rPr>
          <w:rFonts w:hint="eastAsia"/>
          <w:szCs w:val="21"/>
          <w:highlight w:val="none"/>
        </w:rPr>
        <w:t>中有关</w:t>
      </w:r>
      <w:r>
        <w:rPr>
          <w:szCs w:val="21"/>
          <w:highlight w:val="none"/>
        </w:rPr>
        <w:t>单价在中标后及合同执行过程中是固定不变的，投标人不得以任何理由予以变更。任何包含价格调整要求的投标，将被作无效投标处理。</w:t>
      </w:r>
    </w:p>
    <w:p w14:paraId="18829606">
      <w:pPr>
        <w:spacing w:line="380" w:lineRule="exact"/>
        <w:contextualSpacing/>
        <w:rPr>
          <w:szCs w:val="21"/>
          <w:highlight w:val="none"/>
        </w:rPr>
      </w:pPr>
      <w:bookmarkStart w:id="16" w:name="_Toc425151737"/>
      <w:bookmarkStart w:id="17" w:name="_Toc425780281"/>
      <w:bookmarkStart w:id="18" w:name="_Toc429407697"/>
      <w:bookmarkStart w:id="19" w:name="_Toc430790218"/>
      <w:r>
        <w:rPr>
          <w:szCs w:val="21"/>
          <w:highlight w:val="none"/>
        </w:rPr>
        <w:t>13</w:t>
      </w:r>
      <w:r>
        <w:rPr>
          <w:rFonts w:hint="eastAsia"/>
          <w:szCs w:val="21"/>
          <w:highlight w:val="none"/>
        </w:rPr>
        <w:t>、</w:t>
      </w:r>
      <w:r>
        <w:rPr>
          <w:szCs w:val="21"/>
          <w:highlight w:val="none"/>
        </w:rPr>
        <w:t>投标文件编写</w:t>
      </w:r>
      <w:bookmarkEnd w:id="16"/>
      <w:bookmarkEnd w:id="17"/>
      <w:bookmarkEnd w:id="18"/>
      <w:bookmarkEnd w:id="19"/>
    </w:p>
    <w:p w14:paraId="64C2273D">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3</w:t>
      </w:r>
      <w:r>
        <w:rPr>
          <w:rFonts w:hint="eastAsia"/>
          <w:szCs w:val="21"/>
          <w:highlight w:val="none"/>
        </w:rPr>
        <w:t>.1</w:t>
      </w:r>
      <w:r>
        <w:rPr>
          <w:szCs w:val="21"/>
          <w:highlight w:val="none"/>
        </w:rPr>
        <w:t>投标文件应表述准确、完整、详细，并按统一格式填写。开标一览表系开标仪式上唱标的内容，应按格式完整填写。投标文件因表达不清楚所引起的后果由投标人负责。</w:t>
      </w:r>
    </w:p>
    <w:p w14:paraId="07683ECF">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3</w:t>
      </w:r>
      <w:r>
        <w:rPr>
          <w:rFonts w:hint="eastAsia"/>
          <w:szCs w:val="21"/>
          <w:highlight w:val="none"/>
        </w:rPr>
        <w:t>.2</w:t>
      </w:r>
      <w:r>
        <w:rPr>
          <w:szCs w:val="21"/>
          <w:highlight w:val="none"/>
        </w:rPr>
        <w:t>投标语言：中文</w:t>
      </w:r>
      <w:r>
        <w:rPr>
          <w:rFonts w:hint="eastAsia"/>
          <w:szCs w:val="21"/>
          <w:highlight w:val="none"/>
        </w:rPr>
        <w:t>。除签名、盖章、专用名称等特殊情形外，以中文汉语以外的文字表述的投标文件视同未提供</w:t>
      </w:r>
      <w:r>
        <w:rPr>
          <w:szCs w:val="21"/>
          <w:highlight w:val="none"/>
        </w:rPr>
        <w:t>。</w:t>
      </w:r>
    </w:p>
    <w:p w14:paraId="453E310A">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3</w:t>
      </w:r>
      <w:r>
        <w:rPr>
          <w:rFonts w:hint="eastAsia"/>
          <w:szCs w:val="21"/>
          <w:highlight w:val="none"/>
        </w:rPr>
        <w:t>.3</w:t>
      </w:r>
      <w:r>
        <w:rPr>
          <w:szCs w:val="21"/>
          <w:highlight w:val="none"/>
        </w:rPr>
        <w:t>投标文件中所使用的计量单位，除非本采购文件</w:t>
      </w:r>
      <w:r>
        <w:rPr>
          <w:rFonts w:hint="eastAsia"/>
          <w:szCs w:val="21"/>
          <w:highlight w:val="none"/>
        </w:rPr>
        <w:t>“</w:t>
      </w:r>
      <w:r>
        <w:rPr>
          <w:szCs w:val="21"/>
          <w:highlight w:val="none"/>
        </w:rPr>
        <w:t>招标内容及要求</w:t>
      </w:r>
      <w:r>
        <w:rPr>
          <w:rFonts w:hint="eastAsia"/>
          <w:szCs w:val="21"/>
          <w:highlight w:val="none"/>
        </w:rPr>
        <w:t>”</w:t>
      </w:r>
      <w:r>
        <w:rPr>
          <w:szCs w:val="21"/>
          <w:highlight w:val="none"/>
        </w:rPr>
        <w:t>有特殊要求，应采用国家法定计量单位。</w:t>
      </w:r>
    </w:p>
    <w:p w14:paraId="7DEC1C0E">
      <w:pPr>
        <w:spacing w:line="380" w:lineRule="exact"/>
        <w:contextualSpacing/>
        <w:rPr>
          <w:szCs w:val="21"/>
          <w:highlight w:val="none"/>
        </w:rPr>
      </w:pPr>
      <w:bookmarkStart w:id="20" w:name="_Toc429407698"/>
      <w:bookmarkStart w:id="21" w:name="_Toc430790219"/>
      <w:bookmarkStart w:id="22" w:name="_Toc425780282"/>
      <w:bookmarkStart w:id="23" w:name="_Toc425151738"/>
      <w:r>
        <w:rPr>
          <w:szCs w:val="21"/>
          <w:highlight w:val="none"/>
        </w:rPr>
        <w:t>14</w:t>
      </w:r>
      <w:r>
        <w:rPr>
          <w:rFonts w:hint="eastAsia"/>
          <w:szCs w:val="21"/>
          <w:highlight w:val="none"/>
        </w:rPr>
        <w:t>、</w:t>
      </w:r>
      <w:r>
        <w:rPr>
          <w:szCs w:val="21"/>
          <w:highlight w:val="none"/>
        </w:rPr>
        <w:t>投标文件的有效期</w:t>
      </w:r>
      <w:bookmarkEnd w:id="20"/>
      <w:bookmarkEnd w:id="21"/>
      <w:bookmarkEnd w:id="22"/>
      <w:bookmarkEnd w:id="23"/>
    </w:p>
    <w:p w14:paraId="65FD339A">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4</w:t>
      </w:r>
      <w:r>
        <w:rPr>
          <w:rFonts w:hint="eastAsia"/>
          <w:szCs w:val="21"/>
          <w:highlight w:val="none"/>
        </w:rPr>
        <w:t>.1</w:t>
      </w:r>
      <w:r>
        <w:rPr>
          <w:szCs w:val="21"/>
          <w:highlight w:val="none"/>
        </w:rPr>
        <w:t>投标文件应在《投标资料表》规定的投标有效期内保持有效。有效期短于规定期限的，将导致投标无效</w:t>
      </w:r>
      <w:r>
        <w:rPr>
          <w:rFonts w:hint="eastAsia"/>
          <w:szCs w:val="21"/>
          <w:highlight w:val="none"/>
        </w:rPr>
        <w:t>而被拒绝</w:t>
      </w:r>
      <w:r>
        <w:rPr>
          <w:szCs w:val="21"/>
          <w:highlight w:val="none"/>
        </w:rPr>
        <w:t>。</w:t>
      </w:r>
    </w:p>
    <w:p w14:paraId="3DB19827">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4</w:t>
      </w:r>
      <w:r>
        <w:rPr>
          <w:rFonts w:hint="eastAsia"/>
          <w:szCs w:val="21"/>
          <w:highlight w:val="none"/>
        </w:rPr>
        <w:t>.2</w:t>
      </w:r>
      <w:r>
        <w:rPr>
          <w:szCs w:val="21"/>
          <w:highlight w:val="none"/>
        </w:rPr>
        <w:t>在特殊情况下，在原投标有效期截止之前，应</w:t>
      </w:r>
      <w:r>
        <w:rPr>
          <w:rFonts w:hint="eastAsia"/>
          <w:szCs w:val="21"/>
          <w:highlight w:val="none"/>
        </w:rPr>
        <w:t>采购人</w:t>
      </w:r>
      <w:r>
        <w:rPr>
          <w:szCs w:val="21"/>
          <w:highlight w:val="none"/>
        </w:rPr>
        <w:t>的要求，采购代理机构可要求投标人延长投标文件的有效期，这种要求的提出和投标人的答复都应以书面（含传真）的形式进行。</w:t>
      </w:r>
    </w:p>
    <w:p w14:paraId="6126D7A6">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4.3</w:t>
      </w:r>
      <w:r>
        <w:rPr>
          <w:rFonts w:hint="eastAsia"/>
          <w:szCs w:val="21"/>
          <w:highlight w:val="none"/>
        </w:rPr>
        <w:t>中标人的投标文件自开标之日起至合同履行完毕止均应保持有效。</w:t>
      </w:r>
    </w:p>
    <w:p w14:paraId="2A2BE016">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五、投标文件的递交</w:t>
      </w:r>
    </w:p>
    <w:p w14:paraId="70406B3B">
      <w:pPr>
        <w:spacing w:line="380" w:lineRule="exact"/>
        <w:contextualSpacing/>
        <w:rPr>
          <w:szCs w:val="21"/>
          <w:highlight w:val="none"/>
        </w:rPr>
      </w:pPr>
      <w:r>
        <w:rPr>
          <w:rFonts w:hint="eastAsia"/>
          <w:szCs w:val="21"/>
          <w:highlight w:val="none"/>
        </w:rPr>
        <w:t>1</w:t>
      </w:r>
      <w:r>
        <w:rPr>
          <w:szCs w:val="21"/>
          <w:highlight w:val="none"/>
        </w:rPr>
        <w:t>5</w:t>
      </w:r>
      <w:r>
        <w:rPr>
          <w:rFonts w:hint="eastAsia"/>
          <w:szCs w:val="21"/>
          <w:highlight w:val="none"/>
        </w:rPr>
        <w:t>、</w:t>
      </w:r>
      <w:r>
        <w:rPr>
          <w:szCs w:val="21"/>
          <w:highlight w:val="none"/>
        </w:rPr>
        <w:t>投标文件的签署及装订</w:t>
      </w:r>
    </w:p>
    <w:p w14:paraId="725E9BF5">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5</w:t>
      </w:r>
      <w:r>
        <w:rPr>
          <w:rFonts w:hint="eastAsia"/>
          <w:szCs w:val="21"/>
          <w:highlight w:val="none"/>
        </w:rPr>
        <w:t>.1</w:t>
      </w:r>
      <w:r>
        <w:rPr>
          <w:szCs w:val="21"/>
          <w:highlight w:val="none"/>
        </w:rPr>
        <w:t>对本</w:t>
      </w:r>
      <w:r>
        <w:rPr>
          <w:rFonts w:hint="eastAsia"/>
          <w:szCs w:val="21"/>
          <w:highlight w:val="none"/>
        </w:rPr>
        <w:t>采购文件相关部分</w:t>
      </w:r>
      <w:r>
        <w:rPr>
          <w:szCs w:val="21"/>
          <w:highlight w:val="none"/>
        </w:rPr>
        <w:t>提供的各种文件</w:t>
      </w:r>
      <w:r>
        <w:rPr>
          <w:rFonts w:hint="eastAsia"/>
          <w:szCs w:val="21"/>
          <w:highlight w:val="none"/>
        </w:rPr>
        <w:t>、表格、格式</w:t>
      </w:r>
      <w:r>
        <w:rPr>
          <w:szCs w:val="21"/>
          <w:highlight w:val="none"/>
        </w:rPr>
        <w:t>，投标人应按</w:t>
      </w:r>
      <w:r>
        <w:rPr>
          <w:rFonts w:hint="eastAsia"/>
          <w:szCs w:val="21"/>
          <w:highlight w:val="none"/>
        </w:rPr>
        <w:t>采购文件</w:t>
      </w:r>
      <w:r>
        <w:rPr>
          <w:szCs w:val="21"/>
          <w:highlight w:val="none"/>
        </w:rPr>
        <w:t>要求填写、签署和加盖公章。</w:t>
      </w:r>
    </w:p>
    <w:p w14:paraId="32920B01">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5</w:t>
      </w:r>
      <w:r>
        <w:rPr>
          <w:rFonts w:hint="eastAsia"/>
          <w:szCs w:val="21"/>
          <w:highlight w:val="none"/>
        </w:rPr>
        <w:t>.2</w:t>
      </w:r>
      <w:r>
        <w:rPr>
          <w:szCs w:val="21"/>
          <w:highlight w:val="none"/>
        </w:rPr>
        <w:t>投标文件</w:t>
      </w:r>
      <w:r>
        <w:rPr>
          <w:rFonts w:hint="eastAsia"/>
          <w:szCs w:val="21"/>
          <w:highlight w:val="none"/>
        </w:rPr>
        <w:t>必须按采购文件规定的格式</w:t>
      </w:r>
      <w:r>
        <w:rPr>
          <w:szCs w:val="21"/>
          <w:highlight w:val="none"/>
        </w:rPr>
        <w:t>加盖公章、法定代表人签字</w:t>
      </w:r>
      <w:r>
        <w:rPr>
          <w:rFonts w:hint="eastAsia"/>
          <w:szCs w:val="21"/>
          <w:highlight w:val="none"/>
        </w:rPr>
        <w:t>（或盖章或电子章）</w:t>
      </w:r>
      <w:r>
        <w:rPr>
          <w:szCs w:val="21"/>
          <w:highlight w:val="none"/>
        </w:rPr>
        <w:t>、投标代表人签字</w:t>
      </w:r>
      <w:r>
        <w:rPr>
          <w:rFonts w:hint="eastAsia"/>
          <w:szCs w:val="21"/>
          <w:highlight w:val="none"/>
        </w:rPr>
        <w:t>（或盖章或电子章）</w:t>
      </w:r>
      <w:r>
        <w:rPr>
          <w:szCs w:val="21"/>
          <w:highlight w:val="none"/>
        </w:rPr>
        <w:t>。</w:t>
      </w:r>
    </w:p>
    <w:p w14:paraId="27BCE8BA">
      <w:pPr>
        <w:tabs>
          <w:tab w:val="left" w:pos="709"/>
        </w:tabs>
        <w:spacing w:line="380" w:lineRule="exact"/>
        <w:ind w:firstLine="420" w:firstLineChars="200"/>
        <w:contextualSpacing/>
        <w:rPr>
          <w:szCs w:val="21"/>
          <w:highlight w:val="none"/>
        </w:rPr>
      </w:pPr>
      <w:r>
        <w:rPr>
          <w:rFonts w:hint="eastAsia"/>
          <w:szCs w:val="21"/>
          <w:highlight w:val="none"/>
        </w:rPr>
        <w:t>15.3</w:t>
      </w:r>
      <w:r>
        <w:rPr>
          <w:szCs w:val="21"/>
          <w:highlight w:val="none"/>
        </w:rPr>
        <w:t>投标文件应按各组成部分内容进行整理、编排、立目、索引、注明页码，以有利阅读评审</w:t>
      </w:r>
      <w:r>
        <w:rPr>
          <w:rFonts w:hint="eastAsia"/>
          <w:szCs w:val="21"/>
          <w:highlight w:val="none"/>
        </w:rPr>
        <w:t>。</w:t>
      </w:r>
    </w:p>
    <w:p w14:paraId="1538E65D">
      <w:pPr>
        <w:tabs>
          <w:tab w:val="left" w:pos="709"/>
        </w:tabs>
        <w:spacing w:line="380" w:lineRule="exact"/>
        <w:ind w:firstLine="420" w:firstLineChars="200"/>
        <w:contextualSpacing/>
        <w:rPr>
          <w:szCs w:val="21"/>
          <w:highlight w:val="none"/>
        </w:rPr>
      </w:pPr>
      <w:r>
        <w:rPr>
          <w:rFonts w:hint="eastAsia"/>
          <w:szCs w:val="21"/>
          <w:highlight w:val="none"/>
        </w:rPr>
        <w:t>15</w:t>
      </w:r>
      <w:r>
        <w:rPr>
          <w:szCs w:val="21"/>
          <w:highlight w:val="none"/>
        </w:rPr>
        <w:t>.4</w:t>
      </w:r>
      <w:r>
        <w:rPr>
          <w:rFonts w:hint="eastAsia"/>
          <w:szCs w:val="21"/>
          <w:highlight w:val="none"/>
        </w:rPr>
        <w:t>投标文件的份数</w:t>
      </w:r>
    </w:p>
    <w:p w14:paraId="42EA3981">
      <w:pPr>
        <w:tabs>
          <w:tab w:val="left" w:pos="709"/>
        </w:tabs>
        <w:spacing w:line="380" w:lineRule="exact"/>
        <w:ind w:firstLine="420" w:firstLineChars="200"/>
        <w:contextualSpacing/>
        <w:rPr>
          <w:szCs w:val="21"/>
          <w:highlight w:val="none"/>
        </w:rPr>
      </w:pPr>
      <w:r>
        <w:rPr>
          <w:rFonts w:hint="eastAsia"/>
          <w:szCs w:val="21"/>
          <w:highlight w:val="none"/>
        </w:rPr>
        <w:t>本项目实行网上电子投标。</w:t>
      </w:r>
    </w:p>
    <w:p w14:paraId="2EACDACA">
      <w:pPr>
        <w:tabs>
          <w:tab w:val="left" w:pos="709"/>
        </w:tabs>
        <w:spacing w:line="380" w:lineRule="exact"/>
        <w:ind w:firstLine="420" w:firstLineChars="200"/>
        <w:contextualSpacing/>
        <w:rPr>
          <w:szCs w:val="21"/>
          <w:highlight w:val="none"/>
        </w:rPr>
      </w:pPr>
      <w:r>
        <w:rPr>
          <w:rFonts w:hint="eastAsia"/>
          <w:szCs w:val="21"/>
          <w:highlight w:val="none"/>
        </w:rPr>
        <w:t>（</w:t>
      </w:r>
      <w:r>
        <w:rPr>
          <w:szCs w:val="21"/>
          <w:highlight w:val="none"/>
        </w:rPr>
        <w:t>1）上传到政府采购云平台的电子</w:t>
      </w:r>
      <w:r>
        <w:rPr>
          <w:rFonts w:hint="eastAsia"/>
          <w:szCs w:val="21"/>
          <w:highlight w:val="none"/>
        </w:rPr>
        <w:t>加密</w:t>
      </w:r>
      <w:r>
        <w:rPr>
          <w:szCs w:val="21"/>
          <w:highlight w:val="none"/>
        </w:rPr>
        <w:t>投标文件（含资格证明文件、技术商务文件、报价文件）1份。</w:t>
      </w:r>
    </w:p>
    <w:p w14:paraId="38523174">
      <w:pPr>
        <w:tabs>
          <w:tab w:val="left" w:pos="709"/>
        </w:tabs>
        <w:spacing w:line="380" w:lineRule="exact"/>
        <w:ind w:firstLine="420" w:firstLineChars="200"/>
        <w:contextualSpacing/>
        <w:rPr>
          <w:szCs w:val="21"/>
          <w:highlight w:val="none"/>
        </w:rPr>
      </w:pPr>
      <w:r>
        <w:rPr>
          <w:rFonts w:hint="eastAsia"/>
          <w:szCs w:val="21"/>
          <w:highlight w:val="none"/>
        </w:rPr>
        <w:t>（</w:t>
      </w:r>
      <w:r>
        <w:rPr>
          <w:szCs w:val="21"/>
          <w:highlight w:val="none"/>
        </w:rPr>
        <w:t>2）以U盘存储的电子备份投标文件（含资格证明文件、技术商务文件、报价文件）1份。</w:t>
      </w:r>
    </w:p>
    <w:p w14:paraId="44400037">
      <w:pPr>
        <w:tabs>
          <w:tab w:val="left" w:pos="709"/>
        </w:tabs>
        <w:spacing w:line="380" w:lineRule="exact"/>
        <w:ind w:firstLine="420" w:firstLineChars="200"/>
        <w:contextualSpacing/>
        <w:rPr>
          <w:szCs w:val="21"/>
          <w:highlight w:val="none"/>
        </w:rPr>
      </w:pPr>
      <w:r>
        <w:rPr>
          <w:rFonts w:hint="eastAsia"/>
          <w:szCs w:val="21"/>
          <w:highlight w:val="none"/>
        </w:rPr>
        <w:t>15</w:t>
      </w:r>
      <w:r>
        <w:rPr>
          <w:szCs w:val="21"/>
          <w:highlight w:val="none"/>
        </w:rPr>
        <w:t>.5</w:t>
      </w:r>
      <w:r>
        <w:rPr>
          <w:rFonts w:hint="eastAsia"/>
          <w:szCs w:val="21"/>
          <w:highlight w:val="none"/>
        </w:rPr>
        <w:t>电子投标文件应根据政府采购云平台的要求及本采购文件规定的格式和顺序编制电子投标文件并进行关联定位。</w:t>
      </w:r>
    </w:p>
    <w:p w14:paraId="665505FC">
      <w:pPr>
        <w:tabs>
          <w:tab w:val="left" w:pos="709"/>
        </w:tabs>
        <w:spacing w:line="380" w:lineRule="exact"/>
        <w:ind w:firstLine="420" w:firstLineChars="200"/>
        <w:contextualSpacing/>
        <w:rPr>
          <w:szCs w:val="21"/>
          <w:highlight w:val="none"/>
        </w:rPr>
      </w:pPr>
      <w:r>
        <w:rPr>
          <w:szCs w:val="21"/>
          <w:highlight w:val="none"/>
        </w:rPr>
        <w:t>15.6</w:t>
      </w:r>
      <w:r>
        <w:rPr>
          <w:rFonts w:hint="eastAsia"/>
          <w:szCs w:val="21"/>
          <w:highlight w:val="none"/>
        </w:rPr>
        <w:t>电子备份投标文件应保证同上传至政府采购云平台的电子投标文件内容相一致。</w:t>
      </w:r>
    </w:p>
    <w:p w14:paraId="66D383BD">
      <w:pPr>
        <w:spacing w:line="380" w:lineRule="exact"/>
        <w:contextualSpacing/>
        <w:rPr>
          <w:szCs w:val="21"/>
          <w:highlight w:val="none"/>
        </w:rPr>
      </w:pPr>
      <w:bookmarkStart w:id="24" w:name="_Toc429407702"/>
      <w:bookmarkStart w:id="25" w:name="_Toc430790223"/>
      <w:bookmarkStart w:id="26" w:name="_Toc425151742"/>
      <w:bookmarkStart w:id="27" w:name="_Toc425780286"/>
      <w:r>
        <w:rPr>
          <w:rFonts w:hint="eastAsia"/>
          <w:szCs w:val="21"/>
          <w:highlight w:val="none"/>
        </w:rPr>
        <w:t>16、</w:t>
      </w:r>
      <w:r>
        <w:rPr>
          <w:szCs w:val="21"/>
          <w:highlight w:val="none"/>
        </w:rPr>
        <w:t>投标文件的密封、标记和递送</w:t>
      </w:r>
      <w:bookmarkEnd w:id="24"/>
      <w:bookmarkEnd w:id="25"/>
      <w:bookmarkEnd w:id="26"/>
      <w:bookmarkEnd w:id="27"/>
    </w:p>
    <w:p w14:paraId="5B71D8C7">
      <w:pPr>
        <w:tabs>
          <w:tab w:val="left" w:pos="709"/>
        </w:tabs>
        <w:spacing w:line="380" w:lineRule="exact"/>
        <w:ind w:firstLine="420" w:firstLineChars="200"/>
        <w:contextualSpacing/>
        <w:rPr>
          <w:szCs w:val="21"/>
          <w:highlight w:val="none"/>
        </w:rPr>
      </w:pPr>
      <w:r>
        <w:rPr>
          <w:rFonts w:hint="eastAsia"/>
          <w:szCs w:val="21"/>
          <w:highlight w:val="none"/>
        </w:rPr>
        <w:t>16.1以U盘存储的电子备份投标文件用分带密封后递交。</w:t>
      </w:r>
    </w:p>
    <w:p w14:paraId="39963272">
      <w:pPr>
        <w:snapToGrid w:val="0"/>
        <w:spacing w:line="380" w:lineRule="exact"/>
        <w:ind w:firstLine="420"/>
        <w:contextualSpacing/>
        <w:jc w:val="left"/>
        <w:rPr>
          <w:rFonts w:cs="宋体"/>
          <w:kern w:val="0"/>
          <w:szCs w:val="21"/>
          <w:highlight w:val="none"/>
        </w:rPr>
      </w:pPr>
      <w:r>
        <w:rPr>
          <w:rFonts w:hint="eastAsia" w:cs="宋体"/>
          <w:kern w:val="0"/>
          <w:szCs w:val="21"/>
          <w:highlight w:val="none"/>
        </w:rPr>
        <w:t>16</w:t>
      </w:r>
      <w:r>
        <w:rPr>
          <w:rFonts w:cs="宋体"/>
          <w:kern w:val="0"/>
          <w:szCs w:val="21"/>
          <w:highlight w:val="none"/>
        </w:rPr>
        <w:t>.2</w:t>
      </w:r>
      <w:r>
        <w:rPr>
          <w:rFonts w:hint="eastAsia" w:cs="宋体"/>
          <w:kern w:val="0"/>
          <w:szCs w:val="21"/>
          <w:highlight w:val="none"/>
        </w:rPr>
        <w:t>投标文件的包装封面上应注明投标人名称、投标人地址、投标文件名称</w:t>
      </w:r>
      <w:r>
        <w:rPr>
          <w:rFonts w:cs="宋体"/>
          <w:kern w:val="0"/>
          <w:szCs w:val="21"/>
          <w:highlight w:val="none"/>
        </w:rPr>
        <w:t>(</w:t>
      </w:r>
      <w:r>
        <w:rPr>
          <w:rFonts w:hint="eastAsia" w:cs="宋体"/>
          <w:kern w:val="0"/>
          <w:szCs w:val="21"/>
          <w:highlight w:val="none"/>
        </w:rPr>
        <w:t>电子备份投标文件</w:t>
      </w:r>
      <w:r>
        <w:rPr>
          <w:rFonts w:cs="宋体"/>
          <w:kern w:val="0"/>
          <w:szCs w:val="21"/>
          <w:highlight w:val="none"/>
        </w:rPr>
        <w:t>/</w:t>
      </w:r>
      <w:r>
        <w:rPr>
          <w:rFonts w:hint="eastAsia" w:cs="宋体"/>
          <w:kern w:val="0"/>
          <w:szCs w:val="21"/>
          <w:highlight w:val="none"/>
        </w:rPr>
        <w:t>资格证明文件</w:t>
      </w:r>
      <w:r>
        <w:rPr>
          <w:rFonts w:cs="宋体"/>
          <w:kern w:val="0"/>
          <w:szCs w:val="21"/>
          <w:highlight w:val="none"/>
        </w:rPr>
        <w:t>/</w:t>
      </w:r>
      <w:r>
        <w:rPr>
          <w:rFonts w:hint="eastAsia" w:cs="宋体"/>
          <w:kern w:val="0"/>
          <w:szCs w:val="21"/>
          <w:highlight w:val="none"/>
        </w:rPr>
        <w:t>技术商务文件</w:t>
      </w:r>
      <w:r>
        <w:rPr>
          <w:rFonts w:cs="宋体"/>
          <w:kern w:val="0"/>
          <w:szCs w:val="21"/>
          <w:highlight w:val="none"/>
        </w:rPr>
        <w:t>/</w:t>
      </w:r>
      <w:r>
        <w:rPr>
          <w:rFonts w:hint="eastAsia" w:cs="宋体"/>
          <w:kern w:val="0"/>
          <w:szCs w:val="21"/>
          <w:highlight w:val="none"/>
        </w:rPr>
        <w:t>报价文件</w:t>
      </w:r>
      <w:r>
        <w:rPr>
          <w:rFonts w:cs="宋体"/>
          <w:kern w:val="0"/>
          <w:szCs w:val="21"/>
          <w:highlight w:val="none"/>
        </w:rPr>
        <w:t>)</w:t>
      </w:r>
      <w:r>
        <w:rPr>
          <w:rFonts w:hint="eastAsia" w:cs="宋体"/>
          <w:kern w:val="0"/>
          <w:szCs w:val="21"/>
          <w:highlight w:val="none"/>
        </w:rPr>
        <w:t>、投标项目名称、项目编号，并加盖投标人公章。</w:t>
      </w:r>
    </w:p>
    <w:p w14:paraId="521A0552">
      <w:pPr>
        <w:snapToGrid w:val="0"/>
        <w:spacing w:line="380" w:lineRule="exact"/>
        <w:ind w:firstLine="420"/>
        <w:contextualSpacing/>
        <w:jc w:val="left"/>
        <w:rPr>
          <w:rFonts w:cs="宋体"/>
          <w:szCs w:val="21"/>
          <w:highlight w:val="none"/>
        </w:rPr>
      </w:pPr>
      <w:r>
        <w:rPr>
          <w:rFonts w:cs="宋体"/>
          <w:szCs w:val="21"/>
          <w:highlight w:val="none"/>
        </w:rPr>
        <w:t>16.3</w:t>
      </w:r>
      <w:r>
        <w:rPr>
          <w:rFonts w:hint="eastAsia" w:cs="宋体"/>
          <w:szCs w:val="21"/>
          <w:highlight w:val="none"/>
        </w:rPr>
        <w:t>未按规定密封或标记的投标文件将被拒绝，由此造成投标文件被误投或提前拆封的风险由供应商承担。</w:t>
      </w:r>
    </w:p>
    <w:p w14:paraId="4B4B06AF">
      <w:pPr>
        <w:snapToGrid w:val="0"/>
        <w:spacing w:line="380" w:lineRule="exact"/>
        <w:ind w:firstLine="420"/>
        <w:contextualSpacing/>
        <w:jc w:val="left"/>
        <w:rPr>
          <w:rFonts w:cs="宋体"/>
          <w:szCs w:val="21"/>
          <w:highlight w:val="none"/>
        </w:rPr>
      </w:pPr>
      <w:r>
        <w:rPr>
          <w:rFonts w:cs="宋体"/>
          <w:szCs w:val="21"/>
          <w:highlight w:val="none"/>
        </w:rPr>
        <w:t>16.4</w:t>
      </w:r>
      <w:r>
        <w:rPr>
          <w:rFonts w:hint="eastAsia" w:cs="宋体"/>
          <w:szCs w:val="21"/>
          <w:highlight w:val="none"/>
        </w:rPr>
        <w:t>供应商在投标截止时间之前，可以对已提交的</w:t>
      </w:r>
      <w:r>
        <w:rPr>
          <w:rFonts w:hint="eastAsia" w:cs="宋体"/>
          <w:kern w:val="0"/>
          <w:szCs w:val="21"/>
          <w:highlight w:val="none"/>
        </w:rPr>
        <w:t>电子备份投标文件</w:t>
      </w:r>
      <w:r>
        <w:rPr>
          <w:rFonts w:hint="eastAsia" w:cs="宋体"/>
          <w:szCs w:val="21"/>
          <w:highlight w:val="none"/>
        </w:rPr>
        <w:t>进行修改或撤回，并书面通知招标采购单位；投标截止时间后，供应商不得撤销、修改投标文件。修改后重新递交的</w:t>
      </w:r>
      <w:r>
        <w:rPr>
          <w:rFonts w:hint="eastAsia" w:cs="宋体"/>
          <w:kern w:val="0"/>
          <w:szCs w:val="21"/>
          <w:highlight w:val="none"/>
        </w:rPr>
        <w:t>电子备份投标文件</w:t>
      </w:r>
      <w:r>
        <w:rPr>
          <w:rFonts w:hint="eastAsia" w:cs="宋体"/>
          <w:szCs w:val="21"/>
          <w:highlight w:val="none"/>
        </w:rPr>
        <w:t>应当按本采购文件的要求签署、盖章和密封。</w:t>
      </w:r>
    </w:p>
    <w:p w14:paraId="184C56FF">
      <w:pPr>
        <w:spacing w:line="380" w:lineRule="exact"/>
        <w:ind w:firstLine="420" w:firstLineChars="200"/>
        <w:contextualSpacing/>
        <w:rPr>
          <w:szCs w:val="21"/>
          <w:highlight w:val="none"/>
        </w:rPr>
      </w:pPr>
      <w:r>
        <w:rPr>
          <w:rFonts w:cs="宋体"/>
          <w:szCs w:val="21"/>
          <w:highlight w:val="none"/>
        </w:rPr>
        <w:t>16.5</w:t>
      </w:r>
      <w:r>
        <w:rPr>
          <w:rFonts w:hint="eastAsia" w:cs="宋体"/>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43B22BEF">
      <w:pPr>
        <w:spacing w:line="380" w:lineRule="exact"/>
        <w:contextualSpacing/>
        <w:rPr>
          <w:szCs w:val="21"/>
          <w:highlight w:val="none"/>
        </w:rPr>
      </w:pPr>
      <w:bookmarkStart w:id="28" w:name="_Toc425780287"/>
      <w:bookmarkStart w:id="29" w:name="_Toc429407703"/>
      <w:bookmarkStart w:id="30" w:name="_Toc425151743"/>
      <w:bookmarkStart w:id="31" w:name="_Toc430790224"/>
      <w:r>
        <w:rPr>
          <w:rFonts w:hint="eastAsia"/>
          <w:szCs w:val="21"/>
          <w:highlight w:val="none"/>
        </w:rPr>
        <w:t>1</w:t>
      </w:r>
      <w:r>
        <w:rPr>
          <w:szCs w:val="21"/>
          <w:highlight w:val="none"/>
        </w:rPr>
        <w:t>7</w:t>
      </w:r>
      <w:r>
        <w:rPr>
          <w:rFonts w:hint="eastAsia"/>
          <w:szCs w:val="21"/>
          <w:highlight w:val="none"/>
        </w:rPr>
        <w:t>、</w:t>
      </w:r>
      <w:r>
        <w:rPr>
          <w:szCs w:val="21"/>
          <w:highlight w:val="none"/>
        </w:rPr>
        <w:t>投标</w:t>
      </w:r>
      <w:bookmarkEnd w:id="28"/>
      <w:bookmarkEnd w:id="29"/>
      <w:bookmarkEnd w:id="30"/>
      <w:bookmarkEnd w:id="31"/>
    </w:p>
    <w:p w14:paraId="254C4B9D">
      <w:pPr>
        <w:tabs>
          <w:tab w:val="left" w:pos="709"/>
        </w:tabs>
        <w:spacing w:line="380" w:lineRule="exact"/>
        <w:ind w:firstLine="420" w:firstLineChars="200"/>
        <w:contextualSpacing/>
        <w:rPr>
          <w:szCs w:val="21"/>
          <w:highlight w:val="none"/>
        </w:rPr>
      </w:pPr>
      <w:r>
        <w:rPr>
          <w:szCs w:val="21"/>
          <w:highlight w:val="none"/>
        </w:rPr>
        <w:t>在采购文件《投标资料表》中规定的投标截止时间前，投标文件必须</w:t>
      </w:r>
      <w:r>
        <w:rPr>
          <w:rFonts w:hint="eastAsia"/>
          <w:szCs w:val="21"/>
          <w:highlight w:val="none"/>
        </w:rPr>
        <w:t>将电子投标文件上传至政府采购云平台</w:t>
      </w:r>
      <w:r>
        <w:rPr>
          <w:szCs w:val="21"/>
          <w:highlight w:val="none"/>
        </w:rPr>
        <w:t>www.zcygov.cn，未上传电子投标文件，视为</w:t>
      </w:r>
      <w:r>
        <w:rPr>
          <w:rFonts w:hint="eastAsia"/>
          <w:szCs w:val="21"/>
          <w:highlight w:val="none"/>
        </w:rPr>
        <w:t>投标人</w:t>
      </w:r>
      <w:r>
        <w:rPr>
          <w:szCs w:val="21"/>
          <w:highlight w:val="none"/>
        </w:rPr>
        <w:t>放弃投标</w:t>
      </w:r>
      <w:r>
        <w:rPr>
          <w:rFonts w:hint="eastAsia"/>
          <w:szCs w:val="21"/>
          <w:highlight w:val="none"/>
        </w:rPr>
        <w:t>。并在投标截止时间前将电子备份投标文件送至指定的投标地点。</w:t>
      </w:r>
      <w:r>
        <w:rPr>
          <w:szCs w:val="21"/>
          <w:highlight w:val="none"/>
        </w:rPr>
        <w:t>在投标截止时间以后送达的投标文件将被拒绝。</w:t>
      </w:r>
    </w:p>
    <w:p w14:paraId="7AFD8D10">
      <w:pPr>
        <w:spacing w:line="380" w:lineRule="exact"/>
        <w:contextualSpacing/>
        <w:rPr>
          <w:szCs w:val="21"/>
          <w:highlight w:val="none"/>
        </w:rPr>
      </w:pPr>
      <w:bookmarkStart w:id="32" w:name="_Toc425780288"/>
      <w:bookmarkStart w:id="33" w:name="_Toc430790225"/>
      <w:bookmarkStart w:id="34" w:name="_Toc425151744"/>
      <w:bookmarkStart w:id="35" w:name="_Toc429407704"/>
      <w:r>
        <w:rPr>
          <w:rFonts w:hint="eastAsia"/>
          <w:szCs w:val="21"/>
          <w:highlight w:val="none"/>
        </w:rPr>
        <w:t>1</w:t>
      </w:r>
      <w:r>
        <w:rPr>
          <w:szCs w:val="21"/>
          <w:highlight w:val="none"/>
        </w:rPr>
        <w:t>8</w:t>
      </w:r>
      <w:r>
        <w:rPr>
          <w:rFonts w:hint="eastAsia"/>
          <w:szCs w:val="21"/>
          <w:highlight w:val="none"/>
        </w:rPr>
        <w:t>、</w:t>
      </w:r>
      <w:r>
        <w:rPr>
          <w:szCs w:val="21"/>
          <w:highlight w:val="none"/>
        </w:rPr>
        <w:t>投标文件的修改和撤回</w:t>
      </w:r>
      <w:bookmarkEnd w:id="32"/>
      <w:bookmarkEnd w:id="33"/>
      <w:bookmarkEnd w:id="34"/>
      <w:bookmarkEnd w:id="35"/>
    </w:p>
    <w:p w14:paraId="6C19A681">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8</w:t>
      </w:r>
      <w:r>
        <w:rPr>
          <w:rFonts w:hint="eastAsia"/>
          <w:szCs w:val="21"/>
          <w:highlight w:val="none"/>
        </w:rPr>
        <w:t>.1</w:t>
      </w:r>
      <w:r>
        <w:rPr>
          <w:szCs w:val="21"/>
          <w:highlight w:val="none"/>
        </w:rPr>
        <w:t>投标文件递交以后，在投标截止时间之前，投标人可以要求修改或</w:t>
      </w:r>
      <w:r>
        <w:rPr>
          <w:rFonts w:hint="eastAsia"/>
          <w:szCs w:val="21"/>
          <w:highlight w:val="none"/>
        </w:rPr>
        <w:t>撤回已上传的电子投标文件</w:t>
      </w:r>
      <w:r>
        <w:rPr>
          <w:szCs w:val="21"/>
          <w:highlight w:val="none"/>
        </w:rPr>
        <w:t>。</w:t>
      </w:r>
    </w:p>
    <w:p w14:paraId="2F15A145">
      <w:pPr>
        <w:tabs>
          <w:tab w:val="left" w:pos="709"/>
        </w:tabs>
        <w:spacing w:line="380" w:lineRule="exact"/>
        <w:ind w:firstLine="420" w:firstLineChars="200"/>
        <w:contextualSpacing/>
        <w:rPr>
          <w:szCs w:val="21"/>
          <w:highlight w:val="none"/>
        </w:rPr>
      </w:pPr>
      <w:r>
        <w:rPr>
          <w:rFonts w:hint="eastAsia"/>
          <w:szCs w:val="21"/>
          <w:highlight w:val="none"/>
        </w:rPr>
        <w:t>1</w:t>
      </w:r>
      <w:r>
        <w:rPr>
          <w:szCs w:val="21"/>
          <w:highlight w:val="none"/>
        </w:rPr>
        <w:t>8</w:t>
      </w:r>
      <w:r>
        <w:rPr>
          <w:rFonts w:hint="eastAsia"/>
          <w:szCs w:val="21"/>
          <w:highlight w:val="none"/>
        </w:rPr>
        <w:t>.2</w:t>
      </w:r>
      <w:r>
        <w:rPr>
          <w:szCs w:val="21"/>
          <w:highlight w:val="none"/>
        </w:rPr>
        <w:t>在投标截止时间之后，投标人不得对其投标文件进行修改。</w:t>
      </w:r>
    </w:p>
    <w:p w14:paraId="6BD89806">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六、开标</w:t>
      </w:r>
    </w:p>
    <w:p w14:paraId="6F4D14B7">
      <w:pPr>
        <w:spacing w:line="380" w:lineRule="exact"/>
        <w:contextualSpacing/>
        <w:rPr>
          <w:szCs w:val="21"/>
          <w:highlight w:val="none"/>
        </w:rPr>
      </w:pPr>
      <w:r>
        <w:rPr>
          <w:szCs w:val="21"/>
          <w:highlight w:val="none"/>
        </w:rPr>
        <w:t>19</w:t>
      </w:r>
      <w:r>
        <w:rPr>
          <w:rFonts w:hint="eastAsia"/>
          <w:szCs w:val="21"/>
          <w:highlight w:val="none"/>
        </w:rPr>
        <w:t>、开标准备</w:t>
      </w:r>
    </w:p>
    <w:p w14:paraId="7B20981A">
      <w:pPr>
        <w:spacing w:line="380" w:lineRule="exact"/>
        <w:ind w:firstLine="420" w:firstLineChars="200"/>
        <w:contextualSpacing/>
        <w:rPr>
          <w:rFonts w:cs="宋体"/>
          <w:szCs w:val="21"/>
          <w:highlight w:val="none"/>
        </w:rPr>
      </w:pPr>
      <w:r>
        <w:rPr>
          <w:rFonts w:cs="宋体"/>
          <w:szCs w:val="21"/>
          <w:highlight w:val="none"/>
        </w:rPr>
        <w:t>19.1采购代理机构将组织各投标人法定代表人或其授权代表分别登记、签到，无关人员不得进入现场</w:t>
      </w:r>
      <w:r>
        <w:rPr>
          <w:rFonts w:hint="eastAsia"/>
          <w:szCs w:val="21"/>
          <w:highlight w:val="none"/>
        </w:rPr>
        <w:t>。</w:t>
      </w:r>
      <w:r>
        <w:rPr>
          <w:rFonts w:cs="宋体"/>
          <w:szCs w:val="21"/>
          <w:highlight w:val="none"/>
        </w:rPr>
        <w:t>投标人未参加开标的，视同认可开标结果。</w:t>
      </w:r>
    </w:p>
    <w:p w14:paraId="2C7825BE">
      <w:pPr>
        <w:spacing w:line="380" w:lineRule="exact"/>
        <w:ind w:firstLine="420" w:firstLineChars="200"/>
        <w:contextualSpacing/>
        <w:rPr>
          <w:rFonts w:cs="宋体"/>
          <w:szCs w:val="21"/>
          <w:highlight w:val="none"/>
        </w:rPr>
      </w:pPr>
      <w:r>
        <w:rPr>
          <w:rFonts w:cs="宋体"/>
          <w:szCs w:val="21"/>
          <w:highlight w:val="none"/>
        </w:rPr>
        <w:t>19.2采购代理机构接收投标文件并登记，各投标人法定代表人或其授权代表对投标文件的递交记录情况进行签字确认。</w:t>
      </w:r>
    </w:p>
    <w:p w14:paraId="184CAD16">
      <w:pPr>
        <w:spacing w:line="380" w:lineRule="exact"/>
        <w:ind w:firstLine="420" w:firstLineChars="200"/>
        <w:contextualSpacing/>
        <w:rPr>
          <w:rFonts w:cs="宋体"/>
          <w:szCs w:val="21"/>
          <w:highlight w:val="none"/>
        </w:rPr>
      </w:pPr>
      <w:r>
        <w:rPr>
          <w:rFonts w:cs="宋体"/>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szCs w:val="21"/>
          <w:highlight w:val="none"/>
        </w:rPr>
        <w:t>政府采购</w:t>
      </w:r>
      <w:r>
        <w:rPr>
          <w:rFonts w:cs="宋体"/>
          <w:szCs w:val="21"/>
          <w:highlight w:val="none"/>
        </w:rPr>
        <w:t>活动现场确认声明书》。</w:t>
      </w:r>
    </w:p>
    <w:p w14:paraId="5098EE45">
      <w:pPr>
        <w:spacing w:line="380" w:lineRule="exact"/>
        <w:contextualSpacing/>
        <w:rPr>
          <w:szCs w:val="21"/>
          <w:highlight w:val="none"/>
        </w:rPr>
      </w:pPr>
      <w:r>
        <w:rPr>
          <w:szCs w:val="21"/>
          <w:highlight w:val="none"/>
        </w:rPr>
        <w:t>20</w:t>
      </w:r>
      <w:r>
        <w:rPr>
          <w:rFonts w:hint="eastAsia"/>
          <w:szCs w:val="21"/>
          <w:highlight w:val="none"/>
        </w:rPr>
        <w:t>、开标程序：</w:t>
      </w:r>
    </w:p>
    <w:p w14:paraId="15F9BFA2">
      <w:pPr>
        <w:spacing w:line="380" w:lineRule="exact"/>
        <w:ind w:firstLine="420" w:firstLineChars="200"/>
        <w:contextualSpacing/>
        <w:rPr>
          <w:rFonts w:cs="宋体"/>
          <w:szCs w:val="21"/>
          <w:highlight w:val="none"/>
        </w:rPr>
      </w:pPr>
      <w:r>
        <w:rPr>
          <w:rFonts w:cs="宋体"/>
          <w:szCs w:val="21"/>
          <w:highlight w:val="none"/>
        </w:rPr>
        <w:t>20.1</w:t>
      </w:r>
      <w:r>
        <w:rPr>
          <w:rFonts w:hint="eastAsia" w:cs="宋体"/>
          <w:szCs w:val="21"/>
          <w:highlight w:val="none"/>
        </w:rPr>
        <w:t>电子招投标开标程序：</w:t>
      </w:r>
    </w:p>
    <w:p w14:paraId="29397947">
      <w:pPr>
        <w:spacing w:line="380" w:lineRule="exact"/>
        <w:ind w:firstLine="420" w:firstLineChars="200"/>
        <w:contextualSpacing/>
        <w:rPr>
          <w:rFonts w:cs="宋体"/>
          <w:szCs w:val="21"/>
          <w:highlight w:val="none"/>
        </w:rPr>
      </w:pPr>
      <w:r>
        <w:rPr>
          <w:rFonts w:hint="eastAsia" w:cs="宋体"/>
          <w:szCs w:val="21"/>
          <w:highlight w:val="none"/>
        </w:rPr>
        <w:t>（1）投标截止时间后，供应商登录政府采购云平台，用“项目采购</w:t>
      </w:r>
      <w:r>
        <w:rPr>
          <w:rFonts w:cs="宋体"/>
          <w:szCs w:val="21"/>
          <w:highlight w:val="none"/>
        </w:rPr>
        <w:t>-</w:t>
      </w:r>
      <w:r>
        <w:rPr>
          <w:rFonts w:hint="eastAsia" w:cs="宋体"/>
          <w:szCs w:val="21"/>
          <w:highlight w:val="none"/>
        </w:rPr>
        <w:t>开标评标”功能对电子投标文件进行在线解密，在线解密电子投标文件时间为开标时间后</w:t>
      </w:r>
      <w:r>
        <w:rPr>
          <w:rFonts w:cs="宋体"/>
          <w:szCs w:val="21"/>
          <w:highlight w:val="none"/>
        </w:rPr>
        <w:t>30分钟</w:t>
      </w:r>
      <w:r>
        <w:rPr>
          <w:rFonts w:hint="eastAsia" w:cs="宋体"/>
          <w:szCs w:val="21"/>
          <w:highlight w:val="none"/>
        </w:rPr>
        <w:t>内。</w:t>
      </w:r>
    </w:p>
    <w:p w14:paraId="1CEE60F4">
      <w:pPr>
        <w:spacing w:line="380" w:lineRule="exact"/>
        <w:ind w:firstLine="420" w:firstLineChars="200"/>
        <w:contextualSpacing/>
        <w:rPr>
          <w:rFonts w:cs="宋体"/>
          <w:szCs w:val="21"/>
          <w:highlight w:val="none"/>
        </w:rPr>
      </w:pPr>
      <w:r>
        <w:rPr>
          <w:rFonts w:hint="eastAsia" w:cs="宋体"/>
          <w:szCs w:val="21"/>
          <w:highlight w:val="none"/>
        </w:rPr>
        <w:t>（2）在政府采购云平台开启已解密投标人的“资格证明文件、技术商务文件”，待资格审查、技术商务评审结束并公布资格审查、技术商务评分结果后，再开启已解密投标人的“报价文件”并做开标记录；</w:t>
      </w:r>
    </w:p>
    <w:p w14:paraId="000A210C">
      <w:pPr>
        <w:spacing w:line="380" w:lineRule="exact"/>
        <w:ind w:firstLine="420" w:firstLineChars="200"/>
        <w:contextualSpacing/>
        <w:rPr>
          <w:rFonts w:cs="宋体"/>
          <w:szCs w:val="21"/>
          <w:highlight w:val="none"/>
        </w:rPr>
      </w:pPr>
      <w:r>
        <w:rPr>
          <w:rFonts w:hint="eastAsia" w:cs="宋体"/>
          <w:szCs w:val="21"/>
          <w:highlight w:val="none"/>
        </w:rPr>
        <w:t>（</w:t>
      </w:r>
      <w:r>
        <w:rPr>
          <w:rFonts w:cs="宋体"/>
          <w:szCs w:val="21"/>
          <w:highlight w:val="none"/>
        </w:rPr>
        <w:t>3</w:t>
      </w:r>
      <w:r>
        <w:rPr>
          <w:rFonts w:hint="eastAsia" w:cs="宋体"/>
          <w:szCs w:val="21"/>
          <w:highlight w:val="none"/>
        </w:rPr>
        <w:t>）在政府采购云平台公布评审结果。</w:t>
      </w:r>
    </w:p>
    <w:p w14:paraId="1FA289E0">
      <w:pPr>
        <w:spacing w:line="380" w:lineRule="exact"/>
        <w:ind w:firstLine="420" w:firstLineChars="200"/>
        <w:contextualSpacing/>
        <w:rPr>
          <w:rFonts w:cs="宋体"/>
          <w:szCs w:val="21"/>
          <w:highlight w:val="none"/>
        </w:rPr>
      </w:pPr>
      <w:r>
        <w:rPr>
          <w:rFonts w:hint="eastAsia" w:cs="宋体"/>
          <w:szCs w:val="21"/>
          <w:highlight w:val="none"/>
        </w:rPr>
        <w:t>（</w:t>
      </w:r>
      <w:r>
        <w:rPr>
          <w:rFonts w:cs="宋体"/>
          <w:szCs w:val="21"/>
          <w:highlight w:val="none"/>
        </w:rPr>
        <w:t>4</w:t>
      </w:r>
      <w:r>
        <w:rPr>
          <w:rFonts w:hint="eastAsia" w:cs="宋体"/>
          <w:szCs w:val="21"/>
          <w:highlight w:val="none"/>
        </w:rPr>
        <w:t>）开标会议结束。</w:t>
      </w:r>
    </w:p>
    <w:p w14:paraId="399018EA">
      <w:pPr>
        <w:spacing w:line="380" w:lineRule="exact"/>
        <w:ind w:firstLine="420" w:firstLineChars="200"/>
        <w:contextualSpacing/>
        <w:rPr>
          <w:rFonts w:cs="宋体"/>
          <w:szCs w:val="21"/>
          <w:highlight w:val="none"/>
        </w:rPr>
      </w:pPr>
      <w:r>
        <w:rPr>
          <w:rFonts w:cs="宋体"/>
          <w:szCs w:val="21"/>
          <w:highlight w:val="none"/>
        </w:rPr>
        <w:t>20.2</w:t>
      </w:r>
      <w:r>
        <w:rPr>
          <w:rFonts w:hint="eastAsia" w:cs="宋体"/>
          <w:szCs w:val="21"/>
          <w:highlight w:val="none"/>
        </w:rPr>
        <w:t>特别说明：政府采购云平台如对电子化开标及评审程序有调整的，按调整后的程序操作。</w:t>
      </w:r>
    </w:p>
    <w:p w14:paraId="68189582">
      <w:pPr>
        <w:spacing w:line="380" w:lineRule="exact"/>
        <w:ind w:firstLine="420" w:firstLineChars="200"/>
        <w:contextualSpacing/>
        <w:rPr>
          <w:rFonts w:cs="宋体"/>
          <w:szCs w:val="21"/>
          <w:highlight w:val="none"/>
        </w:rPr>
      </w:pPr>
      <w:r>
        <w:rPr>
          <w:rFonts w:hint="eastAsia" w:cs="宋体"/>
          <w:szCs w:val="21"/>
          <w:highlight w:val="none"/>
        </w:rPr>
        <w:t>本项目原则上采用政采云电子招投标开标程序，但有以下情形之一的，按以下处理：</w:t>
      </w:r>
    </w:p>
    <w:p w14:paraId="122C8787">
      <w:pPr>
        <w:spacing w:line="380" w:lineRule="exact"/>
        <w:ind w:firstLine="420" w:firstLineChars="200"/>
        <w:contextualSpacing/>
        <w:rPr>
          <w:rFonts w:cs="宋体"/>
          <w:szCs w:val="21"/>
          <w:highlight w:val="none"/>
        </w:rPr>
      </w:pPr>
      <w:r>
        <w:rPr>
          <w:rFonts w:hint="eastAsia" w:cs="宋体"/>
          <w:szCs w:val="21"/>
          <w:highlight w:val="none"/>
        </w:rPr>
        <w:t>（</w:t>
      </w:r>
      <w:r>
        <w:rPr>
          <w:rFonts w:cs="宋体"/>
          <w:szCs w:val="21"/>
          <w:highlight w:val="none"/>
        </w:rPr>
        <w:t>1</w:t>
      </w:r>
      <w:r>
        <w:rPr>
          <w:rFonts w:hint="eastAsia" w:cs="宋体"/>
          <w:szCs w:val="21"/>
          <w:highlight w:val="none"/>
        </w:rPr>
        <w:t>）若有供应商在规定时间内无法解密或解密失败，代理机构将开启该供应商递交的以</w:t>
      </w:r>
      <w:r>
        <w:rPr>
          <w:rFonts w:cs="宋体"/>
          <w:szCs w:val="21"/>
          <w:highlight w:val="none"/>
        </w:rPr>
        <w:t>U</w:t>
      </w:r>
      <w:r>
        <w:rPr>
          <w:rFonts w:hint="eastAsia" w:cs="宋体"/>
          <w:szCs w:val="21"/>
          <w:highlight w:val="none"/>
        </w:rPr>
        <w:t>盘存储的电子备份投标文件，上传至政采云平台项目采购模块，以完成开标，电子投标文件自动失效。</w:t>
      </w:r>
    </w:p>
    <w:p w14:paraId="5157FDB7">
      <w:pPr>
        <w:spacing w:line="380" w:lineRule="exact"/>
        <w:ind w:firstLine="420" w:firstLineChars="200"/>
        <w:contextualSpacing/>
        <w:rPr>
          <w:rFonts w:cs="宋体"/>
          <w:szCs w:val="21"/>
          <w:highlight w:val="none"/>
        </w:rPr>
      </w:pPr>
      <w:r>
        <w:rPr>
          <w:rFonts w:hint="eastAsia" w:cs="宋体"/>
          <w:szCs w:val="21"/>
          <w:highlight w:val="none"/>
        </w:rPr>
        <w:t>（</w:t>
      </w:r>
      <w:r>
        <w:rPr>
          <w:rFonts w:cs="宋体"/>
          <w:szCs w:val="21"/>
          <w:highlight w:val="none"/>
        </w:rPr>
        <w:t>2</w:t>
      </w:r>
      <w:r>
        <w:rPr>
          <w:rFonts w:hint="eastAsia" w:cs="宋体"/>
          <w:szCs w:val="21"/>
          <w:highlight w:val="none"/>
        </w:rPr>
        <w:t>）采购过程中出现以下情形，导致电子交易平台无法正常运行，或者无法保证电子交易的公平、公正和安全时，采购人（或代理机构）可中止电子交易活动：</w:t>
      </w:r>
    </w:p>
    <w:p w14:paraId="37AD2DBF">
      <w:pPr>
        <w:spacing w:line="380" w:lineRule="exact"/>
        <w:ind w:firstLine="420" w:firstLineChars="200"/>
        <w:contextualSpacing/>
        <w:rPr>
          <w:rFonts w:cs="宋体"/>
          <w:szCs w:val="21"/>
          <w:highlight w:val="none"/>
        </w:rPr>
      </w:pPr>
      <w:r>
        <w:rPr>
          <w:rFonts w:hint="eastAsia" w:cs="宋体"/>
          <w:szCs w:val="21"/>
          <w:highlight w:val="none"/>
        </w:rPr>
        <w:t>①电子交易平台发生故障而无法登录访问的；</w:t>
      </w:r>
    </w:p>
    <w:p w14:paraId="09C0D12E">
      <w:pPr>
        <w:spacing w:line="380" w:lineRule="exact"/>
        <w:ind w:firstLine="420" w:firstLineChars="200"/>
        <w:contextualSpacing/>
        <w:rPr>
          <w:rFonts w:cs="宋体"/>
          <w:szCs w:val="21"/>
          <w:highlight w:val="none"/>
        </w:rPr>
      </w:pPr>
      <w:r>
        <w:rPr>
          <w:rFonts w:hint="eastAsia" w:cs="宋体"/>
          <w:szCs w:val="21"/>
          <w:highlight w:val="none"/>
        </w:rPr>
        <w:t>②电子交易平台应用或数据库出现错误，不能进行正常操作的；</w:t>
      </w:r>
    </w:p>
    <w:p w14:paraId="45258E8D">
      <w:pPr>
        <w:spacing w:line="380" w:lineRule="exact"/>
        <w:ind w:firstLine="420" w:firstLineChars="200"/>
        <w:contextualSpacing/>
        <w:rPr>
          <w:rFonts w:cs="宋体"/>
          <w:szCs w:val="21"/>
          <w:highlight w:val="none"/>
        </w:rPr>
      </w:pPr>
      <w:r>
        <w:rPr>
          <w:rFonts w:hint="eastAsia" w:cs="宋体"/>
          <w:szCs w:val="21"/>
          <w:highlight w:val="none"/>
        </w:rPr>
        <w:t>③电子交易平台发现严重安全漏洞，有潜在泄密危险的；</w:t>
      </w:r>
    </w:p>
    <w:p w14:paraId="4CDAA3F1">
      <w:pPr>
        <w:spacing w:line="380" w:lineRule="exact"/>
        <w:ind w:firstLine="420" w:firstLineChars="200"/>
        <w:contextualSpacing/>
        <w:rPr>
          <w:rFonts w:cs="宋体"/>
          <w:szCs w:val="21"/>
          <w:highlight w:val="none"/>
        </w:rPr>
      </w:pPr>
      <w:r>
        <w:rPr>
          <w:rFonts w:hint="eastAsia" w:cs="宋体"/>
          <w:szCs w:val="21"/>
          <w:highlight w:val="none"/>
        </w:rPr>
        <w:t>④病毒发作导致不能进行正常操作的；</w:t>
      </w:r>
    </w:p>
    <w:p w14:paraId="7AD043E4">
      <w:pPr>
        <w:spacing w:line="380" w:lineRule="exact"/>
        <w:ind w:firstLine="420" w:firstLineChars="200"/>
        <w:contextualSpacing/>
        <w:rPr>
          <w:rFonts w:cs="宋体"/>
          <w:szCs w:val="21"/>
          <w:highlight w:val="none"/>
        </w:rPr>
      </w:pPr>
      <w:r>
        <w:rPr>
          <w:rFonts w:hint="eastAsia" w:cs="宋体"/>
          <w:szCs w:val="21"/>
          <w:highlight w:val="none"/>
        </w:rPr>
        <w:t>⑤其他无法保证电子交易的公平、公正和安全的情况。</w:t>
      </w:r>
    </w:p>
    <w:p w14:paraId="22C97EE3">
      <w:pPr>
        <w:spacing w:line="380" w:lineRule="exact"/>
        <w:ind w:firstLine="420" w:firstLineChars="200"/>
        <w:contextualSpacing/>
        <w:rPr>
          <w:rFonts w:cs="宋体"/>
          <w:szCs w:val="21"/>
          <w:highlight w:val="none"/>
        </w:rPr>
      </w:pPr>
      <w:r>
        <w:rPr>
          <w:rFonts w:hint="eastAsia" w:cs="宋体"/>
          <w:szCs w:val="21"/>
          <w:highlight w:val="none"/>
        </w:rPr>
        <w:t>出现前款规定情形，不影响采购公平、公正性的，采购人（或代理机构）可以待上述情形消除后继续组织电子交易活动。</w:t>
      </w:r>
    </w:p>
    <w:p w14:paraId="27158416">
      <w:pPr>
        <w:spacing w:line="380" w:lineRule="exact"/>
        <w:ind w:firstLine="420" w:firstLineChars="200"/>
        <w:contextualSpacing/>
        <w:rPr>
          <w:rFonts w:cs="宋体"/>
          <w:szCs w:val="21"/>
          <w:highlight w:val="none"/>
        </w:rPr>
      </w:pPr>
      <w:r>
        <w:rPr>
          <w:rFonts w:hint="eastAsia" w:cs="宋体"/>
          <w:szCs w:val="21"/>
          <w:highlight w:val="none"/>
        </w:rPr>
        <w:t>（</w:t>
      </w:r>
      <w:r>
        <w:rPr>
          <w:rFonts w:cs="宋体"/>
          <w:szCs w:val="21"/>
          <w:highlight w:val="none"/>
        </w:rPr>
        <w:t>4</w:t>
      </w:r>
      <w:r>
        <w:rPr>
          <w:rFonts w:hint="eastAsia" w:cs="宋体"/>
          <w:szCs w:val="21"/>
          <w:highlight w:val="none"/>
        </w:rPr>
        <w:t>）未开启的备份投标文件现场不予以退还。</w:t>
      </w:r>
    </w:p>
    <w:p w14:paraId="7F790D9D">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七、评标和定标</w:t>
      </w:r>
    </w:p>
    <w:p w14:paraId="620C4721">
      <w:pPr>
        <w:spacing w:line="380" w:lineRule="exact"/>
        <w:contextualSpacing/>
        <w:rPr>
          <w:szCs w:val="21"/>
          <w:highlight w:val="none"/>
        </w:rPr>
      </w:pPr>
      <w:bookmarkStart w:id="36" w:name="_Toc425151748"/>
      <w:bookmarkStart w:id="37" w:name="_Toc429407708"/>
      <w:bookmarkStart w:id="38" w:name="_Toc430790229"/>
      <w:bookmarkStart w:id="39" w:name="_Toc425780292"/>
      <w:r>
        <w:rPr>
          <w:szCs w:val="21"/>
          <w:highlight w:val="none"/>
        </w:rPr>
        <w:t>21</w:t>
      </w:r>
      <w:r>
        <w:rPr>
          <w:rFonts w:hint="eastAsia"/>
          <w:szCs w:val="21"/>
          <w:highlight w:val="none"/>
        </w:rPr>
        <w:t>、</w:t>
      </w:r>
      <w:r>
        <w:rPr>
          <w:szCs w:val="21"/>
          <w:highlight w:val="none"/>
        </w:rPr>
        <w:t>评标委员会</w:t>
      </w:r>
    </w:p>
    <w:p w14:paraId="0C11AA03">
      <w:pPr>
        <w:spacing w:line="380" w:lineRule="exact"/>
        <w:ind w:firstLine="420" w:firstLineChars="200"/>
        <w:contextualSpacing/>
        <w:rPr>
          <w:szCs w:val="21"/>
          <w:highlight w:val="none"/>
        </w:rPr>
      </w:pPr>
      <w:r>
        <w:rPr>
          <w:szCs w:val="21"/>
          <w:highlight w:val="none"/>
        </w:rPr>
        <w:t>21</w:t>
      </w:r>
      <w:r>
        <w:rPr>
          <w:rFonts w:hint="eastAsia"/>
          <w:szCs w:val="21"/>
          <w:highlight w:val="none"/>
        </w:rPr>
        <w:t>.1</w:t>
      </w:r>
      <w:r>
        <w:rPr>
          <w:szCs w:val="21"/>
          <w:highlight w:val="none"/>
        </w:rPr>
        <w:t>受采购人的委托，采购代理机构根据《</w:t>
      </w:r>
      <w:r>
        <w:rPr>
          <w:rFonts w:hint="eastAsia"/>
          <w:szCs w:val="21"/>
          <w:highlight w:val="none"/>
        </w:rPr>
        <w:t>中华人民共和国</w:t>
      </w:r>
      <w:r>
        <w:rPr>
          <w:szCs w:val="21"/>
          <w:highlight w:val="none"/>
        </w:rPr>
        <w:t>政府采购法》、财政部第8</w:t>
      </w:r>
      <w:r>
        <w:rPr>
          <w:rFonts w:hint="eastAsia"/>
          <w:szCs w:val="21"/>
          <w:highlight w:val="none"/>
        </w:rPr>
        <w:t>7</w:t>
      </w:r>
      <w:r>
        <w:rPr>
          <w:szCs w:val="21"/>
          <w:highlight w:val="none"/>
        </w:rPr>
        <w:t>号令的规定和有关的</w:t>
      </w:r>
      <w:r>
        <w:rPr>
          <w:rFonts w:hint="eastAsia"/>
          <w:szCs w:val="21"/>
          <w:highlight w:val="none"/>
        </w:rPr>
        <w:t>法律</w:t>
      </w:r>
      <w:r>
        <w:rPr>
          <w:szCs w:val="21"/>
          <w:highlight w:val="none"/>
        </w:rPr>
        <w:t>法规组建评标委员会，评标委员会负责评标工作。评标委员会由</w:t>
      </w:r>
      <w:r>
        <w:rPr>
          <w:rFonts w:hint="eastAsia"/>
          <w:szCs w:val="21"/>
          <w:highlight w:val="none"/>
        </w:rPr>
        <w:t>采购人</w:t>
      </w:r>
      <w:r>
        <w:rPr>
          <w:szCs w:val="21"/>
          <w:highlight w:val="none"/>
        </w:rPr>
        <w:t>代表和</w:t>
      </w:r>
      <w:r>
        <w:rPr>
          <w:rFonts w:hint="eastAsia"/>
          <w:szCs w:val="21"/>
          <w:highlight w:val="none"/>
        </w:rPr>
        <w:t>评审</w:t>
      </w:r>
      <w:r>
        <w:rPr>
          <w:szCs w:val="21"/>
          <w:highlight w:val="none"/>
        </w:rPr>
        <w:t>专家组成</w:t>
      </w:r>
      <w:r>
        <w:rPr>
          <w:rFonts w:hint="eastAsia"/>
          <w:szCs w:val="21"/>
          <w:highlight w:val="none"/>
        </w:rPr>
        <w:t>，其中评审</w:t>
      </w:r>
      <w:r>
        <w:rPr>
          <w:szCs w:val="21"/>
          <w:highlight w:val="none"/>
        </w:rPr>
        <w:t>专家</w:t>
      </w:r>
      <w:r>
        <w:rPr>
          <w:rFonts w:hint="eastAsia"/>
          <w:szCs w:val="21"/>
          <w:highlight w:val="none"/>
        </w:rPr>
        <w:t>4人，采购人代表1人</w:t>
      </w:r>
      <w:r>
        <w:rPr>
          <w:szCs w:val="21"/>
          <w:highlight w:val="none"/>
        </w:rPr>
        <w:t>。</w:t>
      </w:r>
      <w:r>
        <w:rPr>
          <w:rFonts w:hint="eastAsia"/>
          <w:szCs w:val="21"/>
          <w:highlight w:val="none"/>
        </w:rPr>
        <w:t>评审</w:t>
      </w:r>
      <w:r>
        <w:rPr>
          <w:szCs w:val="21"/>
          <w:highlight w:val="none"/>
        </w:rPr>
        <w:t>专家将在开标日之前在管理部门的</w:t>
      </w:r>
      <w:r>
        <w:rPr>
          <w:rFonts w:hint="eastAsia"/>
          <w:szCs w:val="21"/>
          <w:highlight w:val="none"/>
        </w:rPr>
        <w:t>评审</w:t>
      </w:r>
      <w:r>
        <w:rPr>
          <w:szCs w:val="21"/>
          <w:highlight w:val="none"/>
        </w:rPr>
        <w:t>专家库中随机抽取。</w:t>
      </w:r>
      <w:r>
        <w:rPr>
          <w:rFonts w:hint="eastAsia"/>
          <w:szCs w:val="21"/>
          <w:highlight w:val="none"/>
        </w:rPr>
        <w:t>评标委员会成员名单在评标结果公告前应当保密。</w:t>
      </w:r>
    </w:p>
    <w:p w14:paraId="1CB3F395">
      <w:pPr>
        <w:spacing w:line="380" w:lineRule="exact"/>
        <w:ind w:firstLine="420" w:firstLineChars="200"/>
        <w:contextualSpacing/>
        <w:rPr>
          <w:szCs w:val="21"/>
          <w:highlight w:val="none"/>
        </w:rPr>
      </w:pPr>
      <w:r>
        <w:rPr>
          <w:szCs w:val="21"/>
          <w:highlight w:val="none"/>
        </w:rPr>
        <w:t>21</w:t>
      </w:r>
      <w:r>
        <w:rPr>
          <w:rFonts w:hint="eastAsia"/>
          <w:szCs w:val="21"/>
          <w:highlight w:val="none"/>
        </w:rPr>
        <w:t>.2</w:t>
      </w:r>
      <w:r>
        <w:rPr>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3E946156">
      <w:pPr>
        <w:spacing w:line="380" w:lineRule="exact"/>
        <w:ind w:firstLine="420" w:firstLineChars="200"/>
        <w:contextualSpacing/>
        <w:rPr>
          <w:szCs w:val="21"/>
          <w:highlight w:val="none"/>
        </w:rPr>
      </w:pPr>
      <w:r>
        <w:rPr>
          <w:szCs w:val="21"/>
          <w:highlight w:val="none"/>
        </w:rPr>
        <w:t>21</w:t>
      </w:r>
      <w:r>
        <w:rPr>
          <w:rFonts w:hint="eastAsia"/>
          <w:szCs w:val="21"/>
          <w:highlight w:val="none"/>
        </w:rPr>
        <w:t>.3</w:t>
      </w:r>
      <w:r>
        <w:rPr>
          <w:szCs w:val="21"/>
          <w:highlight w:val="none"/>
        </w:rPr>
        <w:t>评标委员会将核对投标价格和</w:t>
      </w:r>
      <w:r>
        <w:rPr>
          <w:rFonts w:hint="eastAsia"/>
          <w:szCs w:val="21"/>
          <w:highlight w:val="none"/>
        </w:rPr>
        <w:t>服务内容</w:t>
      </w:r>
      <w:r>
        <w:rPr>
          <w:szCs w:val="21"/>
          <w:highlight w:val="none"/>
        </w:rPr>
        <w:t>，对发现的价格计算错误按下述原则处理：</w:t>
      </w:r>
    </w:p>
    <w:p w14:paraId="5D6701A6">
      <w:pPr>
        <w:spacing w:line="380" w:lineRule="exact"/>
        <w:ind w:firstLine="420" w:firstLineChars="200"/>
        <w:contextualSpacing/>
        <w:rPr>
          <w:szCs w:val="21"/>
          <w:highlight w:val="none"/>
        </w:rPr>
      </w:pPr>
      <w:r>
        <w:rPr>
          <w:rFonts w:hint="eastAsia"/>
          <w:szCs w:val="21"/>
          <w:highlight w:val="none"/>
        </w:rPr>
        <w:t>（1）投标文件中开标一览表内容与投标文件中相应内容不一致的，以开标一览表为准；</w:t>
      </w:r>
    </w:p>
    <w:p w14:paraId="53B71C3D">
      <w:pPr>
        <w:spacing w:line="380" w:lineRule="exact"/>
        <w:ind w:firstLine="420" w:firstLineChars="200"/>
        <w:contextualSpacing/>
        <w:rPr>
          <w:szCs w:val="21"/>
          <w:highlight w:val="none"/>
        </w:rPr>
      </w:pPr>
      <w:r>
        <w:rPr>
          <w:rFonts w:hint="eastAsia"/>
          <w:szCs w:val="21"/>
          <w:highlight w:val="none"/>
        </w:rPr>
        <w:t>（2）投标文件的大写金额和小写金额不一致的，以大写金额为准；</w:t>
      </w:r>
    </w:p>
    <w:p w14:paraId="32C32F52">
      <w:pPr>
        <w:spacing w:line="380" w:lineRule="exact"/>
        <w:ind w:firstLine="420" w:firstLineChars="200"/>
        <w:contextualSpacing/>
        <w:rPr>
          <w:szCs w:val="21"/>
          <w:highlight w:val="none"/>
        </w:rPr>
      </w:pPr>
      <w:r>
        <w:rPr>
          <w:rFonts w:hint="eastAsia"/>
          <w:szCs w:val="21"/>
          <w:highlight w:val="none"/>
        </w:rPr>
        <w:t>（3）单价金额小数点或者百分比有明显错位的，以开标一览表的总价为准，并修改单价；</w:t>
      </w:r>
    </w:p>
    <w:p w14:paraId="04FB2A7E">
      <w:pPr>
        <w:spacing w:line="380" w:lineRule="exact"/>
        <w:ind w:firstLine="420" w:firstLineChars="200"/>
        <w:contextualSpacing/>
        <w:rPr>
          <w:szCs w:val="21"/>
          <w:highlight w:val="none"/>
        </w:rPr>
      </w:pPr>
      <w:r>
        <w:rPr>
          <w:rFonts w:hint="eastAsia"/>
          <w:szCs w:val="21"/>
          <w:highlight w:val="none"/>
        </w:rPr>
        <w:t>（4）总价金额与按单价汇总金额不一致，以单价金额计算结果为准。</w:t>
      </w:r>
    </w:p>
    <w:p w14:paraId="3299E51D">
      <w:pPr>
        <w:spacing w:line="380" w:lineRule="exact"/>
        <w:ind w:firstLine="420" w:firstLineChars="200"/>
        <w:contextualSpacing/>
        <w:rPr>
          <w:szCs w:val="21"/>
          <w:highlight w:val="none"/>
        </w:rPr>
      </w:pPr>
      <w:r>
        <w:rPr>
          <w:rFonts w:hint="eastAsia"/>
          <w:szCs w:val="21"/>
          <w:highlight w:val="none"/>
        </w:rPr>
        <w:t>（5）政采云客户端填写的报价与以pdf格式上传文件中的报价不一致的，应以pdf格式上传文件中的报价为准。</w:t>
      </w:r>
    </w:p>
    <w:p w14:paraId="54F74BFF">
      <w:pPr>
        <w:spacing w:line="380" w:lineRule="exact"/>
        <w:ind w:firstLine="420" w:firstLineChars="200"/>
        <w:contextualSpacing/>
        <w:rPr>
          <w:szCs w:val="21"/>
          <w:highlight w:val="none"/>
        </w:rPr>
      </w:pPr>
      <w:r>
        <w:rPr>
          <w:rFonts w:hint="eastAsia"/>
          <w:szCs w:val="21"/>
          <w:highlight w:val="none"/>
        </w:rPr>
        <w:t>同时出现两种以上不一致的，按照前款规定的顺序修正。修正后的报价按照本须知的规定经投标人确认后产生约束力，投标人不确认的，其投标无效。</w:t>
      </w:r>
    </w:p>
    <w:p w14:paraId="2E2B53E6">
      <w:pPr>
        <w:spacing w:line="380" w:lineRule="exact"/>
        <w:ind w:firstLine="420" w:firstLineChars="200"/>
        <w:contextualSpacing/>
        <w:rPr>
          <w:szCs w:val="21"/>
          <w:highlight w:val="none"/>
        </w:rPr>
      </w:pPr>
      <w:r>
        <w:rPr>
          <w:szCs w:val="21"/>
          <w:highlight w:val="none"/>
        </w:rPr>
        <w:t>21</w:t>
      </w:r>
      <w:r>
        <w:rPr>
          <w:rFonts w:hint="eastAsia"/>
          <w:szCs w:val="21"/>
          <w:highlight w:val="none"/>
        </w:rPr>
        <w:t>.4</w:t>
      </w:r>
      <w:r>
        <w:rPr>
          <w:szCs w:val="21"/>
          <w:highlight w:val="none"/>
        </w:rPr>
        <w:t>评标委员会根据采购文件的《评标办法》及在《投标资料表》和《招标内容和要求》中所列的具体标准，对投标文件进行评审和比较。</w:t>
      </w:r>
    </w:p>
    <w:p w14:paraId="4F3E655C">
      <w:pPr>
        <w:spacing w:line="380" w:lineRule="exact"/>
        <w:contextualSpacing/>
        <w:rPr>
          <w:szCs w:val="21"/>
          <w:highlight w:val="none"/>
        </w:rPr>
      </w:pPr>
      <w:r>
        <w:rPr>
          <w:szCs w:val="21"/>
          <w:highlight w:val="none"/>
        </w:rPr>
        <w:t>22</w:t>
      </w:r>
      <w:r>
        <w:rPr>
          <w:rFonts w:hint="eastAsia"/>
          <w:szCs w:val="21"/>
          <w:highlight w:val="none"/>
        </w:rPr>
        <w:t>、澄清问题的形式</w:t>
      </w:r>
    </w:p>
    <w:p w14:paraId="27C36D37">
      <w:pPr>
        <w:spacing w:line="380" w:lineRule="exact"/>
        <w:ind w:firstLine="420" w:firstLineChars="200"/>
        <w:contextualSpacing/>
        <w:rPr>
          <w:szCs w:val="21"/>
          <w:highlight w:val="none"/>
        </w:rPr>
      </w:pPr>
      <w:r>
        <w:rPr>
          <w:rFonts w:hint="eastAsia"/>
          <w:szCs w:val="21"/>
          <w:highlight w:val="none"/>
        </w:rPr>
        <w:t>对于投标文件中含义不明确、同类问题表述不一致或者有明显文字和计算错误的内容，评标委员会应当以书面形式要求投标人作出必要的澄清、说明或者补正。</w:t>
      </w:r>
    </w:p>
    <w:p w14:paraId="0F4194F3">
      <w:pPr>
        <w:spacing w:line="380" w:lineRule="exact"/>
        <w:ind w:firstLine="420" w:firstLineChars="200"/>
        <w:contextualSpacing/>
        <w:rPr>
          <w:szCs w:val="21"/>
          <w:highlight w:val="none"/>
        </w:rPr>
      </w:pPr>
      <w:r>
        <w:rPr>
          <w:rFonts w:hint="eastAsia"/>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1FBEA12">
      <w:pPr>
        <w:spacing w:line="380" w:lineRule="exact"/>
        <w:contextualSpacing/>
        <w:rPr>
          <w:szCs w:val="21"/>
          <w:highlight w:val="none"/>
        </w:rPr>
      </w:pPr>
      <w:r>
        <w:rPr>
          <w:szCs w:val="21"/>
          <w:highlight w:val="none"/>
        </w:rPr>
        <w:t>23</w:t>
      </w:r>
      <w:r>
        <w:rPr>
          <w:rFonts w:hint="eastAsia"/>
          <w:szCs w:val="21"/>
          <w:highlight w:val="none"/>
        </w:rPr>
        <w:t>、</w:t>
      </w:r>
      <w:r>
        <w:rPr>
          <w:szCs w:val="21"/>
          <w:highlight w:val="none"/>
        </w:rPr>
        <w:t>评标办法</w:t>
      </w:r>
    </w:p>
    <w:p w14:paraId="184F8C6F">
      <w:pPr>
        <w:spacing w:line="380" w:lineRule="exact"/>
        <w:ind w:firstLine="420" w:firstLineChars="200"/>
        <w:contextualSpacing/>
        <w:rPr>
          <w:szCs w:val="21"/>
          <w:highlight w:val="none"/>
        </w:rPr>
      </w:pPr>
      <w:r>
        <w:rPr>
          <w:szCs w:val="21"/>
          <w:highlight w:val="none"/>
        </w:rPr>
        <w:t>23</w:t>
      </w:r>
      <w:r>
        <w:rPr>
          <w:rFonts w:hint="eastAsia"/>
          <w:szCs w:val="21"/>
          <w:highlight w:val="none"/>
        </w:rPr>
        <w:t>.1本项目</w:t>
      </w:r>
      <w:r>
        <w:rPr>
          <w:szCs w:val="21"/>
          <w:highlight w:val="none"/>
        </w:rPr>
        <w:t>采用综合评分法。本次招标采用的评标方法</w:t>
      </w:r>
      <w:r>
        <w:rPr>
          <w:rFonts w:hint="eastAsia"/>
          <w:szCs w:val="21"/>
          <w:highlight w:val="none"/>
        </w:rPr>
        <w:t>具体说明</w:t>
      </w:r>
      <w:r>
        <w:rPr>
          <w:szCs w:val="21"/>
          <w:highlight w:val="none"/>
        </w:rPr>
        <w:t>载明在采购文件</w:t>
      </w:r>
      <w:r>
        <w:rPr>
          <w:rFonts w:hint="eastAsia"/>
          <w:szCs w:val="21"/>
          <w:highlight w:val="none"/>
        </w:rPr>
        <w:t>“</w:t>
      </w:r>
      <w:r>
        <w:rPr>
          <w:szCs w:val="21"/>
          <w:highlight w:val="none"/>
        </w:rPr>
        <w:t>评标</w:t>
      </w:r>
      <w:r>
        <w:rPr>
          <w:rFonts w:hint="eastAsia"/>
          <w:szCs w:val="21"/>
          <w:highlight w:val="none"/>
        </w:rPr>
        <w:t>办法”</w:t>
      </w:r>
      <w:r>
        <w:rPr>
          <w:szCs w:val="21"/>
          <w:highlight w:val="none"/>
        </w:rPr>
        <w:t>部分中。</w:t>
      </w:r>
    </w:p>
    <w:p w14:paraId="3ECB3446">
      <w:pPr>
        <w:spacing w:line="380" w:lineRule="exact"/>
        <w:ind w:firstLine="420" w:firstLineChars="200"/>
        <w:contextualSpacing/>
        <w:rPr>
          <w:szCs w:val="21"/>
          <w:highlight w:val="none"/>
        </w:rPr>
      </w:pPr>
      <w:r>
        <w:rPr>
          <w:szCs w:val="21"/>
          <w:highlight w:val="none"/>
        </w:rPr>
        <w:t>23</w:t>
      </w:r>
      <w:r>
        <w:rPr>
          <w:rFonts w:hint="eastAsia"/>
          <w:szCs w:val="21"/>
          <w:highlight w:val="none"/>
        </w:rPr>
        <w:t>.2</w:t>
      </w:r>
      <w:r>
        <w:rPr>
          <w:szCs w:val="21"/>
          <w:highlight w:val="none"/>
        </w:rPr>
        <w:t>综合评分法：</w:t>
      </w:r>
    </w:p>
    <w:p w14:paraId="14A132E1">
      <w:pPr>
        <w:spacing w:line="380" w:lineRule="exact"/>
        <w:ind w:firstLine="420" w:firstLineChars="200"/>
        <w:contextualSpacing/>
        <w:rPr>
          <w:szCs w:val="21"/>
          <w:highlight w:val="none"/>
        </w:rPr>
      </w:pPr>
      <w:r>
        <w:rPr>
          <w:rFonts w:hint="eastAsia"/>
          <w:szCs w:val="21"/>
          <w:highlight w:val="none"/>
        </w:rPr>
        <w:t>投标文件满足采购文件全部实质性要求，且按照评审因素的量化指标评审得分最高的投标人为中标候选人的评标方法。</w:t>
      </w:r>
    </w:p>
    <w:p w14:paraId="0729A63A">
      <w:pPr>
        <w:spacing w:line="380" w:lineRule="exact"/>
        <w:contextualSpacing/>
        <w:rPr>
          <w:szCs w:val="21"/>
          <w:highlight w:val="none"/>
        </w:rPr>
      </w:pPr>
      <w:r>
        <w:rPr>
          <w:szCs w:val="21"/>
          <w:highlight w:val="none"/>
        </w:rPr>
        <w:t>24</w:t>
      </w:r>
      <w:r>
        <w:rPr>
          <w:rFonts w:hint="eastAsia"/>
          <w:szCs w:val="21"/>
          <w:highlight w:val="none"/>
        </w:rPr>
        <w:t>、</w:t>
      </w:r>
      <w:r>
        <w:rPr>
          <w:szCs w:val="21"/>
          <w:highlight w:val="none"/>
        </w:rPr>
        <w:t>评标程序和原则</w:t>
      </w:r>
    </w:p>
    <w:p w14:paraId="63DAB34B">
      <w:pPr>
        <w:spacing w:line="380" w:lineRule="exact"/>
        <w:ind w:firstLine="420" w:firstLineChars="200"/>
        <w:contextualSpacing/>
        <w:rPr>
          <w:szCs w:val="21"/>
          <w:highlight w:val="none"/>
        </w:rPr>
      </w:pPr>
      <w:r>
        <w:rPr>
          <w:szCs w:val="21"/>
          <w:highlight w:val="none"/>
        </w:rPr>
        <w:t>24</w:t>
      </w:r>
      <w:r>
        <w:rPr>
          <w:rFonts w:hint="eastAsia"/>
          <w:szCs w:val="21"/>
          <w:highlight w:val="none"/>
        </w:rPr>
        <w:t>.1</w:t>
      </w:r>
      <w:r>
        <w:rPr>
          <w:szCs w:val="21"/>
          <w:highlight w:val="none"/>
        </w:rPr>
        <w:t>评标程序：遵循初步审查、澄清有关问题、比较与评价、推荐中标候选人的程序依次进行。</w:t>
      </w:r>
    </w:p>
    <w:p w14:paraId="581D353D">
      <w:pPr>
        <w:spacing w:line="380" w:lineRule="exact"/>
        <w:ind w:firstLine="420" w:firstLineChars="200"/>
        <w:contextualSpacing/>
        <w:rPr>
          <w:szCs w:val="21"/>
          <w:highlight w:val="none"/>
        </w:rPr>
      </w:pPr>
      <w:r>
        <w:rPr>
          <w:szCs w:val="21"/>
          <w:highlight w:val="none"/>
        </w:rPr>
        <w:t>24</w:t>
      </w:r>
      <w:r>
        <w:rPr>
          <w:rFonts w:hint="eastAsia"/>
          <w:szCs w:val="21"/>
          <w:highlight w:val="none"/>
        </w:rPr>
        <w:t>.2</w:t>
      </w:r>
      <w:r>
        <w:rPr>
          <w:szCs w:val="21"/>
          <w:highlight w:val="none"/>
        </w:rPr>
        <w:t>初步审查</w:t>
      </w:r>
      <w:r>
        <w:rPr>
          <w:rFonts w:hint="eastAsia"/>
          <w:szCs w:val="21"/>
          <w:highlight w:val="none"/>
        </w:rPr>
        <w:t>：</w:t>
      </w:r>
      <w:r>
        <w:rPr>
          <w:szCs w:val="21"/>
          <w:highlight w:val="none"/>
        </w:rPr>
        <w:t>包含资格性审查和符合性审查。初步审查不合格者不进入澄清有关问题及后续的评标程序。</w:t>
      </w:r>
    </w:p>
    <w:p w14:paraId="73903BB3">
      <w:pPr>
        <w:spacing w:line="380" w:lineRule="exact"/>
        <w:ind w:firstLine="315" w:firstLineChars="150"/>
        <w:contextualSpacing/>
        <w:rPr>
          <w:szCs w:val="21"/>
          <w:highlight w:val="none"/>
        </w:rPr>
      </w:pPr>
      <w:r>
        <w:rPr>
          <w:rFonts w:hint="eastAsia"/>
          <w:szCs w:val="21"/>
          <w:highlight w:val="none"/>
        </w:rPr>
        <w:t>（1</w:t>
      </w:r>
      <w:r>
        <w:rPr>
          <w:szCs w:val="21"/>
          <w:highlight w:val="none"/>
        </w:rPr>
        <w:t>）资格性审查：</w:t>
      </w:r>
    </w:p>
    <w:p w14:paraId="7F4F3A5C">
      <w:pPr>
        <w:spacing w:line="380" w:lineRule="exact"/>
        <w:ind w:firstLine="420" w:firstLineChars="200"/>
        <w:contextualSpacing/>
        <w:rPr>
          <w:szCs w:val="21"/>
          <w:highlight w:val="none"/>
        </w:rPr>
      </w:pPr>
      <w:r>
        <w:rPr>
          <w:szCs w:val="21"/>
          <w:highlight w:val="none"/>
        </w:rPr>
        <w:t>依据法律法规和采购文件的规定，</w:t>
      </w:r>
      <w:r>
        <w:rPr>
          <w:rFonts w:hint="eastAsia"/>
          <w:szCs w:val="21"/>
          <w:highlight w:val="none"/>
        </w:rPr>
        <w:t>采购人或采购代理机构</w:t>
      </w:r>
      <w:r>
        <w:rPr>
          <w:szCs w:val="21"/>
          <w:highlight w:val="none"/>
        </w:rPr>
        <w:t>对其资格证明文件齐全性和有效性等方面进行审查，以确定投标人是否具备投标资格。</w:t>
      </w:r>
    </w:p>
    <w:p w14:paraId="1D7ED0D6">
      <w:pPr>
        <w:spacing w:line="380" w:lineRule="exact"/>
        <w:ind w:firstLine="420" w:firstLineChars="200"/>
        <w:contextualSpacing/>
        <w:rPr>
          <w:szCs w:val="21"/>
          <w:highlight w:val="none"/>
        </w:rPr>
      </w:pPr>
      <w:r>
        <w:rPr>
          <w:rFonts w:hint="eastAsia"/>
          <w:szCs w:val="21"/>
          <w:highlight w:val="none"/>
        </w:rPr>
        <w:t>（2）</w:t>
      </w:r>
      <w:r>
        <w:rPr>
          <w:szCs w:val="21"/>
          <w:highlight w:val="none"/>
        </w:rPr>
        <w:t>符合性检查：</w:t>
      </w:r>
    </w:p>
    <w:p w14:paraId="251E6D7F">
      <w:pPr>
        <w:spacing w:line="380" w:lineRule="exact"/>
        <w:ind w:firstLine="420" w:firstLineChars="200"/>
        <w:contextualSpacing/>
        <w:rPr>
          <w:szCs w:val="21"/>
          <w:highlight w:val="none"/>
        </w:rPr>
      </w:pPr>
      <w:r>
        <w:rPr>
          <w:szCs w:val="21"/>
          <w:highlight w:val="none"/>
        </w:rPr>
        <w:t>依据采购文件的规定，</w:t>
      </w:r>
      <w:r>
        <w:rPr>
          <w:rFonts w:hint="eastAsia"/>
          <w:szCs w:val="21"/>
          <w:highlight w:val="none"/>
        </w:rPr>
        <w:t>评标委员会</w:t>
      </w:r>
      <w:r>
        <w:rPr>
          <w:szCs w:val="21"/>
          <w:highlight w:val="none"/>
        </w:rPr>
        <w:t>从投标文件的有效性、完整性和对采购文件的响应程度进行审查，以确定是否对采购文件的要求作出实质性响应。</w:t>
      </w:r>
    </w:p>
    <w:p w14:paraId="1B5B6D1E">
      <w:pPr>
        <w:spacing w:line="380" w:lineRule="exact"/>
        <w:ind w:firstLine="420" w:firstLineChars="200"/>
        <w:contextualSpacing/>
        <w:rPr>
          <w:szCs w:val="21"/>
          <w:highlight w:val="none"/>
        </w:rPr>
      </w:pPr>
      <w:r>
        <w:rPr>
          <w:szCs w:val="21"/>
          <w:highlight w:val="none"/>
        </w:rPr>
        <w:t>24</w:t>
      </w:r>
      <w:r>
        <w:rPr>
          <w:rFonts w:hint="eastAsia"/>
          <w:szCs w:val="21"/>
          <w:highlight w:val="none"/>
        </w:rPr>
        <w:t>.3</w:t>
      </w:r>
      <w:r>
        <w:rPr>
          <w:szCs w:val="21"/>
          <w:highlight w:val="none"/>
        </w:rPr>
        <w:t>澄清有关问题：按第22条规定进行。</w:t>
      </w:r>
    </w:p>
    <w:p w14:paraId="1D75D26B">
      <w:pPr>
        <w:spacing w:line="380" w:lineRule="exact"/>
        <w:ind w:firstLine="420" w:firstLineChars="200"/>
        <w:contextualSpacing/>
        <w:rPr>
          <w:szCs w:val="21"/>
          <w:highlight w:val="none"/>
        </w:rPr>
      </w:pPr>
      <w:r>
        <w:rPr>
          <w:szCs w:val="21"/>
          <w:highlight w:val="none"/>
        </w:rPr>
        <w:t>24</w:t>
      </w:r>
      <w:r>
        <w:rPr>
          <w:rFonts w:hint="eastAsia"/>
          <w:szCs w:val="21"/>
          <w:highlight w:val="none"/>
        </w:rPr>
        <w:t>.4</w:t>
      </w:r>
      <w:r>
        <w:rPr>
          <w:szCs w:val="21"/>
          <w:highlight w:val="none"/>
        </w:rPr>
        <w:t>比较与评价：</w:t>
      </w:r>
    </w:p>
    <w:p w14:paraId="4C162764">
      <w:pPr>
        <w:spacing w:line="380" w:lineRule="exact"/>
        <w:ind w:firstLine="420" w:firstLineChars="200"/>
        <w:contextualSpacing/>
        <w:rPr>
          <w:szCs w:val="21"/>
          <w:highlight w:val="none"/>
        </w:rPr>
      </w:pPr>
      <w:r>
        <w:rPr>
          <w:szCs w:val="21"/>
          <w:highlight w:val="none"/>
        </w:rPr>
        <w:t>24</w:t>
      </w:r>
      <w:r>
        <w:rPr>
          <w:rFonts w:hint="eastAsia"/>
          <w:szCs w:val="21"/>
          <w:highlight w:val="none"/>
        </w:rPr>
        <w:t>.4.1</w:t>
      </w:r>
      <w:r>
        <w:rPr>
          <w:szCs w:val="21"/>
          <w:highlight w:val="none"/>
        </w:rPr>
        <w:t>技术</w:t>
      </w:r>
      <w:r>
        <w:rPr>
          <w:rFonts w:hint="eastAsia"/>
          <w:szCs w:val="21"/>
          <w:highlight w:val="none"/>
        </w:rPr>
        <w:t>商务</w:t>
      </w:r>
      <w:r>
        <w:rPr>
          <w:szCs w:val="21"/>
          <w:highlight w:val="none"/>
        </w:rPr>
        <w:t>评价：按照采购文件的要求和</w:t>
      </w:r>
      <w:r>
        <w:rPr>
          <w:rFonts w:hint="eastAsia"/>
          <w:szCs w:val="21"/>
          <w:highlight w:val="none"/>
        </w:rPr>
        <w:t>《</w:t>
      </w:r>
      <w:r>
        <w:rPr>
          <w:szCs w:val="21"/>
          <w:highlight w:val="none"/>
        </w:rPr>
        <w:t>评标</w:t>
      </w:r>
      <w:r>
        <w:rPr>
          <w:rFonts w:hint="eastAsia"/>
          <w:szCs w:val="21"/>
          <w:highlight w:val="none"/>
        </w:rPr>
        <w:t>标准》</w:t>
      </w:r>
      <w:r>
        <w:rPr>
          <w:szCs w:val="21"/>
          <w:highlight w:val="none"/>
        </w:rPr>
        <w:t>对照投标文件的响应进行</w:t>
      </w:r>
      <w:r>
        <w:rPr>
          <w:rFonts w:hint="eastAsia"/>
          <w:szCs w:val="21"/>
          <w:highlight w:val="none"/>
        </w:rPr>
        <w:t>技术商务</w:t>
      </w:r>
      <w:r>
        <w:rPr>
          <w:szCs w:val="21"/>
          <w:highlight w:val="none"/>
        </w:rPr>
        <w:t>评价，评定其偏差程度，并计算其相应的</w:t>
      </w:r>
      <w:r>
        <w:rPr>
          <w:rFonts w:hint="eastAsia"/>
          <w:szCs w:val="21"/>
          <w:highlight w:val="none"/>
        </w:rPr>
        <w:t>技术商务评分</w:t>
      </w:r>
      <w:r>
        <w:rPr>
          <w:szCs w:val="21"/>
          <w:highlight w:val="none"/>
        </w:rPr>
        <w:t>分值。</w:t>
      </w:r>
    </w:p>
    <w:p w14:paraId="08F1FCFA">
      <w:pPr>
        <w:spacing w:line="380" w:lineRule="exact"/>
        <w:ind w:firstLine="420" w:firstLineChars="200"/>
        <w:contextualSpacing/>
        <w:rPr>
          <w:szCs w:val="21"/>
          <w:highlight w:val="none"/>
        </w:rPr>
      </w:pPr>
      <w:r>
        <w:rPr>
          <w:szCs w:val="21"/>
          <w:highlight w:val="none"/>
        </w:rPr>
        <w:t>24</w:t>
      </w:r>
      <w:r>
        <w:rPr>
          <w:rFonts w:hint="eastAsia"/>
          <w:szCs w:val="21"/>
          <w:highlight w:val="none"/>
        </w:rPr>
        <w:t>.4.2</w:t>
      </w:r>
      <w:r>
        <w:rPr>
          <w:szCs w:val="21"/>
          <w:highlight w:val="none"/>
        </w:rPr>
        <w:t>综合评价：对经过技术</w:t>
      </w:r>
      <w:r>
        <w:rPr>
          <w:rFonts w:hint="eastAsia"/>
          <w:szCs w:val="21"/>
          <w:highlight w:val="none"/>
        </w:rPr>
        <w:t>商务</w:t>
      </w:r>
      <w:r>
        <w:rPr>
          <w:szCs w:val="21"/>
          <w:highlight w:val="none"/>
        </w:rPr>
        <w:t>评价的投标，按</w:t>
      </w:r>
      <w:r>
        <w:rPr>
          <w:rFonts w:hint="eastAsia"/>
          <w:szCs w:val="21"/>
          <w:highlight w:val="none"/>
        </w:rPr>
        <w:t>《</w:t>
      </w:r>
      <w:r>
        <w:rPr>
          <w:szCs w:val="21"/>
          <w:highlight w:val="none"/>
        </w:rPr>
        <w:t>评标标准</w:t>
      </w:r>
      <w:r>
        <w:rPr>
          <w:rFonts w:hint="eastAsia"/>
          <w:szCs w:val="21"/>
          <w:highlight w:val="none"/>
        </w:rPr>
        <w:t>》</w:t>
      </w:r>
      <w:r>
        <w:rPr>
          <w:szCs w:val="21"/>
          <w:highlight w:val="none"/>
        </w:rPr>
        <w:t>规定的评价办法进行综合评价，并按以下原则进行评审计算：</w:t>
      </w:r>
    </w:p>
    <w:p w14:paraId="4682A789">
      <w:pPr>
        <w:spacing w:line="380" w:lineRule="exact"/>
        <w:ind w:firstLine="420" w:firstLineChars="200"/>
        <w:contextualSpacing/>
        <w:rPr>
          <w:szCs w:val="21"/>
          <w:highlight w:val="none"/>
        </w:rPr>
      </w:pPr>
      <w:r>
        <w:rPr>
          <w:szCs w:val="21"/>
          <w:highlight w:val="none"/>
        </w:rPr>
        <w:t>综合评分法的</w:t>
      </w:r>
      <w:r>
        <w:rPr>
          <w:rFonts w:hint="eastAsia"/>
          <w:szCs w:val="21"/>
          <w:highlight w:val="none"/>
        </w:rPr>
        <w:t>最终</w:t>
      </w:r>
      <w:r>
        <w:rPr>
          <w:szCs w:val="21"/>
          <w:highlight w:val="none"/>
        </w:rPr>
        <w:t>得分计算：综合得分=</w:t>
      </w:r>
      <w:r>
        <w:rPr>
          <w:rFonts w:hint="eastAsia"/>
          <w:szCs w:val="21"/>
          <w:highlight w:val="none"/>
        </w:rPr>
        <w:t>报价</w:t>
      </w:r>
      <w:r>
        <w:rPr>
          <w:szCs w:val="21"/>
          <w:highlight w:val="none"/>
        </w:rPr>
        <w:t>得分+技术</w:t>
      </w:r>
      <w:r>
        <w:rPr>
          <w:rFonts w:hint="eastAsia"/>
          <w:szCs w:val="21"/>
          <w:highlight w:val="none"/>
        </w:rPr>
        <w:t>商务</w:t>
      </w:r>
      <w:r>
        <w:rPr>
          <w:szCs w:val="21"/>
          <w:highlight w:val="none"/>
        </w:rPr>
        <w:t>评审得分</w:t>
      </w:r>
    </w:p>
    <w:p w14:paraId="1D620CC3">
      <w:pPr>
        <w:spacing w:line="380" w:lineRule="exact"/>
        <w:ind w:firstLine="420" w:firstLineChars="200"/>
        <w:contextualSpacing/>
        <w:rPr>
          <w:szCs w:val="21"/>
          <w:highlight w:val="none"/>
        </w:rPr>
      </w:pPr>
      <w:r>
        <w:rPr>
          <w:szCs w:val="21"/>
          <w:highlight w:val="none"/>
        </w:rPr>
        <w:t>综合评价结束，按照上述第23条规定，列出进入最终评审各投标</w:t>
      </w:r>
      <w:r>
        <w:rPr>
          <w:rFonts w:hint="eastAsia"/>
          <w:szCs w:val="21"/>
          <w:highlight w:val="none"/>
        </w:rPr>
        <w:t>人</w:t>
      </w:r>
      <w:r>
        <w:rPr>
          <w:szCs w:val="21"/>
          <w:highlight w:val="none"/>
        </w:rPr>
        <w:t>排序次序。</w:t>
      </w:r>
    </w:p>
    <w:p w14:paraId="55904E16">
      <w:pPr>
        <w:spacing w:line="380" w:lineRule="exact"/>
        <w:ind w:firstLine="420" w:firstLineChars="200"/>
        <w:contextualSpacing/>
        <w:rPr>
          <w:szCs w:val="21"/>
          <w:highlight w:val="none"/>
        </w:rPr>
      </w:pPr>
      <w:r>
        <w:rPr>
          <w:szCs w:val="21"/>
          <w:highlight w:val="none"/>
        </w:rPr>
        <w:t>24</w:t>
      </w:r>
      <w:r>
        <w:rPr>
          <w:rFonts w:hint="eastAsia"/>
          <w:szCs w:val="21"/>
          <w:highlight w:val="none"/>
        </w:rPr>
        <w:t>.5</w:t>
      </w:r>
      <w:r>
        <w:rPr>
          <w:szCs w:val="21"/>
          <w:highlight w:val="none"/>
        </w:rPr>
        <w:t>推荐中标</w:t>
      </w:r>
      <w:r>
        <w:rPr>
          <w:rFonts w:hint="eastAsia"/>
          <w:szCs w:val="21"/>
          <w:highlight w:val="none"/>
        </w:rPr>
        <w:t>候选人</w:t>
      </w:r>
      <w:r>
        <w:rPr>
          <w:szCs w:val="21"/>
          <w:highlight w:val="none"/>
        </w:rPr>
        <w:t>：按25条规定推荐中标</w:t>
      </w:r>
      <w:r>
        <w:rPr>
          <w:rFonts w:hint="eastAsia"/>
          <w:szCs w:val="21"/>
          <w:highlight w:val="none"/>
        </w:rPr>
        <w:t>候选人</w:t>
      </w:r>
      <w:r>
        <w:rPr>
          <w:szCs w:val="21"/>
          <w:highlight w:val="none"/>
        </w:rPr>
        <w:t>。</w:t>
      </w:r>
    </w:p>
    <w:p w14:paraId="1C107324">
      <w:pPr>
        <w:spacing w:line="380" w:lineRule="exact"/>
        <w:contextualSpacing/>
        <w:rPr>
          <w:szCs w:val="21"/>
          <w:highlight w:val="none"/>
        </w:rPr>
      </w:pPr>
      <w:r>
        <w:rPr>
          <w:szCs w:val="21"/>
          <w:highlight w:val="none"/>
        </w:rPr>
        <w:t>25</w:t>
      </w:r>
      <w:r>
        <w:rPr>
          <w:rFonts w:hint="eastAsia"/>
          <w:szCs w:val="21"/>
          <w:highlight w:val="none"/>
        </w:rPr>
        <w:t>、</w:t>
      </w:r>
      <w:r>
        <w:rPr>
          <w:szCs w:val="21"/>
          <w:highlight w:val="none"/>
        </w:rPr>
        <w:t>推荐中标</w:t>
      </w:r>
      <w:r>
        <w:rPr>
          <w:rFonts w:hint="eastAsia"/>
          <w:szCs w:val="21"/>
          <w:highlight w:val="none"/>
        </w:rPr>
        <w:t>候选人</w:t>
      </w:r>
    </w:p>
    <w:p w14:paraId="3E1DFB0E">
      <w:pPr>
        <w:spacing w:line="380" w:lineRule="exact"/>
        <w:ind w:firstLine="420" w:firstLineChars="200"/>
        <w:contextualSpacing/>
        <w:rPr>
          <w:szCs w:val="21"/>
          <w:highlight w:val="none"/>
        </w:rPr>
      </w:pPr>
      <w:r>
        <w:rPr>
          <w:rFonts w:hint="eastAsia"/>
          <w:szCs w:val="21"/>
          <w:highlight w:val="none"/>
        </w:rPr>
        <w:t>评标委员会根据各有效投标人的综合得分由高到低排定顺序，推荐本项目的中标候选人。</w:t>
      </w:r>
    </w:p>
    <w:p w14:paraId="1F350CCC">
      <w:pPr>
        <w:spacing w:line="380" w:lineRule="exact"/>
        <w:contextualSpacing/>
        <w:rPr>
          <w:szCs w:val="21"/>
          <w:highlight w:val="none"/>
        </w:rPr>
      </w:pPr>
      <w:r>
        <w:rPr>
          <w:szCs w:val="21"/>
          <w:highlight w:val="none"/>
        </w:rPr>
        <w:t>26</w:t>
      </w:r>
      <w:r>
        <w:rPr>
          <w:rFonts w:hint="eastAsia"/>
          <w:szCs w:val="21"/>
          <w:highlight w:val="none"/>
        </w:rPr>
        <w:t>、</w:t>
      </w:r>
      <w:r>
        <w:rPr>
          <w:szCs w:val="21"/>
          <w:highlight w:val="none"/>
        </w:rPr>
        <w:t>招标方式</w:t>
      </w:r>
      <w:r>
        <w:rPr>
          <w:rFonts w:hint="eastAsia"/>
          <w:szCs w:val="21"/>
          <w:highlight w:val="none"/>
        </w:rPr>
        <w:t>转换</w:t>
      </w:r>
    </w:p>
    <w:p w14:paraId="5138B73D">
      <w:pPr>
        <w:spacing w:line="380" w:lineRule="exact"/>
        <w:ind w:firstLine="420" w:firstLineChars="200"/>
        <w:contextualSpacing/>
        <w:rPr>
          <w:szCs w:val="21"/>
          <w:highlight w:val="none"/>
        </w:rPr>
      </w:pPr>
      <w:r>
        <w:rPr>
          <w:rFonts w:hint="eastAsia"/>
          <w:szCs w:val="21"/>
          <w:highlight w:val="none"/>
        </w:rPr>
        <w:t>公开招标数额标准以上的招标项目，投标截止后投标人不足3家或者通过资格审查或符合性审查的投标人不足3家的，除招标任务取消情形外，按照以下方式处理： </w:t>
      </w:r>
    </w:p>
    <w:p w14:paraId="07DA83CB">
      <w:pPr>
        <w:spacing w:line="380" w:lineRule="exact"/>
        <w:ind w:firstLine="420" w:firstLineChars="200"/>
        <w:contextualSpacing/>
        <w:rPr>
          <w:szCs w:val="21"/>
          <w:highlight w:val="none"/>
        </w:rPr>
      </w:pPr>
      <w:r>
        <w:rPr>
          <w:szCs w:val="21"/>
          <w:highlight w:val="none"/>
        </w:rPr>
        <w:t>26</w:t>
      </w:r>
      <w:r>
        <w:rPr>
          <w:rFonts w:hint="eastAsia"/>
          <w:szCs w:val="21"/>
          <w:highlight w:val="none"/>
        </w:rPr>
        <w:t>.1采购文件存在不合理条款或者招标程序不符合规定的，采购人、采购代理机构改正后依法重新招标; </w:t>
      </w:r>
    </w:p>
    <w:p w14:paraId="64FEB40C">
      <w:pPr>
        <w:spacing w:line="380" w:lineRule="exact"/>
        <w:ind w:firstLine="420" w:firstLineChars="200"/>
        <w:contextualSpacing/>
        <w:rPr>
          <w:szCs w:val="21"/>
          <w:highlight w:val="none"/>
        </w:rPr>
      </w:pPr>
      <w:r>
        <w:rPr>
          <w:szCs w:val="21"/>
          <w:highlight w:val="none"/>
        </w:rPr>
        <w:t>26</w:t>
      </w:r>
      <w:r>
        <w:rPr>
          <w:rFonts w:hint="eastAsia"/>
          <w:szCs w:val="21"/>
          <w:highlight w:val="none"/>
        </w:rPr>
        <w:t>.2采购文件没有不合理条款、招标程序符合规定，需要采用其他招标方式招标的，采购人依法报监管部门批准。 </w:t>
      </w:r>
    </w:p>
    <w:p w14:paraId="1A4E1E22">
      <w:pPr>
        <w:spacing w:line="380" w:lineRule="exact"/>
        <w:contextualSpacing/>
        <w:rPr>
          <w:szCs w:val="21"/>
          <w:highlight w:val="none"/>
        </w:rPr>
      </w:pPr>
      <w:r>
        <w:rPr>
          <w:szCs w:val="21"/>
          <w:highlight w:val="none"/>
        </w:rPr>
        <w:t>27</w:t>
      </w:r>
      <w:r>
        <w:rPr>
          <w:rFonts w:hint="eastAsia"/>
          <w:szCs w:val="21"/>
          <w:highlight w:val="none"/>
        </w:rPr>
        <w:t>、评标过程的监控与保密</w:t>
      </w:r>
    </w:p>
    <w:p w14:paraId="41E6B5CC">
      <w:pPr>
        <w:spacing w:line="380" w:lineRule="exact"/>
        <w:ind w:firstLine="420" w:firstLineChars="200"/>
        <w:contextualSpacing/>
        <w:rPr>
          <w:szCs w:val="21"/>
          <w:highlight w:val="none"/>
        </w:rPr>
      </w:pPr>
      <w:r>
        <w:rPr>
          <w:szCs w:val="21"/>
          <w:highlight w:val="none"/>
        </w:rPr>
        <w:t>27</w:t>
      </w:r>
      <w:r>
        <w:rPr>
          <w:rFonts w:hint="eastAsia"/>
          <w:szCs w:val="21"/>
          <w:highlight w:val="none"/>
        </w:rPr>
        <w:t>.1本项目评标过程实行全程录音、录像监控，投标人在评标过程中所进行的试图影响评标结果的不公正活动，可能导致其投标被拒绝。</w:t>
      </w:r>
    </w:p>
    <w:p w14:paraId="4AD93CD5">
      <w:pPr>
        <w:spacing w:line="380" w:lineRule="exact"/>
        <w:ind w:firstLine="420" w:firstLineChars="200"/>
        <w:contextualSpacing/>
        <w:rPr>
          <w:szCs w:val="21"/>
          <w:highlight w:val="none"/>
        </w:rPr>
      </w:pPr>
      <w:r>
        <w:rPr>
          <w:szCs w:val="21"/>
          <w:highlight w:val="none"/>
        </w:rPr>
        <w:t>27</w:t>
      </w:r>
      <w:r>
        <w:rPr>
          <w:rFonts w:hint="eastAsia"/>
          <w:szCs w:val="21"/>
          <w:highlight w:val="none"/>
        </w:rPr>
        <w:t>.2开标后到中标通知书发出之前，所有涉及评标委员会名单以及对投标文件的澄清、评价、比较等情况，评标委员会成员、采购人和采购代理机构的有关人员均不得向投标人或其他无关人员透露。</w:t>
      </w:r>
    </w:p>
    <w:p w14:paraId="0AFF9C89">
      <w:pPr>
        <w:spacing w:line="380" w:lineRule="exact"/>
        <w:contextualSpacing/>
        <w:rPr>
          <w:szCs w:val="21"/>
          <w:highlight w:val="none"/>
        </w:rPr>
      </w:pPr>
      <w:r>
        <w:rPr>
          <w:szCs w:val="21"/>
          <w:highlight w:val="none"/>
        </w:rPr>
        <w:t>28</w:t>
      </w:r>
      <w:r>
        <w:rPr>
          <w:rFonts w:hint="eastAsia"/>
          <w:szCs w:val="21"/>
          <w:highlight w:val="none"/>
        </w:rPr>
        <w:t>、确定中标人、评标结果公示与质疑</w:t>
      </w:r>
    </w:p>
    <w:p w14:paraId="0B24EF7E">
      <w:pPr>
        <w:spacing w:line="380" w:lineRule="exact"/>
        <w:ind w:firstLine="420" w:firstLineChars="200"/>
        <w:contextualSpacing/>
        <w:rPr>
          <w:szCs w:val="21"/>
          <w:highlight w:val="none"/>
        </w:rPr>
      </w:pPr>
      <w:r>
        <w:rPr>
          <w:szCs w:val="21"/>
          <w:highlight w:val="none"/>
        </w:rPr>
        <w:t>28</w:t>
      </w:r>
      <w:r>
        <w:rPr>
          <w:rFonts w:hint="eastAsia"/>
          <w:szCs w:val="21"/>
          <w:highlight w:val="none"/>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23045F56">
      <w:pPr>
        <w:spacing w:line="380" w:lineRule="exact"/>
        <w:ind w:firstLine="420" w:firstLineChars="200"/>
        <w:contextualSpacing/>
        <w:rPr>
          <w:szCs w:val="21"/>
          <w:highlight w:val="none"/>
        </w:rPr>
      </w:pPr>
      <w:r>
        <w:rPr>
          <w:szCs w:val="21"/>
          <w:highlight w:val="none"/>
        </w:rPr>
        <w:t>28</w:t>
      </w:r>
      <w:r>
        <w:rPr>
          <w:rFonts w:hint="eastAsia"/>
          <w:szCs w:val="21"/>
          <w:highlight w:val="none"/>
        </w:rPr>
        <w:t>.2代理机构自中标人确定之日起2个工作日内，在发布招标公告的网站上对中标结果进行公示，中标结果公告期限为1个工作日。</w:t>
      </w:r>
    </w:p>
    <w:p w14:paraId="79CA204F">
      <w:pPr>
        <w:spacing w:line="380" w:lineRule="exact"/>
        <w:ind w:firstLine="420" w:firstLineChars="200"/>
        <w:contextualSpacing/>
        <w:rPr>
          <w:szCs w:val="21"/>
          <w:highlight w:val="none"/>
        </w:rPr>
      </w:pPr>
      <w:r>
        <w:rPr>
          <w:szCs w:val="21"/>
          <w:highlight w:val="none"/>
        </w:rPr>
        <w:t>28</w:t>
      </w:r>
      <w:r>
        <w:rPr>
          <w:rFonts w:hint="eastAsia"/>
          <w:szCs w:val="21"/>
          <w:highlight w:val="none"/>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bookmarkEnd w:id="36"/>
      <w:bookmarkEnd w:id="37"/>
      <w:bookmarkEnd w:id="38"/>
      <w:bookmarkEnd w:id="39"/>
    </w:p>
    <w:p w14:paraId="5A466E22">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八、无效投标认定</w:t>
      </w:r>
    </w:p>
    <w:p w14:paraId="5AFBFCDF">
      <w:pPr>
        <w:spacing w:line="380" w:lineRule="exact"/>
        <w:contextualSpacing/>
        <w:rPr>
          <w:szCs w:val="21"/>
          <w:highlight w:val="none"/>
        </w:rPr>
      </w:pPr>
      <w:bookmarkStart w:id="40" w:name="_Toc425780301"/>
      <w:bookmarkStart w:id="41" w:name="_Toc430790238"/>
      <w:bookmarkStart w:id="42" w:name="_Toc425151757"/>
      <w:bookmarkStart w:id="43" w:name="_Toc429407717"/>
      <w:r>
        <w:rPr>
          <w:szCs w:val="21"/>
          <w:highlight w:val="none"/>
        </w:rPr>
        <w:t>29</w:t>
      </w:r>
      <w:r>
        <w:rPr>
          <w:rFonts w:hint="eastAsia"/>
          <w:szCs w:val="21"/>
          <w:highlight w:val="none"/>
        </w:rPr>
        <w:t>、实质上没有响应采购文件要求的投标将被视为无效投标。</w:t>
      </w:r>
    </w:p>
    <w:p w14:paraId="1020CDC8">
      <w:pPr>
        <w:spacing w:line="380" w:lineRule="exact"/>
        <w:ind w:firstLine="420" w:firstLineChars="200"/>
        <w:contextualSpacing/>
        <w:rPr>
          <w:szCs w:val="21"/>
          <w:highlight w:val="none"/>
        </w:rPr>
      </w:pPr>
      <w:r>
        <w:rPr>
          <w:szCs w:val="21"/>
          <w:highlight w:val="none"/>
        </w:rPr>
        <w:t>29</w:t>
      </w:r>
      <w:r>
        <w:rPr>
          <w:rFonts w:hint="eastAsia"/>
          <w:szCs w:val="21"/>
          <w:highlight w:val="none"/>
        </w:rPr>
        <w:t>.1在资格审查时，不具备采购文件中规定的资格要求的，或者资格证明文件不全的，投标文件将被视为无效。</w:t>
      </w:r>
    </w:p>
    <w:p w14:paraId="5583322B">
      <w:pPr>
        <w:spacing w:line="380" w:lineRule="exact"/>
        <w:ind w:firstLine="420" w:firstLineChars="200"/>
        <w:contextualSpacing/>
        <w:rPr>
          <w:szCs w:val="21"/>
          <w:highlight w:val="none"/>
        </w:rPr>
      </w:pPr>
      <w:r>
        <w:rPr>
          <w:szCs w:val="21"/>
          <w:highlight w:val="none"/>
        </w:rPr>
        <w:t>29</w:t>
      </w:r>
      <w:r>
        <w:rPr>
          <w:rFonts w:hint="eastAsia"/>
          <w:szCs w:val="21"/>
          <w:highlight w:val="none"/>
        </w:rPr>
        <w:t>.2</w:t>
      </w:r>
      <w:r>
        <w:rPr>
          <w:szCs w:val="21"/>
          <w:highlight w:val="none"/>
        </w:rPr>
        <w:t>在符合性审查时，如发现下列情形之一的，投标文件将被视为无效：</w:t>
      </w:r>
    </w:p>
    <w:p w14:paraId="25288486">
      <w:pPr>
        <w:pStyle w:val="19"/>
        <w:ind w:right="-252" w:firstLine="411" w:firstLineChars="196"/>
        <w:contextualSpacing/>
        <w:rPr>
          <w:rFonts w:eastAsia="宋体"/>
          <w:sz w:val="21"/>
          <w:szCs w:val="21"/>
          <w:highlight w:val="none"/>
        </w:rPr>
      </w:pPr>
      <w:r>
        <w:rPr>
          <w:rFonts w:hint="eastAsia" w:eastAsia="宋体"/>
          <w:sz w:val="21"/>
          <w:szCs w:val="21"/>
          <w:highlight w:val="none"/>
        </w:rPr>
        <w:t>（1）投标文件未按采购文件要求签署、签章的（不影响投标文件法律效力的除外）；</w:t>
      </w:r>
    </w:p>
    <w:p w14:paraId="1E70C78C">
      <w:pPr>
        <w:pStyle w:val="19"/>
        <w:ind w:right="-252" w:firstLine="411" w:firstLineChars="196"/>
        <w:contextualSpacing/>
        <w:rPr>
          <w:rFonts w:eastAsia="宋体"/>
          <w:sz w:val="21"/>
          <w:szCs w:val="21"/>
          <w:highlight w:val="none"/>
        </w:rPr>
      </w:pPr>
      <w:r>
        <w:rPr>
          <w:rFonts w:hint="eastAsia" w:eastAsia="宋体"/>
          <w:sz w:val="21"/>
          <w:szCs w:val="21"/>
          <w:highlight w:val="none"/>
        </w:rPr>
        <w:t>（2）投标有效期不满足采购文件要求的；</w:t>
      </w:r>
    </w:p>
    <w:p w14:paraId="67A4088B">
      <w:pPr>
        <w:pStyle w:val="19"/>
        <w:ind w:right="-252" w:firstLine="411" w:firstLineChars="196"/>
        <w:contextualSpacing/>
        <w:rPr>
          <w:rFonts w:eastAsia="宋体"/>
          <w:sz w:val="21"/>
          <w:szCs w:val="21"/>
          <w:highlight w:val="none"/>
        </w:rPr>
      </w:pPr>
      <w:r>
        <w:rPr>
          <w:rFonts w:hint="eastAsia" w:eastAsia="宋体"/>
          <w:sz w:val="21"/>
          <w:szCs w:val="21"/>
          <w:highlight w:val="none"/>
        </w:rPr>
        <w:t>（3）明显不符合采购文件要求的，或者与采购文件中标注“★”的条款发生实质性偏离的；</w:t>
      </w:r>
    </w:p>
    <w:p w14:paraId="1AE8AFAA">
      <w:pPr>
        <w:pStyle w:val="19"/>
        <w:ind w:right="-252" w:firstLine="411" w:firstLineChars="196"/>
        <w:contextualSpacing/>
        <w:rPr>
          <w:rFonts w:eastAsia="宋体"/>
          <w:sz w:val="21"/>
          <w:szCs w:val="21"/>
          <w:highlight w:val="none"/>
        </w:rPr>
      </w:pPr>
      <w:r>
        <w:rPr>
          <w:rFonts w:hint="eastAsia" w:eastAsia="宋体"/>
          <w:sz w:val="21"/>
          <w:szCs w:val="21"/>
          <w:highlight w:val="none"/>
        </w:rPr>
        <w:t>（4）投标文件中含有采购人不能接受的附加条件的；</w:t>
      </w:r>
    </w:p>
    <w:p w14:paraId="6BA7C733">
      <w:pPr>
        <w:pStyle w:val="19"/>
        <w:ind w:right="-252" w:firstLine="411" w:firstLineChars="196"/>
        <w:contextualSpacing/>
        <w:rPr>
          <w:rFonts w:eastAsia="宋体"/>
          <w:sz w:val="21"/>
          <w:szCs w:val="21"/>
          <w:highlight w:val="none"/>
        </w:rPr>
      </w:pPr>
      <w:r>
        <w:rPr>
          <w:rFonts w:hint="eastAsia" w:eastAsia="宋体"/>
          <w:sz w:val="21"/>
          <w:szCs w:val="21"/>
          <w:highlight w:val="none"/>
        </w:rPr>
        <w:t>（5）委托人未提供法定代表人授权委托书、填写项目不齐全的；</w:t>
      </w:r>
    </w:p>
    <w:p w14:paraId="1E91E372">
      <w:pPr>
        <w:pStyle w:val="19"/>
        <w:ind w:right="-252" w:firstLine="411" w:firstLineChars="196"/>
        <w:contextualSpacing/>
        <w:rPr>
          <w:rFonts w:eastAsia="宋体"/>
          <w:sz w:val="21"/>
          <w:szCs w:val="21"/>
          <w:highlight w:val="none"/>
        </w:rPr>
      </w:pPr>
      <w:r>
        <w:rPr>
          <w:rFonts w:hint="eastAsia" w:eastAsia="宋体"/>
          <w:sz w:val="21"/>
          <w:szCs w:val="21"/>
          <w:highlight w:val="none"/>
        </w:rPr>
        <w:t>（6）投标文件格式不规范、提供资料不齐全或者内容虚假的；</w:t>
      </w:r>
    </w:p>
    <w:p w14:paraId="5DCF3FE3">
      <w:pPr>
        <w:pStyle w:val="19"/>
        <w:ind w:right="-252" w:firstLine="411" w:firstLineChars="196"/>
        <w:contextualSpacing/>
        <w:rPr>
          <w:rFonts w:eastAsia="宋体"/>
          <w:sz w:val="21"/>
          <w:szCs w:val="21"/>
          <w:highlight w:val="none"/>
        </w:rPr>
      </w:pPr>
      <w:r>
        <w:rPr>
          <w:rFonts w:hint="eastAsia" w:eastAsia="宋体"/>
          <w:sz w:val="21"/>
          <w:szCs w:val="21"/>
          <w:highlight w:val="none"/>
        </w:rPr>
        <w:t>（7）投标文件的实质性内容未使用中文表述、表述不明确、前后矛盾或者使用计量单位不符合采购文件要求的（经评标委员会认定并允许其当场更正的笔误除外）；</w:t>
      </w:r>
    </w:p>
    <w:p w14:paraId="72D2DF7F">
      <w:pPr>
        <w:pStyle w:val="19"/>
        <w:ind w:right="-252" w:firstLine="411" w:firstLineChars="196"/>
        <w:contextualSpacing/>
        <w:rPr>
          <w:rFonts w:eastAsia="宋体"/>
          <w:sz w:val="21"/>
          <w:szCs w:val="21"/>
          <w:highlight w:val="none"/>
        </w:rPr>
      </w:pPr>
      <w:r>
        <w:rPr>
          <w:rFonts w:hint="eastAsia" w:eastAsia="宋体"/>
          <w:sz w:val="21"/>
          <w:szCs w:val="21"/>
          <w:highlight w:val="none"/>
        </w:rPr>
        <w:t>（8）投标文件的关键内容字迹模糊、无法辨认的，或者投标文件中经修正的内容字迹模糊难以辨认或者修改处未按规定签署、盖章的；</w:t>
      </w:r>
    </w:p>
    <w:p w14:paraId="017CEC45">
      <w:pPr>
        <w:pStyle w:val="19"/>
        <w:ind w:right="-252" w:firstLine="411" w:firstLineChars="196"/>
        <w:contextualSpacing/>
        <w:rPr>
          <w:rFonts w:hint="eastAsia" w:eastAsia="宋体"/>
          <w:sz w:val="21"/>
          <w:szCs w:val="21"/>
          <w:highlight w:val="none"/>
        </w:rPr>
      </w:pPr>
      <w:r>
        <w:rPr>
          <w:rFonts w:hint="eastAsia" w:eastAsia="宋体"/>
          <w:sz w:val="21"/>
          <w:szCs w:val="21"/>
          <w:highlight w:val="none"/>
        </w:rPr>
        <w:t>（9）同一个采购包（标段）的供应商存在下列情形之一且无法合理解释的，其投标（响应）文件无效：1.不同供应商的电子投标（响应）文件上传计算机的网卡 MAC 地址或硬盘序列号等硬 件信息相同的；2.上传的电子投标（响应）文件若出现使用本 项目其他投标（响应）供应商的数字证书加密的，或者加盖本 项目其他投标（响应）供应商的电子印章的；3.不同供应商的 投标（响应）文件的内容存在 3 处（含）以上错误一致的；4. 不同供应商联系人为同一人或不同联系人的联系电话一致的。</w:t>
      </w:r>
    </w:p>
    <w:p w14:paraId="7BFD2B6D">
      <w:pPr>
        <w:pStyle w:val="19"/>
        <w:ind w:right="-252" w:firstLine="411" w:firstLineChars="196"/>
        <w:contextualSpacing/>
        <w:rPr>
          <w:rFonts w:eastAsia="宋体"/>
          <w:sz w:val="21"/>
          <w:szCs w:val="21"/>
          <w:highlight w:val="none"/>
        </w:rPr>
      </w:pPr>
      <w:r>
        <w:rPr>
          <w:rFonts w:hint="eastAsia" w:eastAsia="宋体"/>
          <w:sz w:val="21"/>
          <w:szCs w:val="21"/>
          <w:highlight w:val="none"/>
          <w:lang w:eastAsia="zh-CN"/>
        </w:rPr>
        <w:t>（</w:t>
      </w:r>
      <w:r>
        <w:rPr>
          <w:rFonts w:hint="eastAsia" w:eastAsia="宋体"/>
          <w:sz w:val="21"/>
          <w:szCs w:val="21"/>
          <w:highlight w:val="none"/>
          <w:lang w:val="en-US" w:eastAsia="zh-CN"/>
        </w:rPr>
        <w:t>10</w:t>
      </w:r>
      <w:r>
        <w:rPr>
          <w:rFonts w:hint="eastAsia" w:eastAsia="宋体"/>
          <w:sz w:val="21"/>
          <w:szCs w:val="21"/>
          <w:highlight w:val="none"/>
          <w:lang w:eastAsia="zh-CN"/>
        </w:rPr>
        <w:t>）</w:t>
      </w:r>
      <w:r>
        <w:rPr>
          <w:rFonts w:hint="eastAsia" w:eastAsia="宋体"/>
          <w:sz w:val="21"/>
          <w:szCs w:val="21"/>
          <w:highlight w:val="none"/>
        </w:rPr>
        <w:t>法律、法规和采购文件规定的其他无效情形。</w:t>
      </w:r>
    </w:p>
    <w:p w14:paraId="6E0F9B20">
      <w:pPr>
        <w:spacing w:line="380" w:lineRule="exact"/>
        <w:ind w:firstLine="420" w:firstLineChars="200"/>
        <w:contextualSpacing/>
        <w:rPr>
          <w:szCs w:val="21"/>
          <w:highlight w:val="none"/>
        </w:rPr>
      </w:pPr>
      <w:r>
        <w:rPr>
          <w:szCs w:val="21"/>
          <w:highlight w:val="none"/>
        </w:rPr>
        <w:t>29</w:t>
      </w:r>
      <w:r>
        <w:rPr>
          <w:rFonts w:hint="eastAsia"/>
          <w:szCs w:val="21"/>
          <w:highlight w:val="none"/>
        </w:rPr>
        <w:t>.3在技术商务评审时，如发现下列情形之一的，</w:t>
      </w:r>
      <w:r>
        <w:rPr>
          <w:szCs w:val="21"/>
          <w:highlight w:val="none"/>
        </w:rPr>
        <w:t>投标文件将被视为无效：</w:t>
      </w:r>
    </w:p>
    <w:p w14:paraId="67BF13B5">
      <w:pPr>
        <w:pStyle w:val="19"/>
        <w:ind w:right="-252" w:firstLine="411" w:firstLineChars="196"/>
        <w:contextualSpacing/>
        <w:rPr>
          <w:rFonts w:eastAsia="宋体"/>
          <w:sz w:val="21"/>
          <w:szCs w:val="21"/>
          <w:highlight w:val="none"/>
        </w:rPr>
      </w:pPr>
      <w:r>
        <w:rPr>
          <w:rFonts w:eastAsia="宋体"/>
          <w:sz w:val="21"/>
          <w:szCs w:val="21"/>
          <w:highlight w:val="none"/>
        </w:rPr>
        <w:t>（1）</w:t>
      </w:r>
      <w:r>
        <w:rPr>
          <w:rFonts w:hint="eastAsia" w:eastAsia="宋体"/>
          <w:sz w:val="21"/>
          <w:szCs w:val="21"/>
          <w:highlight w:val="none"/>
        </w:rPr>
        <w:t>未提供或未如实提供投标货物的技术参数，或者投标文件标明的响应或偏离与事实不符或虚假投标的</w:t>
      </w:r>
      <w:r>
        <w:rPr>
          <w:rFonts w:eastAsia="宋体"/>
          <w:sz w:val="21"/>
          <w:szCs w:val="21"/>
          <w:highlight w:val="none"/>
        </w:rPr>
        <w:t>；</w:t>
      </w:r>
    </w:p>
    <w:p w14:paraId="2863F4FA">
      <w:pPr>
        <w:pStyle w:val="19"/>
        <w:ind w:right="-252" w:firstLine="411" w:firstLineChars="196"/>
        <w:contextualSpacing/>
        <w:rPr>
          <w:rFonts w:eastAsia="宋体"/>
          <w:sz w:val="21"/>
          <w:szCs w:val="21"/>
          <w:highlight w:val="none"/>
        </w:rPr>
      </w:pPr>
      <w:r>
        <w:rPr>
          <w:rFonts w:eastAsia="宋体"/>
          <w:sz w:val="21"/>
          <w:szCs w:val="21"/>
          <w:highlight w:val="none"/>
        </w:rPr>
        <w:t>（</w:t>
      </w:r>
      <w:r>
        <w:rPr>
          <w:rFonts w:hint="eastAsia" w:eastAsia="宋体"/>
          <w:sz w:val="21"/>
          <w:szCs w:val="21"/>
          <w:highlight w:val="none"/>
        </w:rPr>
        <w:t>2</w:t>
      </w:r>
      <w:r>
        <w:rPr>
          <w:rFonts w:eastAsia="宋体"/>
          <w:sz w:val="21"/>
          <w:szCs w:val="21"/>
          <w:highlight w:val="none"/>
        </w:rPr>
        <w:t>）</w:t>
      </w:r>
      <w:r>
        <w:rPr>
          <w:rFonts w:hint="eastAsia" w:eastAsia="宋体"/>
          <w:sz w:val="21"/>
          <w:szCs w:val="21"/>
          <w:highlight w:val="none"/>
        </w:rPr>
        <w:t>明显不符合采购文件要求的规格型号、质量标准，或者与采购文件中标“★”的技术指标、主要功能项目发生实质性偏离的</w:t>
      </w:r>
      <w:r>
        <w:rPr>
          <w:rFonts w:eastAsia="宋体"/>
          <w:sz w:val="21"/>
          <w:szCs w:val="21"/>
          <w:highlight w:val="none"/>
        </w:rPr>
        <w:t>；</w:t>
      </w:r>
    </w:p>
    <w:p w14:paraId="1DB9D5B7">
      <w:pPr>
        <w:pStyle w:val="19"/>
        <w:ind w:right="-252" w:firstLine="420" w:firstLineChars="200"/>
        <w:contextualSpacing/>
        <w:rPr>
          <w:rFonts w:eastAsia="宋体"/>
          <w:sz w:val="21"/>
          <w:szCs w:val="21"/>
          <w:highlight w:val="none"/>
        </w:rPr>
      </w:pPr>
      <w:r>
        <w:rPr>
          <w:rFonts w:hint="eastAsia" w:eastAsia="宋体"/>
          <w:sz w:val="21"/>
          <w:szCs w:val="21"/>
          <w:highlight w:val="none"/>
        </w:rPr>
        <w:t>（3）投标技术方案不明确，存在一个或一个以上备选（替代）投标方案的。</w:t>
      </w:r>
    </w:p>
    <w:p w14:paraId="7D489E79">
      <w:pPr>
        <w:spacing w:line="380" w:lineRule="exact"/>
        <w:ind w:firstLine="420" w:firstLineChars="200"/>
        <w:contextualSpacing/>
        <w:rPr>
          <w:szCs w:val="21"/>
          <w:highlight w:val="none"/>
        </w:rPr>
      </w:pPr>
      <w:r>
        <w:rPr>
          <w:szCs w:val="21"/>
          <w:highlight w:val="none"/>
        </w:rPr>
        <w:t>29</w:t>
      </w:r>
      <w:r>
        <w:rPr>
          <w:rFonts w:hint="eastAsia"/>
          <w:szCs w:val="21"/>
          <w:highlight w:val="none"/>
        </w:rPr>
        <w:t>.4</w:t>
      </w:r>
      <w:r>
        <w:rPr>
          <w:szCs w:val="21"/>
          <w:highlight w:val="none"/>
        </w:rPr>
        <w:t>在报价评审时，如发现下列情形之一的，投标文件将被视为无效：</w:t>
      </w:r>
    </w:p>
    <w:p w14:paraId="65F495B8">
      <w:pPr>
        <w:pStyle w:val="19"/>
        <w:ind w:right="-252" w:firstLine="411" w:firstLineChars="196"/>
        <w:contextualSpacing/>
        <w:rPr>
          <w:rFonts w:eastAsia="宋体"/>
          <w:sz w:val="21"/>
          <w:szCs w:val="21"/>
          <w:highlight w:val="none"/>
        </w:rPr>
      </w:pPr>
      <w:r>
        <w:rPr>
          <w:rFonts w:eastAsia="宋体"/>
          <w:sz w:val="21"/>
          <w:szCs w:val="21"/>
          <w:highlight w:val="none"/>
        </w:rPr>
        <w:t>（1）</w:t>
      </w:r>
      <w:r>
        <w:rPr>
          <w:rFonts w:hint="eastAsia" w:eastAsia="宋体"/>
          <w:bCs/>
          <w:sz w:val="21"/>
          <w:szCs w:val="21"/>
          <w:highlight w:val="none"/>
        </w:rPr>
        <w:t>报价超过采购文件中规定的预算金额或者最高限价的</w:t>
      </w:r>
      <w:r>
        <w:rPr>
          <w:rFonts w:eastAsia="宋体"/>
          <w:sz w:val="21"/>
          <w:szCs w:val="21"/>
          <w:highlight w:val="none"/>
        </w:rPr>
        <w:t>；</w:t>
      </w:r>
    </w:p>
    <w:p w14:paraId="7320A728">
      <w:pPr>
        <w:pStyle w:val="19"/>
        <w:ind w:right="-252" w:firstLine="411" w:firstLineChars="196"/>
        <w:contextualSpacing/>
        <w:rPr>
          <w:rFonts w:eastAsia="宋体"/>
          <w:sz w:val="21"/>
          <w:szCs w:val="21"/>
          <w:highlight w:val="none"/>
        </w:rPr>
      </w:pPr>
      <w:r>
        <w:rPr>
          <w:rFonts w:eastAsia="宋体"/>
          <w:sz w:val="21"/>
          <w:szCs w:val="21"/>
          <w:highlight w:val="none"/>
        </w:rPr>
        <w:t>（2）</w:t>
      </w:r>
      <w:r>
        <w:rPr>
          <w:rFonts w:hint="eastAsia" w:eastAsia="宋体"/>
          <w:bCs/>
          <w:sz w:val="21"/>
          <w:szCs w:val="21"/>
          <w:highlight w:val="none"/>
        </w:rPr>
        <w:t>未采用采购文件要求的报价形式报价的</w:t>
      </w:r>
      <w:r>
        <w:rPr>
          <w:rFonts w:hint="eastAsia" w:eastAsia="宋体"/>
          <w:sz w:val="21"/>
          <w:szCs w:val="21"/>
          <w:highlight w:val="none"/>
        </w:rPr>
        <w:t>；</w:t>
      </w:r>
    </w:p>
    <w:p w14:paraId="46B99846">
      <w:pPr>
        <w:pStyle w:val="19"/>
        <w:ind w:right="-252" w:firstLine="420" w:firstLineChars="200"/>
        <w:contextualSpacing/>
        <w:rPr>
          <w:rFonts w:eastAsia="宋体"/>
          <w:sz w:val="21"/>
          <w:szCs w:val="21"/>
          <w:highlight w:val="none"/>
        </w:rPr>
      </w:pPr>
      <w:r>
        <w:rPr>
          <w:rFonts w:hint="eastAsia" w:eastAsia="宋体"/>
          <w:sz w:val="21"/>
          <w:szCs w:val="21"/>
          <w:highlight w:val="none"/>
        </w:rPr>
        <w:t>（3）投标报价具有选择性的；</w:t>
      </w:r>
    </w:p>
    <w:p w14:paraId="5913A140">
      <w:pPr>
        <w:pStyle w:val="19"/>
        <w:ind w:right="-252" w:firstLine="420" w:firstLineChars="200"/>
        <w:contextualSpacing/>
        <w:rPr>
          <w:rFonts w:eastAsia="宋体"/>
          <w:bCs/>
          <w:sz w:val="21"/>
          <w:szCs w:val="21"/>
          <w:highlight w:val="none"/>
        </w:rPr>
      </w:pPr>
      <w:r>
        <w:rPr>
          <w:rFonts w:hint="eastAsia" w:eastAsia="宋体"/>
          <w:bCs/>
          <w:sz w:val="21"/>
          <w:szCs w:val="21"/>
          <w:highlight w:val="none"/>
        </w:rPr>
        <w:t>（4）投标人的报价低于</w:t>
      </w:r>
      <w:r>
        <w:rPr>
          <w:rFonts w:hint="eastAsia" w:eastAsia="宋体"/>
          <w:sz w:val="21"/>
          <w:szCs w:val="21"/>
          <w:highlight w:val="none"/>
        </w:rPr>
        <w:t>其他通过符合性审查投标人的报价</w:t>
      </w:r>
      <w:r>
        <w:rPr>
          <w:rFonts w:hint="eastAsia" w:eastAsia="宋体"/>
          <w:bCs/>
          <w:sz w:val="21"/>
          <w:szCs w:val="21"/>
          <w:highlight w:val="none"/>
        </w:rPr>
        <w:t>，评标委员会认为有可能影响产品质量或者不能诚信履约，要求其在评标现场合理的时间内提供书面说明，必要时提交相关证明材料，投标人不能证明其报价合理性的；</w:t>
      </w:r>
    </w:p>
    <w:p w14:paraId="611DFCB3">
      <w:pPr>
        <w:pStyle w:val="19"/>
        <w:ind w:right="-252" w:firstLine="420" w:firstLineChars="200"/>
        <w:contextualSpacing/>
        <w:rPr>
          <w:rFonts w:eastAsia="宋体"/>
          <w:sz w:val="21"/>
          <w:szCs w:val="21"/>
          <w:highlight w:val="none"/>
        </w:rPr>
      </w:pPr>
      <w:r>
        <w:rPr>
          <w:rFonts w:hint="eastAsia" w:eastAsia="宋体"/>
          <w:sz w:val="21"/>
          <w:szCs w:val="21"/>
          <w:highlight w:val="none"/>
        </w:rPr>
        <w:t>（</w:t>
      </w:r>
      <w:r>
        <w:rPr>
          <w:rFonts w:eastAsia="宋体"/>
          <w:sz w:val="21"/>
          <w:szCs w:val="21"/>
          <w:highlight w:val="none"/>
        </w:rPr>
        <w:t>5</w:t>
      </w:r>
      <w:r>
        <w:rPr>
          <w:rFonts w:hint="eastAsia" w:eastAsia="宋体"/>
          <w:sz w:val="21"/>
          <w:szCs w:val="21"/>
          <w:highlight w:val="none"/>
        </w:rPr>
        <w:t>）</w:t>
      </w:r>
      <w:r>
        <w:rPr>
          <w:rFonts w:hint="eastAsia" w:eastAsia="宋体"/>
          <w:bCs/>
          <w:sz w:val="21"/>
          <w:szCs w:val="21"/>
          <w:highlight w:val="none"/>
        </w:rPr>
        <w:t>采购文件规定的其他无效情形。</w:t>
      </w:r>
    </w:p>
    <w:p w14:paraId="567440CF">
      <w:pPr>
        <w:spacing w:line="380" w:lineRule="exact"/>
        <w:ind w:firstLine="420" w:firstLineChars="200"/>
        <w:contextualSpacing/>
        <w:rPr>
          <w:szCs w:val="21"/>
          <w:highlight w:val="none"/>
        </w:rPr>
      </w:pPr>
      <w:r>
        <w:rPr>
          <w:szCs w:val="21"/>
          <w:highlight w:val="none"/>
        </w:rPr>
        <w:t>29</w:t>
      </w:r>
      <w:r>
        <w:rPr>
          <w:rFonts w:hint="eastAsia"/>
          <w:szCs w:val="21"/>
          <w:highlight w:val="none"/>
        </w:rPr>
        <w:t>.5</w:t>
      </w:r>
      <w:r>
        <w:rPr>
          <w:szCs w:val="21"/>
          <w:highlight w:val="none"/>
        </w:rPr>
        <w:t>被拒绝的投标文件为无效。</w:t>
      </w:r>
      <w:bookmarkEnd w:id="40"/>
      <w:bookmarkEnd w:id="41"/>
      <w:bookmarkEnd w:id="42"/>
      <w:bookmarkEnd w:id="43"/>
    </w:p>
    <w:p w14:paraId="44E7209D">
      <w:pPr>
        <w:pStyle w:val="2"/>
        <w:spacing w:before="120" w:beforeLines="50" w:after="120" w:afterLines="50"/>
        <w:rPr>
          <w:rFonts w:hint="eastAsia" w:hAnsi="宋体" w:cs="宋体"/>
          <w:color w:val="000000"/>
          <w:sz w:val="21"/>
          <w:szCs w:val="21"/>
          <w:highlight w:val="none"/>
        </w:rPr>
      </w:pPr>
      <w:r>
        <w:rPr>
          <w:rFonts w:hint="eastAsia" w:hAnsi="宋体" w:cs="宋体"/>
          <w:color w:val="000000"/>
          <w:sz w:val="21"/>
          <w:szCs w:val="21"/>
          <w:highlight w:val="none"/>
        </w:rPr>
        <w:t>九、授予合同</w:t>
      </w:r>
    </w:p>
    <w:p w14:paraId="71DAF196">
      <w:pPr>
        <w:spacing w:line="380" w:lineRule="exact"/>
        <w:contextualSpacing/>
        <w:rPr>
          <w:szCs w:val="21"/>
          <w:highlight w:val="none"/>
        </w:rPr>
      </w:pPr>
      <w:bookmarkStart w:id="44" w:name="_Toc429407719"/>
      <w:bookmarkStart w:id="45" w:name="_Toc425151759"/>
      <w:bookmarkStart w:id="46" w:name="_Toc430790240"/>
      <w:bookmarkStart w:id="47" w:name="_Toc425780303"/>
      <w:r>
        <w:rPr>
          <w:szCs w:val="21"/>
          <w:highlight w:val="none"/>
        </w:rPr>
        <w:t>30</w:t>
      </w:r>
      <w:r>
        <w:rPr>
          <w:rFonts w:hint="eastAsia"/>
          <w:szCs w:val="21"/>
          <w:highlight w:val="none"/>
        </w:rPr>
        <w:t>、</w:t>
      </w:r>
      <w:r>
        <w:rPr>
          <w:szCs w:val="21"/>
          <w:highlight w:val="none"/>
        </w:rPr>
        <w:t>数量变更</w:t>
      </w:r>
    </w:p>
    <w:p w14:paraId="7772FD6D">
      <w:pPr>
        <w:spacing w:line="380" w:lineRule="exact"/>
        <w:ind w:firstLine="420" w:firstLineChars="200"/>
        <w:contextualSpacing/>
        <w:rPr>
          <w:szCs w:val="21"/>
          <w:highlight w:val="none"/>
        </w:rPr>
      </w:pPr>
      <w:r>
        <w:rPr>
          <w:szCs w:val="21"/>
          <w:highlight w:val="none"/>
        </w:rPr>
        <w:t>采购人在授予合同时不能对单价或其他</w:t>
      </w:r>
      <w:r>
        <w:rPr>
          <w:rFonts w:hint="eastAsia"/>
          <w:szCs w:val="21"/>
          <w:highlight w:val="none"/>
        </w:rPr>
        <w:t>实质性</w:t>
      </w:r>
      <w:r>
        <w:rPr>
          <w:szCs w:val="21"/>
          <w:highlight w:val="none"/>
        </w:rPr>
        <w:t>条款和条件作任何改变。</w:t>
      </w:r>
    </w:p>
    <w:p w14:paraId="11713B35">
      <w:pPr>
        <w:spacing w:line="380" w:lineRule="exact"/>
        <w:contextualSpacing/>
        <w:rPr>
          <w:szCs w:val="21"/>
          <w:highlight w:val="none"/>
        </w:rPr>
      </w:pPr>
      <w:r>
        <w:rPr>
          <w:szCs w:val="21"/>
          <w:highlight w:val="none"/>
        </w:rPr>
        <w:t>31</w:t>
      </w:r>
      <w:r>
        <w:rPr>
          <w:rFonts w:hint="eastAsia"/>
          <w:szCs w:val="21"/>
          <w:highlight w:val="none"/>
        </w:rPr>
        <w:t>、</w:t>
      </w:r>
      <w:r>
        <w:rPr>
          <w:szCs w:val="21"/>
          <w:highlight w:val="none"/>
        </w:rPr>
        <w:t>中标通知</w:t>
      </w:r>
    </w:p>
    <w:p w14:paraId="3FF9166D">
      <w:pPr>
        <w:spacing w:line="380" w:lineRule="exact"/>
        <w:ind w:firstLine="420" w:firstLineChars="200"/>
        <w:contextualSpacing/>
        <w:rPr>
          <w:szCs w:val="21"/>
          <w:highlight w:val="none"/>
        </w:rPr>
      </w:pPr>
      <w:r>
        <w:rPr>
          <w:szCs w:val="21"/>
          <w:highlight w:val="none"/>
        </w:rPr>
        <w:t>31</w:t>
      </w:r>
      <w:r>
        <w:rPr>
          <w:rFonts w:hint="eastAsia"/>
          <w:szCs w:val="21"/>
          <w:highlight w:val="none"/>
        </w:rPr>
        <w:t>.</w:t>
      </w:r>
      <w:r>
        <w:rPr>
          <w:szCs w:val="21"/>
          <w:highlight w:val="none"/>
        </w:rPr>
        <w:t>1在发布中标公告</w:t>
      </w:r>
      <w:r>
        <w:rPr>
          <w:rFonts w:hint="eastAsia"/>
          <w:szCs w:val="21"/>
          <w:highlight w:val="none"/>
        </w:rPr>
        <w:t>的同时</w:t>
      </w:r>
      <w:r>
        <w:rPr>
          <w:szCs w:val="21"/>
          <w:highlight w:val="none"/>
        </w:rPr>
        <w:t>本采购代理机构向中标</w:t>
      </w:r>
      <w:r>
        <w:rPr>
          <w:rFonts w:hint="eastAsia"/>
          <w:szCs w:val="21"/>
          <w:highlight w:val="none"/>
        </w:rPr>
        <w:t>人</w:t>
      </w:r>
      <w:r>
        <w:rPr>
          <w:szCs w:val="21"/>
          <w:highlight w:val="none"/>
        </w:rPr>
        <w:t>发出中标通知</w:t>
      </w:r>
      <w:r>
        <w:rPr>
          <w:rFonts w:hint="eastAsia"/>
          <w:szCs w:val="21"/>
          <w:highlight w:val="none"/>
        </w:rPr>
        <w:t>书</w:t>
      </w:r>
      <w:r>
        <w:rPr>
          <w:szCs w:val="21"/>
          <w:highlight w:val="none"/>
        </w:rPr>
        <w:t>，向其他投标人发出招标结果通知书，中标通知书对采购人和中标</w:t>
      </w:r>
      <w:r>
        <w:rPr>
          <w:rFonts w:hint="eastAsia"/>
          <w:szCs w:val="21"/>
          <w:highlight w:val="none"/>
        </w:rPr>
        <w:t>人</w:t>
      </w:r>
      <w:r>
        <w:rPr>
          <w:szCs w:val="21"/>
          <w:highlight w:val="none"/>
        </w:rPr>
        <w:t>具有同等法律效力。</w:t>
      </w:r>
    </w:p>
    <w:p w14:paraId="51DE39F3">
      <w:pPr>
        <w:spacing w:line="380" w:lineRule="exact"/>
        <w:ind w:firstLine="420" w:firstLineChars="200"/>
        <w:contextualSpacing/>
        <w:rPr>
          <w:szCs w:val="21"/>
          <w:highlight w:val="none"/>
        </w:rPr>
      </w:pPr>
      <w:r>
        <w:rPr>
          <w:szCs w:val="21"/>
          <w:highlight w:val="none"/>
        </w:rPr>
        <w:t>31</w:t>
      </w:r>
      <w:r>
        <w:rPr>
          <w:rFonts w:hint="eastAsia"/>
          <w:szCs w:val="21"/>
          <w:highlight w:val="none"/>
        </w:rPr>
        <w:t>.2</w:t>
      </w:r>
      <w:r>
        <w:rPr>
          <w:szCs w:val="21"/>
          <w:highlight w:val="none"/>
        </w:rPr>
        <w:t>中标</w:t>
      </w:r>
      <w:r>
        <w:rPr>
          <w:rFonts w:hint="eastAsia"/>
          <w:szCs w:val="21"/>
          <w:highlight w:val="none"/>
        </w:rPr>
        <w:t>人</w:t>
      </w:r>
      <w:r>
        <w:rPr>
          <w:szCs w:val="21"/>
          <w:highlight w:val="none"/>
        </w:rPr>
        <w:t>按下述第3</w:t>
      </w:r>
      <w:r>
        <w:rPr>
          <w:rFonts w:hint="eastAsia"/>
          <w:szCs w:val="21"/>
          <w:highlight w:val="none"/>
        </w:rPr>
        <w:t>2</w:t>
      </w:r>
      <w:r>
        <w:rPr>
          <w:szCs w:val="21"/>
          <w:highlight w:val="none"/>
        </w:rPr>
        <w:t>条规定与采购人签订合同，中标通知书是合同的组成部分。</w:t>
      </w:r>
    </w:p>
    <w:p w14:paraId="5561FDC3">
      <w:pPr>
        <w:spacing w:line="380" w:lineRule="exact"/>
        <w:contextualSpacing/>
        <w:rPr>
          <w:szCs w:val="21"/>
          <w:highlight w:val="none"/>
        </w:rPr>
      </w:pPr>
      <w:r>
        <w:rPr>
          <w:szCs w:val="21"/>
          <w:highlight w:val="none"/>
        </w:rPr>
        <w:t>32</w:t>
      </w:r>
      <w:r>
        <w:rPr>
          <w:rFonts w:hint="eastAsia"/>
          <w:szCs w:val="21"/>
          <w:highlight w:val="none"/>
        </w:rPr>
        <w:t>、</w:t>
      </w:r>
      <w:r>
        <w:rPr>
          <w:szCs w:val="21"/>
          <w:highlight w:val="none"/>
        </w:rPr>
        <w:t>签订合同</w:t>
      </w:r>
    </w:p>
    <w:p w14:paraId="2B50FD8E">
      <w:pPr>
        <w:spacing w:line="380" w:lineRule="exact"/>
        <w:ind w:firstLine="420" w:firstLineChars="200"/>
        <w:contextualSpacing/>
        <w:rPr>
          <w:szCs w:val="21"/>
          <w:highlight w:val="none"/>
        </w:rPr>
      </w:pPr>
      <w:r>
        <w:rPr>
          <w:szCs w:val="21"/>
          <w:highlight w:val="none"/>
        </w:rPr>
        <w:t>32</w:t>
      </w:r>
      <w:r>
        <w:rPr>
          <w:rFonts w:hint="eastAsia"/>
          <w:szCs w:val="21"/>
          <w:highlight w:val="none"/>
        </w:rPr>
        <w:t>.1</w:t>
      </w:r>
      <w:r>
        <w:rPr>
          <w:szCs w:val="21"/>
          <w:highlight w:val="none"/>
        </w:rPr>
        <w:t>中标</w:t>
      </w:r>
      <w:r>
        <w:rPr>
          <w:rFonts w:hint="eastAsia"/>
          <w:szCs w:val="21"/>
          <w:highlight w:val="none"/>
        </w:rPr>
        <w:t>人</w:t>
      </w:r>
      <w:r>
        <w:rPr>
          <w:szCs w:val="21"/>
          <w:highlight w:val="none"/>
        </w:rPr>
        <w:t>在本采购代理机构发出中标通知书的</w:t>
      </w:r>
      <w:r>
        <w:rPr>
          <w:rFonts w:hint="eastAsia"/>
          <w:szCs w:val="21"/>
          <w:highlight w:val="none"/>
        </w:rPr>
        <w:t>30</w:t>
      </w:r>
      <w:r>
        <w:rPr>
          <w:szCs w:val="21"/>
          <w:highlight w:val="none"/>
        </w:rPr>
        <w:t>日内，应与采购人按照采购文件和中标</w:t>
      </w:r>
      <w:r>
        <w:rPr>
          <w:rFonts w:hint="eastAsia"/>
          <w:szCs w:val="21"/>
          <w:highlight w:val="none"/>
        </w:rPr>
        <w:t>人</w:t>
      </w:r>
      <w:r>
        <w:rPr>
          <w:szCs w:val="21"/>
          <w:highlight w:val="none"/>
        </w:rPr>
        <w:t>的投标文件的约定内容签订书面合同。否则，采购人可按本须知第25条的规定处理，撤销其中标资格并按本须知规定另选中标</w:t>
      </w:r>
      <w:r>
        <w:rPr>
          <w:rFonts w:hint="eastAsia"/>
          <w:szCs w:val="21"/>
          <w:highlight w:val="none"/>
        </w:rPr>
        <w:t>人</w:t>
      </w:r>
      <w:r>
        <w:rPr>
          <w:szCs w:val="21"/>
          <w:highlight w:val="none"/>
        </w:rPr>
        <w:t>或重新招标。</w:t>
      </w:r>
    </w:p>
    <w:p w14:paraId="5D1BF0A6">
      <w:pPr>
        <w:spacing w:line="380" w:lineRule="exact"/>
        <w:ind w:firstLine="420" w:firstLineChars="200"/>
        <w:contextualSpacing/>
        <w:rPr>
          <w:szCs w:val="21"/>
          <w:highlight w:val="none"/>
        </w:rPr>
      </w:pPr>
      <w:r>
        <w:rPr>
          <w:szCs w:val="21"/>
          <w:highlight w:val="none"/>
        </w:rPr>
        <w:t>32</w:t>
      </w:r>
      <w:r>
        <w:rPr>
          <w:rFonts w:hint="eastAsia"/>
          <w:szCs w:val="21"/>
          <w:highlight w:val="none"/>
        </w:rPr>
        <w:t>.2</w:t>
      </w:r>
      <w:r>
        <w:rPr>
          <w:szCs w:val="21"/>
          <w:highlight w:val="none"/>
        </w:rPr>
        <w:t>采购文件、中标</w:t>
      </w:r>
      <w:r>
        <w:rPr>
          <w:rFonts w:hint="eastAsia"/>
          <w:szCs w:val="21"/>
          <w:highlight w:val="none"/>
        </w:rPr>
        <w:t>人</w:t>
      </w:r>
      <w:r>
        <w:rPr>
          <w:szCs w:val="21"/>
          <w:highlight w:val="none"/>
        </w:rPr>
        <w:t>的投标文件及在评标过程中提交的澄清文件均应作为合同附件。</w:t>
      </w:r>
    </w:p>
    <w:p w14:paraId="13EBF5C3">
      <w:pPr>
        <w:spacing w:line="380" w:lineRule="exact"/>
        <w:contextualSpacing/>
        <w:rPr>
          <w:szCs w:val="21"/>
          <w:highlight w:val="none"/>
        </w:rPr>
      </w:pPr>
      <w:r>
        <w:rPr>
          <w:szCs w:val="21"/>
          <w:highlight w:val="none"/>
        </w:rPr>
        <w:t>33</w:t>
      </w:r>
      <w:r>
        <w:rPr>
          <w:rFonts w:hint="eastAsia"/>
          <w:szCs w:val="21"/>
          <w:highlight w:val="none"/>
        </w:rPr>
        <w:t>、</w:t>
      </w:r>
      <w:r>
        <w:rPr>
          <w:szCs w:val="21"/>
          <w:highlight w:val="none"/>
        </w:rPr>
        <w:t>履约保证金</w:t>
      </w:r>
      <w:r>
        <w:rPr>
          <w:rFonts w:hint="eastAsia"/>
          <w:szCs w:val="21"/>
          <w:highlight w:val="none"/>
        </w:rPr>
        <w:t>：</w:t>
      </w:r>
    </w:p>
    <w:p w14:paraId="5E3FEB11">
      <w:pPr>
        <w:spacing w:line="380" w:lineRule="exact"/>
        <w:ind w:firstLine="420" w:firstLineChars="200"/>
        <w:contextualSpacing/>
        <w:rPr>
          <w:szCs w:val="21"/>
          <w:highlight w:val="none"/>
        </w:rPr>
      </w:pPr>
      <w:r>
        <w:rPr>
          <w:rFonts w:hint="eastAsia"/>
          <w:szCs w:val="21"/>
          <w:highlight w:val="none"/>
        </w:rPr>
        <w:t>33.1</w:t>
      </w:r>
      <w:r>
        <w:rPr>
          <w:szCs w:val="21"/>
          <w:highlight w:val="none"/>
        </w:rPr>
        <w:t>签订合同</w:t>
      </w:r>
      <w:r>
        <w:rPr>
          <w:rFonts w:hint="eastAsia"/>
          <w:szCs w:val="21"/>
          <w:highlight w:val="none"/>
        </w:rPr>
        <w:t>后</w:t>
      </w:r>
      <w:r>
        <w:rPr>
          <w:szCs w:val="21"/>
          <w:highlight w:val="none"/>
        </w:rPr>
        <w:t>，中标人应根据采购文件确定的履约保证金的金额交纳履约保证金。</w:t>
      </w:r>
    </w:p>
    <w:p w14:paraId="5529D1FA">
      <w:pPr>
        <w:spacing w:line="380" w:lineRule="exact"/>
        <w:ind w:firstLine="420" w:firstLineChars="200"/>
        <w:contextualSpacing/>
        <w:rPr>
          <w:szCs w:val="21"/>
          <w:highlight w:val="none"/>
        </w:rPr>
      </w:pPr>
      <w:r>
        <w:rPr>
          <w:rFonts w:hint="eastAsia"/>
          <w:szCs w:val="21"/>
          <w:highlight w:val="none"/>
        </w:rPr>
        <w:t>33.2</w:t>
      </w:r>
      <w:r>
        <w:rPr>
          <w:szCs w:val="21"/>
          <w:highlight w:val="none"/>
        </w:rPr>
        <w:t>签订合同后，如中标人不按双方合同约定履约，则没收其全部履约保证金，履约保证金不足以赔偿损失的，按实际损失赔偿。</w:t>
      </w:r>
      <w:bookmarkEnd w:id="44"/>
      <w:bookmarkEnd w:id="45"/>
      <w:bookmarkEnd w:id="46"/>
      <w:bookmarkEnd w:id="47"/>
    </w:p>
    <w:p w14:paraId="406945C0">
      <w:pPr>
        <w:pStyle w:val="2"/>
        <w:contextualSpacing/>
        <w:rPr>
          <w:rFonts w:ascii="Times New Roman"/>
          <w:sz w:val="24"/>
          <w:szCs w:val="24"/>
          <w:highlight w:val="none"/>
        </w:rPr>
      </w:pPr>
      <w:bookmarkStart w:id="48" w:name="_Hlk49412371"/>
      <w:r>
        <w:rPr>
          <w:rFonts w:hint="eastAsia" w:ascii="Times New Roman"/>
          <w:sz w:val="24"/>
          <w:szCs w:val="24"/>
          <w:highlight w:val="none"/>
        </w:rPr>
        <w:t>十、履约验收</w:t>
      </w:r>
    </w:p>
    <w:p w14:paraId="21A5C01A">
      <w:pPr>
        <w:pStyle w:val="17"/>
        <w:spacing w:after="0" w:line="360" w:lineRule="auto"/>
        <w:contextualSpacing/>
        <w:rPr>
          <w:rFonts w:cs="宋体"/>
          <w:bCs/>
          <w:szCs w:val="21"/>
          <w:highlight w:val="none"/>
        </w:rPr>
      </w:pPr>
      <w:r>
        <w:rPr>
          <w:rFonts w:hint="eastAsia" w:cs="宋体"/>
          <w:bCs/>
          <w:szCs w:val="21"/>
          <w:highlight w:val="none"/>
        </w:rPr>
        <w:t>3</w:t>
      </w:r>
      <w:r>
        <w:rPr>
          <w:rFonts w:cs="宋体"/>
          <w:bCs/>
          <w:szCs w:val="21"/>
          <w:highlight w:val="none"/>
        </w:rPr>
        <w:t>4</w:t>
      </w:r>
      <w:r>
        <w:rPr>
          <w:rFonts w:hint="eastAsia" w:cs="宋体"/>
          <w:bCs/>
          <w:szCs w:val="21"/>
          <w:highlight w:val="none"/>
        </w:rPr>
        <w:t>、采购人负责对中标人的履约行为进行验收，</w:t>
      </w:r>
      <w:r>
        <w:rPr>
          <w:rFonts w:hint="eastAsia"/>
          <w:szCs w:val="21"/>
          <w:highlight w:val="none"/>
        </w:rPr>
        <w:t>验收标准为本项目的采购文件以及中标人的投标文件，要求验收必须符合相关政策法规和地方标准。</w:t>
      </w:r>
    </w:p>
    <w:p w14:paraId="6EC767C1">
      <w:pPr>
        <w:pStyle w:val="17"/>
        <w:spacing w:after="0" w:line="360" w:lineRule="auto"/>
        <w:contextualSpacing/>
        <w:rPr>
          <w:rFonts w:cs="宋体"/>
          <w:bCs/>
          <w:szCs w:val="21"/>
          <w:highlight w:val="none"/>
        </w:rPr>
      </w:pPr>
      <w:r>
        <w:rPr>
          <w:rFonts w:hint="eastAsia" w:cs="宋体"/>
          <w:bCs/>
          <w:szCs w:val="21"/>
          <w:highlight w:val="none"/>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72E44DCC">
      <w:pPr>
        <w:pStyle w:val="2"/>
        <w:contextualSpacing/>
        <w:rPr>
          <w:rFonts w:ascii="Times New Roman"/>
          <w:sz w:val="24"/>
          <w:szCs w:val="24"/>
          <w:highlight w:val="none"/>
        </w:rPr>
      </w:pPr>
      <w:r>
        <w:rPr>
          <w:rFonts w:hint="eastAsia" w:ascii="Times New Roman"/>
          <w:sz w:val="24"/>
          <w:szCs w:val="24"/>
          <w:highlight w:val="none"/>
        </w:rPr>
        <w:t>十一、招标服务费用</w:t>
      </w:r>
    </w:p>
    <w:p w14:paraId="3B898086">
      <w:pPr>
        <w:spacing w:line="380" w:lineRule="exact"/>
        <w:contextualSpacing/>
        <w:rPr>
          <w:szCs w:val="21"/>
          <w:highlight w:val="none"/>
        </w:rPr>
      </w:pPr>
      <w:r>
        <w:rPr>
          <w:szCs w:val="21"/>
          <w:highlight w:val="none"/>
        </w:rPr>
        <w:t>3</w:t>
      </w:r>
      <w:r>
        <w:rPr>
          <w:rFonts w:hint="eastAsia"/>
          <w:szCs w:val="21"/>
          <w:highlight w:val="none"/>
        </w:rPr>
        <w:t>6、</w:t>
      </w:r>
      <w:r>
        <w:rPr>
          <w:szCs w:val="21"/>
          <w:highlight w:val="none"/>
        </w:rPr>
        <w:t>招标服务费</w:t>
      </w:r>
    </w:p>
    <w:p w14:paraId="2514606F">
      <w:pPr>
        <w:spacing w:line="380" w:lineRule="exact"/>
        <w:ind w:firstLine="420" w:firstLineChars="200"/>
        <w:contextualSpacing/>
        <w:rPr>
          <w:szCs w:val="21"/>
          <w:highlight w:val="none"/>
        </w:rPr>
      </w:pPr>
      <w:r>
        <w:rPr>
          <w:rFonts w:hint="eastAsia"/>
          <w:szCs w:val="21"/>
          <w:highlight w:val="none"/>
        </w:rPr>
        <w:t>中标人</w:t>
      </w:r>
      <w:r>
        <w:rPr>
          <w:szCs w:val="21"/>
          <w:highlight w:val="none"/>
        </w:rPr>
        <w:t>应向本采购代理机构支付招标服务费。招标服务费的收费依据及相关规定载明在采购文件《投标资料表》中。</w:t>
      </w:r>
      <w:bookmarkEnd w:id="48"/>
    </w:p>
    <w:p w14:paraId="19C44E4E">
      <w:pPr>
        <w:spacing w:line="380" w:lineRule="exact"/>
        <w:ind w:firstLine="420" w:firstLineChars="200"/>
        <w:contextualSpacing/>
        <w:rPr>
          <w:szCs w:val="21"/>
          <w:highlight w:val="none"/>
        </w:rPr>
      </w:pPr>
    </w:p>
    <w:p w14:paraId="1AFCC0DC">
      <w:pPr>
        <w:pStyle w:val="2"/>
        <w:contextualSpacing/>
        <w:rPr>
          <w:rFonts w:ascii="Times New Roman"/>
          <w:sz w:val="24"/>
          <w:szCs w:val="24"/>
          <w:highlight w:val="none"/>
        </w:rPr>
      </w:pPr>
      <w:bookmarkStart w:id="49" w:name="_Toc505353791"/>
      <w:bookmarkStart w:id="50" w:name="_Hlk49412452"/>
      <w:bookmarkStart w:id="51" w:name="_Toc456853677"/>
      <w:bookmarkStart w:id="52" w:name="_Toc496003211"/>
      <w:bookmarkStart w:id="53" w:name="_Toc430790246"/>
      <w:bookmarkStart w:id="54" w:name="_Toc498429640"/>
      <w:bookmarkStart w:id="55" w:name="_Toc425780309"/>
      <w:bookmarkStart w:id="56" w:name="_Toc445193552"/>
      <w:bookmarkStart w:id="57" w:name="_Toc425151765"/>
      <w:bookmarkStart w:id="58" w:name="_Toc429407725"/>
      <w:r>
        <w:rPr>
          <w:rFonts w:hint="eastAsia" w:ascii="Times New Roman"/>
          <w:sz w:val="24"/>
          <w:szCs w:val="24"/>
          <w:highlight w:val="none"/>
        </w:rPr>
        <w:t>十二、</w:t>
      </w:r>
      <w:r>
        <w:rPr>
          <w:rFonts w:ascii="Times New Roman"/>
          <w:sz w:val="24"/>
          <w:szCs w:val="24"/>
          <w:highlight w:val="none"/>
        </w:rPr>
        <w:t>政府采购活动中有关中小企业的相关规定（采购进口产品的项目不适用）</w:t>
      </w:r>
      <w:bookmarkEnd w:id="49"/>
      <w:bookmarkEnd w:id="50"/>
      <w:bookmarkEnd w:id="51"/>
      <w:bookmarkEnd w:id="52"/>
      <w:bookmarkEnd w:id="53"/>
      <w:bookmarkEnd w:id="54"/>
      <w:bookmarkEnd w:id="55"/>
      <w:bookmarkEnd w:id="56"/>
      <w:bookmarkEnd w:id="57"/>
      <w:bookmarkEnd w:id="58"/>
    </w:p>
    <w:p w14:paraId="6D7F6613">
      <w:pPr>
        <w:spacing w:line="380" w:lineRule="exact"/>
        <w:contextualSpacing/>
        <w:rPr>
          <w:szCs w:val="21"/>
          <w:highlight w:val="none"/>
        </w:rPr>
      </w:pPr>
      <w:r>
        <w:rPr>
          <w:rFonts w:hint="eastAsia"/>
          <w:szCs w:val="21"/>
          <w:highlight w:val="none"/>
        </w:rPr>
        <w:t>37、本项目</w:t>
      </w:r>
      <w:r>
        <w:rPr>
          <w:rFonts w:hint="eastAsia"/>
          <w:szCs w:val="21"/>
          <w:highlight w:val="none"/>
          <w:u w:val="single"/>
        </w:rPr>
        <w:t>是</w:t>
      </w:r>
      <w:r>
        <w:rPr>
          <w:rFonts w:hint="eastAsia"/>
          <w:szCs w:val="21"/>
          <w:highlight w:val="none"/>
        </w:rPr>
        <w:t>专门面向中小企业采购。</w:t>
      </w:r>
    </w:p>
    <w:p w14:paraId="4B7BE2E9">
      <w:pPr>
        <w:spacing w:line="380" w:lineRule="exact"/>
        <w:contextualSpacing/>
        <w:rPr>
          <w:szCs w:val="21"/>
          <w:highlight w:val="none"/>
        </w:rPr>
      </w:pPr>
      <w:r>
        <w:rPr>
          <w:rFonts w:hint="eastAsia"/>
          <w:szCs w:val="21"/>
          <w:highlight w:val="none"/>
        </w:rPr>
        <w:t>38、本项目对应的中小企业划型标准所属行业：</w:t>
      </w:r>
      <w:r>
        <w:rPr>
          <w:rFonts w:hint="eastAsia"/>
          <w:b/>
          <w:highlight w:val="none"/>
          <w:u w:val="single"/>
        </w:rPr>
        <w:t>工业</w:t>
      </w:r>
      <w:r>
        <w:rPr>
          <w:rFonts w:hint="eastAsia"/>
          <w:b/>
          <w:szCs w:val="21"/>
          <w:highlight w:val="none"/>
        </w:rPr>
        <w:t>。</w:t>
      </w:r>
    </w:p>
    <w:p w14:paraId="6ABCCFCC">
      <w:pPr>
        <w:pStyle w:val="17"/>
        <w:spacing w:after="0" w:line="360" w:lineRule="auto"/>
        <w:contextualSpacing/>
        <w:rPr>
          <w:szCs w:val="21"/>
          <w:highlight w:val="none"/>
        </w:rPr>
      </w:pPr>
      <w:r>
        <w:rPr>
          <w:szCs w:val="21"/>
          <w:highlight w:val="none"/>
        </w:rPr>
        <w:t>3</w:t>
      </w:r>
      <w:r>
        <w:rPr>
          <w:rFonts w:hint="eastAsia"/>
          <w:szCs w:val="21"/>
          <w:highlight w:val="none"/>
        </w:rPr>
        <w:t>9、小微企业是指中华人民共和国境内依法设立，依据国务院批准的中小企业划分标准确定的小型企业和微型企业，但与大企业的负责人为同一人，或者与大企业存在直接控股、管理关系的除外。</w:t>
      </w:r>
    </w:p>
    <w:p w14:paraId="687CA610">
      <w:pPr>
        <w:pStyle w:val="17"/>
        <w:spacing w:after="0" w:line="360" w:lineRule="auto"/>
        <w:ind w:firstLine="420" w:firstLineChars="200"/>
        <w:contextualSpacing/>
        <w:rPr>
          <w:szCs w:val="21"/>
          <w:highlight w:val="none"/>
        </w:rPr>
      </w:pPr>
      <w:r>
        <w:rPr>
          <w:rFonts w:hint="eastAsia"/>
          <w:szCs w:val="21"/>
          <w:highlight w:val="none"/>
        </w:rPr>
        <w:t>符合中小企业划分标准的个体工商户，在政府采购活动中视同中小企业。</w:t>
      </w:r>
    </w:p>
    <w:p w14:paraId="10FBB5AB">
      <w:pPr>
        <w:pStyle w:val="17"/>
        <w:spacing w:after="0" w:line="360" w:lineRule="auto"/>
        <w:ind w:firstLine="420" w:firstLineChars="200"/>
        <w:contextualSpacing/>
        <w:rPr>
          <w:szCs w:val="21"/>
          <w:highlight w:val="none"/>
        </w:rPr>
      </w:pPr>
      <w:r>
        <w:rPr>
          <w:rFonts w:hint="eastAsia"/>
          <w:szCs w:val="21"/>
          <w:highlight w:val="none"/>
        </w:rPr>
        <w:t>国务院批准的中小企业划分标准：具体见工信部联企业[2011]300号。</w:t>
      </w:r>
    </w:p>
    <w:p w14:paraId="23750C48">
      <w:pPr>
        <w:pStyle w:val="17"/>
        <w:spacing w:after="0" w:line="360" w:lineRule="auto"/>
        <w:contextualSpacing/>
        <w:rPr>
          <w:szCs w:val="21"/>
          <w:highlight w:val="none"/>
        </w:rPr>
      </w:pPr>
      <w:r>
        <w:rPr>
          <w:rFonts w:hint="eastAsia"/>
          <w:szCs w:val="21"/>
          <w:highlight w:val="none"/>
        </w:rPr>
        <w:t>40、在政府采购活动中，供应商提供的货物、工程或者服务符合下列情形的，可享受小型、微型企业（以下简称小微企业）的价格扣除：</w:t>
      </w:r>
    </w:p>
    <w:p w14:paraId="5C64F19C">
      <w:pPr>
        <w:pStyle w:val="17"/>
        <w:spacing w:after="0" w:line="360" w:lineRule="auto"/>
        <w:contextualSpacing/>
        <w:rPr>
          <w:szCs w:val="21"/>
          <w:highlight w:val="none"/>
        </w:rPr>
      </w:pPr>
      <w:r>
        <w:rPr>
          <w:rFonts w:hint="eastAsia"/>
          <w:szCs w:val="21"/>
          <w:highlight w:val="none"/>
        </w:rPr>
        <w:t>（1）在货物采购项目中，货物由小微企业制造，即货物由小微企业生产且使用该小微企业商号或者注册商标；</w:t>
      </w:r>
    </w:p>
    <w:p w14:paraId="2795C424">
      <w:pPr>
        <w:pStyle w:val="17"/>
        <w:spacing w:after="0" w:line="360" w:lineRule="auto"/>
        <w:contextualSpacing/>
        <w:rPr>
          <w:szCs w:val="21"/>
          <w:highlight w:val="none"/>
        </w:rPr>
      </w:pPr>
      <w:r>
        <w:rPr>
          <w:rFonts w:hint="eastAsia"/>
          <w:szCs w:val="21"/>
          <w:highlight w:val="none"/>
        </w:rPr>
        <w:t>（2）在工程采购项目中，工程由小微企业承建，即工程施工单位为小微企业；</w:t>
      </w:r>
    </w:p>
    <w:p w14:paraId="37926415">
      <w:pPr>
        <w:pStyle w:val="17"/>
        <w:spacing w:after="0" w:line="360" w:lineRule="auto"/>
        <w:contextualSpacing/>
        <w:rPr>
          <w:szCs w:val="21"/>
          <w:highlight w:val="none"/>
        </w:rPr>
      </w:pPr>
      <w:r>
        <w:rPr>
          <w:rFonts w:hint="eastAsia"/>
          <w:szCs w:val="21"/>
          <w:highlight w:val="none"/>
        </w:rPr>
        <w:t>（3）在服务采购项目中，服务由小微企业承接，即提供服务的人员为小微企业依照《中华人民共和国劳动合同法》订立劳动合同的从业人员。</w:t>
      </w:r>
    </w:p>
    <w:p w14:paraId="06164CA7">
      <w:pPr>
        <w:pStyle w:val="17"/>
        <w:spacing w:after="0" w:line="360" w:lineRule="auto"/>
        <w:contextualSpacing/>
        <w:rPr>
          <w:szCs w:val="21"/>
          <w:highlight w:val="none"/>
        </w:rPr>
      </w:pPr>
      <w:r>
        <w:rPr>
          <w:rFonts w:hint="eastAsia"/>
          <w:szCs w:val="21"/>
          <w:highlight w:val="none"/>
        </w:rPr>
        <w:t>以联合体形式参加政府采购活动，联合体各方均为小微企业的，联合体视同小微企业。</w:t>
      </w:r>
    </w:p>
    <w:p w14:paraId="20876009">
      <w:pPr>
        <w:pStyle w:val="17"/>
        <w:spacing w:after="0" w:line="360" w:lineRule="auto"/>
        <w:contextualSpacing/>
        <w:rPr>
          <w:szCs w:val="21"/>
          <w:highlight w:val="none"/>
        </w:rPr>
      </w:pPr>
      <w:r>
        <w:rPr>
          <w:rFonts w:hint="eastAsia"/>
          <w:szCs w:val="21"/>
          <w:highlight w:val="none"/>
        </w:rPr>
        <w:t>41、在货物采购项目中，供应商提供的货物既有中小企业制造货物，也有大型企业制造货物的，不享受的小微企业价格扣除。</w:t>
      </w:r>
    </w:p>
    <w:p w14:paraId="047C0A0C">
      <w:pPr>
        <w:pStyle w:val="17"/>
        <w:spacing w:after="0" w:line="360" w:lineRule="auto"/>
        <w:contextualSpacing/>
        <w:rPr>
          <w:szCs w:val="21"/>
          <w:highlight w:val="none"/>
        </w:rPr>
      </w:pPr>
      <w:r>
        <w:rPr>
          <w:rFonts w:hint="eastAsia"/>
          <w:szCs w:val="21"/>
          <w:highlight w:val="none"/>
        </w:rPr>
        <w:t>42、本项目对符合《政府采购促进中小企业发展管理办法》（财库﹝2020﹞46号）规定的小微企业报价给予10%的扣除，联合体投标的，联合体协议及投标报价中明确约定小微企业的合同份额占到合同总金额30%以上的，对联合体投标供应商的报价给予4%的扣除，用扣除后的价格参加评审。</w:t>
      </w:r>
    </w:p>
    <w:p w14:paraId="259A1A7E">
      <w:pPr>
        <w:pStyle w:val="17"/>
        <w:spacing w:after="0" w:line="360" w:lineRule="auto"/>
        <w:contextualSpacing/>
        <w:rPr>
          <w:szCs w:val="21"/>
          <w:highlight w:val="none"/>
        </w:rPr>
      </w:pPr>
      <w:r>
        <w:rPr>
          <w:rFonts w:hint="eastAsia"/>
          <w:szCs w:val="21"/>
          <w:highlight w:val="none"/>
        </w:rPr>
        <w:t>43、小微企业应按照磋商文件格式要求提供《中小企业声明函》。</w:t>
      </w:r>
    </w:p>
    <w:p w14:paraId="23F72D17">
      <w:pPr>
        <w:pStyle w:val="17"/>
        <w:spacing w:after="0" w:line="360" w:lineRule="auto"/>
        <w:contextualSpacing/>
        <w:rPr>
          <w:szCs w:val="21"/>
          <w:highlight w:val="none"/>
        </w:rPr>
      </w:pPr>
      <w:r>
        <w:rPr>
          <w:rFonts w:hint="eastAsia"/>
          <w:szCs w:val="21"/>
          <w:highlight w:val="none"/>
        </w:rPr>
        <w:t>44、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C89929C">
      <w:pPr>
        <w:pStyle w:val="17"/>
        <w:spacing w:after="0" w:line="360" w:lineRule="auto"/>
        <w:contextualSpacing/>
        <w:rPr>
          <w:szCs w:val="21"/>
          <w:highlight w:val="none"/>
        </w:rPr>
      </w:pPr>
      <w:r>
        <w:rPr>
          <w:rFonts w:hint="eastAsia"/>
          <w:szCs w:val="21"/>
          <w:highlight w:val="none"/>
        </w:rPr>
        <w:t>45、根据《关于促进残疾人就业政府采购政策的通知》（财库[2017]141号）规定，在政府采购活动中，残疾人福利性单位视同小型、微型企业。残疾人福利性单位参加政府采购活动时，提供《残疾人福利性单位声明函》。</w:t>
      </w:r>
    </w:p>
    <w:p w14:paraId="24CA60E9">
      <w:pPr>
        <w:pStyle w:val="17"/>
        <w:spacing w:after="0" w:line="360" w:lineRule="auto"/>
        <w:contextualSpacing/>
        <w:rPr>
          <w:szCs w:val="21"/>
          <w:highlight w:val="none"/>
        </w:rPr>
      </w:pPr>
      <w:r>
        <w:rPr>
          <w:rFonts w:hint="eastAsia"/>
          <w:szCs w:val="21"/>
          <w:highlight w:val="none"/>
        </w:rPr>
        <w:t>46、按规定享受扶持政策获得政府采购合同的，小微企业不得将合同分包给大中型企业，中型企业不得将合同分包给大型企业。</w:t>
      </w:r>
    </w:p>
    <w:p w14:paraId="02F49640">
      <w:pPr>
        <w:spacing w:line="360" w:lineRule="auto"/>
        <w:contextualSpacing/>
        <w:rPr>
          <w:color w:val="000000"/>
          <w:szCs w:val="21"/>
          <w:highlight w:val="none"/>
        </w:rPr>
      </w:pPr>
      <w:r>
        <w:rPr>
          <w:rFonts w:hint="eastAsia"/>
          <w:szCs w:val="21"/>
          <w:highlight w:val="none"/>
        </w:rPr>
        <w:t>47、供应商按照《政府采购促进中小企业发展管理办法》（财库﹝2020﹞46号）规定提供声明函内容不实的，属于提供虚假材料谋取中标、成交，依照《中华人民共和国政府采购法》等国家有关规定追究相应责任。</w:t>
      </w:r>
    </w:p>
    <w:p w14:paraId="7C34D34A">
      <w:pPr>
        <w:spacing w:line="360" w:lineRule="auto"/>
        <w:contextualSpacing/>
        <w:rPr>
          <w:rFonts w:hint="eastAsia" w:ascii="宋体" w:hAnsi="宋体" w:cs="宋体"/>
          <w:color w:val="000000"/>
          <w:szCs w:val="21"/>
          <w:highlight w:val="none"/>
        </w:rPr>
      </w:pPr>
    </w:p>
    <w:p w14:paraId="119AA703">
      <w:pPr>
        <w:pStyle w:val="42"/>
        <w:rPr>
          <w:rFonts w:ascii="Times New Roman" w:hAnsi="Times New Roman"/>
          <w:color w:val="000000"/>
          <w:kern w:val="44"/>
          <w:highlight w:val="none"/>
        </w:rPr>
        <w:sectPr>
          <w:footerReference r:id="rId11" w:type="first"/>
          <w:footerReference r:id="rId10" w:type="default"/>
          <w:pgSz w:w="11907" w:h="16840"/>
          <w:pgMar w:top="1304" w:right="1588" w:bottom="1304" w:left="1588" w:header="720" w:footer="720" w:gutter="0"/>
          <w:cols w:space="720" w:num="1"/>
          <w:titlePg/>
          <w:docGrid w:linePitch="285" w:charSpace="0"/>
        </w:sectPr>
      </w:pPr>
    </w:p>
    <w:p w14:paraId="7505E27F">
      <w:pPr>
        <w:pStyle w:val="42"/>
        <w:rPr>
          <w:rFonts w:ascii="Times New Roman" w:hAnsi="Times New Roman"/>
          <w:color w:val="000000"/>
          <w:kern w:val="44"/>
          <w:highlight w:val="none"/>
        </w:rPr>
      </w:pPr>
      <w:r>
        <w:rPr>
          <w:rFonts w:hint="eastAsia" w:ascii="Times New Roman" w:hAnsi="Times New Roman"/>
          <w:color w:val="000000"/>
          <w:kern w:val="44"/>
          <w:highlight w:val="none"/>
        </w:rPr>
        <w:t>第四章 评标办法及标准</w:t>
      </w:r>
    </w:p>
    <w:bookmarkEnd w:id="9"/>
    <w:bookmarkEnd w:id="10"/>
    <w:bookmarkEnd w:id="11"/>
    <w:p w14:paraId="7DCF1C1E">
      <w:pPr>
        <w:spacing w:line="360" w:lineRule="auto"/>
        <w:ind w:firstLine="420" w:firstLineChars="200"/>
        <w:contextualSpacing/>
        <w:rPr>
          <w:rFonts w:hint="eastAsia" w:ascii="宋体" w:hAnsi="宋体" w:cs="宋体"/>
          <w:szCs w:val="21"/>
          <w:highlight w:val="none"/>
        </w:rPr>
      </w:pPr>
      <w:bookmarkStart w:id="59" w:name="_Toc422996749"/>
      <w:bookmarkEnd w:id="59"/>
      <w:bookmarkStart w:id="60" w:name="_Toc422996750"/>
      <w:bookmarkEnd w:id="60"/>
      <w:bookmarkStart w:id="61" w:name="_Toc422996819"/>
      <w:bookmarkEnd w:id="61"/>
      <w:bookmarkStart w:id="62" w:name="_Toc422996818"/>
      <w:bookmarkEnd w:id="62"/>
      <w:r>
        <w:rPr>
          <w:rFonts w:hint="eastAsia" w:ascii="宋体" w:hAnsi="宋体" w:cs="宋体"/>
          <w:szCs w:val="21"/>
          <w:highlight w:val="none"/>
        </w:rPr>
        <w:t>本评标办法是对《投标人须知》中的七、评标和定标的具体补充，如有不一致，以本办法为准。</w:t>
      </w:r>
    </w:p>
    <w:p w14:paraId="0D76A004">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评标委员会按照招标文件“投标人须知”中关于评标委员会、评标办法、评标程序和原则、推荐中标候选人、定标等规定和本标准开展评标工作。</w:t>
      </w:r>
    </w:p>
    <w:p w14:paraId="1AE56956">
      <w:pPr>
        <w:pStyle w:val="3"/>
        <w:spacing w:before="0" w:after="0" w:line="360" w:lineRule="auto"/>
        <w:ind w:firstLine="200"/>
        <w:contextualSpacing/>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●评标办法</w:t>
      </w:r>
    </w:p>
    <w:p w14:paraId="6E06BE57">
      <w:pPr>
        <w:spacing w:line="360" w:lineRule="auto"/>
        <w:ind w:firstLine="411" w:firstLineChars="196"/>
        <w:contextualSpacing/>
        <w:rPr>
          <w:rFonts w:hint="eastAsia" w:ascii="宋体" w:hAnsi="宋体" w:cs="宋体"/>
          <w:szCs w:val="21"/>
          <w:highlight w:val="none"/>
        </w:rPr>
      </w:pPr>
      <w:r>
        <w:rPr>
          <w:rFonts w:hint="eastAsia" w:ascii="宋体" w:hAnsi="宋体" w:cs="宋体"/>
          <w:szCs w:val="21"/>
          <w:highlight w:val="none"/>
        </w:rPr>
        <w:t>本次采购招标项目选用：综合评分法</w:t>
      </w:r>
    </w:p>
    <w:p w14:paraId="13C0EEFE">
      <w:pPr>
        <w:pStyle w:val="3"/>
        <w:spacing w:before="0" w:after="0" w:line="360" w:lineRule="auto"/>
        <w:ind w:firstLine="200"/>
        <w:contextualSpacing/>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●开标程序：按第三部分“投标人须知”</w:t>
      </w:r>
      <w:r>
        <w:rPr>
          <w:rFonts w:hint="eastAsia" w:ascii="宋体" w:hAnsi="宋体" w:eastAsia="宋体" w:cs="宋体"/>
          <w:b w:val="0"/>
          <w:bCs w:val="0"/>
          <w:sz w:val="21"/>
          <w:szCs w:val="21"/>
          <w:highlight w:val="none"/>
        </w:rPr>
        <w:t>规定的程序开标。</w:t>
      </w:r>
    </w:p>
    <w:p w14:paraId="6B9D4297">
      <w:pPr>
        <w:pStyle w:val="3"/>
        <w:spacing w:before="0" w:after="0" w:line="360" w:lineRule="auto"/>
        <w:ind w:firstLine="200"/>
        <w:contextualSpacing/>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●评标细则</w:t>
      </w:r>
    </w:p>
    <w:p w14:paraId="0B107D2A">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1、对初步审查（含资格审查、符合性审查）合格者进行评分。</w:t>
      </w:r>
    </w:p>
    <w:p w14:paraId="129E73BA">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2、每位评委根据《评分标准》独立逐栏打分，每栏分值不得超出规定的分值范围；各评分因素分值保留小数点后二位。</w:t>
      </w:r>
    </w:p>
    <w:p w14:paraId="63CA5446">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3、价格评审基准价格与价格评审：有效投标中的最低评审价为基准价格，其投标价格分得满分。其余投标价格分得分计算按照“评分标准”中评审得分公式计算，以四舍五入方法整合到小数点后二位。</w:t>
      </w:r>
    </w:p>
    <w:p w14:paraId="640FF9FD">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4、最终得分：各评委技术商务分的算术平均值+投标价格分=最终得分，以四舍五入法整合到小数点后二位。</w:t>
      </w:r>
    </w:p>
    <w:p w14:paraId="53F642B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5、评价排序：按评审后得分由高到低顺序排列。得分相同的，按投标报价由低到高顺序排列。得分且投标报价相同的并列，抽签决定中标候选人。</w:t>
      </w:r>
    </w:p>
    <w:p w14:paraId="296A3E39">
      <w:pPr>
        <w:pStyle w:val="3"/>
        <w:spacing w:before="0" w:after="0" w:line="360" w:lineRule="auto"/>
        <w:ind w:firstLine="200"/>
        <w:contextualSpacing/>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●其他说明</w:t>
      </w:r>
    </w:p>
    <w:p w14:paraId="6BE1DF14">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有效投标：通过初步审查且投标报价符合评审范围。</w:t>
      </w:r>
      <w:r>
        <w:rPr>
          <w:rFonts w:hint="eastAsia" w:ascii="宋体" w:hAnsi="宋体" w:cs="宋体"/>
          <w:szCs w:val="21"/>
          <w:highlight w:val="none"/>
        </w:rPr>
        <w:tab/>
      </w:r>
    </w:p>
    <w:p w14:paraId="53380251">
      <w:pPr>
        <w:spacing w:line="360" w:lineRule="auto"/>
        <w:ind w:firstLine="422" w:firstLineChars="200"/>
        <w:contextualSpacing/>
        <w:rPr>
          <w:b/>
          <w:bCs/>
          <w:szCs w:val="21"/>
          <w:highlight w:val="none"/>
        </w:rPr>
      </w:pPr>
      <w:bookmarkStart w:id="63" w:name="_Hlk104046095"/>
      <w:r>
        <w:rPr>
          <w:b/>
          <w:szCs w:val="21"/>
          <w:highlight w:val="none"/>
        </w:rPr>
        <w:t>本次采购为专门面向中小企业</w:t>
      </w:r>
      <w:r>
        <w:rPr>
          <w:rFonts w:hint="eastAsia"/>
          <w:b/>
          <w:szCs w:val="21"/>
          <w:highlight w:val="none"/>
        </w:rPr>
        <w:t>/小微企业采购，</w:t>
      </w:r>
      <w:r>
        <w:rPr>
          <w:rFonts w:hint="eastAsia"/>
          <w:b/>
          <w:bCs/>
          <w:szCs w:val="21"/>
          <w:highlight w:val="none"/>
        </w:rPr>
        <w:t>满足要求的投标人不再享受价格扣除优惠。</w:t>
      </w:r>
    </w:p>
    <w:bookmarkEnd w:id="63"/>
    <w:p w14:paraId="26BDC79A">
      <w:pPr>
        <w:spacing w:line="360" w:lineRule="auto"/>
        <w:ind w:firstLine="420" w:firstLineChars="200"/>
        <w:contextualSpacing/>
        <w:rPr>
          <w:highlight w:val="none"/>
        </w:rPr>
      </w:pPr>
      <w:r>
        <w:rPr>
          <w:rFonts w:hint="eastAsia"/>
          <w:highlight w:val="none"/>
        </w:rPr>
        <w:t>●评分标准</w:t>
      </w:r>
    </w:p>
    <w:p w14:paraId="599F212E">
      <w:pPr>
        <w:pStyle w:val="42"/>
        <w:rPr>
          <w:w w:val="80"/>
          <w:highlight w:val="none"/>
        </w:rPr>
      </w:pPr>
    </w:p>
    <w:p w14:paraId="48C8D16E">
      <w:pPr>
        <w:pBdr>
          <w:top w:val="single" w:color="auto" w:sz="2" w:space="1"/>
        </w:pBdr>
        <w:tabs>
          <w:tab w:val="left" w:pos="5940"/>
        </w:tabs>
        <w:ind w:left="18" w:hanging="18" w:hangingChars="8"/>
        <w:jc w:val="center"/>
        <w:rPr>
          <w:rFonts w:hint="eastAsia" w:ascii="宋体" w:hAnsi="宋体"/>
          <w:b/>
          <w:w w:val="80"/>
          <w:sz w:val="28"/>
          <w:szCs w:val="28"/>
          <w:highlight w:val="none"/>
        </w:rPr>
      </w:pPr>
      <w:r>
        <w:rPr>
          <w:rFonts w:hint="eastAsia" w:ascii="宋体" w:hAnsi="宋体"/>
          <w:b/>
          <w:w w:val="80"/>
          <w:sz w:val="28"/>
          <w:szCs w:val="28"/>
          <w:highlight w:val="none"/>
        </w:rPr>
        <w:t>评分标准（兼评委打分表）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151"/>
        <w:gridCol w:w="7216"/>
      </w:tblGrid>
      <w:tr w14:paraId="08E1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tcBorders>
              <w:top w:val="single" w:color="auto" w:sz="4" w:space="0"/>
              <w:left w:val="single" w:color="auto" w:sz="4" w:space="0"/>
              <w:bottom w:val="single" w:color="auto" w:sz="4" w:space="0"/>
              <w:right w:val="single" w:color="auto" w:sz="4" w:space="0"/>
            </w:tcBorders>
            <w:vAlign w:val="center"/>
          </w:tcPr>
          <w:p w14:paraId="5B173C21">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考核项目</w:t>
            </w:r>
          </w:p>
        </w:tc>
        <w:tc>
          <w:tcPr>
            <w:tcW w:w="8367" w:type="dxa"/>
            <w:gridSpan w:val="2"/>
            <w:tcBorders>
              <w:top w:val="single" w:color="auto" w:sz="4" w:space="0"/>
              <w:left w:val="single" w:color="auto" w:sz="4" w:space="0"/>
              <w:bottom w:val="single" w:color="auto" w:sz="4" w:space="0"/>
              <w:right w:val="single" w:color="auto" w:sz="4" w:space="0"/>
            </w:tcBorders>
            <w:vAlign w:val="center"/>
          </w:tcPr>
          <w:p w14:paraId="256AAFA8">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评分标准</w:t>
            </w:r>
          </w:p>
        </w:tc>
      </w:tr>
      <w:tr w14:paraId="6C01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2" w:type="dxa"/>
            <w:vMerge w:val="restart"/>
            <w:tcBorders>
              <w:top w:val="single" w:color="auto" w:sz="4" w:space="0"/>
              <w:left w:val="single" w:color="auto" w:sz="4" w:space="0"/>
              <w:right w:val="single" w:color="auto" w:sz="4" w:space="0"/>
            </w:tcBorders>
            <w:vAlign w:val="center"/>
          </w:tcPr>
          <w:p w14:paraId="4F40CF8F">
            <w:pPr>
              <w:spacing w:line="340" w:lineRule="exact"/>
              <w:jc w:val="center"/>
              <w:rPr>
                <w:rFonts w:hint="eastAsia" w:ascii="宋体" w:hAnsi="宋体" w:cs="宋体"/>
                <w:b/>
                <w:szCs w:val="21"/>
                <w:highlight w:val="none"/>
              </w:rPr>
            </w:pPr>
            <w:r>
              <w:rPr>
                <w:rFonts w:hint="eastAsia" w:ascii="宋体" w:hAnsi="宋体" w:cs="宋体"/>
                <w:szCs w:val="21"/>
                <w:highlight w:val="none"/>
              </w:rPr>
              <w:t>技术商务分（70分）</w:t>
            </w:r>
          </w:p>
        </w:tc>
        <w:tc>
          <w:tcPr>
            <w:tcW w:w="1151" w:type="dxa"/>
            <w:tcBorders>
              <w:top w:val="single" w:color="auto" w:sz="4" w:space="0"/>
              <w:left w:val="single" w:color="auto" w:sz="4" w:space="0"/>
              <w:right w:val="single" w:color="auto" w:sz="4" w:space="0"/>
            </w:tcBorders>
            <w:vAlign w:val="center"/>
          </w:tcPr>
          <w:p w14:paraId="04677339">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企业资质</w:t>
            </w:r>
          </w:p>
          <w:p w14:paraId="0FBC161F">
            <w:pPr>
              <w:pStyle w:val="52"/>
              <w:jc w:val="center"/>
              <w:rPr>
                <w:rFonts w:hint="eastAsia"/>
                <w:sz w:val="21"/>
                <w:szCs w:val="21"/>
                <w:highlight w:val="none"/>
              </w:rPr>
            </w:pPr>
            <w:r>
              <w:rPr>
                <w:rFonts w:hint="eastAsia"/>
                <w:sz w:val="21"/>
                <w:szCs w:val="21"/>
                <w:highlight w:val="none"/>
              </w:rPr>
              <w:t>（3分）</w:t>
            </w:r>
          </w:p>
          <w:p w14:paraId="3DA95085">
            <w:pPr>
              <w:pStyle w:val="52"/>
              <w:jc w:val="center"/>
              <w:rPr>
                <w:rFonts w:hint="eastAsia" w:cs="宋体"/>
                <w:kern w:val="0"/>
                <w:sz w:val="21"/>
                <w:szCs w:val="21"/>
                <w:highlight w:val="none"/>
              </w:rPr>
            </w:pPr>
          </w:p>
        </w:tc>
        <w:tc>
          <w:tcPr>
            <w:tcW w:w="7216" w:type="dxa"/>
            <w:tcBorders>
              <w:top w:val="single" w:color="auto" w:sz="4" w:space="0"/>
              <w:left w:val="single" w:color="auto" w:sz="4" w:space="0"/>
              <w:right w:val="single" w:color="auto" w:sz="4" w:space="0"/>
            </w:tcBorders>
            <w:vAlign w:val="center"/>
          </w:tcPr>
          <w:p w14:paraId="2382CD11">
            <w:pPr>
              <w:widowControl/>
              <w:spacing w:line="330" w:lineRule="exact"/>
              <w:rPr>
                <w:rFonts w:hint="eastAsia" w:ascii="宋体" w:hAnsi="宋体" w:cs="宋体"/>
                <w:szCs w:val="21"/>
                <w:highlight w:val="none"/>
              </w:rPr>
            </w:pPr>
            <w:r>
              <w:rPr>
                <w:rFonts w:hint="eastAsia" w:ascii="宋体" w:hAnsi="宋体" w:cs="宋体"/>
                <w:szCs w:val="21"/>
                <w:highlight w:val="none"/>
              </w:rPr>
              <w:t>投标人具备ISO9001质量管理体系认证证书、ISO20000信息技术服务管理体系认证证书、ISO27001信息安全管理体系认证证书，每提供一项得1分，满分3分。需提供证书复印件并加盖投标人公章。</w:t>
            </w:r>
          </w:p>
        </w:tc>
      </w:tr>
      <w:tr w14:paraId="7A9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2" w:type="dxa"/>
            <w:vMerge w:val="continue"/>
            <w:tcBorders>
              <w:left w:val="single" w:color="auto" w:sz="4" w:space="0"/>
              <w:right w:val="single" w:color="auto" w:sz="4" w:space="0"/>
            </w:tcBorders>
            <w:vAlign w:val="center"/>
          </w:tcPr>
          <w:p w14:paraId="1E489477">
            <w:pPr>
              <w:spacing w:line="340" w:lineRule="exact"/>
              <w:jc w:val="center"/>
              <w:rPr>
                <w:rFonts w:hint="eastAsia" w:ascii="宋体" w:hAnsi="宋体" w:cs="宋体"/>
                <w:b/>
                <w:szCs w:val="21"/>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61745672">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设备参数   响应程度（45分）</w:t>
            </w:r>
          </w:p>
        </w:tc>
        <w:tc>
          <w:tcPr>
            <w:tcW w:w="7216" w:type="dxa"/>
            <w:tcBorders>
              <w:top w:val="single" w:color="auto" w:sz="4" w:space="0"/>
              <w:left w:val="single" w:color="auto" w:sz="4" w:space="0"/>
              <w:bottom w:val="single" w:color="auto" w:sz="4" w:space="0"/>
              <w:right w:val="single" w:color="auto" w:sz="4" w:space="0"/>
            </w:tcBorders>
            <w:vAlign w:val="center"/>
          </w:tcPr>
          <w:p w14:paraId="47253C9D">
            <w:pPr>
              <w:widowControl/>
              <w:spacing w:line="330" w:lineRule="exact"/>
              <w:rPr>
                <w:rFonts w:hint="eastAsia" w:ascii="宋体" w:hAnsi="宋体" w:cs="宋体"/>
                <w:kern w:val="0"/>
                <w:szCs w:val="21"/>
                <w:highlight w:val="none"/>
              </w:rPr>
            </w:pPr>
            <w:r>
              <w:rPr>
                <w:rFonts w:hint="eastAsia" w:ascii="宋体" w:hAnsi="宋体" w:cs="宋体"/>
                <w:szCs w:val="21"/>
                <w:highlight w:val="none"/>
              </w:rPr>
              <w:t>根据供应商提供货物配置和技术参数进行打分，完全响应招标文件产品的技术和规格要求表中各项指标的得满分，每负偏离一条“▲”参数的扣2分，其余非“▲”参数每负偏离一条扣1分，扣完作无效标处理。</w:t>
            </w:r>
          </w:p>
        </w:tc>
      </w:tr>
      <w:tr w14:paraId="1E7E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42" w:type="dxa"/>
            <w:vMerge w:val="continue"/>
            <w:tcBorders>
              <w:left w:val="single" w:color="auto" w:sz="4" w:space="0"/>
              <w:right w:val="single" w:color="auto" w:sz="4" w:space="0"/>
            </w:tcBorders>
            <w:vAlign w:val="center"/>
          </w:tcPr>
          <w:p w14:paraId="7B4FDD7E">
            <w:pPr>
              <w:spacing w:line="340" w:lineRule="exact"/>
              <w:jc w:val="center"/>
              <w:rPr>
                <w:rFonts w:hint="eastAsia" w:ascii="宋体" w:hAnsi="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41F11F96">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产品演示</w:t>
            </w:r>
          </w:p>
          <w:p w14:paraId="5A559E39">
            <w:pPr>
              <w:pStyle w:val="52"/>
              <w:jc w:val="center"/>
              <w:rPr>
                <w:rFonts w:hint="eastAsia" w:cs="宋体"/>
                <w:kern w:val="0"/>
                <w:sz w:val="21"/>
                <w:szCs w:val="21"/>
                <w:highlight w:val="none"/>
              </w:rPr>
            </w:pPr>
            <w:r>
              <w:rPr>
                <w:rFonts w:hint="eastAsia"/>
                <w:sz w:val="21"/>
                <w:szCs w:val="21"/>
                <w:highlight w:val="none"/>
              </w:rPr>
              <w:t>（5分）</w:t>
            </w:r>
          </w:p>
        </w:tc>
        <w:tc>
          <w:tcPr>
            <w:tcW w:w="7216" w:type="dxa"/>
            <w:tcBorders>
              <w:top w:val="single" w:color="auto" w:sz="4" w:space="0"/>
              <w:left w:val="single" w:color="auto" w:sz="4" w:space="0"/>
              <w:bottom w:val="single" w:color="auto" w:sz="4" w:space="0"/>
              <w:right w:val="single" w:color="auto" w:sz="4" w:space="0"/>
            </w:tcBorders>
            <w:vAlign w:val="center"/>
          </w:tcPr>
          <w:p w14:paraId="21A3DDA8">
            <w:pPr>
              <w:widowControl/>
              <w:spacing w:line="330" w:lineRule="exact"/>
              <w:rPr>
                <w:rFonts w:hint="eastAsia" w:ascii="宋体" w:hAnsi="宋体" w:cs="宋体"/>
                <w:szCs w:val="21"/>
                <w:highlight w:val="none"/>
              </w:rPr>
            </w:pPr>
            <w:r>
              <w:rPr>
                <w:rFonts w:hint="eastAsia" w:ascii="宋体" w:hAnsi="宋体" w:cs="宋体"/>
                <w:szCs w:val="21"/>
                <w:highlight w:val="none"/>
              </w:rPr>
              <w:t>演示时间不超过5分钟。演示内容需包含以下五项演示点，每演示一项得1分，总计5分，具体演示功能要求如下：</w:t>
            </w:r>
          </w:p>
          <w:p w14:paraId="267B2D8E">
            <w:pPr>
              <w:widowControl/>
              <w:spacing w:line="330" w:lineRule="exact"/>
              <w:rPr>
                <w:rFonts w:hint="eastAsia" w:ascii="宋体" w:hAnsi="宋体" w:cs="宋体"/>
                <w:szCs w:val="21"/>
                <w:highlight w:val="none"/>
              </w:rPr>
            </w:pPr>
            <w:r>
              <w:rPr>
                <w:rFonts w:hint="eastAsia" w:ascii="宋体" w:hAnsi="宋体" w:cs="宋体"/>
                <w:szCs w:val="21"/>
                <w:highlight w:val="none"/>
              </w:rPr>
              <w:t>1、校级教研管理平台-教师教研应用-集体备课；</w:t>
            </w:r>
          </w:p>
          <w:p w14:paraId="5E8F6AEA">
            <w:pPr>
              <w:widowControl/>
              <w:spacing w:line="330" w:lineRule="exact"/>
              <w:rPr>
                <w:rFonts w:hint="eastAsia" w:ascii="宋体" w:hAnsi="宋体" w:cs="宋体"/>
                <w:szCs w:val="21"/>
                <w:highlight w:val="none"/>
              </w:rPr>
            </w:pPr>
            <w:r>
              <w:rPr>
                <w:rFonts w:hint="eastAsia" w:ascii="宋体" w:hAnsi="宋体" w:cs="宋体"/>
                <w:szCs w:val="21"/>
                <w:highlight w:val="none"/>
              </w:rPr>
              <w:t>2、校级教研管理平台-教师教研应用-教研活动；</w:t>
            </w:r>
          </w:p>
          <w:p w14:paraId="3F05740A">
            <w:pPr>
              <w:widowControl/>
              <w:spacing w:line="330" w:lineRule="exact"/>
              <w:rPr>
                <w:rFonts w:hint="eastAsia" w:ascii="宋体" w:hAnsi="宋体" w:cs="宋体"/>
                <w:szCs w:val="21"/>
                <w:highlight w:val="none"/>
              </w:rPr>
            </w:pPr>
            <w:r>
              <w:rPr>
                <w:rFonts w:hint="eastAsia" w:ascii="宋体" w:hAnsi="宋体" w:cs="宋体"/>
                <w:szCs w:val="21"/>
                <w:highlight w:val="none"/>
              </w:rPr>
              <w:t>3、校级教研管理平台-学校教研管理-教研组目标管理；</w:t>
            </w:r>
          </w:p>
          <w:p w14:paraId="4F418617">
            <w:pPr>
              <w:widowControl/>
              <w:spacing w:line="330" w:lineRule="exact"/>
              <w:rPr>
                <w:rFonts w:hint="eastAsia" w:ascii="宋体" w:hAnsi="宋体" w:cs="宋体"/>
                <w:szCs w:val="21"/>
                <w:highlight w:val="none"/>
              </w:rPr>
            </w:pPr>
            <w:r>
              <w:rPr>
                <w:rFonts w:hint="eastAsia" w:ascii="宋体" w:hAnsi="宋体" w:cs="宋体"/>
                <w:szCs w:val="21"/>
                <w:highlight w:val="none"/>
              </w:rPr>
              <w:t>4、校级教研管理平台-学校教研管理-教学进度检查；</w:t>
            </w:r>
          </w:p>
          <w:p w14:paraId="1FC1EDC2">
            <w:pPr>
              <w:widowControl/>
              <w:spacing w:line="330" w:lineRule="exact"/>
              <w:rPr>
                <w:rFonts w:hint="eastAsia" w:ascii="宋体" w:hAnsi="宋体" w:cs="宋体"/>
                <w:szCs w:val="21"/>
                <w:highlight w:val="none"/>
              </w:rPr>
            </w:pPr>
            <w:r>
              <w:rPr>
                <w:rFonts w:hint="eastAsia" w:ascii="宋体" w:hAnsi="宋体" w:cs="宋体"/>
                <w:szCs w:val="21"/>
                <w:highlight w:val="none"/>
              </w:rPr>
              <w:t>5、校级教研管理平台-学校教研管理-学校教研看板；</w:t>
            </w:r>
          </w:p>
          <w:p w14:paraId="6DCAF74D">
            <w:pPr>
              <w:widowControl/>
              <w:spacing w:line="330" w:lineRule="exact"/>
              <w:rPr>
                <w:rFonts w:hint="eastAsia" w:ascii="宋体" w:hAnsi="宋体" w:cs="宋体"/>
                <w:szCs w:val="21"/>
                <w:highlight w:val="none"/>
              </w:rPr>
            </w:pPr>
            <w:r>
              <w:rPr>
                <w:rFonts w:hint="eastAsia" w:ascii="宋体" w:hAnsi="宋体" w:cs="宋体"/>
                <w:szCs w:val="21"/>
                <w:highlight w:val="none"/>
              </w:rPr>
              <w:t>可采用现场演示或Demo录制等形式，采用Demo录制形式演示的，开标前将录制视频存放在U盘内并密封递交。</w:t>
            </w:r>
          </w:p>
        </w:tc>
      </w:tr>
      <w:tr w14:paraId="68E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tcBorders>
              <w:left w:val="single" w:color="auto" w:sz="4" w:space="0"/>
              <w:right w:val="single" w:color="auto" w:sz="4" w:space="0"/>
            </w:tcBorders>
            <w:vAlign w:val="center"/>
          </w:tcPr>
          <w:p w14:paraId="6C282CFD">
            <w:pPr>
              <w:rPr>
                <w:rFonts w:hint="eastAsia" w:ascii="宋体" w:hAnsi="宋体" w:cs="宋体"/>
                <w:szCs w:val="21"/>
                <w:highlight w:val="none"/>
              </w:rPr>
            </w:pPr>
          </w:p>
        </w:tc>
        <w:tc>
          <w:tcPr>
            <w:tcW w:w="1151" w:type="dxa"/>
            <w:vMerge w:val="restart"/>
            <w:tcBorders>
              <w:top w:val="single" w:color="auto" w:sz="4" w:space="0"/>
              <w:left w:val="single" w:color="auto" w:sz="4" w:space="0"/>
              <w:right w:val="single" w:color="auto" w:sz="4" w:space="0"/>
            </w:tcBorders>
            <w:vAlign w:val="center"/>
          </w:tcPr>
          <w:p w14:paraId="5C52E822">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技术方案（6分）</w:t>
            </w:r>
          </w:p>
        </w:tc>
        <w:tc>
          <w:tcPr>
            <w:tcW w:w="7216" w:type="dxa"/>
            <w:tcBorders>
              <w:top w:val="single" w:color="auto" w:sz="4" w:space="0"/>
              <w:left w:val="single" w:color="auto" w:sz="4" w:space="0"/>
              <w:bottom w:val="single" w:color="auto" w:sz="4" w:space="0"/>
              <w:right w:val="single" w:color="auto" w:sz="4" w:space="0"/>
            </w:tcBorders>
            <w:vAlign w:val="center"/>
          </w:tcPr>
          <w:p w14:paraId="73A054DD">
            <w:pPr>
              <w:widowControl/>
              <w:spacing w:line="330" w:lineRule="exact"/>
              <w:rPr>
                <w:rFonts w:hint="eastAsia" w:ascii="宋体" w:hAnsi="宋体" w:cs="宋体"/>
                <w:szCs w:val="21"/>
                <w:highlight w:val="none"/>
              </w:rPr>
            </w:pPr>
            <w:r>
              <w:rPr>
                <w:rFonts w:hint="eastAsia" w:ascii="宋体" w:hAnsi="宋体" w:cs="宋体"/>
                <w:szCs w:val="21"/>
                <w:highlight w:val="none"/>
              </w:rPr>
              <w:t>要求根据对现有状况进行充分调研和分析，能够准确、整体得把握整个项目，针对采购人和学校的实际需求做合理规划，提供详细技术方案。评委根据供应商的技术方案从以下2个方面打分。</w:t>
            </w:r>
          </w:p>
        </w:tc>
      </w:tr>
      <w:tr w14:paraId="4689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tcBorders>
              <w:left w:val="single" w:color="auto" w:sz="4" w:space="0"/>
              <w:right w:val="single" w:color="auto" w:sz="4" w:space="0"/>
            </w:tcBorders>
            <w:vAlign w:val="center"/>
          </w:tcPr>
          <w:p w14:paraId="2312AB93">
            <w:pPr>
              <w:rPr>
                <w:rFonts w:hint="eastAsia" w:ascii="宋体" w:hAnsi="宋体" w:cs="宋体"/>
                <w:szCs w:val="21"/>
                <w:highlight w:val="none"/>
              </w:rPr>
            </w:pPr>
          </w:p>
        </w:tc>
        <w:tc>
          <w:tcPr>
            <w:tcW w:w="1151" w:type="dxa"/>
            <w:vMerge w:val="continue"/>
            <w:tcBorders>
              <w:left w:val="single" w:color="auto" w:sz="4" w:space="0"/>
              <w:right w:val="single" w:color="auto" w:sz="4" w:space="0"/>
            </w:tcBorders>
            <w:vAlign w:val="center"/>
          </w:tcPr>
          <w:p w14:paraId="1E4CEE7C">
            <w:pPr>
              <w:widowControl/>
              <w:spacing w:line="340" w:lineRule="exact"/>
              <w:jc w:val="center"/>
              <w:rPr>
                <w:rFonts w:hint="eastAsia" w:ascii="宋体" w:hAnsi="宋体" w:cs="宋体"/>
                <w:kern w:val="0"/>
                <w:szCs w:val="21"/>
                <w:highlight w:val="none"/>
              </w:rPr>
            </w:pPr>
          </w:p>
        </w:tc>
        <w:tc>
          <w:tcPr>
            <w:tcW w:w="7216" w:type="dxa"/>
            <w:tcBorders>
              <w:top w:val="single" w:color="auto" w:sz="4" w:space="0"/>
              <w:left w:val="single" w:color="auto" w:sz="4" w:space="0"/>
              <w:bottom w:val="single" w:color="auto" w:sz="4" w:space="0"/>
              <w:right w:val="single" w:color="auto" w:sz="4" w:space="0"/>
            </w:tcBorders>
            <w:vAlign w:val="center"/>
          </w:tcPr>
          <w:p w14:paraId="0865DAD9">
            <w:pPr>
              <w:spacing w:line="330" w:lineRule="exact"/>
              <w:rPr>
                <w:rFonts w:hint="eastAsia" w:ascii="宋体" w:hAnsi="宋体" w:cs="宋体"/>
                <w:kern w:val="0"/>
                <w:szCs w:val="21"/>
                <w:highlight w:val="none"/>
              </w:rPr>
            </w:pPr>
            <w:r>
              <w:rPr>
                <w:rFonts w:hint="eastAsia" w:ascii="宋体" w:hAnsi="宋体" w:cs="宋体"/>
                <w:kern w:val="0"/>
                <w:szCs w:val="21"/>
                <w:highlight w:val="none"/>
              </w:rPr>
              <w:t>（1）技术方案规划全面、先进、合理性。（3、2、1、0分）</w:t>
            </w:r>
          </w:p>
        </w:tc>
      </w:tr>
      <w:tr w14:paraId="478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42" w:type="dxa"/>
            <w:vMerge w:val="continue"/>
            <w:tcBorders>
              <w:left w:val="single" w:color="auto" w:sz="4" w:space="0"/>
              <w:right w:val="single" w:color="auto" w:sz="4" w:space="0"/>
            </w:tcBorders>
            <w:vAlign w:val="center"/>
          </w:tcPr>
          <w:p w14:paraId="23526CC2">
            <w:pPr>
              <w:rPr>
                <w:rFonts w:hint="eastAsia" w:ascii="宋体" w:hAnsi="宋体" w:cs="宋体"/>
                <w:szCs w:val="21"/>
                <w:highlight w:val="none"/>
              </w:rPr>
            </w:pPr>
          </w:p>
        </w:tc>
        <w:tc>
          <w:tcPr>
            <w:tcW w:w="1151" w:type="dxa"/>
            <w:vMerge w:val="continue"/>
            <w:tcBorders>
              <w:left w:val="single" w:color="auto" w:sz="4" w:space="0"/>
              <w:right w:val="single" w:color="auto" w:sz="4" w:space="0"/>
            </w:tcBorders>
            <w:vAlign w:val="center"/>
          </w:tcPr>
          <w:p w14:paraId="2C2310DD">
            <w:pPr>
              <w:widowControl/>
              <w:spacing w:line="340" w:lineRule="exact"/>
              <w:jc w:val="center"/>
              <w:rPr>
                <w:rFonts w:hint="eastAsia" w:ascii="宋体" w:hAnsi="宋体" w:cs="宋体"/>
                <w:kern w:val="0"/>
                <w:szCs w:val="21"/>
                <w:highlight w:val="none"/>
              </w:rPr>
            </w:pPr>
          </w:p>
        </w:tc>
        <w:tc>
          <w:tcPr>
            <w:tcW w:w="7216" w:type="dxa"/>
            <w:tcBorders>
              <w:top w:val="single" w:color="auto" w:sz="4" w:space="0"/>
              <w:left w:val="single" w:color="auto" w:sz="4" w:space="0"/>
              <w:bottom w:val="single" w:color="auto" w:sz="4" w:space="0"/>
              <w:right w:val="single" w:color="auto" w:sz="4" w:space="0"/>
            </w:tcBorders>
            <w:vAlign w:val="center"/>
          </w:tcPr>
          <w:p w14:paraId="584AC593">
            <w:pPr>
              <w:spacing w:line="330" w:lineRule="exact"/>
              <w:rPr>
                <w:rFonts w:hint="eastAsia" w:ascii="宋体" w:hAnsi="宋体" w:cs="宋体"/>
                <w:kern w:val="0"/>
                <w:szCs w:val="21"/>
                <w:highlight w:val="none"/>
              </w:rPr>
            </w:pPr>
            <w:r>
              <w:rPr>
                <w:rFonts w:hint="eastAsia" w:ascii="宋体" w:hAnsi="宋体" w:cs="宋体"/>
                <w:kern w:val="0"/>
                <w:szCs w:val="21"/>
                <w:highlight w:val="none"/>
              </w:rPr>
              <w:t>（2）配置的实际可行性。（3、2、1、0分）</w:t>
            </w:r>
          </w:p>
        </w:tc>
      </w:tr>
      <w:tr w14:paraId="2D9B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42" w:type="dxa"/>
            <w:vMerge w:val="continue"/>
            <w:tcBorders>
              <w:left w:val="single" w:color="auto" w:sz="4" w:space="0"/>
              <w:right w:val="single" w:color="auto" w:sz="4" w:space="0"/>
            </w:tcBorders>
            <w:vAlign w:val="center"/>
          </w:tcPr>
          <w:p w14:paraId="28D13DB8">
            <w:pPr>
              <w:rPr>
                <w:rFonts w:hint="eastAsia" w:ascii="宋体" w:hAnsi="宋体" w:cs="宋体"/>
                <w:szCs w:val="21"/>
                <w:highlight w:val="none"/>
              </w:rPr>
            </w:pPr>
          </w:p>
        </w:tc>
        <w:tc>
          <w:tcPr>
            <w:tcW w:w="1151" w:type="dxa"/>
            <w:tcBorders>
              <w:left w:val="single" w:color="auto" w:sz="4" w:space="0"/>
              <w:right w:val="single" w:color="auto" w:sz="4" w:space="0"/>
            </w:tcBorders>
            <w:vAlign w:val="center"/>
          </w:tcPr>
          <w:p w14:paraId="7E397D54">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技术力量</w:t>
            </w:r>
          </w:p>
          <w:p w14:paraId="7E89F646">
            <w:pPr>
              <w:pStyle w:val="52"/>
              <w:jc w:val="center"/>
              <w:rPr>
                <w:rFonts w:hint="eastAsia" w:cs="宋体"/>
                <w:kern w:val="0"/>
                <w:sz w:val="21"/>
                <w:szCs w:val="21"/>
                <w:highlight w:val="none"/>
              </w:rPr>
            </w:pPr>
            <w:r>
              <w:rPr>
                <w:rFonts w:hint="eastAsia"/>
                <w:sz w:val="21"/>
                <w:szCs w:val="21"/>
                <w:highlight w:val="none"/>
              </w:rPr>
              <w:t>（3分）</w:t>
            </w:r>
          </w:p>
        </w:tc>
        <w:tc>
          <w:tcPr>
            <w:tcW w:w="7216" w:type="dxa"/>
            <w:tcBorders>
              <w:top w:val="single" w:color="auto" w:sz="4" w:space="0"/>
              <w:left w:val="single" w:color="auto" w:sz="4" w:space="0"/>
              <w:bottom w:val="single" w:color="auto" w:sz="4" w:space="0"/>
              <w:right w:val="single" w:color="auto" w:sz="4" w:space="0"/>
            </w:tcBorders>
            <w:vAlign w:val="center"/>
          </w:tcPr>
          <w:p w14:paraId="0DB9D7E4">
            <w:pPr>
              <w:widowControl/>
              <w:spacing w:line="330" w:lineRule="exact"/>
              <w:rPr>
                <w:rFonts w:hint="eastAsia" w:ascii="宋体" w:hAnsi="宋体" w:cs="宋体"/>
                <w:szCs w:val="21"/>
                <w:highlight w:val="none"/>
              </w:rPr>
            </w:pPr>
            <w:r>
              <w:rPr>
                <w:rFonts w:hint="eastAsia" w:ascii="宋体" w:hAnsi="宋体" w:cs="宋体"/>
                <w:szCs w:val="21"/>
                <w:highlight w:val="none"/>
              </w:rPr>
              <w:t>根据投标人提供的针对本项目的技术力量和人力资源安排充足进行评审，需提供人员配置人员配置方案，和人员证书、有效的身份证明材料正反面扫描件、近半年内任意连续3个月不间断的社保缴纳证明。</w:t>
            </w:r>
            <w:r>
              <w:rPr>
                <w:rFonts w:hint="eastAsia" w:ascii="宋体" w:hAnsi="宋体" w:cs="宋体"/>
                <w:kern w:val="0"/>
                <w:szCs w:val="21"/>
                <w:highlight w:val="none"/>
              </w:rPr>
              <w:t>（3、2、1、0分）</w:t>
            </w:r>
          </w:p>
        </w:tc>
      </w:tr>
      <w:tr w14:paraId="76E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42" w:type="dxa"/>
            <w:vMerge w:val="continue"/>
            <w:tcBorders>
              <w:left w:val="single" w:color="auto" w:sz="4" w:space="0"/>
              <w:right w:val="single" w:color="auto" w:sz="4" w:space="0"/>
            </w:tcBorders>
            <w:vAlign w:val="center"/>
          </w:tcPr>
          <w:p w14:paraId="5208CA68">
            <w:pPr>
              <w:rPr>
                <w:rFonts w:hint="eastAsia" w:ascii="宋体" w:hAnsi="宋体" w:cs="宋体"/>
                <w:szCs w:val="21"/>
                <w:highlight w:val="none"/>
              </w:rPr>
            </w:pPr>
          </w:p>
        </w:tc>
        <w:tc>
          <w:tcPr>
            <w:tcW w:w="1151" w:type="dxa"/>
            <w:vMerge w:val="restart"/>
            <w:tcBorders>
              <w:left w:val="single" w:color="auto" w:sz="4" w:space="0"/>
              <w:right w:val="single" w:color="auto" w:sz="4" w:space="0"/>
            </w:tcBorders>
            <w:vAlign w:val="center"/>
          </w:tcPr>
          <w:p w14:paraId="3649D584">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项目实施方案</w:t>
            </w:r>
          </w:p>
          <w:p w14:paraId="49910BB5">
            <w:pPr>
              <w:widowControl/>
              <w:spacing w:line="340" w:lineRule="exact"/>
              <w:jc w:val="center"/>
              <w:rPr>
                <w:rFonts w:hint="eastAsia" w:ascii="宋体" w:hAnsi="宋体" w:cs="宋体"/>
                <w:kern w:val="0"/>
                <w:szCs w:val="21"/>
                <w:highlight w:val="none"/>
              </w:rPr>
            </w:pPr>
            <w:r>
              <w:rPr>
                <w:rFonts w:hint="eastAsia" w:ascii="宋体" w:hAnsi="宋体" w:cs="宋体"/>
                <w:kern w:val="0"/>
                <w:szCs w:val="21"/>
                <w:highlight w:val="none"/>
              </w:rPr>
              <w:t>（6分）</w:t>
            </w:r>
          </w:p>
        </w:tc>
        <w:tc>
          <w:tcPr>
            <w:tcW w:w="7216" w:type="dxa"/>
            <w:tcBorders>
              <w:top w:val="single" w:color="auto" w:sz="4" w:space="0"/>
              <w:left w:val="single" w:color="auto" w:sz="4" w:space="0"/>
              <w:bottom w:val="single" w:color="auto" w:sz="4" w:space="0"/>
              <w:right w:val="single" w:color="auto" w:sz="4" w:space="0"/>
            </w:tcBorders>
            <w:vAlign w:val="center"/>
          </w:tcPr>
          <w:p w14:paraId="5C7B0807">
            <w:pPr>
              <w:widowControl/>
              <w:spacing w:line="330" w:lineRule="exact"/>
              <w:rPr>
                <w:rFonts w:hint="eastAsia" w:ascii="宋体" w:hAnsi="宋体" w:cs="宋体"/>
                <w:kern w:val="0"/>
                <w:szCs w:val="21"/>
                <w:highlight w:val="none"/>
              </w:rPr>
            </w:pPr>
            <w:r>
              <w:rPr>
                <w:rFonts w:hint="eastAsia" w:ascii="宋体" w:hAnsi="宋体" w:cs="宋体"/>
                <w:szCs w:val="21"/>
                <w:highlight w:val="none"/>
              </w:rPr>
              <w:t>1、根据投标人提供的项目实施管理体系及实施进度计划的全面性、合理性及科学性进行评审。（3、2、1、0分）</w:t>
            </w:r>
          </w:p>
        </w:tc>
      </w:tr>
      <w:tr w14:paraId="09A3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42" w:type="dxa"/>
            <w:vMerge w:val="continue"/>
            <w:tcBorders>
              <w:left w:val="single" w:color="auto" w:sz="4" w:space="0"/>
              <w:right w:val="single" w:color="auto" w:sz="4" w:space="0"/>
            </w:tcBorders>
            <w:vAlign w:val="center"/>
          </w:tcPr>
          <w:p w14:paraId="69FB29B1">
            <w:pPr>
              <w:rPr>
                <w:rFonts w:hint="eastAsia" w:ascii="宋体" w:hAnsi="宋体" w:cs="宋体"/>
                <w:szCs w:val="21"/>
                <w:highlight w:val="none"/>
              </w:rPr>
            </w:pPr>
          </w:p>
        </w:tc>
        <w:tc>
          <w:tcPr>
            <w:tcW w:w="1151" w:type="dxa"/>
            <w:vMerge w:val="continue"/>
            <w:tcBorders>
              <w:left w:val="single" w:color="auto" w:sz="4" w:space="0"/>
              <w:bottom w:val="single" w:color="auto" w:sz="4" w:space="0"/>
              <w:right w:val="single" w:color="auto" w:sz="4" w:space="0"/>
            </w:tcBorders>
            <w:vAlign w:val="center"/>
          </w:tcPr>
          <w:p w14:paraId="637B6069">
            <w:pPr>
              <w:widowControl/>
              <w:spacing w:line="340" w:lineRule="exact"/>
              <w:jc w:val="center"/>
              <w:rPr>
                <w:rFonts w:hint="eastAsia" w:ascii="宋体" w:hAnsi="宋体" w:cs="宋体"/>
                <w:kern w:val="0"/>
                <w:szCs w:val="21"/>
                <w:highlight w:val="none"/>
              </w:rPr>
            </w:pPr>
          </w:p>
        </w:tc>
        <w:tc>
          <w:tcPr>
            <w:tcW w:w="7216" w:type="dxa"/>
            <w:tcBorders>
              <w:top w:val="single" w:color="auto" w:sz="4" w:space="0"/>
              <w:left w:val="single" w:color="auto" w:sz="4" w:space="0"/>
              <w:bottom w:val="single" w:color="auto" w:sz="4" w:space="0"/>
              <w:right w:val="single" w:color="auto" w:sz="4" w:space="0"/>
            </w:tcBorders>
            <w:vAlign w:val="center"/>
          </w:tcPr>
          <w:p w14:paraId="0F2E98AE">
            <w:pPr>
              <w:widowControl/>
              <w:spacing w:line="330" w:lineRule="exact"/>
              <w:rPr>
                <w:rFonts w:hint="eastAsia" w:ascii="宋体" w:hAnsi="宋体" w:cs="宋体"/>
                <w:kern w:val="0"/>
                <w:szCs w:val="21"/>
                <w:highlight w:val="none"/>
              </w:rPr>
            </w:pPr>
            <w:r>
              <w:rPr>
                <w:rFonts w:hint="eastAsia" w:ascii="宋体" w:hAnsi="宋体" w:cs="宋体"/>
                <w:szCs w:val="21"/>
                <w:highlight w:val="none"/>
              </w:rPr>
              <w:t>2、根据投标人提供的针对本项目的安全、质量保障措施能切合实际并提高施工安全、质量保障能力等内容，进行评审。（3、2、1、0分）</w:t>
            </w:r>
          </w:p>
        </w:tc>
      </w:tr>
      <w:tr w14:paraId="2842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42" w:type="dxa"/>
            <w:vMerge w:val="continue"/>
            <w:tcBorders>
              <w:left w:val="single" w:color="auto" w:sz="4" w:space="0"/>
              <w:bottom w:val="single" w:color="auto" w:sz="4" w:space="0"/>
              <w:right w:val="single" w:color="auto" w:sz="4" w:space="0"/>
            </w:tcBorders>
            <w:vAlign w:val="center"/>
          </w:tcPr>
          <w:p w14:paraId="72C7BF1C">
            <w:pPr>
              <w:rPr>
                <w:rFonts w:hint="eastAsia" w:ascii="宋体" w:hAnsi="宋体" w:cs="宋体"/>
                <w:szCs w:val="21"/>
                <w:highlight w:val="none"/>
              </w:rPr>
            </w:pPr>
          </w:p>
        </w:tc>
        <w:tc>
          <w:tcPr>
            <w:tcW w:w="1151" w:type="dxa"/>
            <w:tcBorders>
              <w:top w:val="single" w:color="auto" w:sz="4" w:space="0"/>
              <w:left w:val="single" w:color="auto" w:sz="4" w:space="0"/>
              <w:right w:val="single" w:color="auto" w:sz="4" w:space="0"/>
            </w:tcBorders>
            <w:vAlign w:val="center"/>
          </w:tcPr>
          <w:p w14:paraId="73FB7766">
            <w:pPr>
              <w:widowControl/>
              <w:spacing w:line="340" w:lineRule="exact"/>
              <w:jc w:val="center"/>
              <w:rPr>
                <w:rFonts w:hint="eastAsia" w:ascii="宋体" w:hAnsi="宋体" w:cs="宋体"/>
                <w:szCs w:val="21"/>
                <w:highlight w:val="none"/>
              </w:rPr>
            </w:pPr>
            <w:r>
              <w:rPr>
                <w:rFonts w:hint="eastAsia" w:ascii="宋体" w:hAnsi="宋体" w:cs="宋体"/>
                <w:szCs w:val="21"/>
                <w:highlight w:val="none"/>
              </w:rPr>
              <w:t>售后服务体系及本地化服务（2分）</w:t>
            </w:r>
          </w:p>
        </w:tc>
        <w:tc>
          <w:tcPr>
            <w:tcW w:w="7216" w:type="dxa"/>
            <w:tcBorders>
              <w:top w:val="single" w:color="auto" w:sz="4" w:space="0"/>
              <w:left w:val="single" w:color="auto" w:sz="4" w:space="0"/>
              <w:bottom w:val="single" w:color="auto" w:sz="4" w:space="0"/>
              <w:right w:val="single" w:color="auto" w:sz="4" w:space="0"/>
            </w:tcBorders>
            <w:vAlign w:val="center"/>
          </w:tcPr>
          <w:p w14:paraId="1120895B">
            <w:pPr>
              <w:widowControl/>
              <w:spacing w:line="330" w:lineRule="exact"/>
              <w:rPr>
                <w:rFonts w:hint="eastAsia" w:ascii="宋体" w:hAnsi="宋体" w:cs="宋体"/>
                <w:szCs w:val="21"/>
                <w:highlight w:val="none"/>
              </w:rPr>
            </w:pPr>
            <w:bookmarkStart w:id="83" w:name="_GoBack"/>
            <w:bookmarkEnd w:id="83"/>
            <w:r>
              <w:rPr>
                <w:rFonts w:hint="eastAsia" w:ascii="宋体" w:hAnsi="宋体" w:cs="宋体"/>
                <w:szCs w:val="21"/>
                <w:highlight w:val="none"/>
              </w:rPr>
              <w:t>由评委对比各投标人响应情况（如售后服务人员数量、实力、服务响应时间，本地化情况、售后服务方案等）进行打分。（2、1、0分）</w:t>
            </w:r>
          </w:p>
        </w:tc>
      </w:tr>
      <w:tr w14:paraId="5FC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tcBorders>
              <w:top w:val="single" w:color="auto" w:sz="4" w:space="0"/>
              <w:left w:val="single" w:color="auto" w:sz="4" w:space="0"/>
              <w:bottom w:val="single" w:color="auto" w:sz="4" w:space="0"/>
              <w:right w:val="single" w:color="auto" w:sz="4" w:space="0"/>
            </w:tcBorders>
            <w:vAlign w:val="center"/>
          </w:tcPr>
          <w:p w14:paraId="0BF61F22">
            <w:pPr>
              <w:rPr>
                <w:rFonts w:hint="eastAsia" w:ascii="宋体" w:hAnsi="宋体" w:cs="宋体"/>
                <w:szCs w:val="21"/>
                <w:highlight w:val="none"/>
              </w:rPr>
            </w:pPr>
            <w:r>
              <w:rPr>
                <w:rFonts w:hint="eastAsia"/>
                <w:szCs w:val="21"/>
                <w:highlight w:val="none"/>
              </w:rPr>
              <w:t>价格分30分</w:t>
            </w:r>
          </w:p>
        </w:tc>
        <w:tc>
          <w:tcPr>
            <w:tcW w:w="1151" w:type="dxa"/>
            <w:tcBorders>
              <w:top w:val="single" w:color="auto" w:sz="4" w:space="0"/>
              <w:left w:val="single" w:color="auto" w:sz="4" w:space="0"/>
              <w:bottom w:val="single" w:color="auto" w:sz="4" w:space="0"/>
              <w:right w:val="single" w:color="auto" w:sz="4" w:space="0"/>
            </w:tcBorders>
            <w:vAlign w:val="center"/>
          </w:tcPr>
          <w:p w14:paraId="7C151891">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投标报价</w:t>
            </w:r>
          </w:p>
        </w:tc>
        <w:tc>
          <w:tcPr>
            <w:tcW w:w="7216" w:type="dxa"/>
            <w:tcBorders>
              <w:top w:val="single" w:color="auto" w:sz="4" w:space="0"/>
              <w:left w:val="single" w:color="auto" w:sz="4" w:space="0"/>
              <w:bottom w:val="single" w:color="auto" w:sz="4" w:space="0"/>
              <w:right w:val="single" w:color="auto" w:sz="4" w:space="0"/>
            </w:tcBorders>
            <w:vAlign w:val="center"/>
          </w:tcPr>
          <w:p w14:paraId="505C5BE0">
            <w:pPr>
              <w:widowControl/>
              <w:spacing w:line="330" w:lineRule="exact"/>
              <w:rPr>
                <w:rFonts w:hint="eastAsia" w:ascii="宋体" w:hAnsi="宋体" w:cs="宋体"/>
                <w:szCs w:val="21"/>
                <w:highlight w:val="none"/>
              </w:rPr>
            </w:pPr>
            <w:r>
              <w:rPr>
                <w:rFonts w:hint="eastAsia" w:ascii="宋体" w:hAnsi="宋体" w:cs="宋体"/>
                <w:szCs w:val="21"/>
                <w:highlight w:val="none"/>
              </w:rPr>
              <w:t>参与评审的价格＝最终报价</w:t>
            </w:r>
          </w:p>
          <w:p w14:paraId="023D7B1E">
            <w:pPr>
              <w:widowControl/>
              <w:spacing w:line="330" w:lineRule="exact"/>
              <w:rPr>
                <w:rFonts w:hint="eastAsia" w:ascii="宋体" w:hAnsi="宋体" w:cs="宋体"/>
                <w:szCs w:val="21"/>
                <w:highlight w:val="none"/>
              </w:rPr>
            </w:pPr>
            <w:r>
              <w:rPr>
                <w:rFonts w:hint="eastAsia" w:ascii="宋体" w:hAnsi="宋体" w:cs="宋体"/>
                <w:szCs w:val="21"/>
                <w:highlight w:val="none"/>
              </w:rPr>
              <w:t>参与评审的价格最低的为评标基准价，基准价得分为满分30分；</w:t>
            </w:r>
          </w:p>
          <w:p w14:paraId="0BA8E01B">
            <w:pPr>
              <w:widowControl/>
              <w:spacing w:line="330" w:lineRule="exact"/>
              <w:rPr>
                <w:rFonts w:hint="eastAsia" w:ascii="宋体" w:hAnsi="宋体" w:cs="宋体"/>
                <w:szCs w:val="21"/>
                <w:highlight w:val="none"/>
              </w:rPr>
            </w:pPr>
            <w:r>
              <w:rPr>
                <w:rFonts w:hint="eastAsia" w:ascii="宋体" w:hAnsi="宋体" w:cs="宋体"/>
                <w:szCs w:val="21"/>
                <w:highlight w:val="none"/>
              </w:rPr>
              <w:t>其他供应商的价格分按照下列公式计算：</w:t>
            </w:r>
          </w:p>
          <w:p w14:paraId="68AA13BF">
            <w:pPr>
              <w:widowControl/>
              <w:spacing w:line="330" w:lineRule="exact"/>
              <w:rPr>
                <w:rFonts w:hint="eastAsia" w:ascii="宋体" w:hAnsi="宋体" w:cs="宋体"/>
                <w:szCs w:val="21"/>
                <w:highlight w:val="none"/>
              </w:rPr>
            </w:pPr>
            <w:r>
              <w:rPr>
                <w:rFonts w:hint="eastAsia" w:ascii="宋体" w:hAnsi="宋体" w:cs="宋体"/>
                <w:szCs w:val="21"/>
                <w:highlight w:val="none"/>
              </w:rPr>
              <w:t>各供应商的价格得分＝（评标基准价</w:t>
            </w:r>
            <w:r>
              <w:rPr>
                <w:rFonts w:ascii="宋体" w:hAnsi="宋体" w:cs="宋体"/>
                <w:szCs w:val="21"/>
                <w:highlight w:val="none"/>
              </w:rPr>
              <w:t>/</w:t>
            </w:r>
            <w:r>
              <w:rPr>
                <w:rFonts w:hint="eastAsia" w:ascii="宋体" w:hAnsi="宋体" w:cs="宋体"/>
                <w:szCs w:val="21"/>
                <w:highlight w:val="none"/>
              </w:rPr>
              <w:t>参与评审的价格）×</w:t>
            </w:r>
            <w:r>
              <w:rPr>
                <w:rFonts w:ascii="宋体" w:hAnsi="宋体" w:cs="宋体"/>
                <w:szCs w:val="21"/>
                <w:highlight w:val="none"/>
              </w:rPr>
              <w:t>30</w:t>
            </w:r>
            <w:r>
              <w:rPr>
                <w:rFonts w:hint="eastAsia" w:ascii="宋体" w:hAnsi="宋体" w:cs="宋体"/>
                <w:szCs w:val="21"/>
                <w:highlight w:val="none"/>
              </w:rPr>
              <w:t>×</w:t>
            </w:r>
            <w:r>
              <w:rPr>
                <w:rFonts w:ascii="宋体" w:hAnsi="宋体" w:cs="宋体"/>
                <w:szCs w:val="21"/>
                <w:highlight w:val="none"/>
              </w:rPr>
              <w:t>100</w:t>
            </w:r>
            <w:r>
              <w:rPr>
                <w:rFonts w:hint="eastAsia" w:ascii="宋体" w:hAnsi="宋体" w:cs="宋体"/>
                <w:szCs w:val="21"/>
                <w:highlight w:val="none"/>
              </w:rPr>
              <w:t>％</w:t>
            </w:r>
          </w:p>
        </w:tc>
      </w:tr>
    </w:tbl>
    <w:p w14:paraId="0E0D6B51">
      <w:pPr>
        <w:pBdr>
          <w:top w:val="single" w:color="auto" w:sz="2" w:space="1"/>
        </w:pBdr>
        <w:tabs>
          <w:tab w:val="left" w:pos="5940"/>
        </w:tabs>
        <w:ind w:left="13" w:hanging="13" w:hangingChars="8"/>
        <w:rPr>
          <w:rFonts w:eastAsia="华文细黑"/>
          <w:w w:val="80"/>
          <w:szCs w:val="21"/>
          <w:highlight w:val="none"/>
        </w:rPr>
        <w:sectPr>
          <w:pgSz w:w="11907" w:h="16840"/>
          <w:pgMar w:top="1304" w:right="1588" w:bottom="1304" w:left="1588" w:header="720" w:footer="720" w:gutter="0"/>
          <w:cols w:space="720" w:num="1"/>
          <w:titlePg/>
          <w:docGrid w:linePitch="285" w:charSpace="0"/>
        </w:sectPr>
      </w:pPr>
    </w:p>
    <w:p w14:paraId="33DABC0C">
      <w:pPr>
        <w:snapToGrid w:val="0"/>
        <w:spacing w:line="440" w:lineRule="exact"/>
        <w:jc w:val="center"/>
        <w:rPr>
          <w:kern w:val="44"/>
          <w:sz w:val="44"/>
          <w:szCs w:val="44"/>
          <w:highlight w:val="none"/>
        </w:rPr>
      </w:pPr>
      <w:bookmarkStart w:id="64" w:name="_Toc435088077"/>
      <w:r>
        <w:rPr>
          <w:rFonts w:hint="eastAsia"/>
          <w:kern w:val="44"/>
          <w:sz w:val="44"/>
          <w:szCs w:val="44"/>
          <w:highlight w:val="none"/>
        </w:rPr>
        <w:t>第五部分 采购内容及</w:t>
      </w:r>
      <w:bookmarkEnd w:id="12"/>
      <w:bookmarkEnd w:id="13"/>
      <w:r>
        <w:rPr>
          <w:rFonts w:hint="eastAsia"/>
          <w:kern w:val="44"/>
          <w:sz w:val="44"/>
          <w:szCs w:val="44"/>
          <w:highlight w:val="none"/>
        </w:rPr>
        <w:t>要求</w:t>
      </w:r>
      <w:bookmarkEnd w:id="14"/>
      <w:bookmarkEnd w:id="64"/>
    </w:p>
    <w:p w14:paraId="696CE5FC">
      <w:pPr>
        <w:pStyle w:val="2"/>
        <w:jc w:val="both"/>
        <w:rPr>
          <w:rFonts w:ascii="Times New Roman"/>
          <w:b w:val="0"/>
          <w:bCs w:val="0"/>
          <w:kern w:val="44"/>
          <w:sz w:val="44"/>
          <w:szCs w:val="44"/>
          <w:highlight w:val="none"/>
        </w:rPr>
      </w:pPr>
    </w:p>
    <w:p w14:paraId="11BFD548">
      <w:pPr>
        <w:pStyle w:val="2"/>
        <w:tabs>
          <w:tab w:val="left" w:pos="0"/>
        </w:tabs>
        <w:jc w:val="both"/>
        <w:rPr>
          <w:rFonts w:hint="eastAsia" w:hAnsi="宋体" w:cs="宋体"/>
          <w:color w:val="000000"/>
          <w:kern w:val="0"/>
          <w:sz w:val="21"/>
          <w:szCs w:val="21"/>
          <w:highlight w:val="none"/>
        </w:rPr>
      </w:pPr>
      <w:r>
        <w:rPr>
          <w:rFonts w:hint="eastAsia" w:hAnsi="宋体" w:cs="宋体"/>
          <w:color w:val="000000"/>
          <w:kern w:val="0"/>
          <w:sz w:val="21"/>
          <w:szCs w:val="21"/>
          <w:highlight w:val="none"/>
        </w:rPr>
        <w:t>一、招标货物一览表</w:t>
      </w:r>
    </w:p>
    <w:tbl>
      <w:tblPr>
        <w:tblStyle w:val="46"/>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874"/>
        <w:gridCol w:w="3099"/>
        <w:gridCol w:w="1428"/>
        <w:gridCol w:w="947"/>
        <w:gridCol w:w="797"/>
      </w:tblGrid>
      <w:tr w14:paraId="73C8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tcPr>
          <w:p w14:paraId="0765F1BE">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序号</w:t>
            </w:r>
          </w:p>
        </w:tc>
        <w:tc>
          <w:tcPr>
            <w:tcW w:w="1874" w:type="dxa"/>
          </w:tcPr>
          <w:p w14:paraId="6CF7BD8B">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名称</w:t>
            </w:r>
          </w:p>
        </w:tc>
        <w:tc>
          <w:tcPr>
            <w:tcW w:w="3099" w:type="dxa"/>
          </w:tcPr>
          <w:p w14:paraId="772F6E2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内容</w:t>
            </w:r>
          </w:p>
        </w:tc>
        <w:tc>
          <w:tcPr>
            <w:tcW w:w="1428" w:type="dxa"/>
          </w:tcPr>
          <w:p w14:paraId="71A30878">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属性</w:t>
            </w:r>
          </w:p>
        </w:tc>
        <w:tc>
          <w:tcPr>
            <w:tcW w:w="947" w:type="dxa"/>
          </w:tcPr>
          <w:p w14:paraId="1688C621">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单位</w:t>
            </w:r>
          </w:p>
        </w:tc>
        <w:tc>
          <w:tcPr>
            <w:tcW w:w="797" w:type="dxa"/>
          </w:tcPr>
          <w:p w14:paraId="18258E1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数量</w:t>
            </w:r>
          </w:p>
        </w:tc>
      </w:tr>
      <w:tr w14:paraId="6DBD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3" w:type="dxa"/>
            <w:vAlign w:val="center"/>
          </w:tcPr>
          <w:p w14:paraId="5E2F682E">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1874" w:type="dxa"/>
            <w:vMerge w:val="restart"/>
            <w:vAlign w:val="center"/>
          </w:tcPr>
          <w:p w14:paraId="5BBC8666">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AI智慧实验室</w:t>
            </w:r>
          </w:p>
        </w:tc>
        <w:tc>
          <w:tcPr>
            <w:tcW w:w="3099" w:type="dxa"/>
            <w:vAlign w:val="center"/>
          </w:tcPr>
          <w:p w14:paraId="6A7CE12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86寸智慧黑板</w:t>
            </w:r>
          </w:p>
        </w:tc>
        <w:tc>
          <w:tcPr>
            <w:tcW w:w="1428" w:type="dxa"/>
            <w:vAlign w:val="center"/>
          </w:tcPr>
          <w:p w14:paraId="53D676C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659863F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223F341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5768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1BA63BB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1874" w:type="dxa"/>
            <w:vMerge w:val="continue"/>
            <w:vAlign w:val="center"/>
          </w:tcPr>
          <w:p w14:paraId="534D6033">
            <w:pPr>
              <w:widowControl/>
              <w:textAlignment w:val="center"/>
              <w:rPr>
                <w:rFonts w:hint="eastAsia" w:ascii="宋体" w:hAnsi="宋体" w:cs="宋体"/>
                <w:color w:val="000000"/>
                <w:kern w:val="0"/>
                <w:szCs w:val="21"/>
                <w:highlight w:val="none"/>
                <w:lang w:bidi="ar"/>
              </w:rPr>
            </w:pPr>
          </w:p>
        </w:tc>
        <w:tc>
          <w:tcPr>
            <w:tcW w:w="3099" w:type="dxa"/>
            <w:vAlign w:val="center"/>
          </w:tcPr>
          <w:p w14:paraId="5A706F6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86寸一体机（含支架）</w:t>
            </w:r>
          </w:p>
        </w:tc>
        <w:tc>
          <w:tcPr>
            <w:tcW w:w="1428" w:type="dxa"/>
            <w:vAlign w:val="center"/>
          </w:tcPr>
          <w:p w14:paraId="266D907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544BEFD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003DA178">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1959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5141ADCA">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1874" w:type="dxa"/>
            <w:vMerge w:val="continue"/>
            <w:vAlign w:val="center"/>
          </w:tcPr>
          <w:p w14:paraId="5FB510DF">
            <w:pPr>
              <w:widowControl/>
              <w:textAlignment w:val="center"/>
              <w:rPr>
                <w:rFonts w:hint="eastAsia" w:ascii="宋体" w:hAnsi="宋体" w:cs="宋体"/>
                <w:color w:val="000000"/>
                <w:kern w:val="0"/>
                <w:szCs w:val="21"/>
                <w:highlight w:val="none"/>
                <w:lang w:bidi="ar"/>
              </w:rPr>
            </w:pPr>
          </w:p>
        </w:tc>
        <w:tc>
          <w:tcPr>
            <w:tcW w:w="3099" w:type="dxa"/>
            <w:vAlign w:val="center"/>
          </w:tcPr>
          <w:p w14:paraId="405529D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理化综合实验室仪器</w:t>
            </w:r>
          </w:p>
        </w:tc>
        <w:tc>
          <w:tcPr>
            <w:tcW w:w="1428" w:type="dxa"/>
            <w:vAlign w:val="center"/>
          </w:tcPr>
          <w:p w14:paraId="1E329CA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实验设备</w:t>
            </w:r>
          </w:p>
        </w:tc>
        <w:tc>
          <w:tcPr>
            <w:tcW w:w="947" w:type="dxa"/>
            <w:vAlign w:val="center"/>
          </w:tcPr>
          <w:p w14:paraId="16B0AF6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97" w:type="dxa"/>
            <w:vAlign w:val="center"/>
          </w:tcPr>
          <w:p w14:paraId="1346ACA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38F6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1D7588A1">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1874" w:type="dxa"/>
            <w:vMerge w:val="continue"/>
            <w:vAlign w:val="center"/>
          </w:tcPr>
          <w:p w14:paraId="41075CC8">
            <w:pPr>
              <w:widowControl/>
              <w:textAlignment w:val="center"/>
              <w:rPr>
                <w:rFonts w:hint="eastAsia" w:ascii="宋体" w:hAnsi="宋体" w:cs="宋体"/>
                <w:color w:val="000000"/>
                <w:kern w:val="0"/>
                <w:szCs w:val="21"/>
                <w:highlight w:val="none"/>
                <w:lang w:bidi="ar"/>
              </w:rPr>
            </w:pPr>
          </w:p>
        </w:tc>
        <w:tc>
          <w:tcPr>
            <w:tcW w:w="3099" w:type="dxa"/>
            <w:vAlign w:val="center"/>
          </w:tcPr>
          <w:p w14:paraId="527F4BC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数码体视显微镜</w:t>
            </w:r>
          </w:p>
        </w:tc>
        <w:tc>
          <w:tcPr>
            <w:tcW w:w="1428" w:type="dxa"/>
            <w:vAlign w:val="center"/>
          </w:tcPr>
          <w:p w14:paraId="788A28EA">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6750983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19ED201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3A60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53A12AC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w:t>
            </w:r>
          </w:p>
        </w:tc>
        <w:tc>
          <w:tcPr>
            <w:tcW w:w="1874" w:type="dxa"/>
            <w:vMerge w:val="continue"/>
            <w:vAlign w:val="center"/>
          </w:tcPr>
          <w:p w14:paraId="68F3CE64">
            <w:pPr>
              <w:widowControl/>
              <w:textAlignment w:val="center"/>
              <w:rPr>
                <w:rFonts w:hint="eastAsia" w:ascii="宋体" w:hAnsi="宋体" w:cs="宋体"/>
                <w:color w:val="000000"/>
                <w:kern w:val="0"/>
                <w:szCs w:val="21"/>
                <w:highlight w:val="none"/>
                <w:lang w:bidi="ar"/>
              </w:rPr>
            </w:pPr>
          </w:p>
        </w:tc>
        <w:tc>
          <w:tcPr>
            <w:tcW w:w="3099" w:type="dxa"/>
            <w:vAlign w:val="center"/>
          </w:tcPr>
          <w:p w14:paraId="6C41BCF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安装施工</w:t>
            </w:r>
          </w:p>
        </w:tc>
        <w:tc>
          <w:tcPr>
            <w:tcW w:w="1428" w:type="dxa"/>
            <w:vAlign w:val="center"/>
          </w:tcPr>
          <w:p w14:paraId="30FAA25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服务</w:t>
            </w:r>
          </w:p>
        </w:tc>
        <w:tc>
          <w:tcPr>
            <w:tcW w:w="947" w:type="dxa"/>
            <w:vAlign w:val="center"/>
          </w:tcPr>
          <w:p w14:paraId="1A32214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97" w:type="dxa"/>
            <w:vAlign w:val="center"/>
          </w:tcPr>
          <w:p w14:paraId="10341D9B">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4B79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20E51844">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w:t>
            </w:r>
          </w:p>
        </w:tc>
        <w:tc>
          <w:tcPr>
            <w:tcW w:w="1874" w:type="dxa"/>
            <w:vMerge w:val="restart"/>
            <w:vAlign w:val="center"/>
          </w:tcPr>
          <w:p w14:paraId="0FE099C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基础教研室</w:t>
            </w:r>
          </w:p>
        </w:tc>
        <w:tc>
          <w:tcPr>
            <w:tcW w:w="3099" w:type="dxa"/>
            <w:vAlign w:val="center"/>
          </w:tcPr>
          <w:p w14:paraId="36786686">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校级教研管理平台</w:t>
            </w:r>
          </w:p>
        </w:tc>
        <w:tc>
          <w:tcPr>
            <w:tcW w:w="1428" w:type="dxa"/>
            <w:vAlign w:val="center"/>
          </w:tcPr>
          <w:p w14:paraId="4401E67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软件平台</w:t>
            </w:r>
          </w:p>
        </w:tc>
        <w:tc>
          <w:tcPr>
            <w:tcW w:w="947" w:type="dxa"/>
            <w:vAlign w:val="center"/>
          </w:tcPr>
          <w:p w14:paraId="17F4320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校/年</w:t>
            </w:r>
          </w:p>
        </w:tc>
        <w:tc>
          <w:tcPr>
            <w:tcW w:w="797" w:type="dxa"/>
            <w:vAlign w:val="center"/>
          </w:tcPr>
          <w:p w14:paraId="0E2F667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r>
      <w:tr w14:paraId="2125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20F5A3C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w:t>
            </w:r>
          </w:p>
        </w:tc>
        <w:tc>
          <w:tcPr>
            <w:tcW w:w="1874" w:type="dxa"/>
            <w:vMerge w:val="continue"/>
            <w:vAlign w:val="center"/>
          </w:tcPr>
          <w:p w14:paraId="0A9991A5">
            <w:pPr>
              <w:widowControl/>
              <w:textAlignment w:val="center"/>
              <w:rPr>
                <w:rFonts w:hint="eastAsia" w:ascii="宋体" w:hAnsi="宋体" w:cs="宋体"/>
                <w:color w:val="000000"/>
                <w:kern w:val="0"/>
                <w:szCs w:val="21"/>
                <w:highlight w:val="none"/>
                <w:lang w:bidi="ar"/>
              </w:rPr>
            </w:pPr>
          </w:p>
        </w:tc>
        <w:tc>
          <w:tcPr>
            <w:tcW w:w="3099" w:type="dxa"/>
            <w:shd w:val="clear" w:color="auto" w:fill="auto"/>
            <w:vAlign w:val="center"/>
          </w:tcPr>
          <w:p w14:paraId="407513D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86寸智慧黑板</w:t>
            </w:r>
          </w:p>
        </w:tc>
        <w:tc>
          <w:tcPr>
            <w:tcW w:w="1428" w:type="dxa"/>
            <w:shd w:val="clear" w:color="auto" w:fill="auto"/>
            <w:vAlign w:val="center"/>
          </w:tcPr>
          <w:p w14:paraId="668657E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shd w:val="clear" w:color="auto" w:fill="auto"/>
            <w:vAlign w:val="center"/>
          </w:tcPr>
          <w:p w14:paraId="4AE7E38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shd w:val="clear" w:color="auto" w:fill="auto"/>
            <w:vAlign w:val="center"/>
          </w:tcPr>
          <w:p w14:paraId="3D0FC5D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43F2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45BEFE4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w:t>
            </w:r>
          </w:p>
        </w:tc>
        <w:tc>
          <w:tcPr>
            <w:tcW w:w="1874" w:type="dxa"/>
            <w:vMerge w:val="continue"/>
            <w:vAlign w:val="center"/>
          </w:tcPr>
          <w:p w14:paraId="4B2E7F1A">
            <w:pPr>
              <w:widowControl/>
              <w:textAlignment w:val="center"/>
              <w:rPr>
                <w:rFonts w:hint="eastAsia" w:ascii="宋体" w:hAnsi="宋体" w:cs="宋体"/>
                <w:color w:val="000000"/>
                <w:kern w:val="0"/>
                <w:szCs w:val="21"/>
                <w:highlight w:val="none"/>
                <w:lang w:bidi="ar"/>
              </w:rPr>
            </w:pPr>
          </w:p>
        </w:tc>
        <w:tc>
          <w:tcPr>
            <w:tcW w:w="3099" w:type="dxa"/>
            <w:shd w:val="clear" w:color="auto" w:fill="auto"/>
            <w:vAlign w:val="center"/>
          </w:tcPr>
          <w:p w14:paraId="51CEEBF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86寸一体机（含支架）</w:t>
            </w:r>
          </w:p>
        </w:tc>
        <w:tc>
          <w:tcPr>
            <w:tcW w:w="1428" w:type="dxa"/>
            <w:shd w:val="clear" w:color="auto" w:fill="auto"/>
            <w:vAlign w:val="center"/>
          </w:tcPr>
          <w:p w14:paraId="0A3EAB8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shd w:val="clear" w:color="auto" w:fill="auto"/>
            <w:vAlign w:val="center"/>
          </w:tcPr>
          <w:p w14:paraId="2146791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shd w:val="clear" w:color="auto" w:fill="auto"/>
            <w:vAlign w:val="center"/>
          </w:tcPr>
          <w:p w14:paraId="27A0192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r>
      <w:tr w14:paraId="35E1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5A36C584">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9</w:t>
            </w:r>
          </w:p>
        </w:tc>
        <w:tc>
          <w:tcPr>
            <w:tcW w:w="1874" w:type="dxa"/>
            <w:vMerge w:val="continue"/>
            <w:vAlign w:val="center"/>
          </w:tcPr>
          <w:p w14:paraId="0244454E">
            <w:pPr>
              <w:widowControl/>
              <w:textAlignment w:val="center"/>
              <w:rPr>
                <w:rFonts w:hint="eastAsia" w:ascii="宋体" w:hAnsi="宋体" w:cs="宋体"/>
                <w:color w:val="000000"/>
                <w:kern w:val="0"/>
                <w:szCs w:val="21"/>
                <w:highlight w:val="none"/>
                <w:lang w:bidi="ar"/>
              </w:rPr>
            </w:pPr>
          </w:p>
        </w:tc>
        <w:tc>
          <w:tcPr>
            <w:tcW w:w="3099" w:type="dxa"/>
            <w:vAlign w:val="center"/>
          </w:tcPr>
          <w:p w14:paraId="1023677A">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研讨屏配件</w:t>
            </w:r>
          </w:p>
        </w:tc>
        <w:tc>
          <w:tcPr>
            <w:tcW w:w="1428" w:type="dxa"/>
            <w:vAlign w:val="center"/>
          </w:tcPr>
          <w:p w14:paraId="3945784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配件</w:t>
            </w:r>
          </w:p>
        </w:tc>
        <w:tc>
          <w:tcPr>
            <w:tcW w:w="947" w:type="dxa"/>
            <w:vAlign w:val="center"/>
          </w:tcPr>
          <w:p w14:paraId="39234AA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97" w:type="dxa"/>
            <w:vAlign w:val="center"/>
          </w:tcPr>
          <w:p w14:paraId="19F3B7D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r>
      <w:tr w14:paraId="462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2AC1827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10</w:t>
            </w:r>
          </w:p>
        </w:tc>
        <w:tc>
          <w:tcPr>
            <w:tcW w:w="1874" w:type="dxa"/>
            <w:vMerge w:val="continue"/>
            <w:vAlign w:val="center"/>
          </w:tcPr>
          <w:p w14:paraId="5CB71B58">
            <w:pPr>
              <w:widowControl/>
              <w:textAlignment w:val="center"/>
              <w:rPr>
                <w:rFonts w:hint="eastAsia" w:ascii="宋体" w:hAnsi="宋体" w:cs="宋体"/>
                <w:color w:val="000000"/>
                <w:kern w:val="0"/>
                <w:szCs w:val="21"/>
                <w:highlight w:val="none"/>
                <w:lang w:bidi="ar"/>
              </w:rPr>
            </w:pPr>
          </w:p>
        </w:tc>
        <w:tc>
          <w:tcPr>
            <w:tcW w:w="3099" w:type="dxa"/>
            <w:vAlign w:val="center"/>
          </w:tcPr>
          <w:p w14:paraId="77A0F26E">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有源一体音响</w:t>
            </w:r>
          </w:p>
        </w:tc>
        <w:tc>
          <w:tcPr>
            <w:tcW w:w="1428" w:type="dxa"/>
          </w:tcPr>
          <w:p w14:paraId="748162A4">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配件</w:t>
            </w:r>
          </w:p>
        </w:tc>
        <w:tc>
          <w:tcPr>
            <w:tcW w:w="947" w:type="dxa"/>
          </w:tcPr>
          <w:p w14:paraId="22B2110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tcPr>
          <w:p w14:paraId="24435511">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0E8F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4F127C8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11</w:t>
            </w:r>
          </w:p>
        </w:tc>
        <w:tc>
          <w:tcPr>
            <w:tcW w:w="1874" w:type="dxa"/>
            <w:vMerge w:val="continue"/>
            <w:vAlign w:val="center"/>
          </w:tcPr>
          <w:p w14:paraId="1340697E">
            <w:pPr>
              <w:widowControl/>
              <w:textAlignment w:val="center"/>
              <w:rPr>
                <w:rFonts w:hint="eastAsia" w:ascii="宋体" w:hAnsi="宋体" w:cs="宋体"/>
                <w:color w:val="000000"/>
                <w:kern w:val="0"/>
                <w:szCs w:val="21"/>
                <w:highlight w:val="none"/>
                <w:lang w:bidi="ar"/>
              </w:rPr>
            </w:pPr>
          </w:p>
        </w:tc>
        <w:tc>
          <w:tcPr>
            <w:tcW w:w="3099" w:type="dxa"/>
            <w:vAlign w:val="center"/>
          </w:tcPr>
          <w:p w14:paraId="291BB27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无线麦克风</w:t>
            </w:r>
          </w:p>
        </w:tc>
        <w:tc>
          <w:tcPr>
            <w:tcW w:w="1428" w:type="dxa"/>
            <w:vAlign w:val="center"/>
          </w:tcPr>
          <w:p w14:paraId="269A086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配件</w:t>
            </w:r>
          </w:p>
        </w:tc>
        <w:tc>
          <w:tcPr>
            <w:tcW w:w="947" w:type="dxa"/>
            <w:vAlign w:val="center"/>
          </w:tcPr>
          <w:p w14:paraId="7E40047E">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78F949C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0889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36C3341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w:t>
            </w:r>
          </w:p>
        </w:tc>
        <w:tc>
          <w:tcPr>
            <w:tcW w:w="1874" w:type="dxa"/>
            <w:vMerge w:val="continue"/>
            <w:vAlign w:val="center"/>
          </w:tcPr>
          <w:p w14:paraId="79B1084D">
            <w:pPr>
              <w:widowControl/>
              <w:textAlignment w:val="center"/>
              <w:rPr>
                <w:rFonts w:hint="eastAsia" w:ascii="宋体" w:hAnsi="宋体" w:cs="宋体"/>
                <w:color w:val="000000"/>
                <w:kern w:val="0"/>
                <w:szCs w:val="21"/>
                <w:highlight w:val="none"/>
                <w:lang w:bidi="ar"/>
              </w:rPr>
            </w:pPr>
          </w:p>
        </w:tc>
        <w:tc>
          <w:tcPr>
            <w:tcW w:w="3099" w:type="dxa"/>
            <w:vAlign w:val="center"/>
          </w:tcPr>
          <w:p w14:paraId="17985E8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可移动折叠桌</w:t>
            </w:r>
          </w:p>
        </w:tc>
        <w:tc>
          <w:tcPr>
            <w:tcW w:w="1428" w:type="dxa"/>
            <w:vAlign w:val="center"/>
          </w:tcPr>
          <w:p w14:paraId="4B6FDBFA">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办公设备</w:t>
            </w:r>
          </w:p>
        </w:tc>
        <w:tc>
          <w:tcPr>
            <w:tcW w:w="947" w:type="dxa"/>
            <w:vAlign w:val="center"/>
          </w:tcPr>
          <w:p w14:paraId="1D56EBBA">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2A9DF33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w:t>
            </w:r>
          </w:p>
        </w:tc>
      </w:tr>
      <w:tr w14:paraId="1F94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1EE5128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13</w:t>
            </w:r>
          </w:p>
        </w:tc>
        <w:tc>
          <w:tcPr>
            <w:tcW w:w="1874" w:type="dxa"/>
            <w:vMerge w:val="continue"/>
            <w:vAlign w:val="center"/>
          </w:tcPr>
          <w:p w14:paraId="55055914">
            <w:pPr>
              <w:widowControl/>
              <w:textAlignment w:val="center"/>
              <w:rPr>
                <w:rFonts w:hint="eastAsia" w:ascii="宋体" w:hAnsi="宋体" w:cs="宋体"/>
                <w:color w:val="000000"/>
                <w:kern w:val="0"/>
                <w:szCs w:val="21"/>
                <w:highlight w:val="none"/>
                <w:lang w:bidi="ar"/>
              </w:rPr>
            </w:pPr>
          </w:p>
        </w:tc>
        <w:tc>
          <w:tcPr>
            <w:tcW w:w="3099" w:type="dxa"/>
            <w:vAlign w:val="center"/>
          </w:tcPr>
          <w:p w14:paraId="49373466">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可移动折叠椅</w:t>
            </w:r>
          </w:p>
        </w:tc>
        <w:tc>
          <w:tcPr>
            <w:tcW w:w="1428" w:type="dxa"/>
            <w:vAlign w:val="center"/>
          </w:tcPr>
          <w:p w14:paraId="65E2089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办公设备</w:t>
            </w:r>
          </w:p>
        </w:tc>
        <w:tc>
          <w:tcPr>
            <w:tcW w:w="947" w:type="dxa"/>
            <w:vAlign w:val="center"/>
          </w:tcPr>
          <w:p w14:paraId="2B716DE4">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39918B2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16</w:t>
            </w:r>
          </w:p>
        </w:tc>
      </w:tr>
      <w:tr w14:paraId="41E9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1E356C2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14</w:t>
            </w:r>
          </w:p>
        </w:tc>
        <w:tc>
          <w:tcPr>
            <w:tcW w:w="1874" w:type="dxa"/>
            <w:vMerge w:val="continue"/>
            <w:vAlign w:val="center"/>
          </w:tcPr>
          <w:p w14:paraId="028285DC">
            <w:pPr>
              <w:widowControl/>
              <w:textAlignment w:val="center"/>
              <w:rPr>
                <w:rFonts w:hint="eastAsia" w:ascii="宋体" w:hAnsi="宋体" w:cs="宋体"/>
                <w:color w:val="000000"/>
                <w:kern w:val="0"/>
                <w:szCs w:val="21"/>
                <w:highlight w:val="none"/>
                <w:lang w:bidi="ar"/>
              </w:rPr>
            </w:pPr>
          </w:p>
        </w:tc>
        <w:tc>
          <w:tcPr>
            <w:tcW w:w="3099" w:type="dxa"/>
            <w:vAlign w:val="center"/>
          </w:tcPr>
          <w:p w14:paraId="6456082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教师升降讲台</w:t>
            </w:r>
          </w:p>
        </w:tc>
        <w:tc>
          <w:tcPr>
            <w:tcW w:w="1428" w:type="dxa"/>
            <w:vAlign w:val="center"/>
          </w:tcPr>
          <w:p w14:paraId="5383F26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办公设备</w:t>
            </w:r>
          </w:p>
        </w:tc>
        <w:tc>
          <w:tcPr>
            <w:tcW w:w="947" w:type="dxa"/>
            <w:vAlign w:val="center"/>
          </w:tcPr>
          <w:p w14:paraId="07F80ECD">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525C81B9">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1CB4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34E0BDFF">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w:t>
            </w:r>
          </w:p>
        </w:tc>
        <w:tc>
          <w:tcPr>
            <w:tcW w:w="1874" w:type="dxa"/>
            <w:vMerge w:val="continue"/>
            <w:vAlign w:val="center"/>
          </w:tcPr>
          <w:p w14:paraId="2CE5ACBD">
            <w:pPr>
              <w:widowControl/>
              <w:textAlignment w:val="center"/>
              <w:rPr>
                <w:rFonts w:hint="eastAsia" w:ascii="宋体" w:hAnsi="宋体" w:cs="宋体"/>
                <w:color w:val="000000"/>
                <w:kern w:val="0"/>
                <w:szCs w:val="21"/>
                <w:highlight w:val="none"/>
                <w:lang w:bidi="ar"/>
              </w:rPr>
            </w:pPr>
          </w:p>
        </w:tc>
        <w:tc>
          <w:tcPr>
            <w:tcW w:w="3099" w:type="dxa"/>
            <w:vAlign w:val="center"/>
          </w:tcPr>
          <w:p w14:paraId="0220A4FB">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安装施工</w:t>
            </w:r>
          </w:p>
        </w:tc>
        <w:tc>
          <w:tcPr>
            <w:tcW w:w="1428" w:type="dxa"/>
            <w:vAlign w:val="center"/>
          </w:tcPr>
          <w:p w14:paraId="3965EE4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服务</w:t>
            </w:r>
          </w:p>
        </w:tc>
        <w:tc>
          <w:tcPr>
            <w:tcW w:w="947" w:type="dxa"/>
            <w:vAlign w:val="center"/>
          </w:tcPr>
          <w:p w14:paraId="1671E88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97" w:type="dxa"/>
            <w:vAlign w:val="center"/>
          </w:tcPr>
          <w:p w14:paraId="2AF1E39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03E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4C00A756">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16</w:t>
            </w:r>
          </w:p>
        </w:tc>
        <w:tc>
          <w:tcPr>
            <w:tcW w:w="1874" w:type="dxa"/>
            <w:vMerge w:val="restart"/>
            <w:vAlign w:val="center"/>
          </w:tcPr>
          <w:p w14:paraId="502063B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科学探索中心</w:t>
            </w:r>
          </w:p>
        </w:tc>
        <w:tc>
          <w:tcPr>
            <w:tcW w:w="3099" w:type="dxa"/>
            <w:vAlign w:val="center"/>
          </w:tcPr>
          <w:p w14:paraId="059F06CE">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86寸智慧黑板</w:t>
            </w:r>
          </w:p>
        </w:tc>
        <w:tc>
          <w:tcPr>
            <w:tcW w:w="1428" w:type="dxa"/>
            <w:vAlign w:val="center"/>
          </w:tcPr>
          <w:p w14:paraId="40D4C8B4">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3E24804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1958EF71">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w:t>
            </w:r>
          </w:p>
        </w:tc>
      </w:tr>
      <w:tr w14:paraId="6C69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3FC3B95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17</w:t>
            </w:r>
          </w:p>
        </w:tc>
        <w:tc>
          <w:tcPr>
            <w:tcW w:w="1874" w:type="dxa"/>
            <w:vMerge w:val="continue"/>
          </w:tcPr>
          <w:p w14:paraId="52AA0496">
            <w:pPr>
              <w:widowControl/>
              <w:textAlignment w:val="center"/>
              <w:rPr>
                <w:rFonts w:hint="eastAsia" w:ascii="宋体" w:hAnsi="宋体" w:cs="宋体"/>
                <w:color w:val="000000"/>
                <w:kern w:val="0"/>
                <w:szCs w:val="21"/>
                <w:highlight w:val="none"/>
                <w:lang w:bidi="ar"/>
              </w:rPr>
            </w:pPr>
          </w:p>
        </w:tc>
        <w:tc>
          <w:tcPr>
            <w:tcW w:w="3099" w:type="dxa"/>
            <w:vAlign w:val="center"/>
          </w:tcPr>
          <w:p w14:paraId="5F7EE15B">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86寸一体机（含支架）</w:t>
            </w:r>
          </w:p>
        </w:tc>
        <w:tc>
          <w:tcPr>
            <w:tcW w:w="1428" w:type="dxa"/>
            <w:vAlign w:val="center"/>
          </w:tcPr>
          <w:p w14:paraId="21984B5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6A8FC017">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27C930F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r>
      <w:tr w14:paraId="1B54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3" w:type="dxa"/>
            <w:vAlign w:val="center"/>
          </w:tcPr>
          <w:p w14:paraId="150B227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w:t>
            </w:r>
          </w:p>
        </w:tc>
        <w:tc>
          <w:tcPr>
            <w:tcW w:w="1874" w:type="dxa"/>
            <w:vMerge w:val="continue"/>
          </w:tcPr>
          <w:p w14:paraId="67355C22">
            <w:pPr>
              <w:widowControl/>
              <w:textAlignment w:val="center"/>
              <w:rPr>
                <w:rFonts w:hint="eastAsia" w:ascii="宋体" w:hAnsi="宋体" w:cs="宋体"/>
                <w:color w:val="000000"/>
                <w:kern w:val="0"/>
                <w:szCs w:val="21"/>
                <w:highlight w:val="none"/>
                <w:lang w:bidi="ar"/>
              </w:rPr>
            </w:pPr>
          </w:p>
        </w:tc>
        <w:tc>
          <w:tcPr>
            <w:tcW w:w="3099" w:type="dxa"/>
            <w:vAlign w:val="center"/>
          </w:tcPr>
          <w:p w14:paraId="051C73B3">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送货机器人</w:t>
            </w:r>
          </w:p>
        </w:tc>
        <w:tc>
          <w:tcPr>
            <w:tcW w:w="1428" w:type="dxa"/>
            <w:vAlign w:val="center"/>
          </w:tcPr>
          <w:p w14:paraId="2F8F4A5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智能硬件</w:t>
            </w:r>
          </w:p>
        </w:tc>
        <w:tc>
          <w:tcPr>
            <w:tcW w:w="947" w:type="dxa"/>
            <w:vAlign w:val="center"/>
          </w:tcPr>
          <w:p w14:paraId="272464F8">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台</w:t>
            </w:r>
          </w:p>
        </w:tc>
        <w:tc>
          <w:tcPr>
            <w:tcW w:w="797" w:type="dxa"/>
            <w:vAlign w:val="center"/>
          </w:tcPr>
          <w:p w14:paraId="3A4244C0">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r w14:paraId="3226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3" w:type="dxa"/>
            <w:vAlign w:val="center"/>
          </w:tcPr>
          <w:p w14:paraId="0EBE2685">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19</w:t>
            </w:r>
          </w:p>
        </w:tc>
        <w:tc>
          <w:tcPr>
            <w:tcW w:w="1874" w:type="dxa"/>
            <w:vMerge w:val="continue"/>
          </w:tcPr>
          <w:p w14:paraId="2FD8775C">
            <w:pPr>
              <w:widowControl/>
              <w:textAlignment w:val="center"/>
              <w:rPr>
                <w:rFonts w:hint="eastAsia" w:ascii="宋体" w:hAnsi="宋体" w:cs="宋体"/>
                <w:color w:val="000000"/>
                <w:kern w:val="0"/>
                <w:szCs w:val="21"/>
                <w:highlight w:val="none"/>
                <w:lang w:bidi="ar"/>
              </w:rPr>
            </w:pPr>
          </w:p>
        </w:tc>
        <w:tc>
          <w:tcPr>
            <w:tcW w:w="3099" w:type="dxa"/>
            <w:vAlign w:val="center"/>
          </w:tcPr>
          <w:p w14:paraId="1E67E35C">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安装施工</w:t>
            </w:r>
          </w:p>
        </w:tc>
        <w:tc>
          <w:tcPr>
            <w:tcW w:w="1428" w:type="dxa"/>
            <w:vAlign w:val="center"/>
          </w:tcPr>
          <w:p w14:paraId="1289F938">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服务</w:t>
            </w:r>
          </w:p>
        </w:tc>
        <w:tc>
          <w:tcPr>
            <w:tcW w:w="947" w:type="dxa"/>
            <w:vAlign w:val="center"/>
          </w:tcPr>
          <w:p w14:paraId="522AA70B">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97" w:type="dxa"/>
            <w:vAlign w:val="center"/>
          </w:tcPr>
          <w:p w14:paraId="495738B2">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r>
    </w:tbl>
    <w:p w14:paraId="1A71B2AC">
      <w:pPr>
        <w:rPr>
          <w:highlight w:val="none"/>
        </w:rPr>
      </w:pPr>
    </w:p>
    <w:p w14:paraId="16E0374B">
      <w:pPr>
        <w:pStyle w:val="2"/>
        <w:tabs>
          <w:tab w:val="left" w:pos="0"/>
        </w:tabs>
        <w:jc w:val="both"/>
        <w:rPr>
          <w:rFonts w:hint="eastAsia" w:hAnsi="宋体" w:cs="宋体"/>
          <w:color w:val="000000"/>
          <w:kern w:val="0"/>
          <w:sz w:val="18"/>
          <w:szCs w:val="18"/>
          <w:highlight w:val="none"/>
        </w:rPr>
      </w:pPr>
      <w:r>
        <w:rPr>
          <w:rFonts w:hint="eastAsia" w:hAnsi="宋体" w:cs="宋体"/>
          <w:color w:val="000000"/>
          <w:kern w:val="0"/>
          <w:sz w:val="18"/>
          <w:szCs w:val="18"/>
          <w:highlight w:val="none"/>
        </w:rPr>
        <w:t>二、详细技术参数要求</w:t>
      </w:r>
    </w:p>
    <w:p w14:paraId="32B604AD">
      <w:pPr>
        <w:rPr>
          <w:highlight w:val="none"/>
        </w:rPr>
      </w:pPr>
      <w:r>
        <w:rPr>
          <w:rFonts w:hint="eastAsia"/>
          <w:highlight w:val="none"/>
        </w:rPr>
        <w:t>（一）AI智慧实验室配置清单</w:t>
      </w:r>
    </w:p>
    <w:tbl>
      <w:tblPr>
        <w:tblStyle w:val="45"/>
        <w:tblW w:w="9178" w:type="dxa"/>
        <w:tblInd w:w="88" w:type="dxa"/>
        <w:tblLayout w:type="fixed"/>
        <w:tblCellMar>
          <w:top w:w="0" w:type="dxa"/>
          <w:left w:w="108" w:type="dxa"/>
          <w:bottom w:w="0" w:type="dxa"/>
          <w:right w:w="108" w:type="dxa"/>
        </w:tblCellMar>
      </w:tblPr>
      <w:tblGrid>
        <w:gridCol w:w="661"/>
        <w:gridCol w:w="1098"/>
        <w:gridCol w:w="5932"/>
        <w:gridCol w:w="777"/>
        <w:gridCol w:w="710"/>
      </w:tblGrid>
      <w:tr w14:paraId="6C3850BE">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ED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序号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F3B7">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设备名称</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1B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技术参数及要求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59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131E">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数量</w:t>
            </w:r>
          </w:p>
        </w:tc>
      </w:tr>
      <w:tr w14:paraId="54530C48">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9FA">
            <w:pPr>
              <w:widowControl/>
              <w:jc w:val="center"/>
              <w:textAlignment w:val="center"/>
              <w:rPr>
                <w:rFonts w:hint="eastAsia" w:ascii="宋体" w:hAnsi="宋体" w:cs="宋体"/>
                <w:color w:val="000000"/>
                <w:kern w:val="0"/>
                <w:szCs w:val="21"/>
                <w:highlight w:val="none"/>
                <w:lang w:bidi="ar"/>
                <w14:ligatures w14:val="standardContextual"/>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0686">
            <w:pPr>
              <w:widowControl/>
              <w:jc w:val="center"/>
              <w:textAlignment w:val="center"/>
              <w:rPr>
                <w:rFonts w:hint="eastAsia" w:ascii="宋体" w:hAnsi="宋体" w:cs="宋体"/>
                <w:color w:val="000000"/>
                <w:kern w:val="0"/>
                <w:szCs w:val="21"/>
                <w:highlight w:val="none"/>
                <w:lang w:bidi="ar"/>
                <w14:ligatures w14:val="standardContextual"/>
              </w:rPr>
            </w:pP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03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教师端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C5A6">
            <w:pPr>
              <w:widowControl/>
              <w:jc w:val="center"/>
              <w:textAlignment w:val="center"/>
              <w:rPr>
                <w:rFonts w:hint="eastAsia" w:ascii="宋体" w:hAnsi="宋体" w:cs="宋体"/>
                <w:color w:val="000000"/>
                <w:kern w:val="0"/>
                <w:szCs w:val="21"/>
                <w:highlight w:val="none"/>
                <w:lang w:bidi="ar"/>
                <w14:ligatures w14:val="standardContextual"/>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6F1">
            <w:pPr>
              <w:widowControl/>
              <w:jc w:val="center"/>
              <w:textAlignment w:val="center"/>
              <w:rPr>
                <w:rFonts w:hint="eastAsia" w:ascii="宋体" w:hAnsi="宋体" w:cs="宋体"/>
                <w:color w:val="000000"/>
                <w:kern w:val="0"/>
                <w:szCs w:val="21"/>
                <w:highlight w:val="none"/>
                <w:lang w:bidi="ar"/>
                <w14:ligatures w14:val="standardContextual"/>
              </w:rPr>
            </w:pPr>
          </w:p>
        </w:tc>
      </w:tr>
      <w:tr w14:paraId="67C07808">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31B">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AA54">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数据采集器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4936">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1、与计算机USB接口通讯，无须外接电源，最大采样率80K；</w:t>
            </w:r>
          </w:p>
          <w:p w14:paraId="7F945748">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2、通过USB接口供电，无需外接电源，所有端口具备防静电保护功能；</w:t>
            </w:r>
          </w:p>
          <w:p w14:paraId="78E56DF9">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3、与传感器采用BT自锁接口（卡口式自锁接口），支持热插拔，即插即用，传感器可以任意组合，采集分辨率12bits；</w:t>
            </w:r>
          </w:p>
          <w:p w14:paraId="14B8DD60">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4、数据采集器通过更换有线接口或无线接口实现有线通讯和无线通讯两种数据通讯方式，通过SATA高速数据传输接口与有线接口或无线接口连接</w:t>
            </w:r>
          </w:p>
          <w:p w14:paraId="13115F5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5、数字通讯功能：数据采集器与所有传感器进行通讯均采用数字信号传输；</w:t>
            </w:r>
          </w:p>
          <w:p w14:paraId="1C83D15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6、高速数据采集功能：数据采集器在有线数据通讯方式下各路通道的数据采集频率高达20KHZ。可同时连接10个声波/声级传感器测量声音的波形。</w:t>
            </w:r>
          </w:p>
          <w:p w14:paraId="0803DC8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7、数据采集器在有线数据通讯方式下四路通道可以同时对信号进行数据采集，并行数据采集，互相不受影响；</w:t>
            </w:r>
          </w:p>
          <w:p w14:paraId="1730685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▲8、提供具有CNAS和CMA标识的第三方检测报告，检验项目含外观与结构、功能，并且符合GB/T6587-2012《电子测量仪器通用规范》相应内容的标准要求。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D2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535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279C9AE3">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5D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BE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传感器数据显示模块</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D8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1、模块化设计既可以与传感器通过BT接口连接，也可以与计算机通过USB直接连接。数据的获取和上传无需通过数据采集器即可实现；</w:t>
            </w:r>
          </w:p>
          <w:p w14:paraId="230224F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2、自带不小于1.77寸彩色LED屏，可实时显示传感器数据；</w:t>
            </w:r>
          </w:p>
          <w:p w14:paraId="245080B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3、自动识别传感器及测量范围和分度。无需按键调控，简洁、美观、实用，减少因按键失灵造成的实验功能缺失；</w:t>
            </w:r>
          </w:p>
          <w:p w14:paraId="3F67427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4、接口采用BT接口连接，自带锁扣，有效防止脱落。同时具有单向连接属性，避免因连接失误导致的数据传输失败。支持热插拔，使用寿命：不少于10000次插拔；</w:t>
            </w:r>
          </w:p>
          <w:p w14:paraId="776E132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5、自带不小于8M内存；</w:t>
            </w:r>
          </w:p>
          <w:p w14:paraId="54E23216">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数据上传有线模式：数据显示模块自带miniUSB接口，可与计算机连接。通过软件将数据上传并自动绘制变化图像。到处数据以Excel形式保存，图像可以图片的形式保存。可用于编制实验报告上传至实验评测系统进行数据统计及分析（也可结合学校实际情况上传至云端服务器）；</w:t>
            </w:r>
          </w:p>
          <w:p w14:paraId="04A84B57">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7、数据上传无线模式：设备自带唯二维码，可用移动手持终端（手机、平板等）通过移动端实验软件扫描，导出实验数据，并绘制变化图线；</w:t>
            </w:r>
          </w:p>
          <w:p w14:paraId="475EF7C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8、自带可充电锂电池，最大电池容量不低于1100MAh。全铜触点，双保电芯，自动锁电。3.7V。满电最大待机续航时间不少于240h。可通过专用充电器完成充电，也可通过数据上传有线模式完成充电。</w:t>
            </w:r>
          </w:p>
          <w:p w14:paraId="2155AAA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▲9、提供具有CNAS和CMA标识的第三方检测报告，检验项目含外观与结构、功能，并且符合GB/T6587-2012《电子测量仪器通用规范》相应内容的标准要求。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6697">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47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0464D02A">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ABA">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3742">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专用充电线</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F9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直接连接传感器无线发射模块或显示模块进行充电，一端为usb接口另一端为micro usb接口。</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02BA">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61B">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5AB21B3B">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36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CBF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力传感器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0FB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1、测量范围：-20N~+20N；分度：0.01N；</w:t>
            </w:r>
          </w:p>
          <w:p w14:paraId="6BFC51D7">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2、可用于测拉力（显示正值）和压力（显示负值），手柄式结构</w:t>
            </w:r>
          </w:p>
          <w:p w14:paraId="49DCA30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w:t>
            </w:r>
          </w:p>
          <w:p w14:paraId="30685D5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2ED1220E">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5、支持热插拔，自带硬件调零按钮</w:t>
            </w:r>
          </w:p>
          <w:p w14:paraId="281431F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2054">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035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w:t>
            </w:r>
          </w:p>
        </w:tc>
      </w:tr>
      <w:tr w14:paraId="1110D639">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9A5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221A">
            <w:pPr>
              <w:widowControl/>
              <w:jc w:val="center"/>
              <w:textAlignment w:val="center"/>
              <w:rPr>
                <w:rFonts w:hint="eastAsia" w:ascii="宋体" w:hAnsi="宋体" w:cs="宋体"/>
                <w:color w:val="000000"/>
                <w:kern w:val="0"/>
                <w:szCs w:val="21"/>
                <w:highlight w:val="none"/>
                <w:lang w:bidi="ar"/>
                <w14:ligatures w14:val="standardContextual"/>
              </w:rPr>
            </w:pPr>
            <w:r>
              <w:rPr>
                <w:rStyle w:val="214"/>
                <w:rFonts w:hint="eastAsia" w:ascii="宋体" w:hAnsi="宋体" w:eastAsia="宋体" w:cs="宋体"/>
                <w:kern w:val="0"/>
                <w:sz w:val="21"/>
                <w:szCs w:val="21"/>
                <w:highlight w:val="none"/>
                <w:lang w:bidi="ar"/>
                <w14:ligatures w14:val="standardContextual"/>
              </w:rPr>
              <w:t>声波/声级</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3E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1、声波频率测量范围：20Hz～20kHz，声级测量范围：20 dB ～130dB，分度：0.1dB；可测量环境中声音中的声级大小和波形。</w:t>
            </w:r>
          </w:p>
          <w:p w14:paraId="44D2334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2、可通过传感器上按钮切换其测量的声现形式，将声波/声级传感器接入电脑时，电脑显示其测量的声音波形，按下切换按钮后，电脑显示其测量的声音的声级。</w:t>
            </w:r>
          </w:p>
          <w:p w14:paraId="4F05CA0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3、数据传输采用具有方向性和自锁功能(可以防止传感器脱落保证数据传输稳定)的BT接口方式。</w:t>
            </w:r>
          </w:p>
          <w:p w14:paraId="2C24B1A8">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4、支持有线、无线连接至电脑或者平板电脑等设备进行数据显示;支持独立显示数据。</w:t>
            </w:r>
          </w:p>
          <w:p w14:paraId="16C0539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▲5、提供具有CNAS和CMA标识的第三方检测报告，检验项目含外观与结构、功能，并且符合GB/T6587-2012《电子测量仪器通用规范》相应内容的标准要求。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E43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626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5C91A7D6">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327">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BCB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B89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1、测量范围：-20℃~+130℃；分度：0.1℃</w:t>
            </w:r>
          </w:p>
          <w:p w14:paraId="127B0361">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2、不锈钢探针，可测各种物体或溶液的温度</w:t>
            </w:r>
          </w:p>
          <w:p w14:paraId="143D576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104E3ED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24CCA73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301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812F">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41A3FFE0">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ACAF">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DA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快速温度传感器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CE9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1、测量范围：-20℃~+130℃；</w:t>
            </w:r>
          </w:p>
          <w:p w14:paraId="77F4005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2、分度：0.1℃；</w:t>
            </w:r>
          </w:p>
          <w:p w14:paraId="66BD5F3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3、能够快速响应温度的变化；</w:t>
            </w:r>
          </w:p>
          <w:p w14:paraId="09F9E280">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4、自带传感器固定口，便于传感器固定；</w:t>
            </w:r>
          </w:p>
          <w:p w14:paraId="5272FA1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5、自带硬件调零按钮；</w:t>
            </w:r>
          </w:p>
          <w:p w14:paraId="1FF19AB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6、模块化设计，可与有线接口、无线发射模块、数据显示模块连接，实现有线通讯、无线通讯、独立彩屏数据显示三种工作模式；</w:t>
            </w:r>
          </w:p>
          <w:p w14:paraId="12C99EE6">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7、采用BT接口，自带锁扣，有效防止脱落，同时具有单向连接属性，避免因连接失误导致的数据传输失败，支持热插拔；</w:t>
            </w:r>
          </w:p>
          <w:p w14:paraId="5BE1A26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392">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4ACA">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2D4CA41B">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BB5">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259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压强传感器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611">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 kPa ~700 kPa；分度：0.1 kPa；</w:t>
            </w:r>
          </w:p>
          <w:p w14:paraId="58081897">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2、可用于直接测量气体的绝对压强，配件：20ml注射器</w:t>
            </w:r>
          </w:p>
          <w:p w14:paraId="49A43E7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3CFCF408">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4F2AB577">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8E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4F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2F7E3734">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73E0">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0EF">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红外温度传感器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4B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1、测量范围：-20℃~+200℃；分度：0.1℃</w:t>
            </w:r>
          </w:p>
          <w:p w14:paraId="745A0C2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2、不锈钢探针，可测高温物体或火焰的温度</w:t>
            </w:r>
          </w:p>
          <w:p w14:paraId="3D91EB9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220715F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04E3252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93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3A7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11C1F86A">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F2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573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pH传感器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9BD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1、测量范围：0-14，分度：0.01；</w:t>
            </w:r>
          </w:p>
          <w:p w14:paraId="1DB2357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2、自带传感器固定口，便于传感器固定；</w:t>
            </w:r>
          </w:p>
          <w:p w14:paraId="58B91251">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3、模块化设计，可与有线接口、无线发射模块、数据显示模块连接，实现有线通讯、无线通讯、独立彩屏数据显示三种工作模式；</w:t>
            </w:r>
          </w:p>
          <w:p w14:paraId="4F00A2F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4、采用BT接口，自带锁扣，有效防止脱落。同时具有单向连接属性，避免因连接失误导致的数据传输失败。支持热插拔，使用寿命：不少于10000次插拔；</w:t>
            </w:r>
          </w:p>
          <w:p w14:paraId="66782DA0">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5、有校准功能，配套三种专用校准试剂，方便传感器校准；</w:t>
            </w:r>
          </w:p>
          <w:p w14:paraId="2B7B3BC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6、为方便区分、使用，设备外壳丝印有名称、型号及测量范围；</w:t>
            </w:r>
          </w:p>
          <w:p w14:paraId="31B1F7C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7、可在统信、麒麟、和鸿蒙系统（手机或平板）下进行实验演示。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1C2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C9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w:t>
            </w:r>
          </w:p>
        </w:tc>
      </w:tr>
      <w:tr w14:paraId="78263BD5">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92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BAF3">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氧气传感器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D57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1、测量范围：0%～100％，分度：0.1％</w:t>
            </w:r>
          </w:p>
          <w:p w14:paraId="172B2FB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2、连接插口采用BT接口，具有方向性和自锁功能，可以防止传感器脱落保证数据传输稳定</w:t>
            </w:r>
          </w:p>
          <w:p w14:paraId="6ED31769">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3、支持与采集器的有线通讯、无线通讯和彩屏独立数据显示三种工作方式</w:t>
            </w:r>
          </w:p>
          <w:p w14:paraId="3336085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4、支持热插拔，自带校准按钮</w:t>
            </w:r>
          </w:p>
          <w:p w14:paraId="3AEB9CF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BC7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9A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1133A680">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605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2DD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二氧化碳传感器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8686">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 ppm～50000ppm，分度1 ppm</w:t>
            </w:r>
          </w:p>
          <w:p w14:paraId="74D367FE">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2、红外原理，为保证测量数据准确性和时效性，要求该传感器采用泵动循环，方便气体循环。</w:t>
            </w:r>
          </w:p>
          <w:p w14:paraId="6D4966A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3、传感器采用BT插口，具有方向性和自锁功能，可以防止传感器脱落保证数据传输稳定，支持热插拔</w:t>
            </w:r>
          </w:p>
          <w:p w14:paraId="33F3AD0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4、支持与采集器的有线通讯、无线通讯和独立数据显示三种工作方式。</w:t>
            </w:r>
          </w:p>
          <w:p w14:paraId="2641740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p w14:paraId="380C2660">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▲6、提供具有CNAS和CMA标识的第三方检测报告，检验项目含外观与结构、功能，并且符合GB/T6587-2012《电子测量仪器通用规范》相应内容的标准要求。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0CD0">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5C8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w:t>
            </w:r>
          </w:p>
        </w:tc>
      </w:tr>
      <w:tr w14:paraId="2EBA0923">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2EDB">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D6F">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方块电路</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95CE">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由6类22块电路模块及附件组成，模块尺寸为10cm×10cm×2cm，可吸附在金属板上。</w:t>
            </w:r>
          </w:p>
          <w:p w14:paraId="20E1C87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1、电源类模块：</w:t>
            </w:r>
          </w:p>
          <w:p w14:paraId="10D3714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电源模块×2：锂电池供电，输出：5V；USB Type-C接口充电，设有四级电量指示灯。</w:t>
            </w:r>
          </w:p>
          <w:p w14:paraId="1AAD0BD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2、仪表类模块：</w:t>
            </w:r>
          </w:p>
          <w:p w14:paraId="7BAC9557">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两种模块彩屏显示测量数据。支持蓝牙通讯，上传到移动设备（手机、PAD等），或通过USB Type-C数据线连接计算机软件显示。按键切换量程。</w:t>
            </w:r>
          </w:p>
          <w:p w14:paraId="26EA211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（1）电压表模块×1：测量范围分度分别为：-20V~+20V、0.01V；-2V~+2V、0.001V；-0.2V~+0.2V、0.0001V。</w:t>
            </w:r>
          </w:p>
          <w:p w14:paraId="7F0369C1">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（2）电流表模块×1：测量范围分度分别为：-3A~+3A、0.01A；-300mA~+300mA、0.1mA；-30mA~+30mA、0.01mA。</w:t>
            </w:r>
          </w:p>
          <w:p w14:paraId="40FD167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3、开关类模块：</w:t>
            </w:r>
          </w:p>
          <w:p w14:paraId="4854792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普通开关模块×1：单刀单掷开关。</w:t>
            </w:r>
          </w:p>
          <w:p w14:paraId="6BB97CE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4、导线类模块：</w:t>
            </w:r>
          </w:p>
          <w:p w14:paraId="45FA782C">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按图示连接，导通电路。</w:t>
            </w:r>
          </w:p>
          <w:p w14:paraId="34E1155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（1）直线模块×2；（2）折线模块×5；（3）T型线模块×4。</w:t>
            </w:r>
          </w:p>
          <w:p w14:paraId="39FD6169">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5、电位器类模块：</w:t>
            </w:r>
          </w:p>
          <w:p w14:paraId="488EBDB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模块上三个连接端口对应电位器上的三个引脚，通过旋转模块上的手柄，改变阻值。</w:t>
            </w:r>
          </w:p>
          <w:p w14:paraId="271083F3">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有两种规格模块（22Ω、1kΩ）各×1。</w:t>
            </w:r>
          </w:p>
          <w:p w14:paraId="3FA2C7C9">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6、用电器类模块：</w:t>
            </w:r>
          </w:p>
          <w:p w14:paraId="62D740E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（1）小灯泡模块×2：与附件中的灯泡组合使用；（2）电机模块×1：额定电压 DC 5V，驱动扇叶转动；（3）普通综合扩展模块×1：设有一个插座，与附件中的各种插片组合使用。</w:t>
            </w:r>
          </w:p>
          <w:p w14:paraId="76E305A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7、附件：</w:t>
            </w:r>
          </w:p>
          <w:p w14:paraId="7E5C1EDE">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（1）电阻插片：500Ω×1、600Ω×1、1kΩ×1、1.5kΩ×1、2kΩ×1；</w:t>
            </w:r>
          </w:p>
          <w:p w14:paraId="2F19372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（2）灯泡：绿色LED灯×1、蓝色LED灯×1、钨丝灯泡×2；（3）USB集线器×1、双头充电器×1、USB Type-C数据线×2。</w:t>
            </w:r>
          </w:p>
          <w:p w14:paraId="756529BB">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提供具有CNAS和CMA标识的带产品图片的第三方检测报告，检验项目含外观与结构、功能，并且符合GB/T6587-2012《电子测量仪器通用规范》相应内容的标准要求。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9FA">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2D2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0A489C75">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40C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3EB">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DISlab软件包</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015A">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1、软件包含教材通用软件、物理教材专用软件、化学专用软件、生物专用软件、传感器校准软件与数据导入软件六个部分。</w:t>
            </w:r>
          </w:p>
          <w:p w14:paraId="12C8B184">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2、理化生专用软件由系列独立软件组成，每个独立软件针对某个（类）实验过程进行固化设计，具有“风格独特、界面简洁、一键OK”特点。</w:t>
            </w:r>
          </w:p>
          <w:p w14:paraId="384EC3EF">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w:t>
            </w:r>
          </w:p>
          <w:p w14:paraId="40BF7D65">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4、软件自带实验录像功能，能同时记录数据变化和实验小组操作情况并存储到计算机指定位置。现场演示此功能。</w:t>
            </w:r>
          </w:p>
          <w:p w14:paraId="0D3A4FCE">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5、应用平台： windowsXP、windows7、windows8、windows10等。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499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B85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7BC50649">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1B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90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摩擦力实验器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C5BD">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由轨道、摩擦台底座、多种摩擦块、电机组成，与力传感器配合使用，可实现摩擦物体做匀速直线运动。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5D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0D9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5473B6E6">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3B5">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3E4">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流体压强实验器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33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由气泵、套管、外接联通软管和支架组成，与同时多个压强传感器配合使用，进行实验可清晰显示气流的不同流速对应的气体压强差异，可进行用于伯努利定律的演示和实验探究。提供检测报告。</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4F6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791">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629C0A85">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6B7F">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CE1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附件</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1202">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有线模式配套：含USB通讯线1条、传感器线4条、转接器4只、技术资料等。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C5C5">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F7E7">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6CDAF449">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7399">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81E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铝合金箱</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C81">
            <w:pPr>
              <w:widowControl/>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传感器铝合金实验箱。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0800">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F1B8">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28DC024D">
        <w:tblPrEx>
          <w:tblCellMar>
            <w:top w:w="0" w:type="dxa"/>
            <w:left w:w="108" w:type="dxa"/>
            <w:bottom w:w="0" w:type="dxa"/>
            <w:right w:w="108" w:type="dxa"/>
          </w:tblCellMar>
        </w:tblPrEx>
        <w:trPr>
          <w:trHeight w:val="451" w:hRule="atLeast"/>
        </w:trPr>
        <w:tc>
          <w:tcPr>
            <w:tcW w:w="9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A898F">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学生端</w:t>
            </w:r>
          </w:p>
        </w:tc>
      </w:tr>
      <w:tr w14:paraId="60A593C4">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52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0C9">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数据采集器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6F29">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1、模块化结构</w:t>
            </w:r>
          </w:p>
          <w:p w14:paraId="536A3DF4">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2、与计算机USB接口通讯，无须外接电源，最大采样率80K；支持四通道并行采集，全数字通道，每个数据系统都最大采样速率可达20KHz</w:t>
            </w:r>
          </w:p>
          <w:p w14:paraId="2DD78D1D">
            <w:pPr>
              <w:widowControl/>
              <w:spacing w:line="276" w:lineRule="auto"/>
              <w:textAlignment w:val="top"/>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3、可根据实验教学需要，选择接插有线接口或无线接收实现与传感器通讯；支持有线/无线状态下的四通道并行采集，支持热插拔连接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259">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EB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71DE7EC3">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B0C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9AD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传感器数据显示模块</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922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1、模块化设计既可以与传感器通过BT接口连接，也可以与计算机通过USB直接连接。数据的获取和上传无需通过数据采集器即可实现；</w:t>
            </w:r>
          </w:p>
          <w:p w14:paraId="276DD10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2、自带不小于1.77寸彩色LED屏，可实时显示传感器数据；</w:t>
            </w:r>
          </w:p>
          <w:p w14:paraId="3AF8FFF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3、自动识别传感器及测量范围和分度。无需按键调控，简洁、美观、实用，减少因按键失灵造成的实验功能缺失；</w:t>
            </w:r>
          </w:p>
          <w:p w14:paraId="7D807B5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4、接口采用BT接口连接，自带锁扣，有效防止脱落。同时具有单向连接属性，避免因连接失误导致的数据传输失败。支持热插拔，使用寿命：不少于10000次插拔；</w:t>
            </w:r>
          </w:p>
          <w:p w14:paraId="4507FBC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5、自带不小于8M内存；</w:t>
            </w:r>
          </w:p>
          <w:p w14:paraId="5E52552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数据上传有线模式：数据显示模块自带miniUSB接口，可与计算机连接。通过软件将数据上传并自动绘制变化图像。到处数据以Excel形式保存，图像可以图片的形式保存。可用于编制实验报告上传至实验评测系统进行数据统计及分析（也可结合学校实际情况上传至云端服务器）；</w:t>
            </w:r>
          </w:p>
          <w:p w14:paraId="1799E04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7、数据上传无线模式：设备自带唯二维码，可用移动手持终端（手机、平板等）通过移动端实验软件扫描，导出实验数据，并绘制变化图线；</w:t>
            </w:r>
          </w:p>
          <w:p w14:paraId="053D2011">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8、自带可充电锂电池，最大电池容量不低于1100MAh。全铜触点，双保电芯，自动锁电。3.7V。满电最大待机续航时间不少于240h。可通过专用充电器完成充电，也可通过数据上传有线模式完成充电。</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E8B9">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ABB1">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7214198F">
        <w:tblPrEx>
          <w:tblCellMar>
            <w:top w:w="0" w:type="dxa"/>
            <w:left w:w="108" w:type="dxa"/>
            <w:bottom w:w="0" w:type="dxa"/>
            <w:right w:w="108" w:type="dxa"/>
          </w:tblCellMar>
        </w:tblPrEx>
        <w:trPr>
          <w:trHeight w:val="147"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FA6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2C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专用充电线</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63C">
            <w:pPr>
              <w:widowControl/>
              <w:spacing w:line="276" w:lineRule="auto"/>
              <w:textAlignment w:val="top"/>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直接连接传感器无线发射模块或显示模块进行充电，一端为usb接口另一端为micro usb接口。</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AC01">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4E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25038391">
        <w:tblPrEx>
          <w:tblCellMar>
            <w:top w:w="0" w:type="dxa"/>
            <w:left w:w="108" w:type="dxa"/>
            <w:bottom w:w="0" w:type="dxa"/>
            <w:right w:w="108" w:type="dxa"/>
          </w:tblCellMar>
        </w:tblPrEx>
        <w:trPr>
          <w:trHeight w:val="27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7106">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A03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力传感器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7D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1、测量范围：-20N~+20N；分度：0.01N；</w:t>
            </w:r>
          </w:p>
          <w:p w14:paraId="0AA6DC3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2、可用于测拉力（显示正值）和压力（显示负值），手柄式结构</w:t>
            </w:r>
          </w:p>
          <w:p w14:paraId="3E59CB7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w:t>
            </w:r>
          </w:p>
          <w:p w14:paraId="15DE9C2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1818249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5、支持热插拔，自带硬件调零按钮</w:t>
            </w:r>
          </w:p>
          <w:p w14:paraId="7140415E">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6、可在windows、统信、麒麟、iOS、安卓和鸿蒙系统（手机或平板）下进行实验演示。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9CD">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219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346629FA">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0B0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B0C0">
            <w:pPr>
              <w:widowControl/>
              <w:spacing w:line="276" w:lineRule="auto"/>
              <w:jc w:val="center"/>
              <w:textAlignment w:val="center"/>
              <w:rPr>
                <w:rFonts w:hint="eastAsia" w:ascii="宋体" w:hAnsi="宋体" w:cs="宋体"/>
                <w:color w:val="000000"/>
                <w:szCs w:val="21"/>
                <w:highlight w:val="none"/>
              </w:rPr>
            </w:pPr>
            <w:r>
              <w:rPr>
                <w:rStyle w:val="214"/>
                <w:rFonts w:hint="eastAsia" w:ascii="宋体" w:hAnsi="宋体" w:eastAsia="宋体" w:cs="宋体"/>
                <w:sz w:val="21"/>
                <w:szCs w:val="21"/>
                <w:highlight w:val="none"/>
                <w:lang w:bidi="ar"/>
                <w14:ligatures w14:val="standardContextual"/>
              </w:rPr>
              <w:t>声波/声级</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A6F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1、声波频率测量范围：20Hz~20kHz。声级测量范围：20 dB ~120dB，分度：0.1dB</w:t>
            </w:r>
          </w:p>
          <w:p w14:paraId="64E03D4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2、能测量声音的波形，研究声音的频率、周期、振幅等特征</w:t>
            </w:r>
          </w:p>
          <w:p w14:paraId="099AB332">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3、支持与采集器的有线通讯、无线通讯工作方式；传感器采用BT插口，具有方向性和自锁功能，可以防止传感器脱落保证数据传输稳定，支持热插拔</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2AB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154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30092732">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11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0DF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383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1、测量范围：-20℃~+130℃；分度：0.1℃</w:t>
            </w:r>
          </w:p>
          <w:p w14:paraId="4D2F338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2、不锈钢探针，可测各种物体或溶液的温度</w:t>
            </w:r>
          </w:p>
          <w:p w14:paraId="26D8CB2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65F6CD2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4829CC54">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86F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A0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41274B4A">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82D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CF4C">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压强传感器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51E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 kPa ~700 kPa；分度：0.1 kPa；</w:t>
            </w:r>
          </w:p>
          <w:p w14:paraId="16B7F23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2、可用于直接测量气体的绝对压强，配件：20ml注射器</w:t>
            </w:r>
          </w:p>
          <w:p w14:paraId="29D3FAC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4448731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2A752309">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E1A4">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474">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48DD6BD0">
        <w:tblPrEx>
          <w:tblCellMar>
            <w:top w:w="0" w:type="dxa"/>
            <w:left w:w="108" w:type="dxa"/>
            <w:bottom w:w="0" w:type="dxa"/>
            <w:right w:w="108" w:type="dxa"/>
          </w:tblCellMar>
        </w:tblPrEx>
        <w:trPr>
          <w:trHeight w:val="220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272F">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CA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氧气传感器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729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1、测量范围：0%～30％，分度：0.1％</w:t>
            </w:r>
          </w:p>
          <w:p w14:paraId="0E75FB1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2、连接插口采用BT接口，具有方向性和自锁功能，可以防止传感器脱落保证数据传输稳定</w:t>
            </w:r>
          </w:p>
          <w:p w14:paraId="5F2ECBA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3、支持与采集器的有线通讯、无线通讯和彩屏独立数据显示三种工作方式</w:t>
            </w:r>
          </w:p>
          <w:p w14:paraId="214833F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4、支持热插拔，自带校准按钮</w:t>
            </w:r>
          </w:p>
          <w:p w14:paraId="69FD6FB4">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2D59">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8AD3">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17E00FCB">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D603">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DED">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红外温度传感器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81E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1、测量范围：-20℃~+200℃；分度：0.1℃</w:t>
            </w:r>
          </w:p>
          <w:p w14:paraId="03C1C26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2、不锈钢探针，可测高温物体或火焰的温度</w:t>
            </w:r>
          </w:p>
          <w:p w14:paraId="3B4C84B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3、连接插口采用BT接口，具有方向性和自锁功能，可以防止传感器脱落保证数据传输稳定，支持热插拔</w:t>
            </w:r>
          </w:p>
          <w:p w14:paraId="018C7EB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4、支持与采集器的有线通讯、无线通讯和彩屏独立数据显示三种工作方式</w:t>
            </w:r>
          </w:p>
          <w:p w14:paraId="05E69764">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876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3D4">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4</w:t>
            </w:r>
          </w:p>
        </w:tc>
      </w:tr>
      <w:tr w14:paraId="27D764C8">
        <w:tblPrEx>
          <w:tblCellMar>
            <w:top w:w="0" w:type="dxa"/>
            <w:left w:w="108" w:type="dxa"/>
            <w:bottom w:w="0" w:type="dxa"/>
            <w:right w:w="108" w:type="dxa"/>
          </w:tblCellMar>
        </w:tblPrEx>
        <w:trPr>
          <w:trHeight w:val="38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A5E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45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快速温度传感器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9E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1、测量范围：-20℃~+130℃；</w:t>
            </w:r>
          </w:p>
          <w:p w14:paraId="5DC0040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2、分度：0.1℃；</w:t>
            </w:r>
          </w:p>
          <w:p w14:paraId="2A67E04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3、能够快速响应温度的变化；</w:t>
            </w:r>
          </w:p>
          <w:p w14:paraId="6E13EC2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4、自带传感器固定口，便于传感器固定；</w:t>
            </w:r>
          </w:p>
          <w:p w14:paraId="0D58087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5、自带硬件调零按钮；</w:t>
            </w:r>
          </w:p>
          <w:p w14:paraId="054869D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6、模块化设计，可与有线接口、无线发射模块、数据显示模块连接，实现有线通讯、无线通讯、独立彩屏数据显示三种工作模式；</w:t>
            </w:r>
          </w:p>
          <w:p w14:paraId="4611E71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7、采用BT接口，自带锁扣，有效防止脱落，同时具有单向连接属性，避免因连接失误导致的数据传输失败，支持热插拔；</w:t>
            </w:r>
          </w:p>
          <w:p w14:paraId="37DBA38B">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8、可在windows、统信、麒麟、iOS、安卓和鸿蒙系统（手机或平板）下进行实验演示。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CFD6">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EB09">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6D3C1BB0">
        <w:tblPrEx>
          <w:tblCellMar>
            <w:top w:w="0" w:type="dxa"/>
            <w:left w:w="108" w:type="dxa"/>
            <w:bottom w:w="0" w:type="dxa"/>
            <w:right w:w="108" w:type="dxa"/>
          </w:tblCellMar>
        </w:tblPrEx>
        <w:trPr>
          <w:trHeight w:val="19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0A75">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29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03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pH传感器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F3F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1、测量范围：0~14；分度：0.01</w:t>
            </w:r>
          </w:p>
          <w:p w14:paraId="1E798EA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2、连接插口采用BT接口，具有方向性和自锁功能，可以防止传感器脱落保证数据传输稳定，支持热插拔</w:t>
            </w:r>
          </w:p>
          <w:p w14:paraId="38630F9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3、支持与采集器的有线通讯、无线通讯和彩屏独立数据显示三种工作方式</w:t>
            </w:r>
          </w:p>
          <w:p w14:paraId="4B59C2AF">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4、可在windows、统信、麒麟、iOS、安卓和鸿蒙系统（手机或平板）下进行实验演示。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A19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2A63">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5E43DB82">
        <w:tblPrEx>
          <w:tblCellMar>
            <w:top w:w="0" w:type="dxa"/>
            <w:left w:w="108" w:type="dxa"/>
            <w:bottom w:w="0" w:type="dxa"/>
            <w:right w:w="108" w:type="dxa"/>
          </w:tblCellMar>
        </w:tblPrEx>
        <w:trPr>
          <w:trHeight w:val="220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55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7651">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二氧化碳传感器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99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1、测量范围：0 ppm～50000ppm，分度1 ppm</w:t>
            </w:r>
          </w:p>
          <w:p w14:paraId="4B63EB7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2、红外原理，为保证测量数据准确性和时效性，要求该传感器采用泵动循环，方便气体循环。</w:t>
            </w:r>
          </w:p>
          <w:p w14:paraId="534C305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3、传感器采用BT插口，具有方向性和自锁功能，可以防止传感器脱落保证数据传输稳定，支持热插拔</w:t>
            </w:r>
          </w:p>
          <w:p w14:paraId="2CE7F8E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4、支持与采集器的有线通讯、无线通讯和独立数据显示三种工作方式。</w:t>
            </w:r>
          </w:p>
          <w:p w14:paraId="5A43F088">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5、可在windows、统信、麒麟、iOS、安卓和鸿蒙系统（手机或平板）下进行实验演示。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89F6">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C8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7D02C003">
        <w:tblPrEx>
          <w:tblCellMar>
            <w:top w:w="0" w:type="dxa"/>
            <w:left w:w="108" w:type="dxa"/>
            <w:bottom w:w="0" w:type="dxa"/>
            <w:right w:w="108" w:type="dxa"/>
          </w:tblCellMar>
        </w:tblPrEx>
        <w:trPr>
          <w:trHeight w:val="8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EF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2EE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摩擦做功实验器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7655">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由铜管、支架、摩擦绳组成，与温度传感器配合使用，可完成摩擦做功使温度升高实验.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9BD">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1FD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548DB82B">
        <w:tblPrEx>
          <w:tblCellMar>
            <w:top w:w="0" w:type="dxa"/>
            <w:left w:w="108" w:type="dxa"/>
            <w:bottom w:w="0" w:type="dxa"/>
            <w:right w:w="108" w:type="dxa"/>
          </w:tblCellMar>
        </w:tblPrEx>
        <w:trPr>
          <w:trHeight w:val="111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40C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FEB6">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流体压强实验器</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8606">
            <w:pPr>
              <w:widowControl/>
              <w:spacing w:line="276"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由气泵、三节不同粗细的套管、外接连通软管和支架组成，与三只相对压强传感器配合使用，可清晰显示气流的不同流速对应的气体压强差异，可用于伯努利定律的演示和实验探究。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8253">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47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5</w:t>
            </w:r>
          </w:p>
        </w:tc>
      </w:tr>
      <w:tr w14:paraId="4BB00FB3">
        <w:tblPrEx>
          <w:tblCellMar>
            <w:top w:w="0" w:type="dxa"/>
            <w:left w:w="108" w:type="dxa"/>
            <w:bottom w:w="0" w:type="dxa"/>
            <w:right w:w="108" w:type="dxa"/>
          </w:tblCellMar>
        </w:tblPrEx>
        <w:trPr>
          <w:trHeight w:val="6041"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30A5">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20C8">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科学探究仪</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F47">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1、硬件：屏幕不小于10英寸、安卓系统。</w:t>
            </w:r>
          </w:p>
          <w:p w14:paraId="7BF64097">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2、通风控制系统：无极变频控制，可精确控制通风风量；</w:t>
            </w:r>
          </w:p>
          <w:p w14:paraId="3118CCFA">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3、供水控制系统：集中控制整个教室的给排水，可进行单选、全选、及分组控制；</w:t>
            </w:r>
          </w:p>
          <w:p w14:paraId="1F7C70DC">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4、照明控制系统：集中控制整个舱体照明，可进行单选、全选及分组控制；</w:t>
            </w:r>
          </w:p>
          <w:p w14:paraId="040259D4">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5、电源控制系统：可控制学生端220v电源输出与关闭，也可控制学生端低压电源的锁定与受控，调节范围为0～30V，分辨率可达0.1V,额定电流2A； 最小调节单元可达1V。</w:t>
            </w:r>
          </w:p>
          <w:p w14:paraId="693CCC71">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6、摇臂控制系统：可以实现单个控制、集中控制、组合控制；</w:t>
            </w:r>
          </w:p>
          <w:p w14:paraId="5C7BEE41">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7、可在线注册，注销用户，修改密码；</w:t>
            </w:r>
          </w:p>
          <w:p w14:paraId="19702056">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8、实时监测显示教室空气温度、湿度；</w:t>
            </w:r>
          </w:p>
          <w:p w14:paraId="7D954C38">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9、实时监测顶装运行状态，故障报警；</w:t>
            </w:r>
          </w:p>
          <w:p w14:paraId="6399FD66">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10、软件可通过网络升级；</w:t>
            </w:r>
          </w:p>
          <w:p w14:paraId="259B120A">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拓展功能：内置10种传感器，包括声音、气压、心率、GPS、温度、湿度、加速度、光照、声音、UVI紫外线。内置传感器集成固化在一体化平板内部，通过位于一体化平板边缘的固定感应装置即可进行采集数据，无需另外插接其它任何配件。并通过内置的软件进行数据分析和探究活动。可兼容60种外部传感器，可同时连接四种外置传感器，同时采集四种数据。提供产品功能截图，并加盖投标单位公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D742">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DFB5">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r>
      <w:tr w14:paraId="59F11A80">
        <w:tblPrEx>
          <w:tblCellMar>
            <w:top w:w="0" w:type="dxa"/>
            <w:left w:w="108" w:type="dxa"/>
            <w:bottom w:w="0" w:type="dxa"/>
            <w:right w:w="108" w:type="dxa"/>
          </w:tblCellMar>
        </w:tblPrEx>
        <w:trPr>
          <w:trHeight w:val="5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2410">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213">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数字实验终端</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A20E">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1、显示屏尺寸：≥9.8英寸，屏幕分辨率：≥1920×1200</w:t>
            </w:r>
          </w:p>
          <w:p w14:paraId="7971D65D">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2、采用八核CPU，主频：≥2.0GHz</w:t>
            </w:r>
          </w:p>
          <w:p w14:paraId="1F39A17A">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3、内存容量：≥6GB；磁盘容量：≥128GB</w:t>
            </w:r>
          </w:p>
          <w:p w14:paraId="00F48A2F">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4、电池容量：≥4920mAh（典型值）</w:t>
            </w:r>
          </w:p>
          <w:p w14:paraId="4065DDC7">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5、摄像头：双摄像头，前置≥500万像素，后置≥800万像素</w:t>
            </w:r>
          </w:p>
          <w:p w14:paraId="1EF9F7AF">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6、接口支持：扬声器≥2个。麦克风≥1个。USB TYPE C接口≥1个。支持耳机功能。Micro SD卡接口≥1个（最大支持512GB）。</w:t>
            </w:r>
          </w:p>
          <w:p w14:paraId="769FB216">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7、WiFi：支持802.11a/b/g/n/ac（2.4G&amp;5.8GHz)；蓝牙：支持</w:t>
            </w:r>
          </w:p>
          <w:p w14:paraId="677FFB10">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8、操作系统：Android 10.0或以上版本定制化操作系统，使用定制化桌面，避免与学习无关信息的干扰。</w:t>
            </w:r>
          </w:p>
          <w:p w14:paraId="33CF856E">
            <w:pPr>
              <w:widowControl/>
              <w:spacing w:line="276" w:lineRule="auto"/>
              <w:textAlignment w:val="top"/>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防护设计：支持防摔，带皮套120cm掉落至地面无损坏。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A706">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77C1">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w:t>
            </w:r>
          </w:p>
        </w:tc>
      </w:tr>
      <w:tr w14:paraId="268A54BF">
        <w:tblPrEx>
          <w:tblCellMar>
            <w:top w:w="0" w:type="dxa"/>
            <w:left w:w="108" w:type="dxa"/>
            <w:bottom w:w="0" w:type="dxa"/>
            <w:right w:w="108" w:type="dxa"/>
          </w:tblCellMar>
        </w:tblPrEx>
        <w:trPr>
          <w:trHeight w:val="5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9637">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7D2B">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附件</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B581">
            <w:pPr>
              <w:widowControl/>
              <w:spacing w:line="276" w:lineRule="auto"/>
              <w:textAlignment w:val="top"/>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有线模式配套：含USB通讯线1条、传感器线4条、转接器4只、技术资料等。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22BA">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25F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6D8AB0F2">
        <w:tblPrEx>
          <w:tblCellMar>
            <w:top w:w="0" w:type="dxa"/>
            <w:left w:w="108" w:type="dxa"/>
            <w:bottom w:w="0" w:type="dxa"/>
            <w:right w:w="108" w:type="dxa"/>
          </w:tblCellMar>
        </w:tblPrEx>
        <w:trPr>
          <w:trHeight w:val="55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434">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56F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铝合金箱</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09EF">
            <w:pPr>
              <w:widowControl/>
              <w:spacing w:line="276" w:lineRule="auto"/>
              <w:textAlignment w:val="top"/>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传感器铝合金实验箱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DA0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3CE">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14</w:t>
            </w:r>
          </w:p>
        </w:tc>
      </w:tr>
      <w:tr w14:paraId="5B2EBECA">
        <w:tblPrEx>
          <w:tblCellMar>
            <w:top w:w="0" w:type="dxa"/>
            <w:left w:w="108" w:type="dxa"/>
            <w:bottom w:w="0" w:type="dxa"/>
            <w:right w:w="108" w:type="dxa"/>
          </w:tblCellMar>
        </w:tblPrEx>
        <w:trPr>
          <w:trHeight w:val="63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F51">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3CED">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数码体视显微镜</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055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1、光学系统：Greenough光学系统；</w:t>
            </w:r>
          </w:p>
          <w:p w14:paraId="3E53ECF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2、目镜：超大视场视度可调±5°屈光度，WF10×/23  1对，双目瞳距48mm～75mm；</w:t>
            </w:r>
          </w:p>
          <w:p w14:paraId="34B6DB3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3、观察筒：双目观察筒，45度倾斜；</w:t>
            </w:r>
          </w:p>
          <w:p w14:paraId="6604566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4、主机连续变倍范围：0.75X-5.0X，标准放大倍率7.5X-50X；</w:t>
            </w:r>
          </w:p>
          <w:p w14:paraId="4F7442B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5、变倍比：≥1:6.7，五档连续可变；</w:t>
            </w:r>
          </w:p>
          <w:p w14:paraId="3A30BD1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6、标准工作距离：≥113mm，系统最大工作距离：≥301mm（0.3X）；</w:t>
            </w:r>
          </w:p>
          <w:p w14:paraId="7AD2642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7、LED照明：入射光源：原装3W LED灯，亮度可调。透射光源：3W LED灯，亮度可调，入射光和透射光可单独或同时使用。</w:t>
            </w:r>
          </w:p>
          <w:p w14:paraId="74584B3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8、透射光源底座照明内置反射镜装置，底座左侧靠前的拉杆装置，可调节透射光源角度，满足多种观察需求；</w:t>
            </w:r>
          </w:p>
          <w:p w14:paraId="7A4A2EF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9、底座左侧靠后的拉杆装置，可移动光源，不同位置的侧光进行照明，满足多种观察需求；</w:t>
            </w:r>
          </w:p>
          <w:p w14:paraId="0AF84CD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10、底座尺寸：239*303mm。</w:t>
            </w:r>
          </w:p>
          <w:p w14:paraId="72A893D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11、全内置式数码摄像系统,静态1600万像素，动态1080P分辨率，可采用WIFI无线连接智能装置，也可以网线连接电脑，实现有线无线自由切换。</w:t>
            </w:r>
          </w:p>
          <w:p w14:paraId="483D9B9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12、操作系统：软件支持Android、IOS和windows操作系统。Android、IOS和windows操作系统终端设备可以同时连接显微镜，实时成像。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814">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6A8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1</w:t>
            </w:r>
          </w:p>
        </w:tc>
      </w:tr>
      <w:tr w14:paraId="39A82B00">
        <w:tblPrEx>
          <w:tblCellMar>
            <w:top w:w="0" w:type="dxa"/>
            <w:left w:w="108" w:type="dxa"/>
            <w:bottom w:w="0" w:type="dxa"/>
            <w:right w:w="108" w:type="dxa"/>
          </w:tblCellMar>
        </w:tblPrEx>
        <w:trPr>
          <w:trHeight w:val="27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22C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F1A6">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86寸一体机</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353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0929270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2、采用红外触控技术，支持±1.5mm触控精度，支持采用被动红外笔及手指进行触摸书写，支持Windows系统中进行40点或以上触控；</w:t>
            </w:r>
          </w:p>
          <w:p w14:paraId="0ACADE0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3、采用防眩光全钢化防爆玻璃面板，面板的碎片状态、抗冲击性、霰弹袋冲击性能、耐热冲击性能均通过国家强制玻璃标准， 硬度9H，可见光透射比不低于88%；</w:t>
            </w:r>
          </w:p>
          <w:p w14:paraId="23B5A6D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4、采用AI低书写触控算法，实现整机书写高度≤2mm，减少书写连笔问题；书写笔使用抗菌材料，细菌（大肠杆菌、金黄色葡萄球菌）不残留，抗菌率＞99.99%，给用户更健康的使用环境；</w:t>
            </w:r>
          </w:p>
          <w:p w14:paraId="0ACF35B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整机内置一体化摄像头&amp;麦克风模块，音视频模块非外接设计，无外部线材裸露，部署简单，确保使用稳定性；只需要拆开摄像头后盖，即可实现摄像头&amp;麦克风模块检测和维修，无需拆开整机，满足高效售后；</w:t>
            </w:r>
          </w:p>
          <w:p w14:paraId="4A4C879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6、内置1颗1300万像素摄像头，6阵列数字麦克风，摄像头支持自动对焦，自动曝光，自动白平衡，自动背光补偿，3D降噪功能；麦克风自带AI算法，支持AI降噪、人声自动增益、回声消除；</w:t>
            </w:r>
          </w:p>
          <w:p w14:paraId="74FBA5F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7、支持智能全景功能（Auto-framing），无需机械转动，可根据与会议室/教室人数自动调整焦距，聚焦会议/教室全员，用户可自行开启/关闭此功能；</w:t>
            </w:r>
          </w:p>
          <w:p w14:paraId="7519FDD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8、支持声源定位（发言人追踪）功能可根据用户需求确认是否开启，开启后，进入视频会议，摄像头可快速自动跟随发言老师/学生，确保发言人员在视频画面C位居中；</w:t>
            </w:r>
          </w:p>
          <w:p w14:paraId="012B311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9、采用2.0声道，内置2*16W前置发声腔体扬声器单元，频响范围180Hz-20kHz，声音直达用户；</w:t>
            </w:r>
          </w:p>
          <w:p w14:paraId="7107041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为保证整机一体性，采用隐藏式磁吸可插拔无线模块设计，整机无外伸天线；默认提供无线模块作为附件，用户可根据需求自行确认是否安装无线模块，安装位置位于整机底部，无需拆装整机产品后壳，安装及拆除简便，整机与可插拔模块附件均受原厂质保；</w:t>
            </w:r>
          </w:p>
          <w:p w14:paraId="3533C94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11、可插拔无线模块内置双WiFi模组，支持AP与STA两种工作模式同时工作，即在接入无线网络的同时，也可以作为热点允许其他设备连接，两种工作模式下工作频率均支持2.4GHz和5GHz，无线STA模块采用WiFi 6技术，支持 802.11a/b/g/n/ac/ax协议，工作距离≥10米，AP模块支持2T2R；支持5.2版本蓝牙；</w:t>
            </w:r>
          </w:p>
          <w:p w14:paraId="1EBEA58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12、整机亮度350cd/m2，屏幕拥有更高的色域，色域值NTSC 72%；</w:t>
            </w:r>
          </w:p>
          <w:p w14:paraId="12E01C7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13、支持硬件物理防蓝光，满足护眼要求，整机有害蓝光（415nm-455nm）的光功率占完整蓝光（400-500nm）的光功率低于50%，有效实现护眼观看；</w:t>
            </w:r>
          </w:p>
          <w:p w14:paraId="3AB173A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14、采用DC直流调光背光技术，手机拍照/录视频画面不闪烁，降低眼部长时间观看疲劳，护眼学生/老师眼部健康；</w:t>
            </w:r>
          </w:p>
          <w:p w14:paraId="44AD8BE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15、系统自带安卓系统，4G RAM,32G ROM；</w:t>
            </w:r>
          </w:p>
          <w:p w14:paraId="50DD016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16、前置接口及功能如下：1*Type-C IN（支持USB功能，安卓&amp;PC 随切，PC下可支持USB3.0传输） ，2*USB 3.0 Type-A，1*TOUCH OUT（支持有线网络共享），1*HDMI IN；</w:t>
            </w:r>
          </w:p>
          <w:p w14:paraId="498B6FC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17、侧置接口及功能如下：1*TOUCH（支持有线网络共享）；2*HDMI IN（两路都支持CEC，其中一路支持ARC）；1*RS232；1*USB 2.0；1*USB 3.0（支持安卓&amp;PC随切）；1*RJ45；1*AUDIO OUT；1*SPDIF（Optical out）；</w:t>
            </w:r>
          </w:p>
          <w:p w14:paraId="054C41A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支持设备管理功能，快速数据清理功能，避免缓存数据太多导致系统卡顿；支持故障检测功能，常见6种故障（网络、PC通道、摄像头、麦克风等）无需售后上门用户可自行检测快速确认产品异常定位，提高售后响应效率；</w:t>
            </w:r>
          </w:p>
          <w:p w14:paraId="59801A2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丰富桌面组件：包括世界时钟、天气、重要事件或内容（如高考/中考）倒数日、每日一言、图片轮播展示、课表、待办事项展示等，老师/学生可根据需求自行定义桌面组件内容及每个组件均支持至少3种展示方式，满足日常教学使用需求；</w:t>
            </w:r>
          </w:p>
          <w:p w14:paraId="2279477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20、支持侧边栏一键启动录制教师会议/远程教学内容，包含屏幕画面和声音等，并支持将录制文件保存至本地或扫码带走；</w:t>
            </w:r>
          </w:p>
          <w:p w14:paraId="21B7FB5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21、支持直尺、三角尺、量角器、圆规多种教学辅助工具，支持箭头、三角形、圆形等17种2D图形快速插入，支持球体、四方体、圆柱体等9种3D立体图形插入，满足老师教学需求；</w:t>
            </w:r>
          </w:p>
          <w:p w14:paraId="2A31572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22、支持书写体转打印体，开启后可将笔迹转化为文本，支持中文英文、韩文、日文等主流文字识别，方便教师板书保存使用；</w:t>
            </w:r>
          </w:p>
          <w:p w14:paraId="41E8346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智能识别手绘图形，书写无需重新点击选择画笔功能；支持插入智能表格、思维导图、便签和文本，智能表格可根据书写内容自动扩充，支持通过画直线的方式添加或删除行列，支持通过画线方式实现表格合并操作；</w:t>
            </w:r>
          </w:p>
          <w:p w14:paraId="042F1BB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24、白板内置功能支持多种学科教学工具，如白板内置数学公式编辑器，快速编辑操作；内置元素周期表；支持星球模型3D图形等；</w:t>
            </w:r>
          </w:p>
          <w:p w14:paraId="1E476CE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25、电脑参数：80PIN标准OPS模块，英特尔酷睿第12/13代I5处理器，Windows 11正版操作系统，8G运行内存，256G固态硬盘存储，模块接口：</w:t>
            </w:r>
          </w:p>
          <w:p w14:paraId="352A054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5E72">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F33C">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r>
      <w:tr w14:paraId="6718B605">
        <w:tblPrEx>
          <w:tblCellMar>
            <w:top w:w="0" w:type="dxa"/>
            <w:left w:w="108" w:type="dxa"/>
            <w:bottom w:w="0" w:type="dxa"/>
            <w:right w:w="108" w:type="dxa"/>
          </w:tblCellMar>
        </w:tblPrEx>
        <w:trPr>
          <w:trHeight w:val="416"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6F8D">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39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31D0">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86寸智慧黑板</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E3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0A73B6A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2、采用电容触控技术，支持Windows系统中进行40点或以上触控；</w:t>
            </w:r>
          </w:p>
          <w:p w14:paraId="1433257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3、支持持手指&amp;配套被动电容笔进行书写操作；</w:t>
            </w:r>
          </w:p>
          <w:p w14:paraId="09314FA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4、整机采用一体设计，无推拉式结构，外部无任何可见内部功能模块连接线，主副屏过渡平滑并在同一平面，中间无单独边框阻隔。主屏及副屏边缘及转角处圆润设计，无利边及尖端，保障教学安全；</w:t>
            </w:r>
          </w:p>
          <w:p w14:paraId="43C9721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主屏钢化玻璃采用专业蚀刻防眩光表面处理工艺，主屏支持普通粉笔直接书写。两侧副屏可支持以下媒介（普通粉笔、液体粉笔、成膜笔）进行板书书写。副屏支持磁吸附功能，可以满足带有磁吸的板擦等教具进行吸附在副屏上，主屏下边框带一体收纳笔槽，支持被动电容笔&amp;粉笔等收纳；</w:t>
            </w:r>
          </w:p>
          <w:p w14:paraId="222AAD9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6、整机具备6个前置按键，支持电源键、主页键、返回键、设置键、支持音量+&amp;音量-调节键；丰富按键，一键直达，便捷交互；</w:t>
            </w:r>
          </w:p>
          <w:p w14:paraId="5A51DCB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黑板整机自带一体化摄像头&amp;麦克风模块，音视频模块非外接设计，无外部线材裸露，部署简单，确保使用稳定性；只需要拆开摄像头后盖，即可实现摄像头&amp;麦克风模块检测和维修，无需拆开整机，满足高效售后；</w:t>
            </w:r>
          </w:p>
          <w:p w14:paraId="118CF2B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8、整机亮度350cd/m2，屏幕拥有更高的色域，色域值NTSC 72%；</w:t>
            </w:r>
          </w:p>
          <w:p w14:paraId="6747D34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▲9、支持硬件物理防蓝光，满足护眼要求，整机有害蓝光（415nm-455nm）的光功率占完整蓝光（400-500nm）的光功率低于50%，有效实现护眼观看；</w:t>
            </w:r>
          </w:p>
          <w:p w14:paraId="49806C1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10、整机支持精准色彩还原，每台产品均经过自动白平衡&amp;色准矫正，色彩还原度高（色准达到ΔE＜1.5）；</w:t>
            </w:r>
          </w:p>
          <w:p w14:paraId="5EBF4B0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11、输入&amp;输出接口具备3路HDMI，4路USB3.0，1路USB2.0，1路RS232、1路TypeC（支持USB3.0），2路TOUCH、1路 AUDIO OUT，1路 AUDIO IN，1路VGA IN，1路SPDIF，2路RJ45</w:t>
            </w:r>
          </w:p>
          <w:p w14:paraId="6BAF215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12、USB3.0支持随通道切换；双网口均支持千兆网，支持有线一网通设计，支持有线网络双系统上网(OPS模块不需要单独接网线即可实现上网)，安卓和PC都是千兆；</w:t>
            </w:r>
          </w:p>
          <w:p w14:paraId="389FDF5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13、整机内置无线模块，支持2.4GHz/5GHz双频Wi-Fi，支持Wi-Fi6，支持BT5.2；</w:t>
            </w:r>
          </w:p>
          <w:p w14:paraId="68484F3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14、整机内置2.0声道扬声器，额定总功率32W，扬声器为前置发声，减少声音反射，声场均匀覆盖；</w:t>
            </w:r>
          </w:p>
          <w:p w14:paraId="3913004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15、产品自带超高清、超广角、低畸变1300万像素摄像头，摄像头支持FOV 120°广角摄像，支持自动对焦，自动曝光，自动白平衡，自动背光补偿，支持3D降噪，满足教学/培训场景下学生全部入镜需求；</w:t>
            </w:r>
          </w:p>
          <w:p w14:paraId="28FEE98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16、内置6阵列麦克风，支持0-180°拾音角度，支持≥8米远场拾音，高性能音频算法，具备快速回声消除、环境噪声抑制、人声自动增益补偿功能，能实现对教室/培训室进行音频采集，满足教学需要；</w:t>
            </w:r>
          </w:p>
          <w:p w14:paraId="5651C74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17、内置安卓模块系统，4G RAM，32G ROM；</w:t>
            </w:r>
          </w:p>
          <w:p w14:paraId="1A576DA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18、整机内置故障检测功能，常见6种故障无需上门就可远程判断，提高售后效率（支持对无线模块、摄像头、麦克风、喇叭、芯片、OPS实现硬件检测，提示故障定位）</w:t>
            </w:r>
          </w:p>
          <w:p w14:paraId="271563C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19、支持一键直达Windows操作系统，支持OPS一键还原；</w:t>
            </w:r>
          </w:p>
          <w:p w14:paraId="7AA0814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20、支持秒表，倒计时，聚光灯，投票器，文件快传，冻屏，录屏，降半屏，触摸锁，画中画等丰富小工具，满足教学场景丰富需求；</w:t>
            </w:r>
          </w:p>
          <w:p w14:paraId="7A8D954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21、支持自动亮度调节、节能模式、护眼模式等多种显示模式；支持显示高级设置：色彩空间、亮度范围、动态对比度、AI-PQ等显示高级设置；</w:t>
            </w:r>
          </w:p>
          <w:p w14:paraId="24A3CBA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22、支持多人同时在白板上操作，支持多人同时书写；白板可以支持三分屏，可实现三个分区独立书写及擦除；</w:t>
            </w:r>
          </w:p>
          <w:p w14:paraId="3AC7EAC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23、白板支持铅笔、钢笔、马克笔等多种笔形，支持多种颜色自由选择，支持多种平面&amp;3D立体图形插入，支持思维导图，便签等插入；支持书写背景模板如田字格、五线谱、球场等，满足各学科教学需求；</w:t>
            </w:r>
          </w:p>
          <w:p w14:paraId="2286C7D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24、电脑参数：80PIN标准OPS模块，英特尔酷睿第12/13代I5处理器，Windows 11正版操作系统，8G运行内存，256G固态硬盘存储，模块接口：</w:t>
            </w:r>
          </w:p>
          <w:p w14:paraId="27AD13A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011">
            <w:pPr>
              <w:widowControl/>
              <w:spacing w:line="276"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14:ligatures w14:val="standardContextual"/>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A7D0">
            <w:pPr>
              <w:spacing w:line="276"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r>
      <w:tr w14:paraId="20CA684B">
        <w:tblPrEx>
          <w:tblCellMar>
            <w:top w:w="0" w:type="dxa"/>
            <w:left w:w="108" w:type="dxa"/>
            <w:bottom w:w="0" w:type="dxa"/>
            <w:right w:w="108" w:type="dxa"/>
          </w:tblCellMar>
        </w:tblPrEx>
        <w:trPr>
          <w:trHeight w:val="9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C764">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1E8B">
            <w:pPr>
              <w:widowControl/>
              <w:spacing w:line="276" w:lineRule="auto"/>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施工安装</w:t>
            </w:r>
          </w:p>
        </w:tc>
        <w:tc>
          <w:tcPr>
            <w:tcW w:w="5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A4D2">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1、提供场地弱电改造服务，包含电缆、网线及其相关配件；</w:t>
            </w:r>
          </w:p>
          <w:p w14:paraId="13F4DC8A">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2、提供相关设备安装、系统调试等服务；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237">
            <w:pPr>
              <w:spacing w:line="276" w:lineRule="auto"/>
              <w:jc w:val="center"/>
              <w:rPr>
                <w:rFonts w:hint="eastAsia" w:ascii="宋体" w:hAnsi="宋体" w:cs="宋体"/>
                <w:color w:val="000000"/>
                <w:kern w:val="0"/>
                <w:szCs w:val="21"/>
                <w:highlight w:val="none"/>
                <w:lang w:bidi="ar"/>
                <w14:ligatures w14:val="standardContextual"/>
              </w:rPr>
            </w:pPr>
            <w:r>
              <w:rPr>
                <w:rFonts w:hint="eastAsia" w:ascii="宋体" w:hAnsi="宋体" w:cs="宋体"/>
                <w:szCs w:val="21"/>
                <w:highlight w:val="none"/>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A7C8">
            <w:pPr>
              <w:spacing w:line="276" w:lineRule="auto"/>
              <w:jc w:val="center"/>
              <w:rPr>
                <w:rFonts w:hint="eastAsia" w:ascii="宋体" w:hAnsi="宋体" w:cs="宋体"/>
                <w:color w:val="000000"/>
                <w:szCs w:val="21"/>
                <w:highlight w:val="none"/>
              </w:rPr>
            </w:pPr>
            <w:r>
              <w:rPr>
                <w:rFonts w:hint="eastAsia" w:ascii="宋体" w:hAnsi="宋体" w:cs="宋体"/>
                <w:szCs w:val="21"/>
                <w:highlight w:val="none"/>
              </w:rPr>
              <w:t>1</w:t>
            </w:r>
          </w:p>
        </w:tc>
      </w:tr>
    </w:tbl>
    <w:p w14:paraId="100FC769">
      <w:pPr>
        <w:jc w:val="center"/>
        <w:rPr>
          <w:highlight w:val="none"/>
        </w:rPr>
      </w:pPr>
    </w:p>
    <w:p w14:paraId="4861C988">
      <w:pPr>
        <w:numPr>
          <w:ilvl w:val="0"/>
          <w:numId w:val="2"/>
        </w:numPr>
        <w:rPr>
          <w:highlight w:val="none"/>
        </w:rPr>
      </w:pPr>
      <w:r>
        <w:rPr>
          <w:rFonts w:hint="eastAsia"/>
          <w:highlight w:val="none"/>
        </w:rPr>
        <w:t>基础教研室</w:t>
      </w:r>
    </w:p>
    <w:tbl>
      <w:tblPr>
        <w:tblStyle w:val="4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28"/>
        <w:gridCol w:w="5432"/>
        <w:gridCol w:w="996"/>
        <w:gridCol w:w="759"/>
      </w:tblGrid>
      <w:tr w14:paraId="7AC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2" w:type="dxa"/>
            <w:vAlign w:val="center"/>
          </w:tcPr>
          <w:p w14:paraId="6A7D3DB2">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序号</w:t>
            </w:r>
          </w:p>
        </w:tc>
        <w:tc>
          <w:tcPr>
            <w:tcW w:w="1328" w:type="dxa"/>
            <w:vAlign w:val="center"/>
          </w:tcPr>
          <w:p w14:paraId="61B4C6F4">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建设内容</w:t>
            </w:r>
          </w:p>
        </w:tc>
        <w:tc>
          <w:tcPr>
            <w:tcW w:w="5432" w:type="dxa"/>
            <w:vAlign w:val="center"/>
          </w:tcPr>
          <w:p w14:paraId="6F41710E">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技术参数及要求</w:t>
            </w:r>
          </w:p>
        </w:tc>
        <w:tc>
          <w:tcPr>
            <w:tcW w:w="996" w:type="dxa"/>
            <w:vAlign w:val="center"/>
          </w:tcPr>
          <w:p w14:paraId="3C9B0DF0">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单位</w:t>
            </w:r>
          </w:p>
        </w:tc>
        <w:tc>
          <w:tcPr>
            <w:tcW w:w="759" w:type="dxa"/>
            <w:vAlign w:val="center"/>
          </w:tcPr>
          <w:p w14:paraId="237280BD">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数量</w:t>
            </w:r>
          </w:p>
        </w:tc>
      </w:tr>
      <w:tr w14:paraId="50FA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62" w:type="dxa"/>
            <w:vAlign w:val="center"/>
          </w:tcPr>
          <w:p w14:paraId="6EC7CCED">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w:t>
            </w:r>
          </w:p>
        </w:tc>
        <w:tc>
          <w:tcPr>
            <w:tcW w:w="1328" w:type="dxa"/>
            <w:vAlign w:val="center"/>
          </w:tcPr>
          <w:p w14:paraId="020D8CAC">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校级教研管理平台</w:t>
            </w:r>
          </w:p>
        </w:tc>
        <w:tc>
          <w:tcPr>
            <w:tcW w:w="5432" w:type="dxa"/>
          </w:tcPr>
          <w:p w14:paraId="5CDA5D9A">
            <w:pPr>
              <w:pStyle w:val="138"/>
              <w:widowControl/>
              <w:numPr>
                <w:ilvl w:val="0"/>
                <w:numId w:val="3"/>
              </w:numPr>
              <w:spacing w:line="276" w:lineRule="auto"/>
              <w:ind w:firstLineChars="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教师教研应用</w:t>
            </w:r>
          </w:p>
          <w:p w14:paraId="4045C2DA">
            <w:pPr>
              <w:spacing w:line="276" w:lineRule="auto"/>
              <w:ind w:left="420" w:leftChars="200"/>
              <w:rPr>
                <w:rFonts w:hint="eastAsia" w:ascii="宋体" w:hAnsi="宋体"/>
                <w:szCs w:val="21"/>
                <w:highlight w:val="none"/>
                <w:lang w:bidi="ar"/>
              </w:rPr>
            </w:pPr>
            <w:r>
              <w:rPr>
                <w:rFonts w:hint="eastAsia"/>
                <w:szCs w:val="21"/>
                <w:highlight w:val="none"/>
                <w:lang w:bidi="ar"/>
              </w:rPr>
              <w:t>▲1、集体备课（</w:t>
            </w:r>
            <w:r>
              <w:rPr>
                <w:rFonts w:hint="eastAsia" w:ascii="宋体" w:hAnsi="宋体"/>
                <w:szCs w:val="21"/>
                <w:highlight w:val="none"/>
                <w:lang w:bidi="ar"/>
              </w:rPr>
              <w:t>需提供产品功能界面截图）</w:t>
            </w:r>
          </w:p>
          <w:p w14:paraId="4F50F0D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1)支持集体备课活动设置和以备课组为单位开展集体备课;</w:t>
            </w:r>
          </w:p>
          <w:p w14:paraId="6F35866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2)支持配置集体备课完成时必须提交的资源类型，以及备课组内每个教师完成集体备课的条件；</w:t>
            </w:r>
          </w:p>
          <w:p w14:paraId="7371429A">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3)支持设置单元备课时的内容板块；</w:t>
            </w:r>
          </w:p>
          <w:p w14:paraId="5B150874">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4)支持根据教材目录配置教学周的备课内容，并为每个备课内容指定唯一主备教师；</w:t>
            </w:r>
          </w:p>
          <w:p w14:paraId="50F2236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5)支持主备教师通过本地上传、引用精品资源或创建新资料进行集体备课，</w:t>
            </w:r>
          </w:p>
          <w:p w14:paraId="744426E3">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6)支持备课文档在线编辑，备课组教师可对学科资源进行在线批注和评论，并引用主备教师的资源进行二次修改；</w:t>
            </w:r>
          </w:p>
          <w:p w14:paraId="7594CCD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7)支持备课组教师在线填写教学反思。</w:t>
            </w:r>
          </w:p>
          <w:p w14:paraId="688285F4">
            <w:pPr>
              <w:pStyle w:val="52"/>
              <w:ind w:left="515" w:leftChars="74"/>
              <w:rPr>
                <w:rFonts w:hint="eastAsia"/>
                <w:sz w:val="21"/>
                <w:szCs w:val="21"/>
                <w:highlight w:val="none"/>
                <w:lang w:bidi="ar"/>
              </w:rPr>
            </w:pPr>
            <w:r>
              <w:rPr>
                <w:rFonts w:hint="eastAsia"/>
                <w:sz w:val="21"/>
                <w:szCs w:val="21"/>
                <w:highlight w:val="none"/>
                <w:lang w:bidi="ar"/>
              </w:rPr>
              <w:t>▲2、听评课（需提供产品功能界面截图）</w:t>
            </w:r>
          </w:p>
          <w:p w14:paraId="7259D09B">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1)支持教师发起评课邀请，包括授课时间、授课地点、参与的听课老师、课堂评价表及是否支持预约等信息；</w:t>
            </w:r>
          </w:p>
          <w:p w14:paraId="7AA4CAE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2)支持教师在PC端或移动端填写听评课记录，其中包含授课人、授课时间、授课地点、课堂评价和听课笔记；</w:t>
            </w:r>
          </w:p>
          <w:p w14:paraId="1F08349E">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3)支持教师完成评课任务后通过课堂评价量表评分并上传听课笔记；</w:t>
            </w:r>
          </w:p>
          <w:p w14:paraId="18D75643">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4)授课教师可通过移动端接收评价通知，听课教师可通过移动端接收评课任务通知。</w:t>
            </w:r>
          </w:p>
          <w:p w14:paraId="1814F90C">
            <w:pPr>
              <w:pStyle w:val="52"/>
              <w:ind w:left="515" w:leftChars="74"/>
              <w:rPr>
                <w:rFonts w:hint="eastAsia"/>
                <w:sz w:val="21"/>
                <w:szCs w:val="21"/>
                <w:highlight w:val="none"/>
                <w:lang w:bidi="ar"/>
              </w:rPr>
            </w:pPr>
            <w:r>
              <w:rPr>
                <w:rFonts w:hint="eastAsia"/>
                <w:sz w:val="21"/>
                <w:szCs w:val="21"/>
                <w:highlight w:val="none"/>
                <w:lang w:bidi="ar"/>
              </w:rPr>
              <w:t>▲3、教研活动（需提供产品功能界面截图）</w:t>
            </w:r>
          </w:p>
          <w:p w14:paraId="77A2F76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1)支持教师查看本学校、本教研组、本备课组的教研活动日程，并通过教研日历预约教研活动。</w:t>
            </w:r>
          </w:p>
          <w:p w14:paraId="41F94304">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2)支持学校管理者和教研组组长创建包含标题、时间、地点、所属教研组、参与方式、参与人及日程附件的教研活动日程，参与人可通过移动端接收日程开始的通知。</w:t>
            </w:r>
          </w:p>
          <w:p w14:paraId="128CD72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3)支持备课组长创建集备研讨活动日程，包括标题、时间、地点、备课组、备课内容、主备人和集备研讨清单等，并上传相关附件。</w:t>
            </w:r>
          </w:p>
          <w:p w14:paraId="4027DAAD">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4)支持主备人在线填写单元备课内容，其他教师可进行在线批注和评论。</w:t>
            </w:r>
          </w:p>
          <w:p w14:paraId="53FCE5F4">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5)支持活动通知，参与人在活动开始前15分钟收到通知；</w:t>
            </w:r>
          </w:p>
          <w:p w14:paraId="280EA9F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6)支持集备研讨活动考勤；</w:t>
            </w:r>
          </w:p>
          <w:p w14:paraId="559A5665">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7)支持集备研讨活动录音，录音可在线录制或上传，并进行文本转写，系统可智能总结发言人数量、研讨关键词、概要、章节总结、发言人总结及文字实录，并支持导出为集体备课研讨的活动纪要。</w:t>
            </w:r>
          </w:p>
          <w:p w14:paraId="1CF14459">
            <w:pPr>
              <w:pStyle w:val="52"/>
              <w:ind w:left="515" w:leftChars="74"/>
              <w:rPr>
                <w:rFonts w:hint="eastAsia"/>
                <w:sz w:val="21"/>
                <w:szCs w:val="21"/>
                <w:highlight w:val="none"/>
                <w:lang w:bidi="ar"/>
              </w:rPr>
            </w:pPr>
            <w:r>
              <w:rPr>
                <w:rFonts w:hint="eastAsia"/>
                <w:sz w:val="21"/>
                <w:szCs w:val="21"/>
                <w:highlight w:val="none"/>
                <w:lang w:bidi="ar"/>
              </w:rPr>
              <w:t>4、奖项申报</w:t>
            </w:r>
          </w:p>
          <w:p w14:paraId="6ED7D42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1)支持教师发起奖项申报，涵盖论文著作、课题研究、教学活动、先进荣誉和其他五种类型；</w:t>
            </w:r>
          </w:p>
          <w:p w14:paraId="68F21954">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2)支持论文著作申报，申报内容包含是否第一作者、论文或著作名称、获奖日期、奖项级别、奖项名次、奖项学科、备注、证明及文件等内容；</w:t>
            </w:r>
          </w:p>
          <w:p w14:paraId="2AC2AAD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3)支持课题研究申报，申报内容包含课题负责人、课题名称等相关信息；</w:t>
            </w:r>
          </w:p>
          <w:p w14:paraId="0920051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4)支持教学活动申报，申报内容包含活动类型、活动名称及其他相关信息；</w:t>
            </w:r>
          </w:p>
          <w:p w14:paraId="2C6F41A8">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5)支持先进荣誉申报，申报内容包含奖项名称等信息；</w:t>
            </w:r>
          </w:p>
          <w:p w14:paraId="433693C3">
            <w:pPr>
              <w:pStyle w:val="52"/>
              <w:ind w:left="515" w:leftChars="74"/>
              <w:rPr>
                <w:rFonts w:hint="eastAsia"/>
                <w:sz w:val="21"/>
                <w:szCs w:val="21"/>
                <w:highlight w:val="none"/>
                <w:lang w:bidi="ar"/>
              </w:rPr>
            </w:pPr>
            <w:r>
              <w:rPr>
                <w:rFonts w:hint="eastAsia"/>
                <w:sz w:val="21"/>
                <w:szCs w:val="21"/>
                <w:highlight w:val="none"/>
                <w:lang w:bidi="ar"/>
              </w:rPr>
              <w:t>5、教研工作台</w:t>
            </w:r>
          </w:p>
          <w:p w14:paraId="1FCF6F7E">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1)支持教师在工作台上查看待办事项，类型包含集体备课、听评课、个人评课、教学反思、成果申报、资源审核，并可通过待办直接跳转到相应页面完成任务；</w:t>
            </w:r>
          </w:p>
          <w:p w14:paraId="73F4EB78">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2)支持教师在工作台上查看近一周的教研活动和集备活动日程；</w:t>
            </w:r>
          </w:p>
          <w:p w14:paraId="15FA4B5D">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3)支持教师在工作台上查看加入的教研组的工作动态。</w:t>
            </w:r>
          </w:p>
          <w:p w14:paraId="3E29F07F">
            <w:pPr>
              <w:pStyle w:val="52"/>
              <w:rPr>
                <w:rFonts w:hint="eastAsia"/>
                <w:highlight w:val="none"/>
                <w:lang w:bidi="ar"/>
              </w:rPr>
            </w:pPr>
          </w:p>
          <w:p w14:paraId="69FC1D70">
            <w:pPr>
              <w:pStyle w:val="138"/>
              <w:widowControl/>
              <w:numPr>
                <w:ilvl w:val="0"/>
                <w:numId w:val="3"/>
              </w:numPr>
              <w:spacing w:line="276" w:lineRule="auto"/>
              <w:ind w:firstLineChars="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学校教研管理</w:t>
            </w:r>
          </w:p>
          <w:p w14:paraId="080241B6">
            <w:pPr>
              <w:pStyle w:val="52"/>
              <w:ind w:left="515" w:leftChars="74"/>
              <w:rPr>
                <w:rFonts w:hint="eastAsia"/>
                <w:sz w:val="21"/>
                <w:szCs w:val="21"/>
                <w:highlight w:val="none"/>
                <w:lang w:bidi="ar"/>
              </w:rPr>
            </w:pPr>
            <w:r>
              <w:rPr>
                <w:rFonts w:hint="eastAsia"/>
                <w:sz w:val="21"/>
                <w:szCs w:val="21"/>
                <w:highlight w:val="none"/>
                <w:lang w:bidi="ar"/>
              </w:rPr>
              <w:t>1、学校教研计划管理</w:t>
            </w:r>
          </w:p>
          <w:p w14:paraId="599F856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1)支持学校管理者创建包含计划名称、计划起止时间、关键目标及附件文本的学校教研计划；</w:t>
            </w:r>
          </w:p>
          <w:p w14:paraId="57CED48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2)支持学校管理者设置教研计划适用的教研组范围；</w:t>
            </w:r>
          </w:p>
          <w:p w14:paraId="34BB494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3)支持学校管理者设置在教研计划期间是否开启备课评价功能，并可设定打分上限以及是否必须填写备课评价。</w:t>
            </w:r>
          </w:p>
          <w:p w14:paraId="0FF62E23">
            <w:pPr>
              <w:pStyle w:val="52"/>
              <w:ind w:left="515" w:leftChars="74"/>
              <w:rPr>
                <w:rFonts w:hint="eastAsia"/>
                <w:sz w:val="21"/>
                <w:szCs w:val="21"/>
                <w:highlight w:val="none"/>
                <w:lang w:bidi="ar"/>
              </w:rPr>
            </w:pPr>
            <w:r>
              <w:rPr>
                <w:rFonts w:hint="eastAsia"/>
                <w:sz w:val="21"/>
                <w:szCs w:val="21"/>
                <w:highlight w:val="none"/>
                <w:lang w:bidi="ar"/>
              </w:rPr>
              <w:t>▲2、教研组目标管理（需提供产品功能界面截图）</w:t>
            </w:r>
          </w:p>
          <w:p w14:paraId="7254C14A">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1)支持教研组长针对每个教研组设定学期计划下的目标，目标包含教研活动次数、集备活动次数、每个教师的听评课次数、各类奖项的个数;</w:t>
            </w:r>
          </w:p>
          <w:p w14:paraId="38882626">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2)支持教研组长上传和下载教研组学期内的计划文件和总结文件，并能够在线预览。</w:t>
            </w:r>
          </w:p>
          <w:p w14:paraId="5A2C59CB">
            <w:pPr>
              <w:pStyle w:val="52"/>
              <w:ind w:left="515" w:leftChars="74"/>
              <w:rPr>
                <w:rFonts w:hint="eastAsia"/>
                <w:sz w:val="21"/>
                <w:szCs w:val="21"/>
                <w:highlight w:val="none"/>
                <w:lang w:bidi="ar"/>
              </w:rPr>
            </w:pPr>
            <w:r>
              <w:rPr>
                <w:rFonts w:hint="eastAsia"/>
                <w:sz w:val="21"/>
                <w:szCs w:val="21"/>
                <w:highlight w:val="none"/>
                <w:lang w:bidi="ar"/>
              </w:rPr>
              <w:t>3、教研活动管理</w:t>
            </w:r>
          </w:p>
          <w:p w14:paraId="727DA05A">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研组长和备课组长查看本组内的教研活动和集备活动完成情况,教研活动包括活动名称、时间、所属教研组、负责人、参与人数及附件数量；集备活动包括所属教研组、备课组、活动名称、时间、备课组长、出勤率、资源沉淀数量、活动录制时间和活动纪要附件;</w:t>
            </w:r>
          </w:p>
          <w:p w14:paraId="587D9434">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2)支持根据不同条件筛选教研活动数据，并支持下载导出数据。</w:t>
            </w:r>
          </w:p>
          <w:p w14:paraId="64AB844D">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随时查看教研组在教研活动、集备研讨、听评课、奖项申报维度上的目标值及当前的完成进度，并可进入成员的个人空间，查看个人在各个维度上的完成进度及详细数据，同时可上传本教研组的教研目标总结文件。</w:t>
            </w:r>
          </w:p>
          <w:p w14:paraId="22FF7004">
            <w:pPr>
              <w:pStyle w:val="52"/>
              <w:ind w:left="515" w:leftChars="74"/>
              <w:rPr>
                <w:rFonts w:hint="eastAsia"/>
                <w:sz w:val="21"/>
                <w:szCs w:val="21"/>
                <w:highlight w:val="none"/>
                <w:lang w:bidi="ar"/>
              </w:rPr>
            </w:pPr>
            <w:r>
              <w:rPr>
                <w:rFonts w:hint="eastAsia"/>
                <w:sz w:val="21"/>
                <w:szCs w:val="21"/>
                <w:highlight w:val="none"/>
                <w:lang w:bidi="ar"/>
              </w:rPr>
              <w:t>▲4、教学进度检查（需提供产品功能界面截图）</w:t>
            </w:r>
          </w:p>
          <w:p w14:paraId="3C790E76">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1)支持以备课组为单位查看集备完成率、个备完成率、每个教学内容的集备状态、个备教案完成数、个备课件完成数、反思完成数。</w:t>
            </w:r>
          </w:p>
          <w:p w14:paraId="0B2CA9E0">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2)支持在线预览学科资源，并对资源进行评论和批注，对个人备课的资源进行打分，填写备课评价，并对教学反思进行打分。</w:t>
            </w:r>
          </w:p>
          <w:p w14:paraId="4B7DA428">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3)支持查看备课组内全部集备资源和个备资源，根据备课组、上传者、教学周次等条件筛选资源，并支持在线预览、下载资源，以及将备课组资源共享至学校资源库。</w:t>
            </w:r>
          </w:p>
          <w:p w14:paraId="2E0F6BB3">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4)支持以备课组为维度进行数据统计，包括主备次数、主备完成率、个备次数、个备完成率、个备平均分、反思次数、教学反思平均分、批注评论数量，并提供数据的筛选和导出功能。</w:t>
            </w:r>
          </w:p>
          <w:p w14:paraId="20A36B5A">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5)支持以教师个人维度进行数据统计，涵盖主备次数、主备完成率、个备次数、个备完成率、个备平均分、反思次数、教学反思平均分、批注评论数量，并支持查看每个教学内容的集备、个备、反思完成情况。</w:t>
            </w:r>
          </w:p>
          <w:p w14:paraId="385A0D73">
            <w:pPr>
              <w:pStyle w:val="52"/>
              <w:ind w:left="515" w:leftChars="74"/>
              <w:rPr>
                <w:rFonts w:hint="eastAsia"/>
                <w:sz w:val="21"/>
                <w:szCs w:val="21"/>
                <w:highlight w:val="none"/>
                <w:lang w:bidi="ar"/>
              </w:rPr>
            </w:pPr>
            <w:r>
              <w:rPr>
                <w:rFonts w:hint="eastAsia"/>
                <w:sz w:val="21"/>
                <w:szCs w:val="21"/>
                <w:highlight w:val="none"/>
                <w:lang w:bidi="ar"/>
              </w:rPr>
              <w:t>▲5、听课评课管理（需提供产品功能界面截图）</w:t>
            </w:r>
          </w:p>
          <w:p w14:paraId="71C2BFA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1)支持教研组长、备课组长配置多种课程类型，包含“公开课”“导师课”“平时授课”“汇报课”“新老师汇报课”“推门听课”“其他”等。</w:t>
            </w:r>
          </w:p>
          <w:p w14:paraId="573E6EE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2)支持管理听评课量表，听评课量表中支持创建量表名称、量表一级分类、量表题目，题目支持打分题和问答题，问答题可设置最低答题字数限制。</w:t>
            </w:r>
          </w:p>
          <w:p w14:paraId="1132B2F3">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3)支持为听评课量表配置权限，可根据教研组和课程类型两个条件配置听评课量表。</w:t>
            </w:r>
          </w:p>
          <w:p w14:paraId="6107CBD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4)支持以教师为维度查看教师的听课记录，包含听课课程名称、授课教师名称、课程时间、课程分数、课程评价量表详情、听课笔记。</w:t>
            </w:r>
          </w:p>
          <w:p w14:paraId="032521AD">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5)支持教师查看所在教研组的所有听评课记录的数据及详情信息，支持通过选择“听课教师”“课程类型”“课程时间”等字段快速筛选要查看的听评课记录，并能够一键导出选中的听评课记录数据表；</w:t>
            </w:r>
          </w:p>
          <w:p w14:paraId="4289A065">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6)支持教研组长查看所在教研组的所有授课信息并能够快速导出所选择的课程详细数据；</w:t>
            </w:r>
          </w:p>
          <w:p w14:paraId="34DB2586">
            <w:pPr>
              <w:pStyle w:val="52"/>
              <w:ind w:left="515" w:leftChars="74"/>
              <w:rPr>
                <w:rFonts w:hint="eastAsia"/>
                <w:sz w:val="21"/>
                <w:szCs w:val="21"/>
                <w:highlight w:val="none"/>
                <w:lang w:bidi="ar"/>
              </w:rPr>
            </w:pPr>
            <w:r>
              <w:rPr>
                <w:rFonts w:hint="eastAsia"/>
                <w:sz w:val="21"/>
                <w:szCs w:val="21"/>
                <w:highlight w:val="none"/>
                <w:lang w:bidi="ar"/>
              </w:rPr>
              <w:t>▲6、学校资源库（需提供产品功能界面截图）</w:t>
            </w:r>
          </w:p>
          <w:p w14:paraId="563B6690">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1)支持用户根据学科、学段、教材版本、资源类型、地区、年份筛选、检索资源；</w:t>
            </w:r>
          </w:p>
          <w:p w14:paraId="3FDA76D5">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2)支持用户在线预览资源，支持常见文件格式，并能够下载资源到本地；</w:t>
            </w:r>
          </w:p>
          <w:p w14:paraId="3B0D9F06">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 xml:space="preserve">3)支持免费使用学科配套的教研资源；   </w:t>
            </w:r>
          </w:p>
          <w:p w14:paraId="149A7443">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4)支持教师主动上传精品资源来建设丰富学校资源库的资源。</w:t>
            </w:r>
          </w:p>
          <w:p w14:paraId="046AE1F8">
            <w:pPr>
              <w:pStyle w:val="52"/>
              <w:ind w:left="515" w:leftChars="74"/>
              <w:rPr>
                <w:rFonts w:hint="eastAsia"/>
                <w:sz w:val="21"/>
                <w:szCs w:val="21"/>
                <w:highlight w:val="none"/>
                <w:lang w:bidi="ar"/>
              </w:rPr>
            </w:pPr>
            <w:r>
              <w:rPr>
                <w:rFonts w:hint="eastAsia"/>
                <w:sz w:val="21"/>
                <w:szCs w:val="21"/>
                <w:highlight w:val="none"/>
                <w:lang w:bidi="ar"/>
              </w:rPr>
              <w:t>7、奖项审核</w:t>
            </w:r>
          </w:p>
          <w:p w14:paraId="136BA058">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1)支持奖项审核人配置，奖项的通过或驳回状态可收到通知;</w:t>
            </w:r>
          </w:p>
          <w:p w14:paraId="22F2FAC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2)支持教研组长或系统管理员快速进行申报审核，检查具体信息是否正确并通过或驳回。</w:t>
            </w:r>
          </w:p>
          <w:p w14:paraId="5E8A8D16">
            <w:pPr>
              <w:pStyle w:val="52"/>
              <w:ind w:left="515" w:leftChars="74"/>
              <w:rPr>
                <w:rFonts w:hint="eastAsia"/>
                <w:sz w:val="21"/>
                <w:szCs w:val="21"/>
                <w:highlight w:val="none"/>
                <w:lang w:bidi="ar"/>
              </w:rPr>
            </w:pPr>
            <w:r>
              <w:rPr>
                <w:rFonts w:hint="eastAsia"/>
                <w:sz w:val="21"/>
                <w:szCs w:val="21"/>
                <w:highlight w:val="none"/>
                <w:lang w:bidi="ar"/>
              </w:rPr>
              <w:t>8、学校教研设置</w:t>
            </w:r>
          </w:p>
          <w:p w14:paraId="0453701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1)支持配置学校教研检查策略，可以支持不同的教研组之间相互检查教研数据；</w:t>
            </w:r>
          </w:p>
          <w:p w14:paraId="0FFF054F">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2)教研检查策略支持设置适用计划、策略名称、策略生效时间、检查教研组和被检查教研组之间的关系；</w:t>
            </w:r>
          </w:p>
          <w:p w14:paraId="457B65F7">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3)支持对学校不同教师进行分层管理，不同的教师设置不同的教研考核要求；</w:t>
            </w:r>
          </w:p>
          <w:p w14:paraId="2A038C66">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4)支持对学校集备资源沉淀设置，包括是否必须上传教案、课件、学案、试卷、作业等；</w:t>
            </w:r>
          </w:p>
          <w:p w14:paraId="652DEC76">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5)支持对集备活动单元模块设置，包括单元目标、单元素养、单元主体、课时安排、学情分析等。</w:t>
            </w:r>
          </w:p>
          <w:p w14:paraId="2DD548AE">
            <w:pPr>
              <w:pStyle w:val="52"/>
              <w:ind w:left="515" w:leftChars="74"/>
              <w:rPr>
                <w:rFonts w:hint="eastAsia"/>
                <w:sz w:val="21"/>
                <w:szCs w:val="21"/>
                <w:highlight w:val="none"/>
                <w:lang w:bidi="ar"/>
              </w:rPr>
            </w:pPr>
            <w:r>
              <w:rPr>
                <w:rFonts w:hint="eastAsia"/>
                <w:sz w:val="21"/>
                <w:szCs w:val="21"/>
                <w:highlight w:val="none"/>
                <w:lang w:bidi="ar"/>
              </w:rPr>
              <w:t>▲9、学校教研看板（需提供产品功能界面截图）</w:t>
            </w:r>
          </w:p>
          <w:p w14:paraId="6A51FE9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1)支持教研概况分析：学校教研组数量、备课组数量、教师数量；</w:t>
            </w:r>
          </w:p>
          <w:p w14:paraId="66A00C31">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2)支持学校整体教研进度分析：涵盖教研活动、集备研讨、听评课、奖项申报4大板块的进度情况；</w:t>
            </w:r>
          </w:p>
          <w:p w14:paraId="250095E2">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3)支持互动行为统计：协同编辑次数、在线评论数据、互动点赞数据；</w:t>
            </w:r>
          </w:p>
          <w:p w14:paraId="2282D007">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4)支持教研活动/集备研讨数据分析：包含目标情况、已完成情况、各教研组的完成率榜单</w:t>
            </w:r>
          </w:p>
          <w:p w14:paraId="0F73569E">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5)支持集体备课数据分析：可查看全部周次或某固定周次的集备完成率、个备完成率、各教研组的集备及个备的完成率排行榜；</w:t>
            </w:r>
          </w:p>
          <w:p w14:paraId="56CE961B">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6)支持听评课数据分析：包含各不同类型听评课的次数统计、各教研组听评课及教师参与率的排行榜；</w:t>
            </w:r>
          </w:p>
          <w:p w14:paraId="4E61782D">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7)支持奖项申报数据分析：包含获奖总数、各教研组活动获奖人数、市区级获奖人数、国省级获奖人数等数据情况；</w:t>
            </w:r>
          </w:p>
          <w:p w14:paraId="0C4C458B">
            <w:pPr>
              <w:spacing w:line="276" w:lineRule="auto"/>
              <w:ind w:left="420" w:leftChars="200"/>
              <w:rPr>
                <w:rFonts w:hint="eastAsia" w:ascii="宋体" w:hAnsi="宋体"/>
                <w:szCs w:val="21"/>
                <w:highlight w:val="none"/>
                <w:lang w:bidi="ar"/>
              </w:rPr>
            </w:pPr>
            <w:r>
              <w:rPr>
                <w:rFonts w:hint="eastAsia" w:ascii="宋体" w:hAnsi="宋体"/>
                <w:szCs w:val="21"/>
                <w:highlight w:val="none"/>
                <w:lang w:bidi="ar"/>
              </w:rPr>
              <w:t xml:space="preserve">8)优秀教研教师统计：包含各教研组的教研整体进度、备课组长信息、各奖项获奖人,管理员可自定义查询时间周期、分享榜单； </w:t>
            </w:r>
          </w:p>
          <w:p w14:paraId="6514AE40">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szCs w:val="21"/>
                <w:highlight w:val="none"/>
                <w:lang w:bidi="ar"/>
              </w:rPr>
              <w:t>9)支持教研成果分析：包含学科资源总数及各类型资源占比、教研资源总数及各类型资源占比、各学科教研资源及学科资源柱状图。</w:t>
            </w:r>
          </w:p>
        </w:tc>
        <w:tc>
          <w:tcPr>
            <w:tcW w:w="996" w:type="dxa"/>
            <w:vAlign w:val="center"/>
          </w:tcPr>
          <w:p w14:paraId="656DB566">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校/年</w:t>
            </w:r>
          </w:p>
        </w:tc>
        <w:tc>
          <w:tcPr>
            <w:tcW w:w="759" w:type="dxa"/>
            <w:vAlign w:val="center"/>
          </w:tcPr>
          <w:p w14:paraId="3CD4F654">
            <w:pPr>
              <w:widowControl/>
              <w:jc w:val="center"/>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w:t>
            </w:r>
          </w:p>
        </w:tc>
      </w:tr>
      <w:tr w14:paraId="4698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62" w:type="dxa"/>
            <w:vAlign w:val="center"/>
          </w:tcPr>
          <w:p w14:paraId="3DC04DC7">
            <w:pPr>
              <w:jc w:val="left"/>
              <w:rPr>
                <w:rFonts w:hint="eastAsia" w:ascii="宋体" w:hAnsi="宋体" w:cs="宋体"/>
                <w:szCs w:val="21"/>
                <w:highlight w:val="none"/>
              </w:rPr>
            </w:pPr>
            <w:r>
              <w:rPr>
                <w:rFonts w:hint="eastAsia" w:ascii="宋体" w:hAnsi="宋体" w:cs="宋体"/>
                <w:szCs w:val="21"/>
                <w:highlight w:val="none"/>
              </w:rPr>
              <w:t>2</w:t>
            </w:r>
          </w:p>
        </w:tc>
        <w:tc>
          <w:tcPr>
            <w:tcW w:w="1328" w:type="dxa"/>
            <w:shd w:val="clear" w:color="auto" w:fill="auto"/>
            <w:vAlign w:val="center"/>
          </w:tcPr>
          <w:p w14:paraId="1574A8F5">
            <w:pPr>
              <w:pStyle w:val="215"/>
              <w:ind w:left="119"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86寸智慧黑板</w:t>
            </w:r>
          </w:p>
        </w:tc>
        <w:tc>
          <w:tcPr>
            <w:tcW w:w="5432" w:type="dxa"/>
            <w:shd w:val="clear" w:color="auto" w:fill="auto"/>
            <w:vAlign w:val="center"/>
          </w:tcPr>
          <w:p w14:paraId="3782746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22B966F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2、采用电容触控技术，支持Windows系统中进行40点或以上触控；</w:t>
            </w:r>
          </w:p>
          <w:p w14:paraId="3DB0FF9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3、支持持手指&amp;配套被动电容笔进行书写操作；</w:t>
            </w:r>
          </w:p>
          <w:p w14:paraId="4A4AB54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4、整机采用一体设计，无推拉式结构，外部无任何可见内部功能模块连接线，主副屏过渡平滑并在同一平面，中间无单独边框阻隔。主屏及副屏边缘及转角处圆润设计，无利边及尖端，保障教学安全；</w:t>
            </w:r>
          </w:p>
          <w:p w14:paraId="2F1921B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主屏钢化玻璃采用专业蚀刻防眩光表面处理工艺，主屏支持普通粉笔直接书写。两侧副屏可支持以下媒介（普通粉笔、液体粉笔、成膜笔）进行板书书写。副屏支持磁吸附功能，可以满足带有磁吸的板擦等教具进行吸附在副屏上，主屏下边框带一体收纳笔槽，支持被动电容笔&amp;粉笔等收纳；</w:t>
            </w:r>
          </w:p>
          <w:p w14:paraId="722F107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6、整机具备6个前置按键，支持电源键、主页键、返回键、设置键、支持音量+&amp;音量-调节键；丰富按键，一键直达，便捷交互；</w:t>
            </w:r>
          </w:p>
          <w:p w14:paraId="1296AA4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黑板整机自带一体化摄像头&amp;麦克风模块，音视频模块非外接设计，无外部线材裸露，部署简单，确保使用稳定性；只需要拆开摄像头后盖，即可实现摄像头&amp;麦克风模块检测和维修，无需拆开整机，满足高效售后；</w:t>
            </w:r>
          </w:p>
          <w:p w14:paraId="390F169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8、整机亮度350cd/m2，屏幕拥有更高的色域，色域值NTSC 72%；</w:t>
            </w:r>
          </w:p>
          <w:p w14:paraId="12E1C26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9、支持硬件物理防蓝光，满足护眼要求，整机有害蓝光（415nm-455nm）的光功率占完整蓝光（400-500nm）的光功率低于50%，有效实现护眼观看；</w:t>
            </w:r>
          </w:p>
          <w:p w14:paraId="79EB70F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10、整机支持精准色彩还原，每台产品均经过自动白平衡&amp;色准矫正，色彩还原度高（色准达到ΔE＜1.5）；</w:t>
            </w:r>
          </w:p>
          <w:p w14:paraId="585A5AA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11、输入&amp;输出接口具备3路HDMI，4路USB3.0，1路USB2.0，1路RS232、1路TypeC（支持USB3.0），2路TOUCH、1路 AUDIO OUT，1路 AUDIO IN，1路VGA IN，1路SPDIF，2路RJ45</w:t>
            </w:r>
          </w:p>
          <w:p w14:paraId="1D5469C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12、USB3.0支持随通道切换；双网口均支持千兆网，支持有线一网通设计，支持有线网络双系统上网(OPS模块不需要单独接网线即可实现上网)，安卓和PC都是千兆；</w:t>
            </w:r>
          </w:p>
          <w:p w14:paraId="4A699D4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13、整机内置无线模块，支持2.4GHz/5GHz双频Wi-Fi，支持Wi-Fi6，支持BT5.2；</w:t>
            </w:r>
          </w:p>
          <w:p w14:paraId="50C28A6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14、整机内置2.0声道扬声器，额定总功率32W，扬声器为前置发声，减少声音反射，声场均匀覆盖；</w:t>
            </w:r>
          </w:p>
          <w:p w14:paraId="524539D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15、产品自带超高清、超广角、低畸变1300万像素摄像头，摄像头支持FOV 120°广角摄像，支持自动对焦，自动曝光，自动白平衡，自动背光补偿，支持3D降噪，满足教学/培训场景下学生全部入镜需求；</w:t>
            </w:r>
          </w:p>
          <w:p w14:paraId="44C8901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16、内置6阵列麦克风，支持0-180°拾音角度，支持≥8米远场拾音，高性能音频算法，具备快速回声消除、环境噪声抑制、人声自动增益补偿功能，能实现对教室/培训室进行音频采集，满足教学需要；</w:t>
            </w:r>
          </w:p>
          <w:p w14:paraId="5D4CE24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17、内置安卓模块系统，4G RAM，32G ROM；</w:t>
            </w:r>
          </w:p>
          <w:p w14:paraId="6990A2E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18、整机内置故障检测功能，常见6种故障无需上门就可远程判断，提高售后效率（支持对无线模块、摄像头、麦克风、喇叭、芯片、OPS实现硬件检测，提示故障定位）</w:t>
            </w:r>
          </w:p>
          <w:p w14:paraId="6CC6D9E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19、支持一键直达Windows操作系统，支持OPS一键还原；</w:t>
            </w:r>
          </w:p>
          <w:p w14:paraId="23A2462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20、支持秒表，倒计时，聚光灯，投票器，文件快传，冻屏，录屏，降半屏，触摸锁，画中画等丰富小工具，满足教学场景丰富需求；</w:t>
            </w:r>
          </w:p>
          <w:p w14:paraId="236A8B9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21、支持自动亮度调节、节能模式、护眼模式等多种显示模式；支持显示高级设置：色彩空间、亮度范围、动态对比度、AI-PQ等显示高级设置；</w:t>
            </w:r>
          </w:p>
          <w:p w14:paraId="497A84B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22、支持多人同时在白板上操作，支持多人同时书写；白板可以支持三分屏，可实现三个分区独立书写及擦除；</w:t>
            </w:r>
          </w:p>
          <w:p w14:paraId="7C41236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23、白板支持铅笔、钢笔、马克笔等多种笔形，支持多种颜色自由选择，支持多种平面&amp;3D立体图形插入，支持思维导图，便签等插入；支持书写背景模板如田字格、五线谱、球场等，满足各学科教学需求；</w:t>
            </w:r>
          </w:p>
          <w:p w14:paraId="69F94EC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24、电脑参数：80PIN标准OPS模块，英特尔酷睿第12/13代I5处理器，Windows 11正版操作系统，8G运行内存，256G固态硬盘存储，模块接口：</w:t>
            </w:r>
          </w:p>
          <w:p w14:paraId="1C51543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p w14:paraId="77185C81">
            <w:pPr>
              <w:pStyle w:val="215"/>
              <w:ind w:right="101"/>
              <w:rPr>
                <w:rFonts w:hint="eastAsia" w:ascii="宋体" w:hAnsi="宋体" w:eastAsia="宋体" w:cs="宋体"/>
                <w:color w:val="000000"/>
                <w:kern w:val="0"/>
                <w:sz w:val="21"/>
                <w:szCs w:val="21"/>
                <w:highlight w:val="none"/>
                <w:lang w:eastAsia="zh-CN" w:bidi="ar"/>
                <w14:ligatures w14:val="standardContextual"/>
              </w:rPr>
            </w:pPr>
          </w:p>
        </w:tc>
        <w:tc>
          <w:tcPr>
            <w:tcW w:w="996" w:type="dxa"/>
          </w:tcPr>
          <w:p w14:paraId="7CA1A63D">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台</w:t>
            </w:r>
          </w:p>
        </w:tc>
        <w:tc>
          <w:tcPr>
            <w:tcW w:w="759" w:type="dxa"/>
          </w:tcPr>
          <w:p w14:paraId="60736938">
            <w:pPr>
              <w:jc w:val="center"/>
              <w:rPr>
                <w:rFonts w:hint="eastAsia" w:ascii="宋体" w:hAnsi="宋体" w:cs="宋体"/>
                <w:szCs w:val="21"/>
                <w:highlight w:val="none"/>
              </w:rPr>
            </w:pPr>
            <w:r>
              <w:rPr>
                <w:rFonts w:hint="eastAsia" w:ascii="宋体" w:hAnsi="宋体" w:cs="宋体"/>
                <w:szCs w:val="21"/>
                <w:highlight w:val="none"/>
              </w:rPr>
              <w:t>1</w:t>
            </w:r>
          </w:p>
        </w:tc>
      </w:tr>
      <w:tr w14:paraId="00DD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62" w:type="dxa"/>
            <w:vAlign w:val="center"/>
          </w:tcPr>
          <w:p w14:paraId="62BF6A1A">
            <w:pPr>
              <w:jc w:val="left"/>
              <w:rPr>
                <w:rFonts w:hint="eastAsia" w:ascii="宋体" w:hAnsi="宋体" w:cs="宋体"/>
                <w:szCs w:val="21"/>
                <w:highlight w:val="none"/>
              </w:rPr>
            </w:pPr>
            <w:r>
              <w:rPr>
                <w:rFonts w:hint="eastAsia" w:ascii="宋体" w:hAnsi="宋体" w:cs="宋体"/>
                <w:szCs w:val="21"/>
                <w:highlight w:val="none"/>
              </w:rPr>
              <w:t>3</w:t>
            </w:r>
          </w:p>
        </w:tc>
        <w:tc>
          <w:tcPr>
            <w:tcW w:w="1328" w:type="dxa"/>
            <w:shd w:val="clear" w:color="auto" w:fill="auto"/>
            <w:vAlign w:val="center"/>
          </w:tcPr>
          <w:p w14:paraId="64565091">
            <w:pPr>
              <w:pStyle w:val="215"/>
              <w:ind w:left="119"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86寸一体机</w:t>
            </w:r>
          </w:p>
        </w:tc>
        <w:tc>
          <w:tcPr>
            <w:tcW w:w="5432" w:type="dxa"/>
            <w:shd w:val="clear" w:color="auto" w:fill="auto"/>
            <w:vAlign w:val="center"/>
          </w:tcPr>
          <w:p w14:paraId="5E5DC4C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4E5415E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2、采用红外触控技术，支持±1.5mm触控精度，支持采用被动红外笔及手指进行触摸书写，支持Windows系统中进行40点或以上触控；</w:t>
            </w:r>
          </w:p>
          <w:p w14:paraId="0AD8736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3、采用防眩光全钢化防爆玻璃面板，面板的碎片状态、抗冲击性、霰弹袋冲击性能、耐热冲击性能均通过国家强制玻璃标准， 硬度9H，可见光透射比不低于88%；</w:t>
            </w:r>
          </w:p>
          <w:p w14:paraId="2CCF999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4、采用AI低书写触控算法，实现整机书写高度≤2mm，减少书写连笔问题；书写笔使用抗菌材料，细菌（大肠杆菌、金黄色葡萄球菌）不残留，抗菌率＞99.99%，给用户更健康的使用环境；</w:t>
            </w:r>
          </w:p>
          <w:p w14:paraId="3343528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整机内置一体化摄像头&amp;麦克风模块，音视频模块非外接设计，无外部线材裸露，部署简单，确保使用稳定性；只需要拆开摄像头后盖，即可实现摄像头&amp;麦克风模块检测和维修，无需拆开整机，满足高效售后；</w:t>
            </w:r>
          </w:p>
          <w:p w14:paraId="38C0D7E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6、内置1颗1300万像素摄像头，6阵列数字麦克风，摄像头支持自动对焦，自动曝光，自动白平衡，自动背光补偿，3D降噪功能；麦克风自带AI算法，支持AI降噪、人声自动增益、回声消除；</w:t>
            </w:r>
          </w:p>
          <w:p w14:paraId="5926DBB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7、支持智能全景功能（Auto-framing），无需机械转动，可根据与会议室/教室人数自动调整焦距，聚焦会议/教室全员，用户可自行开启/关闭此功能；</w:t>
            </w:r>
          </w:p>
          <w:p w14:paraId="42C78A1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8、支持声源定位（发言人追踪）功能可根据用户需求确认是否开启，开启后，进入视频会议，摄像头可快速自动跟随发言老师/学生，确保发言人员在视频画面C位居中；</w:t>
            </w:r>
          </w:p>
          <w:p w14:paraId="7C097E4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9、采用2.0声道，内置2*16W前置发声腔体扬声器单元，频响范围180Hz-20kHz，声音直达用户；</w:t>
            </w:r>
          </w:p>
          <w:p w14:paraId="133F4A0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为保证整机一体性，采用隐藏式磁吸可插拔无线模块设计，整机无外伸天线；默认提供无线模块作为附件，用户可根据需求自行确认是否安装无线模块，安装位置位于整机底部，无需拆装整机产品后壳，安装及拆除简便，整机与可插拔模块附件均受原厂质保；</w:t>
            </w:r>
          </w:p>
          <w:p w14:paraId="7E07EAB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11、可插拔无线模块内置双WiFi模组，支持AP与STA两种工作模式同时工作，即在接入无线网络的同时，也可以作为热点允许其他设备连接，两种工作模式下工作频率均支持2.4GHz和5GHz，无线STA模块采用WiFi 6技术，支持 802.11a/b/g/n/ac/ax协议，工作距离≥10米，AP模块支持2T2R；支持5.2版本蓝牙；</w:t>
            </w:r>
          </w:p>
          <w:p w14:paraId="10C3AE0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12、整机亮度350cd/m2，屏幕拥有更高的色域，色域值NTSC 72%；</w:t>
            </w:r>
          </w:p>
          <w:p w14:paraId="3DF8ADB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13、支持硬件物理防蓝光，满足护眼要求，整机有害蓝光（415nm-455nm）的光功率占完整蓝光（400-500nm）的光功率低于50%，有效实现护眼观看；</w:t>
            </w:r>
          </w:p>
          <w:p w14:paraId="082E326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14、采用DC直流调光背光技术，手机拍照/录视频画面不闪烁，降低眼部长时间观看疲劳，护眼学生/老师眼部健康；</w:t>
            </w:r>
          </w:p>
          <w:p w14:paraId="6F4FA3B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15、系统自带安卓系统，4G RAM,32G ROM；</w:t>
            </w:r>
          </w:p>
          <w:p w14:paraId="5D4822E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16、前置接口及功能如下：1*Type-C IN（支持USB功能，安卓&amp;PC 随切，PC下可支持USB3.0传输） ，2*USB 3.0 Type-A，1*TOUCH OUT（支持有线网络共享），1*HDMI IN；</w:t>
            </w:r>
          </w:p>
          <w:p w14:paraId="336F008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17、侧置接口及功能如下：1*TOUCH（支持有线网络共享）；2*HDMI IN（两路都支持CEC，其中一路支持ARC）；1*RS232；1*USB 2.0；1*USB 3.0（支持安卓&amp;PC随切）；1*RJ45；1*AUDIO OUT；1*SPDIF（Optical out）；</w:t>
            </w:r>
          </w:p>
          <w:p w14:paraId="44753A3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支持设备管理功能，快速数据清理功能，避免缓存数据太多导致系统卡顿；支持故障检测功能，常见6种故障（网络、PC通道、摄像头、麦克风等）无需售后上门用户可自行检测快速确认产品异常定位，提高售后响应效率；</w:t>
            </w:r>
          </w:p>
          <w:p w14:paraId="6047997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丰富桌面组件：包括世界时钟、天气、重要事件或内容（如高考/中考）倒数日、每日一言、图片轮播展示、课表、待办事项展示等，老师/学生可根据需求自行定义桌面组件内容及每个组件均支持至少3种展示方式，满足日常教学使用需求；</w:t>
            </w:r>
          </w:p>
          <w:p w14:paraId="35D72E4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20、支持侧边栏一键启动录制教师会议/远程教学内容，包含屏幕画面和声音等，并支持将录制文件保存至本地或扫码带走；</w:t>
            </w:r>
          </w:p>
          <w:p w14:paraId="1B16BDD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21、支持直尺、三角尺、量角器、圆规多种教学辅助工具，支持箭头、三角形、圆形等17种2D图形快速插入，支持球体、四方体、圆柱体等9种3D立体图形插入，满足老师教学需求；</w:t>
            </w:r>
          </w:p>
          <w:p w14:paraId="527DEAD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22、支持书写体转打印体，开启后可将笔迹转化为文本，支持中文英文、韩文、日文等主流文字识别，方便教师板书保存使用；</w:t>
            </w:r>
          </w:p>
          <w:p w14:paraId="43A674F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智能识别手绘图形，书写无需重新点击选择画笔功能；支持插入智能表格、思维导图、便签和文本，智能表格可根据书写内容自动扩充，支持通过画直线的方式添加或删除行列，支持通过画线方式实现表格合并操作；</w:t>
            </w:r>
          </w:p>
          <w:p w14:paraId="63E14F0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24、白板内置功能支持多种学科教学工具，如白板内置数学公式编辑器，快速编辑操作；内置元素周期表；支持星球模型3D图形等；</w:t>
            </w:r>
          </w:p>
          <w:p w14:paraId="55A123E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25、电脑参数：80PIN标准OPS模块，英特尔酷睿第12/13代I5处理器，Windows 11正版操作系统，8G运行内存，256G固态硬盘存储，模块接口：</w:t>
            </w:r>
          </w:p>
          <w:p w14:paraId="21EAE10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p w14:paraId="4AC8C042">
            <w:pPr>
              <w:pStyle w:val="215"/>
              <w:ind w:right="101"/>
              <w:rPr>
                <w:rFonts w:hint="eastAsia" w:ascii="宋体" w:hAnsi="宋体" w:eastAsia="宋体" w:cs="宋体"/>
                <w:color w:val="000000"/>
                <w:kern w:val="0"/>
                <w:sz w:val="21"/>
                <w:szCs w:val="21"/>
                <w:highlight w:val="none"/>
                <w:lang w:eastAsia="zh-CN" w:bidi="ar"/>
                <w14:ligatures w14:val="standardContextual"/>
              </w:rPr>
            </w:pPr>
          </w:p>
        </w:tc>
        <w:tc>
          <w:tcPr>
            <w:tcW w:w="996" w:type="dxa"/>
          </w:tcPr>
          <w:p w14:paraId="12848C94">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台</w:t>
            </w:r>
          </w:p>
        </w:tc>
        <w:tc>
          <w:tcPr>
            <w:tcW w:w="759" w:type="dxa"/>
          </w:tcPr>
          <w:p w14:paraId="0211D320">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w:t>
            </w:r>
          </w:p>
        </w:tc>
      </w:tr>
      <w:tr w14:paraId="5735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62" w:type="dxa"/>
            <w:vAlign w:val="center"/>
          </w:tcPr>
          <w:p w14:paraId="3E0BB0A1">
            <w:pPr>
              <w:jc w:val="left"/>
              <w:rPr>
                <w:rFonts w:hint="eastAsia" w:ascii="宋体" w:hAnsi="宋体" w:cs="宋体"/>
                <w:szCs w:val="21"/>
                <w:highlight w:val="none"/>
              </w:rPr>
            </w:pPr>
            <w:r>
              <w:rPr>
                <w:rFonts w:hint="eastAsia" w:ascii="宋体" w:hAnsi="宋体" w:cs="宋体"/>
                <w:szCs w:val="21"/>
                <w:highlight w:val="none"/>
              </w:rPr>
              <w:t>4</w:t>
            </w:r>
          </w:p>
        </w:tc>
        <w:tc>
          <w:tcPr>
            <w:tcW w:w="1328" w:type="dxa"/>
            <w:shd w:val="clear" w:color="auto" w:fill="auto"/>
            <w:vAlign w:val="center"/>
          </w:tcPr>
          <w:p w14:paraId="6183F004">
            <w:pPr>
              <w:pStyle w:val="215"/>
              <w:ind w:left="119"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研讨屏配件</w:t>
            </w:r>
          </w:p>
        </w:tc>
        <w:tc>
          <w:tcPr>
            <w:tcW w:w="5432" w:type="dxa"/>
            <w:shd w:val="clear" w:color="auto" w:fill="auto"/>
            <w:vAlign w:val="center"/>
          </w:tcPr>
          <w:p w14:paraId="1D9BA6E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移动支架</w:t>
            </w:r>
          </w:p>
          <w:p w14:paraId="775E3FB5">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1、金属外观，时尚设计；自带大托盘，便捷使用</w:t>
            </w:r>
          </w:p>
          <w:p w14:paraId="75BEFC82">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2、静音万向轮，轻松移动；便捷安装设计，轻松装配</w:t>
            </w:r>
          </w:p>
          <w:p w14:paraId="3AEA0DE0">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3、适配55／65／75／86 英寸设备</w:t>
            </w:r>
          </w:p>
          <w:p w14:paraId="40230D96">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4、支持原厂三年质保；</w:t>
            </w:r>
          </w:p>
          <w:p w14:paraId="1BCD0AB6">
            <w:pPr>
              <w:pStyle w:val="215"/>
              <w:ind w:right="101"/>
              <w:rPr>
                <w:rFonts w:hint="eastAsia" w:ascii="宋体" w:hAnsi="宋体" w:eastAsia="宋体" w:cs="宋体"/>
                <w:color w:val="000000"/>
                <w:kern w:val="0"/>
                <w:sz w:val="21"/>
                <w:szCs w:val="21"/>
                <w:highlight w:val="none"/>
                <w:lang w:eastAsia="zh-CN" w:bidi="ar"/>
                <w14:ligatures w14:val="standardContextual"/>
              </w:rPr>
            </w:pPr>
          </w:p>
          <w:p w14:paraId="2420AC1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无线投屏器</w:t>
            </w:r>
          </w:p>
          <w:p w14:paraId="14764B71">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1、最长连接距离12米，帧率20fps-30fps;单按键设计，一按即可传屏;传输视频、音频；</w:t>
            </w:r>
          </w:p>
          <w:p w14:paraId="1938EF2B">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2、支持触摸回传;支持 4 分屏传输，分屏可独立回传;支持USB Type-C接口，自带转接USB Type-A口转换头;</w:t>
            </w:r>
          </w:p>
          <w:p w14:paraId="383BF22E">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3、即插即用，启动时间≤12S；100%支持电脑扩展显示;</w:t>
            </w:r>
          </w:p>
          <w:p w14:paraId="6EC692F8">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4、应用窗口传屏时，电脑屏幕仍能打开别的应用处理其他事情，个人端隐私保护，能避免微信等弹窗干扰;</w:t>
            </w:r>
          </w:p>
          <w:p w14:paraId="5301202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5、传屏之后，在屏幕上部中间部分显示工具栏，可以进行基本的操作，包含唤起主页，暂停投屏，结束投屏等；</w:t>
            </w:r>
          </w:p>
          <w:p w14:paraId="6D3ADC38">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6、传屏开启独占模式之后，进入沉浸模式，阻止其他人传屏，避免在使用过程中，用户经常被其他人传屏顶替掉，造成使用中断；</w:t>
            </w:r>
          </w:p>
          <w:p w14:paraId="061F33B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7、可通过传屏工具栏暂停投屏功能进行画面冻结暂停，投屏电脑可自主进行其他操作，不影响整机的冻结画面内容显示；</w:t>
            </w:r>
          </w:p>
          <w:p w14:paraId="760F2E78">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8、支持操作系统：win7/win10/win11/Mac OS 10.12 及以上;</w:t>
            </w:r>
          </w:p>
          <w:p w14:paraId="3F76A6A2">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9、分辨率默认 1920×1080@60Hz，USB Type-C 最大支持 2560×1440@25Hz，USB Type-A 最大支持 3840×2160@30Hz；</w:t>
            </w:r>
          </w:p>
          <w:p w14:paraId="45E36433">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10、用户电脑支持通过无线传屏器调用整机的麦克风/摄像头/扬声器，作为电脑上视频会议软件的外设接入视频会议中，且最大支持1080P@30fps的分辨率；</w:t>
            </w:r>
          </w:p>
          <w:p w14:paraId="3F87E01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11、支持原厂一年质保；</w:t>
            </w:r>
          </w:p>
        </w:tc>
        <w:tc>
          <w:tcPr>
            <w:tcW w:w="996" w:type="dxa"/>
          </w:tcPr>
          <w:p w14:paraId="5AAC3A27">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套</w:t>
            </w:r>
          </w:p>
        </w:tc>
        <w:tc>
          <w:tcPr>
            <w:tcW w:w="759" w:type="dxa"/>
          </w:tcPr>
          <w:p w14:paraId="1C3FD0AC">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w:t>
            </w:r>
          </w:p>
        </w:tc>
      </w:tr>
      <w:tr w14:paraId="169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762" w:type="dxa"/>
            <w:vAlign w:val="center"/>
          </w:tcPr>
          <w:p w14:paraId="2B94D3F8">
            <w:pPr>
              <w:jc w:val="center"/>
              <w:rPr>
                <w:rFonts w:hint="eastAsia" w:ascii="宋体" w:hAnsi="宋体" w:cs="宋体"/>
                <w:szCs w:val="21"/>
                <w:highlight w:val="none"/>
              </w:rPr>
            </w:pPr>
            <w:r>
              <w:rPr>
                <w:rFonts w:hint="eastAsia" w:ascii="宋体" w:hAnsi="宋体" w:cs="宋体"/>
                <w:szCs w:val="21"/>
                <w:highlight w:val="none"/>
              </w:rPr>
              <w:t>5</w:t>
            </w:r>
          </w:p>
        </w:tc>
        <w:tc>
          <w:tcPr>
            <w:tcW w:w="1328" w:type="dxa"/>
            <w:shd w:val="clear" w:color="auto" w:fill="auto"/>
            <w:vAlign w:val="center"/>
          </w:tcPr>
          <w:p w14:paraId="079491E9">
            <w:pPr>
              <w:pStyle w:val="215"/>
              <w:ind w:left="119"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有源一体音响</w:t>
            </w:r>
          </w:p>
        </w:tc>
        <w:tc>
          <w:tcPr>
            <w:tcW w:w="5432" w:type="dxa"/>
            <w:shd w:val="clear" w:color="auto" w:fill="auto"/>
            <w:vAlign w:val="center"/>
          </w:tcPr>
          <w:p w14:paraId="69AE4FB0">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1、音响灵敏度：85dB；</w:t>
            </w:r>
          </w:p>
          <w:p w14:paraId="5F340E0B">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2、额定功率：2*40W；</w:t>
            </w:r>
          </w:p>
          <w:p w14:paraId="6B0BA68B">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3、频率响应：70Hz~18KHz；</w:t>
            </w:r>
          </w:p>
          <w:p w14:paraId="39010793">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4、信噪比：≥83dB；</w:t>
            </w:r>
          </w:p>
          <w:p w14:paraId="778C6D96">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5、支持Wi-Fi扩音；</w:t>
            </w:r>
          </w:p>
          <w:p w14:paraId="615515DE">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6、支持蓝牙5.0；</w:t>
            </w:r>
          </w:p>
          <w:p w14:paraId="1834C197">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7、传输频段：1.414~2.484Ghz，5.18~5.815Ghz；</w:t>
            </w:r>
          </w:p>
          <w:p w14:paraId="3AF36C76">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8、LINE IN音频线：*1；</w:t>
            </w:r>
          </w:p>
          <w:p w14:paraId="2794C3F5">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9、主副音频连接线：*1；</w:t>
            </w:r>
          </w:p>
          <w:p w14:paraId="112E66B9">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10、支持一套音响配对两个麦克风使用；</w:t>
            </w:r>
          </w:p>
          <w:p w14:paraId="3C277D15">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11、支持蓝牙无线接收，可分享移动设备上的音频。同时支持密码模式，防止学生连接；</w:t>
            </w:r>
          </w:p>
        </w:tc>
        <w:tc>
          <w:tcPr>
            <w:tcW w:w="996" w:type="dxa"/>
          </w:tcPr>
          <w:p w14:paraId="51F6591B">
            <w:pPr>
              <w:jc w:val="center"/>
              <w:rPr>
                <w:rFonts w:hint="eastAsia" w:ascii="宋体" w:hAnsi="宋体" w:cs="宋体"/>
                <w:szCs w:val="21"/>
                <w:highlight w:val="none"/>
              </w:rPr>
            </w:pPr>
            <w:r>
              <w:rPr>
                <w:rFonts w:hint="eastAsia" w:ascii="宋体" w:hAnsi="宋体" w:cs="宋体"/>
                <w:szCs w:val="21"/>
                <w:highlight w:val="none"/>
              </w:rPr>
              <w:t>台</w:t>
            </w:r>
          </w:p>
        </w:tc>
        <w:tc>
          <w:tcPr>
            <w:tcW w:w="759" w:type="dxa"/>
          </w:tcPr>
          <w:p w14:paraId="72C54FC6">
            <w:pPr>
              <w:jc w:val="center"/>
              <w:rPr>
                <w:rFonts w:hint="eastAsia" w:ascii="宋体" w:hAnsi="宋体" w:cs="宋体"/>
                <w:szCs w:val="21"/>
                <w:highlight w:val="none"/>
              </w:rPr>
            </w:pPr>
            <w:r>
              <w:rPr>
                <w:rFonts w:hint="eastAsia" w:ascii="宋体" w:hAnsi="宋体" w:cs="宋体"/>
                <w:szCs w:val="21"/>
                <w:highlight w:val="none"/>
              </w:rPr>
              <w:t>1</w:t>
            </w:r>
          </w:p>
        </w:tc>
      </w:tr>
      <w:tr w14:paraId="4AA8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2" w:type="dxa"/>
            <w:vAlign w:val="center"/>
          </w:tcPr>
          <w:p w14:paraId="0866CC61">
            <w:pPr>
              <w:jc w:val="left"/>
              <w:rPr>
                <w:rFonts w:hint="eastAsia" w:ascii="宋体" w:hAnsi="宋体" w:cs="宋体"/>
                <w:szCs w:val="21"/>
                <w:highlight w:val="none"/>
              </w:rPr>
            </w:pPr>
            <w:r>
              <w:rPr>
                <w:rFonts w:hint="eastAsia" w:ascii="宋体" w:hAnsi="宋体" w:cs="宋体"/>
                <w:szCs w:val="21"/>
                <w:highlight w:val="none"/>
              </w:rPr>
              <w:t>6</w:t>
            </w:r>
          </w:p>
        </w:tc>
        <w:tc>
          <w:tcPr>
            <w:tcW w:w="1328" w:type="dxa"/>
            <w:shd w:val="clear" w:color="auto" w:fill="auto"/>
            <w:vAlign w:val="center"/>
          </w:tcPr>
          <w:p w14:paraId="6ABB6A05">
            <w:pPr>
              <w:pStyle w:val="215"/>
              <w:ind w:left="119"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无线麦克风</w:t>
            </w:r>
          </w:p>
        </w:tc>
        <w:tc>
          <w:tcPr>
            <w:tcW w:w="5432" w:type="dxa"/>
            <w:shd w:val="clear" w:color="auto" w:fill="auto"/>
            <w:vAlign w:val="center"/>
          </w:tcPr>
          <w:p w14:paraId="32DF3847">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1、频率响应：100~16kHz；</w:t>
            </w:r>
          </w:p>
          <w:p w14:paraId="387EDC4D">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2、失真度：＜1% 94dB SPL@1kHz，＜5% 110dB SPL@1kHz；</w:t>
            </w:r>
          </w:p>
          <w:p w14:paraId="75D64E03">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3、声信噪比 ＞60dB；</w:t>
            </w:r>
          </w:p>
          <w:p w14:paraId="397BB357">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4、扩音延迟 &lt;35ms（搭配 SEEWO 品牌专用音箱）；</w:t>
            </w:r>
          </w:p>
          <w:p w14:paraId="599BD9F6">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5、音频采样率 48KHz/16bit</w:t>
            </w:r>
          </w:p>
          <w:p w14:paraId="4B05858A">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6、无线发射频段：2.412~2.484Ghz，5.18~5.815Ghz；</w:t>
            </w:r>
          </w:p>
          <w:p w14:paraId="2DE0CA70">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7、发射功率：0-16dBm@2.4G，0-13dBm@5G；</w:t>
            </w:r>
          </w:p>
          <w:p w14:paraId="23C2F338">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8、充电输入：5V/0.5A；</w:t>
            </w:r>
          </w:p>
          <w:p w14:paraId="08F97E98">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9、电池容量：350mAh；</w:t>
            </w:r>
          </w:p>
          <w:p w14:paraId="667A3920">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10、续航时间：≥5 小时；</w:t>
            </w:r>
          </w:p>
          <w:p w14:paraId="79EE6B65">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11、支持每次开机即可自动完成配对工作，无需额外按键操作；</w:t>
            </w:r>
          </w:p>
          <w:p w14:paraId="4A9AFBAD">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12、支持开机状态下 15 分钟未用则待机；</w:t>
            </w:r>
          </w:p>
          <w:p w14:paraId="36B5EA99">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13、对频距离 ≤ 5 米；</w:t>
            </w:r>
          </w:p>
          <w:p w14:paraId="7BF5C5BF">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14、无线扩音距离 空旷无遮挡的环境，≥15 米；</w:t>
            </w:r>
          </w:p>
          <w:p w14:paraId="1EB02C3F">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15、支持两个麦克风同时配对一套音箱或者一个无线音频接收器</w:t>
            </w:r>
          </w:p>
          <w:p w14:paraId="679E2A1A">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使用，支持两个麦克风混音同时输出；</w:t>
            </w:r>
          </w:p>
          <w:p w14:paraId="39C210A5">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16、支持快充功能，充电十分钟，续航时间一节课（45 分钟/节）；</w:t>
            </w:r>
          </w:p>
          <w:p w14:paraId="650564AD">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17、支持手持、领夹、挂脖等使用形态（挂脖配件需另外选配）；</w:t>
            </w:r>
          </w:p>
        </w:tc>
        <w:tc>
          <w:tcPr>
            <w:tcW w:w="996" w:type="dxa"/>
          </w:tcPr>
          <w:p w14:paraId="1AF43FC7">
            <w:pPr>
              <w:jc w:val="center"/>
              <w:rPr>
                <w:rFonts w:hint="eastAsia" w:ascii="宋体" w:hAnsi="宋体" w:cs="宋体"/>
                <w:szCs w:val="21"/>
                <w:highlight w:val="none"/>
              </w:rPr>
            </w:pPr>
            <w:r>
              <w:rPr>
                <w:rFonts w:hint="eastAsia" w:ascii="宋体" w:hAnsi="宋体" w:cs="宋体"/>
                <w:szCs w:val="21"/>
                <w:highlight w:val="none"/>
              </w:rPr>
              <w:t>台</w:t>
            </w:r>
          </w:p>
        </w:tc>
        <w:tc>
          <w:tcPr>
            <w:tcW w:w="759" w:type="dxa"/>
          </w:tcPr>
          <w:p w14:paraId="273F8398">
            <w:pPr>
              <w:jc w:val="center"/>
              <w:rPr>
                <w:rFonts w:hint="eastAsia" w:ascii="宋体" w:hAnsi="宋体" w:cs="宋体"/>
                <w:szCs w:val="21"/>
                <w:highlight w:val="none"/>
              </w:rPr>
            </w:pPr>
            <w:r>
              <w:rPr>
                <w:rFonts w:hint="eastAsia" w:ascii="宋体" w:hAnsi="宋体" w:cs="宋体"/>
                <w:szCs w:val="21"/>
                <w:highlight w:val="none"/>
              </w:rPr>
              <w:t>1</w:t>
            </w:r>
          </w:p>
        </w:tc>
      </w:tr>
      <w:tr w14:paraId="6B7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62" w:type="dxa"/>
            <w:vAlign w:val="center"/>
          </w:tcPr>
          <w:p w14:paraId="316A5569">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w:t>
            </w:r>
          </w:p>
        </w:tc>
        <w:tc>
          <w:tcPr>
            <w:tcW w:w="1328" w:type="dxa"/>
            <w:shd w:val="clear" w:color="auto" w:fill="auto"/>
            <w:vAlign w:val="center"/>
          </w:tcPr>
          <w:p w14:paraId="575B5809">
            <w:pPr>
              <w:widowControl/>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可移动折叠桌</w:t>
            </w:r>
          </w:p>
        </w:tc>
        <w:tc>
          <w:tcPr>
            <w:tcW w:w="5432" w:type="dxa"/>
            <w:shd w:val="clear" w:color="auto" w:fill="auto"/>
            <w:vAlign w:val="center"/>
          </w:tcPr>
          <w:p w14:paraId="664D48A1">
            <w:pPr>
              <w:widowControl/>
              <w:spacing w:line="276" w:lineRule="auto"/>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 xml:space="preserve">尺寸：1400*600*750 </w:t>
            </w:r>
          </w:p>
          <w:p w14:paraId="3DE82FE4">
            <w:pPr>
              <w:widowControl/>
              <w:spacing w:line="276" w:lineRule="auto"/>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1、基材：采用E0级实木颗粒板（品牌：大亚、露水河、华新），板材厚度25mm，甲醛释放量≤0.05mg/m3。</w:t>
            </w:r>
          </w:p>
          <w:p w14:paraId="0F820AC8">
            <w:pPr>
              <w:widowControl/>
              <w:spacing w:line="276" w:lineRule="auto"/>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2、饰面：采用优质三聚氰胺浸渍饰面（品牌：夏特、英特普莱特、拉米），防火、耐磨、防污硬度高，表面哑光效果持久，耐腐蚀不易脱胶。</w:t>
            </w:r>
          </w:p>
          <w:p w14:paraId="0AE4630A">
            <w:pPr>
              <w:widowControl/>
              <w:spacing w:line="276" w:lineRule="auto"/>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3、封边：采用优质环保同色PVC封边条封边（品牌：瑞好、兄奕、硕泰），封边厚度≥2.0mm，甲醛释放量≤1.5mg/L。</w:t>
            </w:r>
          </w:p>
          <w:p w14:paraId="76B83BF0">
            <w:pPr>
              <w:widowControl/>
              <w:spacing w:line="276" w:lineRule="auto"/>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4、钢架：</w:t>
            </w:r>
          </w:p>
          <w:p w14:paraId="14E06711">
            <w:pPr>
              <w:widowControl/>
              <w:spacing w:line="276" w:lineRule="auto"/>
              <w:ind w:left="210" w:lef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1）底脚：采用优质高精度冷扎钢而成，底脚长为500mm，宽为55-70mm，壁厚为1.5mm，牢固耐用，美观大方。</w:t>
            </w:r>
          </w:p>
          <w:p w14:paraId="7FDEBAD5">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2）立柱：采用铝合金型材80×30mm，长度为470mm，厚度1.8mm,表面采用防锈静电喷涂处理。</w:t>
            </w:r>
          </w:p>
          <w:p w14:paraId="1EB27E68">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3）面板横梁：采用优质高精度冷扎钢而成，长度为420mm，厚度为3.0mm.</w:t>
            </w:r>
          </w:p>
          <w:p w14:paraId="40A82D87">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4）横梁铁拉杆：采用优质方管经夹具焊接，精磨，表面再经防锈静电喷涂处理，实用牢固，承受力大。</w:t>
            </w:r>
          </w:p>
          <w:p w14:paraId="0EE77467">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5）方管采用：50×25mm，厚度为1.2mm.</w:t>
            </w:r>
          </w:p>
          <w:p w14:paraId="60695D85">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6）折叠机构：旋转开关设计， 采用铝合金压铸件，机构内有异形铝合金管条控制旋转折叠，强力弹簧卡扣而成的折叠机构，耐用不易变形</w:t>
            </w:r>
          </w:p>
          <w:p w14:paraId="4535A9CF">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7）书网：采用优质铁管厚度为1.2mm经模具切割与书网链接铁件组成，表面采用防锈静电喷涂处理。</w:t>
            </w:r>
          </w:p>
          <w:p w14:paraId="36C032A8">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8）脚轮：采用优质2.5PU脚轮，带刹车</w:t>
            </w:r>
          </w:p>
          <w:p w14:paraId="06642350">
            <w:pPr>
              <w:widowControl/>
              <w:spacing w:line="276" w:lineRule="auto"/>
              <w:ind w:left="210" w:leftChars="100" w:right="210" w:righ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9）多功能性配件：1.在桌子两侧增加3-5mm厚钢制书包挂钩，实现挂包的功能。</w:t>
            </w:r>
          </w:p>
          <w:p w14:paraId="4AAB6417">
            <w:pPr>
              <w:widowControl/>
              <w:ind w:left="210" w:leftChars="100"/>
              <w:jc w:val="left"/>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10）外观设计:采用人体工程理念及个性化需求，整件产品拼接好，接缝齐整，整体颜色基本相符，过渡自然;台架有拉杆拆叠装置，脚轮采用的PU万向脚轮带刹车，造型美观大方，有现代特色。</w:t>
            </w:r>
          </w:p>
        </w:tc>
        <w:tc>
          <w:tcPr>
            <w:tcW w:w="996" w:type="dxa"/>
          </w:tcPr>
          <w:p w14:paraId="2C2BB0C1">
            <w:pPr>
              <w:jc w:val="center"/>
              <w:rPr>
                <w:rFonts w:hint="eastAsia" w:ascii="宋体" w:hAnsi="宋体" w:cs="宋体"/>
                <w:szCs w:val="21"/>
                <w:highlight w:val="none"/>
              </w:rPr>
            </w:pPr>
            <w:r>
              <w:rPr>
                <w:rFonts w:hint="eastAsia" w:ascii="宋体" w:hAnsi="宋体" w:cs="宋体"/>
                <w:szCs w:val="21"/>
                <w:highlight w:val="none"/>
              </w:rPr>
              <w:t>台</w:t>
            </w:r>
          </w:p>
        </w:tc>
        <w:tc>
          <w:tcPr>
            <w:tcW w:w="759" w:type="dxa"/>
          </w:tcPr>
          <w:p w14:paraId="2328B342">
            <w:pPr>
              <w:jc w:val="center"/>
              <w:rPr>
                <w:rFonts w:hint="eastAsia" w:ascii="宋体" w:hAnsi="宋体" w:cs="宋体"/>
                <w:szCs w:val="21"/>
                <w:highlight w:val="none"/>
              </w:rPr>
            </w:pPr>
            <w:r>
              <w:rPr>
                <w:rFonts w:hint="eastAsia" w:ascii="宋体" w:hAnsi="宋体" w:cs="宋体"/>
                <w:szCs w:val="21"/>
                <w:highlight w:val="none"/>
              </w:rPr>
              <w:t>8</w:t>
            </w:r>
          </w:p>
        </w:tc>
      </w:tr>
      <w:tr w14:paraId="7D6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762" w:type="dxa"/>
            <w:vAlign w:val="center"/>
          </w:tcPr>
          <w:p w14:paraId="0245A964">
            <w:pPr>
              <w:jc w:val="left"/>
              <w:rPr>
                <w:rFonts w:hint="eastAsia" w:ascii="宋体" w:hAnsi="宋体" w:cs="宋体"/>
                <w:szCs w:val="21"/>
                <w:highlight w:val="none"/>
              </w:rPr>
            </w:pPr>
            <w:r>
              <w:rPr>
                <w:rFonts w:hint="eastAsia" w:ascii="宋体" w:hAnsi="宋体" w:cs="宋体"/>
                <w:szCs w:val="21"/>
                <w:highlight w:val="none"/>
              </w:rPr>
              <w:t>8</w:t>
            </w:r>
          </w:p>
        </w:tc>
        <w:tc>
          <w:tcPr>
            <w:tcW w:w="1328" w:type="dxa"/>
            <w:shd w:val="clear" w:color="auto" w:fill="auto"/>
            <w:vAlign w:val="center"/>
          </w:tcPr>
          <w:p w14:paraId="45802224">
            <w:pPr>
              <w:pStyle w:val="215"/>
              <w:ind w:left="119"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可移动折叠椅</w:t>
            </w:r>
          </w:p>
        </w:tc>
        <w:tc>
          <w:tcPr>
            <w:tcW w:w="5432" w:type="dxa"/>
            <w:shd w:val="clear" w:color="auto" w:fill="auto"/>
            <w:vAlign w:val="center"/>
          </w:tcPr>
          <w:p w14:paraId="5FAA9D7D">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尺寸：490*600*800</w:t>
            </w:r>
          </w:p>
          <w:p w14:paraId="2F68B029">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1、背框：优质工程料PP+纤维</w:t>
            </w:r>
          </w:p>
          <w:p w14:paraId="5E3AD003">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2、座垫：定型海绵，带座胶、可翻起;</w:t>
            </w:r>
          </w:p>
          <w:p w14:paraId="114AE8FF">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3、链接件：背和架子连接件均为铝合金，靠背可活动逍遥。</w:t>
            </w:r>
          </w:p>
          <w:p w14:paraId="01D93351">
            <w:pPr>
              <w:pStyle w:val="215"/>
              <w:spacing w:line="276" w:lineRule="auto"/>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4、扶手：PP活动扶手</w:t>
            </w:r>
          </w:p>
          <w:p w14:paraId="0492522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5、架子：1.8mm厚喷涂金属架、可折叠。</w:t>
            </w:r>
          </w:p>
        </w:tc>
        <w:tc>
          <w:tcPr>
            <w:tcW w:w="996" w:type="dxa"/>
          </w:tcPr>
          <w:p w14:paraId="7C65ECE5">
            <w:pPr>
              <w:jc w:val="center"/>
              <w:rPr>
                <w:rFonts w:hint="eastAsia" w:ascii="宋体" w:hAnsi="宋体" w:cs="宋体"/>
                <w:szCs w:val="21"/>
                <w:highlight w:val="none"/>
              </w:rPr>
            </w:pPr>
            <w:r>
              <w:rPr>
                <w:rFonts w:hint="eastAsia" w:ascii="宋体" w:hAnsi="宋体" w:cs="宋体"/>
                <w:szCs w:val="21"/>
                <w:highlight w:val="none"/>
              </w:rPr>
              <w:t>台</w:t>
            </w:r>
          </w:p>
        </w:tc>
        <w:tc>
          <w:tcPr>
            <w:tcW w:w="759" w:type="dxa"/>
          </w:tcPr>
          <w:p w14:paraId="6D3DF867">
            <w:pPr>
              <w:jc w:val="center"/>
              <w:rPr>
                <w:rFonts w:hint="eastAsia" w:ascii="宋体" w:hAnsi="宋体" w:cs="宋体"/>
                <w:szCs w:val="21"/>
                <w:highlight w:val="none"/>
              </w:rPr>
            </w:pPr>
            <w:r>
              <w:rPr>
                <w:rFonts w:hint="eastAsia" w:ascii="宋体" w:hAnsi="宋体" w:cs="宋体"/>
                <w:szCs w:val="21"/>
                <w:highlight w:val="none"/>
              </w:rPr>
              <w:t>16</w:t>
            </w:r>
          </w:p>
        </w:tc>
      </w:tr>
      <w:tr w14:paraId="007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62" w:type="dxa"/>
            <w:vAlign w:val="center"/>
          </w:tcPr>
          <w:p w14:paraId="3800CF8C">
            <w:pPr>
              <w:jc w:val="center"/>
              <w:rPr>
                <w:rFonts w:hint="eastAsia" w:ascii="宋体" w:hAnsi="宋体" w:cs="宋体"/>
                <w:szCs w:val="21"/>
                <w:highlight w:val="none"/>
              </w:rPr>
            </w:pPr>
            <w:r>
              <w:rPr>
                <w:rFonts w:hint="eastAsia" w:ascii="宋体" w:hAnsi="宋体" w:cs="宋体"/>
                <w:szCs w:val="21"/>
                <w:highlight w:val="none"/>
              </w:rPr>
              <w:t>9</w:t>
            </w:r>
          </w:p>
        </w:tc>
        <w:tc>
          <w:tcPr>
            <w:tcW w:w="1328" w:type="dxa"/>
            <w:shd w:val="clear" w:color="auto" w:fill="auto"/>
            <w:vAlign w:val="center"/>
          </w:tcPr>
          <w:p w14:paraId="122705E7">
            <w:pPr>
              <w:pStyle w:val="215"/>
              <w:ind w:left="119"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教师升降讲台</w:t>
            </w:r>
          </w:p>
        </w:tc>
        <w:tc>
          <w:tcPr>
            <w:tcW w:w="5432" w:type="dxa"/>
            <w:shd w:val="clear" w:color="auto" w:fill="auto"/>
            <w:vAlign w:val="center"/>
          </w:tcPr>
          <w:p w14:paraId="7E1A32CD">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尺寸：753*500*690-1080</w:t>
            </w:r>
          </w:p>
          <w:p w14:paraId="4E1BD20A">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1、桌面:三氨板，750*500*18mm</w:t>
            </w:r>
          </w:p>
          <w:p w14:paraId="1C55B54F">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2、上挡板:多层板油漆封边</w:t>
            </w:r>
          </w:p>
          <w:p w14:paraId="1F194BDA">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3、下围板:金属打孔，（喷粉），象牙白</w:t>
            </w:r>
          </w:p>
          <w:p w14:paraId="287FADDB">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4、立柱:塑料+金属(喷粉)，象牙白</w:t>
            </w:r>
          </w:p>
          <w:p w14:paraId="453D8539">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5、桌脚:铁，喷粉，象牙白</w:t>
            </w:r>
          </w:p>
          <w:p w14:paraId="642CAD4D">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6、轮子:2.0’万向轮，2轮可锁定</w:t>
            </w:r>
          </w:p>
        </w:tc>
        <w:tc>
          <w:tcPr>
            <w:tcW w:w="996" w:type="dxa"/>
          </w:tcPr>
          <w:p w14:paraId="21015BC2">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台</w:t>
            </w:r>
          </w:p>
        </w:tc>
        <w:tc>
          <w:tcPr>
            <w:tcW w:w="759" w:type="dxa"/>
          </w:tcPr>
          <w:p w14:paraId="4C29F3D3">
            <w:pPr>
              <w:jc w:val="center"/>
              <w:rPr>
                <w:rFonts w:hint="eastAsia" w:ascii="宋体" w:hAnsi="宋体" w:cs="宋体"/>
                <w:szCs w:val="21"/>
                <w:highlight w:val="none"/>
              </w:rPr>
            </w:pPr>
            <w:r>
              <w:rPr>
                <w:rFonts w:hint="eastAsia" w:ascii="宋体" w:hAnsi="宋体" w:cs="宋体"/>
                <w:szCs w:val="21"/>
                <w:highlight w:val="none"/>
              </w:rPr>
              <w:t>1</w:t>
            </w:r>
          </w:p>
        </w:tc>
      </w:tr>
      <w:tr w14:paraId="2574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62" w:type="dxa"/>
            <w:vAlign w:val="center"/>
          </w:tcPr>
          <w:p w14:paraId="24434F68">
            <w:pPr>
              <w:jc w:val="center"/>
              <w:rPr>
                <w:rFonts w:hint="eastAsia" w:ascii="宋体" w:hAnsi="宋体" w:cs="宋体"/>
                <w:szCs w:val="21"/>
                <w:highlight w:val="none"/>
              </w:rPr>
            </w:pPr>
            <w:r>
              <w:rPr>
                <w:rFonts w:hint="eastAsia" w:ascii="宋体" w:hAnsi="宋体" w:cs="宋体"/>
                <w:szCs w:val="21"/>
                <w:highlight w:val="none"/>
              </w:rPr>
              <w:t>10</w:t>
            </w:r>
          </w:p>
        </w:tc>
        <w:tc>
          <w:tcPr>
            <w:tcW w:w="1328" w:type="dxa"/>
            <w:shd w:val="clear" w:color="auto" w:fill="auto"/>
            <w:vAlign w:val="center"/>
          </w:tcPr>
          <w:p w14:paraId="454A17E8">
            <w:pPr>
              <w:pStyle w:val="215"/>
              <w:ind w:right="101"/>
              <w:jc w:val="center"/>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施工安装</w:t>
            </w:r>
          </w:p>
        </w:tc>
        <w:tc>
          <w:tcPr>
            <w:tcW w:w="5432" w:type="dxa"/>
            <w:shd w:val="clear" w:color="auto" w:fill="auto"/>
            <w:vAlign w:val="center"/>
          </w:tcPr>
          <w:p w14:paraId="4683FD6E">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1、提供场地弱电改造服务，包含电缆、网线及其相关配件；</w:t>
            </w:r>
          </w:p>
          <w:p w14:paraId="509E3489">
            <w:pPr>
              <w:pStyle w:val="215"/>
              <w:ind w:right="101"/>
              <w:jc w:val="left"/>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2、提供相关设备安装、系统调试等服务；</w:t>
            </w:r>
          </w:p>
        </w:tc>
        <w:tc>
          <w:tcPr>
            <w:tcW w:w="996" w:type="dxa"/>
          </w:tcPr>
          <w:p w14:paraId="605241DC">
            <w:pPr>
              <w:jc w:val="center"/>
              <w:rPr>
                <w:rFonts w:hint="eastAsia" w:ascii="宋体" w:hAnsi="宋体" w:cs="宋体"/>
                <w:szCs w:val="21"/>
                <w:highlight w:val="none"/>
              </w:rPr>
            </w:pPr>
            <w:r>
              <w:rPr>
                <w:rFonts w:hint="eastAsia" w:ascii="宋体" w:hAnsi="宋体" w:cs="宋体"/>
                <w:szCs w:val="21"/>
                <w:highlight w:val="none"/>
              </w:rPr>
              <w:t>套</w:t>
            </w:r>
          </w:p>
        </w:tc>
        <w:tc>
          <w:tcPr>
            <w:tcW w:w="759" w:type="dxa"/>
          </w:tcPr>
          <w:p w14:paraId="4EB589CF">
            <w:pPr>
              <w:jc w:val="center"/>
              <w:rPr>
                <w:rFonts w:hint="eastAsia" w:ascii="宋体" w:hAnsi="宋体" w:cs="宋体"/>
                <w:szCs w:val="21"/>
                <w:highlight w:val="none"/>
              </w:rPr>
            </w:pPr>
            <w:r>
              <w:rPr>
                <w:rFonts w:hint="eastAsia" w:ascii="宋体" w:hAnsi="宋体" w:cs="宋体"/>
                <w:szCs w:val="21"/>
                <w:highlight w:val="none"/>
              </w:rPr>
              <w:t>1</w:t>
            </w:r>
          </w:p>
        </w:tc>
      </w:tr>
    </w:tbl>
    <w:p w14:paraId="08D6CD83">
      <w:pPr>
        <w:rPr>
          <w:szCs w:val="21"/>
          <w:highlight w:val="none"/>
        </w:rPr>
      </w:pPr>
    </w:p>
    <w:p w14:paraId="3396D69C">
      <w:pPr>
        <w:rPr>
          <w:szCs w:val="21"/>
          <w:highlight w:val="none"/>
        </w:rPr>
      </w:pPr>
    </w:p>
    <w:p w14:paraId="3CB3E51B">
      <w:pPr>
        <w:rPr>
          <w:szCs w:val="21"/>
          <w:highlight w:val="none"/>
        </w:rPr>
      </w:pPr>
    </w:p>
    <w:p w14:paraId="5C690CC1">
      <w:pPr>
        <w:numPr>
          <w:ilvl w:val="0"/>
          <w:numId w:val="2"/>
        </w:numPr>
        <w:rPr>
          <w:szCs w:val="21"/>
          <w:highlight w:val="none"/>
        </w:rPr>
      </w:pPr>
      <w:r>
        <w:rPr>
          <w:rFonts w:hint="eastAsia"/>
          <w:szCs w:val="21"/>
          <w:highlight w:val="none"/>
        </w:rPr>
        <w:t>科学探索中心</w:t>
      </w:r>
    </w:p>
    <w:tbl>
      <w:tblPr>
        <w:tblStyle w:val="45"/>
        <w:tblW w:w="5039" w:type="pct"/>
        <w:tblInd w:w="0" w:type="dxa"/>
        <w:tblLayout w:type="fixed"/>
        <w:tblCellMar>
          <w:top w:w="0" w:type="dxa"/>
          <w:left w:w="108" w:type="dxa"/>
          <w:bottom w:w="0" w:type="dxa"/>
          <w:right w:w="108" w:type="dxa"/>
        </w:tblCellMar>
      </w:tblPr>
      <w:tblGrid>
        <w:gridCol w:w="786"/>
        <w:gridCol w:w="1265"/>
        <w:gridCol w:w="5354"/>
        <w:gridCol w:w="830"/>
        <w:gridCol w:w="782"/>
      </w:tblGrid>
      <w:tr w14:paraId="616510D6">
        <w:tblPrEx>
          <w:tblCellMar>
            <w:top w:w="0" w:type="dxa"/>
            <w:left w:w="108" w:type="dxa"/>
            <w:bottom w:w="0" w:type="dxa"/>
            <w:right w:w="108" w:type="dxa"/>
          </w:tblCellMar>
        </w:tblPrEx>
        <w:trPr>
          <w:trHeight w:val="837" w:hRule="atLeast"/>
        </w:trPr>
        <w:tc>
          <w:tcPr>
            <w:tcW w:w="7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1B410C">
            <w:pPr>
              <w:jc w:val="center"/>
              <w:rPr>
                <w:rFonts w:hint="eastAsia" w:ascii="宋体" w:hAnsi="宋体" w:cs="宋体"/>
                <w:szCs w:val="21"/>
                <w:highlight w:val="none"/>
              </w:rPr>
            </w:pPr>
            <w:r>
              <w:rPr>
                <w:rFonts w:hint="eastAsia" w:ascii="宋体" w:hAnsi="宋体" w:cs="宋体"/>
                <w:szCs w:val="21"/>
                <w:highlight w:val="none"/>
              </w:rPr>
              <w:t>1</w:t>
            </w:r>
          </w:p>
        </w:tc>
        <w:tc>
          <w:tcPr>
            <w:tcW w:w="1265" w:type="dxa"/>
            <w:tcBorders>
              <w:top w:val="single" w:color="auto" w:sz="4" w:space="0"/>
              <w:left w:val="single" w:color="000000" w:sz="4" w:space="0"/>
              <w:bottom w:val="nil"/>
              <w:right w:val="single" w:color="000000" w:sz="4" w:space="0"/>
            </w:tcBorders>
            <w:shd w:val="clear" w:color="auto" w:fill="auto"/>
            <w:vAlign w:val="center"/>
          </w:tcPr>
          <w:p w14:paraId="419B49A4">
            <w:pPr>
              <w:widowControl/>
              <w:jc w:val="center"/>
              <w:textAlignment w:val="center"/>
              <w:rPr>
                <w:rFonts w:hint="eastAsia" w:ascii="宋体" w:hAnsi="宋体" w:cs="宋体"/>
                <w:szCs w:val="21"/>
                <w:highlight w:val="none"/>
              </w:rPr>
            </w:pPr>
            <w:r>
              <w:rPr>
                <w:rFonts w:hint="eastAsia" w:ascii="宋体" w:hAnsi="宋体" w:cs="宋体"/>
                <w:szCs w:val="21"/>
                <w:highlight w:val="none"/>
              </w:rPr>
              <w:t>86寸智慧黑板</w:t>
            </w:r>
          </w:p>
        </w:tc>
        <w:tc>
          <w:tcPr>
            <w:tcW w:w="5354" w:type="dxa"/>
            <w:tcBorders>
              <w:top w:val="single" w:color="auto" w:sz="4" w:space="0"/>
              <w:left w:val="single" w:color="000000" w:sz="4" w:space="0"/>
              <w:bottom w:val="nil"/>
              <w:right w:val="single" w:color="000000" w:sz="4" w:space="0"/>
            </w:tcBorders>
            <w:shd w:val="clear" w:color="auto" w:fill="auto"/>
            <w:vAlign w:val="center"/>
          </w:tcPr>
          <w:p w14:paraId="7D65021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270D898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2、采用电容触控技术，支持Windows系统中进行40点或以上触控；</w:t>
            </w:r>
          </w:p>
          <w:p w14:paraId="4D61551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3、支持持手指&amp;配套被动电容笔进行书写操作；</w:t>
            </w:r>
          </w:p>
          <w:p w14:paraId="2A0AE9F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4、整机采用一体设计，无推拉式结构，外部无任何可见内部功能模块连接线，主副屏过渡平滑并在同一平面，中间无单独边框阻隔。主屏及副屏边缘及转角处圆润设计，无利边及尖端，保障教学安全；</w:t>
            </w:r>
          </w:p>
          <w:p w14:paraId="7FBD830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主屏钢化玻璃采用专业蚀刻防眩光表面处理工艺，主屏支持普通粉笔直接书写。两侧副屏可支持以下媒介（普通粉笔、液体粉笔、成膜笔）进行板书书写。副屏支持磁吸附功能，可以满足带有磁吸的板擦等教具进行吸附在副屏上，主屏下边框带一体收纳笔槽，支持被动电容笔&amp;粉笔等收纳；</w:t>
            </w:r>
          </w:p>
          <w:p w14:paraId="2459E5B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6、整机具备6个前置按键，支持电源键、主页键、返回键、设置键、支持音量+&amp;音量-调节键；丰富按键，一键直达，便捷交互；</w:t>
            </w:r>
          </w:p>
          <w:p w14:paraId="27CE5C5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黑板整机自带一体化摄像头&amp;麦克风模块，音视频模块非外接设计，无外部线材裸露，部署简单，确保使用稳定性；只需要拆开摄像头后盖，即可实现摄像头&amp;麦克风模块检测和维修，无需拆开整机，满足高效售后；</w:t>
            </w:r>
          </w:p>
          <w:p w14:paraId="32B9850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8、整机亮度350cd/m2，屏幕拥有更高的色域，色域值NTSC 72%；</w:t>
            </w:r>
          </w:p>
          <w:p w14:paraId="1230DD9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9、支持硬件物理防蓝光，满足护眼要求，整机有害蓝光（415nm-455nm）的光功率占完整蓝光（400-500nm）的光功率低于50%，有效实现护眼观看；</w:t>
            </w:r>
          </w:p>
          <w:p w14:paraId="77B2D73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10、整机支持精准色彩还原，每台产品均经过自动白平衡&amp;色准矫正，色彩还原度高（色准达到ΔE＜1.5）；</w:t>
            </w:r>
          </w:p>
          <w:p w14:paraId="22F6D9C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11、输入&amp;输出接口具备3路HDMI，4路USB3.0，1路USB2.0，1路RS232、1路TypeC（支持USB3.0），2路TOUCH、1路 AUDIO OUT，1路 AUDIO IN，1路VGA IN，1路SPDIF，2路RJ45</w:t>
            </w:r>
          </w:p>
          <w:p w14:paraId="730E8DA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12、USB3.0支持随通道切换；双网口均支持千兆网，支持有线一网通设计，支持有线网络双系统上网(OPS模块不需要单独接网线即可实现上网)，安卓和PC都是千兆；</w:t>
            </w:r>
          </w:p>
          <w:p w14:paraId="105DF78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13、整机内置无线模块，支持2.4GHz/5GHz双频Wi-Fi，支持Wi-Fi6，支持BT5.2；</w:t>
            </w:r>
          </w:p>
          <w:p w14:paraId="7FED82D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14、整机内置2.0声道扬声器，额定总功率32W，扬声器为前置发声，减少声音反射，声场均匀覆盖；</w:t>
            </w:r>
          </w:p>
          <w:p w14:paraId="55C1E7B8">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15、产品自带超高清、超广角、低畸变1300万像素摄像头，摄像头支持FOV 120°广角摄像，支持自动对焦，自动曝光，自动白平衡，自动背光补偿，支持3D降噪，满足教学/培训场景下学生全部入镜需求；</w:t>
            </w:r>
          </w:p>
          <w:p w14:paraId="0AE367D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16、内置6阵列麦克风，支持0-180°拾音角度，支持≥8米远场拾音，高性能音频算法，具备快速回声消除、环境噪声抑制、人声自动增益补偿功能，能实现对教室/培训室进行音频采集，满足教学需要；</w:t>
            </w:r>
          </w:p>
          <w:p w14:paraId="51148A5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17、内置安卓模块系统，4G RAM，32G ROM；</w:t>
            </w:r>
          </w:p>
          <w:p w14:paraId="1C0AF0A9">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18、整机内置故障检测功能，常见6种故障无需上门就可远程判断，提高售后效率（支持对无线模块、摄像头、麦克风、喇叭、芯片、OPS实现硬件检测，提示故障定位）</w:t>
            </w:r>
          </w:p>
          <w:p w14:paraId="6ABF55D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19、支持一键直达Windows操作系统，支持OPS一键还原；</w:t>
            </w:r>
          </w:p>
          <w:p w14:paraId="494C054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20、支持秒表，倒计时，聚光灯，投票器，文件快传，冻屏，录屏，降半屏，触摸锁，画中画等丰富小工具，满足教学场景丰富需求；</w:t>
            </w:r>
          </w:p>
          <w:p w14:paraId="047319D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21、支持自动亮度调节、节能模式、护眼模式等多种显示模式；支持显示高级设置：色彩空间、亮度范围、动态对比度、AI-PQ等显示高级设置；</w:t>
            </w:r>
          </w:p>
          <w:p w14:paraId="4EB1E9B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22、支持多人同时在白板上操作，支持多人同时书写；白板可以支持三分屏，可实现三个分区独立书写及擦除；</w:t>
            </w:r>
          </w:p>
          <w:p w14:paraId="1A5F472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23、白板支持铅笔、钢笔、马克笔等多种笔形，支持多种颜色自由选择，支持多种平面&amp;3D立体图形插入，支持思维导图，便签等插入；支持书写背景模板如田字格、五线谱、球场等，满足各学科教学需求；</w:t>
            </w:r>
          </w:p>
          <w:p w14:paraId="543975D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24、电脑参数：80PIN标准OPS模块，英特尔酷睿第12/13代I5处理器，Windows 11正版操作系统，8G运行内存，256G固态硬盘存储，模块接口：</w:t>
            </w:r>
          </w:p>
          <w:p w14:paraId="3B6993D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p w14:paraId="5C5877F0">
            <w:pPr>
              <w:pStyle w:val="138"/>
              <w:ind w:firstLine="0" w:firstLineChars="0"/>
              <w:jc w:val="left"/>
              <w:rPr>
                <w:rFonts w:hint="eastAsia" w:ascii="宋体" w:hAnsi="宋体" w:cs="宋体"/>
                <w:szCs w:val="21"/>
                <w:highlight w:val="none"/>
              </w:rPr>
            </w:pPr>
            <w:r>
              <w:rPr>
                <w:rFonts w:hint="eastAsia" w:ascii="宋体" w:hAnsi="宋体" w:cs="宋体"/>
                <w:szCs w:val="21"/>
                <w:highlight w:val="none"/>
              </w:rPr>
              <w:t xml:space="preserve"> </w:t>
            </w:r>
          </w:p>
        </w:tc>
        <w:tc>
          <w:tcPr>
            <w:tcW w:w="830" w:type="dxa"/>
            <w:tcBorders>
              <w:top w:val="single" w:color="000000" w:sz="4" w:space="0"/>
              <w:left w:val="single" w:color="000000" w:sz="4" w:space="0"/>
              <w:bottom w:val="nil"/>
              <w:right w:val="single" w:color="000000" w:sz="4" w:space="0"/>
            </w:tcBorders>
            <w:shd w:val="clear" w:color="auto" w:fill="auto"/>
            <w:noWrap/>
            <w:vAlign w:val="center"/>
          </w:tcPr>
          <w:p w14:paraId="48FE292C">
            <w:pPr>
              <w:widowControl/>
              <w:jc w:val="center"/>
              <w:textAlignment w:val="center"/>
              <w:rPr>
                <w:rFonts w:hint="eastAsia" w:ascii="宋体" w:hAnsi="宋体" w:cs="宋体"/>
                <w:szCs w:val="21"/>
                <w:highlight w:val="none"/>
              </w:rPr>
            </w:pPr>
            <w:r>
              <w:rPr>
                <w:rFonts w:hint="eastAsia" w:ascii="宋体" w:hAnsi="宋体" w:cs="宋体"/>
                <w:szCs w:val="21"/>
                <w:highlight w:val="none"/>
              </w:rPr>
              <w:t>台</w:t>
            </w:r>
          </w:p>
        </w:tc>
        <w:tc>
          <w:tcPr>
            <w:tcW w:w="782" w:type="dxa"/>
            <w:tcBorders>
              <w:top w:val="single" w:color="000000" w:sz="4" w:space="0"/>
              <w:left w:val="single" w:color="000000" w:sz="4" w:space="0"/>
              <w:bottom w:val="nil"/>
              <w:right w:val="single" w:color="000000" w:sz="4" w:space="0"/>
            </w:tcBorders>
            <w:shd w:val="clear" w:color="auto" w:fill="auto"/>
            <w:noWrap/>
            <w:vAlign w:val="center"/>
          </w:tcPr>
          <w:p w14:paraId="597E67E8">
            <w:pPr>
              <w:widowControl/>
              <w:jc w:val="center"/>
              <w:textAlignment w:val="center"/>
              <w:rPr>
                <w:rFonts w:hint="eastAsia" w:ascii="宋体" w:hAnsi="宋体" w:cs="宋体"/>
                <w:szCs w:val="21"/>
                <w:highlight w:val="none"/>
              </w:rPr>
            </w:pPr>
            <w:r>
              <w:rPr>
                <w:rFonts w:hint="eastAsia" w:ascii="宋体" w:hAnsi="宋体" w:cs="宋体"/>
                <w:szCs w:val="21"/>
                <w:highlight w:val="none"/>
              </w:rPr>
              <w:t>6</w:t>
            </w:r>
          </w:p>
        </w:tc>
      </w:tr>
      <w:tr w14:paraId="44C37C55">
        <w:tblPrEx>
          <w:tblCellMar>
            <w:top w:w="0" w:type="dxa"/>
            <w:left w:w="108" w:type="dxa"/>
            <w:bottom w:w="0" w:type="dxa"/>
            <w:right w:w="108" w:type="dxa"/>
          </w:tblCellMar>
        </w:tblPrEx>
        <w:trPr>
          <w:trHeight w:val="2139" w:hRule="atLeast"/>
        </w:trPr>
        <w:tc>
          <w:tcPr>
            <w:tcW w:w="78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43CE9C">
            <w:pPr>
              <w:jc w:val="center"/>
              <w:rPr>
                <w:rFonts w:hint="eastAsia" w:ascii="宋体" w:hAnsi="宋体" w:cs="宋体"/>
                <w:szCs w:val="21"/>
                <w:highlight w:val="none"/>
              </w:rPr>
            </w:pPr>
            <w:r>
              <w:rPr>
                <w:rFonts w:hint="eastAsia" w:ascii="宋体" w:hAnsi="宋体" w:cs="宋体"/>
                <w:szCs w:val="21"/>
                <w:highlight w:val="none"/>
              </w:rPr>
              <w:t>2</w:t>
            </w:r>
          </w:p>
        </w:tc>
        <w:tc>
          <w:tcPr>
            <w:tcW w:w="1265" w:type="dxa"/>
            <w:tcBorders>
              <w:top w:val="single" w:color="auto" w:sz="4" w:space="0"/>
              <w:left w:val="single" w:color="000000" w:sz="4" w:space="0"/>
              <w:bottom w:val="single" w:color="auto" w:sz="4" w:space="0"/>
              <w:right w:val="single" w:color="000000" w:sz="4" w:space="0"/>
            </w:tcBorders>
            <w:shd w:val="clear" w:color="auto" w:fill="auto"/>
            <w:vAlign w:val="center"/>
          </w:tcPr>
          <w:p w14:paraId="2D5A33F4">
            <w:pPr>
              <w:widowControl/>
              <w:jc w:val="center"/>
              <w:textAlignment w:val="center"/>
              <w:rPr>
                <w:rFonts w:hint="eastAsia" w:ascii="宋体" w:hAnsi="宋体" w:cs="宋体"/>
                <w:szCs w:val="21"/>
                <w:highlight w:val="none"/>
              </w:rPr>
            </w:pPr>
            <w:r>
              <w:rPr>
                <w:rFonts w:hint="eastAsia" w:ascii="宋体" w:hAnsi="宋体" w:cs="宋体"/>
                <w:szCs w:val="21"/>
                <w:highlight w:val="none"/>
              </w:rPr>
              <w:t>86寸一体机</w:t>
            </w:r>
          </w:p>
        </w:tc>
        <w:tc>
          <w:tcPr>
            <w:tcW w:w="5354" w:type="dxa"/>
            <w:tcBorders>
              <w:top w:val="single" w:color="auto" w:sz="4" w:space="0"/>
              <w:left w:val="single" w:color="000000" w:sz="4" w:space="0"/>
              <w:bottom w:val="single" w:color="auto" w:sz="4" w:space="0"/>
              <w:right w:val="single" w:color="000000" w:sz="4" w:space="0"/>
            </w:tcBorders>
            <w:shd w:val="clear" w:color="auto" w:fill="auto"/>
            <w:vAlign w:val="center"/>
          </w:tcPr>
          <w:p w14:paraId="7887E61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1、86英寸A规高雾屏（Haze≥25%），屏幕图像分辨率达3840*2160，整机采用UHD超高清LCD 液晶屏；</w:t>
            </w:r>
          </w:p>
          <w:p w14:paraId="1092E104">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2、采用红外触控技术，支持±1.5mm触控精度，支持采用被动红外笔及手指进行触摸书写，支持Windows系统中进行40点或以上触控；</w:t>
            </w:r>
          </w:p>
          <w:p w14:paraId="6DCF163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3、采用防眩光全钢化防爆玻璃面板，面板的碎片状态、抗冲击性、霰弹袋冲击性能、耐热冲击性能均通过国家强制玻璃标准， 硬度9H，可见光透射比不低于88%；</w:t>
            </w:r>
          </w:p>
          <w:p w14:paraId="3C942BE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4、采用AI低书写触控算法，实现整机书写高度≤2mm，减少书写连笔问题；书写笔使用抗菌材料，细菌（大肠杆菌、金黄色葡萄球菌）不残留，抗菌率＞99.99%，给用户更健康的使用环境；</w:t>
            </w:r>
          </w:p>
          <w:p w14:paraId="1B65E4F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5、整机内置一体化摄像头&amp;麦克风模块，音视频模块非外接设计，无外部线材裸露，部署简单，确保使用稳定性；只需要拆开摄像头后盖，即可实现摄像头&amp;麦克风模块检测和维修，无需拆开整机，满足高效售后；</w:t>
            </w:r>
          </w:p>
          <w:p w14:paraId="2F0D7E3F">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6、内置1颗1300万像素摄像头，6阵列数字麦克风，摄像头支持自动对焦，自动曝光，自动白平衡，自动背光补偿，3D降噪功能；麦克风自带AI算法，支持AI降噪、人声自动增益、回声消除；</w:t>
            </w:r>
          </w:p>
          <w:p w14:paraId="33B0F84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7、支持智能全景功能（Auto-framing），无需机械转动，可根据与会议室/教室人数自动调整焦距，聚焦会议/教室全员，用户可自行开启/关闭此功能；</w:t>
            </w:r>
          </w:p>
          <w:p w14:paraId="27326B6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8、支持声源定位（发言人追踪）功能可根据用户需求确认是否开启，开启后，进入视频会议，摄像头可快速自动跟随发言老师/学生，确保发言人员在视频画面C位居中；</w:t>
            </w:r>
          </w:p>
          <w:p w14:paraId="544F288E">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9、采用2.0声道，内置2*16W前置发声腔体扬声器单元，频响范围180Hz-20kHz，声音直达用户；</w:t>
            </w:r>
          </w:p>
          <w:p w14:paraId="7BD3BD21">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10、为保证整机一体性，采用隐藏式磁吸可插拔无线模块设计，整机无外伸天线；默认提供无线模块作为附件，用户可根据需求自行确认是否安装无线模块，安装位置位于整机底部，无需拆装整机产品后壳，安装及拆除简便，整机与可插拔模块附件均受原厂质保；</w:t>
            </w:r>
          </w:p>
          <w:p w14:paraId="050B8A4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11、可插拔无线模块内置双WiFi模组，支持AP与STA两种工作模式同时工作，即在接入无线网络的同时，也可以作为热点允许其他设备连接，两种工作模式下工作频率均支持2.4GHz和5GHz，无线STA模块采用WiFi 6技术，支持 802.11a/b/g/n/ac/ax协议，工作距离≥10米，AP模块支持2T2R；支持5.2版本蓝牙；</w:t>
            </w:r>
          </w:p>
          <w:p w14:paraId="26C3D5C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12、整机亮度350cd/m2，屏幕拥有更高的色域，色域值NTSC 72%；</w:t>
            </w:r>
          </w:p>
          <w:p w14:paraId="41ECF7ED">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13、支持硬件物理防蓝光，满足护眼要求，整机有害蓝光（415nm-455nm）的光功率占完整蓝光（400-500nm）的光功率低于50%，有效实现护眼观看；</w:t>
            </w:r>
          </w:p>
          <w:p w14:paraId="3AF027A0">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14、采用DC直流调光背光技术，手机拍照/录视频画面不闪烁，降低眼部长时间观看疲劳，护眼学生/老师眼部健康；</w:t>
            </w:r>
          </w:p>
          <w:p w14:paraId="2A2CE78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15、系统自带安卓系统，4G RAM,32G ROM；</w:t>
            </w:r>
          </w:p>
          <w:p w14:paraId="17BA63E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16、前置接口及功能如下：1*Type-C IN（支持USB功能，安卓&amp;PC 随切，PC下可支持USB3.0传输） ，2*USB 3.0 Type-A，1*TOUCH OUT（支持有线网络共享），1*HDMI IN；</w:t>
            </w:r>
          </w:p>
          <w:p w14:paraId="6496A007">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17、侧置接口及功能如下：1*TOUCH（支持有线网络共享）；2*HDMI IN（两路都支持CEC，其中一路支持ARC）；1*RS232；1*USB 2.0；1*USB 3.0（支持安卓&amp;PC随切）；1*RJ45；1*AUDIO OUT；1*SPDIF（Optical out）；</w:t>
            </w:r>
          </w:p>
          <w:p w14:paraId="01861EF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18、支持设备管理功能，快速数据清理功能，避免缓存数据太多导致系统卡顿；支持故障检测功能，常见6种故障（网络、PC通道、摄像头、麦克风等）无需售后上门用户可自行检测快速确认产品异常定位，提高售后响应效率；</w:t>
            </w:r>
          </w:p>
          <w:p w14:paraId="115E84DC">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19、支持丰富桌面组件：包括世界时钟、天气、重要事件或内容（如高考/中考）倒数日、每日一言、图片轮播展示、课表、待办事项展示等，老师/学生可根据需求自行定义桌面组件内容及每个组件均支持至少3种展示方式，满足日常教学使用需求；</w:t>
            </w:r>
          </w:p>
          <w:p w14:paraId="721B95F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20、支持侧边栏一键启动录制教师会议/远程教学内容，包含屏幕画面和声音等，并支持将录制文件保存至本地或扫码带走；</w:t>
            </w:r>
          </w:p>
          <w:p w14:paraId="2754B986">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21、支持直尺、三角尺、量角器、圆规多种教学辅助工具，支持箭头、三角形、圆形等17种2D图形快速插入，支持球体、四方体、圆柱体等9种3D立体图形插入，满足老师教学需求；</w:t>
            </w:r>
          </w:p>
          <w:p w14:paraId="785E1FEB">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22、支持书写体转打印体，开启后可将笔迹转化为文本，支持中文英文、韩文、日文等主流文字识别，方便教师板书保存使用；</w:t>
            </w:r>
          </w:p>
          <w:p w14:paraId="4DFB7D32">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23、智能识别手绘图形，书写无需重新点击选择画笔功能；支持插入智能表格、思维导图、便签和文本，智能表格可根据书写内容自动扩充，支持通过画直线的方式添加或删除行列，支持通过画线方式实现表格合并操作；</w:t>
            </w:r>
          </w:p>
          <w:p w14:paraId="43FEC6B3">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24、白板内置功能支持多种学科教学工具，如白板内置数学公式编辑器，快速编辑操作；内置元素周期表；支持星球模型3D图形等；</w:t>
            </w:r>
          </w:p>
          <w:p w14:paraId="20198B35">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25、电脑参数：80PIN标准OPS模块，英特尔酷睿第12/13代I5处理器，Windows 11正版操作系统，8G运行内存，256G固态硬盘存储，模块接口：</w:t>
            </w:r>
          </w:p>
          <w:p w14:paraId="0EFE435A">
            <w:pPr>
              <w:widowControl/>
              <w:spacing w:line="276" w:lineRule="auto"/>
              <w:textAlignment w:val="center"/>
              <w:rPr>
                <w:rFonts w:hint="eastAsia" w:ascii="宋体" w:hAnsi="宋体" w:cs="宋体"/>
                <w:color w:val="000000"/>
                <w:kern w:val="0"/>
                <w:szCs w:val="21"/>
                <w:highlight w:val="none"/>
                <w:lang w:bidi="ar"/>
                <w14:ligatures w14:val="standardContextual"/>
              </w:rPr>
            </w:pPr>
            <w:r>
              <w:rPr>
                <w:rFonts w:hint="eastAsia" w:ascii="宋体" w:hAnsi="宋体" w:cs="宋体"/>
                <w:color w:val="000000"/>
                <w:kern w:val="0"/>
                <w:szCs w:val="21"/>
                <w:highlight w:val="none"/>
                <w:lang w:bidi="ar"/>
                <w14:ligatures w14:val="standardContextual"/>
              </w:rPr>
              <w:t>HDMI OUT*1,USB3.0*4,USB Type-C*1,MIC*1，千兆网口*1，DP*1，LINE OUT*1；OPS模块接内置无线模块，WIFI支持：802.11a/b/g/n/ac/ax，2T2R；蓝牙支持5.2；</w:t>
            </w:r>
          </w:p>
          <w:p w14:paraId="4B6A9808">
            <w:pPr>
              <w:widowControl/>
              <w:textAlignment w:val="center"/>
              <w:rPr>
                <w:rFonts w:hint="eastAsia" w:ascii="宋体" w:hAnsi="宋体" w:cs="宋体"/>
                <w:color w:val="000000"/>
                <w:kern w:val="0"/>
                <w:szCs w:val="21"/>
                <w:highlight w:val="none"/>
                <w:lang w:bidi="ar"/>
                <w14:ligatures w14:val="standardContextual"/>
              </w:rPr>
            </w:pPr>
          </w:p>
          <w:p w14:paraId="5357378F">
            <w:pPr>
              <w:widowControl/>
              <w:textAlignment w:val="center"/>
              <w:rPr>
                <w:rFonts w:hint="eastAsia" w:ascii="宋体" w:hAnsi="宋体" w:cs="宋体"/>
                <w:szCs w:val="21"/>
                <w:highlight w:val="none"/>
              </w:rPr>
            </w:pPr>
          </w:p>
          <w:p w14:paraId="53FB3BD2">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移动支架</w:t>
            </w:r>
          </w:p>
          <w:p w14:paraId="6832BD1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1、金属外观，时尚设计；自带大托盘，便捷使用</w:t>
            </w:r>
          </w:p>
          <w:p w14:paraId="7D8CA7A4">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2、静音万向轮，轻松移动；便捷安装设计，轻松装配</w:t>
            </w:r>
          </w:p>
          <w:p w14:paraId="180836B1">
            <w:pPr>
              <w:pStyle w:val="215"/>
              <w:ind w:right="101"/>
              <w:rPr>
                <w:rFonts w:hint="eastAsia" w:ascii="宋体" w:hAnsi="宋体" w:eastAsia="宋体" w:cs="宋体"/>
                <w:color w:val="000000"/>
                <w:kern w:val="0"/>
                <w:sz w:val="21"/>
                <w:szCs w:val="21"/>
                <w:highlight w:val="none"/>
                <w:lang w:eastAsia="zh-CN" w:bidi="ar"/>
                <w14:ligatures w14:val="standardContextual"/>
              </w:rPr>
            </w:pPr>
            <w:r>
              <w:rPr>
                <w:rFonts w:hint="eastAsia" w:ascii="宋体" w:hAnsi="宋体" w:eastAsia="宋体" w:cs="宋体"/>
                <w:color w:val="000000"/>
                <w:kern w:val="0"/>
                <w:sz w:val="21"/>
                <w:szCs w:val="21"/>
                <w:highlight w:val="none"/>
                <w:lang w:eastAsia="zh-CN" w:bidi="ar"/>
                <w14:ligatures w14:val="standardContextual"/>
              </w:rPr>
              <w:t>3、适配55／65／75／86 英寸设备</w:t>
            </w:r>
          </w:p>
          <w:p w14:paraId="0E26DE60">
            <w:pPr>
              <w:pStyle w:val="215"/>
              <w:widowControl/>
              <w:textAlignment w:val="center"/>
              <w:rPr>
                <w:rFonts w:hint="eastAsia" w:ascii="宋体" w:hAnsi="宋体" w:cs="宋体"/>
                <w:szCs w:val="21"/>
                <w:highlight w:val="none"/>
                <w:lang w:eastAsia="zh-CN"/>
              </w:rPr>
            </w:pPr>
            <w:r>
              <w:rPr>
                <w:rFonts w:hint="eastAsia" w:ascii="宋体" w:hAnsi="宋体" w:eastAsia="宋体" w:cs="宋体"/>
                <w:color w:val="000000"/>
                <w:kern w:val="0"/>
                <w:sz w:val="21"/>
                <w:szCs w:val="21"/>
                <w:highlight w:val="none"/>
                <w:lang w:eastAsia="zh-CN" w:bidi="ar"/>
                <w14:ligatures w14:val="standardContextual"/>
              </w:rPr>
              <w:t>4、支持原厂三年质保；</w:t>
            </w:r>
          </w:p>
        </w:tc>
        <w:tc>
          <w:tcPr>
            <w:tcW w:w="8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2DB397">
            <w:pPr>
              <w:widowControl/>
              <w:jc w:val="center"/>
              <w:textAlignment w:val="center"/>
              <w:rPr>
                <w:rFonts w:hint="eastAsia" w:ascii="宋体" w:hAnsi="宋体" w:cs="宋体"/>
                <w:szCs w:val="21"/>
                <w:highlight w:val="none"/>
              </w:rPr>
            </w:pPr>
            <w:r>
              <w:rPr>
                <w:rFonts w:hint="eastAsia" w:ascii="宋体" w:hAnsi="宋体" w:cs="宋体"/>
                <w:szCs w:val="21"/>
                <w:highlight w:val="none"/>
              </w:rPr>
              <w:t>台</w:t>
            </w:r>
          </w:p>
        </w:tc>
        <w:tc>
          <w:tcPr>
            <w:tcW w:w="7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84F497F">
            <w:pPr>
              <w:widowControl/>
              <w:jc w:val="center"/>
              <w:textAlignment w:val="center"/>
              <w:rPr>
                <w:rFonts w:hint="eastAsia" w:ascii="宋体" w:hAnsi="宋体" w:cs="宋体"/>
                <w:szCs w:val="21"/>
                <w:highlight w:val="none"/>
              </w:rPr>
            </w:pPr>
            <w:r>
              <w:rPr>
                <w:rFonts w:hint="eastAsia" w:ascii="宋体" w:hAnsi="宋体" w:cs="宋体"/>
                <w:szCs w:val="21"/>
                <w:highlight w:val="none"/>
              </w:rPr>
              <w:t>3</w:t>
            </w:r>
          </w:p>
        </w:tc>
      </w:tr>
      <w:tr w14:paraId="5B7C8262">
        <w:tblPrEx>
          <w:tblCellMar>
            <w:top w:w="0" w:type="dxa"/>
            <w:left w:w="108" w:type="dxa"/>
            <w:bottom w:w="0" w:type="dxa"/>
            <w:right w:w="108" w:type="dxa"/>
          </w:tblCellMar>
        </w:tblPrEx>
        <w:trPr>
          <w:trHeight w:val="549" w:hRule="atLeast"/>
        </w:trPr>
        <w:tc>
          <w:tcPr>
            <w:tcW w:w="7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A8591A3">
            <w:pPr>
              <w:widowControl/>
              <w:jc w:val="center"/>
              <w:textAlignment w:val="center"/>
              <w:rPr>
                <w:rFonts w:hint="eastAsia" w:ascii="宋体" w:hAnsi="宋体" w:cs="宋体"/>
                <w:szCs w:val="21"/>
                <w:highlight w:val="none"/>
              </w:rPr>
            </w:pPr>
            <w:r>
              <w:rPr>
                <w:rFonts w:hint="eastAsia" w:ascii="宋体" w:hAnsi="宋体" w:cs="宋体"/>
                <w:szCs w:val="21"/>
                <w:highlight w:val="none"/>
              </w:rPr>
              <w:t>3</w:t>
            </w:r>
          </w:p>
        </w:tc>
        <w:tc>
          <w:tcPr>
            <w:tcW w:w="1265" w:type="dxa"/>
            <w:tcBorders>
              <w:top w:val="single" w:color="auto" w:sz="4" w:space="0"/>
              <w:left w:val="single" w:color="000000" w:sz="4" w:space="0"/>
              <w:bottom w:val="single" w:color="auto" w:sz="4" w:space="0"/>
              <w:right w:val="single" w:color="000000" w:sz="4" w:space="0"/>
            </w:tcBorders>
            <w:shd w:val="clear" w:color="auto" w:fill="auto"/>
            <w:vAlign w:val="center"/>
          </w:tcPr>
          <w:p w14:paraId="1130DC01">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14:ligatures w14:val="standardContextual"/>
              </w:rPr>
              <w:t>送货机器人</w:t>
            </w:r>
          </w:p>
        </w:tc>
        <w:tc>
          <w:tcPr>
            <w:tcW w:w="5354" w:type="dxa"/>
            <w:tcBorders>
              <w:top w:val="single" w:color="auto" w:sz="4" w:space="0"/>
              <w:left w:val="single" w:color="000000" w:sz="4" w:space="0"/>
              <w:bottom w:val="single" w:color="auto" w:sz="4" w:space="0"/>
              <w:right w:val="single" w:color="000000" w:sz="4" w:space="0"/>
            </w:tcBorders>
            <w:shd w:val="clear" w:color="auto" w:fill="auto"/>
            <w:vAlign w:val="center"/>
          </w:tcPr>
          <w:p w14:paraId="1A74D846">
            <w:pPr>
              <w:widowControl/>
              <w:spacing w:line="276" w:lineRule="auto"/>
              <w:textAlignment w:val="center"/>
              <w:rPr>
                <w:rFonts w:hint="eastAsia" w:ascii="宋体" w:hAnsi="宋体" w:cs="宋体"/>
                <w:szCs w:val="21"/>
                <w:highlight w:val="none"/>
              </w:rPr>
            </w:pPr>
            <w:r>
              <w:rPr>
                <w:rFonts w:hint="eastAsia" w:ascii="宋体" w:hAnsi="宋体" w:cs="宋体"/>
                <w:szCs w:val="21"/>
                <w:highlight w:val="none"/>
              </w:rPr>
              <w:t>硬件规格：</w:t>
            </w:r>
          </w:p>
          <w:p w14:paraId="0F99BAF7">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1.尺寸：459*549*1081mm，上下2个舱室，每层的舱室容量≥45L；自主开关门，最大载重量：10kg/层。整体机身流线型设计，具有顶部触控屏，屏幕倾斜11度。</w:t>
            </w:r>
          </w:p>
          <w:p w14:paraId="17A65ECA">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2.轮系：2驱动轮+4万向轮+2辅助轮;旋转半径：≤252.5mm;最小离地间隙:≥25mm</w:t>
            </w:r>
          </w:p>
          <w:p w14:paraId="648F22AE">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3.运动系统：最大速度不小于1.2m/s，可配置默认速度;最大越坎：≥8mm;最大爬坡：≥5°;最大越沟：≥20mm;最小通过距离：≤70cm;一次性建图面积：≥10000平方米;最大运行面积：≥60000平方米</w:t>
            </w:r>
          </w:p>
          <w:p w14:paraId="623248FF">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4.电池容量：≥35Ah;续航能力：≥6小时，支持自主回冲;充电时间：≤8小时;定位精度：士50mm。</w:t>
            </w:r>
          </w:p>
          <w:p w14:paraId="3E274C08">
            <w:pPr>
              <w:widowControl/>
              <w:spacing w:line="276" w:lineRule="auto"/>
              <w:textAlignment w:val="center"/>
              <w:rPr>
                <w:rFonts w:hint="eastAsia" w:ascii="宋体" w:hAnsi="宋体" w:cs="宋体"/>
                <w:szCs w:val="21"/>
                <w:highlight w:val="none"/>
              </w:rPr>
            </w:pPr>
          </w:p>
          <w:p w14:paraId="049CB03E">
            <w:pPr>
              <w:widowControl/>
              <w:spacing w:line="276" w:lineRule="auto"/>
              <w:textAlignment w:val="center"/>
              <w:rPr>
                <w:rFonts w:hint="eastAsia" w:ascii="宋体" w:hAnsi="宋体" w:cs="宋体"/>
                <w:szCs w:val="21"/>
                <w:highlight w:val="none"/>
              </w:rPr>
            </w:pPr>
            <w:r>
              <w:rPr>
                <w:rFonts w:hint="eastAsia" w:ascii="宋体" w:hAnsi="宋体" w:cs="宋体"/>
                <w:szCs w:val="21"/>
                <w:highlight w:val="none"/>
              </w:rPr>
              <w:t>软件系统：</w:t>
            </w:r>
          </w:p>
          <w:p w14:paraId="0A21EC21">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1.安卓系统；</w:t>
            </w:r>
          </w:p>
          <w:p w14:paraId="526C6AE7">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2.支持自动送物：传感器精准定位将物品送到指定位置；自动充电：合理定时自动回到充电点充电</w:t>
            </w:r>
          </w:p>
          <w:p w14:paraId="244E139C">
            <w:pPr>
              <w:widowControl/>
              <w:spacing w:line="276" w:lineRule="auto"/>
              <w:ind w:left="210" w:leftChars="100"/>
              <w:textAlignment w:val="center"/>
              <w:rPr>
                <w:rFonts w:hint="eastAsia" w:ascii="宋体" w:hAnsi="宋体" w:cs="宋体"/>
                <w:szCs w:val="21"/>
                <w:highlight w:val="none"/>
              </w:rPr>
            </w:pPr>
            <w:r>
              <w:rPr>
                <w:rFonts w:hint="eastAsia" w:ascii="宋体" w:hAnsi="宋体" w:cs="宋体"/>
                <w:szCs w:val="21"/>
                <w:highlight w:val="none"/>
              </w:rPr>
              <w:t>3.支持智能导航：深度摄像头避障、声呐避障、雷达避障、物理碰撞避障等技术实现室内高精准导航，自主避障，稳定自由移动。</w:t>
            </w:r>
          </w:p>
          <w:p w14:paraId="62530C87">
            <w:pPr>
              <w:widowControl/>
              <w:textAlignment w:val="center"/>
              <w:rPr>
                <w:rFonts w:hint="eastAsia" w:ascii="宋体" w:hAnsi="宋体" w:cs="宋体"/>
                <w:szCs w:val="21"/>
                <w:highlight w:val="none"/>
              </w:rPr>
            </w:pPr>
            <w:r>
              <w:rPr>
                <w:rFonts w:hint="eastAsia" w:ascii="宋体" w:hAnsi="宋体" w:cs="宋体"/>
                <w:szCs w:val="21"/>
                <w:highlight w:val="none"/>
              </w:rPr>
              <w:t>4.支持领位带路：可根据顾客需求，自定义导航到指定地点，包括餐桌号、配料点、饮水机、洗手间等</w:t>
            </w:r>
          </w:p>
        </w:tc>
        <w:tc>
          <w:tcPr>
            <w:tcW w:w="8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14947A">
            <w:pPr>
              <w:widowControl/>
              <w:jc w:val="center"/>
              <w:textAlignment w:val="center"/>
              <w:rPr>
                <w:rFonts w:hint="eastAsia" w:ascii="宋体" w:hAnsi="宋体" w:cs="宋体"/>
                <w:szCs w:val="21"/>
                <w:highlight w:val="none"/>
              </w:rPr>
            </w:pPr>
            <w:r>
              <w:rPr>
                <w:rFonts w:hint="eastAsia" w:ascii="宋体" w:hAnsi="宋体" w:cs="宋体"/>
                <w:szCs w:val="21"/>
                <w:highlight w:val="none"/>
              </w:rPr>
              <w:t>台</w:t>
            </w:r>
          </w:p>
        </w:tc>
        <w:tc>
          <w:tcPr>
            <w:tcW w:w="7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90C258">
            <w:pPr>
              <w:widowControl/>
              <w:jc w:val="center"/>
              <w:textAlignment w:val="center"/>
              <w:rPr>
                <w:rFonts w:hint="eastAsia" w:ascii="宋体" w:hAnsi="宋体" w:cs="宋体"/>
                <w:szCs w:val="21"/>
                <w:highlight w:val="none"/>
              </w:rPr>
            </w:pPr>
            <w:r>
              <w:rPr>
                <w:rFonts w:hint="eastAsia" w:ascii="宋体" w:hAnsi="宋体" w:cs="宋体"/>
                <w:szCs w:val="21"/>
                <w:highlight w:val="none"/>
              </w:rPr>
              <w:t>1</w:t>
            </w:r>
          </w:p>
        </w:tc>
      </w:tr>
      <w:tr w14:paraId="1214D487">
        <w:tblPrEx>
          <w:tblCellMar>
            <w:top w:w="0" w:type="dxa"/>
            <w:left w:w="108" w:type="dxa"/>
            <w:bottom w:w="0" w:type="dxa"/>
            <w:right w:w="108" w:type="dxa"/>
          </w:tblCellMar>
        </w:tblPrEx>
        <w:trPr>
          <w:trHeight w:val="441" w:hRule="atLeast"/>
        </w:trPr>
        <w:tc>
          <w:tcPr>
            <w:tcW w:w="7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2A2D054">
            <w:pPr>
              <w:widowControl/>
              <w:jc w:val="center"/>
              <w:textAlignment w:val="center"/>
              <w:rPr>
                <w:rFonts w:hint="eastAsia" w:ascii="宋体" w:hAnsi="宋体" w:cs="宋体"/>
                <w:szCs w:val="21"/>
                <w:highlight w:val="none"/>
              </w:rPr>
            </w:pPr>
            <w:r>
              <w:rPr>
                <w:rFonts w:hint="eastAsia" w:ascii="宋体" w:hAnsi="宋体" w:cs="宋体"/>
                <w:szCs w:val="21"/>
                <w:highlight w:val="none"/>
              </w:rPr>
              <w:t>4</w:t>
            </w:r>
          </w:p>
        </w:tc>
        <w:tc>
          <w:tcPr>
            <w:tcW w:w="1265" w:type="dxa"/>
            <w:tcBorders>
              <w:top w:val="single" w:color="auto" w:sz="4" w:space="0"/>
              <w:left w:val="single" w:color="000000" w:sz="4" w:space="0"/>
              <w:bottom w:val="single" w:color="auto" w:sz="4" w:space="0"/>
              <w:right w:val="single" w:color="000000" w:sz="4" w:space="0"/>
            </w:tcBorders>
            <w:shd w:val="clear" w:color="auto" w:fill="auto"/>
            <w:vAlign w:val="center"/>
          </w:tcPr>
          <w:p w14:paraId="4B1F017A">
            <w:pPr>
              <w:widowControl/>
              <w:jc w:val="center"/>
              <w:textAlignment w:val="center"/>
              <w:rPr>
                <w:rFonts w:hint="eastAsia" w:ascii="宋体" w:hAnsi="宋体" w:cs="宋体"/>
                <w:szCs w:val="21"/>
                <w:highlight w:val="none"/>
              </w:rPr>
            </w:pPr>
            <w:r>
              <w:rPr>
                <w:rFonts w:hint="eastAsia" w:ascii="宋体" w:hAnsi="宋体" w:cs="宋体"/>
                <w:szCs w:val="21"/>
                <w:highlight w:val="none"/>
              </w:rPr>
              <w:t>施工安装</w:t>
            </w:r>
          </w:p>
        </w:tc>
        <w:tc>
          <w:tcPr>
            <w:tcW w:w="5354" w:type="dxa"/>
            <w:tcBorders>
              <w:top w:val="single" w:color="auto" w:sz="4" w:space="0"/>
              <w:left w:val="single" w:color="000000" w:sz="4" w:space="0"/>
              <w:bottom w:val="single" w:color="auto" w:sz="4" w:space="0"/>
              <w:right w:val="single" w:color="000000" w:sz="4" w:space="0"/>
            </w:tcBorders>
            <w:shd w:val="clear" w:color="auto" w:fill="auto"/>
            <w:vAlign w:val="center"/>
          </w:tcPr>
          <w:p w14:paraId="7F8892C9">
            <w:pPr>
              <w:widowControl/>
              <w:textAlignment w:val="center"/>
              <w:rPr>
                <w:rFonts w:hint="eastAsia" w:ascii="宋体" w:hAnsi="宋体" w:cs="宋体"/>
                <w:szCs w:val="21"/>
                <w:highlight w:val="none"/>
              </w:rPr>
            </w:pPr>
            <w:r>
              <w:rPr>
                <w:rFonts w:hint="eastAsia" w:ascii="宋体" w:hAnsi="宋体" w:cs="宋体"/>
                <w:szCs w:val="21"/>
                <w:highlight w:val="none"/>
              </w:rPr>
              <w:t>含运输、安装、施工、调试</w:t>
            </w:r>
          </w:p>
        </w:tc>
        <w:tc>
          <w:tcPr>
            <w:tcW w:w="8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7437AF">
            <w:pPr>
              <w:widowControl/>
              <w:jc w:val="center"/>
              <w:textAlignment w:val="center"/>
              <w:rPr>
                <w:rFonts w:hint="eastAsia" w:ascii="宋体" w:hAnsi="宋体" w:cs="宋体"/>
                <w:szCs w:val="21"/>
                <w:highlight w:val="none"/>
              </w:rPr>
            </w:pPr>
            <w:r>
              <w:rPr>
                <w:rFonts w:hint="eastAsia" w:ascii="宋体" w:hAnsi="宋体" w:cs="宋体"/>
                <w:szCs w:val="21"/>
                <w:highlight w:val="none"/>
              </w:rPr>
              <w:t>项</w:t>
            </w:r>
          </w:p>
        </w:tc>
        <w:tc>
          <w:tcPr>
            <w:tcW w:w="7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89086B">
            <w:pPr>
              <w:widowControl/>
              <w:jc w:val="center"/>
              <w:textAlignment w:val="center"/>
              <w:rPr>
                <w:rFonts w:hint="eastAsia" w:ascii="宋体" w:hAnsi="宋体" w:cs="宋体"/>
                <w:szCs w:val="21"/>
                <w:highlight w:val="none"/>
              </w:rPr>
            </w:pPr>
            <w:r>
              <w:rPr>
                <w:rFonts w:hint="eastAsia" w:ascii="宋体" w:hAnsi="宋体" w:cs="宋体"/>
                <w:szCs w:val="21"/>
                <w:highlight w:val="none"/>
              </w:rPr>
              <w:t>1</w:t>
            </w:r>
          </w:p>
        </w:tc>
      </w:tr>
    </w:tbl>
    <w:p w14:paraId="442A08D9">
      <w:pPr>
        <w:rPr>
          <w:highlight w:val="none"/>
        </w:rPr>
      </w:pPr>
    </w:p>
    <w:p w14:paraId="1BA24374">
      <w:pPr>
        <w:adjustRightInd w:val="0"/>
        <w:snapToGrid w:val="0"/>
        <w:spacing w:line="360" w:lineRule="auto"/>
        <w:ind w:firstLine="361" w:firstLineChars="200"/>
        <w:contextualSpacing/>
        <w:rPr>
          <w:rFonts w:hint="eastAsia" w:ascii="宋体" w:hAnsi="宋体" w:cs="宋体"/>
          <w:b/>
          <w:bCs/>
          <w:color w:val="000000"/>
          <w:kern w:val="0"/>
          <w:sz w:val="18"/>
          <w:szCs w:val="18"/>
          <w:highlight w:val="none"/>
        </w:rPr>
      </w:pPr>
      <w:bookmarkStart w:id="65" w:name="_Toc397330521"/>
      <w:bookmarkStart w:id="66" w:name="_Toc29158565"/>
      <w:bookmarkStart w:id="67" w:name="_Toc263083265"/>
      <w:bookmarkStart w:id="68" w:name="_Toc97372533"/>
      <w:r>
        <w:rPr>
          <w:rFonts w:hint="eastAsia" w:ascii="宋体" w:hAnsi="宋体" w:cs="宋体"/>
          <w:b/>
          <w:bCs/>
          <w:color w:val="000000"/>
          <w:kern w:val="0"/>
          <w:sz w:val="18"/>
          <w:szCs w:val="18"/>
          <w:highlight w:val="none"/>
        </w:rPr>
        <w:t>三、本项目人员配置要求：</w:t>
      </w:r>
      <w:bookmarkEnd w:id="65"/>
    </w:p>
    <w:p w14:paraId="3B026BB8">
      <w:pPr>
        <w:adjustRightInd w:val="0"/>
        <w:snapToGrid w:val="0"/>
        <w:spacing w:line="360" w:lineRule="auto"/>
        <w:ind w:firstLine="420" w:firstLineChars="200"/>
        <w:contextualSpacing/>
        <w:rPr>
          <w:rFonts w:hint="eastAsia" w:ascii="宋体" w:hAnsi="宋体"/>
          <w:kern w:val="0"/>
          <w:szCs w:val="21"/>
          <w:highlight w:val="none"/>
        </w:rPr>
        <w:sectPr>
          <w:pgSz w:w="11907" w:h="16840"/>
          <w:pgMar w:top="1304" w:right="1588" w:bottom="1304" w:left="1588" w:header="720" w:footer="720" w:gutter="0"/>
          <w:cols w:space="720" w:num="1"/>
          <w:titlePg/>
          <w:docGrid w:linePitch="286" w:charSpace="0"/>
        </w:sectPr>
      </w:pPr>
      <w:r>
        <w:rPr>
          <w:rFonts w:hint="eastAsia" w:ascii="宋体" w:hAnsi="宋体"/>
          <w:kern w:val="0"/>
          <w:szCs w:val="21"/>
          <w:highlight w:val="none"/>
        </w:rPr>
        <w:t>投标人须为本项目配置项目负责人和技术负责人各一名。</w:t>
      </w:r>
    </w:p>
    <w:p w14:paraId="66EB3C9F">
      <w:pPr>
        <w:pStyle w:val="42"/>
        <w:spacing w:after="240"/>
        <w:rPr>
          <w:rFonts w:ascii="Times New Roman" w:hAnsi="Times New Roman"/>
          <w:kern w:val="44"/>
          <w:highlight w:val="none"/>
        </w:rPr>
      </w:pPr>
      <w:bookmarkStart w:id="69" w:name="_Toc435088080"/>
      <w:r>
        <w:rPr>
          <w:rFonts w:ascii="Times New Roman" w:hAnsi="Times New Roman"/>
          <w:kern w:val="44"/>
          <w:highlight w:val="none"/>
        </w:rPr>
        <w:t>第</w:t>
      </w:r>
      <w:r>
        <w:rPr>
          <w:rFonts w:hint="eastAsia" w:ascii="Times New Roman" w:hAnsi="Times New Roman"/>
          <w:kern w:val="44"/>
          <w:highlight w:val="none"/>
        </w:rPr>
        <w:t>六</w:t>
      </w:r>
      <w:r>
        <w:rPr>
          <w:rFonts w:ascii="Times New Roman" w:hAnsi="Times New Roman"/>
          <w:kern w:val="44"/>
          <w:highlight w:val="none"/>
        </w:rPr>
        <w:t>部分 拟签订的合同</w:t>
      </w:r>
      <w:bookmarkEnd w:id="66"/>
      <w:bookmarkEnd w:id="67"/>
      <w:bookmarkEnd w:id="68"/>
      <w:bookmarkEnd w:id="69"/>
    </w:p>
    <w:p w14:paraId="6981843D">
      <w:pPr>
        <w:pStyle w:val="24"/>
        <w:snapToGrid w:val="0"/>
        <w:ind w:firstLine="420" w:firstLineChars="200"/>
        <w:rPr>
          <w:rFonts w:hint="eastAsia" w:hAnsi="宋体"/>
          <w:sz w:val="21"/>
          <w:szCs w:val="21"/>
          <w:highlight w:val="none"/>
        </w:rPr>
      </w:pPr>
      <w:bookmarkStart w:id="70" w:name="_Toc435088081"/>
      <w:r>
        <w:rPr>
          <w:rFonts w:hAnsi="宋体"/>
          <w:sz w:val="21"/>
          <w:szCs w:val="21"/>
          <w:highlight w:val="none"/>
        </w:rPr>
        <w:t>项目名称：                                       项目编号：</w:t>
      </w:r>
    </w:p>
    <w:p w14:paraId="28BB0841">
      <w:pPr>
        <w:pStyle w:val="24"/>
        <w:snapToGrid w:val="0"/>
        <w:ind w:firstLine="420" w:firstLineChars="200"/>
        <w:rPr>
          <w:rFonts w:hint="eastAsia" w:hAnsi="宋体"/>
          <w:sz w:val="21"/>
          <w:szCs w:val="21"/>
          <w:highlight w:val="none"/>
        </w:rPr>
      </w:pPr>
      <w:r>
        <w:rPr>
          <w:rFonts w:hAnsi="宋体"/>
          <w:sz w:val="21"/>
          <w:szCs w:val="21"/>
          <w:highlight w:val="none"/>
        </w:rPr>
        <w:t>甲方：（</w:t>
      </w:r>
      <w:r>
        <w:rPr>
          <w:rFonts w:hint="eastAsia" w:hAnsi="宋体"/>
          <w:sz w:val="21"/>
          <w:szCs w:val="21"/>
          <w:highlight w:val="none"/>
        </w:rPr>
        <w:t>采购人</w:t>
      </w:r>
      <w:r>
        <w:rPr>
          <w:rFonts w:hAnsi="宋体"/>
          <w:sz w:val="21"/>
          <w:szCs w:val="21"/>
          <w:highlight w:val="none"/>
        </w:rPr>
        <w:t>）</w:t>
      </w:r>
    </w:p>
    <w:p w14:paraId="2A387544">
      <w:pPr>
        <w:pStyle w:val="24"/>
        <w:snapToGrid w:val="0"/>
        <w:ind w:firstLine="420" w:firstLineChars="200"/>
        <w:rPr>
          <w:rFonts w:hint="eastAsia" w:hAnsi="宋体"/>
          <w:sz w:val="21"/>
          <w:szCs w:val="21"/>
          <w:highlight w:val="none"/>
        </w:rPr>
      </w:pPr>
      <w:r>
        <w:rPr>
          <w:rFonts w:hAnsi="宋体"/>
          <w:sz w:val="21"/>
          <w:szCs w:val="21"/>
          <w:highlight w:val="none"/>
        </w:rPr>
        <w:t>乙方：（卖方）</w:t>
      </w:r>
    </w:p>
    <w:p w14:paraId="52F76866">
      <w:pPr>
        <w:pStyle w:val="24"/>
        <w:snapToGrid w:val="0"/>
        <w:ind w:firstLine="420" w:firstLineChars="200"/>
        <w:rPr>
          <w:rFonts w:hint="eastAsia" w:hAnsi="宋体"/>
          <w:sz w:val="21"/>
          <w:szCs w:val="21"/>
          <w:highlight w:val="none"/>
        </w:rPr>
      </w:pPr>
      <w:r>
        <w:rPr>
          <w:rFonts w:hAnsi="宋体"/>
          <w:sz w:val="21"/>
          <w:szCs w:val="21"/>
          <w:highlight w:val="none"/>
        </w:rPr>
        <w:t>甲、乙</w:t>
      </w:r>
      <w:r>
        <w:rPr>
          <w:rFonts w:hint="eastAsia" w:hAnsi="宋体"/>
          <w:sz w:val="21"/>
          <w:szCs w:val="21"/>
          <w:highlight w:val="none"/>
        </w:rPr>
        <w:t>双</w:t>
      </w:r>
      <w:r>
        <w:rPr>
          <w:rFonts w:hAnsi="宋体"/>
          <w:sz w:val="21"/>
          <w:szCs w:val="21"/>
          <w:highlight w:val="none"/>
        </w:rPr>
        <w:t>方根据招标的结果，签署本合同。</w:t>
      </w:r>
    </w:p>
    <w:p w14:paraId="786D01D2">
      <w:pPr>
        <w:pStyle w:val="24"/>
        <w:snapToGrid w:val="0"/>
        <w:ind w:firstLine="422" w:firstLineChars="200"/>
        <w:rPr>
          <w:rFonts w:hint="eastAsia" w:hAnsi="宋体"/>
          <w:b/>
          <w:sz w:val="21"/>
          <w:szCs w:val="21"/>
          <w:highlight w:val="none"/>
        </w:rPr>
      </w:pPr>
      <w:r>
        <w:rPr>
          <w:rFonts w:hAnsi="宋体"/>
          <w:b/>
          <w:sz w:val="21"/>
          <w:szCs w:val="21"/>
          <w:highlight w:val="none"/>
        </w:rPr>
        <w:t>一、货物内容</w:t>
      </w:r>
    </w:p>
    <w:p w14:paraId="08EBBD4B">
      <w:pPr>
        <w:pStyle w:val="24"/>
        <w:snapToGrid w:val="0"/>
        <w:ind w:firstLine="420" w:firstLineChars="200"/>
        <w:rPr>
          <w:rFonts w:hint="eastAsia" w:hAnsi="宋体"/>
          <w:sz w:val="21"/>
          <w:szCs w:val="21"/>
          <w:highlight w:val="none"/>
        </w:rPr>
      </w:pPr>
      <w:r>
        <w:rPr>
          <w:rFonts w:hAnsi="宋体"/>
          <w:sz w:val="21"/>
          <w:szCs w:val="21"/>
          <w:highlight w:val="none"/>
        </w:rPr>
        <w:t>1.货物名称：</w:t>
      </w:r>
    </w:p>
    <w:p w14:paraId="56C99E37">
      <w:pPr>
        <w:pStyle w:val="24"/>
        <w:snapToGrid w:val="0"/>
        <w:ind w:firstLine="420" w:firstLineChars="200"/>
        <w:rPr>
          <w:rFonts w:hint="eastAsia" w:hAnsi="宋体"/>
          <w:sz w:val="21"/>
          <w:szCs w:val="21"/>
          <w:highlight w:val="none"/>
        </w:rPr>
      </w:pPr>
      <w:r>
        <w:rPr>
          <w:rFonts w:hint="eastAsia" w:hAnsi="宋体"/>
          <w:sz w:val="21"/>
          <w:szCs w:val="21"/>
          <w:highlight w:val="none"/>
        </w:rPr>
        <w:t>2</w:t>
      </w:r>
      <w:r>
        <w:rPr>
          <w:rFonts w:hAnsi="宋体"/>
          <w:sz w:val="21"/>
          <w:szCs w:val="21"/>
          <w:highlight w:val="none"/>
        </w:rPr>
        <w:t>.型号规格：</w:t>
      </w:r>
    </w:p>
    <w:p w14:paraId="0FC7981F">
      <w:pPr>
        <w:pStyle w:val="24"/>
        <w:snapToGrid w:val="0"/>
        <w:ind w:firstLine="420" w:firstLineChars="200"/>
        <w:rPr>
          <w:rFonts w:hint="eastAsia" w:hAnsi="宋体"/>
          <w:sz w:val="21"/>
          <w:szCs w:val="21"/>
          <w:highlight w:val="none"/>
        </w:rPr>
      </w:pPr>
      <w:r>
        <w:rPr>
          <w:rFonts w:hint="eastAsia" w:hAnsi="宋体"/>
          <w:sz w:val="21"/>
          <w:szCs w:val="21"/>
          <w:highlight w:val="none"/>
        </w:rPr>
        <w:t>3</w:t>
      </w:r>
      <w:r>
        <w:rPr>
          <w:rFonts w:hAnsi="宋体"/>
          <w:sz w:val="21"/>
          <w:szCs w:val="21"/>
          <w:highlight w:val="none"/>
        </w:rPr>
        <w:t>.技术参数：</w:t>
      </w:r>
    </w:p>
    <w:p w14:paraId="7723A591">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数量（单位）：</w:t>
      </w:r>
    </w:p>
    <w:p w14:paraId="2D939061">
      <w:pPr>
        <w:pStyle w:val="24"/>
        <w:snapToGrid w:val="0"/>
        <w:ind w:firstLine="422" w:firstLineChars="200"/>
        <w:rPr>
          <w:rFonts w:hint="eastAsia" w:hAnsi="宋体"/>
          <w:b/>
          <w:sz w:val="21"/>
          <w:szCs w:val="21"/>
          <w:highlight w:val="none"/>
        </w:rPr>
      </w:pPr>
      <w:r>
        <w:rPr>
          <w:rFonts w:hAnsi="宋体"/>
          <w:b/>
          <w:sz w:val="21"/>
          <w:szCs w:val="21"/>
          <w:highlight w:val="none"/>
        </w:rPr>
        <w:t>二、合同金额</w:t>
      </w:r>
    </w:p>
    <w:p w14:paraId="1116B7E0">
      <w:pPr>
        <w:pStyle w:val="24"/>
        <w:snapToGrid w:val="0"/>
        <w:ind w:firstLine="420" w:firstLineChars="200"/>
        <w:rPr>
          <w:rFonts w:hint="eastAsia" w:hAnsi="宋体"/>
          <w:sz w:val="21"/>
          <w:szCs w:val="21"/>
          <w:highlight w:val="none"/>
        </w:rPr>
      </w:pPr>
      <w:r>
        <w:rPr>
          <w:rFonts w:hAnsi="宋体"/>
          <w:sz w:val="21"/>
          <w:szCs w:val="21"/>
          <w:highlight w:val="none"/>
        </w:rPr>
        <w:t>本合同金额为（大写）：___________________________元（￥_______________元）人民币。</w:t>
      </w:r>
    </w:p>
    <w:p w14:paraId="2F98CFA9">
      <w:pPr>
        <w:pStyle w:val="24"/>
        <w:snapToGrid w:val="0"/>
        <w:ind w:firstLine="422" w:firstLineChars="200"/>
        <w:rPr>
          <w:rFonts w:hint="eastAsia" w:hAnsi="宋体"/>
          <w:b/>
          <w:sz w:val="21"/>
          <w:szCs w:val="21"/>
          <w:highlight w:val="none"/>
        </w:rPr>
      </w:pPr>
      <w:r>
        <w:rPr>
          <w:rFonts w:hAnsi="宋体"/>
          <w:b/>
          <w:sz w:val="21"/>
          <w:szCs w:val="21"/>
          <w:highlight w:val="none"/>
        </w:rPr>
        <w:t>三、技术资料</w:t>
      </w:r>
    </w:p>
    <w:p w14:paraId="14636495">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乙方应按招标文件规定的时间向甲方提供使用货物的有关技术资料。</w:t>
      </w:r>
    </w:p>
    <w:p w14:paraId="441667F8">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9F65A5">
      <w:pPr>
        <w:pStyle w:val="24"/>
        <w:snapToGrid w:val="0"/>
        <w:ind w:firstLine="422" w:firstLineChars="200"/>
        <w:rPr>
          <w:rFonts w:hint="eastAsia" w:hAnsi="宋体"/>
          <w:b/>
          <w:sz w:val="21"/>
          <w:szCs w:val="21"/>
          <w:highlight w:val="none"/>
        </w:rPr>
      </w:pPr>
      <w:r>
        <w:rPr>
          <w:rFonts w:hAnsi="宋体"/>
          <w:b/>
          <w:sz w:val="21"/>
          <w:szCs w:val="21"/>
          <w:highlight w:val="none"/>
        </w:rPr>
        <w:t>四、知识产权</w:t>
      </w:r>
    </w:p>
    <w:p w14:paraId="400B2888">
      <w:pPr>
        <w:pStyle w:val="24"/>
        <w:snapToGrid w:val="0"/>
        <w:ind w:firstLine="420" w:firstLineChars="200"/>
        <w:rPr>
          <w:rFonts w:hint="eastAsia" w:hAnsi="宋体"/>
          <w:bCs/>
          <w:sz w:val="21"/>
          <w:szCs w:val="21"/>
          <w:highlight w:val="none"/>
        </w:rPr>
      </w:pPr>
      <w:r>
        <w:rPr>
          <w:rFonts w:hAnsi="宋体"/>
          <w:sz w:val="21"/>
          <w:szCs w:val="21"/>
          <w:highlight w:val="none"/>
        </w:rPr>
        <w:t>乙方应保证所提供的货物或其任何一部分均不会侵犯任何第三方的知识产权</w:t>
      </w:r>
      <w:r>
        <w:rPr>
          <w:rFonts w:hAnsi="宋体"/>
          <w:bCs/>
          <w:sz w:val="21"/>
          <w:szCs w:val="21"/>
          <w:highlight w:val="none"/>
        </w:rPr>
        <w:t>。</w:t>
      </w:r>
    </w:p>
    <w:p w14:paraId="071ECF16">
      <w:pPr>
        <w:pStyle w:val="24"/>
        <w:snapToGrid w:val="0"/>
        <w:ind w:firstLine="422" w:firstLineChars="200"/>
        <w:rPr>
          <w:rFonts w:hint="eastAsia" w:hAnsi="宋体"/>
          <w:sz w:val="21"/>
          <w:szCs w:val="21"/>
          <w:highlight w:val="none"/>
          <w:u w:val="single"/>
        </w:rPr>
      </w:pPr>
      <w:r>
        <w:rPr>
          <w:rFonts w:hAnsi="宋体"/>
          <w:b/>
          <w:sz w:val="21"/>
          <w:szCs w:val="21"/>
          <w:highlight w:val="none"/>
        </w:rPr>
        <w:t>五、产权担保</w:t>
      </w:r>
    </w:p>
    <w:p w14:paraId="43FB4520">
      <w:pPr>
        <w:pStyle w:val="24"/>
        <w:snapToGrid w:val="0"/>
        <w:ind w:firstLine="420" w:firstLineChars="200"/>
        <w:rPr>
          <w:rFonts w:hint="eastAsia" w:hAnsi="宋体"/>
          <w:sz w:val="21"/>
          <w:szCs w:val="21"/>
          <w:highlight w:val="none"/>
          <w:u w:val="single"/>
        </w:rPr>
      </w:pPr>
      <w:r>
        <w:rPr>
          <w:rFonts w:hAnsi="宋体"/>
          <w:sz w:val="21"/>
          <w:szCs w:val="21"/>
          <w:highlight w:val="none"/>
        </w:rPr>
        <w:t>乙方保证所交付的货物的所有权完全属于乙方且无任何抵押、查封等产权瑕疵。</w:t>
      </w:r>
    </w:p>
    <w:p w14:paraId="1997B711">
      <w:pPr>
        <w:pStyle w:val="24"/>
        <w:snapToGrid w:val="0"/>
        <w:ind w:firstLine="420" w:firstLineChars="199"/>
        <w:rPr>
          <w:rFonts w:hint="eastAsia" w:hAnsi="宋体"/>
          <w:b/>
          <w:sz w:val="21"/>
          <w:szCs w:val="21"/>
          <w:highlight w:val="none"/>
        </w:rPr>
      </w:pPr>
      <w:r>
        <w:rPr>
          <w:rFonts w:hAnsi="宋体"/>
          <w:b/>
          <w:sz w:val="21"/>
          <w:szCs w:val="21"/>
          <w:highlight w:val="none"/>
        </w:rPr>
        <w:t>六、</w:t>
      </w:r>
      <w:r>
        <w:rPr>
          <w:rFonts w:hint="eastAsia" w:hAnsi="宋体"/>
          <w:b/>
          <w:sz w:val="21"/>
          <w:szCs w:val="21"/>
          <w:highlight w:val="none"/>
        </w:rPr>
        <w:t>转包或分包</w:t>
      </w:r>
    </w:p>
    <w:p w14:paraId="6C56C3DE">
      <w:pPr>
        <w:snapToGrid w:val="0"/>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.本合同范围的货物，应由</w:t>
      </w:r>
      <w:r>
        <w:rPr>
          <w:rFonts w:ascii="宋体" w:hAnsi="宋体"/>
          <w:szCs w:val="21"/>
          <w:highlight w:val="none"/>
        </w:rPr>
        <w:t>乙</w:t>
      </w:r>
      <w:r>
        <w:rPr>
          <w:rFonts w:hint="eastAsia" w:ascii="宋体" w:hAnsi="宋体"/>
          <w:szCs w:val="21"/>
          <w:highlight w:val="none"/>
        </w:rPr>
        <w:t>方直接供应，不得转让他人供应；</w:t>
      </w:r>
    </w:p>
    <w:p w14:paraId="57A4FA6E">
      <w:pPr>
        <w:snapToGrid w:val="0"/>
        <w:spacing w:line="400" w:lineRule="exact"/>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.除非得到</w:t>
      </w:r>
      <w:r>
        <w:rPr>
          <w:rFonts w:ascii="宋体" w:hAnsi="宋体"/>
          <w:szCs w:val="21"/>
          <w:highlight w:val="none"/>
        </w:rPr>
        <w:t>甲</w:t>
      </w:r>
      <w:r>
        <w:rPr>
          <w:rFonts w:hint="eastAsia" w:ascii="宋体" w:hAnsi="宋体"/>
          <w:szCs w:val="21"/>
          <w:highlight w:val="none"/>
        </w:rPr>
        <w:t>方的书面同意，</w:t>
      </w:r>
      <w:r>
        <w:rPr>
          <w:rFonts w:ascii="宋体" w:hAnsi="宋体"/>
          <w:szCs w:val="21"/>
          <w:highlight w:val="none"/>
        </w:rPr>
        <w:t>乙</w:t>
      </w:r>
      <w:r>
        <w:rPr>
          <w:rFonts w:hint="eastAsia" w:ascii="宋体" w:hAnsi="宋体"/>
          <w:szCs w:val="21"/>
          <w:highlight w:val="none"/>
        </w:rPr>
        <w:t>方不得将本合同范围的货物全部或部分分包给他人供应；</w:t>
      </w:r>
    </w:p>
    <w:p w14:paraId="6F28459E">
      <w:pPr>
        <w:snapToGrid w:val="0"/>
        <w:spacing w:line="400" w:lineRule="exact"/>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.如有转让和未经</w:t>
      </w:r>
      <w:r>
        <w:rPr>
          <w:rFonts w:ascii="宋体" w:hAnsi="宋体"/>
          <w:szCs w:val="21"/>
          <w:highlight w:val="none"/>
        </w:rPr>
        <w:t>甲</w:t>
      </w:r>
      <w:r>
        <w:rPr>
          <w:rFonts w:hint="eastAsia" w:ascii="宋体" w:hAnsi="宋体"/>
          <w:szCs w:val="21"/>
          <w:highlight w:val="none"/>
        </w:rPr>
        <w:t>方同意的分包行为，</w:t>
      </w:r>
      <w:r>
        <w:rPr>
          <w:rFonts w:ascii="宋体" w:hAnsi="宋体"/>
          <w:szCs w:val="21"/>
          <w:highlight w:val="none"/>
        </w:rPr>
        <w:t>甲</w:t>
      </w:r>
      <w:r>
        <w:rPr>
          <w:rFonts w:hint="eastAsia" w:ascii="宋体" w:hAnsi="宋体"/>
          <w:szCs w:val="21"/>
          <w:highlight w:val="none"/>
        </w:rPr>
        <w:t>方有权解除合同，没收履约保证金（维修保证金）并追究乙方的违约责任。</w:t>
      </w:r>
    </w:p>
    <w:p w14:paraId="7703C1AB">
      <w:pPr>
        <w:pStyle w:val="24"/>
        <w:snapToGrid w:val="0"/>
        <w:ind w:firstLine="422" w:firstLineChars="200"/>
        <w:rPr>
          <w:rFonts w:hint="eastAsia" w:hAnsi="宋体"/>
          <w:sz w:val="21"/>
          <w:szCs w:val="21"/>
          <w:highlight w:val="none"/>
        </w:rPr>
      </w:pPr>
      <w:r>
        <w:rPr>
          <w:rFonts w:hAnsi="宋体"/>
          <w:b/>
          <w:sz w:val="21"/>
          <w:szCs w:val="21"/>
          <w:highlight w:val="none"/>
        </w:rPr>
        <w:t>七、质保期</w:t>
      </w:r>
    </w:p>
    <w:p w14:paraId="6629C650">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 xml:space="preserve"> 质保期</w:t>
      </w:r>
      <w:r>
        <w:rPr>
          <w:rFonts w:hint="eastAsia" w:hAnsi="宋体"/>
          <w:sz w:val="21"/>
          <w:szCs w:val="21"/>
          <w:highlight w:val="none"/>
          <w:u w:val="single"/>
        </w:rPr>
        <w:t xml:space="preserve">   </w:t>
      </w:r>
      <w:r>
        <w:rPr>
          <w:rFonts w:hAnsi="宋体"/>
          <w:sz w:val="21"/>
          <w:szCs w:val="21"/>
          <w:highlight w:val="none"/>
        </w:rPr>
        <w:t>年。（自交货验收合格之日起计）</w:t>
      </w:r>
    </w:p>
    <w:p w14:paraId="6BA9DB61">
      <w:pPr>
        <w:pStyle w:val="24"/>
        <w:snapToGrid w:val="0"/>
        <w:ind w:firstLine="422" w:firstLineChars="200"/>
        <w:rPr>
          <w:rFonts w:hint="eastAsia" w:hAnsi="宋体"/>
          <w:b/>
          <w:sz w:val="21"/>
          <w:szCs w:val="21"/>
          <w:highlight w:val="none"/>
        </w:rPr>
      </w:pPr>
      <w:r>
        <w:rPr>
          <w:rFonts w:hAnsi="宋体"/>
          <w:b/>
          <w:sz w:val="21"/>
          <w:szCs w:val="21"/>
          <w:highlight w:val="none"/>
        </w:rPr>
        <w:t>八、交货期、交货方式及交货地点</w:t>
      </w:r>
    </w:p>
    <w:p w14:paraId="6E51FCCA">
      <w:pPr>
        <w:pStyle w:val="24"/>
        <w:snapToGrid w:val="0"/>
        <w:ind w:firstLine="420" w:firstLineChars="200"/>
        <w:rPr>
          <w:rFonts w:hint="eastAsia" w:hAnsi="宋体"/>
          <w:bCs/>
          <w:sz w:val="21"/>
          <w:szCs w:val="21"/>
          <w:highlight w:val="none"/>
        </w:rPr>
      </w:pPr>
      <w:r>
        <w:rPr>
          <w:rFonts w:hAnsi="宋体"/>
          <w:bCs/>
          <w:sz w:val="21"/>
          <w:szCs w:val="21"/>
          <w:highlight w:val="none"/>
        </w:rPr>
        <w:t>1</w:t>
      </w:r>
      <w:r>
        <w:rPr>
          <w:rFonts w:hint="eastAsia" w:hAnsi="宋体"/>
          <w:bCs/>
          <w:sz w:val="21"/>
          <w:szCs w:val="21"/>
          <w:highlight w:val="none"/>
        </w:rPr>
        <w:t>.</w:t>
      </w:r>
      <w:r>
        <w:rPr>
          <w:rFonts w:hAnsi="宋体"/>
          <w:bCs/>
          <w:sz w:val="21"/>
          <w:szCs w:val="21"/>
          <w:highlight w:val="none"/>
        </w:rPr>
        <w:t xml:space="preserve"> 交货期</w:t>
      </w:r>
      <w:r>
        <w:rPr>
          <w:rFonts w:hAnsi="宋体"/>
          <w:bCs/>
          <w:sz w:val="21"/>
          <w:szCs w:val="21"/>
          <w:highlight w:val="none"/>
          <w:u w:val="single"/>
        </w:rPr>
        <w:t>：</w:t>
      </w:r>
    </w:p>
    <w:p w14:paraId="5A5BC898">
      <w:pPr>
        <w:pStyle w:val="24"/>
        <w:snapToGrid w:val="0"/>
        <w:ind w:firstLine="420" w:firstLineChars="200"/>
        <w:rPr>
          <w:rFonts w:hint="eastAsia" w:hAnsi="宋体"/>
          <w:bCs/>
          <w:sz w:val="21"/>
          <w:szCs w:val="21"/>
          <w:highlight w:val="none"/>
          <w:u w:val="single"/>
        </w:rPr>
      </w:pPr>
      <w:r>
        <w:rPr>
          <w:rFonts w:hAnsi="宋体"/>
          <w:bCs/>
          <w:sz w:val="21"/>
          <w:szCs w:val="21"/>
          <w:highlight w:val="none"/>
        </w:rPr>
        <w:t>2</w:t>
      </w:r>
      <w:r>
        <w:rPr>
          <w:rFonts w:hint="eastAsia" w:hAnsi="宋体"/>
          <w:bCs/>
          <w:sz w:val="21"/>
          <w:szCs w:val="21"/>
          <w:highlight w:val="none"/>
        </w:rPr>
        <w:t>.</w:t>
      </w:r>
      <w:r>
        <w:rPr>
          <w:rFonts w:hAnsi="宋体"/>
          <w:bCs/>
          <w:sz w:val="21"/>
          <w:szCs w:val="21"/>
          <w:highlight w:val="none"/>
        </w:rPr>
        <w:t xml:space="preserve"> 交货方式</w:t>
      </w:r>
      <w:r>
        <w:rPr>
          <w:rFonts w:hAnsi="宋体"/>
          <w:bCs/>
          <w:sz w:val="21"/>
          <w:szCs w:val="21"/>
          <w:highlight w:val="none"/>
          <w:u w:val="single"/>
        </w:rPr>
        <w:t>：</w:t>
      </w:r>
    </w:p>
    <w:p w14:paraId="0E2B48C3">
      <w:pPr>
        <w:pStyle w:val="24"/>
        <w:snapToGrid w:val="0"/>
        <w:ind w:firstLine="420" w:firstLineChars="200"/>
        <w:rPr>
          <w:rFonts w:hint="eastAsia" w:hAnsi="宋体"/>
          <w:b/>
          <w:sz w:val="21"/>
          <w:szCs w:val="21"/>
          <w:highlight w:val="none"/>
        </w:rPr>
      </w:pPr>
      <w:r>
        <w:rPr>
          <w:rFonts w:hAnsi="宋体"/>
          <w:bCs/>
          <w:sz w:val="21"/>
          <w:szCs w:val="21"/>
          <w:highlight w:val="none"/>
        </w:rPr>
        <w:t>3</w:t>
      </w:r>
      <w:r>
        <w:rPr>
          <w:rFonts w:hint="eastAsia" w:hAnsi="宋体"/>
          <w:bCs/>
          <w:sz w:val="21"/>
          <w:szCs w:val="21"/>
          <w:highlight w:val="none"/>
        </w:rPr>
        <w:t>.</w:t>
      </w:r>
      <w:r>
        <w:rPr>
          <w:rFonts w:hAnsi="宋体"/>
          <w:bCs/>
          <w:sz w:val="21"/>
          <w:szCs w:val="21"/>
          <w:highlight w:val="none"/>
        </w:rPr>
        <w:t xml:space="preserve"> 交货地点</w:t>
      </w:r>
      <w:r>
        <w:rPr>
          <w:rFonts w:hAnsi="宋体"/>
          <w:bCs/>
          <w:sz w:val="21"/>
          <w:szCs w:val="21"/>
          <w:highlight w:val="none"/>
          <w:u w:val="single"/>
        </w:rPr>
        <w:t>：</w:t>
      </w:r>
    </w:p>
    <w:p w14:paraId="2D9316A4">
      <w:pPr>
        <w:pStyle w:val="24"/>
        <w:snapToGrid w:val="0"/>
        <w:ind w:firstLine="422" w:firstLineChars="200"/>
        <w:rPr>
          <w:rFonts w:hint="eastAsia" w:hAnsi="宋体"/>
          <w:b/>
          <w:sz w:val="21"/>
          <w:szCs w:val="21"/>
          <w:highlight w:val="none"/>
        </w:rPr>
      </w:pPr>
      <w:r>
        <w:rPr>
          <w:rFonts w:hAnsi="宋体"/>
          <w:b/>
          <w:sz w:val="21"/>
          <w:szCs w:val="21"/>
          <w:highlight w:val="none"/>
        </w:rPr>
        <w:t>九、货款支付</w:t>
      </w:r>
    </w:p>
    <w:p w14:paraId="7ED85516">
      <w:pPr>
        <w:pStyle w:val="24"/>
        <w:snapToGrid w:val="0"/>
        <w:ind w:firstLine="420" w:firstLineChars="200"/>
        <w:rPr>
          <w:rFonts w:hint="eastAsia" w:hAnsi="宋体"/>
          <w:bCs/>
          <w:sz w:val="21"/>
          <w:szCs w:val="21"/>
          <w:highlight w:val="none"/>
        </w:rPr>
      </w:pPr>
      <w:r>
        <w:rPr>
          <w:rFonts w:hAnsi="宋体"/>
          <w:bCs/>
          <w:sz w:val="21"/>
          <w:szCs w:val="21"/>
          <w:highlight w:val="none"/>
        </w:rPr>
        <w:t>1</w:t>
      </w:r>
      <w:r>
        <w:rPr>
          <w:rFonts w:hint="eastAsia" w:hAnsi="宋体"/>
          <w:bCs/>
          <w:sz w:val="21"/>
          <w:szCs w:val="21"/>
          <w:highlight w:val="none"/>
        </w:rPr>
        <w:t>.</w:t>
      </w:r>
      <w:r>
        <w:rPr>
          <w:rFonts w:hAnsi="宋体"/>
          <w:bCs/>
          <w:sz w:val="21"/>
          <w:szCs w:val="21"/>
          <w:highlight w:val="none"/>
        </w:rPr>
        <w:t>付款方式：</w:t>
      </w:r>
      <w:r>
        <w:rPr>
          <w:rFonts w:hint="eastAsia" w:hAnsi="宋体"/>
          <w:bCs/>
          <w:sz w:val="21"/>
          <w:szCs w:val="21"/>
          <w:highlight w:val="none"/>
        </w:rPr>
        <w:t>由甲方支付的货款，为元，支付方式为：；</w:t>
      </w:r>
    </w:p>
    <w:p w14:paraId="4C452015">
      <w:pPr>
        <w:pStyle w:val="24"/>
        <w:snapToGrid w:val="0"/>
        <w:ind w:firstLine="420" w:firstLineChars="200"/>
        <w:rPr>
          <w:rFonts w:hint="eastAsia" w:hAnsi="宋体"/>
          <w:sz w:val="21"/>
          <w:szCs w:val="21"/>
          <w:highlight w:val="none"/>
        </w:rPr>
      </w:pPr>
      <w:r>
        <w:rPr>
          <w:rFonts w:hAnsi="宋体"/>
          <w:bCs/>
          <w:sz w:val="21"/>
          <w:szCs w:val="21"/>
          <w:highlight w:val="none"/>
        </w:rPr>
        <w:t>2</w:t>
      </w:r>
      <w:r>
        <w:rPr>
          <w:rFonts w:hint="eastAsia" w:hAnsi="宋体"/>
          <w:bCs/>
          <w:sz w:val="21"/>
          <w:szCs w:val="21"/>
          <w:highlight w:val="none"/>
        </w:rPr>
        <w:t>.</w:t>
      </w:r>
      <w:r>
        <w:rPr>
          <w:rFonts w:hAnsi="宋体"/>
          <w:sz w:val="21"/>
          <w:szCs w:val="21"/>
          <w:highlight w:val="none"/>
        </w:rPr>
        <w:t>当采购数量与实际使用数量不一致时，乙</w:t>
      </w:r>
      <w:r>
        <w:rPr>
          <w:rFonts w:hint="eastAsia" w:hAnsi="宋体"/>
          <w:sz w:val="21"/>
          <w:szCs w:val="21"/>
          <w:highlight w:val="none"/>
        </w:rPr>
        <w:t>方</w:t>
      </w:r>
      <w:r>
        <w:rPr>
          <w:rFonts w:hAnsi="宋体"/>
          <w:sz w:val="21"/>
          <w:szCs w:val="21"/>
          <w:highlight w:val="none"/>
        </w:rPr>
        <w:t>应根据实际使用量供货，合同的最终结算金额按实际使用量乘以成交单价进行计算。</w:t>
      </w:r>
    </w:p>
    <w:p w14:paraId="12EC9F79">
      <w:p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十、税费</w:t>
      </w:r>
    </w:p>
    <w:p w14:paraId="1AAE904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本合同执行中相关的一切税费均由</w:t>
      </w:r>
      <w:r>
        <w:rPr>
          <w:rFonts w:ascii="宋体" w:hAnsi="宋体"/>
          <w:szCs w:val="21"/>
          <w:highlight w:val="none"/>
        </w:rPr>
        <w:t>乙</w:t>
      </w:r>
      <w:r>
        <w:rPr>
          <w:rFonts w:hint="eastAsia" w:ascii="宋体" w:hAnsi="宋体"/>
          <w:szCs w:val="21"/>
          <w:highlight w:val="none"/>
        </w:rPr>
        <w:t>方负担。</w:t>
      </w:r>
    </w:p>
    <w:p w14:paraId="35E15A18">
      <w:pPr>
        <w:pStyle w:val="24"/>
        <w:snapToGrid w:val="0"/>
        <w:ind w:firstLine="422" w:firstLineChars="200"/>
        <w:rPr>
          <w:rFonts w:hint="eastAsia" w:hAnsi="宋体"/>
          <w:sz w:val="21"/>
          <w:szCs w:val="21"/>
          <w:highlight w:val="none"/>
        </w:rPr>
      </w:pPr>
      <w:r>
        <w:rPr>
          <w:rFonts w:hAnsi="宋体"/>
          <w:b/>
          <w:sz w:val="21"/>
          <w:szCs w:val="21"/>
          <w:highlight w:val="none"/>
        </w:rPr>
        <w:t>十一、质量保证及售后服务</w:t>
      </w:r>
    </w:p>
    <w:p w14:paraId="214A18F2">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乙方应按招标文件规定的货物性能、技术要求、质量标准向甲方提供未经使用的全新产品。</w:t>
      </w:r>
    </w:p>
    <w:p w14:paraId="32ABC7AB">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乙方提供的货物在质</w:t>
      </w:r>
      <w:r>
        <w:rPr>
          <w:rFonts w:hint="eastAsia" w:hAnsi="宋体"/>
          <w:sz w:val="21"/>
          <w:szCs w:val="21"/>
          <w:highlight w:val="none"/>
        </w:rPr>
        <w:t>保</w:t>
      </w:r>
      <w:r>
        <w:rPr>
          <w:rFonts w:hAnsi="宋体"/>
          <w:sz w:val="21"/>
          <w:szCs w:val="21"/>
          <w:highlight w:val="none"/>
        </w:rPr>
        <w:t>期内因货物本身的质量问题发生故障，乙方应负责免费更换。对达不到技术要求者，根据实际情况，经双方协商，可按以下办法处理：</w:t>
      </w:r>
    </w:p>
    <w:p w14:paraId="0317B71A">
      <w:pPr>
        <w:pStyle w:val="24"/>
        <w:snapToGrid w:val="0"/>
        <w:ind w:firstLine="420" w:firstLineChars="200"/>
        <w:rPr>
          <w:rFonts w:hint="eastAsia" w:hAnsi="宋体"/>
          <w:sz w:val="21"/>
          <w:szCs w:val="21"/>
          <w:highlight w:val="none"/>
        </w:rPr>
      </w:pPr>
      <w:r>
        <w:rPr>
          <w:rFonts w:hint="eastAsia" w:hAnsi="宋体"/>
          <w:sz w:val="21"/>
          <w:szCs w:val="21"/>
          <w:highlight w:val="none"/>
        </w:rPr>
        <w:t>（1）</w:t>
      </w:r>
      <w:r>
        <w:rPr>
          <w:rFonts w:hAnsi="宋体"/>
          <w:sz w:val="21"/>
          <w:szCs w:val="21"/>
          <w:highlight w:val="none"/>
        </w:rPr>
        <w:t>更换：由乙方承担所发生的全部费用。</w:t>
      </w:r>
    </w:p>
    <w:p w14:paraId="3FD81AF7">
      <w:pPr>
        <w:pStyle w:val="24"/>
        <w:snapToGrid w:val="0"/>
        <w:ind w:firstLine="420" w:firstLineChars="200"/>
        <w:rPr>
          <w:rFonts w:hint="eastAsia" w:hAnsi="宋体"/>
          <w:sz w:val="21"/>
          <w:szCs w:val="21"/>
          <w:highlight w:val="none"/>
        </w:rPr>
      </w:pPr>
      <w:r>
        <w:rPr>
          <w:rFonts w:hint="eastAsia" w:hAnsi="宋体"/>
          <w:sz w:val="21"/>
          <w:szCs w:val="21"/>
          <w:highlight w:val="none"/>
        </w:rPr>
        <w:t>（2）</w:t>
      </w:r>
      <w:r>
        <w:rPr>
          <w:rFonts w:hAnsi="宋体"/>
          <w:sz w:val="21"/>
          <w:szCs w:val="21"/>
          <w:highlight w:val="none"/>
        </w:rPr>
        <w:t>贬值处理：由甲乙双方合议定价。</w:t>
      </w:r>
    </w:p>
    <w:p w14:paraId="608F4A40">
      <w:pPr>
        <w:pStyle w:val="24"/>
        <w:snapToGrid w:val="0"/>
        <w:ind w:firstLine="420" w:firstLineChars="200"/>
        <w:rPr>
          <w:rFonts w:hint="eastAsia" w:hAnsi="宋体"/>
          <w:sz w:val="21"/>
          <w:szCs w:val="21"/>
          <w:highlight w:val="none"/>
        </w:rPr>
      </w:pPr>
      <w:r>
        <w:rPr>
          <w:rFonts w:hint="eastAsia" w:hAnsi="宋体"/>
          <w:sz w:val="21"/>
          <w:szCs w:val="21"/>
          <w:highlight w:val="none"/>
        </w:rPr>
        <w:t>（3）</w:t>
      </w:r>
      <w:r>
        <w:rPr>
          <w:rFonts w:hAnsi="宋体"/>
          <w:sz w:val="21"/>
          <w:szCs w:val="21"/>
          <w:highlight w:val="none"/>
        </w:rPr>
        <w:t>退货处理：乙方应退还甲方支付的合同款，同时应承担该货物的直接费用（运输、保险、检验、货款利息及银行手续费等）。</w:t>
      </w:r>
    </w:p>
    <w:p w14:paraId="742065E5">
      <w:pPr>
        <w:pStyle w:val="24"/>
        <w:snapToGrid w:val="0"/>
        <w:ind w:firstLine="420" w:firstLineChars="200"/>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如在使用过程中发生质量问题，乙方在接到甲方通知后在小时内到达甲方现场。</w:t>
      </w:r>
    </w:p>
    <w:p w14:paraId="19F1EA92">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在质保期内，乙方应对货物出现的质量及安全问题负责处理解决并承担一切费用。</w:t>
      </w:r>
    </w:p>
    <w:p w14:paraId="70C09790">
      <w:pPr>
        <w:pStyle w:val="24"/>
        <w:snapToGrid w:val="0"/>
        <w:ind w:firstLine="420" w:firstLineChars="200"/>
        <w:rPr>
          <w:rFonts w:hint="eastAsia" w:hAnsi="宋体"/>
          <w:sz w:val="21"/>
          <w:szCs w:val="21"/>
          <w:highlight w:val="none"/>
        </w:rPr>
      </w:pPr>
      <w:r>
        <w:rPr>
          <w:rFonts w:hAnsi="宋体"/>
          <w:sz w:val="21"/>
          <w:szCs w:val="21"/>
          <w:highlight w:val="none"/>
        </w:rPr>
        <w:t>5</w:t>
      </w:r>
      <w:r>
        <w:rPr>
          <w:rFonts w:hint="eastAsia" w:hAnsi="宋体"/>
          <w:sz w:val="21"/>
          <w:szCs w:val="21"/>
          <w:highlight w:val="none"/>
        </w:rPr>
        <w:t>.</w:t>
      </w:r>
      <w:r>
        <w:rPr>
          <w:rFonts w:hAnsi="宋体"/>
          <w:sz w:val="21"/>
          <w:szCs w:val="21"/>
          <w:highlight w:val="none"/>
        </w:rPr>
        <w:t>上述的货物免费保修期为年，因人为因素出现的故障不在免费保修范围内。超过保修期的机器设备，终生维修，维修时只收部件成本费。</w:t>
      </w:r>
    </w:p>
    <w:p w14:paraId="278355D1">
      <w:pPr>
        <w:pStyle w:val="24"/>
        <w:snapToGrid w:val="0"/>
        <w:ind w:firstLine="422" w:firstLineChars="200"/>
        <w:rPr>
          <w:rFonts w:hint="eastAsia" w:hAnsi="宋体"/>
          <w:b/>
          <w:sz w:val="21"/>
          <w:szCs w:val="21"/>
          <w:highlight w:val="none"/>
        </w:rPr>
      </w:pPr>
      <w:r>
        <w:rPr>
          <w:rFonts w:hAnsi="宋体"/>
          <w:b/>
          <w:sz w:val="21"/>
          <w:szCs w:val="21"/>
          <w:highlight w:val="none"/>
        </w:rPr>
        <w:t>十二、调试和验收</w:t>
      </w:r>
    </w:p>
    <w:p w14:paraId="747FF8FB">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C7FAF04">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乙方交货前应对产品作出全面检查和对验收文件进行整理，并列出清单，作为甲方收货验收和使用的技术条件依据，检验的结果应随货物交甲方。</w:t>
      </w:r>
    </w:p>
    <w:p w14:paraId="796A13C7">
      <w:pPr>
        <w:pStyle w:val="24"/>
        <w:snapToGrid w:val="0"/>
        <w:ind w:firstLine="420" w:firstLineChars="200"/>
        <w:rPr>
          <w:rFonts w:hint="eastAsia" w:hAnsi="宋体"/>
          <w:sz w:val="21"/>
          <w:szCs w:val="21"/>
          <w:highlight w:val="none"/>
          <w:u w:val="single"/>
        </w:rPr>
      </w:pPr>
      <w:r>
        <w:rPr>
          <w:rFonts w:hAnsi="宋体"/>
          <w:sz w:val="21"/>
          <w:szCs w:val="21"/>
          <w:highlight w:val="none"/>
        </w:rPr>
        <w:t>3</w:t>
      </w:r>
      <w:r>
        <w:rPr>
          <w:rFonts w:hint="eastAsia" w:hAnsi="宋体"/>
          <w:sz w:val="21"/>
          <w:szCs w:val="21"/>
          <w:highlight w:val="none"/>
        </w:rPr>
        <w:t>.</w:t>
      </w:r>
      <w:r>
        <w:rPr>
          <w:rFonts w:hAnsi="宋体"/>
          <w:sz w:val="21"/>
          <w:szCs w:val="21"/>
          <w:highlight w:val="none"/>
        </w:rPr>
        <w:t>甲方对乙方提供的货物在使用前进行调试时，乙方需负责安装并培训甲方的使用操作人员，并协助甲方一起调试，直到符合技术要求，甲方才做最终验收。</w:t>
      </w:r>
    </w:p>
    <w:p w14:paraId="7585A5B6">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对技术复杂的货物，甲方应请国家认可的专业检测机构参与初步验收及最终验收，并由其出具质量检测报告。</w:t>
      </w:r>
    </w:p>
    <w:p w14:paraId="23333107">
      <w:pPr>
        <w:pStyle w:val="24"/>
        <w:snapToGrid w:val="0"/>
        <w:ind w:firstLine="420" w:firstLineChars="200"/>
        <w:rPr>
          <w:rFonts w:hint="eastAsia" w:hAnsi="宋体"/>
          <w:sz w:val="21"/>
          <w:szCs w:val="21"/>
          <w:highlight w:val="none"/>
        </w:rPr>
      </w:pPr>
      <w:r>
        <w:rPr>
          <w:rFonts w:hAnsi="宋体"/>
          <w:sz w:val="21"/>
          <w:szCs w:val="21"/>
          <w:highlight w:val="none"/>
        </w:rPr>
        <w:t>5</w:t>
      </w:r>
      <w:r>
        <w:rPr>
          <w:rFonts w:hint="eastAsia" w:hAnsi="宋体"/>
          <w:sz w:val="21"/>
          <w:szCs w:val="21"/>
          <w:highlight w:val="none"/>
        </w:rPr>
        <w:t>.</w:t>
      </w:r>
      <w:r>
        <w:rPr>
          <w:rFonts w:hAnsi="宋体"/>
          <w:sz w:val="21"/>
          <w:szCs w:val="21"/>
          <w:highlight w:val="none"/>
        </w:rPr>
        <w:t>验收时乙方必须在现场，验收完毕后作出验收结果报告；验收费用由乙方负责。</w:t>
      </w:r>
    </w:p>
    <w:p w14:paraId="7DECA165">
      <w:pPr>
        <w:pStyle w:val="24"/>
        <w:snapToGrid w:val="0"/>
        <w:ind w:firstLine="422" w:firstLineChars="200"/>
        <w:rPr>
          <w:rFonts w:hint="eastAsia" w:hAnsi="宋体"/>
          <w:b/>
          <w:sz w:val="21"/>
          <w:szCs w:val="21"/>
          <w:highlight w:val="none"/>
        </w:rPr>
      </w:pPr>
      <w:r>
        <w:rPr>
          <w:rFonts w:hAnsi="宋体"/>
          <w:b/>
          <w:sz w:val="21"/>
          <w:szCs w:val="21"/>
          <w:highlight w:val="none"/>
        </w:rPr>
        <w:t>十三、货物包装、发运及运输</w:t>
      </w:r>
    </w:p>
    <w:p w14:paraId="79F8A74F">
      <w:pPr>
        <w:pStyle w:val="24"/>
        <w:snapToGrid w:val="0"/>
        <w:ind w:firstLine="420" w:firstLineChars="200"/>
        <w:rPr>
          <w:rFonts w:hint="eastAsia" w:hAnsi="宋体"/>
          <w:sz w:val="21"/>
          <w:szCs w:val="21"/>
          <w:highlight w:val="none"/>
        </w:rPr>
      </w:pPr>
      <w:r>
        <w:rPr>
          <w:rFonts w:hint="eastAsia" w:hAnsi="宋体"/>
          <w:bCs/>
          <w:sz w:val="21"/>
          <w:szCs w:val="21"/>
          <w:highlight w:val="none"/>
        </w:rPr>
        <w:t>1.</w:t>
      </w:r>
      <w:r>
        <w:rPr>
          <w:rFonts w:hAnsi="宋体"/>
          <w:sz w:val="21"/>
          <w:szCs w:val="21"/>
          <w:highlight w:val="none"/>
        </w:rPr>
        <w:t>乙方应在货物发运前对其进行满足运输距离、防潮、防震、防锈和防破损装卸等要求包装，以保证货物安全运达甲方指定地点。</w:t>
      </w:r>
    </w:p>
    <w:p w14:paraId="53377936">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使用说明书、质量检验证明书、随配附件和工具以及清单一并附于货物内。</w:t>
      </w:r>
    </w:p>
    <w:p w14:paraId="1231DBAB">
      <w:pPr>
        <w:pStyle w:val="24"/>
        <w:snapToGrid w:val="0"/>
        <w:ind w:firstLine="420" w:firstLineChars="200"/>
        <w:rPr>
          <w:rFonts w:hint="eastAsia" w:hAnsi="宋体"/>
          <w:sz w:val="21"/>
          <w:szCs w:val="21"/>
          <w:highlight w:val="none"/>
        </w:rPr>
      </w:pPr>
      <w:r>
        <w:rPr>
          <w:rFonts w:hint="eastAsia" w:hAnsi="宋体"/>
          <w:sz w:val="21"/>
          <w:szCs w:val="21"/>
          <w:highlight w:val="none"/>
        </w:rPr>
        <w:t>3.</w:t>
      </w:r>
      <w:r>
        <w:rPr>
          <w:rFonts w:hAnsi="宋体"/>
          <w:sz w:val="21"/>
          <w:szCs w:val="21"/>
          <w:highlight w:val="none"/>
        </w:rPr>
        <w:t>乙方在货物发运手续办理完毕后24小时内或货到甲方48小时前通知甲方，以准备接货。</w:t>
      </w:r>
    </w:p>
    <w:p w14:paraId="1DC4FACD">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货物在交付甲方前发生的风险均由乙方负责。</w:t>
      </w:r>
    </w:p>
    <w:p w14:paraId="28D64F7C">
      <w:pPr>
        <w:pStyle w:val="24"/>
        <w:snapToGrid w:val="0"/>
        <w:ind w:firstLine="420" w:firstLineChars="200"/>
        <w:rPr>
          <w:rFonts w:hint="eastAsia" w:hAnsi="宋体"/>
          <w:sz w:val="21"/>
          <w:szCs w:val="21"/>
          <w:highlight w:val="none"/>
        </w:rPr>
      </w:pPr>
      <w:r>
        <w:rPr>
          <w:rFonts w:hint="eastAsia" w:hAnsi="宋体"/>
          <w:sz w:val="21"/>
          <w:szCs w:val="21"/>
          <w:highlight w:val="none"/>
        </w:rPr>
        <w:t>5.</w:t>
      </w:r>
      <w:r>
        <w:rPr>
          <w:rFonts w:hAnsi="宋体"/>
          <w:sz w:val="21"/>
          <w:szCs w:val="21"/>
          <w:highlight w:val="none"/>
        </w:rPr>
        <w:t>货物在规定的交付期限内由乙方送达甲方指定的地点视为交付，乙方同时需通知甲方货物已送达。</w:t>
      </w:r>
    </w:p>
    <w:p w14:paraId="40B406B0">
      <w:pPr>
        <w:pStyle w:val="24"/>
        <w:snapToGrid w:val="0"/>
        <w:ind w:firstLine="422" w:firstLineChars="200"/>
        <w:rPr>
          <w:rFonts w:hint="eastAsia" w:hAnsi="宋体"/>
          <w:b/>
          <w:sz w:val="21"/>
          <w:szCs w:val="21"/>
          <w:highlight w:val="none"/>
        </w:rPr>
      </w:pPr>
      <w:r>
        <w:rPr>
          <w:rFonts w:hAnsi="宋体"/>
          <w:b/>
          <w:sz w:val="21"/>
          <w:szCs w:val="21"/>
          <w:highlight w:val="none"/>
        </w:rPr>
        <w:t>十四、违约责任</w:t>
      </w:r>
    </w:p>
    <w:p w14:paraId="55716215">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甲方无正当理由拒收货物的，甲方向乙方偿付拒收货款总值的百分之五违约金。</w:t>
      </w:r>
    </w:p>
    <w:p w14:paraId="79CC98CA">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甲方无故逾期验收和办理货款支付手续的,甲方应按逾期付款总额每日万分之五向乙方支付违约金。</w:t>
      </w:r>
    </w:p>
    <w:p w14:paraId="390E836E">
      <w:pPr>
        <w:pStyle w:val="24"/>
        <w:snapToGrid w:val="0"/>
        <w:ind w:firstLine="420" w:firstLineChars="200"/>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CD4EB26">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F4E08FE">
      <w:pPr>
        <w:pStyle w:val="24"/>
        <w:snapToGrid w:val="0"/>
        <w:ind w:firstLine="420" w:firstLineChars="200"/>
        <w:rPr>
          <w:rFonts w:hint="eastAsia" w:hAnsi="宋体"/>
          <w:sz w:val="21"/>
          <w:szCs w:val="21"/>
          <w:highlight w:val="none"/>
        </w:rPr>
      </w:pPr>
      <w:r>
        <w:rPr>
          <w:rFonts w:hint="eastAsia" w:hAnsi="宋体"/>
          <w:sz w:val="21"/>
          <w:szCs w:val="21"/>
          <w:highlight w:val="none"/>
        </w:rPr>
        <w:t>5.</w:t>
      </w:r>
      <w:r>
        <w:rPr>
          <w:rFonts w:hAnsi="宋体"/>
          <w:sz w:val="21"/>
          <w:szCs w:val="21"/>
          <w:highlight w:val="none"/>
        </w:rPr>
        <w:t>乙方</w:t>
      </w:r>
      <w:r>
        <w:rPr>
          <w:rFonts w:hint="eastAsia" w:hAnsi="宋体"/>
          <w:sz w:val="21"/>
          <w:szCs w:val="21"/>
          <w:highlight w:val="none"/>
        </w:rPr>
        <w:t>如提供售后服务和维修不到位的，</w:t>
      </w:r>
      <w:r>
        <w:rPr>
          <w:rFonts w:hAnsi="宋体"/>
          <w:sz w:val="21"/>
          <w:szCs w:val="21"/>
          <w:highlight w:val="none"/>
        </w:rPr>
        <w:t>甲方</w:t>
      </w:r>
      <w:r>
        <w:rPr>
          <w:rFonts w:hint="eastAsia" w:hAnsi="宋体"/>
          <w:sz w:val="21"/>
          <w:szCs w:val="21"/>
          <w:highlight w:val="none"/>
        </w:rPr>
        <w:t>将视情节没收维修保证金，并将情况报告县采购办进行处罚。</w:t>
      </w:r>
    </w:p>
    <w:p w14:paraId="3FBBB93D">
      <w:pPr>
        <w:pStyle w:val="24"/>
        <w:snapToGrid w:val="0"/>
        <w:ind w:firstLine="422" w:firstLineChars="200"/>
        <w:rPr>
          <w:rFonts w:hint="eastAsia" w:hAnsi="宋体"/>
          <w:b/>
          <w:sz w:val="21"/>
          <w:szCs w:val="21"/>
          <w:highlight w:val="none"/>
        </w:rPr>
      </w:pPr>
      <w:r>
        <w:rPr>
          <w:rFonts w:hAnsi="宋体"/>
          <w:b/>
          <w:sz w:val="21"/>
          <w:szCs w:val="21"/>
          <w:highlight w:val="none"/>
        </w:rPr>
        <w:t>十五、不可抗力事件处理</w:t>
      </w:r>
    </w:p>
    <w:p w14:paraId="1FBE1F25">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在合同有效期内，任何一方因不可抗力事件导致不能履行合同，则合同履行期可延长，其延长期与不可抗力影响期相同。</w:t>
      </w:r>
    </w:p>
    <w:p w14:paraId="5BBD9AF1">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不可抗力事件发生后，应立即通知对方，并寄送有关权威机构出具的证明。</w:t>
      </w:r>
    </w:p>
    <w:p w14:paraId="13EDFADA">
      <w:pPr>
        <w:pStyle w:val="24"/>
        <w:snapToGrid w:val="0"/>
        <w:ind w:firstLine="420" w:firstLineChars="200"/>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不可抗力事件延续120天以上，双方应通过友好协商，确定是否继续履行合同。</w:t>
      </w:r>
    </w:p>
    <w:p w14:paraId="2BBD34DE">
      <w:pPr>
        <w:pStyle w:val="24"/>
        <w:snapToGrid w:val="0"/>
        <w:ind w:firstLine="422" w:firstLineChars="200"/>
        <w:rPr>
          <w:rFonts w:hint="eastAsia" w:hAnsi="宋体"/>
          <w:b/>
          <w:sz w:val="21"/>
          <w:szCs w:val="21"/>
          <w:highlight w:val="none"/>
        </w:rPr>
      </w:pPr>
      <w:r>
        <w:rPr>
          <w:rFonts w:hAnsi="宋体"/>
          <w:b/>
          <w:sz w:val="21"/>
          <w:szCs w:val="21"/>
          <w:highlight w:val="none"/>
        </w:rPr>
        <w:t>十六、诉讼</w:t>
      </w:r>
    </w:p>
    <w:p w14:paraId="14A200EB">
      <w:pPr>
        <w:pStyle w:val="24"/>
        <w:snapToGrid w:val="0"/>
        <w:ind w:firstLine="420" w:firstLineChars="200"/>
        <w:rPr>
          <w:rFonts w:hint="eastAsia" w:hAnsi="宋体"/>
          <w:sz w:val="21"/>
          <w:szCs w:val="21"/>
          <w:highlight w:val="none"/>
        </w:rPr>
      </w:pPr>
      <w:r>
        <w:rPr>
          <w:rFonts w:hAnsi="宋体"/>
          <w:sz w:val="21"/>
          <w:szCs w:val="21"/>
          <w:highlight w:val="none"/>
        </w:rPr>
        <w:t>双方在执行合同中所发生的一切争议，应通过协商解决。如协商不成，可向</w:t>
      </w:r>
      <w:r>
        <w:rPr>
          <w:rFonts w:hint="eastAsia" w:hAnsi="宋体"/>
          <w:sz w:val="21"/>
          <w:szCs w:val="21"/>
          <w:highlight w:val="none"/>
        </w:rPr>
        <w:t>甲方所在</w:t>
      </w:r>
      <w:r>
        <w:rPr>
          <w:rFonts w:hAnsi="宋体"/>
          <w:sz w:val="21"/>
          <w:szCs w:val="21"/>
          <w:highlight w:val="none"/>
        </w:rPr>
        <w:t>地法院起诉。</w:t>
      </w:r>
    </w:p>
    <w:p w14:paraId="2609E9CD">
      <w:pPr>
        <w:pStyle w:val="24"/>
        <w:snapToGrid w:val="0"/>
        <w:ind w:firstLine="422" w:firstLineChars="200"/>
        <w:rPr>
          <w:rFonts w:hint="eastAsia" w:hAnsi="宋体"/>
          <w:b/>
          <w:sz w:val="21"/>
          <w:szCs w:val="21"/>
          <w:highlight w:val="none"/>
        </w:rPr>
      </w:pPr>
      <w:r>
        <w:rPr>
          <w:rFonts w:hAnsi="宋体"/>
          <w:b/>
          <w:sz w:val="21"/>
          <w:szCs w:val="21"/>
          <w:highlight w:val="none"/>
        </w:rPr>
        <w:t>十七、合同生效及其它</w:t>
      </w:r>
    </w:p>
    <w:p w14:paraId="655B1A50">
      <w:pPr>
        <w:pStyle w:val="24"/>
        <w:snapToGrid w:val="0"/>
        <w:ind w:firstLine="420" w:firstLineChars="200"/>
        <w:rPr>
          <w:rFonts w:hint="eastAsia"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合同经双方法定代表人或授权代表签字并加盖单位公章后生效。</w:t>
      </w:r>
    </w:p>
    <w:p w14:paraId="730D5BC8">
      <w:pPr>
        <w:pStyle w:val="24"/>
        <w:snapToGrid w:val="0"/>
        <w:ind w:firstLine="420" w:firstLineChars="200"/>
        <w:rPr>
          <w:rFonts w:hint="eastAsia"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合同执行中涉及采购资金和采购内容修改或补充的，须经财政部门审批，并签书面补充协议报政府采购监督管理部门备案，方可作为主合同不可分割的一部分。</w:t>
      </w:r>
    </w:p>
    <w:p w14:paraId="6286F6FF">
      <w:pPr>
        <w:pStyle w:val="24"/>
        <w:snapToGrid w:val="0"/>
        <w:ind w:firstLine="420" w:firstLineChars="200"/>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本合同未尽事宜，遵照《</w:t>
      </w:r>
      <w:r>
        <w:rPr>
          <w:rFonts w:hint="eastAsia" w:hAnsi="宋体"/>
          <w:sz w:val="21"/>
          <w:szCs w:val="21"/>
          <w:highlight w:val="none"/>
        </w:rPr>
        <w:t>中华人民共和国民法典</w:t>
      </w:r>
      <w:r>
        <w:rPr>
          <w:rFonts w:hAnsi="宋体"/>
          <w:sz w:val="21"/>
          <w:szCs w:val="21"/>
          <w:highlight w:val="none"/>
        </w:rPr>
        <w:t>》有关条文执行。</w:t>
      </w:r>
    </w:p>
    <w:p w14:paraId="6EBE91D7">
      <w:pPr>
        <w:pStyle w:val="24"/>
        <w:snapToGrid w:val="0"/>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本合同正本一式</w:t>
      </w:r>
      <w:r>
        <w:rPr>
          <w:rFonts w:hint="eastAsia" w:hAnsi="宋体"/>
          <w:sz w:val="21"/>
          <w:szCs w:val="21"/>
          <w:highlight w:val="none"/>
        </w:rPr>
        <w:t>五</w:t>
      </w:r>
      <w:r>
        <w:rPr>
          <w:rFonts w:hAnsi="宋体"/>
          <w:sz w:val="21"/>
          <w:szCs w:val="21"/>
          <w:highlight w:val="none"/>
        </w:rPr>
        <w:t>份，具有同等法律效力，甲乙</w:t>
      </w:r>
      <w:r>
        <w:rPr>
          <w:rFonts w:hint="eastAsia" w:hAnsi="宋体"/>
          <w:sz w:val="21"/>
          <w:szCs w:val="21"/>
          <w:highlight w:val="none"/>
        </w:rPr>
        <w:t>双</w:t>
      </w:r>
      <w:r>
        <w:rPr>
          <w:rFonts w:hAnsi="宋体"/>
          <w:sz w:val="21"/>
          <w:szCs w:val="21"/>
          <w:highlight w:val="none"/>
        </w:rPr>
        <w:t>方各执一份；</w:t>
      </w:r>
      <w:r>
        <w:rPr>
          <w:rFonts w:hint="eastAsia" w:hAnsi="宋体"/>
          <w:sz w:val="21"/>
          <w:szCs w:val="21"/>
          <w:highlight w:val="none"/>
        </w:rPr>
        <w:t>采购办、交管办各执一份。</w:t>
      </w:r>
    </w:p>
    <w:p w14:paraId="1FEDD2F4">
      <w:pPr>
        <w:pStyle w:val="24"/>
        <w:snapToGrid w:val="0"/>
        <w:ind w:firstLine="420" w:firstLineChars="200"/>
        <w:rPr>
          <w:rFonts w:hint="eastAsia" w:hAnsi="宋体"/>
          <w:sz w:val="21"/>
          <w:szCs w:val="21"/>
          <w:highlight w:val="none"/>
        </w:rPr>
      </w:pPr>
    </w:p>
    <w:p w14:paraId="01C29936">
      <w:pPr>
        <w:pStyle w:val="24"/>
        <w:snapToGrid w:val="0"/>
        <w:ind w:firstLine="420" w:firstLineChars="200"/>
        <w:rPr>
          <w:rFonts w:hint="eastAsia" w:hAnsi="宋体"/>
          <w:sz w:val="21"/>
          <w:szCs w:val="21"/>
          <w:highlight w:val="none"/>
        </w:rPr>
      </w:pPr>
      <w:r>
        <w:rPr>
          <w:rFonts w:hAnsi="宋体"/>
          <w:sz w:val="21"/>
          <w:szCs w:val="21"/>
          <w:highlight w:val="none"/>
        </w:rPr>
        <w:t>甲方：</w:t>
      </w:r>
      <w:r>
        <w:rPr>
          <w:rFonts w:hint="eastAsia" w:hAnsi="宋体"/>
          <w:sz w:val="21"/>
          <w:szCs w:val="21"/>
          <w:highlight w:val="none"/>
        </w:rPr>
        <w:t xml:space="preserve">                                  乙方</w:t>
      </w:r>
      <w:r>
        <w:rPr>
          <w:rFonts w:hAnsi="宋体"/>
          <w:sz w:val="21"/>
          <w:szCs w:val="21"/>
          <w:highlight w:val="none"/>
        </w:rPr>
        <w:t>：</w:t>
      </w:r>
    </w:p>
    <w:p w14:paraId="217C536F">
      <w:pPr>
        <w:pStyle w:val="24"/>
        <w:snapToGrid w:val="0"/>
        <w:ind w:firstLine="420" w:firstLineChars="200"/>
        <w:rPr>
          <w:rFonts w:hint="eastAsia" w:hAnsi="宋体"/>
          <w:sz w:val="21"/>
          <w:szCs w:val="21"/>
          <w:highlight w:val="none"/>
        </w:rPr>
      </w:pPr>
      <w:r>
        <w:rPr>
          <w:rFonts w:hAnsi="宋体"/>
          <w:sz w:val="21"/>
          <w:szCs w:val="21"/>
          <w:highlight w:val="none"/>
        </w:rPr>
        <w:t xml:space="preserve">地址：                                   地址： </w:t>
      </w:r>
    </w:p>
    <w:p w14:paraId="39998040">
      <w:pPr>
        <w:pStyle w:val="24"/>
        <w:snapToGrid w:val="0"/>
        <w:ind w:firstLine="420" w:firstLineChars="200"/>
        <w:rPr>
          <w:rFonts w:hint="eastAsia" w:hAnsi="宋体"/>
          <w:sz w:val="21"/>
          <w:szCs w:val="21"/>
          <w:highlight w:val="none"/>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                     法定</w:t>
      </w:r>
      <w:r>
        <w:rPr>
          <w:rFonts w:hint="eastAsia" w:hAnsi="宋体"/>
          <w:sz w:val="21"/>
          <w:szCs w:val="21"/>
          <w:highlight w:val="none"/>
        </w:rPr>
        <w:t>（授权）</w:t>
      </w:r>
      <w:r>
        <w:rPr>
          <w:rFonts w:hAnsi="宋体"/>
          <w:sz w:val="21"/>
          <w:szCs w:val="21"/>
          <w:highlight w:val="none"/>
        </w:rPr>
        <w:t>代表人：</w:t>
      </w:r>
    </w:p>
    <w:p w14:paraId="50D9E733">
      <w:pPr>
        <w:pStyle w:val="24"/>
        <w:snapToGrid w:val="0"/>
        <w:ind w:firstLine="420" w:firstLineChars="200"/>
        <w:rPr>
          <w:rFonts w:hint="eastAsia" w:hAnsi="宋体"/>
          <w:sz w:val="21"/>
          <w:szCs w:val="21"/>
          <w:highlight w:val="none"/>
        </w:rPr>
      </w:pPr>
      <w:r>
        <w:rPr>
          <w:rFonts w:hAnsi="宋体"/>
          <w:sz w:val="21"/>
          <w:szCs w:val="21"/>
          <w:highlight w:val="none"/>
        </w:rPr>
        <w:t>签</w:t>
      </w:r>
      <w:r>
        <w:rPr>
          <w:rFonts w:hint="eastAsia" w:hAnsi="宋体"/>
          <w:sz w:val="21"/>
          <w:szCs w:val="21"/>
          <w:highlight w:val="none"/>
        </w:rPr>
        <w:t>字日期</w:t>
      </w:r>
      <w:r>
        <w:rPr>
          <w:rFonts w:hAnsi="宋体"/>
          <w:sz w:val="21"/>
          <w:szCs w:val="21"/>
          <w:highlight w:val="none"/>
        </w:rPr>
        <w:t xml:space="preserve">：      年  月  日  </w:t>
      </w:r>
      <w:r>
        <w:rPr>
          <w:rFonts w:hint="eastAsia" w:hAnsi="宋体"/>
          <w:sz w:val="21"/>
          <w:szCs w:val="21"/>
          <w:highlight w:val="none"/>
        </w:rPr>
        <w:t xml:space="preserve">             </w:t>
      </w:r>
      <w:r>
        <w:rPr>
          <w:rFonts w:hAnsi="宋体"/>
          <w:sz w:val="21"/>
          <w:szCs w:val="21"/>
          <w:highlight w:val="none"/>
        </w:rPr>
        <w:t>签</w:t>
      </w:r>
      <w:r>
        <w:rPr>
          <w:rFonts w:hint="eastAsia" w:hAnsi="宋体"/>
          <w:sz w:val="21"/>
          <w:szCs w:val="21"/>
          <w:highlight w:val="none"/>
        </w:rPr>
        <w:t>字</w:t>
      </w:r>
      <w:r>
        <w:rPr>
          <w:rFonts w:hAnsi="宋体"/>
          <w:sz w:val="21"/>
          <w:szCs w:val="21"/>
          <w:highlight w:val="none"/>
        </w:rPr>
        <w:t>日期：      年  月  日</w:t>
      </w:r>
    </w:p>
    <w:p w14:paraId="52876219">
      <w:pPr>
        <w:jc w:val="center"/>
        <w:rPr>
          <w:b/>
          <w:bCs/>
          <w:kern w:val="44"/>
          <w:sz w:val="32"/>
          <w:szCs w:val="32"/>
          <w:highlight w:val="none"/>
        </w:rPr>
        <w:sectPr>
          <w:pgSz w:w="11907" w:h="16840"/>
          <w:pgMar w:top="1134" w:right="1531" w:bottom="1134" w:left="1531" w:header="425" w:footer="709" w:gutter="0"/>
          <w:cols w:space="720" w:num="1"/>
          <w:docGrid w:linePitch="285" w:charSpace="0"/>
        </w:sectPr>
      </w:pPr>
    </w:p>
    <w:p w14:paraId="2ECB395E">
      <w:pPr>
        <w:jc w:val="center"/>
        <w:rPr>
          <w:b/>
          <w:bCs/>
          <w:kern w:val="44"/>
          <w:sz w:val="32"/>
          <w:szCs w:val="32"/>
          <w:highlight w:val="none"/>
        </w:rPr>
      </w:pPr>
      <w:r>
        <w:rPr>
          <w:rFonts w:hint="eastAsia"/>
          <w:b/>
          <w:bCs/>
          <w:kern w:val="44"/>
          <w:sz w:val="32"/>
          <w:szCs w:val="32"/>
          <w:highlight w:val="none"/>
        </w:rPr>
        <w:t>第七部分 格式与表格</w:t>
      </w:r>
      <w:bookmarkEnd w:id="0"/>
      <w:bookmarkEnd w:id="70"/>
    </w:p>
    <w:p w14:paraId="45648E49">
      <w:pPr>
        <w:jc w:val="center"/>
        <w:rPr>
          <w:b/>
          <w:bCs/>
          <w:kern w:val="44"/>
          <w:sz w:val="32"/>
          <w:szCs w:val="32"/>
          <w:highlight w:val="none"/>
        </w:rPr>
      </w:pPr>
    </w:p>
    <w:p w14:paraId="3DB356C5">
      <w:pPr>
        <w:spacing w:line="360" w:lineRule="auto"/>
        <w:rPr>
          <w:rFonts w:hint="eastAsia" w:ascii="宋体" w:hAnsi="宋体" w:cs="宋体"/>
          <w:szCs w:val="21"/>
          <w:highlight w:val="none"/>
        </w:rPr>
      </w:pPr>
      <w:r>
        <w:rPr>
          <w:rFonts w:hint="eastAsia" w:ascii="宋体" w:hAnsi="宋体" w:cs="宋体"/>
          <w:szCs w:val="21"/>
          <w:highlight w:val="none"/>
        </w:rPr>
        <w:t>1.所有投标文件的外包装封面格式：</w:t>
      </w:r>
    </w:p>
    <w:p w14:paraId="24148BA6">
      <w:pPr>
        <w:spacing w:line="360" w:lineRule="auto"/>
        <w:jc w:val="center"/>
        <w:rPr>
          <w:rFonts w:hint="eastAsia" w:ascii="宋体" w:hAnsi="宋体" w:cs="宋体"/>
          <w:bCs/>
          <w:szCs w:val="21"/>
          <w:highlight w:val="none"/>
        </w:rPr>
      </w:pPr>
    </w:p>
    <w:p w14:paraId="433E2F1A">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投 标 文 件</w:t>
      </w:r>
    </w:p>
    <w:p w14:paraId="43A1E371">
      <w:pPr>
        <w:spacing w:line="360" w:lineRule="auto"/>
        <w:rPr>
          <w:rFonts w:hint="eastAsia" w:ascii="宋体" w:hAnsi="宋体" w:cs="宋体"/>
          <w:bCs/>
          <w:szCs w:val="21"/>
          <w:highlight w:val="none"/>
        </w:rPr>
      </w:pPr>
    </w:p>
    <w:p w14:paraId="349F4E94">
      <w:pPr>
        <w:spacing w:line="360" w:lineRule="auto"/>
        <w:rPr>
          <w:rFonts w:hint="eastAsia" w:ascii="宋体" w:hAnsi="宋体" w:cs="宋体"/>
          <w:bCs/>
          <w:szCs w:val="21"/>
          <w:highlight w:val="none"/>
        </w:rPr>
      </w:pPr>
    </w:p>
    <w:p w14:paraId="5E964627">
      <w:pPr>
        <w:spacing w:line="360" w:lineRule="auto"/>
        <w:ind w:firstLine="1785" w:firstLineChars="850"/>
        <w:rPr>
          <w:rFonts w:hint="eastAsia" w:ascii="宋体" w:hAnsi="宋体" w:cs="宋体"/>
          <w:bCs/>
          <w:szCs w:val="21"/>
          <w:highlight w:val="none"/>
        </w:rPr>
      </w:pPr>
      <w:r>
        <w:rPr>
          <w:rFonts w:hint="eastAsia" w:ascii="宋体" w:hAnsi="宋体" w:cs="宋体"/>
          <w:bCs/>
          <w:szCs w:val="21"/>
          <w:highlight w:val="none"/>
        </w:rPr>
        <w:t xml:space="preserve">项目名称：        </w:t>
      </w:r>
    </w:p>
    <w:p w14:paraId="460E1D76">
      <w:pPr>
        <w:spacing w:line="360" w:lineRule="auto"/>
        <w:ind w:firstLine="1785" w:firstLineChars="850"/>
        <w:rPr>
          <w:rFonts w:hint="eastAsia" w:ascii="宋体" w:hAnsi="宋体" w:cs="宋体"/>
          <w:bCs/>
          <w:szCs w:val="21"/>
          <w:highlight w:val="none"/>
        </w:rPr>
      </w:pPr>
      <w:r>
        <w:rPr>
          <w:rFonts w:hint="eastAsia" w:ascii="宋体" w:hAnsi="宋体" w:cs="宋体"/>
          <w:bCs/>
          <w:szCs w:val="21"/>
          <w:highlight w:val="none"/>
        </w:rPr>
        <w:t xml:space="preserve">项目编号： </w:t>
      </w:r>
    </w:p>
    <w:p w14:paraId="268D02CC">
      <w:pPr>
        <w:spacing w:line="360" w:lineRule="auto"/>
        <w:ind w:firstLine="1785" w:firstLineChars="850"/>
        <w:rPr>
          <w:rFonts w:hint="eastAsia" w:ascii="宋体" w:hAnsi="宋体" w:cs="宋体"/>
          <w:bCs/>
          <w:szCs w:val="21"/>
          <w:highlight w:val="none"/>
        </w:rPr>
      </w:pPr>
      <w:r>
        <w:rPr>
          <w:rFonts w:hint="eastAsia" w:ascii="宋体" w:hAnsi="宋体" w:cs="宋体"/>
          <w:bCs/>
          <w:szCs w:val="21"/>
          <w:highlight w:val="none"/>
        </w:rPr>
        <w:t xml:space="preserve">投标文件名称：资格证明文件/报价文件/技术商务文件 </w:t>
      </w:r>
    </w:p>
    <w:p w14:paraId="0AB1182A">
      <w:pPr>
        <w:pStyle w:val="8"/>
        <w:spacing w:line="360" w:lineRule="auto"/>
        <w:ind w:firstLine="1785" w:firstLineChars="850"/>
        <w:rPr>
          <w:rFonts w:hint="eastAsia" w:hAnsi="宋体" w:cs="宋体"/>
          <w:bCs/>
          <w:szCs w:val="21"/>
          <w:highlight w:val="none"/>
        </w:rPr>
      </w:pPr>
      <w:r>
        <w:rPr>
          <w:rFonts w:hint="eastAsia" w:hAnsi="宋体" w:cs="宋体"/>
          <w:bCs/>
          <w:szCs w:val="21"/>
          <w:highlight w:val="none"/>
        </w:rPr>
        <w:t>投标人名称（盖章）：</w:t>
      </w:r>
    </w:p>
    <w:p w14:paraId="46F8C4BF">
      <w:pPr>
        <w:pStyle w:val="8"/>
        <w:spacing w:line="360" w:lineRule="auto"/>
        <w:ind w:firstLine="1785" w:firstLineChars="850"/>
        <w:rPr>
          <w:rFonts w:hint="eastAsia" w:hAnsi="宋体" w:cs="宋体"/>
          <w:bCs/>
          <w:szCs w:val="21"/>
          <w:highlight w:val="none"/>
        </w:rPr>
      </w:pPr>
      <w:r>
        <w:rPr>
          <w:rFonts w:hint="eastAsia" w:hAnsi="宋体" w:cs="宋体"/>
          <w:bCs/>
          <w:szCs w:val="21"/>
          <w:highlight w:val="none"/>
        </w:rPr>
        <w:t>投标人地址：</w:t>
      </w:r>
    </w:p>
    <w:p w14:paraId="50A0A3C9">
      <w:pPr>
        <w:pStyle w:val="8"/>
        <w:spacing w:line="360" w:lineRule="auto"/>
        <w:ind w:firstLine="1785" w:firstLineChars="850"/>
        <w:rPr>
          <w:rFonts w:hint="eastAsia" w:hAnsi="宋体" w:cs="宋体"/>
          <w:bCs/>
          <w:szCs w:val="21"/>
          <w:highlight w:val="none"/>
        </w:rPr>
      </w:pPr>
      <w:r>
        <w:rPr>
          <w:rFonts w:hint="eastAsia" w:hAnsi="宋体" w:cs="宋体"/>
          <w:bCs/>
          <w:szCs w:val="21"/>
          <w:highlight w:val="none"/>
        </w:rPr>
        <w:t>法定代表人或授权代表人（签字或盖章）</w:t>
      </w:r>
    </w:p>
    <w:p w14:paraId="3DB82C0A">
      <w:pPr>
        <w:pStyle w:val="8"/>
        <w:spacing w:line="360" w:lineRule="auto"/>
        <w:ind w:firstLine="1785" w:firstLineChars="850"/>
        <w:rPr>
          <w:rFonts w:hint="eastAsia" w:hAnsi="宋体" w:cs="宋体"/>
          <w:bCs/>
          <w:szCs w:val="21"/>
          <w:highlight w:val="none"/>
        </w:rPr>
      </w:pPr>
      <w:r>
        <w:rPr>
          <w:rFonts w:hint="eastAsia" w:hAnsi="宋体" w:cs="宋体"/>
          <w:szCs w:val="21"/>
          <w:highlight w:val="none"/>
        </w:rPr>
        <w:t xml:space="preserve">                  开标时启封</w:t>
      </w:r>
    </w:p>
    <w:p w14:paraId="5D7E4330">
      <w:pPr>
        <w:spacing w:line="360" w:lineRule="auto"/>
        <w:ind w:firstLine="3570" w:firstLineChars="1700"/>
        <w:rPr>
          <w:rFonts w:hint="eastAsia" w:ascii="宋体" w:hAnsi="宋体" w:cs="宋体"/>
          <w:bCs/>
          <w:szCs w:val="21"/>
          <w:highlight w:val="none"/>
        </w:rPr>
      </w:pPr>
    </w:p>
    <w:p w14:paraId="4FE4742F">
      <w:pPr>
        <w:spacing w:line="360" w:lineRule="auto"/>
        <w:ind w:firstLine="645"/>
        <w:jc w:val="center"/>
        <w:rPr>
          <w:rFonts w:hint="eastAsia" w:ascii="宋体" w:hAnsi="宋体" w:cs="宋体"/>
          <w:bCs/>
          <w:szCs w:val="21"/>
          <w:highlight w:val="none"/>
        </w:rPr>
      </w:pPr>
      <w:r>
        <w:rPr>
          <w:rFonts w:hint="eastAsia" w:ascii="宋体" w:hAnsi="宋体" w:cs="宋体"/>
          <w:bCs/>
          <w:szCs w:val="21"/>
          <w:highlight w:val="none"/>
        </w:rPr>
        <w:t xml:space="preserve">                        年  月  日</w:t>
      </w:r>
    </w:p>
    <w:p w14:paraId="0A4A108F">
      <w:pPr>
        <w:spacing w:line="360" w:lineRule="auto"/>
        <w:jc w:val="center"/>
        <w:outlineLvl w:val="1"/>
        <w:rPr>
          <w:rFonts w:hint="eastAsia" w:ascii="宋体" w:hAnsi="宋体" w:cs="宋体"/>
          <w:szCs w:val="21"/>
          <w:highlight w:val="none"/>
        </w:rPr>
      </w:pPr>
    </w:p>
    <w:p w14:paraId="5669FD7D">
      <w:pPr>
        <w:spacing w:line="360" w:lineRule="auto"/>
        <w:rPr>
          <w:rFonts w:hint="eastAsia" w:ascii="宋体" w:hAnsi="宋体" w:cs="宋体"/>
          <w:szCs w:val="21"/>
          <w:highlight w:val="none"/>
        </w:rPr>
      </w:pPr>
    </w:p>
    <w:p w14:paraId="3B2E7F73">
      <w:pPr>
        <w:spacing w:line="360" w:lineRule="auto"/>
        <w:rPr>
          <w:rFonts w:hint="eastAsia" w:ascii="宋体" w:hAnsi="宋体" w:cs="宋体"/>
          <w:szCs w:val="21"/>
          <w:highlight w:val="none"/>
        </w:rPr>
      </w:pPr>
      <w:r>
        <w:rPr>
          <w:rFonts w:hint="eastAsia" w:ascii="宋体" w:hAnsi="宋体" w:cs="宋体"/>
          <w:szCs w:val="21"/>
          <w:highlight w:val="none"/>
        </w:rPr>
        <w:t xml:space="preserve">2.封面格式： </w:t>
      </w:r>
    </w:p>
    <w:p w14:paraId="01DC2CDB">
      <w:pPr>
        <w:spacing w:line="360" w:lineRule="auto"/>
        <w:rPr>
          <w:rFonts w:hint="eastAsia" w:ascii="宋体" w:hAnsi="宋体" w:cs="宋体"/>
          <w:b/>
          <w:bCs/>
          <w:szCs w:val="21"/>
          <w:highlight w:val="none"/>
        </w:rPr>
      </w:pPr>
      <w:r>
        <w:rPr>
          <w:rFonts w:hint="eastAsia" w:ascii="宋体" w:hAnsi="宋体" w:cs="宋体"/>
          <w:b/>
          <w:bCs/>
          <w:szCs w:val="21"/>
          <w:highlight w:val="none"/>
        </w:rPr>
        <w:t>正本</w:t>
      </w:r>
    </w:p>
    <w:p w14:paraId="76B18B5F">
      <w:pPr>
        <w:spacing w:line="360" w:lineRule="auto"/>
        <w:rPr>
          <w:rFonts w:hint="eastAsia" w:ascii="宋体" w:hAnsi="宋体" w:cs="宋体"/>
          <w:bCs/>
          <w:szCs w:val="21"/>
          <w:highlight w:val="none"/>
        </w:rPr>
      </w:pPr>
    </w:p>
    <w:p w14:paraId="143CB61A">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投 标 文 件</w:t>
      </w:r>
    </w:p>
    <w:p w14:paraId="7822ADED">
      <w:pPr>
        <w:spacing w:line="360" w:lineRule="auto"/>
        <w:rPr>
          <w:rFonts w:hint="eastAsia" w:ascii="宋体" w:hAnsi="宋体" w:cs="宋体"/>
          <w:bCs/>
          <w:szCs w:val="21"/>
          <w:highlight w:val="none"/>
        </w:rPr>
      </w:pPr>
    </w:p>
    <w:p w14:paraId="65775CEC">
      <w:pPr>
        <w:spacing w:line="360" w:lineRule="auto"/>
        <w:rPr>
          <w:rFonts w:hint="eastAsia" w:ascii="宋体" w:hAnsi="宋体" w:cs="宋体"/>
          <w:bCs/>
          <w:szCs w:val="21"/>
          <w:highlight w:val="none"/>
        </w:rPr>
      </w:pPr>
    </w:p>
    <w:p w14:paraId="2F34C571">
      <w:pPr>
        <w:spacing w:line="360" w:lineRule="auto"/>
        <w:ind w:firstLine="1575" w:firstLineChars="750"/>
        <w:rPr>
          <w:rFonts w:hint="eastAsia" w:ascii="宋体" w:hAnsi="宋体" w:cs="宋体"/>
          <w:bCs/>
          <w:szCs w:val="21"/>
          <w:highlight w:val="none"/>
        </w:rPr>
      </w:pPr>
      <w:r>
        <w:rPr>
          <w:rFonts w:hint="eastAsia" w:ascii="宋体" w:hAnsi="宋体" w:cs="宋体"/>
          <w:bCs/>
          <w:szCs w:val="21"/>
          <w:highlight w:val="none"/>
        </w:rPr>
        <w:t xml:space="preserve">项目名称： </w:t>
      </w:r>
    </w:p>
    <w:p w14:paraId="1687559F">
      <w:pPr>
        <w:spacing w:line="360" w:lineRule="auto"/>
        <w:rPr>
          <w:rFonts w:hint="eastAsia" w:ascii="宋体" w:hAnsi="宋体" w:cs="宋体"/>
          <w:bCs/>
          <w:szCs w:val="21"/>
          <w:highlight w:val="none"/>
        </w:rPr>
      </w:pPr>
      <w:r>
        <w:rPr>
          <w:rFonts w:hint="eastAsia" w:ascii="宋体" w:hAnsi="宋体" w:cs="宋体"/>
          <w:bCs/>
          <w:szCs w:val="21"/>
          <w:highlight w:val="none"/>
        </w:rPr>
        <w:t xml:space="preserve">               项目编号：  </w:t>
      </w:r>
    </w:p>
    <w:p w14:paraId="60EC78DF">
      <w:pPr>
        <w:spacing w:line="360" w:lineRule="auto"/>
        <w:ind w:firstLine="1575" w:firstLineChars="750"/>
        <w:rPr>
          <w:rFonts w:hint="eastAsia" w:ascii="宋体" w:hAnsi="宋体" w:cs="宋体"/>
          <w:bCs/>
          <w:szCs w:val="21"/>
          <w:highlight w:val="none"/>
        </w:rPr>
      </w:pPr>
      <w:r>
        <w:rPr>
          <w:rFonts w:hint="eastAsia" w:ascii="宋体" w:hAnsi="宋体" w:cs="宋体"/>
          <w:bCs/>
          <w:szCs w:val="21"/>
          <w:highlight w:val="none"/>
        </w:rPr>
        <w:t>投标文件名称：资格证明文件/报价文件/技术商务文件</w:t>
      </w:r>
    </w:p>
    <w:p w14:paraId="6AE5E11F">
      <w:pPr>
        <w:pStyle w:val="8"/>
        <w:spacing w:line="360" w:lineRule="auto"/>
        <w:ind w:firstLine="1575" w:firstLineChars="750"/>
        <w:rPr>
          <w:rFonts w:hint="eastAsia" w:hAnsi="宋体" w:cs="宋体"/>
          <w:bCs/>
          <w:szCs w:val="21"/>
          <w:highlight w:val="none"/>
        </w:rPr>
      </w:pPr>
      <w:r>
        <w:rPr>
          <w:rFonts w:hint="eastAsia" w:hAnsi="宋体" w:cs="宋体"/>
          <w:bCs/>
          <w:szCs w:val="21"/>
          <w:highlight w:val="none"/>
        </w:rPr>
        <w:t>投标人名称（盖章）：</w:t>
      </w:r>
    </w:p>
    <w:p w14:paraId="0FFA4180">
      <w:pPr>
        <w:pStyle w:val="8"/>
        <w:spacing w:line="360" w:lineRule="auto"/>
        <w:ind w:firstLine="1575" w:firstLineChars="750"/>
        <w:rPr>
          <w:rFonts w:hint="eastAsia" w:hAnsi="宋体" w:cs="宋体"/>
          <w:bCs/>
          <w:szCs w:val="21"/>
          <w:highlight w:val="none"/>
        </w:rPr>
      </w:pPr>
      <w:r>
        <w:rPr>
          <w:rFonts w:hint="eastAsia" w:hAnsi="宋体" w:cs="宋体"/>
          <w:bCs/>
          <w:szCs w:val="21"/>
          <w:highlight w:val="none"/>
        </w:rPr>
        <w:t>投标人地址：</w:t>
      </w:r>
    </w:p>
    <w:p w14:paraId="0EAF79E2">
      <w:pPr>
        <w:pStyle w:val="8"/>
        <w:spacing w:line="360" w:lineRule="auto"/>
        <w:ind w:firstLine="840" w:firstLineChars="400"/>
        <w:rPr>
          <w:rFonts w:hint="eastAsia" w:hAnsi="宋体" w:cs="宋体"/>
          <w:bCs/>
          <w:szCs w:val="21"/>
          <w:highlight w:val="none"/>
        </w:rPr>
      </w:pPr>
    </w:p>
    <w:p w14:paraId="7CE39748">
      <w:pPr>
        <w:pStyle w:val="8"/>
        <w:spacing w:line="360" w:lineRule="auto"/>
        <w:ind w:firstLine="873" w:firstLineChars="416"/>
        <w:rPr>
          <w:rFonts w:hint="eastAsia" w:hAnsi="宋体" w:cs="宋体"/>
          <w:szCs w:val="21"/>
          <w:highlight w:val="none"/>
        </w:rPr>
      </w:pPr>
    </w:p>
    <w:p w14:paraId="422FB099">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授权代表签章：</w:t>
      </w:r>
    </w:p>
    <w:p w14:paraId="3A96B8C5">
      <w:pPr>
        <w:spacing w:line="360" w:lineRule="auto"/>
        <w:ind w:firstLine="645"/>
        <w:jc w:val="center"/>
        <w:rPr>
          <w:rFonts w:hint="eastAsia" w:ascii="宋体" w:hAnsi="宋体" w:cs="宋体"/>
          <w:szCs w:val="21"/>
          <w:highlight w:val="none"/>
        </w:rPr>
      </w:pPr>
      <w:r>
        <w:rPr>
          <w:rFonts w:hint="eastAsia" w:ascii="宋体" w:hAnsi="宋体" w:cs="宋体"/>
          <w:szCs w:val="21"/>
          <w:highlight w:val="none"/>
        </w:rPr>
        <w:t xml:space="preserve">                        年  月  日</w:t>
      </w:r>
    </w:p>
    <w:p w14:paraId="433B3994">
      <w:pPr>
        <w:pStyle w:val="19"/>
        <w:tabs>
          <w:tab w:val="left" w:pos="4841"/>
        </w:tabs>
        <w:rPr>
          <w:rFonts w:hint="eastAsia" w:ascii="宋体" w:hAnsi="宋体"/>
          <w:b/>
          <w:sz w:val="28"/>
          <w:szCs w:val="28"/>
          <w:highlight w:val="none"/>
        </w:rPr>
      </w:pPr>
    </w:p>
    <w:p w14:paraId="521CBEB4">
      <w:pPr>
        <w:pStyle w:val="19"/>
        <w:tabs>
          <w:tab w:val="left" w:pos="4841"/>
        </w:tabs>
        <w:rPr>
          <w:rFonts w:hint="eastAsia" w:ascii="宋体" w:hAnsi="宋体"/>
          <w:b/>
          <w:sz w:val="28"/>
          <w:szCs w:val="28"/>
          <w:highlight w:val="none"/>
        </w:rPr>
      </w:pPr>
    </w:p>
    <w:p w14:paraId="33CCD45C">
      <w:pPr>
        <w:pStyle w:val="3"/>
        <w:spacing w:before="0" w:after="0" w:line="240" w:lineRule="auto"/>
        <w:ind w:right="-567"/>
        <w:jc w:val="left"/>
        <w:rPr>
          <w:rFonts w:hint="eastAsia" w:ascii="宋体" w:hAnsi="宋体" w:eastAsia="宋体" w:cs="宋体"/>
          <w:b w:val="0"/>
          <w:sz w:val="21"/>
          <w:szCs w:val="21"/>
          <w:highlight w:val="none"/>
        </w:rPr>
      </w:pPr>
      <w:bookmarkStart w:id="71" w:name="_Toc97372565"/>
      <w:r>
        <w:rPr>
          <w:rFonts w:hint="eastAsia" w:ascii="宋体" w:hAnsi="宋体" w:eastAsia="宋体" w:cs="宋体"/>
          <w:b w:val="0"/>
          <w:sz w:val="21"/>
          <w:szCs w:val="21"/>
          <w:highlight w:val="none"/>
        </w:rPr>
        <w:t>格式一 投标函</w:t>
      </w:r>
      <w:bookmarkEnd w:id="71"/>
    </w:p>
    <w:p w14:paraId="53FBA683">
      <w:pPr>
        <w:pStyle w:val="2"/>
        <w:spacing w:line="360" w:lineRule="exact"/>
        <w:rPr>
          <w:rFonts w:hint="eastAsia" w:hAnsi="宋体" w:cs="宋体"/>
          <w:sz w:val="21"/>
          <w:szCs w:val="21"/>
          <w:highlight w:val="none"/>
        </w:rPr>
      </w:pPr>
      <w:bookmarkStart w:id="72" w:name="_Toc496003216"/>
      <w:bookmarkStart w:id="73" w:name="_Toc498429649"/>
      <w:r>
        <w:rPr>
          <w:rFonts w:hint="eastAsia" w:hAnsi="宋体" w:cs="宋体"/>
          <w:sz w:val="21"/>
          <w:szCs w:val="21"/>
          <w:highlight w:val="none"/>
        </w:rPr>
        <w:t>投标函</w:t>
      </w:r>
      <w:bookmarkEnd w:id="72"/>
      <w:bookmarkEnd w:id="73"/>
    </w:p>
    <w:p w14:paraId="782FC84D">
      <w:pPr>
        <w:spacing w:line="360" w:lineRule="exact"/>
        <w:rPr>
          <w:rFonts w:hint="eastAsia" w:ascii="宋体" w:hAnsi="宋体" w:cs="宋体"/>
          <w:w w:val="80"/>
          <w:szCs w:val="21"/>
          <w:highlight w:val="none"/>
        </w:rPr>
      </w:pPr>
    </w:p>
    <w:p w14:paraId="5C243492">
      <w:pPr>
        <w:pStyle w:val="19"/>
        <w:spacing w:line="360" w:lineRule="auto"/>
        <w:ind w:firstLine="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致：中冠工程管理咨询有限公司</w:t>
      </w:r>
    </w:p>
    <w:p w14:paraId="7401B5F4">
      <w:pPr>
        <w:pStyle w:val="19"/>
        <w:spacing w:line="360" w:lineRule="auto"/>
        <w:ind w:firstLine="490"/>
        <w:contextualSpacing/>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（投标人全称）</w:t>
      </w:r>
      <w:r>
        <w:rPr>
          <w:rFonts w:hint="eastAsia" w:ascii="宋体" w:hAnsi="宋体" w:eastAsia="宋体" w:cs="宋体"/>
          <w:sz w:val="21"/>
          <w:szCs w:val="21"/>
          <w:highlight w:val="none"/>
        </w:rPr>
        <w:t>授权</w:t>
      </w:r>
      <w:r>
        <w:rPr>
          <w:rFonts w:hint="eastAsia" w:ascii="宋体" w:hAnsi="宋体" w:eastAsia="宋体" w:cs="宋体"/>
          <w:sz w:val="21"/>
          <w:szCs w:val="21"/>
          <w:highlight w:val="none"/>
          <w:u w:val="single"/>
        </w:rPr>
        <w:t>（全权代表姓名、职务）</w:t>
      </w:r>
      <w:r>
        <w:rPr>
          <w:rFonts w:hint="eastAsia" w:ascii="宋体" w:hAnsi="宋体" w:eastAsia="宋体" w:cs="宋体"/>
          <w:sz w:val="21"/>
          <w:szCs w:val="21"/>
          <w:highlight w:val="none"/>
        </w:rPr>
        <w:t>为本公司合法代理人，参加贵方组织的</w:t>
      </w:r>
      <w:r>
        <w:rPr>
          <w:rFonts w:hint="eastAsia" w:ascii="宋体" w:hAnsi="宋体" w:eastAsia="宋体" w:cs="宋体"/>
          <w:sz w:val="21"/>
          <w:szCs w:val="21"/>
          <w:highlight w:val="none"/>
          <w:u w:val="single"/>
        </w:rPr>
        <w:t>（采购编号、采购项目名称）</w:t>
      </w:r>
      <w:r>
        <w:rPr>
          <w:rFonts w:hint="eastAsia" w:ascii="宋体" w:hAnsi="宋体" w:eastAsia="宋体" w:cs="宋体"/>
          <w:sz w:val="21"/>
          <w:szCs w:val="21"/>
          <w:highlight w:val="none"/>
        </w:rPr>
        <w:t>招投标活动，代表本公司处理招投标活动中的一切事宜。在此：</w:t>
      </w:r>
    </w:p>
    <w:p w14:paraId="00AE4795">
      <w:pPr>
        <w:pStyle w:val="19"/>
        <w:tabs>
          <w:tab w:val="left" w:pos="426"/>
        </w:tabs>
        <w:spacing w:line="360" w:lineRule="auto"/>
        <w:ind w:firstLine="0"/>
        <w:contextualSpacing/>
        <w:rPr>
          <w:rFonts w:eastAsia="宋体"/>
          <w:sz w:val="21"/>
          <w:szCs w:val="21"/>
          <w:highlight w:val="none"/>
        </w:rPr>
      </w:pPr>
      <w:r>
        <w:rPr>
          <w:rFonts w:hint="eastAsia" w:eastAsia="宋体"/>
          <w:sz w:val="21"/>
          <w:szCs w:val="21"/>
          <w:highlight w:val="none"/>
        </w:rPr>
        <w:t>1、提供采购文件中“投标须知”规定的全部投标文件资料。</w:t>
      </w:r>
    </w:p>
    <w:p w14:paraId="38FCCF02">
      <w:pPr>
        <w:pStyle w:val="19"/>
        <w:tabs>
          <w:tab w:val="left" w:pos="426"/>
        </w:tabs>
        <w:spacing w:line="360" w:lineRule="auto"/>
        <w:ind w:firstLine="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2、据此函，签字代表宣布并承诺如下：</w:t>
      </w:r>
    </w:p>
    <w:p w14:paraId="559E5C30">
      <w:pPr>
        <w:pStyle w:val="19"/>
        <w:spacing w:line="360" w:lineRule="auto"/>
        <w:ind w:firstLine="420" w:firstLineChars="200"/>
        <w:contextualSpacing/>
        <w:rPr>
          <w:rFonts w:eastAsia="宋体"/>
          <w:sz w:val="21"/>
          <w:szCs w:val="21"/>
          <w:highlight w:val="none"/>
        </w:rPr>
      </w:pPr>
      <w:r>
        <w:rPr>
          <w:rFonts w:hint="eastAsia" w:eastAsia="宋体"/>
          <w:sz w:val="21"/>
          <w:szCs w:val="21"/>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37438849">
      <w:pPr>
        <w:pStyle w:val="19"/>
        <w:spacing w:line="360" w:lineRule="auto"/>
        <w:ind w:firstLine="420" w:firstLineChars="200"/>
        <w:contextualSpacing/>
        <w:rPr>
          <w:rFonts w:eastAsia="宋体"/>
          <w:sz w:val="21"/>
          <w:szCs w:val="21"/>
          <w:highlight w:val="none"/>
        </w:rPr>
      </w:pPr>
      <w:r>
        <w:rPr>
          <w:rFonts w:hint="eastAsia" w:eastAsia="宋体"/>
          <w:sz w:val="21"/>
          <w:szCs w:val="21"/>
          <w:highlight w:val="none"/>
        </w:rPr>
        <w:t>（2）本投标自开标之日起天内有效。</w:t>
      </w:r>
    </w:p>
    <w:p w14:paraId="34D0331C">
      <w:pPr>
        <w:pStyle w:val="19"/>
        <w:spacing w:line="360" w:lineRule="auto"/>
        <w:ind w:firstLine="420" w:firstLineChars="200"/>
        <w:contextualSpacing/>
        <w:rPr>
          <w:rFonts w:eastAsia="宋体"/>
          <w:sz w:val="21"/>
          <w:szCs w:val="21"/>
          <w:highlight w:val="none"/>
        </w:rPr>
      </w:pPr>
      <w:r>
        <w:rPr>
          <w:rFonts w:hint="eastAsia" w:eastAsia="宋体"/>
          <w:sz w:val="21"/>
          <w:szCs w:val="21"/>
          <w:highlight w:val="none"/>
        </w:rPr>
        <w:t>（3）保证遵守采购文件有关条款规定。</w:t>
      </w:r>
    </w:p>
    <w:p w14:paraId="324583CD">
      <w:pPr>
        <w:pStyle w:val="19"/>
        <w:spacing w:line="360" w:lineRule="auto"/>
        <w:ind w:firstLine="420" w:firstLineChars="200"/>
        <w:contextualSpacing/>
        <w:rPr>
          <w:rFonts w:eastAsia="宋体"/>
          <w:sz w:val="21"/>
          <w:szCs w:val="21"/>
          <w:highlight w:val="none"/>
        </w:rPr>
      </w:pPr>
      <w:r>
        <w:rPr>
          <w:rFonts w:hint="eastAsia" w:eastAsia="宋体"/>
          <w:sz w:val="21"/>
          <w:szCs w:val="21"/>
          <w:highlight w:val="none"/>
        </w:rPr>
        <w:t>（4）保证在中标后忠实地执行与采购人所签署的合同，并承担合同规定的责任义务。保证在中标后按照采购文件的规定支付招标代理服务费。</w:t>
      </w:r>
    </w:p>
    <w:p w14:paraId="2FDE2604">
      <w:pPr>
        <w:pStyle w:val="19"/>
        <w:spacing w:line="360" w:lineRule="auto"/>
        <w:ind w:firstLine="420" w:firstLineChars="200"/>
        <w:contextualSpacing/>
        <w:rPr>
          <w:rFonts w:eastAsia="宋体"/>
          <w:sz w:val="21"/>
          <w:szCs w:val="21"/>
          <w:highlight w:val="none"/>
        </w:rPr>
      </w:pPr>
      <w:r>
        <w:rPr>
          <w:rFonts w:hint="eastAsia" w:eastAsia="宋体"/>
          <w:sz w:val="21"/>
          <w:szCs w:val="21"/>
          <w:highlight w:val="none"/>
        </w:rPr>
        <w:t>（5）承诺应贵方要求提供任何与该项目投标有关的数据、情况和技术资料。</w:t>
      </w:r>
    </w:p>
    <w:p w14:paraId="7865396C">
      <w:pPr>
        <w:pStyle w:val="19"/>
        <w:tabs>
          <w:tab w:val="left" w:pos="426"/>
        </w:tabs>
        <w:spacing w:line="360" w:lineRule="auto"/>
        <w:ind w:firstLine="0"/>
        <w:contextualSpacing/>
        <w:rPr>
          <w:rFonts w:eastAsia="宋体"/>
          <w:sz w:val="21"/>
          <w:szCs w:val="21"/>
          <w:highlight w:val="none"/>
        </w:rPr>
      </w:pPr>
      <w:r>
        <w:rPr>
          <w:rFonts w:hint="eastAsia" w:eastAsia="宋体"/>
          <w:sz w:val="21"/>
          <w:szCs w:val="21"/>
          <w:highlight w:val="none"/>
        </w:rPr>
        <w:t>3、与本项目有关的澄清、补充文件请发送至：</w:t>
      </w:r>
    </w:p>
    <w:p w14:paraId="5E58D97F">
      <w:pPr>
        <w:pStyle w:val="19"/>
        <w:spacing w:line="360" w:lineRule="auto"/>
        <w:ind w:firstLine="420" w:firstLineChars="200"/>
        <w:rPr>
          <w:rFonts w:eastAsia="宋体" w:cs="宋体"/>
          <w:sz w:val="21"/>
          <w:szCs w:val="21"/>
          <w:highlight w:val="none"/>
        </w:rPr>
      </w:pPr>
      <w:r>
        <w:rPr>
          <w:rFonts w:hint="eastAsia" w:eastAsia="宋体" w:cs="宋体"/>
          <w:sz w:val="21"/>
          <w:szCs w:val="21"/>
          <w:highlight w:val="none"/>
        </w:rPr>
        <w:t>电子邮箱：  传真号码：</w:t>
      </w:r>
    </w:p>
    <w:p w14:paraId="119CC152">
      <w:pPr>
        <w:pStyle w:val="19"/>
        <w:tabs>
          <w:tab w:val="left" w:pos="426"/>
        </w:tabs>
        <w:spacing w:line="360" w:lineRule="auto"/>
        <w:ind w:firstLine="0"/>
        <w:contextualSpacing/>
        <w:rPr>
          <w:rFonts w:eastAsia="宋体"/>
          <w:sz w:val="21"/>
          <w:szCs w:val="21"/>
          <w:highlight w:val="none"/>
        </w:rPr>
      </w:pPr>
      <w:r>
        <w:rPr>
          <w:rFonts w:hint="eastAsia" w:eastAsia="宋体"/>
          <w:sz w:val="21"/>
          <w:szCs w:val="21"/>
          <w:highlight w:val="none"/>
        </w:rPr>
        <w:t>4、与本投标有关的一切往来通讯请寄：</w:t>
      </w:r>
    </w:p>
    <w:p w14:paraId="45B114A5">
      <w:pPr>
        <w:pStyle w:val="19"/>
        <w:spacing w:line="360" w:lineRule="auto"/>
        <w:ind w:left="480" w:firstLine="0"/>
        <w:contextualSpacing/>
        <w:rPr>
          <w:rFonts w:eastAsia="宋体"/>
          <w:sz w:val="21"/>
          <w:szCs w:val="21"/>
          <w:highlight w:val="none"/>
          <w:u w:val="single"/>
        </w:rPr>
      </w:pPr>
      <w:r>
        <w:rPr>
          <w:rFonts w:hint="eastAsia" w:eastAsia="宋体"/>
          <w:sz w:val="21"/>
          <w:szCs w:val="21"/>
          <w:highlight w:val="none"/>
        </w:rPr>
        <w:t>地址：</w:t>
      </w:r>
    </w:p>
    <w:p w14:paraId="3571DE13">
      <w:pPr>
        <w:pStyle w:val="19"/>
        <w:spacing w:line="360" w:lineRule="auto"/>
        <w:ind w:left="480" w:firstLine="0"/>
        <w:contextualSpacing/>
        <w:rPr>
          <w:rFonts w:eastAsia="宋体"/>
          <w:sz w:val="21"/>
          <w:szCs w:val="21"/>
          <w:highlight w:val="none"/>
          <w:u w:val="single"/>
        </w:rPr>
      </w:pPr>
      <w:r>
        <w:rPr>
          <w:rFonts w:hint="eastAsia" w:eastAsia="宋体"/>
          <w:sz w:val="21"/>
          <w:szCs w:val="21"/>
          <w:highlight w:val="none"/>
        </w:rPr>
        <w:t>邮编：电话：传真：</w:t>
      </w:r>
    </w:p>
    <w:p w14:paraId="6C615A76">
      <w:pPr>
        <w:pStyle w:val="19"/>
        <w:spacing w:line="360" w:lineRule="auto"/>
        <w:ind w:firstLine="0"/>
        <w:contextualSpacing/>
        <w:rPr>
          <w:rFonts w:hint="eastAsia" w:ascii="宋体" w:hAnsi="宋体" w:eastAsia="宋体" w:cs="宋体"/>
          <w:sz w:val="21"/>
          <w:szCs w:val="21"/>
          <w:highlight w:val="none"/>
        </w:rPr>
      </w:pPr>
    </w:p>
    <w:p w14:paraId="6DD85FB8">
      <w:pPr>
        <w:pStyle w:val="19"/>
        <w:spacing w:line="360" w:lineRule="auto"/>
        <w:ind w:firstLine="0"/>
        <w:contextualSpacing/>
        <w:rPr>
          <w:rFonts w:hint="eastAsia" w:ascii="宋体" w:hAnsi="宋体" w:eastAsia="宋体" w:cs="宋体"/>
          <w:sz w:val="21"/>
          <w:szCs w:val="21"/>
          <w:highlight w:val="none"/>
        </w:rPr>
      </w:pPr>
    </w:p>
    <w:p w14:paraId="20DD039E">
      <w:pPr>
        <w:pStyle w:val="19"/>
        <w:tabs>
          <w:tab w:val="left" w:pos="4185"/>
        </w:tabs>
        <w:spacing w:line="360" w:lineRule="auto"/>
        <w:ind w:firstLine="315" w:firstLineChars="15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投标人（盖章）：            </w:t>
      </w:r>
    </w:p>
    <w:p w14:paraId="59E07BEB">
      <w:pPr>
        <w:pStyle w:val="19"/>
        <w:tabs>
          <w:tab w:val="left" w:pos="4185"/>
        </w:tabs>
        <w:spacing w:line="360" w:lineRule="auto"/>
        <w:ind w:firstLine="315" w:firstLineChars="15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法定代表人或授权代表人（签字或盖章）：</w:t>
      </w:r>
    </w:p>
    <w:p w14:paraId="13FED711">
      <w:pPr>
        <w:pStyle w:val="19"/>
        <w:tabs>
          <w:tab w:val="left" w:pos="4841"/>
        </w:tabs>
        <w:spacing w:line="360" w:lineRule="auto"/>
        <w:ind w:firstLine="0"/>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ab/>
      </w:r>
    </w:p>
    <w:p w14:paraId="328D61D9">
      <w:pPr>
        <w:pStyle w:val="19"/>
        <w:tabs>
          <w:tab w:val="left" w:pos="4841"/>
        </w:tabs>
        <w:spacing w:line="360" w:lineRule="auto"/>
        <w:ind w:firstLine="315" w:firstLineChars="15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日期：2025年 月 日</w:t>
      </w:r>
    </w:p>
    <w:p w14:paraId="74EF7DEC">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22BEBA80">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0A058C68">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11E82556">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11ED0686">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4D1FF196">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5D83D617">
      <w:pPr>
        <w:pStyle w:val="19"/>
        <w:tabs>
          <w:tab w:val="left" w:pos="4841"/>
        </w:tabs>
        <w:spacing w:line="360" w:lineRule="auto"/>
        <w:ind w:firstLine="315" w:firstLineChars="150"/>
        <w:contextualSpacing/>
        <w:rPr>
          <w:rFonts w:hint="eastAsia" w:ascii="宋体" w:hAnsi="宋体" w:eastAsia="宋体" w:cs="宋体"/>
          <w:sz w:val="21"/>
          <w:szCs w:val="21"/>
          <w:highlight w:val="none"/>
        </w:rPr>
      </w:pPr>
    </w:p>
    <w:p w14:paraId="25B91EF4">
      <w:pPr>
        <w:pStyle w:val="19"/>
        <w:tabs>
          <w:tab w:val="left" w:pos="4841"/>
        </w:tabs>
        <w:ind w:firstLine="0"/>
        <w:rPr>
          <w:rFonts w:hint="eastAsia" w:ascii="宋体" w:hAnsi="宋体"/>
          <w:b/>
          <w:sz w:val="28"/>
          <w:szCs w:val="28"/>
          <w:highlight w:val="none"/>
        </w:rPr>
      </w:pPr>
    </w:p>
    <w:p w14:paraId="49E52E03">
      <w:pPr>
        <w:pStyle w:val="19"/>
        <w:tabs>
          <w:tab w:val="left" w:pos="4841"/>
        </w:tabs>
        <w:ind w:firstLine="0"/>
        <w:rPr>
          <w:rFonts w:hint="eastAsia" w:ascii="宋体" w:hAnsi="宋体"/>
          <w:b/>
          <w:sz w:val="28"/>
          <w:szCs w:val="28"/>
          <w:highlight w:val="none"/>
        </w:rPr>
      </w:pPr>
    </w:p>
    <w:p w14:paraId="78230BD8">
      <w:pPr>
        <w:pStyle w:val="19"/>
        <w:tabs>
          <w:tab w:val="left" w:pos="4841"/>
        </w:tabs>
        <w:rPr>
          <w:rFonts w:hint="eastAsia" w:ascii="宋体" w:hAnsi="宋体" w:eastAsia="宋体" w:cs="宋体"/>
          <w:bCs/>
          <w:sz w:val="21"/>
          <w:szCs w:val="21"/>
          <w:highlight w:val="none"/>
        </w:rPr>
      </w:pPr>
      <w:r>
        <w:rPr>
          <w:rFonts w:hint="eastAsia" w:ascii="宋体" w:hAnsi="宋体" w:eastAsia="宋体" w:cs="宋体"/>
          <w:bCs/>
          <w:sz w:val="21"/>
          <w:szCs w:val="21"/>
          <w:highlight w:val="none"/>
        </w:rPr>
        <w:t>格式二</w:t>
      </w:r>
    </w:p>
    <w:p w14:paraId="738A46BD">
      <w:pPr>
        <w:pStyle w:val="19"/>
        <w:tabs>
          <w:tab w:val="left" w:pos="4841"/>
        </w:tabs>
        <w:jc w:val="center"/>
        <w:rPr>
          <w:rFonts w:hint="eastAsia" w:hAnsi="宋体" w:eastAsia="宋体" w:cs="宋体"/>
          <w:b/>
          <w:color w:val="000000"/>
          <w:sz w:val="21"/>
          <w:szCs w:val="21"/>
          <w:highlight w:val="none"/>
        </w:rPr>
      </w:pPr>
      <w:r>
        <w:rPr>
          <w:rFonts w:hint="eastAsia" w:hAnsi="宋体" w:eastAsia="宋体" w:cs="宋体"/>
          <w:b/>
          <w:color w:val="000000"/>
          <w:sz w:val="21"/>
          <w:szCs w:val="21"/>
          <w:highlight w:val="none"/>
        </w:rPr>
        <w:t>投标一览表</w:t>
      </w:r>
    </w:p>
    <w:p w14:paraId="1AC8C8CF">
      <w:pPr>
        <w:pStyle w:val="19"/>
        <w:rPr>
          <w:rFonts w:hint="eastAsia" w:ascii="宋体" w:hAnsi="宋体" w:eastAsia="宋体" w:cs="宋体"/>
          <w:bCs/>
          <w:sz w:val="21"/>
          <w:szCs w:val="21"/>
          <w:highlight w:val="none"/>
        </w:rPr>
      </w:pPr>
    </w:p>
    <w:p w14:paraId="23CC6253">
      <w:pPr>
        <w:pStyle w:val="19"/>
        <w:rPr>
          <w:rFonts w:hint="eastAsia" w:ascii="宋体" w:hAnsi="宋体" w:eastAsia="宋体"/>
          <w:sz w:val="21"/>
          <w:szCs w:val="21"/>
          <w:highlight w:val="none"/>
        </w:rPr>
      </w:pPr>
      <w:r>
        <w:rPr>
          <w:rFonts w:hint="eastAsia" w:ascii="宋体" w:hAnsi="宋体" w:eastAsia="宋体"/>
          <w:sz w:val="21"/>
          <w:szCs w:val="21"/>
          <w:highlight w:val="none"/>
        </w:rPr>
        <w:t>招标项目名称：      招标编号：</w:t>
      </w:r>
    </w:p>
    <w:p w14:paraId="72E4DBAC">
      <w:pPr>
        <w:pStyle w:val="19"/>
        <w:rPr>
          <w:rFonts w:hint="eastAsia" w:ascii="宋体" w:hAnsi="宋体"/>
          <w:highlight w:val="none"/>
          <w:u w:val="single"/>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3827"/>
        <w:gridCol w:w="2703"/>
      </w:tblGrid>
      <w:tr w14:paraId="6236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0CC474D">
            <w:pPr>
              <w:snapToGrid w:val="0"/>
              <w:spacing w:before="50" w:after="50"/>
              <w:jc w:val="center"/>
              <w:rPr>
                <w:rFonts w:hint="eastAsia" w:ascii="宋体" w:hAnsi="宋体"/>
                <w:szCs w:val="21"/>
                <w:highlight w:val="none"/>
              </w:rPr>
            </w:pPr>
            <w:r>
              <w:rPr>
                <w:rFonts w:hint="eastAsia" w:ascii="宋体" w:hAnsi="宋体"/>
                <w:szCs w:val="21"/>
                <w:highlight w:val="none"/>
              </w:rPr>
              <w:t>项目内容</w:t>
            </w:r>
          </w:p>
        </w:tc>
        <w:tc>
          <w:tcPr>
            <w:tcW w:w="3827" w:type="dxa"/>
            <w:tcBorders>
              <w:top w:val="single" w:color="auto" w:sz="4" w:space="0"/>
              <w:left w:val="single" w:color="auto" w:sz="4" w:space="0"/>
              <w:bottom w:val="single" w:color="auto" w:sz="4" w:space="0"/>
              <w:right w:val="single" w:color="auto" w:sz="4" w:space="0"/>
            </w:tcBorders>
            <w:vAlign w:val="center"/>
          </w:tcPr>
          <w:p w14:paraId="47D82B84">
            <w:pPr>
              <w:snapToGrid w:val="0"/>
              <w:spacing w:before="50" w:after="50"/>
              <w:jc w:val="center"/>
              <w:rPr>
                <w:rFonts w:hint="eastAsia" w:ascii="宋体" w:hAnsi="宋体"/>
                <w:szCs w:val="21"/>
                <w:highlight w:val="none"/>
              </w:rPr>
            </w:pPr>
            <w:r>
              <w:rPr>
                <w:rFonts w:hint="eastAsia" w:ascii="宋体" w:hAnsi="宋体"/>
                <w:szCs w:val="21"/>
                <w:highlight w:val="none"/>
              </w:rPr>
              <w:t>投标报价</w:t>
            </w:r>
          </w:p>
        </w:tc>
        <w:tc>
          <w:tcPr>
            <w:tcW w:w="2703" w:type="dxa"/>
            <w:tcBorders>
              <w:top w:val="single" w:color="auto" w:sz="4" w:space="0"/>
              <w:left w:val="single" w:color="auto" w:sz="4" w:space="0"/>
              <w:bottom w:val="single" w:color="auto" w:sz="4" w:space="0"/>
              <w:right w:val="single" w:color="auto" w:sz="4" w:space="0"/>
            </w:tcBorders>
            <w:vAlign w:val="center"/>
          </w:tcPr>
          <w:p w14:paraId="4B0A38ED">
            <w:pPr>
              <w:snapToGrid w:val="0"/>
              <w:spacing w:before="50" w:after="50"/>
              <w:jc w:val="center"/>
              <w:rPr>
                <w:rFonts w:hint="eastAsia" w:ascii="宋体" w:hAnsi="宋体"/>
                <w:szCs w:val="21"/>
                <w:highlight w:val="none"/>
              </w:rPr>
            </w:pPr>
            <w:r>
              <w:rPr>
                <w:rFonts w:ascii="宋体" w:hAnsi="宋体"/>
                <w:szCs w:val="21"/>
                <w:highlight w:val="none"/>
              </w:rPr>
              <w:t>交货日期</w:t>
            </w:r>
          </w:p>
        </w:tc>
      </w:tr>
      <w:tr w14:paraId="40779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64ADCBD">
            <w:pPr>
              <w:snapToGrid w:val="0"/>
              <w:spacing w:before="50" w:after="50"/>
              <w:jc w:val="center"/>
              <w:rPr>
                <w:rFonts w:hint="eastAsia" w:ascii="宋体" w:hAnsi="宋体"/>
                <w:szCs w:val="21"/>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61033246">
            <w:pPr>
              <w:snapToGrid w:val="0"/>
              <w:spacing w:before="50" w:after="50"/>
              <w:jc w:val="left"/>
              <w:rPr>
                <w:rFonts w:hint="eastAsia" w:ascii="宋体" w:hAnsi="宋体" w:eastAsia="方正书宋简体"/>
                <w:sz w:val="24"/>
                <w:szCs w:val="22"/>
                <w:highlight w:val="none"/>
              </w:rPr>
            </w:pPr>
          </w:p>
        </w:tc>
        <w:tc>
          <w:tcPr>
            <w:tcW w:w="2703" w:type="dxa"/>
            <w:tcBorders>
              <w:top w:val="single" w:color="auto" w:sz="4" w:space="0"/>
              <w:left w:val="single" w:color="auto" w:sz="4" w:space="0"/>
              <w:right w:val="single" w:color="auto" w:sz="4" w:space="0"/>
            </w:tcBorders>
            <w:vAlign w:val="center"/>
          </w:tcPr>
          <w:p w14:paraId="52AC8BAF">
            <w:pPr>
              <w:snapToGrid w:val="0"/>
              <w:spacing w:before="50" w:after="50" w:line="360" w:lineRule="auto"/>
              <w:jc w:val="center"/>
              <w:rPr>
                <w:rFonts w:hint="eastAsia" w:ascii="宋体" w:hAnsi="宋体" w:eastAsia="方正书宋简体"/>
                <w:sz w:val="24"/>
                <w:szCs w:val="22"/>
                <w:highlight w:val="none"/>
              </w:rPr>
            </w:pPr>
          </w:p>
        </w:tc>
      </w:tr>
      <w:tr w14:paraId="63A18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66C7BDA">
            <w:pPr>
              <w:snapToGrid w:val="0"/>
              <w:spacing w:before="50" w:after="50"/>
              <w:jc w:val="center"/>
              <w:rPr>
                <w:rFonts w:hint="eastAsia" w:ascii="宋体" w:hAnsi="宋体"/>
                <w:szCs w:val="21"/>
                <w:highlight w:val="none"/>
              </w:rPr>
            </w:pPr>
            <w:r>
              <w:rPr>
                <w:rFonts w:hint="eastAsia" w:ascii="宋体" w:hAnsi="宋体"/>
                <w:szCs w:val="21"/>
                <w:highlight w:val="none"/>
              </w:rPr>
              <w:t>合价</w:t>
            </w:r>
          </w:p>
        </w:tc>
        <w:tc>
          <w:tcPr>
            <w:tcW w:w="6530" w:type="dxa"/>
            <w:gridSpan w:val="2"/>
            <w:tcBorders>
              <w:top w:val="single" w:color="auto" w:sz="4" w:space="0"/>
              <w:left w:val="single" w:color="auto" w:sz="4" w:space="0"/>
              <w:bottom w:val="single" w:color="auto" w:sz="4" w:space="0"/>
              <w:right w:val="single" w:color="auto" w:sz="4" w:space="0"/>
            </w:tcBorders>
            <w:vAlign w:val="center"/>
          </w:tcPr>
          <w:p w14:paraId="4AD83622">
            <w:pPr>
              <w:snapToGrid w:val="0"/>
              <w:spacing w:before="50" w:after="50" w:line="360" w:lineRule="auto"/>
              <w:jc w:val="center"/>
              <w:rPr>
                <w:rFonts w:hint="eastAsia" w:ascii="宋体" w:hAnsi="宋体" w:eastAsia="方正书宋简体"/>
                <w:sz w:val="24"/>
                <w:szCs w:val="22"/>
                <w:highlight w:val="none"/>
              </w:rPr>
            </w:pPr>
          </w:p>
        </w:tc>
      </w:tr>
      <w:tr w14:paraId="4EFDF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76AA1E1">
            <w:pPr>
              <w:snapToGrid w:val="0"/>
              <w:spacing w:before="50" w:after="50"/>
              <w:jc w:val="center"/>
              <w:rPr>
                <w:rFonts w:hint="eastAsia" w:ascii="宋体" w:hAnsi="宋体"/>
                <w:szCs w:val="21"/>
                <w:highlight w:val="none"/>
              </w:rPr>
            </w:pPr>
            <w:r>
              <w:rPr>
                <w:rFonts w:hint="eastAsia" w:ascii="宋体" w:hAnsi="宋体"/>
                <w:szCs w:val="21"/>
                <w:highlight w:val="none"/>
              </w:rPr>
              <w:t>投标声明</w:t>
            </w:r>
          </w:p>
        </w:tc>
        <w:tc>
          <w:tcPr>
            <w:tcW w:w="6530" w:type="dxa"/>
            <w:gridSpan w:val="2"/>
            <w:tcBorders>
              <w:top w:val="single" w:color="auto" w:sz="4" w:space="0"/>
              <w:left w:val="single" w:color="auto" w:sz="4" w:space="0"/>
              <w:bottom w:val="single" w:color="auto" w:sz="4" w:space="0"/>
              <w:right w:val="single" w:color="auto" w:sz="4" w:space="0"/>
            </w:tcBorders>
            <w:vAlign w:val="center"/>
          </w:tcPr>
          <w:p w14:paraId="60D10D74">
            <w:pPr>
              <w:snapToGrid w:val="0"/>
              <w:spacing w:before="50" w:after="50"/>
              <w:rPr>
                <w:rFonts w:hint="eastAsia" w:ascii="宋体" w:hAnsi="宋体"/>
                <w:szCs w:val="21"/>
                <w:highlight w:val="none"/>
              </w:rPr>
            </w:pPr>
          </w:p>
        </w:tc>
      </w:tr>
    </w:tbl>
    <w:p w14:paraId="00080EB9">
      <w:pPr>
        <w:pStyle w:val="19"/>
        <w:tabs>
          <w:tab w:val="left" w:pos="4841"/>
        </w:tabs>
        <w:rPr>
          <w:rFonts w:hint="eastAsia" w:ascii="宋体" w:hAnsi="宋体" w:eastAsia="宋体" w:cs="宋体"/>
          <w:bCs/>
          <w:sz w:val="21"/>
          <w:szCs w:val="21"/>
          <w:highlight w:val="none"/>
        </w:rPr>
      </w:pPr>
    </w:p>
    <w:p w14:paraId="50297173">
      <w:pPr>
        <w:spacing w:line="340" w:lineRule="exact"/>
        <w:ind w:left="-108" w:right="-113"/>
        <w:contextualSpacing/>
        <w:jc w:val="left"/>
        <w:rPr>
          <w:szCs w:val="24"/>
          <w:highlight w:val="none"/>
        </w:rPr>
      </w:pPr>
      <w:r>
        <w:rPr>
          <w:rFonts w:hint="eastAsia"/>
          <w:szCs w:val="24"/>
          <w:highlight w:val="none"/>
        </w:rPr>
        <w:t xml:space="preserve"> “其他项”投保人可以自拟，也可以增项。</w:t>
      </w:r>
    </w:p>
    <w:p w14:paraId="60F222FE">
      <w:pPr>
        <w:pStyle w:val="19"/>
        <w:tabs>
          <w:tab w:val="left" w:pos="4841"/>
        </w:tabs>
        <w:ind w:firstLine="0"/>
        <w:rPr>
          <w:rFonts w:hint="eastAsia" w:ascii="宋体" w:hAnsi="宋体" w:eastAsia="宋体" w:cs="宋体"/>
          <w:bCs/>
          <w:sz w:val="21"/>
          <w:szCs w:val="21"/>
          <w:highlight w:val="none"/>
        </w:rPr>
      </w:pPr>
    </w:p>
    <w:p w14:paraId="44354610">
      <w:pPr>
        <w:pStyle w:val="19"/>
        <w:tabs>
          <w:tab w:val="left" w:pos="4841"/>
        </w:tabs>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 标 人  （盖章）：</w:t>
      </w:r>
    </w:p>
    <w:p w14:paraId="4ACD9AD8">
      <w:pPr>
        <w:pStyle w:val="19"/>
        <w:tabs>
          <w:tab w:val="left" w:pos="4841"/>
        </w:tabs>
        <w:rPr>
          <w:rFonts w:hint="eastAsia" w:ascii="宋体" w:hAnsi="宋体" w:eastAsia="宋体" w:cs="宋体"/>
          <w:bCs/>
          <w:sz w:val="21"/>
          <w:szCs w:val="21"/>
          <w:highlight w:val="none"/>
        </w:rPr>
      </w:pPr>
      <w:r>
        <w:rPr>
          <w:rFonts w:hint="eastAsia" w:ascii="宋体" w:hAnsi="宋体" w:eastAsia="宋体" w:cs="宋体"/>
          <w:sz w:val="21"/>
          <w:szCs w:val="21"/>
          <w:highlight w:val="none"/>
        </w:rPr>
        <w:t>法定代表人或授权代表人（签字或盖章）</w:t>
      </w:r>
      <w:r>
        <w:rPr>
          <w:rFonts w:hint="eastAsia" w:ascii="宋体" w:hAnsi="宋体" w:eastAsia="宋体" w:cs="宋体"/>
          <w:bCs/>
          <w:sz w:val="21"/>
          <w:szCs w:val="21"/>
          <w:highlight w:val="none"/>
        </w:rPr>
        <w:t>：</w:t>
      </w:r>
    </w:p>
    <w:p w14:paraId="4CBA31CD">
      <w:pPr>
        <w:pStyle w:val="19"/>
        <w:tabs>
          <w:tab w:val="left" w:pos="4841"/>
        </w:tabs>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p>
    <w:p w14:paraId="1E155D71">
      <w:pPr>
        <w:pStyle w:val="19"/>
        <w:rPr>
          <w:rFonts w:hint="eastAsia" w:ascii="宋体" w:hAnsi="宋体"/>
          <w:highlight w:val="none"/>
        </w:rPr>
      </w:pPr>
    </w:p>
    <w:p w14:paraId="34AE74F8">
      <w:pPr>
        <w:pStyle w:val="19"/>
        <w:rPr>
          <w:rFonts w:hint="eastAsia" w:ascii="宋体" w:hAnsi="宋体"/>
          <w:highlight w:val="none"/>
        </w:rPr>
      </w:pPr>
    </w:p>
    <w:p w14:paraId="23CA1B6C">
      <w:pPr>
        <w:pStyle w:val="19"/>
        <w:rPr>
          <w:rFonts w:hint="eastAsia" w:ascii="宋体" w:hAnsi="宋体"/>
          <w:highlight w:val="none"/>
        </w:rPr>
      </w:pPr>
    </w:p>
    <w:p w14:paraId="1B8AC319">
      <w:pPr>
        <w:pStyle w:val="19"/>
        <w:ind w:firstLine="0"/>
        <w:rPr>
          <w:rFonts w:hint="eastAsia" w:ascii="宋体" w:hAnsi="宋体"/>
          <w:highlight w:val="none"/>
        </w:rPr>
      </w:pPr>
    </w:p>
    <w:p w14:paraId="356B46C9">
      <w:pPr>
        <w:pStyle w:val="19"/>
        <w:ind w:firstLine="0"/>
        <w:rPr>
          <w:rFonts w:hint="eastAsia" w:ascii="宋体" w:hAnsi="宋体" w:eastAsiaTheme="minorEastAsia"/>
          <w:highlight w:val="none"/>
        </w:rPr>
      </w:pPr>
    </w:p>
    <w:p w14:paraId="6F876967">
      <w:pPr>
        <w:pStyle w:val="19"/>
        <w:ind w:firstLine="0"/>
        <w:rPr>
          <w:rFonts w:hint="eastAsia" w:ascii="宋体" w:hAnsi="宋体" w:eastAsiaTheme="minorEastAsia"/>
          <w:highlight w:val="none"/>
        </w:rPr>
      </w:pPr>
    </w:p>
    <w:p w14:paraId="38E39333">
      <w:pPr>
        <w:pStyle w:val="19"/>
        <w:ind w:firstLine="0"/>
        <w:rPr>
          <w:rFonts w:hint="eastAsia" w:ascii="宋体" w:hAnsi="宋体" w:eastAsiaTheme="minorEastAsia"/>
          <w:highlight w:val="none"/>
        </w:rPr>
      </w:pPr>
    </w:p>
    <w:p w14:paraId="0D92CBE5">
      <w:pPr>
        <w:pStyle w:val="19"/>
        <w:ind w:firstLine="0"/>
        <w:rPr>
          <w:rFonts w:hint="eastAsia" w:ascii="宋体" w:hAnsi="宋体" w:eastAsiaTheme="minorEastAsia"/>
          <w:highlight w:val="none"/>
        </w:rPr>
      </w:pPr>
    </w:p>
    <w:p w14:paraId="53A4C4CA">
      <w:pPr>
        <w:pStyle w:val="19"/>
        <w:ind w:firstLine="0"/>
        <w:rPr>
          <w:rFonts w:hint="eastAsia" w:ascii="宋体" w:hAnsi="宋体" w:eastAsiaTheme="minorEastAsia"/>
          <w:highlight w:val="none"/>
        </w:rPr>
      </w:pPr>
    </w:p>
    <w:p w14:paraId="731E66DA">
      <w:pPr>
        <w:pStyle w:val="19"/>
        <w:ind w:firstLine="0"/>
        <w:rPr>
          <w:rFonts w:hint="eastAsia" w:ascii="宋体" w:hAnsi="宋体" w:eastAsiaTheme="minorEastAsia"/>
          <w:highlight w:val="none"/>
        </w:rPr>
      </w:pPr>
    </w:p>
    <w:p w14:paraId="705CA17E">
      <w:pPr>
        <w:pStyle w:val="19"/>
        <w:ind w:firstLine="0"/>
        <w:rPr>
          <w:rFonts w:hint="eastAsia" w:ascii="宋体" w:hAnsi="宋体" w:eastAsiaTheme="minorEastAsia"/>
          <w:highlight w:val="none"/>
        </w:rPr>
      </w:pPr>
    </w:p>
    <w:p w14:paraId="2CAC58FC">
      <w:pPr>
        <w:pStyle w:val="19"/>
        <w:ind w:firstLine="0"/>
        <w:rPr>
          <w:rFonts w:hint="eastAsia" w:ascii="宋体" w:hAnsi="宋体" w:eastAsiaTheme="minorEastAsia"/>
          <w:highlight w:val="none"/>
        </w:rPr>
      </w:pPr>
    </w:p>
    <w:p w14:paraId="6ADE78E9">
      <w:pPr>
        <w:pStyle w:val="19"/>
        <w:ind w:firstLine="0"/>
        <w:rPr>
          <w:rFonts w:hint="eastAsia" w:ascii="宋体" w:hAnsi="宋体" w:eastAsiaTheme="minorEastAsia"/>
          <w:highlight w:val="none"/>
        </w:rPr>
      </w:pPr>
    </w:p>
    <w:p w14:paraId="73D179C7">
      <w:pPr>
        <w:pStyle w:val="19"/>
        <w:tabs>
          <w:tab w:val="left" w:pos="4841"/>
        </w:tabs>
        <w:rPr>
          <w:rFonts w:hint="eastAsia" w:ascii="宋体" w:hAnsi="宋体" w:eastAsia="宋体" w:cs="宋体"/>
          <w:bCs/>
          <w:sz w:val="21"/>
          <w:szCs w:val="21"/>
          <w:highlight w:val="none"/>
        </w:rPr>
      </w:pPr>
      <w:r>
        <w:rPr>
          <w:rFonts w:hint="eastAsia" w:ascii="宋体" w:hAnsi="宋体" w:eastAsia="宋体" w:cs="宋体"/>
          <w:bCs/>
          <w:sz w:val="21"/>
          <w:szCs w:val="21"/>
          <w:highlight w:val="none"/>
        </w:rPr>
        <w:t>格式三</w:t>
      </w:r>
    </w:p>
    <w:p w14:paraId="4639C04D">
      <w:pPr>
        <w:pStyle w:val="19"/>
        <w:tabs>
          <w:tab w:val="left" w:pos="4841"/>
        </w:tabs>
        <w:jc w:val="center"/>
        <w:rPr>
          <w:rFonts w:hint="eastAsia" w:hAnsi="宋体" w:eastAsia="宋体" w:cs="宋体"/>
          <w:b/>
          <w:color w:val="000000"/>
          <w:sz w:val="21"/>
          <w:szCs w:val="21"/>
          <w:highlight w:val="none"/>
        </w:rPr>
      </w:pPr>
      <w:r>
        <w:rPr>
          <w:rFonts w:hint="eastAsia" w:hAnsi="宋体" w:eastAsia="宋体" w:cs="宋体"/>
          <w:b/>
          <w:color w:val="000000"/>
          <w:sz w:val="21"/>
          <w:szCs w:val="21"/>
          <w:highlight w:val="none"/>
        </w:rPr>
        <w:t>投标分项报价表</w:t>
      </w:r>
    </w:p>
    <w:p w14:paraId="3093314D">
      <w:pPr>
        <w:pStyle w:val="19"/>
        <w:spacing w:line="0" w:lineRule="atLeast"/>
        <w:ind w:firstLine="0"/>
        <w:jc w:val="center"/>
        <w:rPr>
          <w:rFonts w:eastAsia="仿宋_GB2312"/>
          <w:w w:val="80"/>
          <w:szCs w:val="24"/>
          <w:highlight w:val="none"/>
          <w:bdr w:val="single" w:color="auto" w:sz="4" w:space="0"/>
          <w:shd w:val="pct10" w:color="auto" w:fill="FFFFFF"/>
        </w:rPr>
      </w:pPr>
      <w:r>
        <w:rPr>
          <w:w w:val="80"/>
          <w:szCs w:val="21"/>
          <w:highlight w:val="none"/>
          <w:bdr w:val="single" w:color="auto" w:sz="4" w:space="0"/>
          <w:shd w:val="pct10" w:color="auto" w:fill="FFFFFF"/>
        </w:rPr>
        <w:t>投标分项报价表或服务费用报价明细表格格式可由投标人要求自行设计</w:t>
      </w:r>
    </w:p>
    <w:p w14:paraId="19D71CF5">
      <w:pPr>
        <w:pStyle w:val="19"/>
        <w:ind w:firstLine="0"/>
        <w:rPr>
          <w:rFonts w:eastAsia="宋体"/>
          <w:w w:val="80"/>
          <w:highlight w:val="none"/>
        </w:rPr>
      </w:pPr>
      <w:r>
        <w:rPr>
          <w:rFonts w:eastAsia="宋体"/>
          <w:w w:val="80"/>
          <w:highlight w:val="none"/>
        </w:rPr>
        <w:t>招标编号：</w:t>
      </w:r>
    </w:p>
    <w:p w14:paraId="6C7EAF81">
      <w:pPr>
        <w:pStyle w:val="19"/>
        <w:tabs>
          <w:tab w:val="right" w:pos="8847"/>
        </w:tabs>
        <w:ind w:right="-2" w:firstLine="0"/>
        <w:rPr>
          <w:rFonts w:hint="eastAsia" w:ascii="宋体" w:hAnsi="宋体"/>
          <w:sz w:val="32"/>
          <w:highlight w:val="none"/>
        </w:rPr>
      </w:pPr>
      <w:r>
        <w:rPr>
          <w:rFonts w:eastAsia="宋体"/>
          <w:w w:val="80"/>
          <w:highlight w:val="none"/>
        </w:rPr>
        <w:t>项目名称：</w:t>
      </w:r>
      <w:r>
        <w:rPr>
          <w:rFonts w:eastAsia="宋体"/>
          <w:w w:val="80"/>
          <w:szCs w:val="21"/>
          <w:highlight w:val="none"/>
        </w:rPr>
        <w:t>单位：人民币元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34"/>
        <w:gridCol w:w="1117"/>
        <w:gridCol w:w="1150"/>
        <w:gridCol w:w="1300"/>
        <w:gridCol w:w="1229"/>
        <w:gridCol w:w="1781"/>
      </w:tblGrid>
      <w:tr w14:paraId="06F4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28" w:type="dxa"/>
            <w:gridSpan w:val="7"/>
            <w:tcBorders>
              <w:bottom w:val="single" w:color="auto" w:sz="4" w:space="0"/>
            </w:tcBorders>
            <w:vAlign w:val="center"/>
          </w:tcPr>
          <w:p w14:paraId="531FD329">
            <w:pPr>
              <w:pStyle w:val="19"/>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总    报    价    组    成（一年）</w:t>
            </w:r>
          </w:p>
        </w:tc>
      </w:tr>
      <w:tr w14:paraId="38D2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bottom w:val="single" w:color="auto" w:sz="4" w:space="0"/>
            </w:tcBorders>
            <w:vAlign w:val="center"/>
          </w:tcPr>
          <w:p w14:paraId="7327E7B9">
            <w:pPr>
              <w:pStyle w:val="19"/>
              <w:ind w:firstLine="0"/>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w:t>
            </w:r>
          </w:p>
        </w:tc>
        <w:tc>
          <w:tcPr>
            <w:tcW w:w="1234" w:type="dxa"/>
            <w:tcBorders>
              <w:bottom w:val="single" w:color="auto" w:sz="4" w:space="0"/>
            </w:tcBorders>
            <w:vAlign w:val="center"/>
          </w:tcPr>
          <w:p w14:paraId="5CF1A35C">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详细内容</w:t>
            </w:r>
          </w:p>
        </w:tc>
        <w:tc>
          <w:tcPr>
            <w:tcW w:w="1117" w:type="dxa"/>
            <w:tcBorders>
              <w:bottom w:val="single" w:color="auto" w:sz="4" w:space="0"/>
            </w:tcBorders>
            <w:vAlign w:val="center"/>
          </w:tcPr>
          <w:p w14:paraId="3D14E3B4">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品牌型号</w:t>
            </w:r>
          </w:p>
        </w:tc>
        <w:tc>
          <w:tcPr>
            <w:tcW w:w="1150" w:type="dxa"/>
            <w:tcBorders>
              <w:bottom w:val="single" w:color="auto" w:sz="4" w:space="0"/>
            </w:tcBorders>
            <w:vAlign w:val="center"/>
          </w:tcPr>
          <w:p w14:paraId="65703DB7">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单价</w:t>
            </w:r>
          </w:p>
        </w:tc>
        <w:tc>
          <w:tcPr>
            <w:tcW w:w="1300" w:type="dxa"/>
            <w:tcBorders>
              <w:bottom w:val="single" w:color="auto" w:sz="4" w:space="0"/>
            </w:tcBorders>
            <w:vAlign w:val="center"/>
          </w:tcPr>
          <w:p w14:paraId="1DFC80B5">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1229" w:type="dxa"/>
            <w:tcBorders>
              <w:bottom w:val="single" w:color="auto" w:sz="4" w:space="0"/>
            </w:tcBorders>
            <w:vAlign w:val="center"/>
          </w:tcPr>
          <w:p w14:paraId="7AE25074">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合价</w:t>
            </w:r>
          </w:p>
        </w:tc>
        <w:tc>
          <w:tcPr>
            <w:tcW w:w="1781" w:type="dxa"/>
            <w:tcBorders>
              <w:bottom w:val="single" w:color="auto" w:sz="4" w:space="0"/>
            </w:tcBorders>
            <w:vAlign w:val="center"/>
          </w:tcPr>
          <w:p w14:paraId="573574E4">
            <w:pPr>
              <w:pStyle w:val="19"/>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小计</w:t>
            </w:r>
          </w:p>
        </w:tc>
      </w:tr>
      <w:tr w14:paraId="6D70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restart"/>
            <w:tcBorders>
              <w:top w:val="single" w:color="auto" w:sz="4" w:space="0"/>
            </w:tcBorders>
            <w:vAlign w:val="center"/>
          </w:tcPr>
          <w:p w14:paraId="713B3C1E">
            <w:pPr>
              <w:pStyle w:val="19"/>
              <w:rPr>
                <w:rFonts w:hint="eastAsia" w:ascii="宋体" w:hAnsi="宋体" w:eastAsia="宋体" w:cs="宋体"/>
                <w:bCs/>
                <w:sz w:val="21"/>
                <w:szCs w:val="21"/>
                <w:highlight w:val="none"/>
              </w:rPr>
            </w:pPr>
          </w:p>
        </w:tc>
        <w:tc>
          <w:tcPr>
            <w:tcW w:w="1234" w:type="dxa"/>
            <w:tcBorders>
              <w:top w:val="single" w:color="auto" w:sz="4" w:space="0"/>
            </w:tcBorders>
            <w:vAlign w:val="center"/>
          </w:tcPr>
          <w:p w14:paraId="087E481B">
            <w:pPr>
              <w:pStyle w:val="19"/>
              <w:rPr>
                <w:rFonts w:hint="eastAsia" w:ascii="宋体" w:hAnsi="宋体" w:eastAsia="宋体" w:cs="宋体"/>
                <w:bCs/>
                <w:sz w:val="21"/>
                <w:szCs w:val="21"/>
                <w:highlight w:val="none"/>
              </w:rPr>
            </w:pPr>
          </w:p>
        </w:tc>
        <w:tc>
          <w:tcPr>
            <w:tcW w:w="1117" w:type="dxa"/>
            <w:tcBorders>
              <w:top w:val="single" w:color="auto" w:sz="4" w:space="0"/>
            </w:tcBorders>
            <w:vAlign w:val="center"/>
          </w:tcPr>
          <w:p w14:paraId="6FA0FB5D">
            <w:pPr>
              <w:pStyle w:val="19"/>
              <w:rPr>
                <w:rFonts w:hint="eastAsia" w:ascii="宋体" w:hAnsi="宋体" w:eastAsia="宋体" w:cs="宋体"/>
                <w:bCs/>
                <w:sz w:val="21"/>
                <w:szCs w:val="21"/>
                <w:highlight w:val="none"/>
              </w:rPr>
            </w:pPr>
          </w:p>
        </w:tc>
        <w:tc>
          <w:tcPr>
            <w:tcW w:w="1150" w:type="dxa"/>
            <w:tcBorders>
              <w:top w:val="single" w:color="auto" w:sz="4" w:space="0"/>
            </w:tcBorders>
            <w:vAlign w:val="center"/>
          </w:tcPr>
          <w:p w14:paraId="0DD80A89">
            <w:pPr>
              <w:pStyle w:val="19"/>
              <w:rPr>
                <w:rFonts w:hint="eastAsia" w:ascii="宋体" w:hAnsi="宋体" w:eastAsia="宋体" w:cs="宋体"/>
                <w:bCs/>
                <w:sz w:val="21"/>
                <w:szCs w:val="21"/>
                <w:highlight w:val="none"/>
              </w:rPr>
            </w:pPr>
          </w:p>
        </w:tc>
        <w:tc>
          <w:tcPr>
            <w:tcW w:w="1300" w:type="dxa"/>
            <w:tcBorders>
              <w:top w:val="single" w:color="auto" w:sz="4" w:space="0"/>
            </w:tcBorders>
            <w:vAlign w:val="center"/>
          </w:tcPr>
          <w:p w14:paraId="3418E50A">
            <w:pPr>
              <w:pStyle w:val="19"/>
              <w:rPr>
                <w:rFonts w:hint="eastAsia" w:ascii="宋体" w:hAnsi="宋体" w:eastAsia="宋体" w:cs="宋体"/>
                <w:bCs/>
                <w:sz w:val="21"/>
                <w:szCs w:val="21"/>
                <w:highlight w:val="none"/>
              </w:rPr>
            </w:pPr>
          </w:p>
        </w:tc>
        <w:tc>
          <w:tcPr>
            <w:tcW w:w="1229" w:type="dxa"/>
            <w:tcBorders>
              <w:top w:val="single" w:color="auto" w:sz="4" w:space="0"/>
            </w:tcBorders>
          </w:tcPr>
          <w:p w14:paraId="3A177E1C">
            <w:pPr>
              <w:pStyle w:val="19"/>
              <w:rPr>
                <w:rFonts w:hint="eastAsia" w:ascii="宋体" w:hAnsi="宋体" w:eastAsia="宋体" w:cs="宋体"/>
                <w:bCs/>
                <w:sz w:val="21"/>
                <w:szCs w:val="21"/>
                <w:highlight w:val="none"/>
              </w:rPr>
            </w:pPr>
          </w:p>
        </w:tc>
        <w:tc>
          <w:tcPr>
            <w:tcW w:w="1781" w:type="dxa"/>
            <w:tcBorders>
              <w:top w:val="single" w:color="auto" w:sz="4" w:space="0"/>
            </w:tcBorders>
          </w:tcPr>
          <w:p w14:paraId="324DCAF8">
            <w:pPr>
              <w:pStyle w:val="19"/>
              <w:rPr>
                <w:rFonts w:hint="eastAsia" w:ascii="宋体" w:hAnsi="宋体" w:eastAsia="宋体" w:cs="宋体"/>
                <w:bCs/>
                <w:sz w:val="21"/>
                <w:szCs w:val="21"/>
                <w:highlight w:val="none"/>
              </w:rPr>
            </w:pPr>
          </w:p>
        </w:tc>
      </w:tr>
      <w:tr w14:paraId="7690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0A5CC683">
            <w:pPr>
              <w:pStyle w:val="19"/>
              <w:rPr>
                <w:rFonts w:hint="eastAsia" w:ascii="宋体" w:hAnsi="宋体" w:eastAsia="宋体" w:cs="宋体"/>
                <w:bCs/>
                <w:sz w:val="21"/>
                <w:szCs w:val="21"/>
                <w:highlight w:val="none"/>
              </w:rPr>
            </w:pPr>
          </w:p>
        </w:tc>
        <w:tc>
          <w:tcPr>
            <w:tcW w:w="1234" w:type="dxa"/>
            <w:vAlign w:val="center"/>
          </w:tcPr>
          <w:p w14:paraId="24383AAD">
            <w:pPr>
              <w:pStyle w:val="19"/>
              <w:rPr>
                <w:rFonts w:hint="eastAsia" w:ascii="宋体" w:hAnsi="宋体" w:eastAsia="宋体" w:cs="宋体"/>
                <w:bCs/>
                <w:sz w:val="21"/>
                <w:szCs w:val="21"/>
                <w:highlight w:val="none"/>
              </w:rPr>
            </w:pPr>
          </w:p>
        </w:tc>
        <w:tc>
          <w:tcPr>
            <w:tcW w:w="1117" w:type="dxa"/>
            <w:vAlign w:val="center"/>
          </w:tcPr>
          <w:p w14:paraId="1C2FC356">
            <w:pPr>
              <w:pStyle w:val="19"/>
              <w:rPr>
                <w:rFonts w:hint="eastAsia" w:ascii="宋体" w:hAnsi="宋体" w:eastAsia="宋体" w:cs="宋体"/>
                <w:bCs/>
                <w:sz w:val="21"/>
                <w:szCs w:val="21"/>
                <w:highlight w:val="none"/>
              </w:rPr>
            </w:pPr>
          </w:p>
        </w:tc>
        <w:tc>
          <w:tcPr>
            <w:tcW w:w="1150" w:type="dxa"/>
            <w:vAlign w:val="center"/>
          </w:tcPr>
          <w:p w14:paraId="6F656E77">
            <w:pPr>
              <w:pStyle w:val="19"/>
              <w:rPr>
                <w:rFonts w:hint="eastAsia" w:ascii="宋体" w:hAnsi="宋体" w:eastAsia="宋体" w:cs="宋体"/>
                <w:bCs/>
                <w:sz w:val="21"/>
                <w:szCs w:val="21"/>
                <w:highlight w:val="none"/>
              </w:rPr>
            </w:pPr>
          </w:p>
        </w:tc>
        <w:tc>
          <w:tcPr>
            <w:tcW w:w="1300" w:type="dxa"/>
            <w:vAlign w:val="center"/>
          </w:tcPr>
          <w:p w14:paraId="214BBC39">
            <w:pPr>
              <w:pStyle w:val="19"/>
              <w:rPr>
                <w:rFonts w:hint="eastAsia" w:ascii="宋体" w:hAnsi="宋体" w:eastAsia="宋体" w:cs="宋体"/>
                <w:bCs/>
                <w:sz w:val="21"/>
                <w:szCs w:val="21"/>
                <w:highlight w:val="none"/>
              </w:rPr>
            </w:pPr>
          </w:p>
        </w:tc>
        <w:tc>
          <w:tcPr>
            <w:tcW w:w="1229" w:type="dxa"/>
          </w:tcPr>
          <w:p w14:paraId="7180AD3F">
            <w:pPr>
              <w:pStyle w:val="19"/>
              <w:rPr>
                <w:rFonts w:hint="eastAsia" w:ascii="宋体" w:hAnsi="宋体" w:eastAsia="宋体" w:cs="宋体"/>
                <w:bCs/>
                <w:sz w:val="21"/>
                <w:szCs w:val="21"/>
                <w:highlight w:val="none"/>
              </w:rPr>
            </w:pPr>
          </w:p>
        </w:tc>
        <w:tc>
          <w:tcPr>
            <w:tcW w:w="1781" w:type="dxa"/>
          </w:tcPr>
          <w:p w14:paraId="70834238">
            <w:pPr>
              <w:pStyle w:val="19"/>
              <w:rPr>
                <w:rFonts w:hint="eastAsia" w:ascii="宋体" w:hAnsi="宋体" w:eastAsia="宋体" w:cs="宋体"/>
                <w:bCs/>
                <w:sz w:val="21"/>
                <w:szCs w:val="21"/>
                <w:highlight w:val="none"/>
              </w:rPr>
            </w:pPr>
          </w:p>
        </w:tc>
      </w:tr>
      <w:tr w14:paraId="0987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19EA053B">
            <w:pPr>
              <w:pStyle w:val="19"/>
              <w:rPr>
                <w:rFonts w:hint="eastAsia" w:ascii="宋体" w:hAnsi="宋体" w:eastAsia="宋体" w:cs="宋体"/>
                <w:bCs/>
                <w:sz w:val="21"/>
                <w:szCs w:val="21"/>
                <w:highlight w:val="none"/>
              </w:rPr>
            </w:pPr>
          </w:p>
        </w:tc>
        <w:tc>
          <w:tcPr>
            <w:tcW w:w="1234" w:type="dxa"/>
            <w:vAlign w:val="center"/>
          </w:tcPr>
          <w:p w14:paraId="41D7747C">
            <w:pPr>
              <w:pStyle w:val="19"/>
              <w:rPr>
                <w:rFonts w:hint="eastAsia" w:ascii="宋体" w:hAnsi="宋体" w:eastAsia="宋体" w:cs="宋体"/>
                <w:bCs/>
                <w:sz w:val="21"/>
                <w:szCs w:val="21"/>
                <w:highlight w:val="none"/>
              </w:rPr>
            </w:pPr>
          </w:p>
        </w:tc>
        <w:tc>
          <w:tcPr>
            <w:tcW w:w="1117" w:type="dxa"/>
            <w:vAlign w:val="center"/>
          </w:tcPr>
          <w:p w14:paraId="019CA0E7">
            <w:pPr>
              <w:pStyle w:val="19"/>
              <w:rPr>
                <w:rFonts w:hint="eastAsia" w:ascii="宋体" w:hAnsi="宋体" w:eastAsia="宋体" w:cs="宋体"/>
                <w:bCs/>
                <w:sz w:val="21"/>
                <w:szCs w:val="21"/>
                <w:highlight w:val="none"/>
              </w:rPr>
            </w:pPr>
          </w:p>
        </w:tc>
        <w:tc>
          <w:tcPr>
            <w:tcW w:w="1150" w:type="dxa"/>
            <w:vAlign w:val="center"/>
          </w:tcPr>
          <w:p w14:paraId="70D567F3">
            <w:pPr>
              <w:pStyle w:val="19"/>
              <w:rPr>
                <w:rFonts w:hint="eastAsia" w:ascii="宋体" w:hAnsi="宋体" w:eastAsia="宋体" w:cs="宋体"/>
                <w:bCs/>
                <w:sz w:val="21"/>
                <w:szCs w:val="21"/>
                <w:highlight w:val="none"/>
              </w:rPr>
            </w:pPr>
          </w:p>
        </w:tc>
        <w:tc>
          <w:tcPr>
            <w:tcW w:w="1300" w:type="dxa"/>
            <w:vAlign w:val="center"/>
          </w:tcPr>
          <w:p w14:paraId="4601D1A9">
            <w:pPr>
              <w:pStyle w:val="19"/>
              <w:rPr>
                <w:rFonts w:hint="eastAsia" w:ascii="宋体" w:hAnsi="宋体" w:eastAsia="宋体" w:cs="宋体"/>
                <w:bCs/>
                <w:sz w:val="21"/>
                <w:szCs w:val="21"/>
                <w:highlight w:val="none"/>
              </w:rPr>
            </w:pPr>
          </w:p>
        </w:tc>
        <w:tc>
          <w:tcPr>
            <w:tcW w:w="1229" w:type="dxa"/>
          </w:tcPr>
          <w:p w14:paraId="4ED5137D">
            <w:pPr>
              <w:pStyle w:val="19"/>
              <w:rPr>
                <w:rFonts w:hint="eastAsia" w:ascii="宋体" w:hAnsi="宋体" w:eastAsia="宋体" w:cs="宋体"/>
                <w:bCs/>
                <w:sz w:val="21"/>
                <w:szCs w:val="21"/>
                <w:highlight w:val="none"/>
              </w:rPr>
            </w:pPr>
          </w:p>
        </w:tc>
        <w:tc>
          <w:tcPr>
            <w:tcW w:w="1781" w:type="dxa"/>
          </w:tcPr>
          <w:p w14:paraId="5F598D1B">
            <w:pPr>
              <w:pStyle w:val="19"/>
              <w:rPr>
                <w:rFonts w:hint="eastAsia" w:ascii="宋体" w:hAnsi="宋体" w:eastAsia="宋体" w:cs="宋体"/>
                <w:bCs/>
                <w:sz w:val="21"/>
                <w:szCs w:val="21"/>
                <w:highlight w:val="none"/>
              </w:rPr>
            </w:pPr>
          </w:p>
        </w:tc>
      </w:tr>
      <w:tr w14:paraId="2CD6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23756C86">
            <w:pPr>
              <w:pStyle w:val="19"/>
              <w:rPr>
                <w:rFonts w:hint="eastAsia" w:ascii="宋体" w:hAnsi="宋体" w:eastAsia="宋体" w:cs="宋体"/>
                <w:bCs/>
                <w:sz w:val="21"/>
                <w:szCs w:val="21"/>
                <w:highlight w:val="none"/>
              </w:rPr>
            </w:pPr>
          </w:p>
        </w:tc>
        <w:tc>
          <w:tcPr>
            <w:tcW w:w="1234" w:type="dxa"/>
            <w:vAlign w:val="center"/>
          </w:tcPr>
          <w:p w14:paraId="6AD12678">
            <w:pPr>
              <w:pStyle w:val="19"/>
              <w:rPr>
                <w:rFonts w:hint="eastAsia" w:ascii="宋体" w:hAnsi="宋体" w:eastAsia="宋体" w:cs="宋体"/>
                <w:bCs/>
                <w:sz w:val="21"/>
                <w:szCs w:val="21"/>
                <w:highlight w:val="none"/>
              </w:rPr>
            </w:pPr>
          </w:p>
        </w:tc>
        <w:tc>
          <w:tcPr>
            <w:tcW w:w="1117" w:type="dxa"/>
            <w:vAlign w:val="center"/>
          </w:tcPr>
          <w:p w14:paraId="74BDC8F8">
            <w:pPr>
              <w:pStyle w:val="19"/>
              <w:rPr>
                <w:rFonts w:hint="eastAsia" w:ascii="宋体" w:hAnsi="宋体" w:eastAsia="宋体" w:cs="宋体"/>
                <w:bCs/>
                <w:sz w:val="21"/>
                <w:szCs w:val="21"/>
                <w:highlight w:val="none"/>
              </w:rPr>
            </w:pPr>
          </w:p>
        </w:tc>
        <w:tc>
          <w:tcPr>
            <w:tcW w:w="1150" w:type="dxa"/>
            <w:vAlign w:val="center"/>
          </w:tcPr>
          <w:p w14:paraId="2FD3CA35">
            <w:pPr>
              <w:pStyle w:val="19"/>
              <w:rPr>
                <w:rFonts w:hint="eastAsia" w:ascii="宋体" w:hAnsi="宋体" w:eastAsia="宋体" w:cs="宋体"/>
                <w:bCs/>
                <w:sz w:val="21"/>
                <w:szCs w:val="21"/>
                <w:highlight w:val="none"/>
              </w:rPr>
            </w:pPr>
          </w:p>
        </w:tc>
        <w:tc>
          <w:tcPr>
            <w:tcW w:w="1300" w:type="dxa"/>
            <w:vAlign w:val="center"/>
          </w:tcPr>
          <w:p w14:paraId="6B010D52">
            <w:pPr>
              <w:pStyle w:val="19"/>
              <w:rPr>
                <w:rFonts w:hint="eastAsia" w:ascii="宋体" w:hAnsi="宋体" w:eastAsia="宋体" w:cs="宋体"/>
                <w:bCs/>
                <w:sz w:val="21"/>
                <w:szCs w:val="21"/>
                <w:highlight w:val="none"/>
              </w:rPr>
            </w:pPr>
          </w:p>
        </w:tc>
        <w:tc>
          <w:tcPr>
            <w:tcW w:w="1229" w:type="dxa"/>
          </w:tcPr>
          <w:p w14:paraId="2268FA3A">
            <w:pPr>
              <w:pStyle w:val="19"/>
              <w:rPr>
                <w:rFonts w:hint="eastAsia" w:ascii="宋体" w:hAnsi="宋体" w:eastAsia="宋体" w:cs="宋体"/>
                <w:bCs/>
                <w:sz w:val="21"/>
                <w:szCs w:val="21"/>
                <w:highlight w:val="none"/>
              </w:rPr>
            </w:pPr>
          </w:p>
        </w:tc>
        <w:tc>
          <w:tcPr>
            <w:tcW w:w="1781" w:type="dxa"/>
          </w:tcPr>
          <w:p w14:paraId="30544B3A">
            <w:pPr>
              <w:pStyle w:val="19"/>
              <w:rPr>
                <w:rFonts w:hint="eastAsia" w:ascii="宋体" w:hAnsi="宋体" w:eastAsia="宋体" w:cs="宋体"/>
                <w:bCs/>
                <w:sz w:val="21"/>
                <w:szCs w:val="21"/>
                <w:highlight w:val="none"/>
              </w:rPr>
            </w:pPr>
          </w:p>
        </w:tc>
      </w:tr>
      <w:tr w14:paraId="5D9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4696E69E">
            <w:pPr>
              <w:pStyle w:val="19"/>
              <w:rPr>
                <w:rFonts w:hint="eastAsia" w:ascii="宋体" w:hAnsi="宋体" w:eastAsia="宋体" w:cs="宋体"/>
                <w:bCs/>
                <w:sz w:val="21"/>
                <w:szCs w:val="21"/>
                <w:highlight w:val="none"/>
              </w:rPr>
            </w:pPr>
          </w:p>
        </w:tc>
        <w:tc>
          <w:tcPr>
            <w:tcW w:w="1234" w:type="dxa"/>
            <w:vAlign w:val="center"/>
          </w:tcPr>
          <w:p w14:paraId="261A244D">
            <w:pPr>
              <w:pStyle w:val="19"/>
              <w:rPr>
                <w:rFonts w:hint="eastAsia" w:ascii="宋体" w:hAnsi="宋体" w:eastAsia="宋体" w:cs="宋体"/>
                <w:bCs/>
                <w:sz w:val="21"/>
                <w:szCs w:val="21"/>
                <w:highlight w:val="none"/>
              </w:rPr>
            </w:pPr>
          </w:p>
        </w:tc>
        <w:tc>
          <w:tcPr>
            <w:tcW w:w="1117" w:type="dxa"/>
            <w:vAlign w:val="center"/>
          </w:tcPr>
          <w:p w14:paraId="53EF5CD6">
            <w:pPr>
              <w:pStyle w:val="19"/>
              <w:rPr>
                <w:rFonts w:hint="eastAsia" w:ascii="宋体" w:hAnsi="宋体" w:eastAsia="宋体" w:cs="宋体"/>
                <w:bCs/>
                <w:sz w:val="21"/>
                <w:szCs w:val="21"/>
                <w:highlight w:val="none"/>
              </w:rPr>
            </w:pPr>
          </w:p>
        </w:tc>
        <w:tc>
          <w:tcPr>
            <w:tcW w:w="1150" w:type="dxa"/>
            <w:vAlign w:val="center"/>
          </w:tcPr>
          <w:p w14:paraId="20C966CB">
            <w:pPr>
              <w:pStyle w:val="19"/>
              <w:rPr>
                <w:rFonts w:hint="eastAsia" w:ascii="宋体" w:hAnsi="宋体" w:eastAsia="宋体" w:cs="宋体"/>
                <w:bCs/>
                <w:sz w:val="21"/>
                <w:szCs w:val="21"/>
                <w:highlight w:val="none"/>
              </w:rPr>
            </w:pPr>
          </w:p>
        </w:tc>
        <w:tc>
          <w:tcPr>
            <w:tcW w:w="1300" w:type="dxa"/>
            <w:vAlign w:val="center"/>
          </w:tcPr>
          <w:p w14:paraId="6979468C">
            <w:pPr>
              <w:pStyle w:val="19"/>
              <w:rPr>
                <w:rFonts w:hint="eastAsia" w:ascii="宋体" w:hAnsi="宋体" w:eastAsia="宋体" w:cs="宋体"/>
                <w:bCs/>
                <w:sz w:val="21"/>
                <w:szCs w:val="21"/>
                <w:highlight w:val="none"/>
              </w:rPr>
            </w:pPr>
          </w:p>
        </w:tc>
        <w:tc>
          <w:tcPr>
            <w:tcW w:w="1229" w:type="dxa"/>
          </w:tcPr>
          <w:p w14:paraId="6C9449AA">
            <w:pPr>
              <w:pStyle w:val="19"/>
              <w:rPr>
                <w:rFonts w:hint="eastAsia" w:ascii="宋体" w:hAnsi="宋体" w:eastAsia="宋体" w:cs="宋体"/>
                <w:bCs/>
                <w:sz w:val="21"/>
                <w:szCs w:val="21"/>
                <w:highlight w:val="none"/>
              </w:rPr>
            </w:pPr>
          </w:p>
        </w:tc>
        <w:tc>
          <w:tcPr>
            <w:tcW w:w="1781" w:type="dxa"/>
          </w:tcPr>
          <w:p w14:paraId="0FDAF2AD">
            <w:pPr>
              <w:pStyle w:val="19"/>
              <w:rPr>
                <w:rFonts w:hint="eastAsia" w:ascii="宋体" w:hAnsi="宋体" w:eastAsia="宋体" w:cs="宋体"/>
                <w:bCs/>
                <w:sz w:val="21"/>
                <w:szCs w:val="21"/>
                <w:highlight w:val="none"/>
              </w:rPr>
            </w:pPr>
          </w:p>
        </w:tc>
      </w:tr>
      <w:tr w14:paraId="060E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restart"/>
          </w:tcPr>
          <w:p w14:paraId="597363D3">
            <w:pPr>
              <w:pStyle w:val="19"/>
              <w:rPr>
                <w:rFonts w:hint="eastAsia" w:ascii="宋体" w:hAnsi="宋体" w:eastAsia="宋体" w:cs="宋体"/>
                <w:bCs/>
                <w:sz w:val="21"/>
                <w:szCs w:val="21"/>
                <w:highlight w:val="none"/>
              </w:rPr>
            </w:pPr>
          </w:p>
        </w:tc>
        <w:tc>
          <w:tcPr>
            <w:tcW w:w="1234" w:type="dxa"/>
            <w:vAlign w:val="center"/>
          </w:tcPr>
          <w:p w14:paraId="3AC96F0B">
            <w:pPr>
              <w:pStyle w:val="19"/>
              <w:rPr>
                <w:rFonts w:hint="eastAsia" w:ascii="宋体" w:hAnsi="宋体" w:eastAsia="宋体" w:cs="宋体"/>
                <w:bCs/>
                <w:sz w:val="21"/>
                <w:szCs w:val="21"/>
                <w:highlight w:val="none"/>
              </w:rPr>
            </w:pPr>
          </w:p>
        </w:tc>
        <w:tc>
          <w:tcPr>
            <w:tcW w:w="1117" w:type="dxa"/>
            <w:vAlign w:val="center"/>
          </w:tcPr>
          <w:p w14:paraId="5CB5C738">
            <w:pPr>
              <w:pStyle w:val="19"/>
              <w:rPr>
                <w:rFonts w:hint="eastAsia" w:ascii="宋体" w:hAnsi="宋体" w:eastAsia="宋体" w:cs="宋体"/>
                <w:bCs/>
                <w:sz w:val="21"/>
                <w:szCs w:val="21"/>
                <w:highlight w:val="none"/>
              </w:rPr>
            </w:pPr>
          </w:p>
        </w:tc>
        <w:tc>
          <w:tcPr>
            <w:tcW w:w="1150" w:type="dxa"/>
            <w:vAlign w:val="center"/>
          </w:tcPr>
          <w:p w14:paraId="44A8A176">
            <w:pPr>
              <w:pStyle w:val="19"/>
              <w:rPr>
                <w:rFonts w:hint="eastAsia" w:ascii="宋体" w:hAnsi="宋体" w:eastAsia="宋体" w:cs="宋体"/>
                <w:bCs/>
                <w:sz w:val="21"/>
                <w:szCs w:val="21"/>
                <w:highlight w:val="none"/>
              </w:rPr>
            </w:pPr>
          </w:p>
        </w:tc>
        <w:tc>
          <w:tcPr>
            <w:tcW w:w="1300" w:type="dxa"/>
            <w:vAlign w:val="center"/>
          </w:tcPr>
          <w:p w14:paraId="1446F7D9">
            <w:pPr>
              <w:pStyle w:val="19"/>
              <w:rPr>
                <w:rFonts w:hint="eastAsia" w:ascii="宋体" w:hAnsi="宋体" w:eastAsia="宋体" w:cs="宋体"/>
                <w:bCs/>
                <w:sz w:val="21"/>
                <w:szCs w:val="21"/>
                <w:highlight w:val="none"/>
              </w:rPr>
            </w:pPr>
          </w:p>
        </w:tc>
        <w:tc>
          <w:tcPr>
            <w:tcW w:w="1229" w:type="dxa"/>
          </w:tcPr>
          <w:p w14:paraId="019EFA5B">
            <w:pPr>
              <w:pStyle w:val="19"/>
              <w:rPr>
                <w:rFonts w:hint="eastAsia" w:ascii="宋体" w:hAnsi="宋体" w:eastAsia="宋体" w:cs="宋体"/>
                <w:bCs/>
                <w:sz w:val="21"/>
                <w:szCs w:val="21"/>
                <w:highlight w:val="none"/>
              </w:rPr>
            </w:pPr>
          </w:p>
        </w:tc>
        <w:tc>
          <w:tcPr>
            <w:tcW w:w="1781" w:type="dxa"/>
          </w:tcPr>
          <w:p w14:paraId="4AF72337">
            <w:pPr>
              <w:pStyle w:val="19"/>
              <w:rPr>
                <w:rFonts w:hint="eastAsia" w:ascii="宋体" w:hAnsi="宋体" w:eastAsia="宋体" w:cs="宋体"/>
                <w:bCs/>
                <w:sz w:val="21"/>
                <w:szCs w:val="21"/>
                <w:highlight w:val="none"/>
              </w:rPr>
            </w:pPr>
          </w:p>
        </w:tc>
      </w:tr>
      <w:tr w14:paraId="1132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008032AC">
            <w:pPr>
              <w:pStyle w:val="19"/>
              <w:rPr>
                <w:rFonts w:hint="eastAsia" w:ascii="宋体" w:hAnsi="宋体" w:eastAsia="宋体" w:cs="宋体"/>
                <w:bCs/>
                <w:sz w:val="21"/>
                <w:szCs w:val="21"/>
                <w:highlight w:val="none"/>
              </w:rPr>
            </w:pPr>
          </w:p>
        </w:tc>
        <w:tc>
          <w:tcPr>
            <w:tcW w:w="1234" w:type="dxa"/>
            <w:vAlign w:val="center"/>
          </w:tcPr>
          <w:p w14:paraId="51249C18">
            <w:pPr>
              <w:pStyle w:val="19"/>
              <w:rPr>
                <w:rFonts w:hint="eastAsia" w:ascii="宋体" w:hAnsi="宋体" w:eastAsia="宋体" w:cs="宋体"/>
                <w:bCs/>
                <w:sz w:val="21"/>
                <w:szCs w:val="21"/>
                <w:highlight w:val="none"/>
              </w:rPr>
            </w:pPr>
          </w:p>
        </w:tc>
        <w:tc>
          <w:tcPr>
            <w:tcW w:w="1117" w:type="dxa"/>
            <w:vAlign w:val="center"/>
          </w:tcPr>
          <w:p w14:paraId="048513A0">
            <w:pPr>
              <w:pStyle w:val="19"/>
              <w:rPr>
                <w:rFonts w:hint="eastAsia" w:ascii="宋体" w:hAnsi="宋体" w:eastAsia="宋体" w:cs="宋体"/>
                <w:bCs/>
                <w:sz w:val="21"/>
                <w:szCs w:val="21"/>
                <w:highlight w:val="none"/>
              </w:rPr>
            </w:pPr>
          </w:p>
        </w:tc>
        <w:tc>
          <w:tcPr>
            <w:tcW w:w="1150" w:type="dxa"/>
            <w:vAlign w:val="center"/>
          </w:tcPr>
          <w:p w14:paraId="004E83F9">
            <w:pPr>
              <w:pStyle w:val="19"/>
              <w:rPr>
                <w:rFonts w:hint="eastAsia" w:ascii="宋体" w:hAnsi="宋体" w:eastAsia="宋体" w:cs="宋体"/>
                <w:bCs/>
                <w:sz w:val="21"/>
                <w:szCs w:val="21"/>
                <w:highlight w:val="none"/>
              </w:rPr>
            </w:pPr>
          </w:p>
        </w:tc>
        <w:tc>
          <w:tcPr>
            <w:tcW w:w="1300" w:type="dxa"/>
            <w:vAlign w:val="center"/>
          </w:tcPr>
          <w:p w14:paraId="5F298653">
            <w:pPr>
              <w:pStyle w:val="19"/>
              <w:rPr>
                <w:rFonts w:hint="eastAsia" w:ascii="宋体" w:hAnsi="宋体" w:eastAsia="宋体" w:cs="宋体"/>
                <w:bCs/>
                <w:sz w:val="21"/>
                <w:szCs w:val="21"/>
                <w:highlight w:val="none"/>
              </w:rPr>
            </w:pPr>
          </w:p>
        </w:tc>
        <w:tc>
          <w:tcPr>
            <w:tcW w:w="1229" w:type="dxa"/>
          </w:tcPr>
          <w:p w14:paraId="57131810">
            <w:pPr>
              <w:pStyle w:val="19"/>
              <w:rPr>
                <w:rFonts w:hint="eastAsia" w:ascii="宋体" w:hAnsi="宋体" w:eastAsia="宋体" w:cs="宋体"/>
                <w:bCs/>
                <w:sz w:val="21"/>
                <w:szCs w:val="21"/>
                <w:highlight w:val="none"/>
              </w:rPr>
            </w:pPr>
          </w:p>
        </w:tc>
        <w:tc>
          <w:tcPr>
            <w:tcW w:w="1781" w:type="dxa"/>
          </w:tcPr>
          <w:p w14:paraId="128EF3FC">
            <w:pPr>
              <w:pStyle w:val="19"/>
              <w:rPr>
                <w:rFonts w:hint="eastAsia" w:ascii="宋体" w:hAnsi="宋体" w:eastAsia="宋体" w:cs="宋体"/>
                <w:bCs/>
                <w:sz w:val="21"/>
                <w:szCs w:val="21"/>
                <w:highlight w:val="none"/>
              </w:rPr>
            </w:pPr>
          </w:p>
        </w:tc>
      </w:tr>
      <w:tr w14:paraId="579F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620A055A">
            <w:pPr>
              <w:pStyle w:val="19"/>
              <w:rPr>
                <w:rFonts w:hint="eastAsia" w:ascii="宋体" w:hAnsi="宋体" w:eastAsia="宋体" w:cs="宋体"/>
                <w:bCs/>
                <w:sz w:val="21"/>
                <w:szCs w:val="21"/>
                <w:highlight w:val="none"/>
              </w:rPr>
            </w:pPr>
          </w:p>
        </w:tc>
        <w:tc>
          <w:tcPr>
            <w:tcW w:w="1234" w:type="dxa"/>
            <w:vAlign w:val="center"/>
          </w:tcPr>
          <w:p w14:paraId="357C2FED">
            <w:pPr>
              <w:pStyle w:val="19"/>
              <w:rPr>
                <w:rFonts w:hint="eastAsia" w:ascii="宋体" w:hAnsi="宋体" w:eastAsia="宋体" w:cs="宋体"/>
                <w:bCs/>
                <w:sz w:val="21"/>
                <w:szCs w:val="21"/>
                <w:highlight w:val="none"/>
              </w:rPr>
            </w:pPr>
          </w:p>
        </w:tc>
        <w:tc>
          <w:tcPr>
            <w:tcW w:w="1117" w:type="dxa"/>
            <w:vAlign w:val="center"/>
          </w:tcPr>
          <w:p w14:paraId="784775F4">
            <w:pPr>
              <w:pStyle w:val="19"/>
              <w:rPr>
                <w:rFonts w:hint="eastAsia" w:ascii="宋体" w:hAnsi="宋体" w:eastAsia="宋体" w:cs="宋体"/>
                <w:bCs/>
                <w:sz w:val="21"/>
                <w:szCs w:val="21"/>
                <w:highlight w:val="none"/>
              </w:rPr>
            </w:pPr>
          </w:p>
        </w:tc>
        <w:tc>
          <w:tcPr>
            <w:tcW w:w="1150" w:type="dxa"/>
            <w:vAlign w:val="center"/>
          </w:tcPr>
          <w:p w14:paraId="68851031">
            <w:pPr>
              <w:pStyle w:val="19"/>
              <w:rPr>
                <w:rFonts w:hint="eastAsia" w:ascii="宋体" w:hAnsi="宋体" w:eastAsia="宋体" w:cs="宋体"/>
                <w:bCs/>
                <w:sz w:val="21"/>
                <w:szCs w:val="21"/>
                <w:highlight w:val="none"/>
              </w:rPr>
            </w:pPr>
          </w:p>
        </w:tc>
        <w:tc>
          <w:tcPr>
            <w:tcW w:w="1300" w:type="dxa"/>
            <w:vAlign w:val="center"/>
          </w:tcPr>
          <w:p w14:paraId="53CB200F">
            <w:pPr>
              <w:pStyle w:val="19"/>
              <w:rPr>
                <w:rFonts w:hint="eastAsia" w:ascii="宋体" w:hAnsi="宋体" w:eastAsia="宋体" w:cs="宋体"/>
                <w:bCs/>
                <w:sz w:val="21"/>
                <w:szCs w:val="21"/>
                <w:highlight w:val="none"/>
              </w:rPr>
            </w:pPr>
          </w:p>
        </w:tc>
        <w:tc>
          <w:tcPr>
            <w:tcW w:w="1229" w:type="dxa"/>
          </w:tcPr>
          <w:p w14:paraId="3299CDBF">
            <w:pPr>
              <w:pStyle w:val="19"/>
              <w:rPr>
                <w:rFonts w:hint="eastAsia" w:ascii="宋体" w:hAnsi="宋体" w:eastAsia="宋体" w:cs="宋体"/>
                <w:bCs/>
                <w:sz w:val="21"/>
                <w:szCs w:val="21"/>
                <w:highlight w:val="none"/>
              </w:rPr>
            </w:pPr>
          </w:p>
        </w:tc>
        <w:tc>
          <w:tcPr>
            <w:tcW w:w="1781" w:type="dxa"/>
          </w:tcPr>
          <w:p w14:paraId="5176DA3F">
            <w:pPr>
              <w:pStyle w:val="19"/>
              <w:rPr>
                <w:rFonts w:hint="eastAsia" w:ascii="宋体" w:hAnsi="宋体" w:eastAsia="宋体" w:cs="宋体"/>
                <w:bCs/>
                <w:sz w:val="21"/>
                <w:szCs w:val="21"/>
                <w:highlight w:val="none"/>
              </w:rPr>
            </w:pPr>
          </w:p>
        </w:tc>
      </w:tr>
      <w:tr w14:paraId="2E8C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204F3167">
            <w:pPr>
              <w:pStyle w:val="19"/>
              <w:rPr>
                <w:rFonts w:hint="eastAsia" w:ascii="宋体" w:hAnsi="宋体" w:eastAsia="宋体" w:cs="宋体"/>
                <w:bCs/>
                <w:sz w:val="21"/>
                <w:szCs w:val="21"/>
                <w:highlight w:val="none"/>
              </w:rPr>
            </w:pPr>
          </w:p>
        </w:tc>
        <w:tc>
          <w:tcPr>
            <w:tcW w:w="1234" w:type="dxa"/>
            <w:vAlign w:val="center"/>
          </w:tcPr>
          <w:p w14:paraId="192705DA">
            <w:pPr>
              <w:pStyle w:val="19"/>
              <w:rPr>
                <w:rFonts w:hint="eastAsia" w:ascii="宋体" w:hAnsi="宋体" w:eastAsia="宋体" w:cs="宋体"/>
                <w:bCs/>
                <w:sz w:val="21"/>
                <w:szCs w:val="21"/>
                <w:highlight w:val="none"/>
              </w:rPr>
            </w:pPr>
          </w:p>
        </w:tc>
        <w:tc>
          <w:tcPr>
            <w:tcW w:w="1117" w:type="dxa"/>
            <w:vAlign w:val="center"/>
          </w:tcPr>
          <w:p w14:paraId="09182FF9">
            <w:pPr>
              <w:pStyle w:val="19"/>
              <w:rPr>
                <w:rFonts w:hint="eastAsia" w:ascii="宋体" w:hAnsi="宋体" w:eastAsia="宋体" w:cs="宋体"/>
                <w:bCs/>
                <w:sz w:val="21"/>
                <w:szCs w:val="21"/>
                <w:highlight w:val="none"/>
              </w:rPr>
            </w:pPr>
          </w:p>
        </w:tc>
        <w:tc>
          <w:tcPr>
            <w:tcW w:w="1150" w:type="dxa"/>
            <w:vAlign w:val="center"/>
          </w:tcPr>
          <w:p w14:paraId="7FF52AA3">
            <w:pPr>
              <w:pStyle w:val="19"/>
              <w:rPr>
                <w:rFonts w:hint="eastAsia" w:ascii="宋体" w:hAnsi="宋体" w:eastAsia="宋体" w:cs="宋体"/>
                <w:bCs/>
                <w:sz w:val="21"/>
                <w:szCs w:val="21"/>
                <w:highlight w:val="none"/>
              </w:rPr>
            </w:pPr>
          </w:p>
        </w:tc>
        <w:tc>
          <w:tcPr>
            <w:tcW w:w="1300" w:type="dxa"/>
            <w:vAlign w:val="center"/>
          </w:tcPr>
          <w:p w14:paraId="7B719E7B">
            <w:pPr>
              <w:pStyle w:val="19"/>
              <w:rPr>
                <w:rFonts w:hint="eastAsia" w:ascii="宋体" w:hAnsi="宋体" w:eastAsia="宋体" w:cs="宋体"/>
                <w:bCs/>
                <w:sz w:val="21"/>
                <w:szCs w:val="21"/>
                <w:highlight w:val="none"/>
              </w:rPr>
            </w:pPr>
          </w:p>
        </w:tc>
        <w:tc>
          <w:tcPr>
            <w:tcW w:w="1229" w:type="dxa"/>
          </w:tcPr>
          <w:p w14:paraId="50D9CAD8">
            <w:pPr>
              <w:pStyle w:val="19"/>
              <w:rPr>
                <w:rFonts w:hint="eastAsia" w:ascii="宋体" w:hAnsi="宋体" w:eastAsia="宋体" w:cs="宋体"/>
                <w:bCs/>
                <w:sz w:val="21"/>
                <w:szCs w:val="21"/>
                <w:highlight w:val="none"/>
              </w:rPr>
            </w:pPr>
          </w:p>
        </w:tc>
        <w:tc>
          <w:tcPr>
            <w:tcW w:w="1781" w:type="dxa"/>
          </w:tcPr>
          <w:p w14:paraId="4E47AB8A">
            <w:pPr>
              <w:pStyle w:val="19"/>
              <w:rPr>
                <w:rFonts w:hint="eastAsia" w:ascii="宋体" w:hAnsi="宋体" w:eastAsia="宋体" w:cs="宋体"/>
                <w:bCs/>
                <w:sz w:val="21"/>
                <w:szCs w:val="21"/>
                <w:highlight w:val="none"/>
              </w:rPr>
            </w:pPr>
          </w:p>
        </w:tc>
      </w:tr>
      <w:tr w14:paraId="15D2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682D2AC0">
            <w:pPr>
              <w:pStyle w:val="19"/>
              <w:rPr>
                <w:rFonts w:hint="eastAsia" w:ascii="宋体" w:hAnsi="宋体" w:eastAsia="宋体" w:cs="宋体"/>
                <w:bCs/>
                <w:sz w:val="21"/>
                <w:szCs w:val="21"/>
                <w:highlight w:val="none"/>
              </w:rPr>
            </w:pPr>
          </w:p>
        </w:tc>
        <w:tc>
          <w:tcPr>
            <w:tcW w:w="1234" w:type="dxa"/>
            <w:vAlign w:val="center"/>
          </w:tcPr>
          <w:p w14:paraId="27CE05C8">
            <w:pPr>
              <w:pStyle w:val="19"/>
              <w:rPr>
                <w:rFonts w:hint="eastAsia" w:ascii="宋体" w:hAnsi="宋体" w:eastAsia="宋体" w:cs="宋体"/>
                <w:bCs/>
                <w:sz w:val="21"/>
                <w:szCs w:val="21"/>
                <w:highlight w:val="none"/>
              </w:rPr>
            </w:pPr>
          </w:p>
        </w:tc>
        <w:tc>
          <w:tcPr>
            <w:tcW w:w="1117" w:type="dxa"/>
            <w:vAlign w:val="center"/>
          </w:tcPr>
          <w:p w14:paraId="25C09111">
            <w:pPr>
              <w:pStyle w:val="19"/>
              <w:rPr>
                <w:rFonts w:hint="eastAsia" w:ascii="宋体" w:hAnsi="宋体" w:eastAsia="宋体" w:cs="宋体"/>
                <w:bCs/>
                <w:sz w:val="21"/>
                <w:szCs w:val="21"/>
                <w:highlight w:val="none"/>
              </w:rPr>
            </w:pPr>
          </w:p>
        </w:tc>
        <w:tc>
          <w:tcPr>
            <w:tcW w:w="1150" w:type="dxa"/>
            <w:vAlign w:val="center"/>
          </w:tcPr>
          <w:p w14:paraId="6789F09F">
            <w:pPr>
              <w:pStyle w:val="19"/>
              <w:rPr>
                <w:rFonts w:hint="eastAsia" w:ascii="宋体" w:hAnsi="宋体" w:eastAsia="宋体" w:cs="宋体"/>
                <w:bCs/>
                <w:sz w:val="21"/>
                <w:szCs w:val="21"/>
                <w:highlight w:val="none"/>
              </w:rPr>
            </w:pPr>
          </w:p>
        </w:tc>
        <w:tc>
          <w:tcPr>
            <w:tcW w:w="1300" w:type="dxa"/>
            <w:vAlign w:val="center"/>
          </w:tcPr>
          <w:p w14:paraId="31E0ED7D">
            <w:pPr>
              <w:pStyle w:val="19"/>
              <w:rPr>
                <w:rFonts w:hint="eastAsia" w:ascii="宋体" w:hAnsi="宋体" w:eastAsia="宋体" w:cs="宋体"/>
                <w:bCs/>
                <w:sz w:val="21"/>
                <w:szCs w:val="21"/>
                <w:highlight w:val="none"/>
              </w:rPr>
            </w:pPr>
          </w:p>
        </w:tc>
        <w:tc>
          <w:tcPr>
            <w:tcW w:w="1229" w:type="dxa"/>
          </w:tcPr>
          <w:p w14:paraId="1D039334">
            <w:pPr>
              <w:pStyle w:val="19"/>
              <w:rPr>
                <w:rFonts w:hint="eastAsia" w:ascii="宋体" w:hAnsi="宋体" w:eastAsia="宋体" w:cs="宋体"/>
                <w:bCs/>
                <w:sz w:val="21"/>
                <w:szCs w:val="21"/>
                <w:highlight w:val="none"/>
              </w:rPr>
            </w:pPr>
          </w:p>
        </w:tc>
        <w:tc>
          <w:tcPr>
            <w:tcW w:w="1781" w:type="dxa"/>
          </w:tcPr>
          <w:p w14:paraId="2D32ED9C">
            <w:pPr>
              <w:pStyle w:val="19"/>
              <w:rPr>
                <w:rFonts w:hint="eastAsia" w:ascii="宋体" w:hAnsi="宋体" w:eastAsia="宋体" w:cs="宋体"/>
                <w:bCs/>
                <w:sz w:val="21"/>
                <w:szCs w:val="21"/>
                <w:highlight w:val="none"/>
              </w:rPr>
            </w:pPr>
          </w:p>
        </w:tc>
      </w:tr>
      <w:tr w14:paraId="0506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747" w:type="dxa"/>
            <w:gridSpan w:val="6"/>
            <w:vAlign w:val="center"/>
          </w:tcPr>
          <w:p w14:paraId="3F8489A7">
            <w:pPr>
              <w:pStyle w:val="19"/>
              <w:rPr>
                <w:rFonts w:hint="eastAsia" w:ascii="宋体" w:hAnsi="宋体" w:eastAsia="宋体" w:cs="宋体"/>
                <w:bCs/>
                <w:sz w:val="21"/>
                <w:szCs w:val="21"/>
                <w:highlight w:val="none"/>
              </w:rPr>
            </w:pPr>
            <w:r>
              <w:rPr>
                <w:rFonts w:hint="eastAsia" w:ascii="宋体" w:hAnsi="宋体" w:eastAsia="宋体" w:cs="宋体"/>
                <w:bCs/>
                <w:sz w:val="21"/>
                <w:szCs w:val="21"/>
                <w:highlight w:val="none"/>
              </w:rPr>
              <w:t>总计（人民币：元）</w:t>
            </w:r>
          </w:p>
        </w:tc>
        <w:tc>
          <w:tcPr>
            <w:tcW w:w="1781" w:type="dxa"/>
          </w:tcPr>
          <w:p w14:paraId="5AA19CBD">
            <w:pPr>
              <w:pStyle w:val="19"/>
              <w:rPr>
                <w:rFonts w:hint="eastAsia" w:ascii="宋体" w:hAnsi="宋体" w:eastAsia="宋体" w:cs="宋体"/>
                <w:bCs/>
                <w:sz w:val="21"/>
                <w:szCs w:val="21"/>
                <w:highlight w:val="none"/>
              </w:rPr>
            </w:pPr>
          </w:p>
        </w:tc>
      </w:tr>
    </w:tbl>
    <w:p w14:paraId="75C014BC">
      <w:pPr>
        <w:pStyle w:val="19"/>
        <w:rPr>
          <w:rFonts w:hint="eastAsia" w:ascii="宋体" w:hAnsi="宋体" w:eastAsia="宋体" w:cs="宋体"/>
          <w:bCs/>
          <w:sz w:val="21"/>
          <w:szCs w:val="21"/>
          <w:highlight w:val="none"/>
        </w:rPr>
      </w:pPr>
    </w:p>
    <w:p w14:paraId="64E85F6A">
      <w:pPr>
        <w:pStyle w:val="19"/>
        <w:rPr>
          <w:rFonts w:hint="eastAsia" w:ascii="宋体" w:hAnsi="宋体" w:eastAsia="宋体" w:cs="宋体"/>
          <w:bCs/>
          <w:sz w:val="21"/>
          <w:szCs w:val="21"/>
          <w:highlight w:val="none"/>
        </w:rPr>
      </w:pPr>
    </w:p>
    <w:p w14:paraId="41A14DBC">
      <w:pPr>
        <w:pStyle w:val="19"/>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 标 人  （盖章）：</w:t>
      </w:r>
    </w:p>
    <w:p w14:paraId="642FF22C">
      <w:pPr>
        <w:pStyle w:val="19"/>
        <w:rPr>
          <w:rFonts w:hint="eastAsia" w:ascii="宋体" w:hAnsi="宋体" w:eastAsia="宋体" w:cs="宋体"/>
          <w:bCs/>
          <w:sz w:val="21"/>
          <w:szCs w:val="21"/>
          <w:highlight w:val="none"/>
        </w:rPr>
      </w:pPr>
      <w:r>
        <w:rPr>
          <w:rFonts w:hint="eastAsia" w:ascii="宋体" w:hAnsi="宋体" w:eastAsia="宋体" w:cs="宋体"/>
          <w:sz w:val="21"/>
          <w:szCs w:val="21"/>
          <w:highlight w:val="none"/>
        </w:rPr>
        <w:t>法定代表人或授权代表人（签字或盖章）</w:t>
      </w:r>
      <w:r>
        <w:rPr>
          <w:rFonts w:hint="eastAsia" w:ascii="宋体" w:hAnsi="宋体" w:eastAsia="宋体" w:cs="宋体"/>
          <w:bCs/>
          <w:sz w:val="21"/>
          <w:szCs w:val="21"/>
          <w:highlight w:val="none"/>
        </w:rPr>
        <w:t>：</w:t>
      </w:r>
    </w:p>
    <w:p w14:paraId="1E6A69C3">
      <w:pPr>
        <w:pStyle w:val="19"/>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p>
    <w:p w14:paraId="73682744">
      <w:pPr>
        <w:rPr>
          <w:rFonts w:hint="eastAsia" w:ascii="宋体" w:hAnsi="宋体"/>
          <w:b/>
          <w:sz w:val="28"/>
          <w:szCs w:val="28"/>
          <w:highlight w:val="none"/>
        </w:rPr>
      </w:pPr>
    </w:p>
    <w:p w14:paraId="7DB75C34">
      <w:pPr>
        <w:rPr>
          <w:rFonts w:hint="eastAsia" w:ascii="宋体" w:hAnsi="宋体"/>
          <w:b/>
          <w:sz w:val="28"/>
          <w:szCs w:val="28"/>
          <w:highlight w:val="none"/>
        </w:rPr>
      </w:pPr>
    </w:p>
    <w:p w14:paraId="7E592482">
      <w:pPr>
        <w:rPr>
          <w:rFonts w:hint="eastAsia" w:ascii="宋体" w:hAnsi="宋体"/>
          <w:b/>
          <w:sz w:val="28"/>
          <w:szCs w:val="28"/>
          <w:highlight w:val="none"/>
        </w:rPr>
      </w:pPr>
    </w:p>
    <w:p w14:paraId="3CDA858A">
      <w:pPr>
        <w:rPr>
          <w:rFonts w:hint="eastAsia" w:ascii="宋体" w:hAnsi="宋体"/>
          <w:b/>
          <w:sz w:val="28"/>
          <w:szCs w:val="28"/>
          <w:highlight w:val="none"/>
        </w:rPr>
      </w:pPr>
    </w:p>
    <w:p w14:paraId="2641D1C8">
      <w:pPr>
        <w:rPr>
          <w:rFonts w:hint="eastAsia" w:ascii="宋体" w:hAnsi="宋体"/>
          <w:b/>
          <w:sz w:val="28"/>
          <w:szCs w:val="28"/>
          <w:highlight w:val="none"/>
        </w:rPr>
      </w:pPr>
    </w:p>
    <w:p w14:paraId="4619A68B">
      <w:pPr>
        <w:rPr>
          <w:rFonts w:hint="eastAsia" w:ascii="宋体" w:hAnsi="宋体"/>
          <w:b/>
          <w:sz w:val="28"/>
          <w:szCs w:val="28"/>
          <w:highlight w:val="none"/>
        </w:rPr>
      </w:pPr>
    </w:p>
    <w:p w14:paraId="611707DF">
      <w:pPr>
        <w:pStyle w:val="19"/>
        <w:tabs>
          <w:tab w:val="left" w:pos="4841"/>
        </w:tabs>
        <w:rPr>
          <w:rFonts w:hint="eastAsia" w:ascii="宋体" w:hAnsi="宋体" w:eastAsia="宋体" w:cs="宋体"/>
          <w:bCs/>
          <w:sz w:val="21"/>
          <w:szCs w:val="21"/>
          <w:highlight w:val="none"/>
        </w:rPr>
      </w:pPr>
      <w:r>
        <w:rPr>
          <w:rFonts w:ascii="宋体" w:hAnsi="宋体"/>
          <w:b/>
          <w:sz w:val="28"/>
          <w:szCs w:val="28"/>
          <w:highlight w:val="none"/>
        </w:rPr>
        <w:br w:type="page"/>
      </w:r>
      <w:r>
        <w:rPr>
          <w:rFonts w:hint="eastAsia" w:ascii="宋体" w:hAnsi="宋体" w:eastAsia="宋体" w:cs="宋体"/>
          <w:bCs/>
          <w:sz w:val="21"/>
          <w:szCs w:val="21"/>
          <w:highlight w:val="none"/>
        </w:rPr>
        <w:t>格式四</w:t>
      </w:r>
    </w:p>
    <w:p w14:paraId="4B95ECFF">
      <w:pPr>
        <w:pStyle w:val="19"/>
        <w:jc w:val="center"/>
        <w:rPr>
          <w:rFonts w:hint="eastAsia" w:hAnsi="宋体" w:eastAsia="宋体" w:cs="宋体"/>
          <w:b/>
          <w:color w:val="000000"/>
          <w:sz w:val="21"/>
          <w:szCs w:val="21"/>
          <w:highlight w:val="none"/>
        </w:rPr>
      </w:pPr>
      <w:r>
        <w:rPr>
          <w:rFonts w:hint="eastAsia" w:hAnsi="宋体" w:eastAsia="宋体" w:cs="宋体"/>
          <w:b/>
          <w:color w:val="000000"/>
          <w:sz w:val="21"/>
          <w:szCs w:val="21"/>
          <w:highlight w:val="none"/>
        </w:rPr>
        <w:t>商务技术条款偏离表</w:t>
      </w:r>
    </w:p>
    <w:p w14:paraId="51B1DD8F">
      <w:pPr>
        <w:pStyle w:val="19"/>
        <w:jc w:val="left"/>
        <w:rPr>
          <w:rFonts w:hint="eastAsia" w:ascii="宋体" w:hAnsi="宋体" w:eastAsia="宋体" w:cs="宋体"/>
          <w:bCs/>
          <w:sz w:val="21"/>
          <w:szCs w:val="21"/>
          <w:highlight w:val="none"/>
        </w:rPr>
      </w:pPr>
      <w:r>
        <w:rPr>
          <w:rFonts w:ascii="宋体" w:hAnsi="宋体" w:eastAsia="宋体" w:cs="宋体"/>
          <w:bCs/>
          <w:sz w:val="21"/>
          <w:szCs w:val="21"/>
          <w:highlight w:val="none"/>
        </w:rPr>
        <w:t>招标编号：</w:t>
      </w:r>
      <w:r>
        <w:rPr>
          <w:rFonts w:ascii="宋体" w:hAnsi="宋体" w:eastAsia="宋体" w:cs="宋体"/>
          <w:bCs/>
          <w:sz w:val="21"/>
          <w:szCs w:val="21"/>
          <w:highlight w:val="none"/>
        </w:rPr>
        <w:tab/>
      </w:r>
      <w:r>
        <w:rPr>
          <w:rFonts w:hint="eastAsia" w:ascii="宋体" w:hAnsi="宋体" w:eastAsia="宋体" w:cs="宋体"/>
          <w:bCs/>
          <w:sz w:val="21"/>
          <w:szCs w:val="21"/>
          <w:highlight w:val="none"/>
        </w:rPr>
        <w:t xml:space="preserve">                                         </w:t>
      </w:r>
      <w:r>
        <w:rPr>
          <w:rFonts w:ascii="宋体" w:hAnsi="宋体" w:eastAsia="宋体" w:cs="宋体"/>
          <w:bCs/>
          <w:sz w:val="21"/>
          <w:szCs w:val="21"/>
          <w:highlight w:val="none"/>
        </w:rPr>
        <w:t>项目名称：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011F7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2F8D9882">
            <w:pPr>
              <w:pStyle w:val="19"/>
              <w:ind w:firstLine="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3048" w:type="dxa"/>
            <w:tcBorders>
              <w:top w:val="single" w:color="auto" w:sz="4" w:space="0"/>
              <w:bottom w:val="single" w:color="auto" w:sz="4" w:space="0"/>
            </w:tcBorders>
            <w:tcMar>
              <w:left w:w="0" w:type="dxa"/>
              <w:right w:w="0" w:type="dxa"/>
            </w:tcMar>
            <w:vAlign w:val="center"/>
          </w:tcPr>
          <w:p w14:paraId="662079BB">
            <w:pPr>
              <w:pStyle w:val="19"/>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《采购文件》要求</w:t>
            </w:r>
          </w:p>
        </w:tc>
        <w:tc>
          <w:tcPr>
            <w:tcW w:w="3473" w:type="dxa"/>
            <w:tcBorders>
              <w:top w:val="single" w:color="auto" w:sz="4" w:space="0"/>
              <w:bottom w:val="single" w:color="auto" w:sz="4" w:space="0"/>
            </w:tcBorders>
            <w:tcMar>
              <w:left w:w="0" w:type="dxa"/>
              <w:right w:w="0" w:type="dxa"/>
            </w:tcMar>
            <w:vAlign w:val="center"/>
          </w:tcPr>
          <w:p w14:paraId="06EAF838">
            <w:pPr>
              <w:pStyle w:val="19"/>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《投标文件》响应</w:t>
            </w:r>
          </w:p>
        </w:tc>
        <w:tc>
          <w:tcPr>
            <w:tcW w:w="1617" w:type="dxa"/>
            <w:tcBorders>
              <w:top w:val="single" w:color="auto" w:sz="4" w:space="0"/>
              <w:bottom w:val="single" w:color="auto" w:sz="4" w:space="0"/>
            </w:tcBorders>
            <w:tcMar>
              <w:left w:w="0" w:type="dxa"/>
              <w:right w:w="0" w:type="dxa"/>
            </w:tcMar>
            <w:vAlign w:val="center"/>
          </w:tcPr>
          <w:p w14:paraId="7F41246D">
            <w:pPr>
              <w:pStyle w:val="19"/>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说明</w:t>
            </w:r>
          </w:p>
        </w:tc>
      </w:tr>
      <w:tr w14:paraId="584D6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2E304387">
            <w:pPr>
              <w:pStyle w:val="19"/>
              <w:jc w:val="center"/>
              <w:rPr>
                <w:rFonts w:hint="eastAsia" w:ascii="宋体" w:hAnsi="宋体" w:eastAsia="宋体" w:cs="宋体"/>
                <w:bCs/>
                <w:sz w:val="21"/>
                <w:szCs w:val="21"/>
                <w:highlight w:val="none"/>
              </w:rPr>
            </w:pPr>
          </w:p>
        </w:tc>
        <w:tc>
          <w:tcPr>
            <w:tcW w:w="3048" w:type="dxa"/>
            <w:tcBorders>
              <w:top w:val="single" w:color="auto" w:sz="4" w:space="0"/>
            </w:tcBorders>
            <w:tcMar>
              <w:left w:w="0" w:type="dxa"/>
              <w:right w:w="0" w:type="dxa"/>
            </w:tcMar>
            <w:vAlign w:val="center"/>
          </w:tcPr>
          <w:p w14:paraId="0C9B5BA1">
            <w:pPr>
              <w:pStyle w:val="19"/>
              <w:jc w:val="center"/>
              <w:rPr>
                <w:rFonts w:hint="eastAsia" w:ascii="宋体" w:hAnsi="宋体" w:eastAsia="宋体" w:cs="宋体"/>
                <w:bCs/>
                <w:sz w:val="21"/>
                <w:szCs w:val="21"/>
                <w:highlight w:val="none"/>
              </w:rPr>
            </w:pPr>
          </w:p>
        </w:tc>
        <w:tc>
          <w:tcPr>
            <w:tcW w:w="3473" w:type="dxa"/>
            <w:tcBorders>
              <w:top w:val="single" w:color="auto" w:sz="4" w:space="0"/>
            </w:tcBorders>
            <w:tcMar>
              <w:left w:w="0" w:type="dxa"/>
              <w:right w:w="0" w:type="dxa"/>
            </w:tcMar>
            <w:vAlign w:val="center"/>
          </w:tcPr>
          <w:p w14:paraId="3F16D657">
            <w:pPr>
              <w:pStyle w:val="19"/>
              <w:jc w:val="center"/>
              <w:rPr>
                <w:rFonts w:hint="eastAsia" w:ascii="宋体" w:hAnsi="宋体" w:eastAsia="宋体" w:cs="宋体"/>
                <w:bCs/>
                <w:sz w:val="21"/>
                <w:szCs w:val="21"/>
                <w:highlight w:val="none"/>
              </w:rPr>
            </w:pPr>
          </w:p>
        </w:tc>
        <w:tc>
          <w:tcPr>
            <w:tcW w:w="1617" w:type="dxa"/>
            <w:tcBorders>
              <w:top w:val="single" w:color="auto" w:sz="4" w:space="0"/>
            </w:tcBorders>
            <w:tcMar>
              <w:left w:w="0" w:type="dxa"/>
              <w:right w:w="0" w:type="dxa"/>
            </w:tcMar>
            <w:vAlign w:val="center"/>
          </w:tcPr>
          <w:p w14:paraId="6A299531">
            <w:pPr>
              <w:pStyle w:val="19"/>
              <w:jc w:val="center"/>
              <w:rPr>
                <w:rFonts w:hint="eastAsia" w:ascii="宋体" w:hAnsi="宋体" w:eastAsia="宋体" w:cs="宋体"/>
                <w:bCs/>
                <w:sz w:val="21"/>
                <w:szCs w:val="21"/>
                <w:highlight w:val="none"/>
              </w:rPr>
            </w:pPr>
          </w:p>
        </w:tc>
      </w:tr>
      <w:tr w14:paraId="555691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CC96853">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45B404BB">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262645D6">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2551FCA8">
            <w:pPr>
              <w:pStyle w:val="19"/>
              <w:jc w:val="center"/>
              <w:rPr>
                <w:rFonts w:hint="eastAsia" w:ascii="宋体" w:hAnsi="宋体" w:eastAsia="宋体" w:cs="宋体"/>
                <w:bCs/>
                <w:sz w:val="21"/>
                <w:szCs w:val="21"/>
                <w:highlight w:val="none"/>
              </w:rPr>
            </w:pPr>
          </w:p>
        </w:tc>
      </w:tr>
      <w:tr w14:paraId="4CD1EC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51F48C0">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4C36E2B6">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70A44EC9">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6A6F59B9">
            <w:pPr>
              <w:pStyle w:val="19"/>
              <w:jc w:val="center"/>
              <w:rPr>
                <w:rFonts w:hint="eastAsia" w:ascii="宋体" w:hAnsi="宋体" w:eastAsia="宋体" w:cs="宋体"/>
                <w:bCs/>
                <w:sz w:val="21"/>
                <w:szCs w:val="21"/>
                <w:highlight w:val="none"/>
              </w:rPr>
            </w:pPr>
          </w:p>
        </w:tc>
      </w:tr>
      <w:tr w14:paraId="7FD152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C77DDC2">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0D83134D">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788830CF">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1BC56C1D">
            <w:pPr>
              <w:pStyle w:val="19"/>
              <w:jc w:val="center"/>
              <w:rPr>
                <w:rFonts w:hint="eastAsia" w:ascii="宋体" w:hAnsi="宋体" w:eastAsia="宋体" w:cs="宋体"/>
                <w:bCs/>
                <w:sz w:val="21"/>
                <w:szCs w:val="21"/>
                <w:highlight w:val="none"/>
              </w:rPr>
            </w:pPr>
          </w:p>
        </w:tc>
      </w:tr>
      <w:tr w14:paraId="14F3FF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C4B5B2D">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11F58F83">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148F56FB">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5A088C1C">
            <w:pPr>
              <w:pStyle w:val="19"/>
              <w:jc w:val="center"/>
              <w:rPr>
                <w:rFonts w:hint="eastAsia" w:ascii="宋体" w:hAnsi="宋体" w:eastAsia="宋体" w:cs="宋体"/>
                <w:bCs/>
                <w:sz w:val="21"/>
                <w:szCs w:val="21"/>
                <w:highlight w:val="none"/>
              </w:rPr>
            </w:pPr>
          </w:p>
        </w:tc>
      </w:tr>
      <w:tr w14:paraId="382A95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F9C4448">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58F46601">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32FA2B47">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425B0062">
            <w:pPr>
              <w:pStyle w:val="19"/>
              <w:jc w:val="center"/>
              <w:rPr>
                <w:rFonts w:hint="eastAsia" w:ascii="宋体" w:hAnsi="宋体" w:eastAsia="宋体" w:cs="宋体"/>
                <w:bCs/>
                <w:sz w:val="21"/>
                <w:szCs w:val="21"/>
                <w:highlight w:val="none"/>
              </w:rPr>
            </w:pPr>
          </w:p>
        </w:tc>
      </w:tr>
      <w:tr w14:paraId="649779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54ADB14A">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26773E53">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479EB2D8">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2E3FE741">
            <w:pPr>
              <w:pStyle w:val="19"/>
              <w:jc w:val="center"/>
              <w:rPr>
                <w:rFonts w:hint="eastAsia" w:ascii="宋体" w:hAnsi="宋体" w:eastAsia="宋体" w:cs="宋体"/>
                <w:bCs/>
                <w:sz w:val="21"/>
                <w:szCs w:val="21"/>
                <w:highlight w:val="none"/>
              </w:rPr>
            </w:pPr>
          </w:p>
        </w:tc>
      </w:tr>
      <w:tr w14:paraId="5A54DC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229DCB0">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3B040C87">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2561608D">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23C1BBF8">
            <w:pPr>
              <w:pStyle w:val="19"/>
              <w:jc w:val="center"/>
              <w:rPr>
                <w:rFonts w:hint="eastAsia" w:ascii="宋体" w:hAnsi="宋体" w:eastAsia="宋体" w:cs="宋体"/>
                <w:bCs/>
                <w:sz w:val="21"/>
                <w:szCs w:val="21"/>
                <w:highlight w:val="none"/>
              </w:rPr>
            </w:pPr>
          </w:p>
        </w:tc>
      </w:tr>
      <w:tr w14:paraId="346AE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048EB3D1">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7194FEC3">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7BFE74A0">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6BCD0CA4">
            <w:pPr>
              <w:pStyle w:val="19"/>
              <w:jc w:val="center"/>
              <w:rPr>
                <w:rFonts w:hint="eastAsia" w:ascii="宋体" w:hAnsi="宋体" w:eastAsia="宋体" w:cs="宋体"/>
                <w:bCs/>
                <w:sz w:val="21"/>
                <w:szCs w:val="21"/>
                <w:highlight w:val="none"/>
              </w:rPr>
            </w:pPr>
          </w:p>
        </w:tc>
      </w:tr>
      <w:tr w14:paraId="650934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050AA294">
            <w:pPr>
              <w:pStyle w:val="19"/>
              <w:jc w:val="center"/>
              <w:rPr>
                <w:rFonts w:hint="eastAsia" w:ascii="宋体" w:hAnsi="宋体" w:eastAsia="宋体" w:cs="宋体"/>
                <w:bCs/>
                <w:sz w:val="21"/>
                <w:szCs w:val="21"/>
                <w:highlight w:val="none"/>
              </w:rPr>
            </w:pPr>
          </w:p>
        </w:tc>
        <w:tc>
          <w:tcPr>
            <w:tcW w:w="3048" w:type="dxa"/>
            <w:tcMar>
              <w:left w:w="0" w:type="dxa"/>
              <w:right w:w="0" w:type="dxa"/>
            </w:tcMar>
            <w:vAlign w:val="center"/>
          </w:tcPr>
          <w:p w14:paraId="040BCD27">
            <w:pPr>
              <w:pStyle w:val="19"/>
              <w:jc w:val="center"/>
              <w:rPr>
                <w:rFonts w:hint="eastAsia" w:ascii="宋体" w:hAnsi="宋体" w:eastAsia="宋体" w:cs="宋体"/>
                <w:bCs/>
                <w:sz w:val="21"/>
                <w:szCs w:val="21"/>
                <w:highlight w:val="none"/>
              </w:rPr>
            </w:pPr>
          </w:p>
        </w:tc>
        <w:tc>
          <w:tcPr>
            <w:tcW w:w="3473" w:type="dxa"/>
            <w:tcMar>
              <w:left w:w="0" w:type="dxa"/>
              <w:right w:w="0" w:type="dxa"/>
            </w:tcMar>
            <w:vAlign w:val="center"/>
          </w:tcPr>
          <w:p w14:paraId="53CA0C49">
            <w:pPr>
              <w:pStyle w:val="19"/>
              <w:jc w:val="center"/>
              <w:rPr>
                <w:rFonts w:hint="eastAsia" w:ascii="宋体" w:hAnsi="宋体" w:eastAsia="宋体" w:cs="宋体"/>
                <w:bCs/>
                <w:sz w:val="21"/>
                <w:szCs w:val="21"/>
                <w:highlight w:val="none"/>
              </w:rPr>
            </w:pPr>
          </w:p>
        </w:tc>
        <w:tc>
          <w:tcPr>
            <w:tcW w:w="1617" w:type="dxa"/>
            <w:tcMar>
              <w:left w:w="0" w:type="dxa"/>
              <w:right w:w="0" w:type="dxa"/>
            </w:tcMar>
            <w:vAlign w:val="center"/>
          </w:tcPr>
          <w:p w14:paraId="0946326D">
            <w:pPr>
              <w:pStyle w:val="19"/>
              <w:jc w:val="center"/>
              <w:rPr>
                <w:rFonts w:hint="eastAsia" w:ascii="宋体" w:hAnsi="宋体" w:eastAsia="宋体" w:cs="宋体"/>
                <w:bCs/>
                <w:sz w:val="21"/>
                <w:szCs w:val="21"/>
                <w:highlight w:val="none"/>
              </w:rPr>
            </w:pPr>
          </w:p>
        </w:tc>
      </w:tr>
    </w:tbl>
    <w:p w14:paraId="2D272F82">
      <w:pPr>
        <w:pStyle w:val="19"/>
        <w:jc w:val="left"/>
        <w:rPr>
          <w:rFonts w:hint="eastAsia" w:ascii="宋体" w:hAnsi="宋体" w:eastAsia="宋体" w:cs="宋体"/>
          <w:bCs/>
          <w:sz w:val="21"/>
          <w:szCs w:val="21"/>
          <w:highlight w:val="none"/>
        </w:rPr>
      </w:pPr>
      <w:r>
        <w:rPr>
          <w:rFonts w:ascii="宋体" w:hAnsi="宋体" w:eastAsia="宋体" w:cs="宋体"/>
          <w:bCs/>
          <w:sz w:val="21"/>
          <w:szCs w:val="21"/>
          <w:highlight w:val="none"/>
        </w:rPr>
        <w:t>备注：1、列明采购文件的要求与投标文件对应响应，并说明偏离状况；2、无偏离应在本表</w:t>
      </w:r>
      <w:r>
        <w:rPr>
          <w:rFonts w:hint="eastAsia" w:ascii="宋体" w:hAnsi="宋体" w:eastAsia="宋体" w:cs="宋体"/>
          <w:bCs/>
          <w:sz w:val="21"/>
          <w:szCs w:val="21"/>
          <w:highlight w:val="none"/>
        </w:rPr>
        <w:t>“说明”</w:t>
      </w:r>
      <w:r>
        <w:rPr>
          <w:rFonts w:ascii="宋体" w:hAnsi="宋体" w:eastAsia="宋体" w:cs="宋体"/>
          <w:bCs/>
          <w:sz w:val="21"/>
          <w:szCs w:val="21"/>
          <w:highlight w:val="none"/>
        </w:rPr>
        <w:t>处醒目地注明“无条款偏离”的字样。</w:t>
      </w:r>
    </w:p>
    <w:p w14:paraId="53564C0B">
      <w:pPr>
        <w:pStyle w:val="19"/>
        <w:jc w:val="left"/>
        <w:rPr>
          <w:rFonts w:hint="eastAsia" w:ascii="宋体" w:hAnsi="宋体" w:eastAsia="宋体" w:cs="宋体"/>
          <w:bCs/>
          <w:sz w:val="21"/>
          <w:szCs w:val="21"/>
          <w:highlight w:val="none"/>
        </w:rPr>
      </w:pPr>
    </w:p>
    <w:p w14:paraId="30B01637">
      <w:pPr>
        <w:pStyle w:val="19"/>
        <w:jc w:val="left"/>
        <w:rPr>
          <w:rFonts w:hint="eastAsia" w:ascii="宋体" w:hAnsi="宋体" w:eastAsia="宋体" w:cs="宋体"/>
          <w:bCs/>
          <w:sz w:val="21"/>
          <w:szCs w:val="21"/>
          <w:highlight w:val="none"/>
        </w:rPr>
      </w:pPr>
    </w:p>
    <w:p w14:paraId="6E511C1C">
      <w:pPr>
        <w:pStyle w:val="19"/>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投标人（盖章）：</w:t>
      </w:r>
    </w:p>
    <w:p w14:paraId="38B06019">
      <w:pPr>
        <w:pStyle w:val="19"/>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法定代表人或授权代表人（签字或盖章）</w:t>
      </w:r>
      <w:r>
        <w:rPr>
          <w:rFonts w:hint="eastAsia" w:ascii="宋体" w:hAnsi="宋体" w:eastAsia="宋体" w:cs="宋体"/>
          <w:bCs/>
          <w:sz w:val="21"/>
          <w:szCs w:val="21"/>
          <w:highlight w:val="none"/>
        </w:rPr>
        <w:t xml:space="preserve">：                         </w:t>
      </w:r>
    </w:p>
    <w:p w14:paraId="616377B8">
      <w:pPr>
        <w:pStyle w:val="19"/>
        <w:jc w:val="left"/>
        <w:rPr>
          <w:rFonts w:hint="eastAsia" w:ascii="宋体" w:hAnsi="宋体" w:eastAsia="宋体" w:cs="宋体"/>
          <w:bCs/>
          <w:sz w:val="21"/>
          <w:szCs w:val="21"/>
          <w:highlight w:val="none"/>
        </w:rPr>
      </w:pPr>
    </w:p>
    <w:p w14:paraId="3FF4C97A">
      <w:pPr>
        <w:pStyle w:val="19"/>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日期：</w:t>
      </w:r>
    </w:p>
    <w:p w14:paraId="2CE21BEC">
      <w:pPr>
        <w:pStyle w:val="19"/>
        <w:jc w:val="center"/>
        <w:rPr>
          <w:rFonts w:hint="eastAsia" w:ascii="宋体" w:hAnsi="宋体" w:eastAsia="宋体" w:cs="宋体"/>
          <w:bCs/>
          <w:sz w:val="21"/>
          <w:szCs w:val="21"/>
          <w:highlight w:val="none"/>
        </w:rPr>
      </w:pPr>
    </w:p>
    <w:p w14:paraId="7955F4F6">
      <w:pPr>
        <w:rPr>
          <w:rFonts w:hint="eastAsia" w:ascii="宋体" w:hAnsi="宋体"/>
          <w:b/>
          <w:sz w:val="28"/>
          <w:highlight w:val="none"/>
        </w:rPr>
      </w:pPr>
    </w:p>
    <w:p w14:paraId="71A38577">
      <w:pPr>
        <w:rPr>
          <w:rFonts w:hint="eastAsia" w:ascii="宋体" w:hAnsi="宋体"/>
          <w:b/>
          <w:sz w:val="28"/>
          <w:highlight w:val="none"/>
        </w:rPr>
      </w:pPr>
    </w:p>
    <w:p w14:paraId="29440910">
      <w:pPr>
        <w:rPr>
          <w:rFonts w:hint="eastAsia" w:ascii="宋体" w:hAnsi="宋体"/>
          <w:b/>
          <w:sz w:val="28"/>
          <w:highlight w:val="none"/>
        </w:rPr>
      </w:pPr>
    </w:p>
    <w:p w14:paraId="321C74C5">
      <w:pPr>
        <w:rPr>
          <w:rFonts w:hint="eastAsia" w:ascii="宋体" w:hAnsi="宋体"/>
          <w:sz w:val="24"/>
          <w:highlight w:val="none"/>
          <w:u w:val="single"/>
        </w:rPr>
      </w:pPr>
      <w:r>
        <w:rPr>
          <w:rFonts w:hint="eastAsia"/>
          <w:szCs w:val="24"/>
          <w:highlight w:val="none"/>
        </w:rPr>
        <w:t>格式五</w:t>
      </w:r>
    </w:p>
    <w:p w14:paraId="08B867C3">
      <w:pPr>
        <w:pStyle w:val="3"/>
        <w:tabs>
          <w:tab w:val="left" w:pos="993"/>
          <w:tab w:val="left" w:pos="2977"/>
          <w:tab w:val="left" w:pos="4111"/>
          <w:tab w:val="left" w:pos="4253"/>
        </w:tabs>
        <w:spacing w:before="0" w:after="120" w:afterLines="50" w:line="240" w:lineRule="auto"/>
        <w:jc w:val="center"/>
        <w:rPr>
          <w:rFonts w:hint="eastAsia" w:ascii="宋体" w:hAnsi="宋体" w:eastAsia="宋体" w:cs="宋体"/>
          <w:sz w:val="21"/>
          <w:szCs w:val="21"/>
          <w:highlight w:val="none"/>
        </w:rPr>
      </w:pPr>
      <w:bookmarkStart w:id="74" w:name="_Toc435202002"/>
      <w:bookmarkStart w:id="75" w:name="_Toc355341194"/>
      <w:r>
        <w:rPr>
          <w:rFonts w:hint="eastAsia" w:ascii="宋体" w:hAnsi="宋体" w:eastAsia="宋体" w:cs="宋体"/>
          <w:sz w:val="21"/>
          <w:szCs w:val="21"/>
          <w:highlight w:val="none"/>
        </w:rPr>
        <w:t>法定代表人</w:t>
      </w:r>
      <w:r>
        <w:rPr>
          <w:rFonts w:ascii="宋体" w:hAnsi="宋体" w:eastAsia="宋体" w:cs="宋体"/>
          <w:sz w:val="21"/>
          <w:szCs w:val="21"/>
          <w:highlight w:val="none"/>
        </w:rPr>
        <w:t>授权书</w:t>
      </w:r>
      <w:bookmarkEnd w:id="74"/>
      <w:bookmarkEnd w:id="75"/>
    </w:p>
    <w:p w14:paraId="25714E2D">
      <w:pPr>
        <w:tabs>
          <w:tab w:val="left" w:pos="630"/>
        </w:tabs>
        <w:spacing w:line="440" w:lineRule="exact"/>
        <w:rPr>
          <w:szCs w:val="24"/>
          <w:highlight w:val="none"/>
        </w:rPr>
      </w:pPr>
      <w:r>
        <w:rPr>
          <w:szCs w:val="24"/>
          <w:highlight w:val="none"/>
        </w:rPr>
        <w:t>中冠工程管理咨询有限公司：</w:t>
      </w:r>
    </w:p>
    <w:p w14:paraId="06D0DFE1">
      <w:pPr>
        <w:spacing w:line="440" w:lineRule="exact"/>
        <w:ind w:firstLine="420" w:firstLineChars="200"/>
        <w:rPr>
          <w:szCs w:val="24"/>
          <w:highlight w:val="none"/>
        </w:rPr>
      </w:pPr>
      <w:r>
        <w:rPr>
          <w:szCs w:val="24"/>
          <w:highlight w:val="none"/>
        </w:rPr>
        <w:t xml:space="preserve"> (供应商全称)</w:t>
      </w:r>
      <w:r>
        <w:rPr>
          <w:rFonts w:hint="eastAsia"/>
          <w:szCs w:val="24"/>
          <w:highlight w:val="none"/>
        </w:rPr>
        <w:t>法定代表人</w:t>
      </w:r>
      <w:r>
        <w:rPr>
          <w:szCs w:val="24"/>
          <w:highlight w:val="none"/>
        </w:rPr>
        <w:t>授权            (委托代理人姓名)为委托代理人，参加贵</w:t>
      </w:r>
      <w:r>
        <w:rPr>
          <w:rFonts w:hint="eastAsia"/>
          <w:szCs w:val="24"/>
          <w:highlight w:val="none"/>
        </w:rPr>
        <w:t>公司</w:t>
      </w:r>
      <w:r>
        <w:rPr>
          <w:szCs w:val="24"/>
          <w:highlight w:val="none"/>
        </w:rPr>
        <w:t>组织的   年   月   日项目(编号</w:t>
      </w:r>
      <w:r>
        <w:rPr>
          <w:rFonts w:hint="eastAsia"/>
          <w:szCs w:val="24"/>
          <w:highlight w:val="none"/>
        </w:rPr>
        <w:t>：</w:t>
      </w:r>
      <w:r>
        <w:rPr>
          <w:szCs w:val="24"/>
          <w:highlight w:val="none"/>
        </w:rPr>
        <w:t xml:space="preserve"> )采购活动，全权处理采购活动中的一切事宜。</w:t>
      </w:r>
    </w:p>
    <w:p w14:paraId="162971D0">
      <w:pPr>
        <w:spacing w:line="440" w:lineRule="exact"/>
        <w:ind w:firstLine="422" w:firstLineChars="200"/>
        <w:rPr>
          <w:b/>
          <w:bCs/>
          <w:szCs w:val="24"/>
          <w:highlight w:val="none"/>
        </w:rPr>
      </w:pPr>
      <w:r>
        <w:rPr>
          <w:rFonts w:hint="eastAsia"/>
          <w:b/>
          <w:bCs/>
          <w:szCs w:val="24"/>
          <w:highlight w:val="none"/>
        </w:rPr>
        <w:t>后附被授权人身份证正反页复印件</w:t>
      </w:r>
    </w:p>
    <w:p w14:paraId="4EFFFF72">
      <w:pPr>
        <w:spacing w:line="440" w:lineRule="exact"/>
        <w:ind w:firstLine="420" w:firstLineChars="200"/>
        <w:rPr>
          <w:szCs w:val="24"/>
          <w:highlight w:val="none"/>
        </w:rPr>
      </w:pPr>
      <w:r>
        <w:rPr>
          <w:rFonts w:hint="eastAsia"/>
          <w:szCs w:val="24"/>
          <w:highlight w:val="none"/>
        </w:rPr>
        <w:t>法定代表人</w:t>
      </w:r>
      <w:r>
        <w:rPr>
          <w:szCs w:val="24"/>
          <w:highlight w:val="none"/>
        </w:rPr>
        <w:t xml:space="preserve"> (签字</w:t>
      </w:r>
      <w:r>
        <w:rPr>
          <w:rFonts w:hint="eastAsia"/>
          <w:szCs w:val="24"/>
          <w:highlight w:val="none"/>
        </w:rPr>
        <w:t>或盖章</w:t>
      </w:r>
      <w:r>
        <w:rPr>
          <w:szCs w:val="24"/>
          <w:highlight w:val="none"/>
        </w:rPr>
        <w:t>)：</w:t>
      </w:r>
    </w:p>
    <w:p w14:paraId="4DF78BCF">
      <w:pPr>
        <w:spacing w:line="440" w:lineRule="exact"/>
        <w:ind w:firstLine="420" w:firstLineChars="200"/>
        <w:rPr>
          <w:szCs w:val="24"/>
          <w:highlight w:val="none"/>
        </w:rPr>
      </w:pPr>
    </w:p>
    <w:p w14:paraId="2CBB6469">
      <w:pPr>
        <w:spacing w:line="440" w:lineRule="exact"/>
        <w:ind w:firstLine="420" w:firstLineChars="200"/>
        <w:rPr>
          <w:szCs w:val="24"/>
          <w:highlight w:val="none"/>
        </w:rPr>
      </w:pPr>
      <w:r>
        <w:rPr>
          <w:szCs w:val="24"/>
          <w:highlight w:val="none"/>
        </w:rPr>
        <w:t>供应商全称(公章)：</w:t>
      </w:r>
    </w:p>
    <w:p w14:paraId="2C07CC50">
      <w:pPr>
        <w:spacing w:line="440" w:lineRule="exact"/>
        <w:ind w:firstLine="420" w:firstLineChars="200"/>
        <w:rPr>
          <w:szCs w:val="24"/>
          <w:highlight w:val="none"/>
        </w:rPr>
      </w:pPr>
    </w:p>
    <w:p w14:paraId="4235ED6F">
      <w:pPr>
        <w:wordWrap w:val="0"/>
        <w:spacing w:line="440" w:lineRule="exact"/>
        <w:ind w:firstLine="420" w:firstLineChars="200"/>
        <w:jc w:val="right"/>
        <w:rPr>
          <w:szCs w:val="24"/>
          <w:highlight w:val="none"/>
        </w:rPr>
      </w:pPr>
      <w:r>
        <w:rPr>
          <w:szCs w:val="24"/>
          <w:highlight w:val="none"/>
        </w:rPr>
        <w:t>日期：</w:t>
      </w:r>
    </w:p>
    <w:p w14:paraId="29E28308">
      <w:pPr>
        <w:spacing w:line="440" w:lineRule="exact"/>
        <w:ind w:firstLine="420" w:firstLineChars="200"/>
        <w:jc w:val="center"/>
        <w:rPr>
          <w:szCs w:val="24"/>
          <w:highlight w:val="none"/>
        </w:rPr>
      </w:pPr>
    </w:p>
    <w:p w14:paraId="71C99D39">
      <w:pPr>
        <w:spacing w:line="440" w:lineRule="exact"/>
        <w:ind w:firstLine="420" w:firstLineChars="200"/>
        <w:rPr>
          <w:szCs w:val="24"/>
          <w:highlight w:val="none"/>
        </w:rPr>
      </w:pPr>
      <w:r>
        <w:rPr>
          <w:szCs w:val="24"/>
          <w:highlight w:val="none"/>
        </w:rPr>
        <w:t>附：</w:t>
      </w:r>
    </w:p>
    <w:p w14:paraId="5EA1934F">
      <w:pPr>
        <w:spacing w:line="440" w:lineRule="exact"/>
        <w:ind w:firstLine="420" w:firstLineChars="200"/>
        <w:rPr>
          <w:szCs w:val="24"/>
          <w:highlight w:val="none"/>
        </w:rPr>
      </w:pPr>
      <w:r>
        <w:rPr>
          <w:szCs w:val="24"/>
          <w:highlight w:val="none"/>
        </w:rPr>
        <w:t>委托代理人：</w:t>
      </w:r>
    </w:p>
    <w:p w14:paraId="779D246C">
      <w:pPr>
        <w:spacing w:line="440" w:lineRule="exact"/>
        <w:ind w:firstLine="420" w:firstLineChars="200"/>
        <w:rPr>
          <w:szCs w:val="24"/>
          <w:highlight w:val="none"/>
        </w:rPr>
      </w:pPr>
      <w:r>
        <w:rPr>
          <w:szCs w:val="24"/>
          <w:highlight w:val="none"/>
        </w:rPr>
        <w:t>身份证号码：</w:t>
      </w:r>
    </w:p>
    <w:p w14:paraId="628B448F">
      <w:pPr>
        <w:spacing w:line="440" w:lineRule="exact"/>
        <w:ind w:firstLine="420" w:firstLineChars="200"/>
        <w:rPr>
          <w:szCs w:val="24"/>
          <w:highlight w:val="none"/>
        </w:rPr>
      </w:pPr>
      <w:r>
        <w:rPr>
          <w:szCs w:val="24"/>
          <w:highlight w:val="none"/>
        </w:rPr>
        <w:t>职务：</w:t>
      </w:r>
    </w:p>
    <w:p w14:paraId="13D20F93">
      <w:pPr>
        <w:spacing w:line="440" w:lineRule="exact"/>
        <w:ind w:firstLine="420" w:firstLineChars="200"/>
        <w:rPr>
          <w:szCs w:val="24"/>
          <w:highlight w:val="none"/>
        </w:rPr>
      </w:pPr>
      <w:r>
        <w:rPr>
          <w:szCs w:val="24"/>
          <w:highlight w:val="none"/>
        </w:rPr>
        <w:t>手机号码：</w:t>
      </w:r>
    </w:p>
    <w:p w14:paraId="7CAC23E9">
      <w:pPr>
        <w:spacing w:line="440" w:lineRule="exact"/>
        <w:ind w:firstLine="420" w:firstLineChars="200"/>
        <w:rPr>
          <w:szCs w:val="24"/>
          <w:highlight w:val="none"/>
        </w:rPr>
      </w:pPr>
      <w:r>
        <w:rPr>
          <w:szCs w:val="24"/>
          <w:highlight w:val="none"/>
        </w:rPr>
        <w:t>通讯地址：</w:t>
      </w:r>
    </w:p>
    <w:p w14:paraId="72EA939C">
      <w:pPr>
        <w:spacing w:line="440" w:lineRule="exact"/>
        <w:ind w:firstLine="420" w:firstLineChars="200"/>
        <w:rPr>
          <w:szCs w:val="24"/>
          <w:highlight w:val="none"/>
        </w:rPr>
      </w:pPr>
      <w:r>
        <w:rPr>
          <w:szCs w:val="24"/>
          <w:highlight w:val="none"/>
        </w:rPr>
        <w:t>邮政编码：</w:t>
      </w:r>
    </w:p>
    <w:p w14:paraId="2C2DAC27">
      <w:pPr>
        <w:spacing w:line="440" w:lineRule="exact"/>
        <w:ind w:firstLine="420" w:firstLineChars="200"/>
        <w:rPr>
          <w:szCs w:val="24"/>
          <w:highlight w:val="none"/>
        </w:rPr>
      </w:pPr>
      <w:r>
        <w:rPr>
          <w:szCs w:val="24"/>
          <w:highlight w:val="none"/>
        </w:rPr>
        <w:t>电话：</w:t>
      </w:r>
    </w:p>
    <w:p w14:paraId="6F321DF8">
      <w:pPr>
        <w:spacing w:line="440" w:lineRule="exact"/>
        <w:ind w:firstLine="420" w:firstLineChars="200"/>
        <w:rPr>
          <w:szCs w:val="24"/>
          <w:highlight w:val="none"/>
        </w:rPr>
      </w:pPr>
      <w:r>
        <w:rPr>
          <w:szCs w:val="24"/>
          <w:highlight w:val="none"/>
        </w:rPr>
        <w:t>传真：</w:t>
      </w:r>
    </w:p>
    <w:p w14:paraId="70B4B012">
      <w:pPr>
        <w:pStyle w:val="2"/>
        <w:spacing w:after="120" w:afterLines="50" w:line="360" w:lineRule="exact"/>
        <w:rPr>
          <w:rFonts w:ascii="Times New Roman"/>
          <w:sz w:val="24"/>
          <w:highlight w:val="none"/>
        </w:rPr>
      </w:pPr>
      <w:r>
        <w:rPr>
          <w:szCs w:val="24"/>
          <w:highlight w:val="none"/>
        </w:rPr>
        <w:br w:type="page"/>
      </w:r>
      <w:bookmarkStart w:id="76" w:name="_Toc517699375"/>
      <w:bookmarkStart w:id="77" w:name="_Toc498429656"/>
      <w:bookmarkStart w:id="78" w:name="_Toc514758504"/>
      <w:r>
        <w:rPr>
          <w:rFonts w:hint="eastAsia" w:hAnsi="宋体" w:cs="宋体"/>
          <w:sz w:val="21"/>
          <w:szCs w:val="21"/>
          <w:highlight w:val="none"/>
        </w:rPr>
        <w:t>法定代表人身份证明书</w:t>
      </w:r>
      <w:bookmarkEnd w:id="76"/>
      <w:bookmarkEnd w:id="77"/>
      <w:bookmarkEnd w:id="78"/>
    </w:p>
    <w:p w14:paraId="5ED3A1D7">
      <w:pPr>
        <w:spacing w:line="360" w:lineRule="auto"/>
        <w:rPr>
          <w:bCs/>
          <w:szCs w:val="21"/>
          <w:highlight w:val="none"/>
        </w:rPr>
      </w:pPr>
    </w:p>
    <w:p w14:paraId="77F4A652">
      <w:pPr>
        <w:spacing w:line="360" w:lineRule="auto"/>
        <w:contextualSpacing/>
        <w:rPr>
          <w:bCs/>
          <w:sz w:val="24"/>
          <w:szCs w:val="24"/>
          <w:highlight w:val="none"/>
          <w:u w:val="single"/>
        </w:rPr>
      </w:pPr>
      <w:r>
        <w:rPr>
          <w:rFonts w:hint="eastAsia"/>
          <w:bCs/>
          <w:sz w:val="24"/>
          <w:szCs w:val="24"/>
          <w:highlight w:val="none"/>
        </w:rPr>
        <w:t>单位名称：</w:t>
      </w:r>
    </w:p>
    <w:p w14:paraId="7F9D833C">
      <w:pPr>
        <w:spacing w:line="360" w:lineRule="auto"/>
        <w:contextualSpacing/>
        <w:rPr>
          <w:bCs/>
          <w:sz w:val="24"/>
          <w:szCs w:val="24"/>
          <w:highlight w:val="none"/>
        </w:rPr>
      </w:pPr>
      <w:r>
        <w:rPr>
          <w:rFonts w:hint="eastAsia"/>
          <w:bCs/>
          <w:sz w:val="24"/>
          <w:szCs w:val="24"/>
          <w:highlight w:val="none"/>
        </w:rPr>
        <w:t>地    址：</w:t>
      </w:r>
    </w:p>
    <w:p w14:paraId="58C080EB">
      <w:pPr>
        <w:spacing w:line="360" w:lineRule="auto"/>
        <w:contextualSpacing/>
        <w:rPr>
          <w:bCs/>
          <w:sz w:val="24"/>
          <w:szCs w:val="24"/>
          <w:highlight w:val="none"/>
        </w:rPr>
      </w:pPr>
      <w:r>
        <w:rPr>
          <w:rFonts w:hint="eastAsia"/>
          <w:bCs/>
          <w:sz w:val="24"/>
          <w:szCs w:val="24"/>
          <w:highlight w:val="none"/>
        </w:rPr>
        <w:t>姓    名：  性    别：</w:t>
      </w:r>
    </w:p>
    <w:p w14:paraId="6C1E9567">
      <w:pPr>
        <w:spacing w:line="360" w:lineRule="auto"/>
        <w:contextualSpacing/>
        <w:rPr>
          <w:bCs/>
          <w:sz w:val="24"/>
          <w:szCs w:val="24"/>
          <w:highlight w:val="none"/>
        </w:rPr>
      </w:pPr>
      <w:r>
        <w:rPr>
          <w:rFonts w:hint="eastAsia"/>
          <w:bCs/>
          <w:sz w:val="24"/>
          <w:szCs w:val="24"/>
          <w:highlight w:val="none"/>
        </w:rPr>
        <w:t>年    龄：  职    务：</w:t>
      </w:r>
    </w:p>
    <w:p w14:paraId="6C568F0B">
      <w:pPr>
        <w:spacing w:line="360" w:lineRule="auto"/>
        <w:contextualSpacing/>
        <w:rPr>
          <w:bCs/>
          <w:sz w:val="24"/>
          <w:szCs w:val="24"/>
          <w:highlight w:val="none"/>
        </w:rPr>
      </w:pPr>
      <w:r>
        <w:rPr>
          <w:rFonts w:hint="eastAsia"/>
          <w:bCs/>
          <w:sz w:val="24"/>
          <w:szCs w:val="24"/>
          <w:highlight w:val="none"/>
        </w:rPr>
        <w:t>身份证号码：系（投标人单位全称）的法定代表人。</w:t>
      </w:r>
    </w:p>
    <w:p w14:paraId="4FBA984C">
      <w:pPr>
        <w:spacing w:line="360" w:lineRule="auto"/>
        <w:contextualSpacing/>
        <w:rPr>
          <w:bCs/>
          <w:sz w:val="24"/>
          <w:szCs w:val="24"/>
          <w:highlight w:val="none"/>
        </w:rPr>
      </w:pPr>
      <w:r>
        <w:rPr>
          <w:rFonts w:hint="eastAsia"/>
          <w:bCs/>
          <w:sz w:val="24"/>
          <w:szCs w:val="24"/>
          <w:highlight w:val="none"/>
        </w:rPr>
        <w:t xml:space="preserve">    特此证明。</w:t>
      </w:r>
    </w:p>
    <w:p w14:paraId="44718CD3">
      <w:pPr>
        <w:spacing w:line="360" w:lineRule="auto"/>
        <w:contextualSpacing/>
        <w:rPr>
          <w:bCs/>
          <w:sz w:val="24"/>
          <w:szCs w:val="24"/>
          <w:highlight w:val="none"/>
        </w:rPr>
      </w:pPr>
    </w:p>
    <w:p w14:paraId="53346619">
      <w:pPr>
        <w:spacing w:line="360" w:lineRule="auto"/>
        <w:contextualSpacing/>
        <w:rPr>
          <w:bCs/>
          <w:sz w:val="24"/>
          <w:szCs w:val="24"/>
          <w:highlight w:val="none"/>
        </w:rPr>
      </w:pPr>
      <w:r>
        <w:rPr>
          <w:rFonts w:hint="eastAsia"/>
          <w:bCs/>
          <w:sz w:val="24"/>
          <w:szCs w:val="24"/>
          <w:highlight w:val="none"/>
        </w:rPr>
        <w:t>（后附法定代表人身份证正反面复印件）</w:t>
      </w:r>
    </w:p>
    <w:p w14:paraId="1C3DB90E">
      <w:pPr>
        <w:spacing w:line="360" w:lineRule="auto"/>
        <w:contextualSpacing/>
        <w:rPr>
          <w:bCs/>
          <w:sz w:val="24"/>
          <w:szCs w:val="24"/>
          <w:highlight w:val="none"/>
        </w:rPr>
      </w:pPr>
    </w:p>
    <w:p w14:paraId="06F11E1D">
      <w:pPr>
        <w:spacing w:line="360" w:lineRule="auto"/>
        <w:contextualSpacing/>
        <w:rPr>
          <w:bCs/>
          <w:sz w:val="24"/>
          <w:szCs w:val="24"/>
          <w:highlight w:val="none"/>
        </w:rPr>
      </w:pPr>
    </w:p>
    <w:p w14:paraId="6B1CF1B5">
      <w:pPr>
        <w:spacing w:line="360" w:lineRule="auto"/>
        <w:contextualSpacing/>
        <w:rPr>
          <w:bCs/>
          <w:sz w:val="24"/>
          <w:szCs w:val="24"/>
          <w:highlight w:val="none"/>
        </w:rPr>
      </w:pPr>
    </w:p>
    <w:p w14:paraId="5071AF47">
      <w:pPr>
        <w:spacing w:line="360" w:lineRule="auto"/>
        <w:contextualSpacing/>
        <w:rPr>
          <w:bCs/>
          <w:sz w:val="24"/>
          <w:szCs w:val="24"/>
          <w:highlight w:val="none"/>
        </w:rPr>
      </w:pPr>
      <w:r>
        <w:rPr>
          <w:rFonts w:hint="eastAsia"/>
          <w:bCs/>
          <w:sz w:val="24"/>
          <w:szCs w:val="24"/>
          <w:highlight w:val="none"/>
        </w:rPr>
        <w:t>投标人（盖章）：</w:t>
      </w:r>
    </w:p>
    <w:p w14:paraId="345E20D1">
      <w:pPr>
        <w:spacing w:line="360" w:lineRule="auto"/>
        <w:contextualSpacing/>
        <w:rPr>
          <w:bCs/>
          <w:sz w:val="24"/>
          <w:szCs w:val="24"/>
          <w:highlight w:val="none"/>
        </w:rPr>
      </w:pPr>
    </w:p>
    <w:p w14:paraId="1A1DCC97">
      <w:pPr>
        <w:spacing w:line="360" w:lineRule="auto"/>
        <w:contextualSpacing/>
        <w:rPr>
          <w:bCs/>
          <w:sz w:val="24"/>
          <w:szCs w:val="24"/>
          <w:highlight w:val="none"/>
        </w:rPr>
      </w:pPr>
      <w:r>
        <w:rPr>
          <w:rFonts w:hint="eastAsia"/>
          <w:bCs/>
          <w:sz w:val="24"/>
          <w:szCs w:val="24"/>
          <w:highlight w:val="none"/>
        </w:rPr>
        <w:t>投标人法定代表人（签字或盖章）：</w:t>
      </w:r>
    </w:p>
    <w:p w14:paraId="043E8E75">
      <w:pPr>
        <w:spacing w:line="360" w:lineRule="auto"/>
        <w:contextualSpacing/>
        <w:rPr>
          <w:bCs/>
          <w:sz w:val="24"/>
          <w:szCs w:val="24"/>
          <w:highlight w:val="none"/>
        </w:rPr>
      </w:pPr>
    </w:p>
    <w:p w14:paraId="6EEBCA8F">
      <w:pPr>
        <w:spacing w:line="360" w:lineRule="auto"/>
        <w:contextualSpacing/>
        <w:rPr>
          <w:bCs/>
          <w:sz w:val="24"/>
          <w:szCs w:val="24"/>
          <w:highlight w:val="none"/>
        </w:rPr>
      </w:pPr>
      <w:r>
        <w:rPr>
          <w:rFonts w:hint="eastAsia"/>
          <w:bCs/>
          <w:sz w:val="24"/>
          <w:szCs w:val="24"/>
          <w:highlight w:val="none"/>
        </w:rPr>
        <w:t>日期：    年   月  日</w:t>
      </w:r>
    </w:p>
    <w:p w14:paraId="66C6C8A8">
      <w:pPr>
        <w:spacing w:after="120" w:line="360" w:lineRule="auto"/>
        <w:outlineLvl w:val="1"/>
        <w:rPr>
          <w:highlight w:val="none"/>
        </w:rPr>
      </w:pPr>
      <w:r>
        <w:rPr>
          <w:bCs/>
          <w:sz w:val="24"/>
          <w:szCs w:val="24"/>
          <w:highlight w:val="none"/>
        </w:rPr>
        <w:br w:type="page"/>
      </w:r>
      <w:r>
        <w:rPr>
          <w:rFonts w:hint="eastAsia" w:ascii="宋体" w:hAnsi="宋体" w:cs="宋体"/>
          <w:bCs/>
          <w:szCs w:val="21"/>
          <w:highlight w:val="none"/>
        </w:rPr>
        <w:t>格式六  合格的投标人承诺函</w:t>
      </w:r>
      <w:bookmarkStart w:id="79" w:name="_Toc517699370"/>
    </w:p>
    <w:p w14:paraId="730CC6D8">
      <w:pPr>
        <w:pStyle w:val="2"/>
        <w:spacing w:after="120" w:afterLines="50" w:line="360" w:lineRule="exact"/>
        <w:rPr>
          <w:rFonts w:hint="eastAsia" w:hAnsi="宋体" w:cs="宋体"/>
          <w:sz w:val="21"/>
          <w:szCs w:val="21"/>
          <w:highlight w:val="none"/>
        </w:rPr>
      </w:pPr>
      <w:r>
        <w:rPr>
          <w:rFonts w:hint="eastAsia" w:hAnsi="宋体" w:cs="宋体"/>
          <w:sz w:val="21"/>
          <w:szCs w:val="21"/>
          <w:highlight w:val="none"/>
        </w:rPr>
        <w:t>合格的投标人承诺函</w:t>
      </w:r>
    </w:p>
    <w:bookmarkEnd w:id="79"/>
    <w:p w14:paraId="4C35494D">
      <w:pPr>
        <w:spacing w:line="360" w:lineRule="auto"/>
        <w:contextualSpacing/>
        <w:rPr>
          <w:rFonts w:cs="宋体"/>
          <w:b/>
          <w:szCs w:val="21"/>
          <w:highlight w:val="none"/>
        </w:rPr>
      </w:pPr>
      <w:r>
        <w:rPr>
          <w:rFonts w:hint="eastAsia" w:cs="宋体"/>
          <w:b/>
          <w:szCs w:val="21"/>
          <w:highlight w:val="none"/>
        </w:rPr>
        <w:t>致：中冠工程管理咨询有限公司</w:t>
      </w:r>
    </w:p>
    <w:p w14:paraId="3349DA20">
      <w:pPr>
        <w:adjustRightInd w:val="0"/>
        <w:spacing w:line="360" w:lineRule="auto"/>
        <w:ind w:firstLine="422" w:firstLineChars="200"/>
        <w:contextualSpacing/>
        <w:textAlignment w:val="baseline"/>
        <w:rPr>
          <w:rFonts w:cs="宋体"/>
          <w:b/>
          <w:szCs w:val="21"/>
          <w:highlight w:val="none"/>
        </w:rPr>
      </w:pPr>
      <w:bookmarkStart w:id="80" w:name="_Toc399148312"/>
      <w:r>
        <w:rPr>
          <w:rFonts w:hint="eastAsia" w:cs="宋体"/>
          <w:b/>
          <w:szCs w:val="21"/>
          <w:highlight w:val="none"/>
        </w:rPr>
        <w:t>我方郑重承诺</w:t>
      </w:r>
      <w:bookmarkEnd w:id="80"/>
      <w:r>
        <w:rPr>
          <w:rFonts w:hint="eastAsia" w:cs="宋体"/>
          <w:b/>
          <w:szCs w:val="21"/>
          <w:highlight w:val="none"/>
        </w:rPr>
        <w:t>：</w:t>
      </w:r>
    </w:p>
    <w:p w14:paraId="3341DE95">
      <w:pPr>
        <w:numPr>
          <w:ilvl w:val="0"/>
          <w:numId w:val="4"/>
        </w:numPr>
        <w:spacing w:line="360" w:lineRule="auto"/>
        <w:ind w:firstLine="480" w:firstLineChars="200"/>
        <w:contextualSpacing/>
        <w:rPr>
          <w:rFonts w:cs="宋体"/>
          <w:kern w:val="0"/>
          <w:szCs w:val="21"/>
          <w:highlight w:val="none"/>
        </w:rPr>
      </w:pPr>
      <w:r>
        <w:rPr>
          <w:rFonts w:hint="eastAsia"/>
          <w:bCs/>
          <w:sz w:val="24"/>
          <w:szCs w:val="24"/>
          <w:highlight w:val="none"/>
        </w:rPr>
        <w:t>我单位具有独立承担民事责任的能力；</w:t>
      </w:r>
    </w:p>
    <w:p w14:paraId="0104D59F">
      <w:pPr>
        <w:numPr>
          <w:ilvl w:val="0"/>
          <w:numId w:val="4"/>
        </w:numPr>
        <w:spacing w:line="360" w:lineRule="auto"/>
        <w:ind w:firstLine="480" w:firstLineChars="200"/>
        <w:contextualSpacing/>
        <w:rPr>
          <w:rFonts w:cs="宋体"/>
          <w:kern w:val="0"/>
          <w:szCs w:val="21"/>
          <w:highlight w:val="none"/>
        </w:rPr>
      </w:pPr>
      <w:r>
        <w:rPr>
          <w:rFonts w:hint="eastAsia"/>
          <w:bCs/>
          <w:sz w:val="24"/>
          <w:szCs w:val="24"/>
          <w:highlight w:val="none"/>
        </w:rPr>
        <w:t>我单位具有良好的商业信誉和健全的财务会计制度；</w:t>
      </w:r>
    </w:p>
    <w:p w14:paraId="3183DFEC">
      <w:pPr>
        <w:numPr>
          <w:ilvl w:val="0"/>
          <w:numId w:val="4"/>
        </w:numPr>
        <w:spacing w:line="360" w:lineRule="auto"/>
        <w:ind w:firstLine="480" w:firstLineChars="200"/>
        <w:contextualSpacing/>
        <w:rPr>
          <w:rFonts w:cs="宋体"/>
          <w:kern w:val="0"/>
          <w:szCs w:val="21"/>
          <w:highlight w:val="none"/>
        </w:rPr>
      </w:pPr>
      <w:r>
        <w:rPr>
          <w:rFonts w:hint="eastAsia"/>
          <w:bCs/>
          <w:sz w:val="24"/>
          <w:szCs w:val="24"/>
          <w:highlight w:val="none"/>
        </w:rPr>
        <w:t>我单位具有履行合同所必需的设备和专业技术能力；</w:t>
      </w:r>
    </w:p>
    <w:p w14:paraId="2B322C31">
      <w:pPr>
        <w:numPr>
          <w:ilvl w:val="0"/>
          <w:numId w:val="4"/>
        </w:numPr>
        <w:spacing w:line="360" w:lineRule="auto"/>
        <w:ind w:firstLine="480" w:firstLineChars="200"/>
        <w:contextualSpacing/>
        <w:rPr>
          <w:rFonts w:cs="宋体"/>
          <w:kern w:val="0"/>
          <w:szCs w:val="21"/>
          <w:highlight w:val="none"/>
        </w:rPr>
      </w:pPr>
      <w:r>
        <w:rPr>
          <w:rFonts w:hint="eastAsia"/>
          <w:bCs/>
          <w:sz w:val="24"/>
          <w:szCs w:val="24"/>
          <w:highlight w:val="none"/>
        </w:rPr>
        <w:t>我单位有依法缴纳税收和社会保障资金的良好记录；</w:t>
      </w:r>
    </w:p>
    <w:p w14:paraId="3ED60F68">
      <w:pPr>
        <w:numPr>
          <w:ilvl w:val="0"/>
          <w:numId w:val="4"/>
        </w:numPr>
        <w:spacing w:line="360" w:lineRule="auto"/>
        <w:ind w:firstLine="480" w:firstLineChars="200"/>
        <w:contextualSpacing/>
        <w:rPr>
          <w:bCs/>
          <w:sz w:val="24"/>
          <w:szCs w:val="24"/>
          <w:highlight w:val="none"/>
        </w:rPr>
      </w:pPr>
      <w:r>
        <w:rPr>
          <w:rFonts w:hint="eastAsia"/>
          <w:bCs/>
          <w:sz w:val="24"/>
          <w:szCs w:val="24"/>
          <w:highlight w:val="none"/>
        </w:rPr>
        <w:t>参加政府采购活动前3年内在经营活动中没有重大违法记录；</w:t>
      </w:r>
    </w:p>
    <w:p w14:paraId="3519E26F">
      <w:pPr>
        <w:numPr>
          <w:ilvl w:val="0"/>
          <w:numId w:val="4"/>
        </w:numPr>
        <w:spacing w:line="360" w:lineRule="auto"/>
        <w:ind w:firstLine="480" w:firstLineChars="200"/>
        <w:contextualSpacing/>
        <w:rPr>
          <w:bCs/>
          <w:sz w:val="24"/>
          <w:szCs w:val="24"/>
          <w:highlight w:val="none"/>
        </w:rPr>
      </w:pPr>
      <w:r>
        <w:rPr>
          <w:rFonts w:hint="eastAsia"/>
          <w:bCs/>
          <w:sz w:val="24"/>
          <w:szCs w:val="24"/>
          <w:highlight w:val="none"/>
        </w:rPr>
        <w:t>我单位符合以下条件：</w:t>
      </w:r>
    </w:p>
    <w:p w14:paraId="3D108FCB">
      <w:pPr>
        <w:adjustRightInd w:val="0"/>
        <w:spacing w:line="360" w:lineRule="auto"/>
        <w:ind w:firstLine="420" w:firstLineChars="200"/>
        <w:contextualSpacing/>
        <w:textAlignment w:val="baseline"/>
        <w:rPr>
          <w:rFonts w:cs="Arial"/>
          <w:bCs/>
          <w:szCs w:val="21"/>
          <w:highlight w:val="none"/>
        </w:rPr>
      </w:pPr>
      <w:r>
        <w:rPr>
          <w:rFonts w:hint="eastAsia" w:cs="Arial"/>
          <w:bCs/>
          <w:szCs w:val="21"/>
          <w:highlight w:val="none"/>
        </w:rPr>
        <w:t>1）</w:t>
      </w:r>
      <w:r>
        <w:rPr>
          <w:rFonts w:hint="eastAsia"/>
          <w:bCs/>
          <w:sz w:val="24"/>
          <w:szCs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F6945EC">
      <w:pPr>
        <w:adjustRightInd w:val="0"/>
        <w:spacing w:line="360" w:lineRule="auto"/>
        <w:ind w:firstLine="420" w:firstLineChars="200"/>
        <w:contextualSpacing/>
        <w:textAlignment w:val="baseline"/>
        <w:rPr>
          <w:rFonts w:cs="宋体"/>
          <w:szCs w:val="21"/>
          <w:highlight w:val="none"/>
        </w:rPr>
      </w:pPr>
      <w:r>
        <w:rPr>
          <w:rFonts w:hint="eastAsia" w:cs="宋体"/>
          <w:szCs w:val="21"/>
          <w:highlight w:val="none"/>
        </w:rPr>
        <w:t>2）</w:t>
      </w:r>
      <w:r>
        <w:rPr>
          <w:rFonts w:hint="eastAsia"/>
          <w:bCs/>
          <w:sz w:val="24"/>
          <w:szCs w:val="24"/>
          <w:highlight w:val="none"/>
        </w:rPr>
        <w:t>我单位及我单位法定代表人均无行贿犯罪记录。</w:t>
      </w:r>
    </w:p>
    <w:p w14:paraId="44AC4D25">
      <w:pPr>
        <w:spacing w:line="360" w:lineRule="auto"/>
        <w:ind w:firstLine="517" w:firstLineChars="245"/>
        <w:contextualSpacing/>
        <w:rPr>
          <w:b/>
          <w:bCs/>
          <w:szCs w:val="21"/>
          <w:highlight w:val="none"/>
        </w:rPr>
      </w:pPr>
      <w:r>
        <w:rPr>
          <w:rFonts w:hint="eastAsia" w:cs="宋体"/>
          <w:b/>
          <w:szCs w:val="21"/>
          <w:highlight w:val="none"/>
        </w:rPr>
        <w:t>特此承诺。</w:t>
      </w:r>
    </w:p>
    <w:p w14:paraId="21185930">
      <w:pPr>
        <w:spacing w:line="360" w:lineRule="auto"/>
        <w:contextualSpacing/>
        <w:rPr>
          <w:b/>
          <w:bCs/>
          <w:szCs w:val="21"/>
          <w:highlight w:val="none"/>
        </w:rPr>
      </w:pPr>
    </w:p>
    <w:p w14:paraId="3E224A9F">
      <w:pPr>
        <w:spacing w:line="360" w:lineRule="auto"/>
        <w:contextualSpacing/>
        <w:rPr>
          <w:szCs w:val="21"/>
          <w:highlight w:val="none"/>
        </w:rPr>
      </w:pPr>
    </w:p>
    <w:p w14:paraId="44959AD7">
      <w:pPr>
        <w:spacing w:line="360" w:lineRule="auto"/>
        <w:contextualSpacing/>
        <w:rPr>
          <w:szCs w:val="21"/>
          <w:highlight w:val="none"/>
        </w:rPr>
      </w:pPr>
    </w:p>
    <w:p w14:paraId="3A620538">
      <w:pPr>
        <w:spacing w:line="360" w:lineRule="auto"/>
        <w:contextualSpacing/>
        <w:rPr>
          <w:bCs/>
          <w:sz w:val="24"/>
          <w:szCs w:val="24"/>
          <w:highlight w:val="none"/>
        </w:rPr>
      </w:pPr>
    </w:p>
    <w:p w14:paraId="5D6F0A63">
      <w:pPr>
        <w:spacing w:line="360" w:lineRule="auto"/>
        <w:contextualSpacing/>
        <w:rPr>
          <w:bCs/>
          <w:sz w:val="24"/>
          <w:szCs w:val="24"/>
          <w:highlight w:val="none"/>
        </w:rPr>
      </w:pPr>
      <w:r>
        <w:rPr>
          <w:rFonts w:hint="eastAsia"/>
          <w:bCs/>
          <w:sz w:val="24"/>
          <w:szCs w:val="24"/>
          <w:highlight w:val="none"/>
        </w:rPr>
        <w:t>投标人（盖章）：</w:t>
      </w:r>
    </w:p>
    <w:p w14:paraId="07EE5807">
      <w:pPr>
        <w:spacing w:line="360" w:lineRule="auto"/>
        <w:contextualSpacing/>
        <w:rPr>
          <w:bCs/>
          <w:sz w:val="24"/>
          <w:szCs w:val="24"/>
          <w:highlight w:val="none"/>
        </w:rPr>
      </w:pPr>
    </w:p>
    <w:p w14:paraId="5DB3B2C6">
      <w:pPr>
        <w:spacing w:line="360" w:lineRule="auto"/>
        <w:contextualSpacing/>
        <w:rPr>
          <w:bCs/>
          <w:sz w:val="24"/>
          <w:szCs w:val="24"/>
          <w:highlight w:val="none"/>
        </w:rPr>
      </w:pPr>
      <w:r>
        <w:rPr>
          <w:rFonts w:hint="eastAsia"/>
          <w:bCs/>
          <w:sz w:val="24"/>
          <w:szCs w:val="24"/>
          <w:highlight w:val="none"/>
        </w:rPr>
        <w:t>法定代表人或授权代表人（签字或盖章）：</w:t>
      </w:r>
    </w:p>
    <w:p w14:paraId="51DE328A">
      <w:pPr>
        <w:spacing w:line="360" w:lineRule="auto"/>
        <w:contextualSpacing/>
        <w:rPr>
          <w:bCs/>
          <w:sz w:val="24"/>
          <w:szCs w:val="24"/>
          <w:highlight w:val="none"/>
        </w:rPr>
      </w:pPr>
    </w:p>
    <w:p w14:paraId="5445C574">
      <w:pPr>
        <w:spacing w:line="360" w:lineRule="auto"/>
        <w:contextualSpacing/>
        <w:rPr>
          <w:bCs/>
          <w:sz w:val="24"/>
          <w:szCs w:val="24"/>
          <w:highlight w:val="none"/>
        </w:rPr>
        <w:sectPr>
          <w:pgSz w:w="11907" w:h="16840"/>
          <w:pgMar w:top="1134" w:right="1531" w:bottom="1134" w:left="1531" w:header="425" w:footer="709" w:gutter="0"/>
          <w:cols w:space="720" w:num="1"/>
          <w:docGrid w:linePitch="285" w:charSpace="0"/>
        </w:sectPr>
      </w:pPr>
      <w:r>
        <w:rPr>
          <w:rFonts w:hint="eastAsia"/>
          <w:bCs/>
          <w:sz w:val="24"/>
          <w:szCs w:val="24"/>
          <w:highlight w:val="none"/>
        </w:rPr>
        <w:t>日期：       年   月   日</w:t>
      </w:r>
    </w:p>
    <w:p w14:paraId="13B4CD82">
      <w:pPr>
        <w:pStyle w:val="19"/>
        <w:spacing w:line="520" w:lineRule="exact"/>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格式七 中小企业声明函（选用）</w:t>
      </w:r>
    </w:p>
    <w:p w14:paraId="1A3CA9F4">
      <w:pPr>
        <w:pStyle w:val="19"/>
        <w:spacing w:line="520" w:lineRule="exact"/>
        <w:ind w:firstLine="0"/>
        <w:jc w:val="center"/>
        <w:rPr>
          <w:rFonts w:hint="eastAsia" w:ascii="宋体" w:hAnsi="宋体" w:eastAsia="宋体"/>
          <w:b/>
          <w:color w:val="000000"/>
          <w:sz w:val="21"/>
          <w:szCs w:val="21"/>
          <w:highlight w:val="none"/>
        </w:rPr>
      </w:pPr>
      <w:bookmarkStart w:id="81" w:name="OLE_LINK13"/>
      <w:bookmarkStart w:id="82" w:name="OLE_LINK14"/>
      <w:r>
        <w:rPr>
          <w:rFonts w:hint="eastAsia" w:ascii="宋体" w:hAnsi="宋体" w:eastAsia="宋体"/>
          <w:b/>
          <w:color w:val="000000"/>
          <w:sz w:val="21"/>
          <w:szCs w:val="21"/>
          <w:highlight w:val="none"/>
        </w:rPr>
        <w:t>中小企业声明函</w:t>
      </w:r>
    </w:p>
    <w:bookmarkEnd w:id="81"/>
    <w:bookmarkEnd w:id="82"/>
    <w:p w14:paraId="2450B22F">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本公司郑重声明，根据《政府采购促进中小企业发展管理办法》（财库﹝2020﹞46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14:paraId="46D085EC">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86寸智慧黑板</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48AE8833">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86寸一体机（含支架）</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6AABE1B8">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理化综合实验室仪器</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5EFF3DD6">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数码体视显微镜</w:t>
      </w:r>
      <w:r>
        <w:rPr>
          <w:rFonts w:hint="eastAsia" w:ascii="宋体" w:hAnsi="宋体" w:cs="宋体"/>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0EC54DDC">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校级教研管理平台</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761F6C90">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研讨屏配件</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4DB59377">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有源一体音响</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1E6AD591">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数无线麦克风</w:t>
      </w:r>
      <w:r>
        <w:rPr>
          <w:rFonts w:hint="eastAsia" w:ascii="宋体" w:hAnsi="宋体" w:cs="宋体"/>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793B2E24">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可移动折叠桌</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4F6FDF9F">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可移动折叠</w:t>
      </w:r>
      <w:r>
        <w:rPr>
          <w:rFonts w:hint="eastAsia" w:ascii="宋体" w:hAnsi="宋体" w:cs="宋体"/>
          <w:color w:val="000000"/>
          <w:kern w:val="0"/>
          <w:szCs w:val="21"/>
          <w:highlight w:val="none"/>
          <w:lang w:val="en-US" w:eastAsia="zh-CN" w:bidi="ar"/>
        </w:rPr>
        <w:t>椅</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256BBEE7">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教师升降讲台</w:t>
      </w:r>
      <w:r>
        <w:rPr>
          <w:rFonts w:hint="eastAsia" w:ascii="宋体" w:hAnsi="宋体" w:cs="宋体"/>
          <w:i/>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3940B693">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w:t>
      </w:r>
      <w:r>
        <w:rPr>
          <w:rFonts w:hint="eastAsia" w:ascii="宋体" w:hAnsi="宋体" w:cs="宋体"/>
          <w:i/>
          <w:szCs w:val="21"/>
          <w:highlight w:val="none"/>
          <w:u w:val="single"/>
        </w:rPr>
        <w:t xml:space="preserve"> </w:t>
      </w:r>
      <w:r>
        <w:rPr>
          <w:rFonts w:hint="eastAsia" w:ascii="宋体" w:hAnsi="宋体" w:cs="宋体"/>
          <w:color w:val="000000"/>
          <w:kern w:val="0"/>
          <w:szCs w:val="21"/>
          <w:highlight w:val="none"/>
          <w:lang w:bidi="ar"/>
        </w:rPr>
        <w:t>送货机器人</w:t>
      </w:r>
      <w:r>
        <w:rPr>
          <w:rFonts w:hint="eastAsia" w:ascii="宋体" w:hAnsi="宋体" w:cs="宋体"/>
          <w:szCs w:val="21"/>
          <w:highlight w:val="none"/>
          <w:u w:val="single"/>
        </w:rPr>
        <w:t xml:space="preserve"> </w:t>
      </w:r>
      <w:r>
        <w:rPr>
          <w:rFonts w:hint="eastAsia" w:ascii="宋体" w:hAnsi="宋体" w:cs="宋体"/>
          <w:szCs w:val="21"/>
          <w:highlight w:val="none"/>
        </w:rPr>
        <w:t>，属于</w:t>
      </w:r>
      <w:r>
        <w:rPr>
          <w:rFonts w:hint="eastAsia" w:ascii="宋体" w:hAnsi="宋体" w:cs="宋体"/>
          <w:b/>
          <w:bCs/>
          <w:iCs/>
          <w:szCs w:val="21"/>
          <w:highlight w:val="none"/>
          <w:u w:val="single"/>
        </w:rPr>
        <w:t>工业</w:t>
      </w:r>
      <w:r>
        <w:rPr>
          <w:rFonts w:hint="eastAsia" w:ascii="宋体" w:hAnsi="宋体" w:cs="宋体"/>
          <w:szCs w:val="21"/>
          <w:highlight w:val="none"/>
        </w:rPr>
        <w:t>；制造商为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w:t>
      </w:r>
      <w:r>
        <w:rPr>
          <w:rFonts w:hint="eastAsia" w:ascii="宋体" w:hAnsi="宋体" w:cs="宋体"/>
          <w:szCs w:val="21"/>
          <w:highlight w:val="none"/>
          <w:vertAlign w:val="superscript"/>
        </w:rPr>
        <w:t>1</w:t>
      </w:r>
      <w:r>
        <w:rPr>
          <w:rFonts w:hint="eastAsia" w:ascii="宋体" w:hAnsi="宋体" w:cs="宋体"/>
          <w:szCs w:val="21"/>
          <w:highlight w:val="none"/>
        </w:rPr>
        <w:t>，属于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14:paraId="381B9FC6">
      <w:pPr>
        <w:spacing w:line="500" w:lineRule="exact"/>
        <w:ind w:firstLine="420" w:firstLineChars="200"/>
        <w:rPr>
          <w:rFonts w:hint="eastAsia" w:ascii="宋体" w:hAnsi="宋体" w:cs="宋体"/>
          <w:szCs w:val="21"/>
          <w:highlight w:val="none"/>
        </w:rPr>
      </w:pPr>
    </w:p>
    <w:p w14:paraId="6719D2CE">
      <w:pPr>
        <w:spacing w:line="500" w:lineRule="exact"/>
        <w:ind w:firstLine="420" w:firstLineChars="200"/>
        <w:rPr>
          <w:rFonts w:hint="eastAsia" w:ascii="宋体" w:hAnsi="宋体" w:cs="宋体"/>
          <w:szCs w:val="21"/>
          <w:highlight w:val="none"/>
        </w:rPr>
      </w:pPr>
    </w:p>
    <w:p w14:paraId="45A614C0">
      <w:pPr>
        <w:spacing w:line="500" w:lineRule="exact"/>
        <w:ind w:firstLine="420" w:firstLineChars="200"/>
        <w:rPr>
          <w:rFonts w:hint="eastAsia" w:ascii="宋体" w:hAnsi="宋体" w:cs="宋体"/>
          <w:szCs w:val="21"/>
          <w:highlight w:val="none"/>
        </w:rPr>
      </w:pPr>
    </w:p>
    <w:p w14:paraId="00F42D76">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14:paraId="3280BEDE">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10270A91">
      <w:pPr>
        <w:spacing w:line="500" w:lineRule="exact"/>
        <w:rPr>
          <w:rFonts w:hint="eastAsia" w:ascii="宋体" w:hAnsi="宋体" w:cs="宋体"/>
          <w:szCs w:val="21"/>
          <w:highlight w:val="none"/>
        </w:rPr>
      </w:pPr>
      <w:r>
        <w:rPr>
          <w:rFonts w:hint="eastAsia" w:ascii="宋体" w:hAnsi="宋体" w:cs="宋体"/>
          <w:szCs w:val="21"/>
          <w:highlight w:val="none"/>
        </w:rPr>
        <w:t xml:space="preserve">                                               投标人盖章（公章）：</w:t>
      </w:r>
    </w:p>
    <w:p w14:paraId="44CD1955">
      <w:pPr>
        <w:spacing w:line="500" w:lineRule="exact"/>
        <w:rPr>
          <w:rFonts w:hint="eastAsia" w:ascii="宋体" w:hAnsi="宋体" w:cs="宋体"/>
          <w:szCs w:val="21"/>
          <w:highlight w:val="none"/>
        </w:rPr>
      </w:pPr>
      <w:r>
        <w:rPr>
          <w:rFonts w:hint="eastAsia" w:ascii="宋体" w:hAnsi="宋体" w:cs="宋体"/>
          <w:szCs w:val="21"/>
          <w:highlight w:val="none"/>
        </w:rPr>
        <w:t xml:space="preserve">                                               日期：</w:t>
      </w:r>
    </w:p>
    <w:p w14:paraId="0B519A00">
      <w:pPr>
        <w:spacing w:line="480" w:lineRule="auto"/>
        <w:ind w:firstLine="640"/>
        <w:rPr>
          <w:sz w:val="32"/>
          <w:szCs w:val="32"/>
          <w:highlight w:val="none"/>
          <w:u w:val="single"/>
        </w:rPr>
      </w:pPr>
    </w:p>
    <w:p w14:paraId="548DB223">
      <w:pPr>
        <w:spacing w:line="480" w:lineRule="auto"/>
        <w:ind w:firstLine="320"/>
        <w:rPr>
          <w:rFonts w:cs="宋体"/>
          <w:kern w:val="0"/>
          <w:sz w:val="18"/>
          <w:szCs w:val="18"/>
          <w:highlight w:val="none"/>
        </w:rPr>
      </w:pPr>
      <w:r>
        <w:rPr>
          <w:rFonts w:cs="TimesNewRomanPSMT"/>
          <w:kern w:val="0"/>
          <w:sz w:val="16"/>
          <w:szCs w:val="12"/>
          <w:highlight w:val="none"/>
          <w:vertAlign w:val="superscript"/>
        </w:rPr>
        <w:t>1</w:t>
      </w:r>
      <w:r>
        <w:rPr>
          <w:rFonts w:hint="eastAsia" w:cs="宋体"/>
          <w:kern w:val="0"/>
          <w:sz w:val="18"/>
          <w:szCs w:val="18"/>
          <w:highlight w:val="none"/>
        </w:rPr>
        <w:t>从业人员、营业收入、资产总额填报上一年度数据，无上一年度数据的新成立企业可不填报。</w:t>
      </w:r>
    </w:p>
    <w:p w14:paraId="5AF7D522">
      <w:pPr>
        <w:pStyle w:val="19"/>
        <w:spacing w:line="480" w:lineRule="exact"/>
        <w:ind w:firstLine="0"/>
        <w:rPr>
          <w:rFonts w:hint="eastAsia" w:ascii="宋体" w:hAnsi="宋体" w:eastAsia="宋体" w:cs="宋体"/>
          <w:sz w:val="21"/>
          <w:szCs w:val="21"/>
          <w:highlight w:val="none"/>
        </w:rPr>
        <w:sectPr>
          <w:pgSz w:w="11906" w:h="16838"/>
          <w:pgMar w:top="1440" w:right="1800" w:bottom="1440" w:left="1800" w:header="851" w:footer="992" w:gutter="0"/>
          <w:cols w:space="425" w:num="1"/>
          <w:docGrid w:type="lines" w:linePitch="312" w:charSpace="0"/>
        </w:sectPr>
      </w:pPr>
    </w:p>
    <w:tbl>
      <w:tblPr>
        <w:tblStyle w:val="45"/>
        <w:tblpPr w:leftFromText="180" w:rightFromText="180" w:vertAnchor="page" w:horzAnchor="margin" w:tblpXSpec="center" w:tblpY="886"/>
        <w:tblW w:w="15485" w:type="dxa"/>
        <w:tblInd w:w="0" w:type="dxa"/>
        <w:tblLayout w:type="fixed"/>
        <w:tblCellMar>
          <w:top w:w="0" w:type="dxa"/>
          <w:left w:w="108" w:type="dxa"/>
          <w:bottom w:w="0" w:type="dxa"/>
          <w:right w:w="108" w:type="dxa"/>
        </w:tblCellMar>
      </w:tblPr>
      <w:tblGrid>
        <w:gridCol w:w="2322"/>
        <w:gridCol w:w="1524"/>
        <w:gridCol w:w="1793"/>
        <w:gridCol w:w="1688"/>
        <w:gridCol w:w="1261"/>
        <w:gridCol w:w="1585"/>
        <w:gridCol w:w="1466"/>
        <w:gridCol w:w="1307"/>
        <w:gridCol w:w="1296"/>
        <w:gridCol w:w="1243"/>
      </w:tblGrid>
      <w:tr w14:paraId="6F27B93F">
        <w:tblPrEx>
          <w:tblCellMar>
            <w:top w:w="0" w:type="dxa"/>
            <w:left w:w="108" w:type="dxa"/>
            <w:bottom w:w="0" w:type="dxa"/>
            <w:right w:w="108" w:type="dxa"/>
          </w:tblCellMar>
        </w:tblPrEx>
        <w:trPr>
          <w:trHeight w:val="306" w:hRule="atLeast"/>
        </w:trPr>
        <w:tc>
          <w:tcPr>
            <w:tcW w:w="15485" w:type="dxa"/>
            <w:gridSpan w:val="10"/>
            <w:tcBorders>
              <w:top w:val="nil"/>
              <w:left w:val="nil"/>
              <w:bottom w:val="nil"/>
              <w:right w:val="nil"/>
            </w:tcBorders>
            <w:vAlign w:val="bottom"/>
          </w:tcPr>
          <w:p w14:paraId="70B8732F">
            <w:pPr>
              <w:widowControl/>
              <w:jc w:val="center"/>
              <w:rPr>
                <w:rFonts w:cs="宋体"/>
                <w:b/>
                <w:bCs/>
                <w:sz w:val="32"/>
                <w:szCs w:val="32"/>
                <w:highlight w:val="none"/>
              </w:rPr>
            </w:pPr>
            <w:r>
              <w:rPr>
                <w:rFonts w:hint="eastAsia" w:cs="宋体"/>
                <w:b/>
                <w:bCs/>
                <w:sz w:val="24"/>
                <w:highlight w:val="none"/>
              </w:rPr>
              <w:t>中小微行业划型标准规定（根据工信部联企业〔2011〕300号制定）</w:t>
            </w:r>
          </w:p>
        </w:tc>
      </w:tr>
      <w:tr w14:paraId="0B69A18F">
        <w:tblPrEx>
          <w:tblCellMar>
            <w:top w:w="0" w:type="dxa"/>
            <w:left w:w="108" w:type="dxa"/>
            <w:bottom w:w="0" w:type="dxa"/>
            <w:right w:w="108" w:type="dxa"/>
          </w:tblCellMar>
        </w:tblPrEx>
        <w:trPr>
          <w:trHeight w:val="339" w:hRule="atLeast"/>
        </w:trPr>
        <w:tc>
          <w:tcPr>
            <w:tcW w:w="2322" w:type="dxa"/>
            <w:vMerge w:val="restart"/>
            <w:tcBorders>
              <w:top w:val="single" w:color="auto" w:sz="8" w:space="0"/>
              <w:left w:val="single" w:color="auto" w:sz="8" w:space="0"/>
              <w:bottom w:val="single" w:color="000000" w:sz="4" w:space="0"/>
              <w:right w:val="single" w:color="auto" w:sz="8" w:space="0"/>
            </w:tcBorders>
            <w:vAlign w:val="center"/>
          </w:tcPr>
          <w:p w14:paraId="61FAAABC">
            <w:pPr>
              <w:widowControl/>
              <w:jc w:val="center"/>
              <w:rPr>
                <w:rFonts w:cs="宋体"/>
                <w:b/>
                <w:bCs/>
                <w:sz w:val="24"/>
                <w:highlight w:val="none"/>
              </w:rPr>
            </w:pPr>
            <w:r>
              <w:rPr>
                <w:rFonts w:hint="eastAsia" w:cs="宋体"/>
                <w:b/>
                <w:bCs/>
                <w:sz w:val="24"/>
                <w:highlight w:val="none"/>
              </w:rPr>
              <w:t>行业</w:t>
            </w:r>
          </w:p>
        </w:tc>
        <w:tc>
          <w:tcPr>
            <w:tcW w:w="5005" w:type="dxa"/>
            <w:gridSpan w:val="3"/>
            <w:tcBorders>
              <w:top w:val="single" w:color="auto" w:sz="8" w:space="0"/>
              <w:left w:val="nil"/>
              <w:bottom w:val="single" w:color="auto" w:sz="4" w:space="0"/>
              <w:right w:val="single" w:color="000000" w:sz="8" w:space="0"/>
            </w:tcBorders>
            <w:vAlign w:val="bottom"/>
          </w:tcPr>
          <w:p w14:paraId="6874CA15">
            <w:pPr>
              <w:widowControl/>
              <w:jc w:val="center"/>
              <w:rPr>
                <w:rFonts w:cs="宋体"/>
                <w:b/>
                <w:bCs/>
                <w:sz w:val="24"/>
                <w:highlight w:val="none"/>
              </w:rPr>
            </w:pPr>
            <w:r>
              <w:rPr>
                <w:rFonts w:hint="eastAsia" w:cs="宋体"/>
                <w:b/>
                <w:bCs/>
                <w:sz w:val="24"/>
                <w:highlight w:val="none"/>
              </w:rPr>
              <w:t>中型企业</w:t>
            </w:r>
          </w:p>
        </w:tc>
        <w:tc>
          <w:tcPr>
            <w:tcW w:w="4312" w:type="dxa"/>
            <w:gridSpan w:val="3"/>
            <w:tcBorders>
              <w:top w:val="single" w:color="auto" w:sz="8" w:space="0"/>
              <w:left w:val="nil"/>
              <w:bottom w:val="single" w:color="auto" w:sz="4" w:space="0"/>
              <w:right w:val="single" w:color="000000" w:sz="8" w:space="0"/>
            </w:tcBorders>
            <w:vAlign w:val="bottom"/>
          </w:tcPr>
          <w:p w14:paraId="63797506">
            <w:pPr>
              <w:widowControl/>
              <w:jc w:val="center"/>
              <w:rPr>
                <w:rFonts w:cs="宋体"/>
                <w:b/>
                <w:bCs/>
                <w:sz w:val="24"/>
                <w:highlight w:val="none"/>
              </w:rPr>
            </w:pPr>
            <w:r>
              <w:rPr>
                <w:rFonts w:hint="eastAsia" w:cs="宋体"/>
                <w:b/>
                <w:bCs/>
                <w:sz w:val="24"/>
                <w:highlight w:val="none"/>
              </w:rPr>
              <w:t>小型企业</w:t>
            </w:r>
          </w:p>
        </w:tc>
        <w:tc>
          <w:tcPr>
            <w:tcW w:w="3846" w:type="dxa"/>
            <w:gridSpan w:val="3"/>
            <w:tcBorders>
              <w:top w:val="single" w:color="auto" w:sz="8" w:space="0"/>
              <w:left w:val="nil"/>
              <w:bottom w:val="single" w:color="auto" w:sz="4" w:space="0"/>
              <w:right w:val="single" w:color="000000" w:sz="8" w:space="0"/>
            </w:tcBorders>
            <w:vAlign w:val="bottom"/>
          </w:tcPr>
          <w:p w14:paraId="458B4883">
            <w:pPr>
              <w:widowControl/>
              <w:jc w:val="center"/>
              <w:rPr>
                <w:rFonts w:cs="宋体"/>
                <w:b/>
                <w:bCs/>
                <w:sz w:val="24"/>
                <w:highlight w:val="none"/>
              </w:rPr>
            </w:pPr>
            <w:r>
              <w:rPr>
                <w:rFonts w:hint="eastAsia" w:cs="宋体"/>
                <w:b/>
                <w:bCs/>
                <w:sz w:val="24"/>
                <w:highlight w:val="none"/>
              </w:rPr>
              <w:t>微型企业</w:t>
            </w:r>
          </w:p>
        </w:tc>
      </w:tr>
      <w:tr w14:paraId="12871666">
        <w:tblPrEx>
          <w:tblCellMar>
            <w:top w:w="0" w:type="dxa"/>
            <w:left w:w="108" w:type="dxa"/>
            <w:bottom w:w="0" w:type="dxa"/>
            <w:right w:w="108" w:type="dxa"/>
          </w:tblCellMar>
        </w:tblPrEx>
        <w:trPr>
          <w:trHeight w:val="382" w:hRule="atLeast"/>
        </w:trPr>
        <w:tc>
          <w:tcPr>
            <w:tcW w:w="2322" w:type="dxa"/>
            <w:vMerge w:val="continue"/>
            <w:tcBorders>
              <w:top w:val="single" w:color="auto" w:sz="8" w:space="0"/>
              <w:left w:val="single" w:color="auto" w:sz="8" w:space="0"/>
              <w:bottom w:val="single" w:color="000000" w:sz="4" w:space="0"/>
              <w:right w:val="single" w:color="auto" w:sz="8" w:space="0"/>
            </w:tcBorders>
            <w:vAlign w:val="center"/>
          </w:tcPr>
          <w:p w14:paraId="6E67A7DD">
            <w:pPr>
              <w:widowControl/>
              <w:jc w:val="left"/>
              <w:rPr>
                <w:rFonts w:cs="宋体"/>
                <w:b/>
                <w:bCs/>
                <w:sz w:val="24"/>
                <w:highlight w:val="none"/>
              </w:rPr>
            </w:pPr>
          </w:p>
        </w:tc>
        <w:tc>
          <w:tcPr>
            <w:tcW w:w="1524" w:type="dxa"/>
            <w:tcBorders>
              <w:top w:val="nil"/>
              <w:left w:val="nil"/>
              <w:bottom w:val="single" w:color="auto" w:sz="4" w:space="0"/>
              <w:right w:val="single" w:color="auto" w:sz="4" w:space="0"/>
            </w:tcBorders>
            <w:vAlign w:val="bottom"/>
          </w:tcPr>
          <w:p w14:paraId="199FBCFA">
            <w:pPr>
              <w:widowControl/>
              <w:jc w:val="center"/>
              <w:rPr>
                <w:rFonts w:cs="宋体"/>
                <w:sz w:val="20"/>
                <w:highlight w:val="none"/>
              </w:rPr>
            </w:pPr>
            <w:r>
              <w:rPr>
                <w:rFonts w:hint="eastAsia" w:cs="宋体"/>
                <w:sz w:val="20"/>
                <w:highlight w:val="none"/>
              </w:rPr>
              <w:t>从业人员X（人）</w:t>
            </w:r>
          </w:p>
        </w:tc>
        <w:tc>
          <w:tcPr>
            <w:tcW w:w="1793" w:type="dxa"/>
            <w:tcBorders>
              <w:top w:val="nil"/>
              <w:left w:val="nil"/>
              <w:bottom w:val="single" w:color="auto" w:sz="4" w:space="0"/>
              <w:right w:val="single" w:color="auto" w:sz="4" w:space="0"/>
            </w:tcBorders>
            <w:vAlign w:val="bottom"/>
          </w:tcPr>
          <w:p w14:paraId="202187AF">
            <w:pPr>
              <w:widowControl/>
              <w:jc w:val="center"/>
              <w:rPr>
                <w:rFonts w:cs="宋体"/>
                <w:sz w:val="20"/>
                <w:highlight w:val="none"/>
              </w:rPr>
            </w:pPr>
            <w:r>
              <w:rPr>
                <w:rFonts w:hint="eastAsia" w:cs="宋体"/>
                <w:sz w:val="20"/>
                <w:highlight w:val="none"/>
              </w:rPr>
              <w:t>营业收入Y</w:t>
            </w:r>
          </w:p>
          <w:p w14:paraId="415EF547">
            <w:pPr>
              <w:widowControl/>
              <w:jc w:val="center"/>
              <w:rPr>
                <w:rFonts w:cs="宋体"/>
                <w:sz w:val="20"/>
                <w:highlight w:val="none"/>
              </w:rPr>
            </w:pPr>
            <w:r>
              <w:rPr>
                <w:rFonts w:hint="eastAsia" w:cs="宋体"/>
                <w:sz w:val="20"/>
                <w:highlight w:val="none"/>
              </w:rPr>
              <w:t>（万元）</w:t>
            </w:r>
          </w:p>
        </w:tc>
        <w:tc>
          <w:tcPr>
            <w:tcW w:w="1688" w:type="dxa"/>
            <w:tcBorders>
              <w:top w:val="nil"/>
              <w:left w:val="nil"/>
              <w:bottom w:val="single" w:color="auto" w:sz="4" w:space="0"/>
              <w:right w:val="single" w:color="auto" w:sz="8" w:space="0"/>
            </w:tcBorders>
            <w:vAlign w:val="bottom"/>
          </w:tcPr>
          <w:p w14:paraId="72F4812D">
            <w:pPr>
              <w:widowControl/>
              <w:jc w:val="center"/>
              <w:rPr>
                <w:rFonts w:cs="宋体"/>
                <w:sz w:val="20"/>
                <w:highlight w:val="none"/>
              </w:rPr>
            </w:pPr>
            <w:r>
              <w:rPr>
                <w:rFonts w:hint="eastAsia" w:cs="宋体"/>
                <w:sz w:val="20"/>
                <w:highlight w:val="none"/>
              </w:rPr>
              <w:t>资产总额Z</w:t>
            </w:r>
          </w:p>
          <w:p w14:paraId="290C9A21">
            <w:pPr>
              <w:widowControl/>
              <w:jc w:val="center"/>
              <w:rPr>
                <w:rFonts w:cs="宋体"/>
                <w:sz w:val="20"/>
                <w:highlight w:val="none"/>
              </w:rPr>
            </w:pPr>
            <w:r>
              <w:rPr>
                <w:rFonts w:hint="eastAsia" w:cs="宋体"/>
                <w:sz w:val="20"/>
                <w:highlight w:val="none"/>
              </w:rPr>
              <w:t>（万元）</w:t>
            </w:r>
          </w:p>
        </w:tc>
        <w:tc>
          <w:tcPr>
            <w:tcW w:w="1261" w:type="dxa"/>
            <w:tcBorders>
              <w:top w:val="nil"/>
              <w:left w:val="nil"/>
              <w:bottom w:val="single" w:color="auto" w:sz="4" w:space="0"/>
              <w:right w:val="single" w:color="auto" w:sz="4" w:space="0"/>
            </w:tcBorders>
            <w:vAlign w:val="bottom"/>
          </w:tcPr>
          <w:p w14:paraId="6381A45A">
            <w:pPr>
              <w:widowControl/>
              <w:jc w:val="center"/>
              <w:rPr>
                <w:rFonts w:cs="宋体"/>
                <w:sz w:val="20"/>
                <w:highlight w:val="none"/>
              </w:rPr>
            </w:pPr>
            <w:r>
              <w:rPr>
                <w:rFonts w:hint="eastAsia" w:cs="宋体"/>
                <w:sz w:val="20"/>
                <w:highlight w:val="none"/>
              </w:rPr>
              <w:t>从业人员X（人）</w:t>
            </w:r>
          </w:p>
        </w:tc>
        <w:tc>
          <w:tcPr>
            <w:tcW w:w="1585" w:type="dxa"/>
            <w:tcBorders>
              <w:top w:val="nil"/>
              <w:left w:val="nil"/>
              <w:bottom w:val="single" w:color="auto" w:sz="4" w:space="0"/>
              <w:right w:val="single" w:color="auto" w:sz="4" w:space="0"/>
            </w:tcBorders>
            <w:vAlign w:val="bottom"/>
          </w:tcPr>
          <w:p w14:paraId="7F8AEBA8">
            <w:pPr>
              <w:widowControl/>
              <w:jc w:val="center"/>
              <w:rPr>
                <w:rFonts w:cs="宋体"/>
                <w:sz w:val="20"/>
                <w:highlight w:val="none"/>
              </w:rPr>
            </w:pPr>
            <w:r>
              <w:rPr>
                <w:rFonts w:hint="eastAsia" w:cs="宋体"/>
                <w:sz w:val="20"/>
                <w:highlight w:val="none"/>
              </w:rPr>
              <w:t>营业收入Y</w:t>
            </w:r>
          </w:p>
          <w:p w14:paraId="0F7F7981">
            <w:pPr>
              <w:widowControl/>
              <w:jc w:val="center"/>
              <w:rPr>
                <w:rFonts w:cs="宋体"/>
                <w:sz w:val="20"/>
                <w:highlight w:val="none"/>
              </w:rPr>
            </w:pPr>
            <w:r>
              <w:rPr>
                <w:rFonts w:hint="eastAsia" w:cs="宋体"/>
                <w:sz w:val="20"/>
                <w:highlight w:val="none"/>
              </w:rPr>
              <w:t>（万元）</w:t>
            </w:r>
          </w:p>
        </w:tc>
        <w:tc>
          <w:tcPr>
            <w:tcW w:w="1466" w:type="dxa"/>
            <w:tcBorders>
              <w:top w:val="nil"/>
              <w:left w:val="nil"/>
              <w:bottom w:val="single" w:color="auto" w:sz="4" w:space="0"/>
              <w:right w:val="single" w:color="auto" w:sz="8" w:space="0"/>
            </w:tcBorders>
            <w:vAlign w:val="bottom"/>
          </w:tcPr>
          <w:p w14:paraId="28650BE0">
            <w:pPr>
              <w:widowControl/>
              <w:jc w:val="center"/>
              <w:rPr>
                <w:rFonts w:cs="宋体"/>
                <w:sz w:val="20"/>
                <w:highlight w:val="none"/>
              </w:rPr>
            </w:pPr>
            <w:r>
              <w:rPr>
                <w:rFonts w:hint="eastAsia" w:cs="宋体"/>
                <w:sz w:val="20"/>
                <w:highlight w:val="none"/>
              </w:rPr>
              <w:t>资产总额Z</w:t>
            </w:r>
          </w:p>
          <w:p w14:paraId="47856B30">
            <w:pPr>
              <w:widowControl/>
              <w:jc w:val="center"/>
              <w:rPr>
                <w:rFonts w:cs="宋体"/>
                <w:sz w:val="20"/>
                <w:highlight w:val="none"/>
              </w:rPr>
            </w:pPr>
            <w:r>
              <w:rPr>
                <w:rFonts w:hint="eastAsia" w:cs="宋体"/>
                <w:sz w:val="20"/>
                <w:highlight w:val="none"/>
              </w:rPr>
              <w:t>（万元）</w:t>
            </w:r>
          </w:p>
        </w:tc>
        <w:tc>
          <w:tcPr>
            <w:tcW w:w="1307" w:type="dxa"/>
            <w:tcBorders>
              <w:top w:val="nil"/>
              <w:left w:val="nil"/>
              <w:bottom w:val="single" w:color="auto" w:sz="4" w:space="0"/>
              <w:right w:val="single" w:color="auto" w:sz="4" w:space="0"/>
            </w:tcBorders>
            <w:vAlign w:val="bottom"/>
          </w:tcPr>
          <w:p w14:paraId="646DEFF8">
            <w:pPr>
              <w:widowControl/>
              <w:jc w:val="center"/>
              <w:rPr>
                <w:rFonts w:cs="宋体"/>
                <w:sz w:val="20"/>
                <w:highlight w:val="none"/>
              </w:rPr>
            </w:pPr>
            <w:r>
              <w:rPr>
                <w:rFonts w:hint="eastAsia" w:cs="宋体"/>
                <w:sz w:val="20"/>
                <w:highlight w:val="none"/>
              </w:rPr>
              <w:t>从业人员X（人）</w:t>
            </w:r>
          </w:p>
        </w:tc>
        <w:tc>
          <w:tcPr>
            <w:tcW w:w="1296" w:type="dxa"/>
            <w:tcBorders>
              <w:top w:val="nil"/>
              <w:left w:val="nil"/>
              <w:bottom w:val="single" w:color="auto" w:sz="4" w:space="0"/>
              <w:right w:val="single" w:color="auto" w:sz="4" w:space="0"/>
            </w:tcBorders>
            <w:vAlign w:val="bottom"/>
          </w:tcPr>
          <w:p w14:paraId="689BEDA2">
            <w:pPr>
              <w:widowControl/>
              <w:jc w:val="center"/>
              <w:rPr>
                <w:rFonts w:cs="宋体"/>
                <w:sz w:val="20"/>
                <w:highlight w:val="none"/>
              </w:rPr>
            </w:pPr>
            <w:r>
              <w:rPr>
                <w:rFonts w:hint="eastAsia" w:cs="宋体"/>
                <w:sz w:val="20"/>
                <w:highlight w:val="none"/>
              </w:rPr>
              <w:t>营业收入Y（万元）</w:t>
            </w:r>
          </w:p>
        </w:tc>
        <w:tc>
          <w:tcPr>
            <w:tcW w:w="1243" w:type="dxa"/>
            <w:tcBorders>
              <w:top w:val="nil"/>
              <w:left w:val="nil"/>
              <w:bottom w:val="single" w:color="auto" w:sz="4" w:space="0"/>
              <w:right w:val="single" w:color="auto" w:sz="8" w:space="0"/>
            </w:tcBorders>
            <w:vAlign w:val="bottom"/>
          </w:tcPr>
          <w:p w14:paraId="40F85950">
            <w:pPr>
              <w:widowControl/>
              <w:jc w:val="center"/>
              <w:rPr>
                <w:rFonts w:cs="宋体"/>
                <w:sz w:val="20"/>
                <w:highlight w:val="none"/>
              </w:rPr>
            </w:pPr>
            <w:r>
              <w:rPr>
                <w:rFonts w:hint="eastAsia" w:cs="宋体"/>
                <w:sz w:val="20"/>
                <w:highlight w:val="none"/>
              </w:rPr>
              <w:t>资产总额Z（万元）</w:t>
            </w:r>
          </w:p>
        </w:tc>
      </w:tr>
      <w:tr w14:paraId="36BFF6AF">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37313B4">
            <w:pPr>
              <w:widowControl/>
              <w:jc w:val="left"/>
              <w:rPr>
                <w:rFonts w:cs="宋体"/>
                <w:sz w:val="20"/>
                <w:highlight w:val="none"/>
              </w:rPr>
            </w:pPr>
            <w:r>
              <w:rPr>
                <w:rFonts w:hint="eastAsia" w:cs="宋体"/>
                <w:sz w:val="20"/>
                <w:highlight w:val="none"/>
              </w:rPr>
              <w:t xml:space="preserve"> 1、农林牧渔业</w:t>
            </w:r>
          </w:p>
        </w:tc>
        <w:tc>
          <w:tcPr>
            <w:tcW w:w="1524" w:type="dxa"/>
            <w:tcBorders>
              <w:top w:val="nil"/>
              <w:left w:val="nil"/>
              <w:bottom w:val="single" w:color="auto" w:sz="4" w:space="0"/>
              <w:right w:val="single" w:color="auto" w:sz="4" w:space="0"/>
            </w:tcBorders>
            <w:vAlign w:val="bottom"/>
          </w:tcPr>
          <w:p w14:paraId="50C7D9A0">
            <w:pPr>
              <w:widowControl/>
              <w:jc w:val="left"/>
              <w:rPr>
                <w:rFonts w:cs="宋体"/>
                <w:sz w:val="20"/>
                <w:highlight w:val="none"/>
              </w:rPr>
            </w:pPr>
            <w:r>
              <w:rPr>
                <w:rFonts w:hint="eastAsia" w:cs="宋体"/>
                <w:sz w:val="20"/>
                <w:highlight w:val="none"/>
              </w:rPr>
              <w:t>　</w:t>
            </w:r>
          </w:p>
        </w:tc>
        <w:tc>
          <w:tcPr>
            <w:tcW w:w="1793" w:type="dxa"/>
            <w:tcBorders>
              <w:top w:val="nil"/>
              <w:left w:val="nil"/>
              <w:bottom w:val="single" w:color="auto" w:sz="4" w:space="0"/>
              <w:right w:val="single" w:color="auto" w:sz="4" w:space="0"/>
            </w:tcBorders>
            <w:vAlign w:val="bottom"/>
          </w:tcPr>
          <w:p w14:paraId="1DF4A4EC">
            <w:pPr>
              <w:widowControl/>
              <w:jc w:val="left"/>
              <w:rPr>
                <w:rFonts w:cs="宋体"/>
                <w:sz w:val="20"/>
                <w:highlight w:val="none"/>
              </w:rPr>
            </w:pPr>
            <w:r>
              <w:rPr>
                <w:rFonts w:hint="eastAsia" w:cs="宋体"/>
                <w:sz w:val="20"/>
                <w:highlight w:val="none"/>
              </w:rPr>
              <w:t xml:space="preserve"> 500≤Y＜20000</w:t>
            </w:r>
          </w:p>
        </w:tc>
        <w:tc>
          <w:tcPr>
            <w:tcW w:w="1688" w:type="dxa"/>
            <w:tcBorders>
              <w:top w:val="nil"/>
              <w:left w:val="nil"/>
              <w:bottom w:val="single" w:color="auto" w:sz="4" w:space="0"/>
              <w:right w:val="single" w:color="auto" w:sz="8" w:space="0"/>
            </w:tcBorders>
            <w:vAlign w:val="bottom"/>
          </w:tcPr>
          <w:p w14:paraId="4D67A463">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1C1A3BB7">
            <w:pPr>
              <w:widowControl/>
              <w:jc w:val="left"/>
              <w:rPr>
                <w:rFonts w:cs="宋体"/>
                <w:sz w:val="20"/>
                <w:highlight w:val="none"/>
              </w:rPr>
            </w:pPr>
            <w:r>
              <w:rPr>
                <w:rFonts w:hint="eastAsia" w:cs="宋体"/>
                <w:sz w:val="20"/>
                <w:highlight w:val="none"/>
              </w:rPr>
              <w:t>　</w:t>
            </w:r>
          </w:p>
        </w:tc>
        <w:tc>
          <w:tcPr>
            <w:tcW w:w="1585" w:type="dxa"/>
            <w:tcBorders>
              <w:top w:val="nil"/>
              <w:left w:val="nil"/>
              <w:bottom w:val="single" w:color="auto" w:sz="4" w:space="0"/>
              <w:right w:val="single" w:color="auto" w:sz="4" w:space="0"/>
            </w:tcBorders>
            <w:vAlign w:val="bottom"/>
          </w:tcPr>
          <w:p w14:paraId="3571957A">
            <w:pPr>
              <w:widowControl/>
              <w:jc w:val="left"/>
              <w:rPr>
                <w:rFonts w:cs="宋体"/>
                <w:sz w:val="20"/>
                <w:highlight w:val="none"/>
              </w:rPr>
            </w:pPr>
            <w:r>
              <w:rPr>
                <w:rFonts w:hint="eastAsia" w:cs="宋体"/>
                <w:sz w:val="20"/>
                <w:highlight w:val="none"/>
              </w:rPr>
              <w:t xml:space="preserve"> 50≤Y＜500</w:t>
            </w:r>
          </w:p>
        </w:tc>
        <w:tc>
          <w:tcPr>
            <w:tcW w:w="1466" w:type="dxa"/>
            <w:tcBorders>
              <w:top w:val="nil"/>
              <w:left w:val="nil"/>
              <w:bottom w:val="single" w:color="auto" w:sz="4" w:space="0"/>
              <w:right w:val="single" w:color="auto" w:sz="8" w:space="0"/>
            </w:tcBorders>
            <w:vAlign w:val="bottom"/>
          </w:tcPr>
          <w:p w14:paraId="6180336C">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0E41A8BA">
            <w:pPr>
              <w:widowControl/>
              <w:jc w:val="left"/>
              <w:rPr>
                <w:rFonts w:cs="宋体"/>
                <w:sz w:val="20"/>
                <w:highlight w:val="none"/>
              </w:rPr>
            </w:pPr>
            <w:r>
              <w:rPr>
                <w:rFonts w:hint="eastAsia" w:cs="宋体"/>
                <w:sz w:val="20"/>
                <w:highlight w:val="none"/>
              </w:rPr>
              <w:t>　</w:t>
            </w:r>
          </w:p>
        </w:tc>
        <w:tc>
          <w:tcPr>
            <w:tcW w:w="1296" w:type="dxa"/>
            <w:tcBorders>
              <w:top w:val="nil"/>
              <w:left w:val="nil"/>
              <w:bottom w:val="single" w:color="auto" w:sz="4" w:space="0"/>
              <w:right w:val="single" w:color="auto" w:sz="4" w:space="0"/>
            </w:tcBorders>
            <w:vAlign w:val="bottom"/>
          </w:tcPr>
          <w:p w14:paraId="07F2B008">
            <w:pPr>
              <w:widowControl/>
              <w:jc w:val="left"/>
              <w:rPr>
                <w:rFonts w:cs="宋体"/>
                <w:sz w:val="20"/>
                <w:highlight w:val="none"/>
              </w:rPr>
            </w:pPr>
            <w:r>
              <w:rPr>
                <w:rFonts w:hint="eastAsia" w:cs="宋体"/>
                <w:sz w:val="20"/>
                <w:highlight w:val="none"/>
              </w:rPr>
              <w:t>Y＜50</w:t>
            </w:r>
          </w:p>
        </w:tc>
        <w:tc>
          <w:tcPr>
            <w:tcW w:w="1243" w:type="dxa"/>
            <w:tcBorders>
              <w:top w:val="nil"/>
              <w:left w:val="nil"/>
              <w:bottom w:val="single" w:color="auto" w:sz="4" w:space="0"/>
              <w:right w:val="single" w:color="auto" w:sz="8" w:space="0"/>
            </w:tcBorders>
            <w:vAlign w:val="bottom"/>
          </w:tcPr>
          <w:p w14:paraId="0457C8D3">
            <w:pPr>
              <w:widowControl/>
              <w:jc w:val="left"/>
              <w:rPr>
                <w:rFonts w:cs="宋体"/>
                <w:sz w:val="20"/>
                <w:highlight w:val="none"/>
              </w:rPr>
            </w:pPr>
            <w:r>
              <w:rPr>
                <w:rFonts w:hint="eastAsia" w:cs="宋体"/>
                <w:sz w:val="20"/>
                <w:highlight w:val="none"/>
              </w:rPr>
              <w:t>　</w:t>
            </w:r>
          </w:p>
        </w:tc>
      </w:tr>
      <w:tr w14:paraId="41294336">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7D675B9B">
            <w:pPr>
              <w:widowControl/>
              <w:jc w:val="left"/>
              <w:rPr>
                <w:rFonts w:cs="宋体"/>
                <w:b/>
                <w:bCs/>
                <w:sz w:val="20"/>
                <w:highlight w:val="none"/>
              </w:rPr>
            </w:pPr>
            <w:r>
              <w:rPr>
                <w:rFonts w:hint="eastAsia" w:cs="宋体"/>
                <w:b/>
                <w:bCs/>
                <w:sz w:val="20"/>
                <w:highlight w:val="none"/>
              </w:rPr>
              <w:t xml:space="preserve"> 2、工业</w:t>
            </w:r>
          </w:p>
        </w:tc>
        <w:tc>
          <w:tcPr>
            <w:tcW w:w="1524" w:type="dxa"/>
            <w:tcBorders>
              <w:top w:val="nil"/>
              <w:left w:val="nil"/>
              <w:bottom w:val="single" w:color="auto" w:sz="4" w:space="0"/>
              <w:right w:val="single" w:color="auto" w:sz="4" w:space="0"/>
            </w:tcBorders>
            <w:vAlign w:val="bottom"/>
          </w:tcPr>
          <w:p w14:paraId="013246D1">
            <w:pPr>
              <w:widowControl/>
              <w:jc w:val="left"/>
              <w:rPr>
                <w:rFonts w:cs="宋体"/>
                <w:b/>
                <w:bCs/>
                <w:sz w:val="20"/>
                <w:highlight w:val="none"/>
              </w:rPr>
            </w:pPr>
            <w:r>
              <w:rPr>
                <w:rFonts w:hint="eastAsia" w:cs="宋体"/>
                <w:b/>
                <w:bCs/>
                <w:sz w:val="20"/>
                <w:highlight w:val="none"/>
              </w:rPr>
              <w:t>300≤X＜1000</w:t>
            </w:r>
          </w:p>
        </w:tc>
        <w:tc>
          <w:tcPr>
            <w:tcW w:w="1793" w:type="dxa"/>
            <w:tcBorders>
              <w:top w:val="nil"/>
              <w:left w:val="nil"/>
              <w:bottom w:val="single" w:color="auto" w:sz="4" w:space="0"/>
              <w:right w:val="single" w:color="auto" w:sz="4" w:space="0"/>
            </w:tcBorders>
            <w:vAlign w:val="bottom"/>
          </w:tcPr>
          <w:p w14:paraId="00D37CFF">
            <w:pPr>
              <w:widowControl/>
              <w:jc w:val="left"/>
              <w:rPr>
                <w:rFonts w:cs="宋体"/>
                <w:b/>
                <w:bCs/>
                <w:sz w:val="20"/>
                <w:highlight w:val="none"/>
              </w:rPr>
            </w:pPr>
            <w:r>
              <w:rPr>
                <w:rFonts w:hint="eastAsia" w:cs="宋体"/>
                <w:b/>
                <w:bCs/>
                <w:sz w:val="20"/>
                <w:highlight w:val="none"/>
              </w:rPr>
              <w:t>2000≤Y＜40000</w:t>
            </w:r>
          </w:p>
        </w:tc>
        <w:tc>
          <w:tcPr>
            <w:tcW w:w="1688" w:type="dxa"/>
            <w:tcBorders>
              <w:top w:val="nil"/>
              <w:left w:val="nil"/>
              <w:bottom w:val="single" w:color="auto" w:sz="4" w:space="0"/>
              <w:right w:val="single" w:color="auto" w:sz="8" w:space="0"/>
            </w:tcBorders>
            <w:vAlign w:val="bottom"/>
          </w:tcPr>
          <w:p w14:paraId="4C6EF789">
            <w:pPr>
              <w:widowControl/>
              <w:jc w:val="left"/>
              <w:rPr>
                <w:rFonts w:cs="宋体"/>
                <w:b/>
                <w:bCs/>
                <w:sz w:val="20"/>
                <w:highlight w:val="none"/>
              </w:rPr>
            </w:pPr>
            <w:r>
              <w:rPr>
                <w:rFonts w:hint="eastAsia" w:cs="宋体"/>
                <w:b/>
                <w:bCs/>
                <w:sz w:val="20"/>
                <w:highlight w:val="none"/>
              </w:rPr>
              <w:t>　</w:t>
            </w:r>
          </w:p>
        </w:tc>
        <w:tc>
          <w:tcPr>
            <w:tcW w:w="1261" w:type="dxa"/>
            <w:tcBorders>
              <w:top w:val="nil"/>
              <w:left w:val="nil"/>
              <w:bottom w:val="single" w:color="auto" w:sz="4" w:space="0"/>
              <w:right w:val="single" w:color="auto" w:sz="4" w:space="0"/>
            </w:tcBorders>
            <w:vAlign w:val="bottom"/>
          </w:tcPr>
          <w:p w14:paraId="581B313F">
            <w:pPr>
              <w:widowControl/>
              <w:jc w:val="left"/>
              <w:rPr>
                <w:rFonts w:cs="宋体"/>
                <w:b/>
                <w:bCs/>
                <w:sz w:val="20"/>
                <w:highlight w:val="none"/>
              </w:rPr>
            </w:pPr>
            <w:r>
              <w:rPr>
                <w:rFonts w:hint="eastAsia" w:cs="宋体"/>
                <w:b/>
                <w:bCs/>
                <w:sz w:val="20"/>
                <w:highlight w:val="none"/>
              </w:rPr>
              <w:t>20≤X＜300</w:t>
            </w:r>
          </w:p>
        </w:tc>
        <w:tc>
          <w:tcPr>
            <w:tcW w:w="1585" w:type="dxa"/>
            <w:tcBorders>
              <w:top w:val="nil"/>
              <w:left w:val="nil"/>
              <w:bottom w:val="single" w:color="auto" w:sz="4" w:space="0"/>
              <w:right w:val="single" w:color="auto" w:sz="4" w:space="0"/>
            </w:tcBorders>
            <w:vAlign w:val="bottom"/>
          </w:tcPr>
          <w:p w14:paraId="263D33C0">
            <w:pPr>
              <w:widowControl/>
              <w:jc w:val="left"/>
              <w:rPr>
                <w:rFonts w:cs="宋体"/>
                <w:b/>
                <w:bCs/>
                <w:sz w:val="20"/>
                <w:highlight w:val="none"/>
              </w:rPr>
            </w:pPr>
            <w:r>
              <w:rPr>
                <w:rFonts w:hint="eastAsia" w:cs="宋体"/>
                <w:b/>
                <w:bCs/>
                <w:sz w:val="20"/>
                <w:highlight w:val="none"/>
              </w:rPr>
              <w:t>300≤Y＜2000</w:t>
            </w:r>
          </w:p>
        </w:tc>
        <w:tc>
          <w:tcPr>
            <w:tcW w:w="1466" w:type="dxa"/>
            <w:tcBorders>
              <w:top w:val="nil"/>
              <w:left w:val="nil"/>
              <w:bottom w:val="single" w:color="auto" w:sz="4" w:space="0"/>
              <w:right w:val="single" w:color="auto" w:sz="8" w:space="0"/>
            </w:tcBorders>
            <w:vAlign w:val="bottom"/>
          </w:tcPr>
          <w:p w14:paraId="14F71BE1">
            <w:pPr>
              <w:widowControl/>
              <w:jc w:val="left"/>
              <w:rPr>
                <w:rFonts w:cs="宋体"/>
                <w:b/>
                <w:bCs/>
                <w:sz w:val="20"/>
                <w:highlight w:val="none"/>
              </w:rPr>
            </w:pPr>
            <w:r>
              <w:rPr>
                <w:rFonts w:hint="eastAsia" w:cs="宋体"/>
                <w:b/>
                <w:bCs/>
                <w:sz w:val="20"/>
                <w:highlight w:val="none"/>
              </w:rPr>
              <w:t>　</w:t>
            </w:r>
          </w:p>
        </w:tc>
        <w:tc>
          <w:tcPr>
            <w:tcW w:w="1307" w:type="dxa"/>
            <w:tcBorders>
              <w:top w:val="nil"/>
              <w:left w:val="nil"/>
              <w:bottom w:val="single" w:color="auto" w:sz="4" w:space="0"/>
              <w:right w:val="single" w:color="auto" w:sz="4" w:space="0"/>
            </w:tcBorders>
            <w:vAlign w:val="bottom"/>
          </w:tcPr>
          <w:p w14:paraId="66F53305">
            <w:pPr>
              <w:widowControl/>
              <w:jc w:val="left"/>
              <w:rPr>
                <w:rFonts w:cs="宋体"/>
                <w:b/>
                <w:bCs/>
                <w:sz w:val="20"/>
                <w:highlight w:val="none"/>
              </w:rPr>
            </w:pPr>
            <w:r>
              <w:rPr>
                <w:rFonts w:hint="eastAsia" w:cs="宋体"/>
                <w:b/>
                <w:bCs/>
                <w:sz w:val="20"/>
                <w:highlight w:val="none"/>
              </w:rPr>
              <w:t>X＜20</w:t>
            </w:r>
          </w:p>
        </w:tc>
        <w:tc>
          <w:tcPr>
            <w:tcW w:w="1296" w:type="dxa"/>
            <w:tcBorders>
              <w:top w:val="nil"/>
              <w:left w:val="nil"/>
              <w:bottom w:val="single" w:color="auto" w:sz="4" w:space="0"/>
              <w:right w:val="single" w:color="auto" w:sz="4" w:space="0"/>
            </w:tcBorders>
            <w:vAlign w:val="bottom"/>
          </w:tcPr>
          <w:p w14:paraId="67B32E11">
            <w:pPr>
              <w:widowControl/>
              <w:jc w:val="left"/>
              <w:rPr>
                <w:rFonts w:cs="宋体"/>
                <w:b/>
                <w:bCs/>
                <w:sz w:val="20"/>
                <w:highlight w:val="none"/>
              </w:rPr>
            </w:pPr>
            <w:r>
              <w:rPr>
                <w:rFonts w:hint="eastAsia" w:cs="宋体"/>
                <w:b/>
                <w:bCs/>
                <w:sz w:val="20"/>
                <w:highlight w:val="none"/>
              </w:rPr>
              <w:t>Y＜300</w:t>
            </w:r>
          </w:p>
        </w:tc>
        <w:tc>
          <w:tcPr>
            <w:tcW w:w="1243" w:type="dxa"/>
            <w:tcBorders>
              <w:top w:val="nil"/>
              <w:left w:val="nil"/>
              <w:bottom w:val="single" w:color="auto" w:sz="4" w:space="0"/>
              <w:right w:val="single" w:color="auto" w:sz="8" w:space="0"/>
            </w:tcBorders>
            <w:vAlign w:val="bottom"/>
          </w:tcPr>
          <w:p w14:paraId="5FFB278D">
            <w:pPr>
              <w:widowControl/>
              <w:jc w:val="left"/>
              <w:rPr>
                <w:rFonts w:cs="宋体"/>
                <w:b/>
                <w:bCs/>
                <w:sz w:val="20"/>
                <w:highlight w:val="none"/>
              </w:rPr>
            </w:pPr>
            <w:r>
              <w:rPr>
                <w:rFonts w:hint="eastAsia" w:cs="宋体"/>
                <w:b/>
                <w:bCs/>
                <w:sz w:val="20"/>
                <w:highlight w:val="none"/>
              </w:rPr>
              <w:t>　</w:t>
            </w:r>
          </w:p>
        </w:tc>
      </w:tr>
      <w:tr w14:paraId="59AD5414">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704332D">
            <w:pPr>
              <w:widowControl/>
              <w:jc w:val="left"/>
              <w:rPr>
                <w:rFonts w:cs="宋体"/>
                <w:sz w:val="20"/>
                <w:highlight w:val="none"/>
              </w:rPr>
            </w:pPr>
            <w:r>
              <w:rPr>
                <w:rFonts w:hint="eastAsia" w:cs="宋体"/>
                <w:sz w:val="20"/>
                <w:highlight w:val="none"/>
              </w:rPr>
              <w:t xml:space="preserve"> 3、建筑业</w:t>
            </w:r>
          </w:p>
        </w:tc>
        <w:tc>
          <w:tcPr>
            <w:tcW w:w="1524" w:type="dxa"/>
            <w:tcBorders>
              <w:top w:val="nil"/>
              <w:left w:val="nil"/>
              <w:bottom w:val="single" w:color="auto" w:sz="4" w:space="0"/>
              <w:right w:val="single" w:color="auto" w:sz="4" w:space="0"/>
            </w:tcBorders>
            <w:vAlign w:val="bottom"/>
          </w:tcPr>
          <w:p w14:paraId="272C26E8">
            <w:pPr>
              <w:widowControl/>
              <w:jc w:val="left"/>
              <w:rPr>
                <w:rFonts w:cs="宋体"/>
                <w:sz w:val="20"/>
                <w:highlight w:val="none"/>
              </w:rPr>
            </w:pPr>
            <w:r>
              <w:rPr>
                <w:rFonts w:hint="eastAsia" w:cs="宋体"/>
                <w:sz w:val="20"/>
                <w:highlight w:val="none"/>
              </w:rPr>
              <w:t>　</w:t>
            </w:r>
          </w:p>
        </w:tc>
        <w:tc>
          <w:tcPr>
            <w:tcW w:w="1793" w:type="dxa"/>
            <w:tcBorders>
              <w:top w:val="nil"/>
              <w:left w:val="nil"/>
              <w:bottom w:val="single" w:color="auto" w:sz="4" w:space="0"/>
              <w:right w:val="single" w:color="auto" w:sz="4" w:space="0"/>
            </w:tcBorders>
            <w:vAlign w:val="bottom"/>
          </w:tcPr>
          <w:p w14:paraId="63DD58C9">
            <w:pPr>
              <w:widowControl/>
              <w:jc w:val="left"/>
              <w:rPr>
                <w:rFonts w:cs="宋体"/>
                <w:sz w:val="20"/>
                <w:highlight w:val="none"/>
              </w:rPr>
            </w:pPr>
            <w:r>
              <w:rPr>
                <w:rFonts w:hint="eastAsia" w:cs="宋体"/>
                <w:sz w:val="20"/>
                <w:highlight w:val="none"/>
              </w:rPr>
              <w:t>6000≤Y＜80000</w:t>
            </w:r>
          </w:p>
        </w:tc>
        <w:tc>
          <w:tcPr>
            <w:tcW w:w="1688" w:type="dxa"/>
            <w:tcBorders>
              <w:top w:val="nil"/>
              <w:left w:val="nil"/>
              <w:bottom w:val="single" w:color="auto" w:sz="4" w:space="0"/>
              <w:right w:val="single" w:color="auto" w:sz="8" w:space="0"/>
            </w:tcBorders>
            <w:vAlign w:val="bottom"/>
          </w:tcPr>
          <w:p w14:paraId="3DA4144D">
            <w:pPr>
              <w:widowControl/>
              <w:jc w:val="left"/>
              <w:rPr>
                <w:rFonts w:cs="宋体"/>
                <w:sz w:val="20"/>
                <w:highlight w:val="none"/>
              </w:rPr>
            </w:pPr>
            <w:r>
              <w:rPr>
                <w:rFonts w:hint="eastAsia" w:cs="宋体"/>
                <w:sz w:val="20"/>
                <w:highlight w:val="none"/>
              </w:rPr>
              <w:t>5000≤Z＜80000</w:t>
            </w:r>
          </w:p>
        </w:tc>
        <w:tc>
          <w:tcPr>
            <w:tcW w:w="1261" w:type="dxa"/>
            <w:tcBorders>
              <w:top w:val="nil"/>
              <w:left w:val="nil"/>
              <w:bottom w:val="single" w:color="auto" w:sz="4" w:space="0"/>
              <w:right w:val="single" w:color="auto" w:sz="4" w:space="0"/>
            </w:tcBorders>
            <w:vAlign w:val="bottom"/>
          </w:tcPr>
          <w:p w14:paraId="5AAB9C6C">
            <w:pPr>
              <w:widowControl/>
              <w:jc w:val="left"/>
              <w:rPr>
                <w:rFonts w:cs="宋体"/>
                <w:sz w:val="20"/>
                <w:highlight w:val="none"/>
              </w:rPr>
            </w:pPr>
            <w:r>
              <w:rPr>
                <w:rFonts w:hint="eastAsia" w:cs="宋体"/>
                <w:sz w:val="20"/>
                <w:highlight w:val="none"/>
              </w:rPr>
              <w:t>　</w:t>
            </w:r>
          </w:p>
        </w:tc>
        <w:tc>
          <w:tcPr>
            <w:tcW w:w="1585" w:type="dxa"/>
            <w:tcBorders>
              <w:top w:val="nil"/>
              <w:left w:val="nil"/>
              <w:bottom w:val="single" w:color="auto" w:sz="4" w:space="0"/>
              <w:right w:val="single" w:color="auto" w:sz="4" w:space="0"/>
            </w:tcBorders>
            <w:vAlign w:val="bottom"/>
          </w:tcPr>
          <w:p w14:paraId="049CBBE5">
            <w:pPr>
              <w:widowControl/>
              <w:jc w:val="left"/>
              <w:rPr>
                <w:rFonts w:cs="宋体"/>
                <w:sz w:val="20"/>
                <w:highlight w:val="none"/>
              </w:rPr>
            </w:pPr>
            <w:r>
              <w:rPr>
                <w:rFonts w:hint="eastAsia" w:cs="宋体"/>
                <w:sz w:val="20"/>
                <w:highlight w:val="none"/>
              </w:rPr>
              <w:t>300≤Y＜6000</w:t>
            </w:r>
          </w:p>
        </w:tc>
        <w:tc>
          <w:tcPr>
            <w:tcW w:w="1466" w:type="dxa"/>
            <w:tcBorders>
              <w:top w:val="nil"/>
              <w:left w:val="nil"/>
              <w:bottom w:val="single" w:color="auto" w:sz="4" w:space="0"/>
              <w:right w:val="single" w:color="auto" w:sz="8" w:space="0"/>
            </w:tcBorders>
            <w:vAlign w:val="bottom"/>
          </w:tcPr>
          <w:p w14:paraId="0BE0FFCF">
            <w:pPr>
              <w:widowControl/>
              <w:jc w:val="left"/>
              <w:rPr>
                <w:rFonts w:cs="宋体"/>
                <w:sz w:val="20"/>
                <w:highlight w:val="none"/>
              </w:rPr>
            </w:pPr>
            <w:r>
              <w:rPr>
                <w:rFonts w:hint="eastAsia" w:cs="宋体"/>
                <w:sz w:val="20"/>
                <w:highlight w:val="none"/>
              </w:rPr>
              <w:t>300≤Z＜5000</w:t>
            </w:r>
          </w:p>
        </w:tc>
        <w:tc>
          <w:tcPr>
            <w:tcW w:w="1307" w:type="dxa"/>
            <w:tcBorders>
              <w:top w:val="nil"/>
              <w:left w:val="nil"/>
              <w:bottom w:val="single" w:color="auto" w:sz="4" w:space="0"/>
              <w:right w:val="single" w:color="auto" w:sz="4" w:space="0"/>
            </w:tcBorders>
            <w:vAlign w:val="bottom"/>
          </w:tcPr>
          <w:p w14:paraId="51C263D7">
            <w:pPr>
              <w:widowControl/>
              <w:jc w:val="left"/>
              <w:rPr>
                <w:rFonts w:cs="宋体"/>
                <w:sz w:val="20"/>
                <w:highlight w:val="none"/>
              </w:rPr>
            </w:pPr>
            <w:r>
              <w:rPr>
                <w:rFonts w:hint="eastAsia" w:cs="宋体"/>
                <w:sz w:val="20"/>
                <w:highlight w:val="none"/>
              </w:rPr>
              <w:t>　</w:t>
            </w:r>
          </w:p>
        </w:tc>
        <w:tc>
          <w:tcPr>
            <w:tcW w:w="1296" w:type="dxa"/>
            <w:tcBorders>
              <w:top w:val="nil"/>
              <w:left w:val="nil"/>
              <w:bottom w:val="single" w:color="auto" w:sz="4" w:space="0"/>
              <w:right w:val="single" w:color="auto" w:sz="4" w:space="0"/>
            </w:tcBorders>
            <w:vAlign w:val="bottom"/>
          </w:tcPr>
          <w:p w14:paraId="297D1F6D">
            <w:pPr>
              <w:widowControl/>
              <w:jc w:val="left"/>
              <w:rPr>
                <w:rFonts w:cs="宋体"/>
                <w:sz w:val="20"/>
                <w:highlight w:val="none"/>
              </w:rPr>
            </w:pPr>
            <w:r>
              <w:rPr>
                <w:rFonts w:hint="eastAsia" w:cs="宋体"/>
                <w:sz w:val="20"/>
                <w:highlight w:val="none"/>
              </w:rPr>
              <w:t>Y＜300</w:t>
            </w:r>
          </w:p>
        </w:tc>
        <w:tc>
          <w:tcPr>
            <w:tcW w:w="1243" w:type="dxa"/>
            <w:tcBorders>
              <w:top w:val="nil"/>
              <w:left w:val="nil"/>
              <w:bottom w:val="single" w:color="auto" w:sz="4" w:space="0"/>
              <w:right w:val="single" w:color="auto" w:sz="8" w:space="0"/>
            </w:tcBorders>
            <w:vAlign w:val="bottom"/>
          </w:tcPr>
          <w:p w14:paraId="402B56CA">
            <w:pPr>
              <w:widowControl/>
              <w:jc w:val="left"/>
              <w:rPr>
                <w:rFonts w:cs="宋体"/>
                <w:sz w:val="20"/>
                <w:highlight w:val="none"/>
              </w:rPr>
            </w:pPr>
            <w:r>
              <w:rPr>
                <w:rFonts w:hint="eastAsia" w:cs="宋体"/>
                <w:sz w:val="20"/>
                <w:highlight w:val="none"/>
              </w:rPr>
              <w:t>Z＜300</w:t>
            </w:r>
          </w:p>
        </w:tc>
      </w:tr>
      <w:tr w14:paraId="420CC751">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97F7528">
            <w:pPr>
              <w:widowControl/>
              <w:jc w:val="left"/>
              <w:rPr>
                <w:rFonts w:cs="宋体"/>
                <w:sz w:val="20"/>
                <w:highlight w:val="none"/>
              </w:rPr>
            </w:pPr>
            <w:r>
              <w:rPr>
                <w:rFonts w:hint="eastAsia" w:cs="宋体"/>
                <w:sz w:val="20"/>
                <w:highlight w:val="none"/>
              </w:rPr>
              <w:t xml:space="preserve"> 4、批发业</w:t>
            </w:r>
          </w:p>
        </w:tc>
        <w:tc>
          <w:tcPr>
            <w:tcW w:w="1524" w:type="dxa"/>
            <w:tcBorders>
              <w:top w:val="nil"/>
              <w:left w:val="nil"/>
              <w:bottom w:val="single" w:color="auto" w:sz="4" w:space="0"/>
              <w:right w:val="single" w:color="auto" w:sz="4" w:space="0"/>
            </w:tcBorders>
            <w:vAlign w:val="bottom"/>
          </w:tcPr>
          <w:p w14:paraId="59BE5CF7">
            <w:pPr>
              <w:widowControl/>
              <w:jc w:val="left"/>
              <w:rPr>
                <w:rFonts w:cs="宋体"/>
                <w:sz w:val="20"/>
                <w:highlight w:val="none"/>
              </w:rPr>
            </w:pPr>
            <w:r>
              <w:rPr>
                <w:rFonts w:hint="eastAsia" w:cs="宋体"/>
                <w:sz w:val="20"/>
                <w:highlight w:val="none"/>
              </w:rPr>
              <w:t xml:space="preserve"> 20≤X＜200</w:t>
            </w:r>
          </w:p>
        </w:tc>
        <w:tc>
          <w:tcPr>
            <w:tcW w:w="1793" w:type="dxa"/>
            <w:tcBorders>
              <w:top w:val="nil"/>
              <w:left w:val="nil"/>
              <w:bottom w:val="single" w:color="auto" w:sz="4" w:space="0"/>
              <w:right w:val="single" w:color="auto" w:sz="4" w:space="0"/>
            </w:tcBorders>
            <w:vAlign w:val="bottom"/>
          </w:tcPr>
          <w:p w14:paraId="77015CF9">
            <w:pPr>
              <w:widowControl/>
              <w:jc w:val="left"/>
              <w:rPr>
                <w:rFonts w:cs="宋体"/>
                <w:sz w:val="20"/>
                <w:highlight w:val="none"/>
              </w:rPr>
            </w:pPr>
            <w:r>
              <w:rPr>
                <w:rFonts w:hint="eastAsia" w:cs="宋体"/>
                <w:sz w:val="20"/>
                <w:highlight w:val="none"/>
              </w:rPr>
              <w:t>5000≤Y＜40000</w:t>
            </w:r>
          </w:p>
        </w:tc>
        <w:tc>
          <w:tcPr>
            <w:tcW w:w="1688" w:type="dxa"/>
            <w:tcBorders>
              <w:top w:val="nil"/>
              <w:left w:val="nil"/>
              <w:bottom w:val="single" w:color="auto" w:sz="4" w:space="0"/>
              <w:right w:val="single" w:color="auto" w:sz="8" w:space="0"/>
            </w:tcBorders>
            <w:vAlign w:val="bottom"/>
          </w:tcPr>
          <w:p w14:paraId="0A58B638">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08533C44">
            <w:pPr>
              <w:widowControl/>
              <w:jc w:val="left"/>
              <w:rPr>
                <w:rFonts w:cs="宋体"/>
                <w:sz w:val="20"/>
                <w:highlight w:val="none"/>
              </w:rPr>
            </w:pPr>
            <w:r>
              <w:rPr>
                <w:rFonts w:hint="eastAsia" w:cs="宋体"/>
                <w:sz w:val="20"/>
                <w:highlight w:val="none"/>
              </w:rPr>
              <w:t xml:space="preserve"> 5≤X＜20</w:t>
            </w:r>
          </w:p>
        </w:tc>
        <w:tc>
          <w:tcPr>
            <w:tcW w:w="1585" w:type="dxa"/>
            <w:tcBorders>
              <w:top w:val="nil"/>
              <w:left w:val="nil"/>
              <w:bottom w:val="single" w:color="auto" w:sz="4" w:space="0"/>
              <w:right w:val="single" w:color="auto" w:sz="4" w:space="0"/>
            </w:tcBorders>
            <w:vAlign w:val="bottom"/>
          </w:tcPr>
          <w:p w14:paraId="7C3BBFD6">
            <w:pPr>
              <w:widowControl/>
              <w:jc w:val="left"/>
              <w:rPr>
                <w:rFonts w:cs="宋体"/>
                <w:sz w:val="20"/>
                <w:highlight w:val="none"/>
              </w:rPr>
            </w:pPr>
            <w:r>
              <w:rPr>
                <w:rFonts w:hint="eastAsia" w:cs="宋体"/>
                <w:sz w:val="20"/>
                <w:highlight w:val="none"/>
              </w:rPr>
              <w:t>1000≤Y＜5000</w:t>
            </w:r>
          </w:p>
        </w:tc>
        <w:tc>
          <w:tcPr>
            <w:tcW w:w="1466" w:type="dxa"/>
            <w:tcBorders>
              <w:top w:val="nil"/>
              <w:left w:val="nil"/>
              <w:bottom w:val="single" w:color="auto" w:sz="4" w:space="0"/>
              <w:right w:val="single" w:color="auto" w:sz="8" w:space="0"/>
            </w:tcBorders>
            <w:vAlign w:val="bottom"/>
          </w:tcPr>
          <w:p w14:paraId="1B3B6B5B">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51924A37">
            <w:pPr>
              <w:widowControl/>
              <w:jc w:val="left"/>
              <w:rPr>
                <w:rFonts w:cs="宋体"/>
                <w:sz w:val="20"/>
                <w:highlight w:val="none"/>
              </w:rPr>
            </w:pPr>
            <w:r>
              <w:rPr>
                <w:rFonts w:hint="eastAsia" w:cs="宋体"/>
                <w:sz w:val="20"/>
                <w:highlight w:val="none"/>
              </w:rPr>
              <w:t>X＜5</w:t>
            </w:r>
          </w:p>
        </w:tc>
        <w:tc>
          <w:tcPr>
            <w:tcW w:w="1296" w:type="dxa"/>
            <w:tcBorders>
              <w:top w:val="nil"/>
              <w:left w:val="nil"/>
              <w:bottom w:val="single" w:color="auto" w:sz="4" w:space="0"/>
              <w:right w:val="single" w:color="auto" w:sz="4" w:space="0"/>
            </w:tcBorders>
            <w:vAlign w:val="bottom"/>
          </w:tcPr>
          <w:p w14:paraId="7435F6BF">
            <w:pPr>
              <w:widowControl/>
              <w:jc w:val="left"/>
              <w:rPr>
                <w:rFonts w:cs="宋体"/>
                <w:sz w:val="20"/>
                <w:highlight w:val="none"/>
              </w:rPr>
            </w:pPr>
            <w:r>
              <w:rPr>
                <w:rFonts w:hint="eastAsia" w:cs="宋体"/>
                <w:sz w:val="20"/>
                <w:highlight w:val="none"/>
              </w:rPr>
              <w:t>Y＜1000</w:t>
            </w:r>
          </w:p>
        </w:tc>
        <w:tc>
          <w:tcPr>
            <w:tcW w:w="1243" w:type="dxa"/>
            <w:tcBorders>
              <w:top w:val="nil"/>
              <w:left w:val="nil"/>
              <w:bottom w:val="single" w:color="auto" w:sz="4" w:space="0"/>
              <w:right w:val="single" w:color="auto" w:sz="8" w:space="0"/>
            </w:tcBorders>
            <w:vAlign w:val="bottom"/>
          </w:tcPr>
          <w:p w14:paraId="5547E443">
            <w:pPr>
              <w:widowControl/>
              <w:jc w:val="left"/>
              <w:rPr>
                <w:rFonts w:cs="宋体"/>
                <w:sz w:val="20"/>
                <w:highlight w:val="none"/>
              </w:rPr>
            </w:pPr>
            <w:r>
              <w:rPr>
                <w:rFonts w:hint="eastAsia" w:cs="宋体"/>
                <w:sz w:val="20"/>
                <w:highlight w:val="none"/>
              </w:rPr>
              <w:t>　</w:t>
            </w:r>
          </w:p>
        </w:tc>
      </w:tr>
      <w:tr w14:paraId="77F3DC16">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7F473441">
            <w:pPr>
              <w:widowControl/>
              <w:jc w:val="left"/>
              <w:rPr>
                <w:rFonts w:cs="宋体"/>
                <w:sz w:val="20"/>
                <w:highlight w:val="none"/>
              </w:rPr>
            </w:pPr>
            <w:r>
              <w:rPr>
                <w:rFonts w:hint="eastAsia" w:cs="宋体"/>
                <w:sz w:val="20"/>
                <w:highlight w:val="none"/>
              </w:rPr>
              <w:t xml:space="preserve"> 5、零售业</w:t>
            </w:r>
          </w:p>
        </w:tc>
        <w:tc>
          <w:tcPr>
            <w:tcW w:w="1524" w:type="dxa"/>
            <w:tcBorders>
              <w:top w:val="nil"/>
              <w:left w:val="nil"/>
              <w:bottom w:val="single" w:color="auto" w:sz="4" w:space="0"/>
              <w:right w:val="single" w:color="auto" w:sz="4" w:space="0"/>
            </w:tcBorders>
            <w:vAlign w:val="bottom"/>
          </w:tcPr>
          <w:p w14:paraId="69ACACE7">
            <w:pPr>
              <w:widowControl/>
              <w:jc w:val="left"/>
              <w:rPr>
                <w:rFonts w:cs="宋体"/>
                <w:sz w:val="20"/>
                <w:highlight w:val="none"/>
              </w:rPr>
            </w:pPr>
            <w:r>
              <w:rPr>
                <w:rFonts w:hint="eastAsia" w:cs="宋体"/>
                <w:sz w:val="20"/>
                <w:highlight w:val="none"/>
              </w:rPr>
              <w:t xml:space="preserve"> 50≤X＜300</w:t>
            </w:r>
          </w:p>
        </w:tc>
        <w:tc>
          <w:tcPr>
            <w:tcW w:w="1793" w:type="dxa"/>
            <w:tcBorders>
              <w:top w:val="nil"/>
              <w:left w:val="nil"/>
              <w:bottom w:val="single" w:color="auto" w:sz="4" w:space="0"/>
              <w:right w:val="single" w:color="auto" w:sz="4" w:space="0"/>
            </w:tcBorders>
            <w:vAlign w:val="bottom"/>
          </w:tcPr>
          <w:p w14:paraId="20720D89">
            <w:pPr>
              <w:widowControl/>
              <w:jc w:val="left"/>
              <w:rPr>
                <w:rFonts w:cs="宋体"/>
                <w:sz w:val="20"/>
                <w:highlight w:val="none"/>
              </w:rPr>
            </w:pPr>
            <w:r>
              <w:rPr>
                <w:rFonts w:hint="eastAsia" w:cs="宋体"/>
                <w:sz w:val="20"/>
                <w:highlight w:val="none"/>
              </w:rPr>
              <w:t xml:space="preserve"> 500≤Y＜20000</w:t>
            </w:r>
          </w:p>
        </w:tc>
        <w:tc>
          <w:tcPr>
            <w:tcW w:w="1688" w:type="dxa"/>
            <w:tcBorders>
              <w:top w:val="nil"/>
              <w:left w:val="nil"/>
              <w:bottom w:val="single" w:color="auto" w:sz="4" w:space="0"/>
              <w:right w:val="single" w:color="auto" w:sz="8" w:space="0"/>
            </w:tcBorders>
            <w:vAlign w:val="bottom"/>
          </w:tcPr>
          <w:p w14:paraId="527DFEA9">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469F7495">
            <w:pPr>
              <w:widowControl/>
              <w:jc w:val="left"/>
              <w:rPr>
                <w:rFonts w:cs="宋体"/>
                <w:sz w:val="20"/>
                <w:highlight w:val="none"/>
              </w:rPr>
            </w:pPr>
            <w:r>
              <w:rPr>
                <w:rFonts w:hint="eastAsia" w:cs="宋体"/>
                <w:sz w:val="20"/>
                <w:highlight w:val="none"/>
              </w:rPr>
              <w:t>10≤X＜50</w:t>
            </w:r>
          </w:p>
        </w:tc>
        <w:tc>
          <w:tcPr>
            <w:tcW w:w="1585" w:type="dxa"/>
            <w:tcBorders>
              <w:top w:val="nil"/>
              <w:left w:val="nil"/>
              <w:bottom w:val="single" w:color="auto" w:sz="4" w:space="0"/>
              <w:right w:val="single" w:color="auto" w:sz="4" w:space="0"/>
            </w:tcBorders>
            <w:vAlign w:val="bottom"/>
          </w:tcPr>
          <w:p w14:paraId="6E485423">
            <w:pPr>
              <w:widowControl/>
              <w:jc w:val="left"/>
              <w:rPr>
                <w:rFonts w:cs="宋体"/>
                <w:sz w:val="20"/>
                <w:highlight w:val="none"/>
              </w:rPr>
            </w:pPr>
            <w:r>
              <w:rPr>
                <w:rFonts w:hint="eastAsia" w:cs="宋体"/>
                <w:sz w:val="20"/>
                <w:highlight w:val="none"/>
              </w:rPr>
              <w:t>100≤Y＜500</w:t>
            </w:r>
          </w:p>
        </w:tc>
        <w:tc>
          <w:tcPr>
            <w:tcW w:w="1466" w:type="dxa"/>
            <w:tcBorders>
              <w:top w:val="nil"/>
              <w:left w:val="nil"/>
              <w:bottom w:val="single" w:color="auto" w:sz="4" w:space="0"/>
              <w:right w:val="single" w:color="auto" w:sz="8" w:space="0"/>
            </w:tcBorders>
            <w:vAlign w:val="bottom"/>
          </w:tcPr>
          <w:p w14:paraId="67D0C503">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4F22FF7F">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0CB08B33">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6BD8D1C1">
            <w:pPr>
              <w:widowControl/>
              <w:jc w:val="left"/>
              <w:rPr>
                <w:rFonts w:cs="宋体"/>
                <w:sz w:val="20"/>
                <w:highlight w:val="none"/>
              </w:rPr>
            </w:pPr>
            <w:r>
              <w:rPr>
                <w:rFonts w:hint="eastAsia" w:cs="宋体"/>
                <w:sz w:val="20"/>
                <w:highlight w:val="none"/>
              </w:rPr>
              <w:t>　</w:t>
            </w:r>
          </w:p>
        </w:tc>
      </w:tr>
      <w:tr w14:paraId="2178FC46">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14F2550">
            <w:pPr>
              <w:widowControl/>
              <w:jc w:val="left"/>
              <w:rPr>
                <w:rFonts w:cs="宋体"/>
                <w:sz w:val="20"/>
                <w:highlight w:val="none"/>
              </w:rPr>
            </w:pPr>
            <w:r>
              <w:rPr>
                <w:rFonts w:hint="eastAsia" w:cs="宋体"/>
                <w:sz w:val="20"/>
                <w:highlight w:val="none"/>
              </w:rPr>
              <w:t xml:space="preserve"> 6、交通运输业</w:t>
            </w:r>
          </w:p>
        </w:tc>
        <w:tc>
          <w:tcPr>
            <w:tcW w:w="1524" w:type="dxa"/>
            <w:tcBorders>
              <w:top w:val="nil"/>
              <w:left w:val="nil"/>
              <w:bottom w:val="single" w:color="auto" w:sz="4" w:space="0"/>
              <w:right w:val="single" w:color="auto" w:sz="4" w:space="0"/>
            </w:tcBorders>
            <w:vAlign w:val="bottom"/>
          </w:tcPr>
          <w:p w14:paraId="34574881">
            <w:pPr>
              <w:widowControl/>
              <w:jc w:val="left"/>
              <w:rPr>
                <w:rFonts w:cs="宋体"/>
                <w:sz w:val="20"/>
                <w:highlight w:val="none"/>
              </w:rPr>
            </w:pPr>
            <w:r>
              <w:rPr>
                <w:rFonts w:hint="eastAsia" w:cs="宋体"/>
                <w:sz w:val="20"/>
                <w:highlight w:val="none"/>
              </w:rPr>
              <w:t>300≤X＜1000</w:t>
            </w:r>
          </w:p>
        </w:tc>
        <w:tc>
          <w:tcPr>
            <w:tcW w:w="1793" w:type="dxa"/>
            <w:tcBorders>
              <w:top w:val="nil"/>
              <w:left w:val="nil"/>
              <w:bottom w:val="single" w:color="auto" w:sz="4" w:space="0"/>
              <w:right w:val="single" w:color="auto" w:sz="4" w:space="0"/>
            </w:tcBorders>
            <w:vAlign w:val="bottom"/>
          </w:tcPr>
          <w:p w14:paraId="1385398F">
            <w:pPr>
              <w:widowControl/>
              <w:jc w:val="left"/>
              <w:rPr>
                <w:rFonts w:cs="宋体"/>
                <w:sz w:val="20"/>
                <w:highlight w:val="none"/>
              </w:rPr>
            </w:pPr>
            <w:r>
              <w:rPr>
                <w:rFonts w:hint="eastAsia" w:cs="宋体"/>
                <w:sz w:val="20"/>
                <w:highlight w:val="none"/>
              </w:rPr>
              <w:t>3000≤Y＜30000</w:t>
            </w:r>
          </w:p>
        </w:tc>
        <w:tc>
          <w:tcPr>
            <w:tcW w:w="1688" w:type="dxa"/>
            <w:tcBorders>
              <w:top w:val="nil"/>
              <w:left w:val="nil"/>
              <w:bottom w:val="single" w:color="auto" w:sz="4" w:space="0"/>
              <w:right w:val="single" w:color="auto" w:sz="8" w:space="0"/>
            </w:tcBorders>
            <w:vAlign w:val="bottom"/>
          </w:tcPr>
          <w:p w14:paraId="78FDDB5E">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3DD59CBC">
            <w:pPr>
              <w:widowControl/>
              <w:jc w:val="left"/>
              <w:rPr>
                <w:rFonts w:cs="宋体"/>
                <w:sz w:val="20"/>
                <w:highlight w:val="none"/>
              </w:rPr>
            </w:pPr>
            <w:r>
              <w:rPr>
                <w:rFonts w:hint="eastAsia" w:cs="宋体"/>
                <w:sz w:val="20"/>
                <w:highlight w:val="none"/>
              </w:rPr>
              <w:t>20≤X＜300</w:t>
            </w:r>
          </w:p>
        </w:tc>
        <w:tc>
          <w:tcPr>
            <w:tcW w:w="1585" w:type="dxa"/>
            <w:tcBorders>
              <w:top w:val="nil"/>
              <w:left w:val="nil"/>
              <w:bottom w:val="single" w:color="auto" w:sz="4" w:space="0"/>
              <w:right w:val="single" w:color="auto" w:sz="4" w:space="0"/>
            </w:tcBorders>
            <w:vAlign w:val="bottom"/>
          </w:tcPr>
          <w:p w14:paraId="46EAAE3D">
            <w:pPr>
              <w:widowControl/>
              <w:jc w:val="left"/>
              <w:rPr>
                <w:rFonts w:cs="宋体"/>
                <w:sz w:val="20"/>
                <w:highlight w:val="none"/>
              </w:rPr>
            </w:pPr>
            <w:r>
              <w:rPr>
                <w:rFonts w:hint="eastAsia" w:cs="宋体"/>
                <w:sz w:val="20"/>
                <w:highlight w:val="none"/>
              </w:rPr>
              <w:t>200≤Y＜3000</w:t>
            </w:r>
          </w:p>
        </w:tc>
        <w:tc>
          <w:tcPr>
            <w:tcW w:w="1466" w:type="dxa"/>
            <w:tcBorders>
              <w:top w:val="nil"/>
              <w:left w:val="nil"/>
              <w:bottom w:val="single" w:color="auto" w:sz="4" w:space="0"/>
              <w:right w:val="single" w:color="auto" w:sz="8" w:space="0"/>
            </w:tcBorders>
            <w:vAlign w:val="bottom"/>
          </w:tcPr>
          <w:p w14:paraId="342B411D">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7A6DBF09">
            <w:pPr>
              <w:widowControl/>
              <w:jc w:val="left"/>
              <w:rPr>
                <w:rFonts w:cs="宋体"/>
                <w:sz w:val="20"/>
                <w:highlight w:val="none"/>
              </w:rPr>
            </w:pPr>
            <w:r>
              <w:rPr>
                <w:rFonts w:hint="eastAsia" w:cs="宋体"/>
                <w:sz w:val="20"/>
                <w:highlight w:val="none"/>
              </w:rPr>
              <w:t>X＜20</w:t>
            </w:r>
          </w:p>
        </w:tc>
        <w:tc>
          <w:tcPr>
            <w:tcW w:w="1296" w:type="dxa"/>
            <w:tcBorders>
              <w:top w:val="nil"/>
              <w:left w:val="nil"/>
              <w:bottom w:val="single" w:color="auto" w:sz="4" w:space="0"/>
              <w:right w:val="single" w:color="auto" w:sz="4" w:space="0"/>
            </w:tcBorders>
            <w:vAlign w:val="bottom"/>
          </w:tcPr>
          <w:p w14:paraId="5F46C3BD">
            <w:pPr>
              <w:widowControl/>
              <w:jc w:val="left"/>
              <w:rPr>
                <w:rFonts w:cs="宋体"/>
                <w:sz w:val="20"/>
                <w:highlight w:val="none"/>
              </w:rPr>
            </w:pPr>
            <w:r>
              <w:rPr>
                <w:rFonts w:hint="eastAsia" w:cs="宋体"/>
                <w:sz w:val="20"/>
                <w:highlight w:val="none"/>
              </w:rPr>
              <w:t>V＜200</w:t>
            </w:r>
          </w:p>
        </w:tc>
        <w:tc>
          <w:tcPr>
            <w:tcW w:w="1243" w:type="dxa"/>
            <w:tcBorders>
              <w:top w:val="nil"/>
              <w:left w:val="nil"/>
              <w:bottom w:val="single" w:color="auto" w:sz="4" w:space="0"/>
              <w:right w:val="single" w:color="auto" w:sz="8" w:space="0"/>
            </w:tcBorders>
            <w:vAlign w:val="bottom"/>
          </w:tcPr>
          <w:p w14:paraId="38D01316">
            <w:pPr>
              <w:widowControl/>
              <w:jc w:val="left"/>
              <w:rPr>
                <w:rFonts w:cs="宋体"/>
                <w:sz w:val="20"/>
                <w:highlight w:val="none"/>
              </w:rPr>
            </w:pPr>
            <w:r>
              <w:rPr>
                <w:rFonts w:hint="eastAsia" w:cs="宋体"/>
                <w:sz w:val="20"/>
                <w:highlight w:val="none"/>
              </w:rPr>
              <w:t>　</w:t>
            </w:r>
          </w:p>
        </w:tc>
      </w:tr>
      <w:tr w14:paraId="2859FCEE">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3972D5A2">
            <w:pPr>
              <w:widowControl/>
              <w:jc w:val="left"/>
              <w:rPr>
                <w:rFonts w:cs="宋体"/>
                <w:sz w:val="20"/>
                <w:highlight w:val="none"/>
              </w:rPr>
            </w:pPr>
            <w:r>
              <w:rPr>
                <w:rFonts w:hint="eastAsia" w:cs="宋体"/>
                <w:sz w:val="20"/>
                <w:highlight w:val="none"/>
              </w:rPr>
              <w:t xml:space="preserve"> 7、仓储业</w:t>
            </w:r>
          </w:p>
        </w:tc>
        <w:tc>
          <w:tcPr>
            <w:tcW w:w="1524" w:type="dxa"/>
            <w:tcBorders>
              <w:top w:val="nil"/>
              <w:left w:val="nil"/>
              <w:bottom w:val="single" w:color="auto" w:sz="4" w:space="0"/>
              <w:right w:val="single" w:color="auto" w:sz="4" w:space="0"/>
            </w:tcBorders>
            <w:vAlign w:val="bottom"/>
          </w:tcPr>
          <w:p w14:paraId="057A7748">
            <w:pPr>
              <w:widowControl/>
              <w:jc w:val="left"/>
              <w:rPr>
                <w:rFonts w:cs="宋体"/>
                <w:sz w:val="20"/>
                <w:highlight w:val="none"/>
              </w:rPr>
            </w:pPr>
            <w:r>
              <w:rPr>
                <w:rFonts w:hint="eastAsia" w:cs="宋体"/>
                <w:sz w:val="20"/>
                <w:highlight w:val="none"/>
              </w:rPr>
              <w:t>100≤X＜200</w:t>
            </w:r>
          </w:p>
        </w:tc>
        <w:tc>
          <w:tcPr>
            <w:tcW w:w="1793" w:type="dxa"/>
            <w:tcBorders>
              <w:top w:val="nil"/>
              <w:left w:val="nil"/>
              <w:bottom w:val="single" w:color="auto" w:sz="4" w:space="0"/>
              <w:right w:val="single" w:color="auto" w:sz="4" w:space="0"/>
            </w:tcBorders>
            <w:vAlign w:val="bottom"/>
          </w:tcPr>
          <w:p w14:paraId="463EA6F3">
            <w:pPr>
              <w:widowControl/>
              <w:jc w:val="left"/>
              <w:rPr>
                <w:rFonts w:cs="宋体"/>
                <w:sz w:val="20"/>
                <w:highlight w:val="none"/>
              </w:rPr>
            </w:pPr>
            <w:r>
              <w:rPr>
                <w:rFonts w:hint="eastAsia" w:cs="宋体"/>
                <w:sz w:val="20"/>
                <w:highlight w:val="none"/>
              </w:rPr>
              <w:t>1000≤Y＜30000</w:t>
            </w:r>
          </w:p>
        </w:tc>
        <w:tc>
          <w:tcPr>
            <w:tcW w:w="1688" w:type="dxa"/>
            <w:tcBorders>
              <w:top w:val="nil"/>
              <w:left w:val="nil"/>
              <w:bottom w:val="single" w:color="auto" w:sz="4" w:space="0"/>
              <w:right w:val="single" w:color="auto" w:sz="8" w:space="0"/>
            </w:tcBorders>
            <w:vAlign w:val="bottom"/>
          </w:tcPr>
          <w:p w14:paraId="6C978F0B">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0D577FE0">
            <w:pPr>
              <w:widowControl/>
              <w:jc w:val="left"/>
              <w:rPr>
                <w:rFonts w:cs="宋体"/>
                <w:sz w:val="20"/>
                <w:highlight w:val="none"/>
              </w:rPr>
            </w:pPr>
            <w:r>
              <w:rPr>
                <w:rFonts w:hint="eastAsia" w:cs="宋体"/>
                <w:sz w:val="20"/>
                <w:highlight w:val="none"/>
              </w:rPr>
              <w:t>20≤X＜100</w:t>
            </w:r>
          </w:p>
        </w:tc>
        <w:tc>
          <w:tcPr>
            <w:tcW w:w="1585" w:type="dxa"/>
            <w:tcBorders>
              <w:top w:val="nil"/>
              <w:left w:val="nil"/>
              <w:bottom w:val="single" w:color="auto" w:sz="4" w:space="0"/>
              <w:right w:val="single" w:color="auto" w:sz="4" w:space="0"/>
            </w:tcBorders>
            <w:vAlign w:val="bottom"/>
          </w:tcPr>
          <w:p w14:paraId="70D176FC">
            <w:pPr>
              <w:widowControl/>
              <w:jc w:val="left"/>
              <w:rPr>
                <w:rFonts w:cs="宋体"/>
                <w:sz w:val="20"/>
                <w:highlight w:val="none"/>
              </w:rPr>
            </w:pPr>
            <w:r>
              <w:rPr>
                <w:rFonts w:hint="eastAsia" w:cs="宋体"/>
                <w:sz w:val="20"/>
                <w:highlight w:val="none"/>
              </w:rPr>
              <w:t>100≤Y＜1000</w:t>
            </w:r>
          </w:p>
        </w:tc>
        <w:tc>
          <w:tcPr>
            <w:tcW w:w="1466" w:type="dxa"/>
            <w:tcBorders>
              <w:top w:val="nil"/>
              <w:left w:val="nil"/>
              <w:bottom w:val="single" w:color="auto" w:sz="4" w:space="0"/>
              <w:right w:val="single" w:color="auto" w:sz="8" w:space="0"/>
            </w:tcBorders>
            <w:vAlign w:val="bottom"/>
          </w:tcPr>
          <w:p w14:paraId="2ECE8DBF">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452096F4">
            <w:pPr>
              <w:widowControl/>
              <w:jc w:val="left"/>
              <w:rPr>
                <w:rFonts w:cs="宋体"/>
                <w:sz w:val="20"/>
                <w:highlight w:val="none"/>
              </w:rPr>
            </w:pPr>
            <w:r>
              <w:rPr>
                <w:rFonts w:hint="eastAsia" w:cs="宋体"/>
                <w:sz w:val="20"/>
                <w:highlight w:val="none"/>
              </w:rPr>
              <w:t>X＜20</w:t>
            </w:r>
          </w:p>
        </w:tc>
        <w:tc>
          <w:tcPr>
            <w:tcW w:w="1296" w:type="dxa"/>
            <w:tcBorders>
              <w:top w:val="nil"/>
              <w:left w:val="nil"/>
              <w:bottom w:val="single" w:color="auto" w:sz="4" w:space="0"/>
              <w:right w:val="single" w:color="auto" w:sz="4" w:space="0"/>
            </w:tcBorders>
            <w:vAlign w:val="bottom"/>
          </w:tcPr>
          <w:p w14:paraId="0E4BDBD2">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0F3CBE37">
            <w:pPr>
              <w:widowControl/>
              <w:jc w:val="left"/>
              <w:rPr>
                <w:rFonts w:cs="宋体"/>
                <w:sz w:val="20"/>
                <w:highlight w:val="none"/>
              </w:rPr>
            </w:pPr>
            <w:r>
              <w:rPr>
                <w:rFonts w:hint="eastAsia" w:cs="宋体"/>
                <w:sz w:val="20"/>
                <w:highlight w:val="none"/>
              </w:rPr>
              <w:t>　</w:t>
            </w:r>
          </w:p>
        </w:tc>
      </w:tr>
      <w:tr w14:paraId="0AEA666D">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1F48EBBD">
            <w:pPr>
              <w:widowControl/>
              <w:jc w:val="left"/>
              <w:rPr>
                <w:rFonts w:cs="宋体"/>
                <w:sz w:val="20"/>
                <w:highlight w:val="none"/>
              </w:rPr>
            </w:pPr>
            <w:r>
              <w:rPr>
                <w:rFonts w:hint="eastAsia" w:cs="宋体"/>
                <w:sz w:val="20"/>
                <w:highlight w:val="none"/>
              </w:rPr>
              <w:t xml:space="preserve"> 8、邮政业</w:t>
            </w:r>
          </w:p>
        </w:tc>
        <w:tc>
          <w:tcPr>
            <w:tcW w:w="1524" w:type="dxa"/>
            <w:tcBorders>
              <w:top w:val="nil"/>
              <w:left w:val="nil"/>
              <w:bottom w:val="single" w:color="auto" w:sz="4" w:space="0"/>
              <w:right w:val="single" w:color="auto" w:sz="4" w:space="0"/>
            </w:tcBorders>
            <w:vAlign w:val="bottom"/>
          </w:tcPr>
          <w:p w14:paraId="4B886AC1">
            <w:pPr>
              <w:widowControl/>
              <w:jc w:val="left"/>
              <w:rPr>
                <w:rFonts w:cs="宋体"/>
                <w:sz w:val="20"/>
                <w:highlight w:val="none"/>
              </w:rPr>
            </w:pPr>
            <w:r>
              <w:rPr>
                <w:rFonts w:hint="eastAsia" w:cs="宋体"/>
                <w:sz w:val="20"/>
                <w:highlight w:val="none"/>
              </w:rPr>
              <w:t>300≤X＜1000</w:t>
            </w:r>
          </w:p>
        </w:tc>
        <w:tc>
          <w:tcPr>
            <w:tcW w:w="1793" w:type="dxa"/>
            <w:tcBorders>
              <w:top w:val="nil"/>
              <w:left w:val="nil"/>
              <w:bottom w:val="single" w:color="auto" w:sz="4" w:space="0"/>
              <w:right w:val="single" w:color="auto" w:sz="4" w:space="0"/>
            </w:tcBorders>
            <w:vAlign w:val="bottom"/>
          </w:tcPr>
          <w:p w14:paraId="4B7457B0">
            <w:pPr>
              <w:widowControl/>
              <w:jc w:val="left"/>
              <w:rPr>
                <w:rFonts w:cs="宋体"/>
                <w:sz w:val="20"/>
                <w:highlight w:val="none"/>
              </w:rPr>
            </w:pPr>
            <w:r>
              <w:rPr>
                <w:rFonts w:hint="eastAsia" w:cs="宋体"/>
                <w:sz w:val="20"/>
                <w:highlight w:val="none"/>
              </w:rPr>
              <w:t>2000≤Y＜30000</w:t>
            </w:r>
          </w:p>
        </w:tc>
        <w:tc>
          <w:tcPr>
            <w:tcW w:w="1688" w:type="dxa"/>
            <w:tcBorders>
              <w:top w:val="nil"/>
              <w:left w:val="nil"/>
              <w:bottom w:val="single" w:color="auto" w:sz="4" w:space="0"/>
              <w:right w:val="single" w:color="auto" w:sz="8" w:space="0"/>
            </w:tcBorders>
            <w:vAlign w:val="bottom"/>
          </w:tcPr>
          <w:p w14:paraId="4954D227">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560F0C7D">
            <w:pPr>
              <w:widowControl/>
              <w:jc w:val="left"/>
              <w:rPr>
                <w:rFonts w:cs="宋体"/>
                <w:sz w:val="20"/>
                <w:highlight w:val="none"/>
              </w:rPr>
            </w:pPr>
            <w:r>
              <w:rPr>
                <w:rFonts w:hint="eastAsia" w:cs="宋体"/>
                <w:sz w:val="20"/>
                <w:highlight w:val="none"/>
              </w:rPr>
              <w:t>20≤X＜300</w:t>
            </w:r>
          </w:p>
        </w:tc>
        <w:tc>
          <w:tcPr>
            <w:tcW w:w="1585" w:type="dxa"/>
            <w:tcBorders>
              <w:top w:val="nil"/>
              <w:left w:val="nil"/>
              <w:bottom w:val="single" w:color="auto" w:sz="4" w:space="0"/>
              <w:right w:val="single" w:color="auto" w:sz="4" w:space="0"/>
            </w:tcBorders>
            <w:vAlign w:val="bottom"/>
          </w:tcPr>
          <w:p w14:paraId="1A5F0DF3">
            <w:pPr>
              <w:widowControl/>
              <w:jc w:val="left"/>
              <w:rPr>
                <w:rFonts w:cs="宋体"/>
                <w:sz w:val="20"/>
                <w:highlight w:val="none"/>
              </w:rPr>
            </w:pPr>
            <w:r>
              <w:rPr>
                <w:rFonts w:hint="eastAsia" w:cs="宋体"/>
                <w:sz w:val="20"/>
                <w:highlight w:val="none"/>
              </w:rPr>
              <w:t>100≤Y＜2000</w:t>
            </w:r>
          </w:p>
        </w:tc>
        <w:tc>
          <w:tcPr>
            <w:tcW w:w="1466" w:type="dxa"/>
            <w:tcBorders>
              <w:top w:val="nil"/>
              <w:left w:val="nil"/>
              <w:bottom w:val="single" w:color="auto" w:sz="4" w:space="0"/>
              <w:right w:val="single" w:color="auto" w:sz="8" w:space="0"/>
            </w:tcBorders>
            <w:vAlign w:val="bottom"/>
          </w:tcPr>
          <w:p w14:paraId="4BA6E464">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5C94A43F">
            <w:pPr>
              <w:widowControl/>
              <w:jc w:val="left"/>
              <w:rPr>
                <w:rFonts w:cs="宋体"/>
                <w:sz w:val="20"/>
                <w:highlight w:val="none"/>
              </w:rPr>
            </w:pPr>
            <w:r>
              <w:rPr>
                <w:rFonts w:hint="eastAsia" w:cs="宋体"/>
                <w:sz w:val="20"/>
                <w:highlight w:val="none"/>
              </w:rPr>
              <w:t>X＜20</w:t>
            </w:r>
          </w:p>
        </w:tc>
        <w:tc>
          <w:tcPr>
            <w:tcW w:w="1296" w:type="dxa"/>
            <w:tcBorders>
              <w:top w:val="nil"/>
              <w:left w:val="nil"/>
              <w:bottom w:val="single" w:color="auto" w:sz="4" w:space="0"/>
              <w:right w:val="single" w:color="auto" w:sz="4" w:space="0"/>
            </w:tcBorders>
            <w:vAlign w:val="bottom"/>
          </w:tcPr>
          <w:p w14:paraId="4D6DEF82">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0D8A3A47">
            <w:pPr>
              <w:widowControl/>
              <w:jc w:val="left"/>
              <w:rPr>
                <w:rFonts w:cs="宋体"/>
                <w:sz w:val="20"/>
                <w:highlight w:val="none"/>
              </w:rPr>
            </w:pPr>
            <w:r>
              <w:rPr>
                <w:rFonts w:hint="eastAsia" w:cs="宋体"/>
                <w:sz w:val="20"/>
                <w:highlight w:val="none"/>
              </w:rPr>
              <w:t>　</w:t>
            </w:r>
          </w:p>
        </w:tc>
      </w:tr>
      <w:tr w14:paraId="59BAC8AF">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5D6812A7">
            <w:pPr>
              <w:widowControl/>
              <w:jc w:val="left"/>
              <w:rPr>
                <w:rFonts w:cs="宋体"/>
                <w:sz w:val="20"/>
                <w:highlight w:val="none"/>
              </w:rPr>
            </w:pPr>
            <w:r>
              <w:rPr>
                <w:rFonts w:hint="eastAsia" w:cs="宋体"/>
                <w:sz w:val="20"/>
                <w:highlight w:val="none"/>
              </w:rPr>
              <w:t xml:space="preserve"> 9、住宿业</w:t>
            </w:r>
          </w:p>
        </w:tc>
        <w:tc>
          <w:tcPr>
            <w:tcW w:w="1524" w:type="dxa"/>
            <w:tcBorders>
              <w:top w:val="nil"/>
              <w:left w:val="nil"/>
              <w:bottom w:val="single" w:color="auto" w:sz="4" w:space="0"/>
              <w:right w:val="single" w:color="auto" w:sz="4" w:space="0"/>
            </w:tcBorders>
            <w:vAlign w:val="bottom"/>
          </w:tcPr>
          <w:p w14:paraId="7CA06D33">
            <w:pPr>
              <w:widowControl/>
              <w:jc w:val="left"/>
              <w:rPr>
                <w:rFonts w:cs="宋体"/>
                <w:sz w:val="20"/>
                <w:highlight w:val="none"/>
              </w:rPr>
            </w:pPr>
            <w:r>
              <w:rPr>
                <w:rFonts w:hint="eastAsia" w:cs="宋体"/>
                <w:sz w:val="20"/>
                <w:highlight w:val="none"/>
              </w:rPr>
              <w:t>100≤X＜300</w:t>
            </w:r>
          </w:p>
        </w:tc>
        <w:tc>
          <w:tcPr>
            <w:tcW w:w="1793" w:type="dxa"/>
            <w:tcBorders>
              <w:top w:val="nil"/>
              <w:left w:val="nil"/>
              <w:bottom w:val="single" w:color="auto" w:sz="4" w:space="0"/>
              <w:right w:val="single" w:color="auto" w:sz="4" w:space="0"/>
            </w:tcBorders>
            <w:vAlign w:val="bottom"/>
          </w:tcPr>
          <w:p w14:paraId="318A4A3E">
            <w:pPr>
              <w:widowControl/>
              <w:jc w:val="left"/>
              <w:rPr>
                <w:rFonts w:cs="宋体"/>
                <w:sz w:val="20"/>
                <w:highlight w:val="none"/>
              </w:rPr>
            </w:pPr>
            <w:r>
              <w:rPr>
                <w:rFonts w:hint="eastAsia" w:cs="宋体"/>
                <w:sz w:val="20"/>
                <w:highlight w:val="none"/>
              </w:rPr>
              <w:t>2000≤Y＜10000</w:t>
            </w:r>
          </w:p>
        </w:tc>
        <w:tc>
          <w:tcPr>
            <w:tcW w:w="1688" w:type="dxa"/>
            <w:tcBorders>
              <w:top w:val="nil"/>
              <w:left w:val="nil"/>
              <w:bottom w:val="single" w:color="auto" w:sz="4" w:space="0"/>
              <w:right w:val="single" w:color="auto" w:sz="8" w:space="0"/>
            </w:tcBorders>
            <w:vAlign w:val="bottom"/>
          </w:tcPr>
          <w:p w14:paraId="214F0B29">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706BE72D">
            <w:pPr>
              <w:widowControl/>
              <w:jc w:val="left"/>
              <w:rPr>
                <w:rFonts w:cs="宋体"/>
                <w:sz w:val="20"/>
                <w:highlight w:val="none"/>
              </w:rPr>
            </w:pPr>
            <w:r>
              <w:rPr>
                <w:rFonts w:hint="eastAsia" w:cs="宋体"/>
                <w:sz w:val="20"/>
                <w:highlight w:val="none"/>
              </w:rPr>
              <w:t>10≤X＜100</w:t>
            </w:r>
          </w:p>
        </w:tc>
        <w:tc>
          <w:tcPr>
            <w:tcW w:w="1585" w:type="dxa"/>
            <w:tcBorders>
              <w:top w:val="nil"/>
              <w:left w:val="nil"/>
              <w:bottom w:val="single" w:color="auto" w:sz="4" w:space="0"/>
              <w:right w:val="single" w:color="auto" w:sz="4" w:space="0"/>
            </w:tcBorders>
            <w:vAlign w:val="bottom"/>
          </w:tcPr>
          <w:p w14:paraId="7690ADE5">
            <w:pPr>
              <w:widowControl/>
              <w:jc w:val="left"/>
              <w:rPr>
                <w:rFonts w:cs="宋体"/>
                <w:sz w:val="20"/>
                <w:highlight w:val="none"/>
              </w:rPr>
            </w:pPr>
            <w:r>
              <w:rPr>
                <w:rFonts w:hint="eastAsia" w:cs="宋体"/>
                <w:sz w:val="20"/>
                <w:highlight w:val="none"/>
              </w:rPr>
              <w:t>100≤Y＜2000</w:t>
            </w:r>
          </w:p>
        </w:tc>
        <w:tc>
          <w:tcPr>
            <w:tcW w:w="1466" w:type="dxa"/>
            <w:tcBorders>
              <w:top w:val="nil"/>
              <w:left w:val="nil"/>
              <w:bottom w:val="single" w:color="auto" w:sz="4" w:space="0"/>
              <w:right w:val="single" w:color="auto" w:sz="8" w:space="0"/>
            </w:tcBorders>
            <w:vAlign w:val="bottom"/>
          </w:tcPr>
          <w:p w14:paraId="276C1078">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77C0A32F">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344128E0">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42C9FB4E">
            <w:pPr>
              <w:widowControl/>
              <w:jc w:val="left"/>
              <w:rPr>
                <w:rFonts w:cs="宋体"/>
                <w:sz w:val="20"/>
                <w:highlight w:val="none"/>
              </w:rPr>
            </w:pPr>
            <w:r>
              <w:rPr>
                <w:rFonts w:hint="eastAsia" w:cs="宋体"/>
                <w:sz w:val="20"/>
                <w:highlight w:val="none"/>
              </w:rPr>
              <w:t>　</w:t>
            </w:r>
          </w:p>
        </w:tc>
      </w:tr>
      <w:tr w14:paraId="6E187E66">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DB1CA3F">
            <w:pPr>
              <w:widowControl/>
              <w:jc w:val="left"/>
              <w:rPr>
                <w:rFonts w:cs="宋体"/>
                <w:sz w:val="20"/>
                <w:highlight w:val="none"/>
              </w:rPr>
            </w:pPr>
            <w:r>
              <w:rPr>
                <w:rFonts w:hint="eastAsia" w:cs="宋体"/>
                <w:sz w:val="20"/>
                <w:highlight w:val="none"/>
              </w:rPr>
              <w:t>10、餐饮业</w:t>
            </w:r>
          </w:p>
        </w:tc>
        <w:tc>
          <w:tcPr>
            <w:tcW w:w="1524" w:type="dxa"/>
            <w:tcBorders>
              <w:top w:val="nil"/>
              <w:left w:val="nil"/>
              <w:bottom w:val="single" w:color="auto" w:sz="4" w:space="0"/>
              <w:right w:val="single" w:color="auto" w:sz="4" w:space="0"/>
            </w:tcBorders>
            <w:vAlign w:val="bottom"/>
          </w:tcPr>
          <w:p w14:paraId="58A8C992">
            <w:pPr>
              <w:widowControl/>
              <w:jc w:val="left"/>
              <w:rPr>
                <w:rFonts w:cs="宋体"/>
                <w:sz w:val="20"/>
                <w:highlight w:val="none"/>
              </w:rPr>
            </w:pPr>
            <w:r>
              <w:rPr>
                <w:rFonts w:hint="eastAsia" w:cs="宋体"/>
                <w:sz w:val="20"/>
                <w:highlight w:val="none"/>
              </w:rPr>
              <w:t>100≤X＜300</w:t>
            </w:r>
          </w:p>
        </w:tc>
        <w:tc>
          <w:tcPr>
            <w:tcW w:w="1793" w:type="dxa"/>
            <w:tcBorders>
              <w:top w:val="nil"/>
              <w:left w:val="nil"/>
              <w:bottom w:val="single" w:color="auto" w:sz="4" w:space="0"/>
              <w:right w:val="single" w:color="auto" w:sz="4" w:space="0"/>
            </w:tcBorders>
            <w:vAlign w:val="bottom"/>
          </w:tcPr>
          <w:p w14:paraId="5E49DB73">
            <w:pPr>
              <w:widowControl/>
              <w:jc w:val="left"/>
              <w:rPr>
                <w:rFonts w:cs="宋体"/>
                <w:sz w:val="20"/>
                <w:highlight w:val="none"/>
              </w:rPr>
            </w:pPr>
            <w:r>
              <w:rPr>
                <w:rFonts w:hint="eastAsia" w:cs="宋体"/>
                <w:sz w:val="20"/>
                <w:highlight w:val="none"/>
              </w:rPr>
              <w:t>2000≤Y＜10000</w:t>
            </w:r>
          </w:p>
        </w:tc>
        <w:tc>
          <w:tcPr>
            <w:tcW w:w="1688" w:type="dxa"/>
            <w:tcBorders>
              <w:top w:val="nil"/>
              <w:left w:val="nil"/>
              <w:bottom w:val="single" w:color="auto" w:sz="4" w:space="0"/>
              <w:right w:val="single" w:color="auto" w:sz="8" w:space="0"/>
            </w:tcBorders>
            <w:vAlign w:val="bottom"/>
          </w:tcPr>
          <w:p w14:paraId="5274BCD1">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637C894C">
            <w:pPr>
              <w:widowControl/>
              <w:jc w:val="left"/>
              <w:rPr>
                <w:rFonts w:cs="宋体"/>
                <w:sz w:val="20"/>
                <w:highlight w:val="none"/>
              </w:rPr>
            </w:pPr>
            <w:r>
              <w:rPr>
                <w:rFonts w:hint="eastAsia" w:cs="宋体"/>
                <w:sz w:val="20"/>
                <w:highlight w:val="none"/>
              </w:rPr>
              <w:t>10≤X＜100</w:t>
            </w:r>
          </w:p>
        </w:tc>
        <w:tc>
          <w:tcPr>
            <w:tcW w:w="1585" w:type="dxa"/>
            <w:tcBorders>
              <w:top w:val="nil"/>
              <w:left w:val="nil"/>
              <w:bottom w:val="single" w:color="auto" w:sz="4" w:space="0"/>
              <w:right w:val="single" w:color="auto" w:sz="4" w:space="0"/>
            </w:tcBorders>
            <w:vAlign w:val="bottom"/>
          </w:tcPr>
          <w:p w14:paraId="3BAC0D9D">
            <w:pPr>
              <w:widowControl/>
              <w:jc w:val="left"/>
              <w:rPr>
                <w:rFonts w:cs="宋体"/>
                <w:sz w:val="20"/>
                <w:highlight w:val="none"/>
              </w:rPr>
            </w:pPr>
            <w:r>
              <w:rPr>
                <w:rFonts w:hint="eastAsia" w:cs="宋体"/>
                <w:sz w:val="20"/>
                <w:highlight w:val="none"/>
              </w:rPr>
              <w:t>100≤Y＜2000</w:t>
            </w:r>
          </w:p>
        </w:tc>
        <w:tc>
          <w:tcPr>
            <w:tcW w:w="1466" w:type="dxa"/>
            <w:tcBorders>
              <w:top w:val="nil"/>
              <w:left w:val="nil"/>
              <w:bottom w:val="single" w:color="auto" w:sz="4" w:space="0"/>
              <w:right w:val="single" w:color="auto" w:sz="8" w:space="0"/>
            </w:tcBorders>
            <w:vAlign w:val="bottom"/>
          </w:tcPr>
          <w:p w14:paraId="5293142E">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6F7A01DF">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36A6CE0F">
            <w:pPr>
              <w:widowControl/>
              <w:jc w:val="left"/>
              <w:rPr>
                <w:rFonts w:cs="宋体"/>
                <w:sz w:val="20"/>
                <w:highlight w:val="none"/>
              </w:rPr>
            </w:pPr>
            <w:r>
              <w:rPr>
                <w:rFonts w:hint="eastAsia" w:cs="宋体"/>
                <w:sz w:val="20"/>
                <w:highlight w:val="none"/>
              </w:rPr>
              <w:t>V＜100</w:t>
            </w:r>
          </w:p>
        </w:tc>
        <w:tc>
          <w:tcPr>
            <w:tcW w:w="1243" w:type="dxa"/>
            <w:tcBorders>
              <w:top w:val="nil"/>
              <w:left w:val="nil"/>
              <w:bottom w:val="single" w:color="auto" w:sz="4" w:space="0"/>
              <w:right w:val="single" w:color="auto" w:sz="8" w:space="0"/>
            </w:tcBorders>
            <w:vAlign w:val="bottom"/>
          </w:tcPr>
          <w:p w14:paraId="383BEDA4">
            <w:pPr>
              <w:widowControl/>
              <w:jc w:val="left"/>
              <w:rPr>
                <w:rFonts w:cs="宋体"/>
                <w:sz w:val="20"/>
                <w:highlight w:val="none"/>
              </w:rPr>
            </w:pPr>
            <w:r>
              <w:rPr>
                <w:rFonts w:hint="eastAsia" w:cs="宋体"/>
                <w:sz w:val="20"/>
                <w:highlight w:val="none"/>
              </w:rPr>
              <w:t>　</w:t>
            </w:r>
          </w:p>
        </w:tc>
      </w:tr>
      <w:tr w14:paraId="1E3F9158">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3CB5F662">
            <w:pPr>
              <w:widowControl/>
              <w:jc w:val="left"/>
              <w:rPr>
                <w:rFonts w:cs="宋体"/>
                <w:sz w:val="20"/>
                <w:highlight w:val="none"/>
              </w:rPr>
            </w:pPr>
            <w:r>
              <w:rPr>
                <w:rFonts w:hint="eastAsia" w:cs="宋体"/>
                <w:sz w:val="20"/>
                <w:highlight w:val="none"/>
              </w:rPr>
              <w:t>11、信息传输业</w:t>
            </w:r>
          </w:p>
        </w:tc>
        <w:tc>
          <w:tcPr>
            <w:tcW w:w="1524" w:type="dxa"/>
            <w:tcBorders>
              <w:top w:val="nil"/>
              <w:left w:val="nil"/>
              <w:bottom w:val="single" w:color="auto" w:sz="4" w:space="0"/>
              <w:right w:val="single" w:color="auto" w:sz="4" w:space="0"/>
            </w:tcBorders>
            <w:vAlign w:val="bottom"/>
          </w:tcPr>
          <w:p w14:paraId="2BB9D3A9">
            <w:pPr>
              <w:widowControl/>
              <w:jc w:val="left"/>
              <w:rPr>
                <w:rFonts w:cs="宋体"/>
                <w:sz w:val="20"/>
                <w:highlight w:val="none"/>
              </w:rPr>
            </w:pPr>
            <w:r>
              <w:rPr>
                <w:rFonts w:hint="eastAsia" w:cs="宋体"/>
                <w:sz w:val="20"/>
                <w:highlight w:val="none"/>
              </w:rPr>
              <w:t>100≤X＜2000</w:t>
            </w:r>
          </w:p>
        </w:tc>
        <w:tc>
          <w:tcPr>
            <w:tcW w:w="1793" w:type="dxa"/>
            <w:tcBorders>
              <w:top w:val="nil"/>
              <w:left w:val="nil"/>
              <w:bottom w:val="single" w:color="auto" w:sz="4" w:space="0"/>
              <w:right w:val="single" w:color="auto" w:sz="4" w:space="0"/>
            </w:tcBorders>
            <w:vAlign w:val="bottom"/>
          </w:tcPr>
          <w:p w14:paraId="12F9CDDE">
            <w:pPr>
              <w:widowControl/>
              <w:jc w:val="left"/>
              <w:rPr>
                <w:rFonts w:cs="宋体"/>
                <w:sz w:val="20"/>
                <w:highlight w:val="none"/>
              </w:rPr>
            </w:pPr>
            <w:r>
              <w:rPr>
                <w:rFonts w:hint="eastAsia" w:cs="宋体"/>
                <w:sz w:val="20"/>
                <w:highlight w:val="none"/>
              </w:rPr>
              <w:t>1000≤Y＜100000</w:t>
            </w:r>
          </w:p>
        </w:tc>
        <w:tc>
          <w:tcPr>
            <w:tcW w:w="1688" w:type="dxa"/>
            <w:tcBorders>
              <w:top w:val="nil"/>
              <w:left w:val="nil"/>
              <w:bottom w:val="single" w:color="auto" w:sz="4" w:space="0"/>
              <w:right w:val="single" w:color="auto" w:sz="8" w:space="0"/>
            </w:tcBorders>
            <w:vAlign w:val="bottom"/>
          </w:tcPr>
          <w:p w14:paraId="145B7E77">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150F5348">
            <w:pPr>
              <w:widowControl/>
              <w:jc w:val="left"/>
              <w:rPr>
                <w:rFonts w:cs="宋体"/>
                <w:sz w:val="20"/>
                <w:highlight w:val="none"/>
              </w:rPr>
            </w:pPr>
            <w:r>
              <w:rPr>
                <w:rFonts w:hint="eastAsia" w:cs="宋体"/>
                <w:sz w:val="20"/>
                <w:highlight w:val="none"/>
              </w:rPr>
              <w:t>10≤X＜100</w:t>
            </w:r>
          </w:p>
        </w:tc>
        <w:tc>
          <w:tcPr>
            <w:tcW w:w="1585" w:type="dxa"/>
            <w:tcBorders>
              <w:top w:val="nil"/>
              <w:left w:val="nil"/>
              <w:bottom w:val="single" w:color="auto" w:sz="4" w:space="0"/>
              <w:right w:val="single" w:color="auto" w:sz="4" w:space="0"/>
            </w:tcBorders>
            <w:vAlign w:val="bottom"/>
          </w:tcPr>
          <w:p w14:paraId="07FA9F8A">
            <w:pPr>
              <w:widowControl/>
              <w:jc w:val="left"/>
              <w:rPr>
                <w:rFonts w:cs="宋体"/>
                <w:sz w:val="20"/>
                <w:highlight w:val="none"/>
              </w:rPr>
            </w:pPr>
            <w:r>
              <w:rPr>
                <w:rFonts w:hint="eastAsia" w:cs="宋体"/>
                <w:sz w:val="20"/>
                <w:highlight w:val="none"/>
              </w:rPr>
              <w:t>100≤Y＜1000</w:t>
            </w:r>
          </w:p>
        </w:tc>
        <w:tc>
          <w:tcPr>
            <w:tcW w:w="1466" w:type="dxa"/>
            <w:tcBorders>
              <w:top w:val="nil"/>
              <w:left w:val="nil"/>
              <w:bottom w:val="single" w:color="auto" w:sz="4" w:space="0"/>
              <w:right w:val="single" w:color="auto" w:sz="8" w:space="0"/>
            </w:tcBorders>
            <w:vAlign w:val="bottom"/>
          </w:tcPr>
          <w:p w14:paraId="34C73552">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59554981">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37F1B4FA">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4EB8AFDD">
            <w:pPr>
              <w:widowControl/>
              <w:jc w:val="left"/>
              <w:rPr>
                <w:rFonts w:cs="宋体"/>
                <w:sz w:val="20"/>
                <w:highlight w:val="none"/>
              </w:rPr>
            </w:pPr>
            <w:r>
              <w:rPr>
                <w:rFonts w:hint="eastAsia" w:cs="宋体"/>
                <w:sz w:val="20"/>
                <w:highlight w:val="none"/>
              </w:rPr>
              <w:t>　</w:t>
            </w:r>
          </w:p>
        </w:tc>
      </w:tr>
      <w:tr w14:paraId="6C0E191B">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07B7B191">
            <w:pPr>
              <w:widowControl/>
              <w:jc w:val="left"/>
              <w:rPr>
                <w:rFonts w:cs="宋体"/>
                <w:sz w:val="20"/>
                <w:highlight w:val="none"/>
              </w:rPr>
            </w:pPr>
            <w:r>
              <w:rPr>
                <w:rFonts w:hint="eastAsia" w:cs="宋体"/>
                <w:sz w:val="20"/>
                <w:highlight w:val="none"/>
              </w:rPr>
              <w:t>12、软件和信息技术服务业</w:t>
            </w:r>
          </w:p>
        </w:tc>
        <w:tc>
          <w:tcPr>
            <w:tcW w:w="1524" w:type="dxa"/>
            <w:tcBorders>
              <w:top w:val="nil"/>
              <w:left w:val="nil"/>
              <w:bottom w:val="single" w:color="auto" w:sz="4" w:space="0"/>
              <w:right w:val="single" w:color="auto" w:sz="4" w:space="0"/>
            </w:tcBorders>
            <w:vAlign w:val="bottom"/>
          </w:tcPr>
          <w:p w14:paraId="2D23BDED">
            <w:pPr>
              <w:widowControl/>
              <w:jc w:val="left"/>
              <w:rPr>
                <w:rFonts w:cs="宋体"/>
                <w:sz w:val="20"/>
                <w:highlight w:val="none"/>
              </w:rPr>
            </w:pPr>
            <w:r>
              <w:rPr>
                <w:rFonts w:hint="eastAsia" w:cs="宋体"/>
                <w:sz w:val="20"/>
                <w:highlight w:val="none"/>
              </w:rPr>
              <w:t>100≤X＜300</w:t>
            </w:r>
          </w:p>
        </w:tc>
        <w:tc>
          <w:tcPr>
            <w:tcW w:w="1793" w:type="dxa"/>
            <w:tcBorders>
              <w:top w:val="nil"/>
              <w:left w:val="nil"/>
              <w:bottom w:val="single" w:color="auto" w:sz="4" w:space="0"/>
              <w:right w:val="single" w:color="auto" w:sz="4" w:space="0"/>
            </w:tcBorders>
            <w:vAlign w:val="bottom"/>
          </w:tcPr>
          <w:p w14:paraId="4F39F40E">
            <w:pPr>
              <w:widowControl/>
              <w:jc w:val="left"/>
              <w:rPr>
                <w:rFonts w:cs="宋体"/>
                <w:sz w:val="20"/>
                <w:highlight w:val="none"/>
              </w:rPr>
            </w:pPr>
            <w:r>
              <w:rPr>
                <w:rFonts w:hint="eastAsia" w:cs="宋体"/>
                <w:sz w:val="20"/>
                <w:highlight w:val="none"/>
              </w:rPr>
              <w:t>1000≤Y＜10000</w:t>
            </w:r>
          </w:p>
        </w:tc>
        <w:tc>
          <w:tcPr>
            <w:tcW w:w="1688" w:type="dxa"/>
            <w:tcBorders>
              <w:top w:val="nil"/>
              <w:left w:val="nil"/>
              <w:bottom w:val="single" w:color="auto" w:sz="4" w:space="0"/>
              <w:right w:val="single" w:color="auto" w:sz="8" w:space="0"/>
            </w:tcBorders>
            <w:vAlign w:val="bottom"/>
          </w:tcPr>
          <w:p w14:paraId="7D549772">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3142F2DE">
            <w:pPr>
              <w:widowControl/>
              <w:jc w:val="left"/>
              <w:rPr>
                <w:rFonts w:cs="宋体"/>
                <w:sz w:val="20"/>
                <w:highlight w:val="none"/>
              </w:rPr>
            </w:pPr>
            <w:r>
              <w:rPr>
                <w:rFonts w:hint="eastAsia" w:cs="宋体"/>
                <w:sz w:val="20"/>
                <w:highlight w:val="none"/>
              </w:rPr>
              <w:t>10≤X＜100</w:t>
            </w:r>
          </w:p>
        </w:tc>
        <w:tc>
          <w:tcPr>
            <w:tcW w:w="1585" w:type="dxa"/>
            <w:tcBorders>
              <w:top w:val="nil"/>
              <w:left w:val="nil"/>
              <w:bottom w:val="single" w:color="auto" w:sz="4" w:space="0"/>
              <w:right w:val="single" w:color="auto" w:sz="4" w:space="0"/>
            </w:tcBorders>
            <w:vAlign w:val="bottom"/>
          </w:tcPr>
          <w:p w14:paraId="706BEB43">
            <w:pPr>
              <w:widowControl/>
              <w:jc w:val="left"/>
              <w:rPr>
                <w:rFonts w:cs="宋体"/>
                <w:sz w:val="20"/>
                <w:highlight w:val="none"/>
              </w:rPr>
            </w:pPr>
            <w:r>
              <w:rPr>
                <w:rFonts w:hint="eastAsia" w:cs="宋体"/>
                <w:sz w:val="20"/>
                <w:highlight w:val="none"/>
              </w:rPr>
              <w:t xml:space="preserve"> 50≤Y＜1000</w:t>
            </w:r>
          </w:p>
        </w:tc>
        <w:tc>
          <w:tcPr>
            <w:tcW w:w="1466" w:type="dxa"/>
            <w:tcBorders>
              <w:top w:val="nil"/>
              <w:left w:val="nil"/>
              <w:bottom w:val="single" w:color="auto" w:sz="4" w:space="0"/>
              <w:right w:val="single" w:color="auto" w:sz="8" w:space="0"/>
            </w:tcBorders>
            <w:vAlign w:val="bottom"/>
          </w:tcPr>
          <w:p w14:paraId="772D6784">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23E92EA9">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43AFDF0A">
            <w:pPr>
              <w:widowControl/>
              <w:jc w:val="left"/>
              <w:rPr>
                <w:rFonts w:cs="宋体"/>
                <w:sz w:val="20"/>
                <w:highlight w:val="none"/>
              </w:rPr>
            </w:pPr>
            <w:r>
              <w:rPr>
                <w:rFonts w:hint="eastAsia" w:cs="宋体"/>
                <w:sz w:val="20"/>
                <w:highlight w:val="none"/>
              </w:rPr>
              <w:t>Y＜50</w:t>
            </w:r>
          </w:p>
        </w:tc>
        <w:tc>
          <w:tcPr>
            <w:tcW w:w="1243" w:type="dxa"/>
            <w:tcBorders>
              <w:top w:val="nil"/>
              <w:left w:val="nil"/>
              <w:bottom w:val="single" w:color="auto" w:sz="4" w:space="0"/>
              <w:right w:val="single" w:color="auto" w:sz="8" w:space="0"/>
            </w:tcBorders>
            <w:vAlign w:val="bottom"/>
          </w:tcPr>
          <w:p w14:paraId="4D0C4DB6">
            <w:pPr>
              <w:widowControl/>
              <w:jc w:val="left"/>
              <w:rPr>
                <w:rFonts w:cs="宋体"/>
                <w:sz w:val="20"/>
                <w:highlight w:val="none"/>
              </w:rPr>
            </w:pPr>
            <w:r>
              <w:rPr>
                <w:rFonts w:hint="eastAsia" w:cs="宋体"/>
                <w:sz w:val="20"/>
                <w:highlight w:val="none"/>
              </w:rPr>
              <w:t>　</w:t>
            </w:r>
          </w:p>
        </w:tc>
      </w:tr>
      <w:tr w14:paraId="12415632">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73E6006A">
            <w:pPr>
              <w:widowControl/>
              <w:jc w:val="left"/>
              <w:rPr>
                <w:rFonts w:cs="宋体"/>
                <w:sz w:val="20"/>
                <w:highlight w:val="none"/>
              </w:rPr>
            </w:pPr>
            <w:r>
              <w:rPr>
                <w:rFonts w:hint="eastAsia" w:cs="宋体"/>
                <w:sz w:val="20"/>
                <w:highlight w:val="none"/>
              </w:rPr>
              <w:t>13、房地产开发经营</w:t>
            </w:r>
          </w:p>
        </w:tc>
        <w:tc>
          <w:tcPr>
            <w:tcW w:w="1524" w:type="dxa"/>
            <w:tcBorders>
              <w:top w:val="nil"/>
              <w:left w:val="nil"/>
              <w:bottom w:val="single" w:color="auto" w:sz="4" w:space="0"/>
              <w:right w:val="single" w:color="auto" w:sz="4" w:space="0"/>
            </w:tcBorders>
            <w:vAlign w:val="bottom"/>
          </w:tcPr>
          <w:p w14:paraId="59AADA04">
            <w:pPr>
              <w:widowControl/>
              <w:jc w:val="left"/>
              <w:rPr>
                <w:rFonts w:cs="宋体"/>
                <w:sz w:val="20"/>
                <w:highlight w:val="none"/>
              </w:rPr>
            </w:pPr>
            <w:r>
              <w:rPr>
                <w:rFonts w:hint="eastAsia" w:cs="宋体"/>
                <w:sz w:val="20"/>
                <w:highlight w:val="none"/>
              </w:rPr>
              <w:t>　</w:t>
            </w:r>
          </w:p>
        </w:tc>
        <w:tc>
          <w:tcPr>
            <w:tcW w:w="1793" w:type="dxa"/>
            <w:tcBorders>
              <w:top w:val="nil"/>
              <w:left w:val="nil"/>
              <w:bottom w:val="single" w:color="auto" w:sz="4" w:space="0"/>
              <w:right w:val="single" w:color="auto" w:sz="4" w:space="0"/>
            </w:tcBorders>
            <w:vAlign w:val="bottom"/>
          </w:tcPr>
          <w:p w14:paraId="0A7AC0DF">
            <w:pPr>
              <w:widowControl/>
              <w:jc w:val="left"/>
              <w:rPr>
                <w:rFonts w:cs="宋体"/>
                <w:sz w:val="20"/>
                <w:highlight w:val="none"/>
              </w:rPr>
            </w:pPr>
            <w:r>
              <w:rPr>
                <w:rFonts w:hint="eastAsia" w:cs="宋体"/>
                <w:sz w:val="20"/>
                <w:highlight w:val="none"/>
              </w:rPr>
              <w:t>1000≤Y＜200000</w:t>
            </w:r>
          </w:p>
        </w:tc>
        <w:tc>
          <w:tcPr>
            <w:tcW w:w="1688" w:type="dxa"/>
            <w:tcBorders>
              <w:top w:val="nil"/>
              <w:left w:val="nil"/>
              <w:bottom w:val="single" w:color="auto" w:sz="4" w:space="0"/>
              <w:right w:val="single" w:color="auto" w:sz="8" w:space="0"/>
            </w:tcBorders>
            <w:vAlign w:val="bottom"/>
          </w:tcPr>
          <w:p w14:paraId="2245D054">
            <w:pPr>
              <w:widowControl/>
              <w:jc w:val="left"/>
              <w:rPr>
                <w:rFonts w:cs="宋体"/>
                <w:sz w:val="20"/>
                <w:highlight w:val="none"/>
              </w:rPr>
            </w:pPr>
            <w:r>
              <w:rPr>
                <w:rFonts w:hint="eastAsia" w:cs="宋体"/>
                <w:sz w:val="20"/>
                <w:highlight w:val="none"/>
              </w:rPr>
              <w:t>5000≤Z＜10000</w:t>
            </w:r>
          </w:p>
        </w:tc>
        <w:tc>
          <w:tcPr>
            <w:tcW w:w="1261" w:type="dxa"/>
            <w:tcBorders>
              <w:top w:val="nil"/>
              <w:left w:val="nil"/>
              <w:bottom w:val="single" w:color="auto" w:sz="4" w:space="0"/>
              <w:right w:val="single" w:color="auto" w:sz="4" w:space="0"/>
            </w:tcBorders>
            <w:vAlign w:val="bottom"/>
          </w:tcPr>
          <w:p w14:paraId="6B55EB86">
            <w:pPr>
              <w:widowControl/>
              <w:jc w:val="left"/>
              <w:rPr>
                <w:rFonts w:cs="宋体"/>
                <w:sz w:val="20"/>
                <w:highlight w:val="none"/>
              </w:rPr>
            </w:pPr>
            <w:r>
              <w:rPr>
                <w:rFonts w:hint="eastAsia" w:cs="宋体"/>
                <w:sz w:val="20"/>
                <w:highlight w:val="none"/>
              </w:rPr>
              <w:t>　</w:t>
            </w:r>
          </w:p>
        </w:tc>
        <w:tc>
          <w:tcPr>
            <w:tcW w:w="1585" w:type="dxa"/>
            <w:tcBorders>
              <w:top w:val="nil"/>
              <w:left w:val="nil"/>
              <w:bottom w:val="single" w:color="auto" w:sz="4" w:space="0"/>
              <w:right w:val="single" w:color="auto" w:sz="4" w:space="0"/>
            </w:tcBorders>
            <w:vAlign w:val="bottom"/>
          </w:tcPr>
          <w:p w14:paraId="5A3958AF">
            <w:pPr>
              <w:widowControl/>
              <w:jc w:val="left"/>
              <w:rPr>
                <w:rFonts w:cs="宋体"/>
                <w:sz w:val="20"/>
                <w:highlight w:val="none"/>
              </w:rPr>
            </w:pPr>
            <w:r>
              <w:rPr>
                <w:rFonts w:hint="eastAsia" w:cs="宋体"/>
                <w:sz w:val="20"/>
                <w:highlight w:val="none"/>
              </w:rPr>
              <w:t>100≤Y＜1000</w:t>
            </w:r>
          </w:p>
        </w:tc>
        <w:tc>
          <w:tcPr>
            <w:tcW w:w="1466" w:type="dxa"/>
            <w:tcBorders>
              <w:top w:val="nil"/>
              <w:left w:val="nil"/>
              <w:bottom w:val="single" w:color="auto" w:sz="4" w:space="0"/>
              <w:right w:val="single" w:color="auto" w:sz="8" w:space="0"/>
            </w:tcBorders>
            <w:vAlign w:val="bottom"/>
          </w:tcPr>
          <w:p w14:paraId="650C05B7">
            <w:pPr>
              <w:widowControl/>
              <w:jc w:val="left"/>
              <w:rPr>
                <w:rFonts w:cs="宋体"/>
                <w:sz w:val="20"/>
                <w:highlight w:val="none"/>
              </w:rPr>
            </w:pPr>
            <w:r>
              <w:rPr>
                <w:rFonts w:hint="eastAsia" w:cs="宋体"/>
                <w:sz w:val="20"/>
                <w:highlight w:val="none"/>
              </w:rPr>
              <w:t>2000≤Z＜5000</w:t>
            </w:r>
          </w:p>
        </w:tc>
        <w:tc>
          <w:tcPr>
            <w:tcW w:w="1307" w:type="dxa"/>
            <w:tcBorders>
              <w:top w:val="nil"/>
              <w:left w:val="nil"/>
              <w:bottom w:val="single" w:color="auto" w:sz="4" w:space="0"/>
              <w:right w:val="single" w:color="auto" w:sz="4" w:space="0"/>
            </w:tcBorders>
            <w:vAlign w:val="bottom"/>
          </w:tcPr>
          <w:p w14:paraId="19443D03">
            <w:pPr>
              <w:widowControl/>
              <w:jc w:val="left"/>
              <w:rPr>
                <w:rFonts w:cs="宋体"/>
                <w:sz w:val="20"/>
                <w:highlight w:val="none"/>
              </w:rPr>
            </w:pPr>
            <w:r>
              <w:rPr>
                <w:rFonts w:hint="eastAsia" w:cs="宋体"/>
                <w:sz w:val="20"/>
                <w:highlight w:val="none"/>
              </w:rPr>
              <w:t>　</w:t>
            </w:r>
          </w:p>
        </w:tc>
        <w:tc>
          <w:tcPr>
            <w:tcW w:w="1296" w:type="dxa"/>
            <w:tcBorders>
              <w:top w:val="nil"/>
              <w:left w:val="nil"/>
              <w:bottom w:val="single" w:color="auto" w:sz="4" w:space="0"/>
              <w:right w:val="single" w:color="auto" w:sz="4" w:space="0"/>
            </w:tcBorders>
            <w:vAlign w:val="bottom"/>
          </w:tcPr>
          <w:p w14:paraId="69E55568">
            <w:pPr>
              <w:widowControl/>
              <w:jc w:val="left"/>
              <w:rPr>
                <w:rFonts w:cs="宋体"/>
                <w:sz w:val="20"/>
                <w:highlight w:val="none"/>
              </w:rPr>
            </w:pPr>
            <w:r>
              <w:rPr>
                <w:rFonts w:hint="eastAsia" w:cs="宋体"/>
                <w:sz w:val="20"/>
                <w:highlight w:val="none"/>
              </w:rPr>
              <w:t>Y＜100</w:t>
            </w:r>
          </w:p>
        </w:tc>
        <w:tc>
          <w:tcPr>
            <w:tcW w:w="1243" w:type="dxa"/>
            <w:tcBorders>
              <w:top w:val="nil"/>
              <w:left w:val="nil"/>
              <w:bottom w:val="single" w:color="auto" w:sz="4" w:space="0"/>
              <w:right w:val="single" w:color="auto" w:sz="8" w:space="0"/>
            </w:tcBorders>
            <w:vAlign w:val="bottom"/>
          </w:tcPr>
          <w:p w14:paraId="1E0A7543">
            <w:pPr>
              <w:widowControl/>
              <w:jc w:val="left"/>
              <w:rPr>
                <w:rFonts w:cs="宋体"/>
                <w:sz w:val="20"/>
                <w:highlight w:val="none"/>
              </w:rPr>
            </w:pPr>
            <w:r>
              <w:rPr>
                <w:rFonts w:hint="eastAsia" w:cs="宋体"/>
                <w:sz w:val="20"/>
                <w:highlight w:val="none"/>
              </w:rPr>
              <w:t>Z＜2000</w:t>
            </w:r>
          </w:p>
        </w:tc>
      </w:tr>
      <w:tr w14:paraId="205D5B58">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6F94813F">
            <w:pPr>
              <w:widowControl/>
              <w:jc w:val="left"/>
              <w:rPr>
                <w:rFonts w:cs="宋体"/>
                <w:sz w:val="20"/>
                <w:highlight w:val="none"/>
              </w:rPr>
            </w:pPr>
            <w:r>
              <w:rPr>
                <w:rFonts w:hint="eastAsia" w:cs="宋体"/>
                <w:sz w:val="20"/>
                <w:highlight w:val="none"/>
              </w:rPr>
              <w:t>14、物业管理</w:t>
            </w:r>
          </w:p>
        </w:tc>
        <w:tc>
          <w:tcPr>
            <w:tcW w:w="1524" w:type="dxa"/>
            <w:tcBorders>
              <w:top w:val="nil"/>
              <w:left w:val="nil"/>
              <w:bottom w:val="single" w:color="auto" w:sz="4" w:space="0"/>
              <w:right w:val="single" w:color="auto" w:sz="4" w:space="0"/>
            </w:tcBorders>
            <w:vAlign w:val="bottom"/>
          </w:tcPr>
          <w:p w14:paraId="2F2F39DC">
            <w:pPr>
              <w:widowControl/>
              <w:jc w:val="left"/>
              <w:rPr>
                <w:rFonts w:cs="宋体"/>
                <w:sz w:val="20"/>
                <w:highlight w:val="none"/>
              </w:rPr>
            </w:pPr>
            <w:r>
              <w:rPr>
                <w:rFonts w:hint="eastAsia" w:cs="宋体"/>
                <w:sz w:val="20"/>
                <w:highlight w:val="none"/>
              </w:rPr>
              <w:t>300≤X＜1000</w:t>
            </w:r>
          </w:p>
        </w:tc>
        <w:tc>
          <w:tcPr>
            <w:tcW w:w="1793" w:type="dxa"/>
            <w:tcBorders>
              <w:top w:val="nil"/>
              <w:left w:val="nil"/>
              <w:bottom w:val="single" w:color="auto" w:sz="4" w:space="0"/>
              <w:right w:val="single" w:color="auto" w:sz="4" w:space="0"/>
            </w:tcBorders>
            <w:vAlign w:val="bottom"/>
          </w:tcPr>
          <w:p w14:paraId="41CB7D05">
            <w:pPr>
              <w:widowControl/>
              <w:jc w:val="left"/>
              <w:rPr>
                <w:rFonts w:cs="宋体"/>
                <w:sz w:val="20"/>
                <w:highlight w:val="none"/>
              </w:rPr>
            </w:pPr>
            <w:r>
              <w:rPr>
                <w:rFonts w:hint="eastAsia" w:cs="宋体"/>
                <w:sz w:val="20"/>
                <w:highlight w:val="none"/>
              </w:rPr>
              <w:t>1000≤Y＜5000</w:t>
            </w:r>
          </w:p>
        </w:tc>
        <w:tc>
          <w:tcPr>
            <w:tcW w:w="1688" w:type="dxa"/>
            <w:tcBorders>
              <w:top w:val="nil"/>
              <w:left w:val="nil"/>
              <w:bottom w:val="single" w:color="auto" w:sz="4" w:space="0"/>
              <w:right w:val="single" w:color="auto" w:sz="8" w:space="0"/>
            </w:tcBorders>
            <w:vAlign w:val="bottom"/>
          </w:tcPr>
          <w:p w14:paraId="36880953">
            <w:pPr>
              <w:widowControl/>
              <w:jc w:val="left"/>
              <w:rPr>
                <w:rFonts w:cs="宋体"/>
                <w:sz w:val="20"/>
                <w:highlight w:val="none"/>
              </w:rPr>
            </w:pPr>
            <w:r>
              <w:rPr>
                <w:rFonts w:hint="eastAsia" w:cs="宋体"/>
                <w:sz w:val="20"/>
                <w:highlight w:val="none"/>
              </w:rPr>
              <w:t>　</w:t>
            </w:r>
          </w:p>
        </w:tc>
        <w:tc>
          <w:tcPr>
            <w:tcW w:w="1261" w:type="dxa"/>
            <w:tcBorders>
              <w:top w:val="nil"/>
              <w:left w:val="nil"/>
              <w:bottom w:val="single" w:color="auto" w:sz="4" w:space="0"/>
              <w:right w:val="single" w:color="auto" w:sz="4" w:space="0"/>
            </w:tcBorders>
            <w:vAlign w:val="bottom"/>
          </w:tcPr>
          <w:p w14:paraId="1BDA8D32">
            <w:pPr>
              <w:widowControl/>
              <w:jc w:val="left"/>
              <w:rPr>
                <w:rFonts w:cs="宋体"/>
                <w:sz w:val="20"/>
                <w:highlight w:val="none"/>
              </w:rPr>
            </w:pPr>
            <w:r>
              <w:rPr>
                <w:rFonts w:hint="eastAsia" w:cs="宋体"/>
                <w:sz w:val="20"/>
                <w:highlight w:val="none"/>
              </w:rPr>
              <w:t>100≤X＜300</w:t>
            </w:r>
          </w:p>
        </w:tc>
        <w:tc>
          <w:tcPr>
            <w:tcW w:w="1585" w:type="dxa"/>
            <w:tcBorders>
              <w:top w:val="nil"/>
              <w:left w:val="nil"/>
              <w:bottom w:val="single" w:color="auto" w:sz="4" w:space="0"/>
              <w:right w:val="single" w:color="auto" w:sz="4" w:space="0"/>
            </w:tcBorders>
            <w:vAlign w:val="bottom"/>
          </w:tcPr>
          <w:p w14:paraId="2A677B0D">
            <w:pPr>
              <w:widowControl/>
              <w:jc w:val="left"/>
              <w:rPr>
                <w:rFonts w:cs="宋体"/>
                <w:sz w:val="20"/>
                <w:highlight w:val="none"/>
              </w:rPr>
            </w:pPr>
            <w:r>
              <w:rPr>
                <w:rFonts w:hint="eastAsia" w:cs="宋体"/>
                <w:sz w:val="20"/>
                <w:highlight w:val="none"/>
              </w:rPr>
              <w:t>500≤Y＜1000</w:t>
            </w:r>
          </w:p>
        </w:tc>
        <w:tc>
          <w:tcPr>
            <w:tcW w:w="1466" w:type="dxa"/>
            <w:tcBorders>
              <w:top w:val="nil"/>
              <w:left w:val="nil"/>
              <w:bottom w:val="single" w:color="auto" w:sz="4" w:space="0"/>
              <w:right w:val="single" w:color="auto" w:sz="8" w:space="0"/>
            </w:tcBorders>
            <w:vAlign w:val="bottom"/>
          </w:tcPr>
          <w:p w14:paraId="5EE86AED">
            <w:pPr>
              <w:widowControl/>
              <w:jc w:val="left"/>
              <w:rPr>
                <w:rFonts w:cs="宋体"/>
                <w:sz w:val="20"/>
                <w:highlight w:val="none"/>
              </w:rPr>
            </w:pPr>
            <w:r>
              <w:rPr>
                <w:rFonts w:hint="eastAsia" w:cs="宋体"/>
                <w:sz w:val="20"/>
                <w:highlight w:val="none"/>
              </w:rPr>
              <w:t>　</w:t>
            </w:r>
          </w:p>
        </w:tc>
        <w:tc>
          <w:tcPr>
            <w:tcW w:w="1307" w:type="dxa"/>
            <w:tcBorders>
              <w:top w:val="nil"/>
              <w:left w:val="nil"/>
              <w:bottom w:val="single" w:color="auto" w:sz="4" w:space="0"/>
              <w:right w:val="single" w:color="auto" w:sz="4" w:space="0"/>
            </w:tcBorders>
            <w:vAlign w:val="bottom"/>
          </w:tcPr>
          <w:p w14:paraId="155AF1B3">
            <w:pPr>
              <w:widowControl/>
              <w:jc w:val="left"/>
              <w:rPr>
                <w:rFonts w:cs="宋体"/>
                <w:sz w:val="20"/>
                <w:highlight w:val="none"/>
              </w:rPr>
            </w:pPr>
            <w:r>
              <w:rPr>
                <w:rFonts w:hint="eastAsia" w:cs="宋体"/>
                <w:sz w:val="20"/>
                <w:highlight w:val="none"/>
              </w:rPr>
              <w:t>X＜100</w:t>
            </w:r>
          </w:p>
        </w:tc>
        <w:tc>
          <w:tcPr>
            <w:tcW w:w="1296" w:type="dxa"/>
            <w:tcBorders>
              <w:top w:val="nil"/>
              <w:left w:val="nil"/>
              <w:bottom w:val="single" w:color="auto" w:sz="4" w:space="0"/>
              <w:right w:val="single" w:color="auto" w:sz="4" w:space="0"/>
            </w:tcBorders>
            <w:vAlign w:val="bottom"/>
          </w:tcPr>
          <w:p w14:paraId="5CF70D35">
            <w:pPr>
              <w:widowControl/>
              <w:jc w:val="left"/>
              <w:rPr>
                <w:rFonts w:cs="宋体"/>
                <w:sz w:val="20"/>
                <w:highlight w:val="none"/>
              </w:rPr>
            </w:pPr>
            <w:r>
              <w:rPr>
                <w:rFonts w:hint="eastAsia" w:cs="宋体"/>
                <w:sz w:val="20"/>
                <w:highlight w:val="none"/>
              </w:rPr>
              <w:t>Y＜500</w:t>
            </w:r>
          </w:p>
        </w:tc>
        <w:tc>
          <w:tcPr>
            <w:tcW w:w="1243" w:type="dxa"/>
            <w:tcBorders>
              <w:top w:val="nil"/>
              <w:left w:val="nil"/>
              <w:bottom w:val="single" w:color="auto" w:sz="4" w:space="0"/>
              <w:right w:val="single" w:color="auto" w:sz="8" w:space="0"/>
            </w:tcBorders>
            <w:vAlign w:val="bottom"/>
          </w:tcPr>
          <w:p w14:paraId="0CC29867">
            <w:pPr>
              <w:widowControl/>
              <w:jc w:val="left"/>
              <w:rPr>
                <w:rFonts w:cs="宋体"/>
                <w:sz w:val="20"/>
                <w:highlight w:val="none"/>
              </w:rPr>
            </w:pPr>
            <w:r>
              <w:rPr>
                <w:rFonts w:hint="eastAsia" w:cs="宋体"/>
                <w:sz w:val="20"/>
                <w:highlight w:val="none"/>
              </w:rPr>
              <w:t>　</w:t>
            </w:r>
          </w:p>
        </w:tc>
      </w:tr>
      <w:tr w14:paraId="5C13DC3F">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4" w:space="0"/>
              <w:right w:val="single" w:color="auto" w:sz="8" w:space="0"/>
            </w:tcBorders>
            <w:vAlign w:val="bottom"/>
          </w:tcPr>
          <w:p w14:paraId="38861417">
            <w:pPr>
              <w:widowControl/>
              <w:jc w:val="left"/>
              <w:rPr>
                <w:rFonts w:cs="宋体"/>
                <w:sz w:val="20"/>
                <w:highlight w:val="none"/>
              </w:rPr>
            </w:pPr>
            <w:r>
              <w:rPr>
                <w:rFonts w:hint="eastAsia" w:cs="宋体"/>
                <w:sz w:val="20"/>
                <w:highlight w:val="none"/>
              </w:rPr>
              <w:t>15、租赁和商务服务业</w:t>
            </w:r>
          </w:p>
        </w:tc>
        <w:tc>
          <w:tcPr>
            <w:tcW w:w="1524" w:type="dxa"/>
            <w:tcBorders>
              <w:top w:val="nil"/>
              <w:left w:val="nil"/>
              <w:bottom w:val="single" w:color="auto" w:sz="4" w:space="0"/>
              <w:right w:val="single" w:color="auto" w:sz="4" w:space="0"/>
            </w:tcBorders>
            <w:vAlign w:val="bottom"/>
          </w:tcPr>
          <w:p w14:paraId="0ABD7706">
            <w:pPr>
              <w:widowControl/>
              <w:jc w:val="left"/>
              <w:rPr>
                <w:rFonts w:cs="宋体"/>
                <w:sz w:val="20"/>
                <w:highlight w:val="none"/>
              </w:rPr>
            </w:pPr>
            <w:r>
              <w:rPr>
                <w:rFonts w:hint="eastAsia" w:cs="宋体"/>
                <w:sz w:val="20"/>
                <w:highlight w:val="none"/>
              </w:rPr>
              <w:t>100≤X＜300</w:t>
            </w:r>
          </w:p>
        </w:tc>
        <w:tc>
          <w:tcPr>
            <w:tcW w:w="1793" w:type="dxa"/>
            <w:tcBorders>
              <w:top w:val="nil"/>
              <w:left w:val="nil"/>
              <w:bottom w:val="single" w:color="auto" w:sz="4" w:space="0"/>
              <w:right w:val="single" w:color="auto" w:sz="4" w:space="0"/>
            </w:tcBorders>
            <w:vAlign w:val="bottom"/>
          </w:tcPr>
          <w:p w14:paraId="218BCB4B">
            <w:pPr>
              <w:widowControl/>
              <w:jc w:val="left"/>
              <w:rPr>
                <w:rFonts w:cs="宋体"/>
                <w:sz w:val="20"/>
                <w:highlight w:val="none"/>
              </w:rPr>
            </w:pPr>
            <w:r>
              <w:rPr>
                <w:rFonts w:hint="eastAsia" w:cs="宋体"/>
                <w:sz w:val="20"/>
                <w:highlight w:val="none"/>
              </w:rPr>
              <w:t>　</w:t>
            </w:r>
          </w:p>
        </w:tc>
        <w:tc>
          <w:tcPr>
            <w:tcW w:w="1688" w:type="dxa"/>
            <w:tcBorders>
              <w:top w:val="nil"/>
              <w:left w:val="nil"/>
              <w:bottom w:val="single" w:color="auto" w:sz="4" w:space="0"/>
              <w:right w:val="single" w:color="auto" w:sz="8" w:space="0"/>
            </w:tcBorders>
            <w:vAlign w:val="bottom"/>
          </w:tcPr>
          <w:p w14:paraId="0B02B2DF">
            <w:pPr>
              <w:widowControl/>
              <w:jc w:val="left"/>
              <w:rPr>
                <w:rFonts w:cs="宋体"/>
                <w:sz w:val="20"/>
                <w:highlight w:val="none"/>
              </w:rPr>
            </w:pPr>
            <w:r>
              <w:rPr>
                <w:rFonts w:hint="eastAsia" w:cs="宋体"/>
                <w:sz w:val="20"/>
                <w:highlight w:val="none"/>
              </w:rPr>
              <w:t>8000≤Z＜120000</w:t>
            </w:r>
          </w:p>
        </w:tc>
        <w:tc>
          <w:tcPr>
            <w:tcW w:w="1261" w:type="dxa"/>
            <w:tcBorders>
              <w:top w:val="nil"/>
              <w:left w:val="nil"/>
              <w:bottom w:val="single" w:color="auto" w:sz="4" w:space="0"/>
              <w:right w:val="single" w:color="auto" w:sz="4" w:space="0"/>
            </w:tcBorders>
            <w:vAlign w:val="bottom"/>
          </w:tcPr>
          <w:p w14:paraId="0194D874">
            <w:pPr>
              <w:widowControl/>
              <w:jc w:val="left"/>
              <w:rPr>
                <w:rFonts w:cs="宋体"/>
                <w:sz w:val="20"/>
                <w:highlight w:val="none"/>
              </w:rPr>
            </w:pPr>
            <w:r>
              <w:rPr>
                <w:rFonts w:hint="eastAsia" w:cs="宋体"/>
                <w:sz w:val="20"/>
                <w:highlight w:val="none"/>
              </w:rPr>
              <w:t>10≤X＜100</w:t>
            </w:r>
          </w:p>
        </w:tc>
        <w:tc>
          <w:tcPr>
            <w:tcW w:w="1585" w:type="dxa"/>
            <w:tcBorders>
              <w:top w:val="nil"/>
              <w:left w:val="nil"/>
              <w:bottom w:val="single" w:color="auto" w:sz="4" w:space="0"/>
              <w:right w:val="single" w:color="auto" w:sz="4" w:space="0"/>
            </w:tcBorders>
            <w:vAlign w:val="bottom"/>
          </w:tcPr>
          <w:p w14:paraId="46407989">
            <w:pPr>
              <w:widowControl/>
              <w:jc w:val="left"/>
              <w:rPr>
                <w:rFonts w:cs="宋体"/>
                <w:sz w:val="20"/>
                <w:highlight w:val="none"/>
              </w:rPr>
            </w:pPr>
            <w:r>
              <w:rPr>
                <w:rFonts w:hint="eastAsia" w:cs="宋体"/>
                <w:sz w:val="20"/>
                <w:highlight w:val="none"/>
              </w:rPr>
              <w:t>　</w:t>
            </w:r>
          </w:p>
        </w:tc>
        <w:tc>
          <w:tcPr>
            <w:tcW w:w="1466" w:type="dxa"/>
            <w:tcBorders>
              <w:top w:val="nil"/>
              <w:left w:val="nil"/>
              <w:bottom w:val="single" w:color="auto" w:sz="4" w:space="0"/>
              <w:right w:val="single" w:color="auto" w:sz="8" w:space="0"/>
            </w:tcBorders>
            <w:vAlign w:val="bottom"/>
          </w:tcPr>
          <w:p w14:paraId="32835ABB">
            <w:pPr>
              <w:widowControl/>
              <w:jc w:val="left"/>
              <w:rPr>
                <w:rFonts w:cs="宋体"/>
                <w:sz w:val="20"/>
                <w:highlight w:val="none"/>
              </w:rPr>
            </w:pPr>
            <w:r>
              <w:rPr>
                <w:rFonts w:hint="eastAsia" w:cs="宋体"/>
                <w:sz w:val="20"/>
                <w:highlight w:val="none"/>
              </w:rPr>
              <w:t xml:space="preserve"> 100≤Z＜8000</w:t>
            </w:r>
          </w:p>
        </w:tc>
        <w:tc>
          <w:tcPr>
            <w:tcW w:w="1307" w:type="dxa"/>
            <w:tcBorders>
              <w:top w:val="nil"/>
              <w:left w:val="nil"/>
              <w:bottom w:val="single" w:color="auto" w:sz="4" w:space="0"/>
              <w:right w:val="single" w:color="auto" w:sz="4" w:space="0"/>
            </w:tcBorders>
            <w:vAlign w:val="bottom"/>
          </w:tcPr>
          <w:p w14:paraId="743C94B1">
            <w:pPr>
              <w:widowControl/>
              <w:jc w:val="left"/>
              <w:rPr>
                <w:rFonts w:cs="宋体"/>
                <w:sz w:val="20"/>
                <w:highlight w:val="none"/>
              </w:rPr>
            </w:pPr>
            <w:r>
              <w:rPr>
                <w:rFonts w:hint="eastAsia" w:cs="宋体"/>
                <w:sz w:val="20"/>
                <w:highlight w:val="none"/>
              </w:rPr>
              <w:t>X＜10</w:t>
            </w:r>
          </w:p>
        </w:tc>
        <w:tc>
          <w:tcPr>
            <w:tcW w:w="1296" w:type="dxa"/>
            <w:tcBorders>
              <w:top w:val="nil"/>
              <w:left w:val="nil"/>
              <w:bottom w:val="single" w:color="auto" w:sz="4" w:space="0"/>
              <w:right w:val="single" w:color="auto" w:sz="4" w:space="0"/>
            </w:tcBorders>
            <w:vAlign w:val="bottom"/>
          </w:tcPr>
          <w:p w14:paraId="5321458F">
            <w:pPr>
              <w:widowControl/>
              <w:jc w:val="left"/>
              <w:rPr>
                <w:rFonts w:cs="宋体"/>
                <w:sz w:val="20"/>
                <w:highlight w:val="none"/>
              </w:rPr>
            </w:pPr>
            <w:r>
              <w:rPr>
                <w:rFonts w:hint="eastAsia" w:cs="宋体"/>
                <w:sz w:val="20"/>
                <w:highlight w:val="none"/>
              </w:rPr>
              <w:t>　</w:t>
            </w:r>
          </w:p>
        </w:tc>
        <w:tc>
          <w:tcPr>
            <w:tcW w:w="1243" w:type="dxa"/>
            <w:tcBorders>
              <w:top w:val="nil"/>
              <w:left w:val="nil"/>
              <w:bottom w:val="single" w:color="auto" w:sz="4" w:space="0"/>
              <w:right w:val="single" w:color="auto" w:sz="8" w:space="0"/>
            </w:tcBorders>
            <w:vAlign w:val="bottom"/>
          </w:tcPr>
          <w:p w14:paraId="3E765125">
            <w:pPr>
              <w:widowControl/>
              <w:jc w:val="left"/>
              <w:rPr>
                <w:rFonts w:cs="宋体"/>
                <w:sz w:val="20"/>
                <w:highlight w:val="none"/>
              </w:rPr>
            </w:pPr>
            <w:r>
              <w:rPr>
                <w:rFonts w:hint="eastAsia" w:cs="宋体"/>
                <w:sz w:val="20"/>
                <w:highlight w:val="none"/>
              </w:rPr>
              <w:t>Z＜100</w:t>
            </w:r>
          </w:p>
        </w:tc>
      </w:tr>
      <w:tr w14:paraId="11FACB0F">
        <w:tblPrEx>
          <w:tblCellMar>
            <w:top w:w="0" w:type="dxa"/>
            <w:left w:w="108" w:type="dxa"/>
            <w:bottom w:w="0" w:type="dxa"/>
            <w:right w:w="108" w:type="dxa"/>
          </w:tblCellMar>
        </w:tblPrEx>
        <w:trPr>
          <w:trHeight w:val="262" w:hRule="atLeast"/>
        </w:trPr>
        <w:tc>
          <w:tcPr>
            <w:tcW w:w="2322" w:type="dxa"/>
            <w:tcBorders>
              <w:top w:val="nil"/>
              <w:left w:val="single" w:color="auto" w:sz="8" w:space="0"/>
              <w:bottom w:val="single" w:color="auto" w:sz="8" w:space="0"/>
              <w:right w:val="single" w:color="auto" w:sz="8" w:space="0"/>
            </w:tcBorders>
            <w:vAlign w:val="bottom"/>
          </w:tcPr>
          <w:p w14:paraId="00F534A2">
            <w:pPr>
              <w:widowControl/>
              <w:jc w:val="left"/>
              <w:rPr>
                <w:rFonts w:cs="宋体"/>
                <w:bCs/>
                <w:sz w:val="20"/>
                <w:highlight w:val="none"/>
              </w:rPr>
            </w:pPr>
            <w:r>
              <w:rPr>
                <w:rFonts w:hint="eastAsia" w:cs="宋体"/>
                <w:bCs/>
                <w:sz w:val="20"/>
                <w:highlight w:val="none"/>
              </w:rPr>
              <w:t>16、其他未列明行业</w:t>
            </w:r>
          </w:p>
        </w:tc>
        <w:tc>
          <w:tcPr>
            <w:tcW w:w="1524" w:type="dxa"/>
            <w:tcBorders>
              <w:top w:val="nil"/>
              <w:left w:val="nil"/>
              <w:bottom w:val="single" w:color="auto" w:sz="8" w:space="0"/>
              <w:right w:val="single" w:color="auto" w:sz="4" w:space="0"/>
            </w:tcBorders>
            <w:vAlign w:val="bottom"/>
          </w:tcPr>
          <w:p w14:paraId="59F0D2DD">
            <w:pPr>
              <w:widowControl/>
              <w:jc w:val="left"/>
              <w:rPr>
                <w:rFonts w:cs="宋体"/>
                <w:bCs/>
                <w:sz w:val="20"/>
                <w:highlight w:val="none"/>
              </w:rPr>
            </w:pPr>
            <w:r>
              <w:rPr>
                <w:rFonts w:hint="eastAsia" w:cs="宋体"/>
                <w:bCs/>
                <w:sz w:val="20"/>
                <w:highlight w:val="none"/>
              </w:rPr>
              <w:t>100≤X＜300</w:t>
            </w:r>
          </w:p>
        </w:tc>
        <w:tc>
          <w:tcPr>
            <w:tcW w:w="1793" w:type="dxa"/>
            <w:tcBorders>
              <w:top w:val="nil"/>
              <w:left w:val="nil"/>
              <w:bottom w:val="single" w:color="auto" w:sz="8" w:space="0"/>
              <w:right w:val="single" w:color="auto" w:sz="4" w:space="0"/>
            </w:tcBorders>
            <w:vAlign w:val="bottom"/>
          </w:tcPr>
          <w:p w14:paraId="06D641FB">
            <w:pPr>
              <w:widowControl/>
              <w:jc w:val="left"/>
              <w:rPr>
                <w:rFonts w:cs="宋体"/>
                <w:bCs/>
                <w:sz w:val="20"/>
                <w:highlight w:val="none"/>
              </w:rPr>
            </w:pPr>
            <w:r>
              <w:rPr>
                <w:rFonts w:hint="eastAsia" w:cs="宋体"/>
                <w:bCs/>
                <w:sz w:val="20"/>
                <w:highlight w:val="none"/>
              </w:rPr>
              <w:t>　</w:t>
            </w:r>
          </w:p>
        </w:tc>
        <w:tc>
          <w:tcPr>
            <w:tcW w:w="1688" w:type="dxa"/>
            <w:tcBorders>
              <w:top w:val="nil"/>
              <w:left w:val="nil"/>
              <w:bottom w:val="single" w:color="auto" w:sz="8" w:space="0"/>
              <w:right w:val="single" w:color="auto" w:sz="8" w:space="0"/>
            </w:tcBorders>
            <w:vAlign w:val="bottom"/>
          </w:tcPr>
          <w:p w14:paraId="64ADE305">
            <w:pPr>
              <w:widowControl/>
              <w:jc w:val="left"/>
              <w:rPr>
                <w:rFonts w:cs="宋体"/>
                <w:bCs/>
                <w:sz w:val="20"/>
                <w:highlight w:val="none"/>
              </w:rPr>
            </w:pPr>
            <w:r>
              <w:rPr>
                <w:rFonts w:hint="eastAsia" w:cs="宋体"/>
                <w:bCs/>
                <w:sz w:val="20"/>
                <w:highlight w:val="none"/>
              </w:rPr>
              <w:t>　</w:t>
            </w:r>
          </w:p>
        </w:tc>
        <w:tc>
          <w:tcPr>
            <w:tcW w:w="1261" w:type="dxa"/>
            <w:tcBorders>
              <w:top w:val="nil"/>
              <w:left w:val="nil"/>
              <w:bottom w:val="single" w:color="auto" w:sz="8" w:space="0"/>
              <w:right w:val="single" w:color="auto" w:sz="4" w:space="0"/>
            </w:tcBorders>
            <w:vAlign w:val="bottom"/>
          </w:tcPr>
          <w:p w14:paraId="7DEB106D">
            <w:pPr>
              <w:widowControl/>
              <w:jc w:val="left"/>
              <w:rPr>
                <w:rFonts w:cs="宋体"/>
                <w:bCs/>
                <w:sz w:val="20"/>
                <w:highlight w:val="none"/>
              </w:rPr>
            </w:pPr>
            <w:r>
              <w:rPr>
                <w:rFonts w:hint="eastAsia" w:cs="宋体"/>
                <w:bCs/>
                <w:sz w:val="20"/>
                <w:highlight w:val="none"/>
              </w:rPr>
              <w:t>10≤X＜100</w:t>
            </w:r>
          </w:p>
        </w:tc>
        <w:tc>
          <w:tcPr>
            <w:tcW w:w="1585" w:type="dxa"/>
            <w:tcBorders>
              <w:top w:val="nil"/>
              <w:left w:val="nil"/>
              <w:bottom w:val="single" w:color="auto" w:sz="8" w:space="0"/>
              <w:right w:val="single" w:color="auto" w:sz="4" w:space="0"/>
            </w:tcBorders>
            <w:vAlign w:val="bottom"/>
          </w:tcPr>
          <w:p w14:paraId="3DE22F17">
            <w:pPr>
              <w:widowControl/>
              <w:jc w:val="left"/>
              <w:rPr>
                <w:rFonts w:cs="宋体"/>
                <w:bCs/>
                <w:sz w:val="20"/>
                <w:highlight w:val="none"/>
              </w:rPr>
            </w:pPr>
            <w:r>
              <w:rPr>
                <w:rFonts w:hint="eastAsia" w:cs="宋体"/>
                <w:bCs/>
                <w:sz w:val="20"/>
                <w:highlight w:val="none"/>
              </w:rPr>
              <w:t>　</w:t>
            </w:r>
          </w:p>
        </w:tc>
        <w:tc>
          <w:tcPr>
            <w:tcW w:w="1466" w:type="dxa"/>
            <w:tcBorders>
              <w:top w:val="nil"/>
              <w:left w:val="nil"/>
              <w:bottom w:val="single" w:color="auto" w:sz="8" w:space="0"/>
              <w:right w:val="single" w:color="auto" w:sz="8" w:space="0"/>
            </w:tcBorders>
            <w:vAlign w:val="bottom"/>
          </w:tcPr>
          <w:p w14:paraId="29356B2F">
            <w:pPr>
              <w:widowControl/>
              <w:jc w:val="left"/>
              <w:rPr>
                <w:rFonts w:cs="宋体"/>
                <w:bCs/>
                <w:sz w:val="20"/>
                <w:highlight w:val="none"/>
              </w:rPr>
            </w:pPr>
            <w:r>
              <w:rPr>
                <w:rFonts w:hint="eastAsia" w:cs="宋体"/>
                <w:bCs/>
                <w:sz w:val="20"/>
                <w:highlight w:val="none"/>
              </w:rPr>
              <w:t>　</w:t>
            </w:r>
          </w:p>
        </w:tc>
        <w:tc>
          <w:tcPr>
            <w:tcW w:w="1307" w:type="dxa"/>
            <w:tcBorders>
              <w:top w:val="nil"/>
              <w:left w:val="nil"/>
              <w:bottom w:val="single" w:color="auto" w:sz="8" w:space="0"/>
              <w:right w:val="single" w:color="auto" w:sz="4" w:space="0"/>
            </w:tcBorders>
            <w:vAlign w:val="bottom"/>
          </w:tcPr>
          <w:p w14:paraId="015DBE26">
            <w:pPr>
              <w:widowControl/>
              <w:jc w:val="left"/>
              <w:rPr>
                <w:rFonts w:cs="宋体"/>
                <w:bCs/>
                <w:sz w:val="20"/>
                <w:highlight w:val="none"/>
              </w:rPr>
            </w:pPr>
            <w:r>
              <w:rPr>
                <w:rFonts w:hint="eastAsia" w:cs="宋体"/>
                <w:bCs/>
                <w:sz w:val="20"/>
                <w:highlight w:val="none"/>
              </w:rPr>
              <w:t>X＜10</w:t>
            </w:r>
          </w:p>
        </w:tc>
        <w:tc>
          <w:tcPr>
            <w:tcW w:w="1296" w:type="dxa"/>
            <w:tcBorders>
              <w:top w:val="nil"/>
              <w:left w:val="nil"/>
              <w:bottom w:val="single" w:color="auto" w:sz="8" w:space="0"/>
              <w:right w:val="single" w:color="auto" w:sz="4" w:space="0"/>
            </w:tcBorders>
            <w:vAlign w:val="bottom"/>
          </w:tcPr>
          <w:p w14:paraId="045463A4">
            <w:pPr>
              <w:widowControl/>
              <w:jc w:val="left"/>
              <w:rPr>
                <w:rFonts w:cs="宋体"/>
                <w:bCs/>
                <w:sz w:val="20"/>
                <w:highlight w:val="none"/>
              </w:rPr>
            </w:pPr>
            <w:r>
              <w:rPr>
                <w:rFonts w:hint="eastAsia" w:cs="宋体"/>
                <w:bCs/>
                <w:sz w:val="20"/>
                <w:highlight w:val="none"/>
              </w:rPr>
              <w:t>　</w:t>
            </w:r>
          </w:p>
        </w:tc>
        <w:tc>
          <w:tcPr>
            <w:tcW w:w="1243" w:type="dxa"/>
            <w:tcBorders>
              <w:top w:val="nil"/>
              <w:left w:val="nil"/>
              <w:bottom w:val="single" w:color="auto" w:sz="8" w:space="0"/>
              <w:right w:val="single" w:color="auto" w:sz="8" w:space="0"/>
            </w:tcBorders>
            <w:vAlign w:val="bottom"/>
          </w:tcPr>
          <w:p w14:paraId="347F4806">
            <w:pPr>
              <w:widowControl/>
              <w:jc w:val="left"/>
              <w:rPr>
                <w:rFonts w:cs="宋体"/>
                <w:sz w:val="20"/>
                <w:highlight w:val="none"/>
              </w:rPr>
            </w:pPr>
            <w:r>
              <w:rPr>
                <w:rFonts w:hint="eastAsia" w:cs="宋体"/>
                <w:sz w:val="20"/>
                <w:highlight w:val="none"/>
              </w:rPr>
              <w:t>　</w:t>
            </w:r>
          </w:p>
        </w:tc>
      </w:tr>
      <w:tr w14:paraId="51C9A919">
        <w:tblPrEx>
          <w:tblCellMar>
            <w:top w:w="0" w:type="dxa"/>
            <w:left w:w="108" w:type="dxa"/>
            <w:bottom w:w="0" w:type="dxa"/>
            <w:right w:w="108" w:type="dxa"/>
          </w:tblCellMar>
        </w:tblPrEx>
        <w:trPr>
          <w:trHeight w:val="208" w:hRule="atLeast"/>
        </w:trPr>
        <w:tc>
          <w:tcPr>
            <w:tcW w:w="15485" w:type="dxa"/>
            <w:gridSpan w:val="10"/>
            <w:tcBorders>
              <w:top w:val="nil"/>
              <w:left w:val="nil"/>
              <w:bottom w:val="nil"/>
              <w:right w:val="nil"/>
            </w:tcBorders>
            <w:vAlign w:val="bottom"/>
          </w:tcPr>
          <w:p w14:paraId="5D4CAD77">
            <w:pPr>
              <w:widowControl/>
              <w:jc w:val="left"/>
              <w:rPr>
                <w:rFonts w:cs="宋体"/>
                <w:sz w:val="20"/>
                <w:highlight w:val="none"/>
              </w:rPr>
            </w:pPr>
            <w:r>
              <w:rPr>
                <w:rFonts w:hint="eastAsia" w:cs="宋体"/>
                <w:sz w:val="20"/>
                <w:highlight w:val="none"/>
              </w:rPr>
              <w:t>说明　1、企业类型的划分以统计部门的统计数据为依据。</w:t>
            </w:r>
          </w:p>
          <w:p w14:paraId="61A79A76">
            <w:pPr>
              <w:widowControl/>
              <w:ind w:firstLine="600" w:firstLineChars="300"/>
              <w:jc w:val="left"/>
              <w:rPr>
                <w:rFonts w:cs="宋体"/>
                <w:sz w:val="20"/>
                <w:highlight w:val="none"/>
              </w:rPr>
            </w:pPr>
            <w:r>
              <w:rPr>
                <w:rFonts w:hint="eastAsia" w:cs="宋体"/>
                <w:sz w:val="20"/>
                <w:highlight w:val="none"/>
              </w:rPr>
              <w:t>2、个体工商户和本规定以外的行业，参照本规定进行划型。</w:t>
            </w:r>
          </w:p>
          <w:p w14:paraId="75DD9C7F">
            <w:pPr>
              <w:widowControl/>
              <w:ind w:firstLine="600" w:firstLineChars="300"/>
              <w:jc w:val="left"/>
              <w:rPr>
                <w:rFonts w:cs="宋体"/>
                <w:sz w:val="20"/>
                <w:highlight w:val="none"/>
              </w:rPr>
            </w:pPr>
            <w:r>
              <w:rPr>
                <w:rFonts w:hint="eastAsia" w:cs="宋体"/>
                <w:sz w:val="20"/>
                <w:highlight w:val="none"/>
              </w:rPr>
              <w:t>3、本规定的中型企业标准上限即为大型企业标准的下限。</w:t>
            </w:r>
          </w:p>
        </w:tc>
      </w:tr>
    </w:tbl>
    <w:p w14:paraId="406912C0">
      <w:pPr>
        <w:pStyle w:val="185"/>
        <w:rPr>
          <w:highlight w:val="none"/>
        </w:rPr>
        <w:sectPr>
          <w:pgSz w:w="16838" w:h="11906" w:orient="landscape"/>
          <w:pgMar w:top="1134" w:right="1134" w:bottom="1134" w:left="1134" w:header="851" w:footer="992" w:gutter="0"/>
          <w:cols w:space="425" w:num="1"/>
          <w:docGrid w:type="lines" w:linePitch="312" w:charSpace="0"/>
        </w:sectPr>
      </w:pPr>
    </w:p>
    <w:p w14:paraId="1A013475">
      <w:pPr>
        <w:pStyle w:val="185"/>
        <w:rPr>
          <w:highlight w:val="none"/>
        </w:rPr>
      </w:pPr>
    </w:p>
    <w:p w14:paraId="3B4624C7">
      <w:pPr>
        <w:pStyle w:val="3"/>
        <w:spacing w:before="0" w:after="0" w:line="240" w:lineRule="auto"/>
        <w:ind w:right="-567"/>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格式八 残疾人福利性单位声明函（选用）</w:t>
      </w:r>
    </w:p>
    <w:p w14:paraId="0CFDA995">
      <w:pPr>
        <w:pStyle w:val="19"/>
        <w:spacing w:line="360" w:lineRule="auto"/>
        <w:ind w:firstLine="0"/>
        <w:rPr>
          <w:rFonts w:hint="eastAsia" w:ascii="宋体" w:hAnsi="宋体" w:eastAsia="宋体" w:cs="宋体"/>
          <w:sz w:val="21"/>
          <w:szCs w:val="21"/>
          <w:highlight w:val="none"/>
        </w:rPr>
      </w:pPr>
    </w:p>
    <w:p w14:paraId="7A5F70F2">
      <w:pPr>
        <w:pStyle w:val="2"/>
        <w:spacing w:after="156" w:afterLines="50" w:line="360" w:lineRule="exact"/>
        <w:rPr>
          <w:rFonts w:hint="eastAsia" w:hAnsi="宋体" w:cs="宋体"/>
          <w:sz w:val="21"/>
          <w:szCs w:val="21"/>
          <w:highlight w:val="none"/>
        </w:rPr>
      </w:pPr>
      <w:r>
        <w:rPr>
          <w:rFonts w:hint="eastAsia" w:hAnsi="宋体" w:cs="宋体"/>
          <w:sz w:val="21"/>
          <w:szCs w:val="21"/>
          <w:highlight w:val="none"/>
        </w:rPr>
        <w:t>残疾人福利性单位声明函</w:t>
      </w:r>
    </w:p>
    <w:p w14:paraId="3A7D007B">
      <w:pPr>
        <w:pStyle w:val="19"/>
        <w:spacing w:line="360" w:lineRule="auto"/>
        <w:ind w:firstLine="0"/>
        <w:jc w:val="center"/>
        <w:rPr>
          <w:rFonts w:hint="eastAsia" w:ascii="宋体" w:hAnsi="宋体" w:eastAsia="宋体" w:cs="宋体"/>
          <w:b/>
          <w:sz w:val="21"/>
          <w:szCs w:val="21"/>
          <w:highlight w:val="none"/>
        </w:rPr>
      </w:pPr>
    </w:p>
    <w:p w14:paraId="68883F3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EE9E6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563F21A4">
      <w:pPr>
        <w:spacing w:line="360" w:lineRule="auto"/>
        <w:ind w:firstLine="444" w:firstLineChars="200"/>
        <w:contextualSpacing/>
        <w:rPr>
          <w:rFonts w:hint="eastAsia" w:ascii="宋体" w:hAnsi="宋体" w:cs="宋体"/>
          <w:spacing w:val="6"/>
          <w:szCs w:val="21"/>
          <w:highlight w:val="none"/>
        </w:rPr>
      </w:pPr>
    </w:p>
    <w:p w14:paraId="4EFA7D13">
      <w:pPr>
        <w:spacing w:line="360" w:lineRule="auto"/>
        <w:ind w:firstLine="444" w:firstLineChars="200"/>
        <w:contextualSpacing/>
        <w:rPr>
          <w:rFonts w:hint="eastAsia" w:ascii="宋体" w:hAnsi="宋体" w:cs="宋体"/>
          <w:spacing w:val="6"/>
          <w:szCs w:val="21"/>
          <w:highlight w:val="none"/>
        </w:rPr>
      </w:pPr>
    </w:p>
    <w:p w14:paraId="7A9D1C56">
      <w:pPr>
        <w:tabs>
          <w:tab w:val="left" w:pos="4860"/>
        </w:tabs>
        <w:spacing w:line="360" w:lineRule="auto"/>
        <w:ind w:right="1560" w:firstLine="444" w:firstLineChars="200"/>
        <w:contextualSpacing/>
        <w:jc w:val="center"/>
        <w:rPr>
          <w:rFonts w:hint="eastAsia" w:ascii="宋体" w:hAnsi="宋体" w:cs="宋体"/>
          <w:spacing w:val="6"/>
          <w:szCs w:val="21"/>
          <w:highlight w:val="none"/>
        </w:rPr>
      </w:pPr>
      <w:r>
        <w:rPr>
          <w:rFonts w:hint="eastAsia" w:ascii="宋体" w:hAnsi="宋体" w:cs="宋体"/>
          <w:spacing w:val="6"/>
          <w:szCs w:val="21"/>
          <w:highlight w:val="none"/>
        </w:rPr>
        <w:t xml:space="preserve">                                   企业名称（盖章）： </w:t>
      </w:r>
    </w:p>
    <w:p w14:paraId="785518A8">
      <w:pPr>
        <w:spacing w:line="360" w:lineRule="auto"/>
        <w:contextualSpacing/>
        <w:jc w:val="left"/>
        <w:rPr>
          <w:rFonts w:hint="eastAsia" w:ascii="宋体" w:hAnsi="宋体" w:cs="宋体"/>
          <w:b/>
          <w:szCs w:val="21"/>
          <w:highlight w:val="none"/>
        </w:rPr>
      </w:pPr>
      <w:r>
        <w:rPr>
          <w:rFonts w:hint="eastAsia" w:ascii="宋体" w:hAnsi="宋体" w:cs="宋体"/>
          <w:spacing w:val="6"/>
          <w:szCs w:val="21"/>
          <w:highlight w:val="none"/>
        </w:rPr>
        <w:t xml:space="preserve">                                            日  期：</w:t>
      </w:r>
    </w:p>
    <w:p w14:paraId="739FEA53">
      <w:pPr>
        <w:widowControl/>
        <w:jc w:val="left"/>
        <w:rPr>
          <w:highlight w:val="none"/>
        </w:rPr>
      </w:pPr>
    </w:p>
    <w:p w14:paraId="58ED77C0">
      <w:pPr>
        <w:rPr>
          <w:highlight w:val="none"/>
        </w:rPr>
      </w:pPr>
    </w:p>
    <w:p w14:paraId="2917D57F">
      <w:pPr>
        <w:rPr>
          <w:highlight w:val="none"/>
        </w:rPr>
      </w:pPr>
    </w:p>
    <w:p w14:paraId="12662D53">
      <w:pPr>
        <w:rPr>
          <w:highlight w:val="none"/>
        </w:rPr>
      </w:pPr>
    </w:p>
    <w:p w14:paraId="74E587DD">
      <w:pPr>
        <w:rPr>
          <w:highlight w:val="none"/>
        </w:rPr>
        <w:sectPr>
          <w:pgSz w:w="11906" w:h="16838"/>
          <w:pgMar w:top="1440" w:right="1800" w:bottom="1440" w:left="1800" w:header="851" w:footer="992" w:gutter="0"/>
          <w:cols w:space="425" w:num="1"/>
          <w:docGrid w:type="lines" w:linePitch="312" w:charSpace="0"/>
        </w:sectPr>
      </w:pPr>
    </w:p>
    <w:p w14:paraId="249A2AC3">
      <w:pPr>
        <w:pStyle w:val="3"/>
        <w:spacing w:before="0" w:after="0" w:line="240" w:lineRule="auto"/>
        <w:ind w:right="-567"/>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格式九 资格条件审查表</w:t>
      </w:r>
    </w:p>
    <w:p w14:paraId="49674FE2">
      <w:pPr>
        <w:jc w:val="center"/>
        <w:rPr>
          <w:highlight w:val="none"/>
        </w:rPr>
      </w:pPr>
      <w:r>
        <w:rPr>
          <w:rFonts w:hint="eastAsia" w:ascii="宋体" w:hAnsi="宋体" w:cs="宋体"/>
          <w:b/>
          <w:szCs w:val="21"/>
          <w:highlight w:val="none"/>
        </w:rPr>
        <w:t>资格条件审查表</w:t>
      </w:r>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56E86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1B70712A">
            <w:pPr>
              <w:widowControl/>
              <w:adjustRightInd w:val="0"/>
              <w:spacing w:line="360" w:lineRule="exact"/>
              <w:jc w:val="center"/>
              <w:rPr>
                <w:rFonts w:cs="宋体"/>
                <w:b/>
                <w:sz w:val="24"/>
                <w:highlight w:val="none"/>
              </w:rPr>
            </w:pPr>
            <w:r>
              <w:rPr>
                <w:rStyle w:val="48"/>
                <w:rFonts w:hint="eastAsia"/>
                <w:szCs w:val="21"/>
                <w:highlight w:val="none"/>
              </w:rPr>
              <w:t>评审内容</w:t>
            </w:r>
          </w:p>
        </w:tc>
        <w:tc>
          <w:tcPr>
            <w:tcW w:w="5458" w:type="dxa"/>
            <w:vAlign w:val="center"/>
          </w:tcPr>
          <w:p w14:paraId="43B2067D">
            <w:pPr>
              <w:widowControl/>
              <w:adjustRightInd w:val="0"/>
              <w:spacing w:line="360" w:lineRule="exact"/>
              <w:jc w:val="center"/>
              <w:rPr>
                <w:rFonts w:cs="宋体"/>
                <w:b/>
                <w:sz w:val="24"/>
                <w:highlight w:val="none"/>
              </w:rPr>
            </w:pPr>
            <w:r>
              <w:rPr>
                <w:rStyle w:val="48"/>
                <w:rFonts w:hint="eastAsia"/>
                <w:szCs w:val="21"/>
                <w:highlight w:val="none"/>
              </w:rPr>
              <w:t>招标文件要求</w:t>
            </w:r>
          </w:p>
        </w:tc>
        <w:tc>
          <w:tcPr>
            <w:tcW w:w="1134" w:type="dxa"/>
            <w:vAlign w:val="center"/>
          </w:tcPr>
          <w:p w14:paraId="1FAFC606">
            <w:pPr>
              <w:widowControl/>
              <w:adjustRightInd w:val="0"/>
              <w:spacing w:line="360" w:lineRule="exact"/>
              <w:jc w:val="center"/>
              <w:rPr>
                <w:rFonts w:cs="宋体"/>
                <w:b/>
                <w:sz w:val="24"/>
                <w:highlight w:val="none"/>
              </w:rPr>
            </w:pPr>
            <w:r>
              <w:rPr>
                <w:rStyle w:val="48"/>
                <w:rFonts w:hint="eastAsia"/>
                <w:szCs w:val="21"/>
                <w:highlight w:val="none"/>
              </w:rPr>
              <w:t>自查结论</w:t>
            </w:r>
          </w:p>
        </w:tc>
        <w:tc>
          <w:tcPr>
            <w:tcW w:w="2382" w:type="dxa"/>
            <w:vAlign w:val="center"/>
          </w:tcPr>
          <w:p w14:paraId="354C9B23">
            <w:pPr>
              <w:widowControl/>
              <w:adjustRightInd w:val="0"/>
              <w:spacing w:line="360" w:lineRule="exact"/>
              <w:jc w:val="center"/>
              <w:rPr>
                <w:rFonts w:cs="宋体"/>
                <w:b/>
                <w:sz w:val="24"/>
                <w:highlight w:val="none"/>
              </w:rPr>
            </w:pPr>
            <w:r>
              <w:rPr>
                <w:rStyle w:val="48"/>
                <w:rFonts w:hint="eastAsia"/>
                <w:szCs w:val="21"/>
                <w:highlight w:val="none"/>
              </w:rPr>
              <w:t>证明资料页码</w:t>
            </w:r>
          </w:p>
        </w:tc>
      </w:tr>
      <w:tr w14:paraId="2CF8F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2CEDA35B">
            <w:pPr>
              <w:pStyle w:val="209"/>
              <w:adjustRightInd w:val="0"/>
              <w:spacing w:before="0" w:beforeAutospacing="0" w:after="0" w:afterAutospacing="0" w:line="360" w:lineRule="exact"/>
              <w:jc w:val="center"/>
              <w:rPr>
                <w:rFonts w:ascii="Times New Roman" w:hAnsi="Times New Roman" w:cs="宋体"/>
                <w:b/>
                <w:sz w:val="21"/>
                <w:szCs w:val="21"/>
                <w:highlight w:val="none"/>
              </w:rPr>
            </w:pPr>
            <w:r>
              <w:rPr>
                <w:rFonts w:hint="eastAsia" w:ascii="Times New Roman" w:hAnsi="Times New Roman" w:cs="宋体"/>
                <w:b/>
                <w:sz w:val="21"/>
                <w:szCs w:val="21"/>
                <w:highlight w:val="none"/>
              </w:rPr>
              <w:t>资</w:t>
            </w:r>
          </w:p>
          <w:p w14:paraId="33A0969A">
            <w:pPr>
              <w:pStyle w:val="209"/>
              <w:adjustRightInd w:val="0"/>
              <w:spacing w:before="0" w:beforeAutospacing="0" w:after="0" w:afterAutospacing="0" w:line="360" w:lineRule="exact"/>
              <w:jc w:val="center"/>
              <w:rPr>
                <w:rFonts w:ascii="Times New Roman" w:hAnsi="Times New Roman" w:cs="宋体"/>
                <w:b/>
                <w:sz w:val="21"/>
                <w:szCs w:val="21"/>
                <w:highlight w:val="none"/>
              </w:rPr>
            </w:pPr>
            <w:r>
              <w:rPr>
                <w:rFonts w:hint="eastAsia" w:ascii="Times New Roman" w:hAnsi="Times New Roman" w:cs="宋体"/>
                <w:b/>
                <w:sz w:val="21"/>
                <w:szCs w:val="21"/>
                <w:highlight w:val="none"/>
              </w:rPr>
              <w:t>格</w:t>
            </w:r>
          </w:p>
          <w:p w14:paraId="32BE62CB">
            <w:pPr>
              <w:pStyle w:val="209"/>
              <w:adjustRightInd w:val="0"/>
              <w:spacing w:before="0" w:beforeAutospacing="0" w:after="0" w:afterAutospacing="0" w:line="360" w:lineRule="exact"/>
              <w:jc w:val="center"/>
              <w:rPr>
                <w:rFonts w:ascii="Times New Roman" w:hAnsi="Times New Roman" w:cs="宋体"/>
                <w:b/>
                <w:sz w:val="21"/>
                <w:szCs w:val="21"/>
                <w:highlight w:val="none"/>
              </w:rPr>
            </w:pPr>
            <w:r>
              <w:rPr>
                <w:rFonts w:hint="eastAsia" w:ascii="Times New Roman" w:hAnsi="Times New Roman" w:cs="宋体"/>
                <w:b/>
                <w:sz w:val="21"/>
                <w:szCs w:val="21"/>
                <w:highlight w:val="none"/>
              </w:rPr>
              <w:t>性</w:t>
            </w:r>
          </w:p>
          <w:p w14:paraId="4CE0DF36">
            <w:pPr>
              <w:pStyle w:val="209"/>
              <w:adjustRightInd w:val="0"/>
              <w:spacing w:before="0" w:beforeAutospacing="0" w:after="0" w:afterAutospacing="0" w:line="360" w:lineRule="exact"/>
              <w:jc w:val="center"/>
              <w:rPr>
                <w:rFonts w:ascii="Times New Roman" w:hAnsi="Times New Roman" w:cs="宋体"/>
                <w:b/>
                <w:sz w:val="21"/>
                <w:szCs w:val="21"/>
                <w:highlight w:val="none"/>
              </w:rPr>
            </w:pPr>
            <w:r>
              <w:rPr>
                <w:rFonts w:hint="eastAsia" w:ascii="Times New Roman" w:hAnsi="Times New Roman" w:cs="宋体"/>
                <w:b/>
                <w:sz w:val="21"/>
                <w:szCs w:val="21"/>
                <w:highlight w:val="none"/>
              </w:rPr>
              <w:t>审</w:t>
            </w:r>
          </w:p>
          <w:p w14:paraId="69DFEFCF">
            <w:pPr>
              <w:widowControl/>
              <w:adjustRightInd w:val="0"/>
              <w:spacing w:line="360" w:lineRule="exact"/>
              <w:jc w:val="center"/>
              <w:rPr>
                <w:rFonts w:cs="宋体"/>
                <w:b/>
                <w:sz w:val="24"/>
                <w:highlight w:val="none"/>
              </w:rPr>
            </w:pPr>
            <w:r>
              <w:rPr>
                <w:rFonts w:hint="eastAsia" w:cs="宋体"/>
                <w:b/>
                <w:szCs w:val="21"/>
                <w:highlight w:val="none"/>
              </w:rPr>
              <w:t>查</w:t>
            </w:r>
          </w:p>
        </w:tc>
        <w:tc>
          <w:tcPr>
            <w:tcW w:w="5458" w:type="dxa"/>
            <w:vAlign w:val="center"/>
          </w:tcPr>
          <w:p w14:paraId="4EFFC632">
            <w:pPr>
              <w:widowControl/>
              <w:adjustRightInd w:val="0"/>
              <w:spacing w:line="360" w:lineRule="exact"/>
              <w:rPr>
                <w:rFonts w:cs="宋体"/>
                <w:b/>
                <w:sz w:val="24"/>
                <w:highlight w:val="none"/>
              </w:rPr>
            </w:pPr>
            <w:r>
              <w:rPr>
                <w:rFonts w:hint="eastAsia" w:cs="宋体"/>
                <w:szCs w:val="21"/>
                <w:highlight w:val="none"/>
              </w:rPr>
              <w:t>一、投标人具备《</w:t>
            </w:r>
            <w:r>
              <w:rPr>
                <w:rFonts w:hint="eastAsia" w:cs="宋体"/>
                <w:highlight w:val="none"/>
              </w:rPr>
              <w:t>中华人民共和国政府采购法</w:t>
            </w:r>
            <w:r>
              <w:rPr>
                <w:rFonts w:hint="eastAsia" w:cs="宋体"/>
                <w:szCs w:val="21"/>
                <w:highlight w:val="none"/>
              </w:rPr>
              <w:t>》第二十二条所规定的条件：</w:t>
            </w:r>
          </w:p>
        </w:tc>
        <w:tc>
          <w:tcPr>
            <w:tcW w:w="1134" w:type="dxa"/>
            <w:vMerge w:val="restart"/>
            <w:vAlign w:val="center"/>
          </w:tcPr>
          <w:p w14:paraId="45633884">
            <w:pPr>
              <w:widowControl/>
              <w:adjustRightInd w:val="0"/>
              <w:spacing w:line="360" w:lineRule="exact"/>
              <w:rPr>
                <w:rFonts w:cs="宋体"/>
                <w:szCs w:val="21"/>
                <w:highlight w:val="none"/>
              </w:rPr>
            </w:pPr>
            <w:r>
              <w:rPr>
                <w:rFonts w:hint="eastAsia" w:cs="宋体"/>
                <w:szCs w:val="21"/>
                <w:highlight w:val="none"/>
              </w:rPr>
              <w:t>□通过</w:t>
            </w:r>
          </w:p>
          <w:p w14:paraId="0A7BFD51">
            <w:pPr>
              <w:widowControl/>
              <w:adjustRightInd w:val="0"/>
              <w:spacing w:line="360" w:lineRule="exact"/>
              <w:rPr>
                <w:rFonts w:cs="宋体"/>
                <w:b/>
                <w:sz w:val="24"/>
                <w:highlight w:val="none"/>
              </w:rPr>
            </w:pPr>
            <w:r>
              <w:rPr>
                <w:rFonts w:hint="eastAsia" w:cs="宋体"/>
                <w:szCs w:val="21"/>
                <w:highlight w:val="none"/>
              </w:rPr>
              <w:t>□不通过</w:t>
            </w:r>
          </w:p>
        </w:tc>
        <w:tc>
          <w:tcPr>
            <w:tcW w:w="2382" w:type="dxa"/>
            <w:vAlign w:val="center"/>
          </w:tcPr>
          <w:p w14:paraId="51B1CC57">
            <w:pPr>
              <w:widowControl/>
              <w:adjustRightInd w:val="0"/>
              <w:spacing w:line="360" w:lineRule="exact"/>
              <w:jc w:val="center"/>
              <w:rPr>
                <w:rFonts w:cs="宋体"/>
                <w:b/>
                <w:sz w:val="24"/>
                <w:highlight w:val="none"/>
              </w:rPr>
            </w:pPr>
            <w:r>
              <w:rPr>
                <w:rFonts w:hint="eastAsia" w:cs="宋体"/>
                <w:szCs w:val="21"/>
                <w:highlight w:val="none"/>
              </w:rPr>
              <w:t>/</w:t>
            </w:r>
          </w:p>
        </w:tc>
      </w:tr>
      <w:tr w14:paraId="2894E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67136E18">
            <w:pPr>
              <w:widowControl/>
              <w:adjustRightInd w:val="0"/>
              <w:spacing w:line="360" w:lineRule="exact"/>
              <w:rPr>
                <w:rFonts w:cs="宋体"/>
                <w:b/>
                <w:sz w:val="24"/>
                <w:highlight w:val="none"/>
              </w:rPr>
            </w:pPr>
          </w:p>
        </w:tc>
        <w:tc>
          <w:tcPr>
            <w:tcW w:w="5458" w:type="dxa"/>
            <w:vAlign w:val="center"/>
          </w:tcPr>
          <w:p w14:paraId="6F7374C5">
            <w:pPr>
              <w:widowControl/>
              <w:adjustRightInd w:val="0"/>
              <w:spacing w:line="360" w:lineRule="exact"/>
              <w:rPr>
                <w:szCs w:val="21"/>
                <w:highlight w:val="none"/>
              </w:rPr>
            </w:pPr>
            <w:r>
              <w:rPr>
                <w:rFonts w:hint="eastAsia"/>
                <w:szCs w:val="21"/>
                <w:highlight w:val="none"/>
              </w:rPr>
              <w:t>1.关于资格的承诺函（格式见附件）</w:t>
            </w:r>
          </w:p>
        </w:tc>
        <w:tc>
          <w:tcPr>
            <w:tcW w:w="1134" w:type="dxa"/>
            <w:vMerge w:val="continue"/>
          </w:tcPr>
          <w:p w14:paraId="3B53928B">
            <w:pPr>
              <w:widowControl/>
              <w:adjustRightInd w:val="0"/>
              <w:spacing w:line="360" w:lineRule="exact"/>
              <w:rPr>
                <w:rFonts w:cs="宋体"/>
                <w:b/>
                <w:sz w:val="24"/>
                <w:highlight w:val="none"/>
              </w:rPr>
            </w:pPr>
          </w:p>
        </w:tc>
        <w:tc>
          <w:tcPr>
            <w:tcW w:w="2382" w:type="dxa"/>
            <w:vAlign w:val="center"/>
          </w:tcPr>
          <w:p w14:paraId="1029A468">
            <w:pPr>
              <w:widowControl/>
              <w:adjustRightInd w:val="0"/>
              <w:spacing w:line="360" w:lineRule="exact"/>
              <w:jc w:val="center"/>
              <w:rPr>
                <w:rFonts w:cs="宋体"/>
                <w:b/>
                <w:sz w:val="24"/>
                <w:highlight w:val="none"/>
              </w:rPr>
            </w:pPr>
            <w:r>
              <w:rPr>
                <w:rFonts w:hint="eastAsia" w:cs="宋体"/>
                <w:szCs w:val="21"/>
                <w:highlight w:val="none"/>
              </w:rPr>
              <w:t>第（ ）页-（  ）页</w:t>
            </w:r>
          </w:p>
        </w:tc>
      </w:tr>
      <w:tr w14:paraId="06938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74ADBF7A">
            <w:pPr>
              <w:widowControl/>
              <w:adjustRightInd w:val="0"/>
              <w:spacing w:line="360" w:lineRule="exact"/>
              <w:rPr>
                <w:rFonts w:cs="宋体"/>
                <w:b/>
                <w:sz w:val="24"/>
                <w:highlight w:val="none"/>
              </w:rPr>
            </w:pPr>
          </w:p>
        </w:tc>
        <w:tc>
          <w:tcPr>
            <w:tcW w:w="5458" w:type="dxa"/>
            <w:vAlign w:val="center"/>
          </w:tcPr>
          <w:p w14:paraId="4897AF58">
            <w:pPr>
              <w:widowControl/>
              <w:adjustRightInd w:val="0"/>
              <w:spacing w:line="360" w:lineRule="exact"/>
              <w:rPr>
                <w:rFonts w:cs="宋体"/>
                <w:highlight w:val="none"/>
              </w:rPr>
            </w:pPr>
            <w:r>
              <w:rPr>
                <w:rFonts w:hint="eastAsia" w:cs="宋体"/>
                <w:bCs/>
                <w:szCs w:val="28"/>
                <w:highlight w:val="none"/>
              </w:rPr>
              <w:t>2.有效的企业法人营业执照（或事业法人登记证）、其他组织（个体工商户）的营业执照或者民办非企业单位登记证书复印件</w:t>
            </w:r>
            <w:r>
              <w:rPr>
                <w:rFonts w:hint="eastAsia" w:cs="宋体"/>
                <w:highlight w:val="none"/>
              </w:rPr>
              <w:t>。</w:t>
            </w:r>
          </w:p>
          <w:p w14:paraId="7E2E9EE7">
            <w:pPr>
              <w:adjustRightInd w:val="0"/>
              <w:spacing w:line="360" w:lineRule="exact"/>
              <w:rPr>
                <w:rFonts w:cs="宋体"/>
                <w:bCs/>
                <w:szCs w:val="28"/>
                <w:highlight w:val="none"/>
              </w:rPr>
            </w:pPr>
            <w:r>
              <w:rPr>
                <w:rFonts w:hint="eastAsia" w:cs="宋体"/>
                <w:highlight w:val="none"/>
              </w:rPr>
              <w:t>（投标人如果有名称变更的，应提供由行政主管部门出具的变更证明文件。）</w:t>
            </w:r>
          </w:p>
        </w:tc>
        <w:tc>
          <w:tcPr>
            <w:tcW w:w="1134" w:type="dxa"/>
            <w:vMerge w:val="continue"/>
          </w:tcPr>
          <w:p w14:paraId="5D92FF40">
            <w:pPr>
              <w:widowControl/>
              <w:adjustRightInd w:val="0"/>
              <w:spacing w:line="360" w:lineRule="exact"/>
              <w:rPr>
                <w:rFonts w:cs="宋体"/>
                <w:b/>
                <w:sz w:val="24"/>
                <w:highlight w:val="none"/>
              </w:rPr>
            </w:pPr>
          </w:p>
        </w:tc>
        <w:tc>
          <w:tcPr>
            <w:tcW w:w="2382" w:type="dxa"/>
            <w:vAlign w:val="center"/>
          </w:tcPr>
          <w:p w14:paraId="6B57137D">
            <w:pPr>
              <w:adjustRightInd w:val="0"/>
              <w:spacing w:line="360" w:lineRule="exact"/>
              <w:jc w:val="center"/>
              <w:rPr>
                <w:rFonts w:cs="宋体"/>
                <w:szCs w:val="21"/>
                <w:highlight w:val="none"/>
              </w:rPr>
            </w:pPr>
            <w:r>
              <w:rPr>
                <w:rFonts w:hint="eastAsia" w:cs="宋体"/>
                <w:szCs w:val="21"/>
                <w:highlight w:val="none"/>
              </w:rPr>
              <w:t>第（ ）页-（  ）页</w:t>
            </w:r>
          </w:p>
        </w:tc>
      </w:tr>
      <w:tr w14:paraId="685D7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38" w:type="dxa"/>
            <w:vMerge w:val="continue"/>
          </w:tcPr>
          <w:p w14:paraId="64FDFEF4">
            <w:pPr>
              <w:widowControl/>
              <w:adjustRightInd w:val="0"/>
              <w:spacing w:line="360" w:lineRule="exact"/>
              <w:rPr>
                <w:rFonts w:cs="宋体"/>
                <w:bCs/>
                <w:szCs w:val="28"/>
                <w:highlight w:val="none"/>
              </w:rPr>
            </w:pPr>
          </w:p>
        </w:tc>
        <w:tc>
          <w:tcPr>
            <w:tcW w:w="5458" w:type="dxa"/>
            <w:vAlign w:val="center"/>
          </w:tcPr>
          <w:p w14:paraId="7F2AD62A">
            <w:pPr>
              <w:widowControl/>
              <w:adjustRightInd w:val="0"/>
              <w:spacing w:line="360" w:lineRule="exact"/>
              <w:rPr>
                <w:rFonts w:cs="宋体"/>
                <w:bCs/>
                <w:szCs w:val="28"/>
                <w:highlight w:val="none"/>
              </w:rPr>
            </w:pPr>
            <w:r>
              <w:rPr>
                <w:rFonts w:hint="eastAsia" w:cs="宋体"/>
                <w:bCs/>
                <w:szCs w:val="28"/>
                <w:highlight w:val="none"/>
              </w:rPr>
              <w:t>二、</w:t>
            </w:r>
            <w:r>
              <w:rPr>
                <w:rFonts w:hint="eastAsia" w:ascii="宋体" w:hAnsi="宋体" w:cs="Arial"/>
                <w:color w:val="333333"/>
                <w:kern w:val="0"/>
                <w:szCs w:val="21"/>
                <w:highlight w:val="none"/>
              </w:rPr>
              <w:t>投标人和投标人的法定代表人/负责人未被列入失信被执行人、重大税收违法失信主体、政府采购严重违法失信行为记录名单等</w:t>
            </w:r>
            <w:r>
              <w:rPr>
                <w:rFonts w:hint="eastAsia" w:cs="宋体"/>
                <w:highlight w:val="none"/>
              </w:rPr>
              <w:t>。</w:t>
            </w:r>
          </w:p>
        </w:tc>
        <w:tc>
          <w:tcPr>
            <w:tcW w:w="1134" w:type="dxa"/>
            <w:vAlign w:val="center"/>
          </w:tcPr>
          <w:p w14:paraId="29670F4E">
            <w:pPr>
              <w:widowControl/>
              <w:adjustRightInd w:val="0"/>
              <w:spacing w:line="360" w:lineRule="exact"/>
              <w:rPr>
                <w:rFonts w:cs="宋体"/>
                <w:szCs w:val="21"/>
                <w:highlight w:val="none"/>
              </w:rPr>
            </w:pPr>
            <w:r>
              <w:rPr>
                <w:rFonts w:hint="eastAsia" w:cs="宋体"/>
                <w:szCs w:val="21"/>
                <w:highlight w:val="none"/>
              </w:rPr>
              <w:t>□通过</w:t>
            </w:r>
          </w:p>
          <w:p w14:paraId="71C2FB86">
            <w:pPr>
              <w:widowControl/>
              <w:adjustRightInd w:val="0"/>
              <w:spacing w:line="360" w:lineRule="exact"/>
              <w:rPr>
                <w:rFonts w:cs="宋体"/>
                <w:bCs/>
                <w:szCs w:val="28"/>
                <w:highlight w:val="none"/>
              </w:rPr>
            </w:pPr>
            <w:r>
              <w:rPr>
                <w:rFonts w:hint="eastAsia" w:cs="宋体"/>
                <w:szCs w:val="21"/>
                <w:highlight w:val="none"/>
              </w:rPr>
              <w:t>□不通过</w:t>
            </w:r>
          </w:p>
        </w:tc>
        <w:tc>
          <w:tcPr>
            <w:tcW w:w="2382" w:type="dxa"/>
            <w:vAlign w:val="center"/>
          </w:tcPr>
          <w:p w14:paraId="60383BDD">
            <w:pPr>
              <w:widowControl/>
              <w:adjustRightInd w:val="0"/>
              <w:spacing w:line="360" w:lineRule="exact"/>
              <w:jc w:val="center"/>
              <w:rPr>
                <w:rFonts w:cs="宋体"/>
                <w:bCs/>
                <w:szCs w:val="28"/>
                <w:highlight w:val="none"/>
                <w:u w:val="single"/>
              </w:rPr>
            </w:pPr>
            <w:r>
              <w:rPr>
                <w:rFonts w:hint="eastAsia" w:cs="宋体"/>
                <w:bCs/>
                <w:szCs w:val="28"/>
                <w:highlight w:val="none"/>
              </w:rPr>
              <w:t xml:space="preserve">信用记录 </w:t>
            </w:r>
            <w:r>
              <w:rPr>
                <w:rFonts w:hint="eastAsia" w:cs="宋体"/>
                <w:bCs/>
                <w:szCs w:val="28"/>
                <w:highlight w:val="none"/>
                <w:u w:val="single"/>
              </w:rPr>
              <w:t>是/否</w:t>
            </w:r>
            <w:r>
              <w:rPr>
                <w:rFonts w:hint="eastAsia" w:cs="宋体"/>
                <w:bCs/>
                <w:szCs w:val="28"/>
                <w:highlight w:val="none"/>
              </w:rPr>
              <w:t xml:space="preserve"> 已失效，如失效，证明材料详见</w:t>
            </w:r>
            <w:r>
              <w:rPr>
                <w:rFonts w:hint="eastAsia" w:cs="宋体"/>
                <w:szCs w:val="21"/>
                <w:highlight w:val="none"/>
              </w:rPr>
              <w:t>第（ ）页-（  ）页</w:t>
            </w:r>
          </w:p>
        </w:tc>
      </w:tr>
      <w:tr w14:paraId="5EF33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38" w:type="dxa"/>
            <w:vMerge w:val="continue"/>
          </w:tcPr>
          <w:p w14:paraId="644F7104">
            <w:pPr>
              <w:widowControl/>
              <w:adjustRightInd w:val="0"/>
              <w:spacing w:line="360" w:lineRule="exact"/>
              <w:rPr>
                <w:rFonts w:cs="宋体"/>
                <w:bCs/>
                <w:szCs w:val="28"/>
                <w:highlight w:val="none"/>
              </w:rPr>
            </w:pPr>
          </w:p>
        </w:tc>
        <w:tc>
          <w:tcPr>
            <w:tcW w:w="5458" w:type="dxa"/>
            <w:vAlign w:val="center"/>
          </w:tcPr>
          <w:p w14:paraId="56AF9951">
            <w:pPr>
              <w:widowControl/>
              <w:adjustRightInd w:val="0"/>
              <w:spacing w:line="360" w:lineRule="exact"/>
              <w:rPr>
                <w:rFonts w:cs="宋体"/>
                <w:bCs/>
                <w:szCs w:val="28"/>
                <w:highlight w:val="none"/>
              </w:rPr>
            </w:pPr>
            <w:r>
              <w:rPr>
                <w:rFonts w:hint="eastAsia" w:ascii="Arial" w:hAnsi="Arial" w:cs="宋体"/>
                <w:highlight w:val="none"/>
              </w:rPr>
              <w:t>三、本项目属于专门面向中小企业采购的项目，所投产品的制造商应为符合《政府采购促进中小企业发展管理办法》（财库﹝2020﹞46 号）规定的中小企业（其中，小微企业包括视同为小型、微型企业的监狱企业、残疾人福利性单位。）</w:t>
            </w:r>
          </w:p>
        </w:tc>
        <w:tc>
          <w:tcPr>
            <w:tcW w:w="1134" w:type="dxa"/>
            <w:vAlign w:val="center"/>
          </w:tcPr>
          <w:p w14:paraId="2999A3BA">
            <w:pPr>
              <w:widowControl/>
              <w:adjustRightInd w:val="0"/>
              <w:spacing w:line="360" w:lineRule="exact"/>
              <w:rPr>
                <w:rFonts w:cs="宋体"/>
                <w:szCs w:val="21"/>
                <w:highlight w:val="none"/>
              </w:rPr>
            </w:pPr>
            <w:r>
              <w:rPr>
                <w:rFonts w:hint="eastAsia" w:cs="宋体"/>
                <w:szCs w:val="21"/>
                <w:highlight w:val="none"/>
              </w:rPr>
              <w:t>□通过</w:t>
            </w:r>
          </w:p>
          <w:p w14:paraId="062ACE3F">
            <w:pPr>
              <w:widowControl/>
              <w:adjustRightInd w:val="0"/>
              <w:spacing w:line="360" w:lineRule="exact"/>
              <w:rPr>
                <w:rFonts w:cs="宋体"/>
                <w:szCs w:val="21"/>
                <w:highlight w:val="none"/>
              </w:rPr>
            </w:pPr>
            <w:r>
              <w:rPr>
                <w:rFonts w:hint="eastAsia" w:cs="宋体"/>
                <w:szCs w:val="21"/>
                <w:highlight w:val="none"/>
              </w:rPr>
              <w:t>□不通过</w:t>
            </w:r>
          </w:p>
        </w:tc>
        <w:tc>
          <w:tcPr>
            <w:tcW w:w="2382" w:type="dxa"/>
            <w:vAlign w:val="center"/>
          </w:tcPr>
          <w:p w14:paraId="3336F8CA">
            <w:pPr>
              <w:widowControl/>
              <w:adjustRightInd w:val="0"/>
              <w:spacing w:line="360" w:lineRule="exact"/>
              <w:jc w:val="center"/>
              <w:rPr>
                <w:rFonts w:cs="宋体"/>
                <w:bCs/>
                <w:szCs w:val="28"/>
                <w:highlight w:val="none"/>
              </w:rPr>
            </w:pPr>
            <w:r>
              <w:rPr>
                <w:rFonts w:hint="eastAsia" w:cs="宋体"/>
                <w:bCs/>
                <w:szCs w:val="28"/>
                <w:highlight w:val="none"/>
              </w:rPr>
              <w:t>中小企业声明函</w:t>
            </w:r>
          </w:p>
        </w:tc>
      </w:tr>
    </w:tbl>
    <w:p w14:paraId="33721931">
      <w:pPr>
        <w:pStyle w:val="19"/>
        <w:tabs>
          <w:tab w:val="left" w:pos="4841"/>
        </w:tabs>
        <w:ind w:firstLine="0"/>
        <w:rPr>
          <w:rFonts w:eastAsia="宋体"/>
          <w:sz w:val="21"/>
          <w:szCs w:val="21"/>
          <w:highlight w:val="none"/>
        </w:rPr>
      </w:pPr>
    </w:p>
    <w:p w14:paraId="3B3D3329">
      <w:pPr>
        <w:pStyle w:val="19"/>
        <w:tabs>
          <w:tab w:val="left" w:pos="4841"/>
        </w:tabs>
        <w:ind w:firstLine="0"/>
        <w:rPr>
          <w:rFonts w:eastAsia="宋体"/>
          <w:sz w:val="21"/>
          <w:szCs w:val="21"/>
          <w:highlight w:val="none"/>
        </w:rPr>
      </w:pPr>
      <w:r>
        <w:rPr>
          <w:rFonts w:hint="eastAsia" w:eastAsia="宋体"/>
          <w:sz w:val="21"/>
          <w:szCs w:val="21"/>
          <w:highlight w:val="none"/>
        </w:rPr>
        <w:t>投标人（盖章）：</w:t>
      </w:r>
    </w:p>
    <w:p w14:paraId="35E074E0">
      <w:pPr>
        <w:pStyle w:val="19"/>
        <w:tabs>
          <w:tab w:val="left" w:pos="4841"/>
        </w:tabs>
        <w:ind w:firstLine="0"/>
        <w:rPr>
          <w:rFonts w:eastAsia="宋体"/>
          <w:sz w:val="21"/>
          <w:szCs w:val="21"/>
          <w:highlight w:val="none"/>
        </w:rPr>
      </w:pPr>
      <w:r>
        <w:rPr>
          <w:rFonts w:hint="eastAsia" w:eastAsia="宋体"/>
          <w:sz w:val="21"/>
          <w:szCs w:val="21"/>
          <w:highlight w:val="none"/>
        </w:rPr>
        <w:t>授权代表人（签字）：</w:t>
      </w:r>
    </w:p>
    <w:p w14:paraId="7EF08C10">
      <w:pPr>
        <w:pStyle w:val="19"/>
        <w:tabs>
          <w:tab w:val="left" w:pos="4841"/>
        </w:tabs>
        <w:ind w:firstLine="0"/>
        <w:rPr>
          <w:rFonts w:eastAsia="宋体"/>
          <w:sz w:val="21"/>
          <w:szCs w:val="21"/>
          <w:highlight w:val="none"/>
        </w:rPr>
      </w:pPr>
      <w:r>
        <w:rPr>
          <w:rFonts w:hint="eastAsia" w:eastAsia="宋体"/>
          <w:sz w:val="21"/>
          <w:szCs w:val="21"/>
          <w:highlight w:val="none"/>
        </w:rPr>
        <w:t>日期：</w:t>
      </w:r>
    </w:p>
    <w:p w14:paraId="6D3A4815">
      <w:pPr>
        <w:rPr>
          <w:highlight w:val="none"/>
        </w:rPr>
        <w:sectPr>
          <w:pgSz w:w="11906" w:h="16838"/>
          <w:pgMar w:top="1440" w:right="1800" w:bottom="1440" w:left="1800" w:header="851" w:footer="992" w:gutter="0"/>
          <w:cols w:space="425" w:num="1"/>
          <w:docGrid w:type="lines" w:linePitch="312" w:charSpace="0"/>
        </w:sectPr>
      </w:pPr>
    </w:p>
    <w:p w14:paraId="6FEC3AA6">
      <w:pPr>
        <w:pStyle w:val="3"/>
        <w:spacing w:before="0" w:after="0" w:line="240" w:lineRule="auto"/>
        <w:ind w:right="-567"/>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格式十 关于资格的承诺函</w:t>
      </w:r>
    </w:p>
    <w:p w14:paraId="5492D73B">
      <w:pPr>
        <w:spacing w:line="360" w:lineRule="auto"/>
        <w:jc w:val="center"/>
        <w:outlineLvl w:val="1"/>
        <w:rPr>
          <w:b/>
          <w:bCs/>
          <w:sz w:val="24"/>
          <w:highlight w:val="none"/>
        </w:rPr>
      </w:pPr>
    </w:p>
    <w:p w14:paraId="2057E60D">
      <w:pPr>
        <w:spacing w:line="360" w:lineRule="auto"/>
        <w:jc w:val="center"/>
        <w:outlineLvl w:val="1"/>
        <w:rPr>
          <w:b/>
          <w:bCs/>
          <w:szCs w:val="21"/>
          <w:highlight w:val="none"/>
        </w:rPr>
      </w:pPr>
      <w:r>
        <w:rPr>
          <w:rFonts w:hint="eastAsia"/>
          <w:b/>
          <w:bCs/>
          <w:sz w:val="24"/>
          <w:highlight w:val="none"/>
        </w:rPr>
        <w:t>关于资格的承诺函</w:t>
      </w:r>
    </w:p>
    <w:p w14:paraId="67213E9D">
      <w:pPr>
        <w:spacing w:line="360" w:lineRule="auto"/>
        <w:contextualSpacing/>
        <w:rPr>
          <w:rFonts w:cs="宋体"/>
          <w:b/>
          <w:sz w:val="24"/>
          <w:szCs w:val="24"/>
          <w:highlight w:val="none"/>
        </w:rPr>
      </w:pPr>
      <w:r>
        <w:rPr>
          <w:rFonts w:hint="eastAsia" w:cs="宋体"/>
          <w:b/>
          <w:sz w:val="24"/>
          <w:szCs w:val="24"/>
          <w:highlight w:val="none"/>
        </w:rPr>
        <w:t>致：中冠工程管理咨询有限公司</w:t>
      </w:r>
    </w:p>
    <w:p w14:paraId="016BE83A">
      <w:pPr>
        <w:snapToGrid w:val="0"/>
        <w:spacing w:before="142" w:beforeLines="50" w:line="360" w:lineRule="auto"/>
        <w:ind w:firstLine="484" w:firstLineChars="202"/>
        <w:rPr>
          <w:rFonts w:cs="宋体"/>
          <w:sz w:val="24"/>
          <w:szCs w:val="24"/>
          <w:highlight w:val="none"/>
        </w:rPr>
      </w:pPr>
      <w:r>
        <w:rPr>
          <w:rFonts w:hint="eastAsia" w:cs="宋体"/>
          <w:sz w:val="24"/>
          <w:szCs w:val="24"/>
          <w:highlight w:val="none"/>
        </w:rPr>
        <w:t>关于项目（项目编号：</w:t>
      </w:r>
      <w:r>
        <w:rPr>
          <w:rFonts w:hint="eastAsia" w:cs="宋体"/>
          <w:sz w:val="24"/>
          <w:szCs w:val="24"/>
          <w:highlight w:val="none"/>
          <w:u w:val="single"/>
        </w:rPr>
        <w:t>　　　</w:t>
      </w:r>
      <w:r>
        <w:rPr>
          <w:rFonts w:hint="eastAsia" w:cs="宋体"/>
          <w:sz w:val="24"/>
          <w:szCs w:val="24"/>
          <w:highlight w:val="none"/>
        </w:rPr>
        <w:t>），我方愿意参加投标，并声明：</w:t>
      </w:r>
    </w:p>
    <w:p w14:paraId="23B8AEB9">
      <w:pPr>
        <w:snapToGrid w:val="0"/>
        <w:spacing w:line="360" w:lineRule="auto"/>
        <w:ind w:firstLine="480" w:firstLineChars="200"/>
        <w:rPr>
          <w:rFonts w:cs="宋体"/>
          <w:bCs/>
          <w:sz w:val="24"/>
          <w:szCs w:val="24"/>
          <w:highlight w:val="none"/>
        </w:rPr>
      </w:pPr>
      <w:r>
        <w:rPr>
          <w:rFonts w:hint="eastAsia" w:cs="宋体"/>
          <w:bCs/>
          <w:sz w:val="24"/>
          <w:szCs w:val="24"/>
          <w:highlight w:val="none"/>
        </w:rPr>
        <w:t>1、我方具备《中华人民共和国政府采购法》第二十二条规定资格条件：</w:t>
      </w:r>
    </w:p>
    <w:p w14:paraId="7F13A4C7">
      <w:pPr>
        <w:snapToGrid w:val="0"/>
        <w:spacing w:line="360" w:lineRule="auto"/>
        <w:ind w:firstLine="480" w:firstLineChars="200"/>
        <w:rPr>
          <w:rFonts w:cs="宋体"/>
          <w:bCs/>
          <w:sz w:val="24"/>
          <w:szCs w:val="24"/>
          <w:highlight w:val="none"/>
        </w:rPr>
      </w:pPr>
      <w:r>
        <w:rPr>
          <w:rFonts w:hint="eastAsia" w:cs="宋体"/>
          <w:bCs/>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FA56D21">
      <w:pPr>
        <w:snapToGrid w:val="0"/>
        <w:spacing w:line="360" w:lineRule="auto"/>
        <w:ind w:firstLine="480" w:firstLineChars="200"/>
        <w:rPr>
          <w:rFonts w:cs="宋体"/>
          <w:sz w:val="24"/>
          <w:szCs w:val="24"/>
          <w:highlight w:val="none"/>
        </w:rPr>
      </w:pPr>
      <w:r>
        <w:rPr>
          <w:rFonts w:hint="eastAsia" w:cs="宋体"/>
          <w:sz w:val="24"/>
          <w:szCs w:val="24"/>
          <w:highlight w:val="none"/>
        </w:rPr>
        <w:t>2、我方的单位负责人与所参投的本采购项目的其他投标人的单位负责人不为同一人且与其他投标人之间不存在直接控股、管理关系。</w:t>
      </w:r>
    </w:p>
    <w:p w14:paraId="78584C66">
      <w:pPr>
        <w:snapToGrid w:val="0"/>
        <w:spacing w:line="360" w:lineRule="auto"/>
        <w:ind w:firstLine="480" w:firstLineChars="200"/>
        <w:rPr>
          <w:rFonts w:cs="宋体"/>
          <w:sz w:val="24"/>
          <w:szCs w:val="24"/>
          <w:highlight w:val="none"/>
        </w:rPr>
      </w:pPr>
      <w:r>
        <w:rPr>
          <w:rFonts w:hint="eastAsia" w:cs="宋体"/>
          <w:sz w:val="24"/>
          <w:szCs w:val="24"/>
          <w:highlight w:val="none"/>
        </w:rPr>
        <w:t>3、我方不是本采购项目提供整体设计、规范编制或者项目管理、监理、检测等服务的供应商。</w:t>
      </w:r>
    </w:p>
    <w:p w14:paraId="6E77D4D8">
      <w:pPr>
        <w:snapToGrid w:val="0"/>
        <w:spacing w:line="360" w:lineRule="auto"/>
        <w:ind w:firstLine="480" w:firstLineChars="200"/>
        <w:rPr>
          <w:rFonts w:cs="宋体"/>
          <w:bCs/>
          <w:sz w:val="24"/>
          <w:szCs w:val="24"/>
          <w:highlight w:val="none"/>
        </w:rPr>
      </w:pPr>
      <w:r>
        <w:rPr>
          <w:rFonts w:hint="eastAsia" w:cs="宋体"/>
          <w:sz w:val="24"/>
          <w:szCs w:val="24"/>
          <w:highlight w:val="none"/>
        </w:rPr>
        <w:t>4、我方</w:t>
      </w:r>
      <w:r>
        <w:rPr>
          <w:rFonts w:hint="eastAsia" w:cs="宋体"/>
          <w:bCs/>
          <w:sz w:val="24"/>
          <w:szCs w:val="24"/>
          <w:highlight w:val="none"/>
        </w:rPr>
        <w:t>未被“信用中国”（www.creditchina.gov.cn)、中国政府采购网（www.ccgp.gov.cn）列入失信被执行人、重大税收违法失信主体、政府采购严重违法失信行为记录名单。</w:t>
      </w:r>
    </w:p>
    <w:p w14:paraId="062D62FA">
      <w:pPr>
        <w:snapToGrid w:val="0"/>
        <w:spacing w:line="360" w:lineRule="auto"/>
        <w:ind w:firstLine="480" w:firstLineChars="200"/>
        <w:rPr>
          <w:rFonts w:cs="宋体"/>
          <w:sz w:val="24"/>
          <w:szCs w:val="24"/>
          <w:highlight w:val="none"/>
        </w:rPr>
      </w:pPr>
      <w:r>
        <w:rPr>
          <w:rFonts w:hint="eastAsia" w:cs="宋体"/>
          <w:bCs/>
          <w:sz w:val="24"/>
          <w:szCs w:val="24"/>
          <w:highlight w:val="none"/>
        </w:rPr>
        <w:t>我方对上述声明的真实性负责。</w:t>
      </w:r>
      <w:r>
        <w:rPr>
          <w:rFonts w:hint="eastAsia" w:cs="宋体"/>
          <w:sz w:val="24"/>
          <w:szCs w:val="24"/>
          <w:highlight w:val="none"/>
        </w:rPr>
        <w:t>本次招标采购活动中，如有违法、违规、弄虚作假行为，所造成的损失、不良后果及法律责任，一律由我我方承担。</w:t>
      </w:r>
    </w:p>
    <w:p w14:paraId="163AB1B7">
      <w:pPr>
        <w:spacing w:line="360" w:lineRule="auto"/>
        <w:rPr>
          <w:rFonts w:cs="宋体"/>
          <w:b/>
          <w:sz w:val="24"/>
          <w:szCs w:val="24"/>
          <w:highlight w:val="none"/>
        </w:rPr>
      </w:pPr>
    </w:p>
    <w:p w14:paraId="64C0895A">
      <w:pPr>
        <w:spacing w:line="360" w:lineRule="auto"/>
        <w:ind w:firstLine="420"/>
        <w:rPr>
          <w:rFonts w:cs="宋体"/>
          <w:b/>
          <w:sz w:val="24"/>
          <w:szCs w:val="24"/>
          <w:highlight w:val="none"/>
        </w:rPr>
      </w:pPr>
      <w:r>
        <w:rPr>
          <w:rFonts w:hint="eastAsia" w:cs="宋体"/>
          <w:b/>
          <w:sz w:val="24"/>
          <w:szCs w:val="24"/>
          <w:highlight w:val="none"/>
        </w:rPr>
        <w:t>特此声明！</w:t>
      </w:r>
    </w:p>
    <w:p w14:paraId="496233A9">
      <w:pPr>
        <w:spacing w:line="360" w:lineRule="auto"/>
        <w:contextualSpacing/>
        <w:outlineLvl w:val="1"/>
        <w:rPr>
          <w:b/>
          <w:bCs/>
          <w:sz w:val="24"/>
          <w:szCs w:val="24"/>
          <w:highlight w:val="none"/>
        </w:rPr>
      </w:pPr>
    </w:p>
    <w:p w14:paraId="5764BECC">
      <w:pPr>
        <w:spacing w:line="360" w:lineRule="auto"/>
        <w:contextualSpacing/>
        <w:outlineLvl w:val="1"/>
        <w:rPr>
          <w:sz w:val="24"/>
          <w:szCs w:val="24"/>
          <w:highlight w:val="none"/>
        </w:rPr>
      </w:pPr>
    </w:p>
    <w:p w14:paraId="4EF8813C">
      <w:pPr>
        <w:spacing w:line="360" w:lineRule="auto"/>
        <w:contextualSpacing/>
        <w:outlineLvl w:val="1"/>
        <w:rPr>
          <w:sz w:val="24"/>
          <w:szCs w:val="24"/>
          <w:highlight w:val="none"/>
        </w:rPr>
      </w:pPr>
      <w:r>
        <w:rPr>
          <w:rFonts w:hint="eastAsia"/>
          <w:sz w:val="24"/>
          <w:szCs w:val="24"/>
          <w:highlight w:val="none"/>
        </w:rPr>
        <w:t>投标人（盖章）：</w:t>
      </w:r>
    </w:p>
    <w:p w14:paraId="2E82AE91">
      <w:pPr>
        <w:spacing w:line="360" w:lineRule="auto"/>
        <w:contextualSpacing/>
        <w:outlineLvl w:val="1"/>
        <w:rPr>
          <w:sz w:val="24"/>
          <w:szCs w:val="24"/>
          <w:highlight w:val="none"/>
        </w:rPr>
      </w:pPr>
    </w:p>
    <w:p w14:paraId="666FCD5C">
      <w:pPr>
        <w:spacing w:line="360" w:lineRule="auto"/>
        <w:contextualSpacing/>
        <w:outlineLvl w:val="1"/>
        <w:rPr>
          <w:sz w:val="24"/>
          <w:szCs w:val="24"/>
          <w:highlight w:val="none"/>
        </w:rPr>
      </w:pPr>
      <w:r>
        <w:rPr>
          <w:rFonts w:hint="eastAsia"/>
          <w:sz w:val="24"/>
          <w:szCs w:val="24"/>
          <w:highlight w:val="none"/>
        </w:rPr>
        <w:t>法定代表人或授权代表人（签字或盖章）：</w:t>
      </w:r>
    </w:p>
    <w:p w14:paraId="6A2636B5">
      <w:pPr>
        <w:spacing w:line="360" w:lineRule="auto"/>
        <w:contextualSpacing/>
        <w:outlineLvl w:val="1"/>
        <w:rPr>
          <w:sz w:val="24"/>
          <w:szCs w:val="24"/>
          <w:highlight w:val="none"/>
        </w:rPr>
      </w:pPr>
    </w:p>
    <w:p w14:paraId="570DBA5C">
      <w:pPr>
        <w:spacing w:line="360" w:lineRule="auto"/>
        <w:contextualSpacing/>
        <w:outlineLvl w:val="1"/>
        <w:rPr>
          <w:sz w:val="24"/>
          <w:szCs w:val="24"/>
          <w:highlight w:val="none"/>
        </w:rPr>
      </w:pPr>
      <w:r>
        <w:rPr>
          <w:rFonts w:hint="eastAsia"/>
          <w:sz w:val="24"/>
          <w:szCs w:val="24"/>
          <w:highlight w:val="none"/>
        </w:rPr>
        <w:t>日期：</w:t>
      </w:r>
    </w:p>
    <w:p w14:paraId="44B337E2">
      <w:pPr>
        <w:pStyle w:val="3"/>
        <w:spacing w:before="0" w:after="0" w:line="240" w:lineRule="auto"/>
        <w:ind w:right="-567"/>
        <w:jc w:val="left"/>
        <w:rPr>
          <w:rFonts w:ascii="Times New Roman" w:hAnsi="Times New Roman" w:eastAsia="宋体"/>
          <w:b w:val="0"/>
          <w:sz w:val="18"/>
          <w:szCs w:val="18"/>
          <w:highlight w:val="none"/>
        </w:rPr>
      </w:pPr>
      <w:r>
        <w:rPr>
          <w:rFonts w:hint="eastAsia" w:ascii="Times New Roman" w:hAnsi="Times New Roman" w:eastAsia="宋体"/>
          <w:b w:val="0"/>
          <w:sz w:val="18"/>
          <w:szCs w:val="18"/>
          <w:highlight w:val="none"/>
        </w:rPr>
        <w:t>格式十一  符合性自查表</w:t>
      </w:r>
    </w:p>
    <w:p w14:paraId="2A73B87D">
      <w:pPr>
        <w:spacing w:line="360" w:lineRule="auto"/>
        <w:jc w:val="center"/>
        <w:rPr>
          <w:rFonts w:cs="宋体"/>
          <w:sz w:val="24"/>
          <w:highlight w:val="none"/>
        </w:rPr>
      </w:pPr>
      <w:r>
        <w:rPr>
          <w:rFonts w:hint="eastAsia" w:cs="宋体"/>
          <w:b/>
          <w:spacing w:val="-4"/>
          <w:sz w:val="24"/>
          <w:highlight w:val="none"/>
        </w:rPr>
        <w:t>符合性自查表</w:t>
      </w:r>
    </w:p>
    <w:tbl>
      <w:tblPr>
        <w:tblStyle w:val="4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49"/>
        <w:gridCol w:w="4826"/>
        <w:gridCol w:w="1448"/>
        <w:gridCol w:w="2001"/>
      </w:tblGrid>
      <w:tr w14:paraId="603EF13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tcBorders>
              <w:top w:val="single" w:color="auto" w:sz="12" w:space="0"/>
              <w:left w:val="single" w:color="auto" w:sz="12" w:space="0"/>
              <w:bottom w:val="outset" w:color="111111" w:sz="6" w:space="0"/>
              <w:right w:val="outset" w:color="111111" w:sz="6" w:space="0"/>
            </w:tcBorders>
            <w:vAlign w:val="center"/>
          </w:tcPr>
          <w:p w14:paraId="34794FA7">
            <w:pPr>
              <w:spacing w:line="300" w:lineRule="exact"/>
              <w:jc w:val="center"/>
              <w:rPr>
                <w:rFonts w:cs="宋体"/>
                <w:szCs w:val="21"/>
                <w:highlight w:val="none"/>
              </w:rPr>
            </w:pPr>
            <w:r>
              <w:rPr>
                <w:rFonts w:hint="eastAsia" w:cs="宋体"/>
                <w:szCs w:val="21"/>
                <w:highlight w:val="none"/>
              </w:rPr>
              <w:t>评审内容</w:t>
            </w:r>
          </w:p>
        </w:tc>
        <w:tc>
          <w:tcPr>
            <w:tcW w:w="4826" w:type="dxa"/>
            <w:tcBorders>
              <w:top w:val="single" w:color="auto" w:sz="12" w:space="0"/>
              <w:left w:val="outset" w:color="111111" w:sz="6" w:space="0"/>
              <w:bottom w:val="outset" w:color="111111" w:sz="6" w:space="0"/>
              <w:right w:val="outset" w:color="111111" w:sz="6" w:space="0"/>
            </w:tcBorders>
            <w:vAlign w:val="center"/>
          </w:tcPr>
          <w:p w14:paraId="2CF19502">
            <w:pPr>
              <w:spacing w:line="300" w:lineRule="exact"/>
              <w:jc w:val="center"/>
              <w:rPr>
                <w:rFonts w:cs="宋体"/>
                <w:szCs w:val="21"/>
                <w:highlight w:val="none"/>
              </w:rPr>
            </w:pPr>
            <w:r>
              <w:rPr>
                <w:rFonts w:hint="eastAsia" w:cs="宋体"/>
                <w:szCs w:val="21"/>
                <w:highlight w:val="none"/>
              </w:rPr>
              <w:t>采购文件要求</w:t>
            </w:r>
          </w:p>
        </w:tc>
        <w:tc>
          <w:tcPr>
            <w:tcW w:w="1448" w:type="dxa"/>
            <w:tcBorders>
              <w:top w:val="single" w:color="auto" w:sz="12" w:space="0"/>
              <w:left w:val="outset" w:color="111111" w:sz="6" w:space="0"/>
              <w:bottom w:val="outset" w:color="111111" w:sz="6" w:space="0"/>
              <w:right w:val="outset" w:color="111111" w:sz="6" w:space="0"/>
            </w:tcBorders>
            <w:vAlign w:val="center"/>
          </w:tcPr>
          <w:p w14:paraId="4AEE3150">
            <w:pPr>
              <w:spacing w:line="300" w:lineRule="exact"/>
              <w:jc w:val="center"/>
              <w:rPr>
                <w:rFonts w:cs="宋体"/>
                <w:szCs w:val="21"/>
                <w:highlight w:val="none"/>
              </w:rPr>
            </w:pPr>
            <w:r>
              <w:rPr>
                <w:rFonts w:hint="eastAsia" w:cs="宋体"/>
                <w:szCs w:val="21"/>
                <w:highlight w:val="none"/>
              </w:rPr>
              <w:t>自查结论</w:t>
            </w:r>
          </w:p>
        </w:tc>
        <w:tc>
          <w:tcPr>
            <w:tcW w:w="2001" w:type="dxa"/>
            <w:tcBorders>
              <w:top w:val="single" w:color="auto" w:sz="12" w:space="0"/>
              <w:left w:val="outset" w:color="111111" w:sz="6" w:space="0"/>
              <w:bottom w:val="outset" w:color="111111" w:sz="6" w:space="0"/>
              <w:right w:val="single" w:color="auto" w:sz="12" w:space="0"/>
            </w:tcBorders>
            <w:vAlign w:val="center"/>
          </w:tcPr>
          <w:p w14:paraId="2EE69DC2">
            <w:pPr>
              <w:spacing w:line="300" w:lineRule="exact"/>
              <w:jc w:val="center"/>
              <w:rPr>
                <w:rFonts w:cs="宋体"/>
                <w:szCs w:val="21"/>
                <w:highlight w:val="none"/>
              </w:rPr>
            </w:pPr>
            <w:r>
              <w:rPr>
                <w:rFonts w:hint="eastAsia" w:cs="宋体"/>
                <w:szCs w:val="21"/>
                <w:highlight w:val="none"/>
              </w:rPr>
              <w:t>证明资料</w:t>
            </w:r>
          </w:p>
        </w:tc>
      </w:tr>
      <w:tr w14:paraId="42FA4D3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56" w:hRule="exact"/>
          <w:jc w:val="center"/>
        </w:trPr>
        <w:tc>
          <w:tcPr>
            <w:tcW w:w="849" w:type="dxa"/>
            <w:vMerge w:val="restart"/>
            <w:tcBorders>
              <w:top w:val="outset" w:color="111111" w:sz="6" w:space="0"/>
              <w:left w:val="single" w:color="auto" w:sz="12" w:space="0"/>
              <w:right w:val="outset" w:color="111111" w:sz="6" w:space="0"/>
            </w:tcBorders>
            <w:vAlign w:val="center"/>
          </w:tcPr>
          <w:p w14:paraId="69B7DD35">
            <w:pPr>
              <w:spacing w:line="300" w:lineRule="exact"/>
              <w:jc w:val="center"/>
              <w:rPr>
                <w:rFonts w:cs="宋体"/>
                <w:szCs w:val="21"/>
                <w:highlight w:val="none"/>
              </w:rPr>
            </w:pPr>
            <w:r>
              <w:rPr>
                <w:rFonts w:hint="eastAsia" w:cs="宋体"/>
                <w:szCs w:val="21"/>
                <w:highlight w:val="none"/>
              </w:rPr>
              <w:t>符</w:t>
            </w:r>
          </w:p>
          <w:p w14:paraId="4DAE367C">
            <w:pPr>
              <w:spacing w:line="300" w:lineRule="exact"/>
              <w:jc w:val="center"/>
              <w:rPr>
                <w:rFonts w:cs="宋体"/>
                <w:szCs w:val="21"/>
                <w:highlight w:val="none"/>
              </w:rPr>
            </w:pPr>
            <w:r>
              <w:rPr>
                <w:rFonts w:hint="eastAsia" w:cs="宋体"/>
                <w:szCs w:val="21"/>
                <w:highlight w:val="none"/>
              </w:rPr>
              <w:t>合</w:t>
            </w:r>
          </w:p>
          <w:p w14:paraId="2F6D1308">
            <w:pPr>
              <w:spacing w:line="300" w:lineRule="exact"/>
              <w:jc w:val="center"/>
              <w:rPr>
                <w:rFonts w:cs="宋体"/>
                <w:szCs w:val="21"/>
                <w:highlight w:val="none"/>
              </w:rPr>
            </w:pPr>
            <w:r>
              <w:rPr>
                <w:rFonts w:hint="eastAsia" w:cs="宋体"/>
                <w:szCs w:val="21"/>
                <w:highlight w:val="none"/>
              </w:rPr>
              <w:t>性</w:t>
            </w:r>
          </w:p>
          <w:p w14:paraId="067FE789">
            <w:pPr>
              <w:spacing w:line="300" w:lineRule="exact"/>
              <w:jc w:val="center"/>
              <w:rPr>
                <w:rFonts w:cs="宋体"/>
                <w:szCs w:val="21"/>
                <w:highlight w:val="none"/>
              </w:rPr>
            </w:pPr>
            <w:r>
              <w:rPr>
                <w:rFonts w:hint="eastAsia" w:cs="宋体"/>
                <w:szCs w:val="21"/>
                <w:highlight w:val="none"/>
              </w:rPr>
              <w:t>审</w:t>
            </w:r>
          </w:p>
          <w:p w14:paraId="73E22D23">
            <w:pPr>
              <w:spacing w:line="300" w:lineRule="exact"/>
              <w:jc w:val="center"/>
              <w:rPr>
                <w:rFonts w:cs="宋体"/>
                <w:szCs w:val="21"/>
                <w:highlight w:val="none"/>
              </w:rPr>
            </w:pPr>
            <w:r>
              <w:rPr>
                <w:rFonts w:hint="eastAsia" w:cs="宋体"/>
                <w:szCs w:val="21"/>
                <w:highlight w:val="none"/>
              </w:rPr>
              <w:t>查</w:t>
            </w:r>
          </w:p>
        </w:tc>
        <w:tc>
          <w:tcPr>
            <w:tcW w:w="4826" w:type="dxa"/>
            <w:tcBorders>
              <w:top w:val="outset" w:color="111111" w:sz="6" w:space="0"/>
              <w:left w:val="outset" w:color="111111" w:sz="6" w:space="0"/>
              <w:right w:val="outset" w:color="111111" w:sz="6" w:space="0"/>
            </w:tcBorders>
            <w:vAlign w:val="center"/>
          </w:tcPr>
          <w:p w14:paraId="46EA84A9">
            <w:pPr>
              <w:spacing w:line="300" w:lineRule="exact"/>
              <w:rPr>
                <w:rFonts w:cs="宋体"/>
                <w:szCs w:val="21"/>
                <w:highlight w:val="none"/>
              </w:rPr>
            </w:pPr>
            <w:r>
              <w:rPr>
                <w:rFonts w:hint="eastAsia" w:cs="宋体"/>
                <w:szCs w:val="21"/>
                <w:highlight w:val="none"/>
              </w:rPr>
              <w:t>1、投标人按招标文件要求签署、签章</w:t>
            </w:r>
          </w:p>
        </w:tc>
        <w:tc>
          <w:tcPr>
            <w:tcW w:w="1448" w:type="dxa"/>
            <w:tcBorders>
              <w:top w:val="outset" w:color="111111" w:sz="6" w:space="0"/>
              <w:left w:val="outset" w:color="111111" w:sz="6" w:space="0"/>
              <w:right w:val="outset" w:color="111111" w:sz="6" w:space="0"/>
            </w:tcBorders>
            <w:vAlign w:val="center"/>
          </w:tcPr>
          <w:p w14:paraId="2DF0256E">
            <w:pPr>
              <w:spacing w:line="300" w:lineRule="exact"/>
              <w:rPr>
                <w:rFonts w:cs="宋体"/>
                <w:szCs w:val="21"/>
                <w:highlight w:val="none"/>
              </w:rPr>
            </w:pPr>
            <w:r>
              <w:rPr>
                <w:rFonts w:hint="eastAsia" w:cs="宋体"/>
                <w:szCs w:val="21"/>
                <w:highlight w:val="none"/>
              </w:rPr>
              <w:t xml:space="preserve">□通过 </w:t>
            </w:r>
          </w:p>
          <w:p w14:paraId="70D8C539">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right w:val="single" w:color="auto" w:sz="12" w:space="0"/>
            </w:tcBorders>
            <w:vAlign w:val="center"/>
          </w:tcPr>
          <w:p w14:paraId="47131ADC">
            <w:pPr>
              <w:spacing w:line="300" w:lineRule="exact"/>
              <w:jc w:val="center"/>
              <w:rPr>
                <w:rFonts w:cs="宋体"/>
                <w:szCs w:val="21"/>
                <w:highlight w:val="none"/>
              </w:rPr>
            </w:pPr>
            <w:r>
              <w:rPr>
                <w:rFonts w:hint="eastAsia" w:cs="宋体"/>
                <w:szCs w:val="21"/>
                <w:highlight w:val="none"/>
              </w:rPr>
              <w:t>/</w:t>
            </w:r>
          </w:p>
        </w:tc>
      </w:tr>
      <w:tr w14:paraId="39D7A9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2" w:hRule="exact"/>
          <w:jc w:val="center"/>
        </w:trPr>
        <w:tc>
          <w:tcPr>
            <w:tcW w:w="849" w:type="dxa"/>
            <w:vMerge w:val="continue"/>
            <w:tcBorders>
              <w:left w:val="single" w:color="auto" w:sz="12" w:space="0"/>
              <w:right w:val="outset" w:color="111111" w:sz="6" w:space="0"/>
            </w:tcBorders>
            <w:vAlign w:val="center"/>
          </w:tcPr>
          <w:p w14:paraId="17709138">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547FD634">
            <w:pPr>
              <w:spacing w:line="300" w:lineRule="exact"/>
              <w:rPr>
                <w:rFonts w:cs="宋体"/>
                <w:szCs w:val="21"/>
                <w:highlight w:val="none"/>
              </w:rPr>
            </w:pPr>
            <w:r>
              <w:rPr>
                <w:rFonts w:hint="eastAsia" w:cs="宋体"/>
                <w:szCs w:val="21"/>
                <w:highlight w:val="none"/>
              </w:rPr>
              <w:t>2、投标有效期满足招标文件要求；</w:t>
            </w:r>
          </w:p>
        </w:tc>
        <w:tc>
          <w:tcPr>
            <w:tcW w:w="1448" w:type="dxa"/>
            <w:tcBorders>
              <w:top w:val="outset" w:color="111111" w:sz="6" w:space="0"/>
              <w:left w:val="outset" w:color="111111" w:sz="6" w:space="0"/>
              <w:bottom w:val="outset" w:color="111111" w:sz="6" w:space="0"/>
              <w:right w:val="outset" w:color="111111" w:sz="6" w:space="0"/>
            </w:tcBorders>
            <w:vAlign w:val="center"/>
          </w:tcPr>
          <w:p w14:paraId="47495FF5">
            <w:pPr>
              <w:spacing w:line="300" w:lineRule="exact"/>
              <w:rPr>
                <w:rFonts w:cs="宋体"/>
                <w:szCs w:val="21"/>
                <w:highlight w:val="none"/>
              </w:rPr>
            </w:pPr>
            <w:r>
              <w:rPr>
                <w:rFonts w:hint="eastAsia" w:cs="宋体"/>
                <w:szCs w:val="21"/>
                <w:highlight w:val="none"/>
              </w:rPr>
              <w:t xml:space="preserve">□通过 </w:t>
            </w:r>
          </w:p>
          <w:p w14:paraId="64F31663">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5CAED2BE">
            <w:pPr>
              <w:spacing w:line="300" w:lineRule="exact"/>
              <w:jc w:val="center"/>
              <w:rPr>
                <w:rFonts w:cs="宋体"/>
                <w:szCs w:val="21"/>
                <w:highlight w:val="none"/>
              </w:rPr>
            </w:pPr>
            <w:r>
              <w:rPr>
                <w:rFonts w:hint="eastAsia" w:cs="宋体"/>
                <w:szCs w:val="21"/>
                <w:highlight w:val="none"/>
              </w:rPr>
              <w:t>第（ ）页</w:t>
            </w:r>
          </w:p>
        </w:tc>
      </w:tr>
      <w:tr w14:paraId="4E17046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left w:val="single" w:color="auto" w:sz="12" w:space="0"/>
              <w:right w:val="outset" w:color="111111" w:sz="6" w:space="0"/>
            </w:tcBorders>
            <w:vAlign w:val="center"/>
          </w:tcPr>
          <w:p w14:paraId="219805B7">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60200496">
            <w:pPr>
              <w:spacing w:line="300" w:lineRule="exact"/>
              <w:rPr>
                <w:rFonts w:cs="宋体"/>
                <w:szCs w:val="21"/>
                <w:highlight w:val="none"/>
              </w:rPr>
            </w:pPr>
            <w:r>
              <w:rPr>
                <w:rFonts w:hint="eastAsia" w:cs="宋体"/>
                <w:szCs w:val="21"/>
                <w:highlight w:val="none"/>
              </w:rPr>
              <w:t>3、投标文件完全满足招标文件的实质性条款（即标注</w:t>
            </w:r>
            <w:r>
              <w:rPr>
                <w:rFonts w:hint="eastAsia"/>
                <w:szCs w:val="21"/>
                <w:highlight w:val="none"/>
              </w:rPr>
              <w:t>★</w:t>
            </w:r>
            <w:r>
              <w:rPr>
                <w:rFonts w:hint="eastAsia" w:cs="宋体"/>
                <w:szCs w:val="21"/>
                <w:highlight w:val="none"/>
              </w:rPr>
              <w:t>号条款）无负偏离的。</w:t>
            </w:r>
          </w:p>
        </w:tc>
        <w:tc>
          <w:tcPr>
            <w:tcW w:w="1448" w:type="dxa"/>
            <w:tcBorders>
              <w:top w:val="outset" w:color="111111" w:sz="6" w:space="0"/>
              <w:left w:val="outset" w:color="111111" w:sz="6" w:space="0"/>
              <w:bottom w:val="outset" w:color="111111" w:sz="6" w:space="0"/>
              <w:right w:val="outset" w:color="111111" w:sz="6" w:space="0"/>
            </w:tcBorders>
            <w:vAlign w:val="center"/>
          </w:tcPr>
          <w:p w14:paraId="475CD6CB">
            <w:pPr>
              <w:spacing w:line="300" w:lineRule="exact"/>
              <w:rPr>
                <w:rFonts w:cs="宋体"/>
                <w:szCs w:val="21"/>
                <w:highlight w:val="none"/>
              </w:rPr>
            </w:pPr>
            <w:r>
              <w:rPr>
                <w:rFonts w:hint="eastAsia" w:cs="宋体"/>
                <w:szCs w:val="21"/>
                <w:highlight w:val="none"/>
              </w:rPr>
              <w:t xml:space="preserve">□通过 </w:t>
            </w:r>
          </w:p>
          <w:p w14:paraId="4FA8FD97">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21156D83">
            <w:pPr>
              <w:spacing w:line="300" w:lineRule="exact"/>
              <w:jc w:val="center"/>
              <w:rPr>
                <w:rFonts w:cs="宋体"/>
                <w:szCs w:val="21"/>
                <w:highlight w:val="none"/>
              </w:rPr>
            </w:pPr>
            <w:r>
              <w:rPr>
                <w:rFonts w:hint="eastAsia" w:cs="宋体"/>
                <w:szCs w:val="21"/>
                <w:highlight w:val="none"/>
              </w:rPr>
              <w:t>第（ ）页</w:t>
            </w:r>
          </w:p>
        </w:tc>
      </w:tr>
      <w:tr w14:paraId="6E7AC5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6" w:hRule="exact"/>
          <w:jc w:val="center"/>
        </w:trPr>
        <w:tc>
          <w:tcPr>
            <w:tcW w:w="849" w:type="dxa"/>
            <w:vMerge w:val="continue"/>
            <w:tcBorders>
              <w:left w:val="single" w:color="auto" w:sz="12" w:space="0"/>
              <w:right w:val="outset" w:color="111111" w:sz="6" w:space="0"/>
            </w:tcBorders>
            <w:vAlign w:val="center"/>
          </w:tcPr>
          <w:p w14:paraId="64106D4E">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653E48A3">
            <w:pPr>
              <w:spacing w:line="300" w:lineRule="exact"/>
              <w:rPr>
                <w:rFonts w:cs="宋体"/>
                <w:szCs w:val="21"/>
                <w:highlight w:val="none"/>
              </w:rPr>
            </w:pPr>
            <w:r>
              <w:rPr>
                <w:rFonts w:hint="eastAsia" w:cs="宋体"/>
                <w:szCs w:val="21"/>
                <w:highlight w:val="none"/>
              </w:rPr>
              <w:t>4、投标文件没有采购人不能接受的附加的条件；</w:t>
            </w:r>
          </w:p>
        </w:tc>
        <w:tc>
          <w:tcPr>
            <w:tcW w:w="1448" w:type="dxa"/>
            <w:tcBorders>
              <w:top w:val="outset" w:color="111111" w:sz="6" w:space="0"/>
              <w:left w:val="outset" w:color="111111" w:sz="6" w:space="0"/>
              <w:bottom w:val="outset" w:color="111111" w:sz="6" w:space="0"/>
              <w:right w:val="outset" w:color="111111" w:sz="6" w:space="0"/>
            </w:tcBorders>
            <w:vAlign w:val="center"/>
          </w:tcPr>
          <w:p w14:paraId="2175865C">
            <w:pPr>
              <w:spacing w:line="300" w:lineRule="exact"/>
              <w:rPr>
                <w:rFonts w:cs="宋体"/>
                <w:szCs w:val="21"/>
                <w:highlight w:val="none"/>
              </w:rPr>
            </w:pPr>
            <w:r>
              <w:rPr>
                <w:rFonts w:hint="eastAsia" w:cs="宋体"/>
                <w:szCs w:val="21"/>
                <w:highlight w:val="none"/>
              </w:rPr>
              <w:t xml:space="preserve">□通过 </w:t>
            </w:r>
          </w:p>
          <w:p w14:paraId="34B0358A">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6702B8DC">
            <w:pPr>
              <w:spacing w:line="300" w:lineRule="exact"/>
              <w:jc w:val="center"/>
              <w:rPr>
                <w:rFonts w:cs="宋体"/>
                <w:szCs w:val="21"/>
                <w:highlight w:val="none"/>
              </w:rPr>
            </w:pPr>
            <w:r>
              <w:rPr>
                <w:rFonts w:hint="eastAsia" w:cs="宋体"/>
                <w:szCs w:val="21"/>
                <w:highlight w:val="none"/>
              </w:rPr>
              <w:t>/</w:t>
            </w:r>
          </w:p>
        </w:tc>
      </w:tr>
      <w:tr w14:paraId="0D13454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0" w:hRule="exact"/>
          <w:jc w:val="center"/>
        </w:trPr>
        <w:tc>
          <w:tcPr>
            <w:tcW w:w="849" w:type="dxa"/>
            <w:vMerge w:val="continue"/>
            <w:tcBorders>
              <w:left w:val="single" w:color="auto" w:sz="12" w:space="0"/>
              <w:right w:val="outset" w:color="111111" w:sz="6" w:space="0"/>
            </w:tcBorders>
            <w:vAlign w:val="center"/>
          </w:tcPr>
          <w:p w14:paraId="77083EE2">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12615506">
            <w:pPr>
              <w:spacing w:line="300" w:lineRule="exact"/>
              <w:rPr>
                <w:rFonts w:cs="宋体"/>
                <w:szCs w:val="21"/>
                <w:highlight w:val="none"/>
              </w:rPr>
            </w:pPr>
            <w:r>
              <w:rPr>
                <w:rFonts w:hint="eastAsia" w:cs="宋体"/>
                <w:szCs w:val="21"/>
                <w:highlight w:val="none"/>
              </w:rPr>
              <w:t>5、委托人提供法定代表人授权委托书，填写项目齐全；</w:t>
            </w:r>
          </w:p>
        </w:tc>
        <w:tc>
          <w:tcPr>
            <w:tcW w:w="1448" w:type="dxa"/>
            <w:tcBorders>
              <w:top w:val="outset" w:color="111111" w:sz="6" w:space="0"/>
              <w:left w:val="outset" w:color="111111" w:sz="6" w:space="0"/>
              <w:bottom w:val="outset" w:color="111111" w:sz="6" w:space="0"/>
              <w:right w:val="outset" w:color="111111" w:sz="6" w:space="0"/>
            </w:tcBorders>
            <w:vAlign w:val="center"/>
          </w:tcPr>
          <w:p w14:paraId="3B077077">
            <w:pPr>
              <w:spacing w:line="300" w:lineRule="exact"/>
              <w:rPr>
                <w:rFonts w:cs="宋体"/>
                <w:szCs w:val="21"/>
                <w:highlight w:val="none"/>
              </w:rPr>
            </w:pPr>
            <w:r>
              <w:rPr>
                <w:rFonts w:hint="eastAsia" w:cs="宋体"/>
                <w:szCs w:val="21"/>
                <w:highlight w:val="none"/>
              </w:rPr>
              <w:t xml:space="preserve">□通过 </w:t>
            </w:r>
          </w:p>
          <w:p w14:paraId="2772624B">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6A31A1A6">
            <w:pPr>
              <w:spacing w:line="300" w:lineRule="exact"/>
              <w:jc w:val="center"/>
              <w:rPr>
                <w:rFonts w:cs="宋体"/>
                <w:szCs w:val="21"/>
                <w:highlight w:val="none"/>
              </w:rPr>
            </w:pPr>
            <w:r>
              <w:rPr>
                <w:rFonts w:hint="eastAsia" w:cs="宋体"/>
                <w:szCs w:val="21"/>
                <w:highlight w:val="none"/>
              </w:rPr>
              <w:t>第（ ）页</w:t>
            </w:r>
          </w:p>
        </w:tc>
      </w:tr>
      <w:tr w14:paraId="100C58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left w:val="single" w:color="auto" w:sz="12" w:space="0"/>
              <w:right w:val="outset" w:color="111111" w:sz="6" w:space="0"/>
            </w:tcBorders>
            <w:vAlign w:val="center"/>
          </w:tcPr>
          <w:p w14:paraId="37569FAC">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11385743">
            <w:pPr>
              <w:spacing w:line="300" w:lineRule="exact"/>
              <w:rPr>
                <w:rFonts w:cs="宋体"/>
                <w:szCs w:val="21"/>
                <w:highlight w:val="none"/>
              </w:rPr>
            </w:pPr>
            <w:r>
              <w:rPr>
                <w:rFonts w:hint="eastAsia" w:cs="宋体"/>
                <w:szCs w:val="21"/>
                <w:highlight w:val="none"/>
              </w:rPr>
              <w:t>6、投标文件提供资料齐全并且不存在内容虚假；</w:t>
            </w:r>
          </w:p>
        </w:tc>
        <w:tc>
          <w:tcPr>
            <w:tcW w:w="1448" w:type="dxa"/>
            <w:tcBorders>
              <w:top w:val="outset" w:color="111111" w:sz="6" w:space="0"/>
              <w:left w:val="outset" w:color="111111" w:sz="6" w:space="0"/>
              <w:bottom w:val="outset" w:color="111111" w:sz="6" w:space="0"/>
              <w:right w:val="outset" w:color="111111" w:sz="6" w:space="0"/>
            </w:tcBorders>
            <w:vAlign w:val="center"/>
          </w:tcPr>
          <w:p w14:paraId="39786DA5">
            <w:pPr>
              <w:spacing w:line="300" w:lineRule="exact"/>
              <w:rPr>
                <w:rFonts w:cs="宋体"/>
                <w:szCs w:val="21"/>
                <w:highlight w:val="none"/>
              </w:rPr>
            </w:pPr>
            <w:r>
              <w:rPr>
                <w:rFonts w:hint="eastAsia" w:cs="宋体"/>
                <w:szCs w:val="21"/>
                <w:highlight w:val="none"/>
              </w:rPr>
              <w:t xml:space="preserve">□通过 </w:t>
            </w:r>
          </w:p>
          <w:p w14:paraId="5C1337A5">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684A9393">
            <w:pPr>
              <w:spacing w:line="300" w:lineRule="exact"/>
              <w:jc w:val="center"/>
              <w:rPr>
                <w:rFonts w:cs="宋体"/>
                <w:szCs w:val="21"/>
                <w:highlight w:val="none"/>
              </w:rPr>
            </w:pPr>
            <w:r>
              <w:rPr>
                <w:rFonts w:hint="eastAsia" w:cs="宋体"/>
                <w:szCs w:val="21"/>
                <w:highlight w:val="none"/>
              </w:rPr>
              <w:t>/</w:t>
            </w:r>
          </w:p>
        </w:tc>
      </w:tr>
      <w:tr w14:paraId="1BC0A3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77" w:hRule="exact"/>
          <w:jc w:val="center"/>
        </w:trPr>
        <w:tc>
          <w:tcPr>
            <w:tcW w:w="849" w:type="dxa"/>
            <w:vMerge w:val="continue"/>
            <w:tcBorders>
              <w:left w:val="single" w:color="auto" w:sz="12" w:space="0"/>
              <w:right w:val="outset" w:color="111111" w:sz="6" w:space="0"/>
            </w:tcBorders>
            <w:vAlign w:val="center"/>
          </w:tcPr>
          <w:p w14:paraId="449AC8E8">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011A527D">
            <w:pPr>
              <w:spacing w:line="300" w:lineRule="exact"/>
              <w:rPr>
                <w:rFonts w:cs="宋体"/>
                <w:szCs w:val="21"/>
                <w:highlight w:val="none"/>
              </w:rPr>
            </w:pPr>
            <w:r>
              <w:rPr>
                <w:rFonts w:hint="eastAsia" w:cs="宋体"/>
                <w:szCs w:val="21"/>
                <w:highlight w:val="none"/>
              </w:rPr>
              <w:t>7、投标文件的实质性内容使用中文表述、表述明确、前后不存在矛盾且使用计量单位均符合招标文件要求；</w:t>
            </w:r>
          </w:p>
        </w:tc>
        <w:tc>
          <w:tcPr>
            <w:tcW w:w="1448" w:type="dxa"/>
            <w:tcBorders>
              <w:top w:val="outset" w:color="111111" w:sz="6" w:space="0"/>
              <w:left w:val="outset" w:color="111111" w:sz="6" w:space="0"/>
              <w:bottom w:val="outset" w:color="111111" w:sz="6" w:space="0"/>
              <w:right w:val="outset" w:color="111111" w:sz="6" w:space="0"/>
            </w:tcBorders>
            <w:vAlign w:val="center"/>
          </w:tcPr>
          <w:p w14:paraId="69DB2F98">
            <w:pPr>
              <w:spacing w:line="300" w:lineRule="exact"/>
              <w:rPr>
                <w:rFonts w:cs="宋体"/>
                <w:szCs w:val="21"/>
                <w:highlight w:val="none"/>
              </w:rPr>
            </w:pPr>
            <w:r>
              <w:rPr>
                <w:rFonts w:hint="eastAsia" w:cs="宋体"/>
                <w:szCs w:val="21"/>
                <w:highlight w:val="none"/>
              </w:rPr>
              <w:t xml:space="preserve">□通过 </w:t>
            </w:r>
          </w:p>
          <w:p w14:paraId="18BDBE2D">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42358F20">
            <w:pPr>
              <w:spacing w:line="300" w:lineRule="exact"/>
              <w:jc w:val="center"/>
              <w:rPr>
                <w:rFonts w:cs="宋体"/>
                <w:szCs w:val="21"/>
                <w:highlight w:val="none"/>
              </w:rPr>
            </w:pPr>
            <w:r>
              <w:rPr>
                <w:rFonts w:hint="eastAsia" w:cs="宋体"/>
                <w:szCs w:val="21"/>
                <w:highlight w:val="none"/>
              </w:rPr>
              <w:t>/</w:t>
            </w:r>
          </w:p>
        </w:tc>
      </w:tr>
      <w:tr w14:paraId="2CD831C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21" w:hRule="exact"/>
          <w:jc w:val="center"/>
        </w:trPr>
        <w:tc>
          <w:tcPr>
            <w:tcW w:w="849" w:type="dxa"/>
            <w:vMerge w:val="continue"/>
            <w:tcBorders>
              <w:left w:val="single" w:color="auto" w:sz="12" w:space="0"/>
              <w:right w:val="outset" w:color="111111" w:sz="6" w:space="0"/>
            </w:tcBorders>
            <w:vAlign w:val="center"/>
          </w:tcPr>
          <w:p w14:paraId="483E0C8A">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0F73D9C9">
            <w:pPr>
              <w:spacing w:line="300" w:lineRule="exact"/>
              <w:rPr>
                <w:rFonts w:cs="宋体"/>
                <w:szCs w:val="21"/>
                <w:highlight w:val="none"/>
              </w:rPr>
            </w:pPr>
            <w:r>
              <w:rPr>
                <w:rFonts w:hint="eastAsia" w:cs="宋体"/>
                <w:szCs w:val="21"/>
                <w:highlight w:val="none"/>
              </w:rPr>
              <w:t>8、投标文件的关键内容字迹清晰、能够辨认，且投标文件中经修正的内容（如有）字迹清晰可以辩认并且修改处均按规定签署、盖章；</w:t>
            </w:r>
          </w:p>
        </w:tc>
        <w:tc>
          <w:tcPr>
            <w:tcW w:w="1448" w:type="dxa"/>
            <w:tcBorders>
              <w:top w:val="outset" w:color="111111" w:sz="6" w:space="0"/>
              <w:left w:val="outset" w:color="111111" w:sz="6" w:space="0"/>
              <w:bottom w:val="outset" w:color="111111" w:sz="6" w:space="0"/>
              <w:right w:val="outset" w:color="111111" w:sz="6" w:space="0"/>
            </w:tcBorders>
            <w:vAlign w:val="center"/>
          </w:tcPr>
          <w:p w14:paraId="6A76AAB7">
            <w:pPr>
              <w:spacing w:line="300" w:lineRule="exact"/>
              <w:rPr>
                <w:rFonts w:cs="宋体"/>
                <w:szCs w:val="21"/>
                <w:highlight w:val="none"/>
              </w:rPr>
            </w:pPr>
            <w:r>
              <w:rPr>
                <w:rFonts w:hint="eastAsia" w:cs="宋体"/>
                <w:szCs w:val="21"/>
                <w:highlight w:val="none"/>
              </w:rPr>
              <w:t xml:space="preserve">□通过 </w:t>
            </w:r>
          </w:p>
          <w:p w14:paraId="65801F3F">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7F3B9BE2">
            <w:pPr>
              <w:spacing w:line="300" w:lineRule="exact"/>
              <w:jc w:val="center"/>
              <w:rPr>
                <w:rFonts w:cs="宋体"/>
                <w:szCs w:val="21"/>
                <w:highlight w:val="none"/>
              </w:rPr>
            </w:pPr>
            <w:r>
              <w:rPr>
                <w:rFonts w:hint="eastAsia" w:cs="宋体"/>
                <w:szCs w:val="21"/>
                <w:highlight w:val="none"/>
              </w:rPr>
              <w:t>/</w:t>
            </w:r>
          </w:p>
        </w:tc>
      </w:tr>
      <w:tr w14:paraId="0B20C1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left w:val="single" w:color="auto" w:sz="12" w:space="0"/>
              <w:right w:val="outset" w:color="111111" w:sz="6" w:space="0"/>
            </w:tcBorders>
            <w:vAlign w:val="center"/>
          </w:tcPr>
          <w:p w14:paraId="7CFB5352">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50B8666D">
            <w:pPr>
              <w:spacing w:line="300" w:lineRule="exact"/>
              <w:rPr>
                <w:rFonts w:cs="宋体"/>
                <w:szCs w:val="21"/>
                <w:highlight w:val="none"/>
              </w:rPr>
            </w:pPr>
            <w:r>
              <w:rPr>
                <w:rFonts w:hint="eastAsia" w:cs="宋体"/>
                <w:szCs w:val="21"/>
                <w:highlight w:val="none"/>
              </w:rPr>
              <w:t>9、不含法律、法规和招标文件规定的其他无效情形。</w:t>
            </w:r>
          </w:p>
        </w:tc>
        <w:tc>
          <w:tcPr>
            <w:tcW w:w="1448" w:type="dxa"/>
            <w:tcBorders>
              <w:top w:val="outset" w:color="111111" w:sz="6" w:space="0"/>
              <w:left w:val="outset" w:color="111111" w:sz="6" w:space="0"/>
              <w:bottom w:val="outset" w:color="111111" w:sz="6" w:space="0"/>
              <w:right w:val="outset" w:color="111111" w:sz="6" w:space="0"/>
            </w:tcBorders>
            <w:vAlign w:val="center"/>
          </w:tcPr>
          <w:p w14:paraId="4D3E4454">
            <w:pPr>
              <w:spacing w:line="300" w:lineRule="exact"/>
              <w:rPr>
                <w:rFonts w:cs="宋体"/>
                <w:szCs w:val="21"/>
                <w:highlight w:val="none"/>
              </w:rPr>
            </w:pPr>
            <w:r>
              <w:rPr>
                <w:rFonts w:hint="eastAsia" w:cs="宋体"/>
                <w:szCs w:val="21"/>
                <w:highlight w:val="none"/>
              </w:rPr>
              <w:t xml:space="preserve">□通过 </w:t>
            </w:r>
          </w:p>
          <w:p w14:paraId="68D03776">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16EC87C1">
            <w:pPr>
              <w:spacing w:line="300" w:lineRule="exact"/>
              <w:jc w:val="center"/>
              <w:rPr>
                <w:rFonts w:cs="宋体"/>
                <w:szCs w:val="21"/>
                <w:highlight w:val="none"/>
              </w:rPr>
            </w:pPr>
            <w:r>
              <w:rPr>
                <w:rFonts w:hint="eastAsia" w:cs="宋体"/>
                <w:szCs w:val="21"/>
                <w:highlight w:val="none"/>
              </w:rPr>
              <w:t>/</w:t>
            </w:r>
          </w:p>
        </w:tc>
      </w:tr>
      <w:tr w14:paraId="233B4C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left w:val="single" w:color="auto" w:sz="12" w:space="0"/>
              <w:right w:val="outset" w:color="111111" w:sz="6" w:space="0"/>
            </w:tcBorders>
            <w:vAlign w:val="center"/>
          </w:tcPr>
          <w:p w14:paraId="02A9ED16">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4BF92116">
            <w:pPr>
              <w:spacing w:line="300" w:lineRule="exact"/>
              <w:rPr>
                <w:rFonts w:cs="宋体"/>
                <w:szCs w:val="21"/>
                <w:highlight w:val="none"/>
              </w:rPr>
            </w:pPr>
            <w:r>
              <w:rPr>
                <w:rFonts w:hint="eastAsia" w:cs="宋体"/>
                <w:szCs w:val="21"/>
                <w:highlight w:val="none"/>
              </w:rPr>
              <w:t>10、报价未超过采购文件中规定的预算金额或者最高限价的</w:t>
            </w:r>
          </w:p>
        </w:tc>
        <w:tc>
          <w:tcPr>
            <w:tcW w:w="1448" w:type="dxa"/>
            <w:tcBorders>
              <w:top w:val="outset" w:color="111111" w:sz="6" w:space="0"/>
              <w:left w:val="outset" w:color="111111" w:sz="6" w:space="0"/>
              <w:bottom w:val="outset" w:color="111111" w:sz="6" w:space="0"/>
              <w:right w:val="outset" w:color="111111" w:sz="6" w:space="0"/>
            </w:tcBorders>
            <w:vAlign w:val="center"/>
          </w:tcPr>
          <w:p w14:paraId="2F771666">
            <w:pPr>
              <w:spacing w:line="300" w:lineRule="exact"/>
              <w:rPr>
                <w:rFonts w:cs="宋体"/>
                <w:szCs w:val="21"/>
                <w:highlight w:val="none"/>
              </w:rPr>
            </w:pPr>
            <w:r>
              <w:rPr>
                <w:rFonts w:hint="eastAsia" w:cs="宋体"/>
                <w:szCs w:val="21"/>
                <w:highlight w:val="none"/>
              </w:rPr>
              <w:t xml:space="preserve">□通过 </w:t>
            </w:r>
          </w:p>
          <w:p w14:paraId="06A30387">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36CAF58F">
            <w:pPr>
              <w:spacing w:line="300" w:lineRule="exact"/>
              <w:jc w:val="center"/>
              <w:rPr>
                <w:rFonts w:cs="宋体"/>
                <w:szCs w:val="21"/>
                <w:highlight w:val="none"/>
              </w:rPr>
            </w:pPr>
            <w:r>
              <w:rPr>
                <w:rFonts w:hint="eastAsia" w:cs="宋体"/>
                <w:szCs w:val="21"/>
                <w:highlight w:val="none"/>
              </w:rPr>
              <w:t>/</w:t>
            </w:r>
          </w:p>
        </w:tc>
      </w:tr>
      <w:tr w14:paraId="1AC3ABA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16" w:hRule="exact"/>
          <w:jc w:val="center"/>
        </w:trPr>
        <w:tc>
          <w:tcPr>
            <w:tcW w:w="849" w:type="dxa"/>
            <w:vMerge w:val="continue"/>
            <w:tcBorders>
              <w:left w:val="single" w:color="auto" w:sz="12" w:space="0"/>
              <w:right w:val="outset" w:color="111111" w:sz="6" w:space="0"/>
            </w:tcBorders>
            <w:vAlign w:val="center"/>
          </w:tcPr>
          <w:p w14:paraId="34F3F897">
            <w:pPr>
              <w:spacing w:line="300" w:lineRule="exact"/>
              <w:rPr>
                <w:rFonts w:cs="宋体"/>
                <w:szCs w:val="21"/>
                <w:highlight w:val="none"/>
              </w:rPr>
            </w:pPr>
          </w:p>
        </w:tc>
        <w:tc>
          <w:tcPr>
            <w:tcW w:w="4826" w:type="dxa"/>
            <w:tcBorders>
              <w:top w:val="outset" w:color="111111" w:sz="6" w:space="0"/>
              <w:left w:val="outset" w:color="111111" w:sz="6" w:space="0"/>
              <w:bottom w:val="outset" w:color="111111" w:sz="6" w:space="0"/>
              <w:right w:val="outset" w:color="111111" w:sz="6" w:space="0"/>
            </w:tcBorders>
            <w:vAlign w:val="center"/>
          </w:tcPr>
          <w:p w14:paraId="0E948403">
            <w:pPr>
              <w:spacing w:line="300" w:lineRule="exact"/>
              <w:rPr>
                <w:rFonts w:cs="宋体"/>
                <w:szCs w:val="21"/>
                <w:highlight w:val="none"/>
              </w:rPr>
            </w:pPr>
            <w:r>
              <w:rPr>
                <w:rFonts w:hint="eastAsia" w:cs="宋体"/>
                <w:szCs w:val="21"/>
                <w:highlight w:val="none"/>
              </w:rPr>
              <w:t>11、采用招标文件要求的报价形式报价的</w:t>
            </w:r>
          </w:p>
        </w:tc>
        <w:tc>
          <w:tcPr>
            <w:tcW w:w="1448" w:type="dxa"/>
            <w:tcBorders>
              <w:top w:val="outset" w:color="111111" w:sz="6" w:space="0"/>
              <w:left w:val="outset" w:color="111111" w:sz="6" w:space="0"/>
              <w:bottom w:val="outset" w:color="111111" w:sz="6" w:space="0"/>
              <w:right w:val="outset" w:color="111111" w:sz="6" w:space="0"/>
            </w:tcBorders>
            <w:vAlign w:val="center"/>
          </w:tcPr>
          <w:p w14:paraId="729921AE">
            <w:pPr>
              <w:spacing w:line="300" w:lineRule="exact"/>
              <w:rPr>
                <w:rFonts w:cs="宋体"/>
                <w:szCs w:val="21"/>
                <w:highlight w:val="none"/>
              </w:rPr>
            </w:pPr>
            <w:r>
              <w:rPr>
                <w:rFonts w:hint="eastAsia" w:cs="宋体"/>
                <w:szCs w:val="21"/>
                <w:highlight w:val="none"/>
              </w:rPr>
              <w:t xml:space="preserve">□通过 </w:t>
            </w:r>
          </w:p>
          <w:p w14:paraId="77AE120F">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outset" w:color="111111" w:sz="6" w:space="0"/>
              <w:right w:val="single" w:color="auto" w:sz="12" w:space="0"/>
            </w:tcBorders>
            <w:vAlign w:val="center"/>
          </w:tcPr>
          <w:p w14:paraId="6BF7C168">
            <w:pPr>
              <w:spacing w:line="300" w:lineRule="exact"/>
              <w:jc w:val="center"/>
              <w:rPr>
                <w:rFonts w:cs="宋体"/>
                <w:szCs w:val="21"/>
                <w:highlight w:val="none"/>
              </w:rPr>
            </w:pPr>
            <w:r>
              <w:rPr>
                <w:rFonts w:hint="eastAsia" w:cs="宋体"/>
                <w:szCs w:val="21"/>
                <w:highlight w:val="none"/>
              </w:rPr>
              <w:t>/</w:t>
            </w:r>
          </w:p>
        </w:tc>
      </w:tr>
      <w:tr w14:paraId="41BCF6A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left w:val="single" w:color="auto" w:sz="12" w:space="0"/>
              <w:bottom w:val="single" w:color="auto" w:sz="12" w:space="0"/>
              <w:right w:val="outset" w:color="111111" w:sz="6" w:space="0"/>
            </w:tcBorders>
            <w:vAlign w:val="center"/>
          </w:tcPr>
          <w:p w14:paraId="5F9C8BF7">
            <w:pPr>
              <w:spacing w:line="300" w:lineRule="exact"/>
              <w:rPr>
                <w:rFonts w:cs="宋体"/>
                <w:szCs w:val="21"/>
                <w:highlight w:val="none"/>
              </w:rPr>
            </w:pPr>
          </w:p>
        </w:tc>
        <w:tc>
          <w:tcPr>
            <w:tcW w:w="4826" w:type="dxa"/>
            <w:tcBorders>
              <w:top w:val="outset" w:color="111111" w:sz="6" w:space="0"/>
              <w:left w:val="outset" w:color="111111" w:sz="6" w:space="0"/>
              <w:bottom w:val="single" w:color="auto" w:sz="12" w:space="0"/>
              <w:right w:val="outset" w:color="111111" w:sz="6" w:space="0"/>
            </w:tcBorders>
            <w:vAlign w:val="center"/>
          </w:tcPr>
          <w:p w14:paraId="13B27752">
            <w:pPr>
              <w:spacing w:line="300" w:lineRule="exact"/>
              <w:rPr>
                <w:rFonts w:cs="宋体"/>
                <w:szCs w:val="21"/>
                <w:highlight w:val="none"/>
              </w:rPr>
            </w:pPr>
            <w:r>
              <w:rPr>
                <w:rFonts w:hint="eastAsia" w:cs="宋体"/>
                <w:szCs w:val="21"/>
                <w:highlight w:val="none"/>
              </w:rPr>
              <w:t>12、投标报价不具有选择性的</w:t>
            </w:r>
          </w:p>
        </w:tc>
        <w:tc>
          <w:tcPr>
            <w:tcW w:w="1448" w:type="dxa"/>
            <w:tcBorders>
              <w:top w:val="outset" w:color="111111" w:sz="6" w:space="0"/>
              <w:left w:val="outset" w:color="111111" w:sz="6" w:space="0"/>
              <w:bottom w:val="single" w:color="auto" w:sz="12" w:space="0"/>
              <w:right w:val="outset" w:color="111111" w:sz="6" w:space="0"/>
            </w:tcBorders>
            <w:vAlign w:val="center"/>
          </w:tcPr>
          <w:p w14:paraId="4098508B">
            <w:pPr>
              <w:spacing w:line="300" w:lineRule="exact"/>
              <w:rPr>
                <w:rFonts w:cs="宋体"/>
                <w:szCs w:val="21"/>
                <w:highlight w:val="none"/>
              </w:rPr>
            </w:pPr>
            <w:r>
              <w:rPr>
                <w:rFonts w:hint="eastAsia" w:cs="宋体"/>
                <w:szCs w:val="21"/>
                <w:highlight w:val="none"/>
              </w:rPr>
              <w:t xml:space="preserve">□通过 </w:t>
            </w:r>
          </w:p>
          <w:p w14:paraId="2E56B07A">
            <w:pPr>
              <w:spacing w:line="300" w:lineRule="exact"/>
              <w:rPr>
                <w:rFonts w:cs="宋体"/>
                <w:szCs w:val="21"/>
                <w:highlight w:val="none"/>
              </w:rPr>
            </w:pPr>
            <w:r>
              <w:rPr>
                <w:rFonts w:hint="eastAsia" w:cs="宋体"/>
                <w:szCs w:val="21"/>
                <w:highlight w:val="none"/>
              </w:rPr>
              <w:t>□不通过</w:t>
            </w:r>
          </w:p>
        </w:tc>
        <w:tc>
          <w:tcPr>
            <w:tcW w:w="2001" w:type="dxa"/>
            <w:tcBorders>
              <w:top w:val="outset" w:color="111111" w:sz="6" w:space="0"/>
              <w:left w:val="outset" w:color="111111" w:sz="6" w:space="0"/>
              <w:bottom w:val="single" w:color="auto" w:sz="12" w:space="0"/>
              <w:right w:val="single" w:color="auto" w:sz="12" w:space="0"/>
            </w:tcBorders>
            <w:vAlign w:val="center"/>
          </w:tcPr>
          <w:p w14:paraId="4EBCF2D7">
            <w:pPr>
              <w:spacing w:line="300" w:lineRule="exact"/>
              <w:jc w:val="center"/>
              <w:rPr>
                <w:rFonts w:cs="宋体"/>
                <w:szCs w:val="21"/>
                <w:highlight w:val="none"/>
              </w:rPr>
            </w:pPr>
            <w:r>
              <w:rPr>
                <w:rFonts w:hint="eastAsia" w:cs="宋体"/>
                <w:szCs w:val="21"/>
                <w:highlight w:val="none"/>
              </w:rPr>
              <w:t>/</w:t>
            </w:r>
          </w:p>
        </w:tc>
      </w:tr>
    </w:tbl>
    <w:p w14:paraId="094E2DC6">
      <w:pPr>
        <w:spacing w:line="360" w:lineRule="auto"/>
        <w:contextualSpacing/>
        <w:outlineLvl w:val="1"/>
        <w:rPr>
          <w:rFonts w:cs="宋体"/>
          <w:b/>
          <w:szCs w:val="21"/>
          <w:highlight w:val="none"/>
        </w:rPr>
      </w:pPr>
      <w:r>
        <w:rPr>
          <w:rFonts w:hint="eastAsia" w:cs="宋体"/>
          <w:b/>
          <w:szCs w:val="21"/>
          <w:highlight w:val="none"/>
        </w:rPr>
        <w:t>备注：投标人自查表将作为投标投标人有效性审查的重要内容之一，投标投标人请按照其内容及序列要求在投标文件中对应如实提供。</w:t>
      </w:r>
    </w:p>
    <w:p w14:paraId="173EA9A6">
      <w:pPr>
        <w:rPr>
          <w:highlight w:val="none"/>
        </w:rPr>
      </w:pPr>
    </w:p>
    <w:p w14:paraId="59FEF8EE">
      <w:pPr>
        <w:spacing w:line="500" w:lineRule="exact"/>
        <w:ind w:firstLine="422" w:firstLineChars="200"/>
        <w:rPr>
          <w:rFonts w:hint="eastAsia" w:ascii="宋体" w:hAnsi="宋体" w:cs="宋体"/>
          <w:b/>
          <w:szCs w:val="21"/>
          <w:highlight w:val="none"/>
        </w:rPr>
      </w:pPr>
    </w:p>
    <w:sectPr>
      <w:headerReference r:id="rId12" w:type="default"/>
      <w:pgSz w:w="11906" w:h="16838"/>
      <w:pgMar w:top="1440" w:right="1701" w:bottom="1440" w:left="1559" w:header="426" w:footer="708"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Malgun Gothic"/>
    <w:panose1 w:val="00000000000000000000"/>
    <w:charset w:val="81"/>
    <w:family w:val="decorative"/>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CB808">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05A2">
    <w:pPr>
      <w:pStyle w:val="29"/>
      <w:framePr w:wrap="around" w:vAnchor="text" w:hAnchor="margin" w:xAlign="right" w:y="1"/>
      <w:rPr>
        <w:rStyle w:val="49"/>
      </w:rPr>
    </w:pPr>
    <w:r>
      <w:fldChar w:fldCharType="begin"/>
    </w:r>
    <w:r>
      <w:rPr>
        <w:rStyle w:val="49"/>
      </w:rPr>
      <w:instrText xml:space="preserve">PAGE  </w:instrText>
    </w:r>
    <w:r>
      <w:fldChar w:fldCharType="end"/>
    </w:r>
  </w:p>
  <w:p w14:paraId="646CF031">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28CA">
    <w:pPr>
      <w:pStyle w:val="2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37960287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06341F4">
                          <w:pPr>
                            <w:pStyle w:val="29"/>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3UTQAAAAAgEAAA8AAAAAAAAAAQAgAAAAIgAAAGRycy9kb3ducmV2&#10;LnhtbFBLAQIUABQAAAAIAIdO4kAx2MuiBAIAAAwEAAAOAAAAAAAAAAEAIAAAAB8BAABkcnMvZTJv&#10;RG9jLnhtbFBLBQYAAAAABgAGAFkBAACVBQAAAAA=&#10;">
              <v:fill on="f" focussize="0,0"/>
              <v:stroke on="f"/>
              <v:imagedata o:title=""/>
              <o:lock v:ext="edit" aspectratio="f"/>
              <v:textbox inset="0mm,0mm,0mm,0mm" style="mso-fit-shape-to-text:t;">
                <w:txbxContent>
                  <w:p w14:paraId="506341F4">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7B4F">
    <w:pPr>
      <w:pStyle w:val="29"/>
      <w:spacing w:before="120" w:after="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513080"/>
              <wp:effectExtent l="0" t="0" r="0" b="0"/>
              <wp:wrapNone/>
              <wp:docPr id="1335122044"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513080"/>
                      </a:xfrm>
                      <a:prstGeom prst="rect">
                        <a:avLst/>
                      </a:prstGeom>
                      <a:noFill/>
                      <a:ln>
                        <a:noFill/>
                      </a:ln>
                    </wps:spPr>
                    <wps:txbx>
                      <w:txbxContent>
                        <w:sdt>
                          <w:sdtPr>
                            <w:id w:val="1211011254"/>
                          </w:sdtPr>
                          <w:sdtContent>
                            <w:p w14:paraId="6649B427">
                              <w:pPr>
                                <w:pStyle w:val="29"/>
                                <w:spacing w:before="120" w:after="120"/>
                                <w:jc w:val="center"/>
                              </w:pPr>
                              <w:r>
                                <w:fldChar w:fldCharType="begin"/>
                              </w:r>
                              <w:r>
                                <w:instrText xml:space="preserve"> PAGE   \* MERGEFORMAT </w:instrText>
                              </w:r>
                              <w:r>
                                <w:fldChar w:fldCharType="separate"/>
                              </w:r>
                              <w:r>
                                <w:rPr>
                                  <w:lang w:val="zh-CN"/>
                                </w:rPr>
                                <w:t>58</w:t>
                              </w:r>
                              <w:r>
                                <w:rPr>
                                  <w:lang w:val="zh-CN"/>
                                </w:rPr>
                                <w:fldChar w:fldCharType="end"/>
                              </w:r>
                            </w:p>
                          </w:sdtContent>
                        </w:sdt>
                        <w:p w14:paraId="34912C69">
                          <w:pPr>
                            <w:pStyle w:val="17"/>
                          </w:pP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40.4pt;width:9.05pt;mso-position-horizontal:center;mso-position-horizontal-relative:margin;mso-wrap-style:none;z-index:251660288;mso-width-relative:page;mso-height-relative:page;" filled="f" stroked="f" coordsize="21600,21600" o:gfxdata="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718vQAAAAAwEAAA8AAAAAAAAAAQAgAAAAIgAAAGRycy9kb3ducmV2&#10;LnhtbFBLAQIUABQAAAAIAIdO4kDaUROxBAIAAA0EAAAOAAAAAAAAAAEAIAAAAB8BAABkcnMvZTJv&#10;RG9jLnhtbFBLBQYAAAAABgAGAFkBAACVBQAAAAA=&#10;">
              <v:fill on="f" focussize="0,0"/>
              <v:stroke on="f"/>
              <v:imagedata o:title=""/>
              <o:lock v:ext="edit" aspectratio="f"/>
              <v:textbox inset="0mm,0mm,0mm,0mm" style="mso-fit-shape-to-text:t;">
                <w:txbxContent>
                  <w:sdt>
                    <w:sdtPr>
                      <w:id w:val="1211011254"/>
                    </w:sdtPr>
                    <w:sdtContent>
                      <w:p w14:paraId="6649B427">
                        <w:pPr>
                          <w:pStyle w:val="29"/>
                          <w:spacing w:before="120" w:after="120"/>
                          <w:jc w:val="center"/>
                        </w:pPr>
                        <w:r>
                          <w:fldChar w:fldCharType="begin"/>
                        </w:r>
                        <w:r>
                          <w:instrText xml:space="preserve"> PAGE   \* MERGEFORMAT </w:instrText>
                        </w:r>
                        <w:r>
                          <w:fldChar w:fldCharType="separate"/>
                        </w:r>
                        <w:r>
                          <w:rPr>
                            <w:lang w:val="zh-CN"/>
                          </w:rPr>
                          <w:t>58</w:t>
                        </w:r>
                        <w:r>
                          <w:rPr>
                            <w:lang w:val="zh-CN"/>
                          </w:rPr>
                          <w:fldChar w:fldCharType="end"/>
                        </w:r>
                      </w:p>
                    </w:sdtContent>
                  </w:sdt>
                  <w:p w14:paraId="34912C69">
                    <w:pPr>
                      <w:pStyle w:val="17"/>
                    </w:pPr>
                  </w:p>
                </w:txbxContent>
              </v:textbox>
            </v:shape>
          </w:pict>
        </mc:Fallback>
      </mc:AlternateContent>
    </w:r>
  </w:p>
  <w:p w14:paraId="1BD17A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C4C1">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800522870"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657E43E">
                          <w:pPr>
                            <w:pStyle w:val="29"/>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Nwu01cDAgAADAQAAA4AAAAAAAAAAQAgAAAAHwEAAGRycy9lMm9E&#10;b2MueG1sUEsFBgAAAAAGAAYAWQEAAJQFAAAAAA==&#10;">
              <v:fill on="f" focussize="0,0"/>
              <v:stroke on="f"/>
              <v:imagedata o:title=""/>
              <o:lock v:ext="edit" aspectratio="f"/>
              <v:textbox inset="0mm,0mm,0mm,0mm" style="mso-fit-shape-to-text:t;">
                <w:txbxContent>
                  <w:p w14:paraId="3657E43E">
                    <w:pPr>
                      <w:pStyle w:val="29"/>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p w14:paraId="5143027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850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346A">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03D3">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6F70">
    <w:pPr>
      <w:pStyle w:val="30"/>
      <w:pBdr>
        <w:bottom w:val="single" w:color="auto" w:sz="2" w:space="1"/>
      </w:pBdr>
      <w:tabs>
        <w:tab w:val="right" w:pos="9813"/>
        <w:tab w:val="clear" w:pos="4153"/>
        <w:tab w:val="clear" w:pos="8306"/>
      </w:tabs>
      <w:ind w:left="-966" w:right="-968"/>
      <w:rPr>
        <w:rFonts w:hint="eastAsia" w:ascii="宋体" w:hAnsi="宋体"/>
        <w:w w:val="80"/>
        <w:sz w:val="21"/>
        <w:szCs w:val="21"/>
      </w:rPr>
    </w:pPr>
    <w:r>
      <w:rPr>
        <w:rFonts w:hint="eastAsia" w:ascii="宋体" w:hAnsi="宋体"/>
        <w:w w:val="80"/>
        <w:sz w:val="21"/>
        <w:szCs w:val="21"/>
      </w:rPr>
      <w:t>中冠工程管理咨询有限公司-[国内公开招标文件]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B18FC">
    <w:pPr>
      <w:pStyle w:val="30"/>
      <w:pBdr>
        <w:bottom w:val="single" w:color="auto" w:sz="2" w:space="1"/>
      </w:pBdr>
      <w:tabs>
        <w:tab w:val="right" w:pos="9813"/>
        <w:tab w:val="clear" w:pos="4153"/>
        <w:tab w:val="clear" w:pos="8306"/>
      </w:tabs>
      <w:ind w:left="-966" w:right="-968"/>
      <w:rPr>
        <w:rFonts w:hint="eastAsia" w:ascii="宋体" w:hAnsi="宋体"/>
        <w:w w:val="80"/>
        <w:sz w:val="21"/>
        <w:szCs w:val="21"/>
      </w:rPr>
    </w:pPr>
    <w:r>
      <w:rPr>
        <w:rFonts w:hint="eastAsia" w:ascii="宋体" w:hAnsi="宋体"/>
        <w:w w:val="80"/>
        <w:sz w:val="21"/>
        <w:szCs w:val="21"/>
      </w:rPr>
      <w:t>中冠工程管理咨询有限公司-[国内公开招标文件]</w:t>
    </w:r>
  </w:p>
  <w:p w14:paraId="2BDA747C">
    <w:pPr>
      <w:pStyle w:val="30"/>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E838D"/>
    <w:multiLevelType w:val="singleLevel"/>
    <w:tmpl w:val="BDDE838D"/>
    <w:lvl w:ilvl="0" w:tentative="0">
      <w:start w:val="2"/>
      <w:numFmt w:val="chineseCounting"/>
      <w:suff w:val="nothing"/>
      <w:lvlText w:val="（%1）"/>
      <w:lvlJc w:val="left"/>
      <w:rPr>
        <w:rFonts w:hint="eastAsia"/>
      </w:rPr>
    </w:lvl>
  </w:abstractNum>
  <w:abstractNum w:abstractNumId="1">
    <w:nsid w:val="BF1A5FD7"/>
    <w:multiLevelType w:val="singleLevel"/>
    <w:tmpl w:val="BF1A5FD7"/>
    <w:lvl w:ilvl="0" w:tentative="0">
      <w:start w:val="1"/>
      <w:numFmt w:val="chineseCounting"/>
      <w:suff w:val="nothing"/>
      <w:lvlText w:val="（%1）"/>
      <w:lvlJc w:val="left"/>
      <w:rPr>
        <w:rFonts w:hint="eastAsia"/>
      </w:r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102630FD"/>
    <w:multiLevelType w:val="multilevel"/>
    <w:tmpl w:val="102630FD"/>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trackRevisions w:val="1"/>
  <w:documentProtection w:formatting="1" w:enforcement="0"/>
  <w:defaultTabStop w:val="420"/>
  <w:drawingGridHorizontalSpacing w:val="105"/>
  <w:drawingGridVerticalSpacing w:val="143"/>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MmQ2YmQxNjk3MzEyYjViMWQ0OTFiNDBlNjAxYjgifQ=="/>
  </w:docVars>
  <w:rsids>
    <w:rsidRoot w:val="00172A27"/>
    <w:rsid w:val="0000051F"/>
    <w:rsid w:val="00001271"/>
    <w:rsid w:val="0000184A"/>
    <w:rsid w:val="00004A4D"/>
    <w:rsid w:val="00004DD8"/>
    <w:rsid w:val="000055B2"/>
    <w:rsid w:val="00006110"/>
    <w:rsid w:val="00006631"/>
    <w:rsid w:val="00007C24"/>
    <w:rsid w:val="0001066B"/>
    <w:rsid w:val="00010E0F"/>
    <w:rsid w:val="000131FD"/>
    <w:rsid w:val="000144AB"/>
    <w:rsid w:val="00014BF7"/>
    <w:rsid w:val="000207C1"/>
    <w:rsid w:val="0002452C"/>
    <w:rsid w:val="000245D2"/>
    <w:rsid w:val="00030925"/>
    <w:rsid w:val="00031280"/>
    <w:rsid w:val="00031AE6"/>
    <w:rsid w:val="00033897"/>
    <w:rsid w:val="00034887"/>
    <w:rsid w:val="000366C8"/>
    <w:rsid w:val="00037265"/>
    <w:rsid w:val="00037B94"/>
    <w:rsid w:val="00037BCE"/>
    <w:rsid w:val="000437B1"/>
    <w:rsid w:val="00043EC8"/>
    <w:rsid w:val="0004470E"/>
    <w:rsid w:val="000449C8"/>
    <w:rsid w:val="00045A67"/>
    <w:rsid w:val="00045BDA"/>
    <w:rsid w:val="00046C10"/>
    <w:rsid w:val="00047DEA"/>
    <w:rsid w:val="00052936"/>
    <w:rsid w:val="000541F1"/>
    <w:rsid w:val="0005471F"/>
    <w:rsid w:val="00056A0A"/>
    <w:rsid w:val="000602C6"/>
    <w:rsid w:val="00061417"/>
    <w:rsid w:val="000622C0"/>
    <w:rsid w:val="00063DA3"/>
    <w:rsid w:val="00066BA8"/>
    <w:rsid w:val="0007113F"/>
    <w:rsid w:val="00071A7E"/>
    <w:rsid w:val="0007287E"/>
    <w:rsid w:val="00073396"/>
    <w:rsid w:val="00074C19"/>
    <w:rsid w:val="0008087A"/>
    <w:rsid w:val="00080E34"/>
    <w:rsid w:val="0008244D"/>
    <w:rsid w:val="00083647"/>
    <w:rsid w:val="000849BE"/>
    <w:rsid w:val="00086B68"/>
    <w:rsid w:val="000871C0"/>
    <w:rsid w:val="00090B46"/>
    <w:rsid w:val="00090B8B"/>
    <w:rsid w:val="00090DB7"/>
    <w:rsid w:val="000926B0"/>
    <w:rsid w:val="00093D06"/>
    <w:rsid w:val="00094624"/>
    <w:rsid w:val="0009486D"/>
    <w:rsid w:val="00094FFA"/>
    <w:rsid w:val="000962B7"/>
    <w:rsid w:val="00097160"/>
    <w:rsid w:val="000A2B60"/>
    <w:rsid w:val="000A6387"/>
    <w:rsid w:val="000A7F75"/>
    <w:rsid w:val="000B0CB5"/>
    <w:rsid w:val="000B2999"/>
    <w:rsid w:val="000B2D96"/>
    <w:rsid w:val="000B36B8"/>
    <w:rsid w:val="000B45E0"/>
    <w:rsid w:val="000B51DC"/>
    <w:rsid w:val="000B75AD"/>
    <w:rsid w:val="000C2556"/>
    <w:rsid w:val="000C585A"/>
    <w:rsid w:val="000C5D45"/>
    <w:rsid w:val="000D10B0"/>
    <w:rsid w:val="000D11DC"/>
    <w:rsid w:val="000D123F"/>
    <w:rsid w:val="000D18C3"/>
    <w:rsid w:val="000D2675"/>
    <w:rsid w:val="000D4D75"/>
    <w:rsid w:val="000D5939"/>
    <w:rsid w:val="000D608E"/>
    <w:rsid w:val="000D6C48"/>
    <w:rsid w:val="000D7C64"/>
    <w:rsid w:val="000D7E0B"/>
    <w:rsid w:val="000E0943"/>
    <w:rsid w:val="000E0A0A"/>
    <w:rsid w:val="000E137C"/>
    <w:rsid w:val="000E479A"/>
    <w:rsid w:val="000E54D3"/>
    <w:rsid w:val="000F0578"/>
    <w:rsid w:val="000F17AE"/>
    <w:rsid w:val="000F2B24"/>
    <w:rsid w:val="000F3120"/>
    <w:rsid w:val="000F32D1"/>
    <w:rsid w:val="000F3DF6"/>
    <w:rsid w:val="000F6368"/>
    <w:rsid w:val="000F72F8"/>
    <w:rsid w:val="00100977"/>
    <w:rsid w:val="00100E07"/>
    <w:rsid w:val="001024B6"/>
    <w:rsid w:val="00102CB7"/>
    <w:rsid w:val="0010392C"/>
    <w:rsid w:val="00104057"/>
    <w:rsid w:val="001053E7"/>
    <w:rsid w:val="00105A83"/>
    <w:rsid w:val="00105E6D"/>
    <w:rsid w:val="001141FE"/>
    <w:rsid w:val="00122EB9"/>
    <w:rsid w:val="001235EA"/>
    <w:rsid w:val="001239AC"/>
    <w:rsid w:val="00123B28"/>
    <w:rsid w:val="00124808"/>
    <w:rsid w:val="00125CED"/>
    <w:rsid w:val="001262B8"/>
    <w:rsid w:val="00127B68"/>
    <w:rsid w:val="001304AB"/>
    <w:rsid w:val="001316C4"/>
    <w:rsid w:val="00131C01"/>
    <w:rsid w:val="00136864"/>
    <w:rsid w:val="00137128"/>
    <w:rsid w:val="00140CD0"/>
    <w:rsid w:val="001416DF"/>
    <w:rsid w:val="001423BB"/>
    <w:rsid w:val="00142CCD"/>
    <w:rsid w:val="00142F6E"/>
    <w:rsid w:val="0014440B"/>
    <w:rsid w:val="0014482F"/>
    <w:rsid w:val="00146734"/>
    <w:rsid w:val="001475F2"/>
    <w:rsid w:val="00152D19"/>
    <w:rsid w:val="00154806"/>
    <w:rsid w:val="00157A9D"/>
    <w:rsid w:val="00157D70"/>
    <w:rsid w:val="00160E26"/>
    <w:rsid w:val="00163239"/>
    <w:rsid w:val="00163623"/>
    <w:rsid w:val="0017050C"/>
    <w:rsid w:val="001708D4"/>
    <w:rsid w:val="00170BE2"/>
    <w:rsid w:val="001715DB"/>
    <w:rsid w:val="00172A27"/>
    <w:rsid w:val="00173EFD"/>
    <w:rsid w:val="001779C0"/>
    <w:rsid w:val="00180090"/>
    <w:rsid w:val="0018084D"/>
    <w:rsid w:val="00181093"/>
    <w:rsid w:val="00182415"/>
    <w:rsid w:val="001824BA"/>
    <w:rsid w:val="001837B9"/>
    <w:rsid w:val="00183B4A"/>
    <w:rsid w:val="00183C2F"/>
    <w:rsid w:val="00187456"/>
    <w:rsid w:val="0018762D"/>
    <w:rsid w:val="00187CD4"/>
    <w:rsid w:val="001916D7"/>
    <w:rsid w:val="00192F9B"/>
    <w:rsid w:val="001941C1"/>
    <w:rsid w:val="00197B93"/>
    <w:rsid w:val="001A6971"/>
    <w:rsid w:val="001A7531"/>
    <w:rsid w:val="001B0054"/>
    <w:rsid w:val="001B2289"/>
    <w:rsid w:val="001B2885"/>
    <w:rsid w:val="001B29CD"/>
    <w:rsid w:val="001B33F4"/>
    <w:rsid w:val="001B360C"/>
    <w:rsid w:val="001B5818"/>
    <w:rsid w:val="001B6FEC"/>
    <w:rsid w:val="001C0F86"/>
    <w:rsid w:val="001C1BD5"/>
    <w:rsid w:val="001C4BFA"/>
    <w:rsid w:val="001C506C"/>
    <w:rsid w:val="001C5733"/>
    <w:rsid w:val="001C67F5"/>
    <w:rsid w:val="001C6D07"/>
    <w:rsid w:val="001D1DD5"/>
    <w:rsid w:val="001D23CF"/>
    <w:rsid w:val="001D49CD"/>
    <w:rsid w:val="001D59B9"/>
    <w:rsid w:val="001D7A46"/>
    <w:rsid w:val="001E113B"/>
    <w:rsid w:val="001E48E5"/>
    <w:rsid w:val="001E55EC"/>
    <w:rsid w:val="001E674D"/>
    <w:rsid w:val="001E7783"/>
    <w:rsid w:val="001F24E4"/>
    <w:rsid w:val="001F347C"/>
    <w:rsid w:val="001F3C5D"/>
    <w:rsid w:val="001F454A"/>
    <w:rsid w:val="001F4724"/>
    <w:rsid w:val="001F4B40"/>
    <w:rsid w:val="001F4E2C"/>
    <w:rsid w:val="001F607C"/>
    <w:rsid w:val="001F6917"/>
    <w:rsid w:val="001F6989"/>
    <w:rsid w:val="001F69C8"/>
    <w:rsid w:val="001F78C2"/>
    <w:rsid w:val="002006FC"/>
    <w:rsid w:val="00201706"/>
    <w:rsid w:val="00202DB8"/>
    <w:rsid w:val="00206562"/>
    <w:rsid w:val="00206868"/>
    <w:rsid w:val="002114E4"/>
    <w:rsid w:val="00214D95"/>
    <w:rsid w:val="0021625C"/>
    <w:rsid w:val="0022179C"/>
    <w:rsid w:val="002220A7"/>
    <w:rsid w:val="002222C6"/>
    <w:rsid w:val="00222AE1"/>
    <w:rsid w:val="0022388F"/>
    <w:rsid w:val="0022456D"/>
    <w:rsid w:val="00227C9B"/>
    <w:rsid w:val="00230FBC"/>
    <w:rsid w:val="00232D5C"/>
    <w:rsid w:val="0023720A"/>
    <w:rsid w:val="00240145"/>
    <w:rsid w:val="00240A44"/>
    <w:rsid w:val="00241377"/>
    <w:rsid w:val="002434D7"/>
    <w:rsid w:val="0024403A"/>
    <w:rsid w:val="00245382"/>
    <w:rsid w:val="00246D19"/>
    <w:rsid w:val="00251CE5"/>
    <w:rsid w:val="002557D1"/>
    <w:rsid w:val="00257211"/>
    <w:rsid w:val="002579F1"/>
    <w:rsid w:val="002609E4"/>
    <w:rsid w:val="00260C41"/>
    <w:rsid w:val="002621DA"/>
    <w:rsid w:val="00262C29"/>
    <w:rsid w:val="00262D40"/>
    <w:rsid w:val="00263D3B"/>
    <w:rsid w:val="0026418B"/>
    <w:rsid w:val="00265A13"/>
    <w:rsid w:val="002701AD"/>
    <w:rsid w:val="002725DE"/>
    <w:rsid w:val="00273092"/>
    <w:rsid w:val="0027376D"/>
    <w:rsid w:val="0027401E"/>
    <w:rsid w:val="00274EC2"/>
    <w:rsid w:val="00275929"/>
    <w:rsid w:val="002760BB"/>
    <w:rsid w:val="00276B12"/>
    <w:rsid w:val="002772A8"/>
    <w:rsid w:val="00280D0D"/>
    <w:rsid w:val="00282C85"/>
    <w:rsid w:val="00284E89"/>
    <w:rsid w:val="0028551E"/>
    <w:rsid w:val="00285B5F"/>
    <w:rsid w:val="00286177"/>
    <w:rsid w:val="00287555"/>
    <w:rsid w:val="00291FA9"/>
    <w:rsid w:val="00292B7D"/>
    <w:rsid w:val="00293C21"/>
    <w:rsid w:val="0029472E"/>
    <w:rsid w:val="00294F10"/>
    <w:rsid w:val="00295503"/>
    <w:rsid w:val="002964CD"/>
    <w:rsid w:val="002A01B7"/>
    <w:rsid w:val="002A1ED5"/>
    <w:rsid w:val="002A32F6"/>
    <w:rsid w:val="002A3C2E"/>
    <w:rsid w:val="002A4D22"/>
    <w:rsid w:val="002A6DF2"/>
    <w:rsid w:val="002A7524"/>
    <w:rsid w:val="002B0951"/>
    <w:rsid w:val="002B1466"/>
    <w:rsid w:val="002B1A2A"/>
    <w:rsid w:val="002B2665"/>
    <w:rsid w:val="002B591C"/>
    <w:rsid w:val="002B5C1B"/>
    <w:rsid w:val="002B66B5"/>
    <w:rsid w:val="002C188B"/>
    <w:rsid w:val="002C197A"/>
    <w:rsid w:val="002C1F8C"/>
    <w:rsid w:val="002C5B02"/>
    <w:rsid w:val="002C6A37"/>
    <w:rsid w:val="002D0832"/>
    <w:rsid w:val="002D221A"/>
    <w:rsid w:val="002D3919"/>
    <w:rsid w:val="002D5468"/>
    <w:rsid w:val="002D6715"/>
    <w:rsid w:val="002D6A9A"/>
    <w:rsid w:val="002D6F4B"/>
    <w:rsid w:val="002D7FCE"/>
    <w:rsid w:val="002E1F9E"/>
    <w:rsid w:val="002E4433"/>
    <w:rsid w:val="002E4631"/>
    <w:rsid w:val="002F04C4"/>
    <w:rsid w:val="002F0519"/>
    <w:rsid w:val="002F1CE6"/>
    <w:rsid w:val="002F36E1"/>
    <w:rsid w:val="002F68C2"/>
    <w:rsid w:val="00302A6B"/>
    <w:rsid w:val="00302FBD"/>
    <w:rsid w:val="00305590"/>
    <w:rsid w:val="00306A5A"/>
    <w:rsid w:val="0030736D"/>
    <w:rsid w:val="0031019A"/>
    <w:rsid w:val="00320B9B"/>
    <w:rsid w:val="00322CA9"/>
    <w:rsid w:val="00322F0E"/>
    <w:rsid w:val="0032314D"/>
    <w:rsid w:val="00324988"/>
    <w:rsid w:val="0033036A"/>
    <w:rsid w:val="003315FC"/>
    <w:rsid w:val="00331689"/>
    <w:rsid w:val="00333E55"/>
    <w:rsid w:val="00335C86"/>
    <w:rsid w:val="003369AE"/>
    <w:rsid w:val="003373F5"/>
    <w:rsid w:val="00340658"/>
    <w:rsid w:val="00343F26"/>
    <w:rsid w:val="00353477"/>
    <w:rsid w:val="00354B7E"/>
    <w:rsid w:val="003554F7"/>
    <w:rsid w:val="003603F5"/>
    <w:rsid w:val="00360DD5"/>
    <w:rsid w:val="0036325F"/>
    <w:rsid w:val="0037018C"/>
    <w:rsid w:val="0037061E"/>
    <w:rsid w:val="0037067D"/>
    <w:rsid w:val="00371028"/>
    <w:rsid w:val="00371BB0"/>
    <w:rsid w:val="00372B37"/>
    <w:rsid w:val="00373A04"/>
    <w:rsid w:val="00377C7E"/>
    <w:rsid w:val="00382200"/>
    <w:rsid w:val="0038278E"/>
    <w:rsid w:val="00383E24"/>
    <w:rsid w:val="00383F0E"/>
    <w:rsid w:val="00384964"/>
    <w:rsid w:val="00385494"/>
    <w:rsid w:val="00386F74"/>
    <w:rsid w:val="00387C50"/>
    <w:rsid w:val="00392876"/>
    <w:rsid w:val="003932CF"/>
    <w:rsid w:val="003957CF"/>
    <w:rsid w:val="00396794"/>
    <w:rsid w:val="00397B74"/>
    <w:rsid w:val="00397D21"/>
    <w:rsid w:val="003A5FAB"/>
    <w:rsid w:val="003A73C7"/>
    <w:rsid w:val="003C1713"/>
    <w:rsid w:val="003C3476"/>
    <w:rsid w:val="003C4189"/>
    <w:rsid w:val="003C52C7"/>
    <w:rsid w:val="003C6677"/>
    <w:rsid w:val="003D0669"/>
    <w:rsid w:val="003D0F1B"/>
    <w:rsid w:val="003D1260"/>
    <w:rsid w:val="003D5B39"/>
    <w:rsid w:val="003D6027"/>
    <w:rsid w:val="003E2899"/>
    <w:rsid w:val="003E2FDC"/>
    <w:rsid w:val="003E4EC4"/>
    <w:rsid w:val="003F1A80"/>
    <w:rsid w:val="003F1BC2"/>
    <w:rsid w:val="003F34C5"/>
    <w:rsid w:val="003F4009"/>
    <w:rsid w:val="003F4533"/>
    <w:rsid w:val="003F4804"/>
    <w:rsid w:val="003F4C52"/>
    <w:rsid w:val="003F6629"/>
    <w:rsid w:val="00400725"/>
    <w:rsid w:val="00402F34"/>
    <w:rsid w:val="00403C7E"/>
    <w:rsid w:val="00404B46"/>
    <w:rsid w:val="00405438"/>
    <w:rsid w:val="0040575A"/>
    <w:rsid w:val="00407583"/>
    <w:rsid w:val="00407E41"/>
    <w:rsid w:val="004111FA"/>
    <w:rsid w:val="00414242"/>
    <w:rsid w:val="004160DF"/>
    <w:rsid w:val="00422928"/>
    <w:rsid w:val="00423134"/>
    <w:rsid w:val="00424E36"/>
    <w:rsid w:val="004265E9"/>
    <w:rsid w:val="00426AA4"/>
    <w:rsid w:val="00427184"/>
    <w:rsid w:val="004273C7"/>
    <w:rsid w:val="00433033"/>
    <w:rsid w:val="00433E76"/>
    <w:rsid w:val="00436C4A"/>
    <w:rsid w:val="004424CF"/>
    <w:rsid w:val="00443D73"/>
    <w:rsid w:val="004455AC"/>
    <w:rsid w:val="00446A06"/>
    <w:rsid w:val="00447651"/>
    <w:rsid w:val="00450EAE"/>
    <w:rsid w:val="004510E6"/>
    <w:rsid w:val="0045460F"/>
    <w:rsid w:val="004569D6"/>
    <w:rsid w:val="00456DB9"/>
    <w:rsid w:val="0045766C"/>
    <w:rsid w:val="00461CFC"/>
    <w:rsid w:val="004626B8"/>
    <w:rsid w:val="00462FBA"/>
    <w:rsid w:val="004631FE"/>
    <w:rsid w:val="0046593C"/>
    <w:rsid w:val="0047129D"/>
    <w:rsid w:val="0047213F"/>
    <w:rsid w:val="004722E9"/>
    <w:rsid w:val="0047368F"/>
    <w:rsid w:val="0047487A"/>
    <w:rsid w:val="00476250"/>
    <w:rsid w:val="00476D8B"/>
    <w:rsid w:val="00481B9E"/>
    <w:rsid w:val="00482B27"/>
    <w:rsid w:val="00485071"/>
    <w:rsid w:val="00486757"/>
    <w:rsid w:val="0049068E"/>
    <w:rsid w:val="00492264"/>
    <w:rsid w:val="00493510"/>
    <w:rsid w:val="0049628D"/>
    <w:rsid w:val="00496F48"/>
    <w:rsid w:val="00497048"/>
    <w:rsid w:val="004B0343"/>
    <w:rsid w:val="004B0C08"/>
    <w:rsid w:val="004B144D"/>
    <w:rsid w:val="004B1A1D"/>
    <w:rsid w:val="004B4A60"/>
    <w:rsid w:val="004C47BC"/>
    <w:rsid w:val="004C51A7"/>
    <w:rsid w:val="004C7B8D"/>
    <w:rsid w:val="004C7EE9"/>
    <w:rsid w:val="004D1993"/>
    <w:rsid w:val="004D3AE0"/>
    <w:rsid w:val="004D7C43"/>
    <w:rsid w:val="004E1F22"/>
    <w:rsid w:val="004E3105"/>
    <w:rsid w:val="004E52E7"/>
    <w:rsid w:val="004E5805"/>
    <w:rsid w:val="004E6754"/>
    <w:rsid w:val="004E6E24"/>
    <w:rsid w:val="004F02EE"/>
    <w:rsid w:val="004F0E13"/>
    <w:rsid w:val="004F0F88"/>
    <w:rsid w:val="004F1FB4"/>
    <w:rsid w:val="004F4783"/>
    <w:rsid w:val="004F55C4"/>
    <w:rsid w:val="004F6F74"/>
    <w:rsid w:val="004F7EEA"/>
    <w:rsid w:val="00500F40"/>
    <w:rsid w:val="00500FDB"/>
    <w:rsid w:val="00502AAC"/>
    <w:rsid w:val="00502CFA"/>
    <w:rsid w:val="00506342"/>
    <w:rsid w:val="00507130"/>
    <w:rsid w:val="00507741"/>
    <w:rsid w:val="005111E4"/>
    <w:rsid w:val="005129D5"/>
    <w:rsid w:val="00515A53"/>
    <w:rsid w:val="00525E89"/>
    <w:rsid w:val="005262BA"/>
    <w:rsid w:val="0052796F"/>
    <w:rsid w:val="0053155F"/>
    <w:rsid w:val="0053177A"/>
    <w:rsid w:val="0053712B"/>
    <w:rsid w:val="00540874"/>
    <w:rsid w:val="0054598F"/>
    <w:rsid w:val="005474FF"/>
    <w:rsid w:val="00547895"/>
    <w:rsid w:val="00552D58"/>
    <w:rsid w:val="005550E5"/>
    <w:rsid w:val="00557C86"/>
    <w:rsid w:val="00563B27"/>
    <w:rsid w:val="00563B2F"/>
    <w:rsid w:val="00565C52"/>
    <w:rsid w:val="00571D0D"/>
    <w:rsid w:val="00572D12"/>
    <w:rsid w:val="005760F6"/>
    <w:rsid w:val="00583320"/>
    <w:rsid w:val="005859E9"/>
    <w:rsid w:val="00590BDD"/>
    <w:rsid w:val="00592866"/>
    <w:rsid w:val="00593059"/>
    <w:rsid w:val="00595C55"/>
    <w:rsid w:val="005979EA"/>
    <w:rsid w:val="005A0112"/>
    <w:rsid w:val="005A0D46"/>
    <w:rsid w:val="005A1057"/>
    <w:rsid w:val="005A1856"/>
    <w:rsid w:val="005A2289"/>
    <w:rsid w:val="005A4CF1"/>
    <w:rsid w:val="005A67A6"/>
    <w:rsid w:val="005A6DC0"/>
    <w:rsid w:val="005B0FB1"/>
    <w:rsid w:val="005B22B1"/>
    <w:rsid w:val="005B3F0D"/>
    <w:rsid w:val="005B4AFF"/>
    <w:rsid w:val="005B67DD"/>
    <w:rsid w:val="005B6AF0"/>
    <w:rsid w:val="005B7047"/>
    <w:rsid w:val="005B7920"/>
    <w:rsid w:val="005C2587"/>
    <w:rsid w:val="005C2691"/>
    <w:rsid w:val="005C4E10"/>
    <w:rsid w:val="005C555A"/>
    <w:rsid w:val="005C72A0"/>
    <w:rsid w:val="005D1FF6"/>
    <w:rsid w:val="005D2FEE"/>
    <w:rsid w:val="005D4010"/>
    <w:rsid w:val="005D5A3A"/>
    <w:rsid w:val="005E044D"/>
    <w:rsid w:val="005E0AE7"/>
    <w:rsid w:val="005E0D1F"/>
    <w:rsid w:val="005E0EE4"/>
    <w:rsid w:val="005E1B5E"/>
    <w:rsid w:val="005E230E"/>
    <w:rsid w:val="005E2658"/>
    <w:rsid w:val="005E3031"/>
    <w:rsid w:val="005E34A8"/>
    <w:rsid w:val="005E689F"/>
    <w:rsid w:val="005E714E"/>
    <w:rsid w:val="005F17FE"/>
    <w:rsid w:val="005F3EE9"/>
    <w:rsid w:val="005F53DE"/>
    <w:rsid w:val="005F5D67"/>
    <w:rsid w:val="005F6FFE"/>
    <w:rsid w:val="006026BC"/>
    <w:rsid w:val="00602E4F"/>
    <w:rsid w:val="00604E73"/>
    <w:rsid w:val="006055A2"/>
    <w:rsid w:val="00610094"/>
    <w:rsid w:val="0061014C"/>
    <w:rsid w:val="006113DA"/>
    <w:rsid w:val="00611D7B"/>
    <w:rsid w:val="00612698"/>
    <w:rsid w:val="00612A81"/>
    <w:rsid w:val="00612D0B"/>
    <w:rsid w:val="006135A8"/>
    <w:rsid w:val="006146BE"/>
    <w:rsid w:val="006146DE"/>
    <w:rsid w:val="00616213"/>
    <w:rsid w:val="00616AB0"/>
    <w:rsid w:val="00616DC9"/>
    <w:rsid w:val="006214E1"/>
    <w:rsid w:val="00627507"/>
    <w:rsid w:val="00627F82"/>
    <w:rsid w:val="006305F8"/>
    <w:rsid w:val="00631DC4"/>
    <w:rsid w:val="00632870"/>
    <w:rsid w:val="006353A3"/>
    <w:rsid w:val="006366CA"/>
    <w:rsid w:val="0063695A"/>
    <w:rsid w:val="0063699B"/>
    <w:rsid w:val="00637C16"/>
    <w:rsid w:val="0064087A"/>
    <w:rsid w:val="00645EEC"/>
    <w:rsid w:val="0064629B"/>
    <w:rsid w:val="00646CC5"/>
    <w:rsid w:val="0064702E"/>
    <w:rsid w:val="0065023B"/>
    <w:rsid w:val="006530FA"/>
    <w:rsid w:val="0065460A"/>
    <w:rsid w:val="006553C2"/>
    <w:rsid w:val="00655A45"/>
    <w:rsid w:val="00657876"/>
    <w:rsid w:val="006612D7"/>
    <w:rsid w:val="006614E9"/>
    <w:rsid w:val="0066299A"/>
    <w:rsid w:val="00663044"/>
    <w:rsid w:val="00665607"/>
    <w:rsid w:val="006666AB"/>
    <w:rsid w:val="006672CD"/>
    <w:rsid w:val="006678D0"/>
    <w:rsid w:val="006702FD"/>
    <w:rsid w:val="0067071C"/>
    <w:rsid w:val="0067085F"/>
    <w:rsid w:val="00670925"/>
    <w:rsid w:val="00671378"/>
    <w:rsid w:val="006720FB"/>
    <w:rsid w:val="006747D1"/>
    <w:rsid w:val="0067489E"/>
    <w:rsid w:val="00676263"/>
    <w:rsid w:val="0067758A"/>
    <w:rsid w:val="006808E2"/>
    <w:rsid w:val="00682803"/>
    <w:rsid w:val="00683FCA"/>
    <w:rsid w:val="006877E0"/>
    <w:rsid w:val="00687C4E"/>
    <w:rsid w:val="006913B0"/>
    <w:rsid w:val="00691469"/>
    <w:rsid w:val="00695963"/>
    <w:rsid w:val="006973CE"/>
    <w:rsid w:val="006A1602"/>
    <w:rsid w:val="006A24F7"/>
    <w:rsid w:val="006A2617"/>
    <w:rsid w:val="006A2BD9"/>
    <w:rsid w:val="006A685D"/>
    <w:rsid w:val="006B031D"/>
    <w:rsid w:val="006B080B"/>
    <w:rsid w:val="006B0BD2"/>
    <w:rsid w:val="006B27B6"/>
    <w:rsid w:val="006B2C50"/>
    <w:rsid w:val="006B2D36"/>
    <w:rsid w:val="006C1C7D"/>
    <w:rsid w:val="006C3C3F"/>
    <w:rsid w:val="006C59F4"/>
    <w:rsid w:val="006C5E03"/>
    <w:rsid w:val="006C7EC3"/>
    <w:rsid w:val="006D069D"/>
    <w:rsid w:val="006D093C"/>
    <w:rsid w:val="006D19E2"/>
    <w:rsid w:val="006D26E6"/>
    <w:rsid w:val="006D2836"/>
    <w:rsid w:val="006D4235"/>
    <w:rsid w:val="006D6802"/>
    <w:rsid w:val="006D7058"/>
    <w:rsid w:val="006D7CDB"/>
    <w:rsid w:val="006E17C3"/>
    <w:rsid w:val="006E35F0"/>
    <w:rsid w:val="006E4605"/>
    <w:rsid w:val="006E4E04"/>
    <w:rsid w:val="006E5EE1"/>
    <w:rsid w:val="006E7971"/>
    <w:rsid w:val="006F4A39"/>
    <w:rsid w:val="006F4F23"/>
    <w:rsid w:val="006F5E15"/>
    <w:rsid w:val="006F6562"/>
    <w:rsid w:val="006F6597"/>
    <w:rsid w:val="006F7E44"/>
    <w:rsid w:val="007005AE"/>
    <w:rsid w:val="007006BA"/>
    <w:rsid w:val="00701CBC"/>
    <w:rsid w:val="00701FFE"/>
    <w:rsid w:val="007066FB"/>
    <w:rsid w:val="00706E8A"/>
    <w:rsid w:val="00713D52"/>
    <w:rsid w:val="00714DC0"/>
    <w:rsid w:val="00715EC6"/>
    <w:rsid w:val="00717B96"/>
    <w:rsid w:val="00720367"/>
    <w:rsid w:val="0072037C"/>
    <w:rsid w:val="0072121F"/>
    <w:rsid w:val="00721542"/>
    <w:rsid w:val="00721693"/>
    <w:rsid w:val="007219ED"/>
    <w:rsid w:val="0072475B"/>
    <w:rsid w:val="00725F60"/>
    <w:rsid w:val="00727263"/>
    <w:rsid w:val="007407A1"/>
    <w:rsid w:val="00741592"/>
    <w:rsid w:val="00742705"/>
    <w:rsid w:val="00743E05"/>
    <w:rsid w:val="00744302"/>
    <w:rsid w:val="00745281"/>
    <w:rsid w:val="00752219"/>
    <w:rsid w:val="00753117"/>
    <w:rsid w:val="007534AF"/>
    <w:rsid w:val="0075398E"/>
    <w:rsid w:val="00753D76"/>
    <w:rsid w:val="00753E93"/>
    <w:rsid w:val="00754C53"/>
    <w:rsid w:val="00755276"/>
    <w:rsid w:val="007561A8"/>
    <w:rsid w:val="007576F7"/>
    <w:rsid w:val="00760A54"/>
    <w:rsid w:val="00760CCD"/>
    <w:rsid w:val="00761BA9"/>
    <w:rsid w:val="0076362E"/>
    <w:rsid w:val="0076461E"/>
    <w:rsid w:val="0076591B"/>
    <w:rsid w:val="00766ABC"/>
    <w:rsid w:val="00771580"/>
    <w:rsid w:val="00773409"/>
    <w:rsid w:val="00773BF3"/>
    <w:rsid w:val="007744C8"/>
    <w:rsid w:val="00775EFE"/>
    <w:rsid w:val="00777137"/>
    <w:rsid w:val="0077795A"/>
    <w:rsid w:val="00780088"/>
    <w:rsid w:val="00780145"/>
    <w:rsid w:val="0078132F"/>
    <w:rsid w:val="007814E4"/>
    <w:rsid w:val="00781542"/>
    <w:rsid w:val="00782689"/>
    <w:rsid w:val="0078367F"/>
    <w:rsid w:val="00783C35"/>
    <w:rsid w:val="00783F8E"/>
    <w:rsid w:val="0078546B"/>
    <w:rsid w:val="00785ACE"/>
    <w:rsid w:val="007878C6"/>
    <w:rsid w:val="00792C4B"/>
    <w:rsid w:val="00795B2A"/>
    <w:rsid w:val="007960B1"/>
    <w:rsid w:val="007963E8"/>
    <w:rsid w:val="00797496"/>
    <w:rsid w:val="007A0265"/>
    <w:rsid w:val="007A61C6"/>
    <w:rsid w:val="007A66B2"/>
    <w:rsid w:val="007A779E"/>
    <w:rsid w:val="007B085D"/>
    <w:rsid w:val="007B2197"/>
    <w:rsid w:val="007B23F9"/>
    <w:rsid w:val="007B2B29"/>
    <w:rsid w:val="007B33B2"/>
    <w:rsid w:val="007B37CE"/>
    <w:rsid w:val="007B39DD"/>
    <w:rsid w:val="007B4388"/>
    <w:rsid w:val="007B7A03"/>
    <w:rsid w:val="007B7C75"/>
    <w:rsid w:val="007B7E1A"/>
    <w:rsid w:val="007C281D"/>
    <w:rsid w:val="007C2A80"/>
    <w:rsid w:val="007C331B"/>
    <w:rsid w:val="007C5605"/>
    <w:rsid w:val="007C7096"/>
    <w:rsid w:val="007D105E"/>
    <w:rsid w:val="007D19CA"/>
    <w:rsid w:val="007D1ACF"/>
    <w:rsid w:val="007D2C5F"/>
    <w:rsid w:val="007D3125"/>
    <w:rsid w:val="007E096F"/>
    <w:rsid w:val="007E0FCD"/>
    <w:rsid w:val="007E25D1"/>
    <w:rsid w:val="007E464F"/>
    <w:rsid w:val="007E54C2"/>
    <w:rsid w:val="007F18FB"/>
    <w:rsid w:val="007F268E"/>
    <w:rsid w:val="007F359E"/>
    <w:rsid w:val="007F3762"/>
    <w:rsid w:val="007F3EDD"/>
    <w:rsid w:val="007F46D4"/>
    <w:rsid w:val="007F480C"/>
    <w:rsid w:val="007F77C0"/>
    <w:rsid w:val="007F7AB6"/>
    <w:rsid w:val="007F7E7F"/>
    <w:rsid w:val="00801AA8"/>
    <w:rsid w:val="00805A16"/>
    <w:rsid w:val="008063C1"/>
    <w:rsid w:val="00806D58"/>
    <w:rsid w:val="00810288"/>
    <w:rsid w:val="008140CB"/>
    <w:rsid w:val="00816E62"/>
    <w:rsid w:val="008171D6"/>
    <w:rsid w:val="00822A07"/>
    <w:rsid w:val="00823F96"/>
    <w:rsid w:val="00824D53"/>
    <w:rsid w:val="0082555B"/>
    <w:rsid w:val="00825A0E"/>
    <w:rsid w:val="0082602F"/>
    <w:rsid w:val="00827C97"/>
    <w:rsid w:val="00832956"/>
    <w:rsid w:val="008352E2"/>
    <w:rsid w:val="00837BDB"/>
    <w:rsid w:val="00841E3D"/>
    <w:rsid w:val="00842F83"/>
    <w:rsid w:val="008433E2"/>
    <w:rsid w:val="00843A7C"/>
    <w:rsid w:val="00843FAA"/>
    <w:rsid w:val="008478B9"/>
    <w:rsid w:val="00847C95"/>
    <w:rsid w:val="00850C37"/>
    <w:rsid w:val="00851AC6"/>
    <w:rsid w:val="00852510"/>
    <w:rsid w:val="008576A3"/>
    <w:rsid w:val="008606E0"/>
    <w:rsid w:val="008609A6"/>
    <w:rsid w:val="00863934"/>
    <w:rsid w:val="0086413F"/>
    <w:rsid w:val="0086478A"/>
    <w:rsid w:val="00864DBD"/>
    <w:rsid w:val="00865841"/>
    <w:rsid w:val="00867F8E"/>
    <w:rsid w:val="00870691"/>
    <w:rsid w:val="00871A58"/>
    <w:rsid w:val="00877337"/>
    <w:rsid w:val="00877D21"/>
    <w:rsid w:val="00881BFF"/>
    <w:rsid w:val="00890B5C"/>
    <w:rsid w:val="00894EEA"/>
    <w:rsid w:val="008953A2"/>
    <w:rsid w:val="00895BBC"/>
    <w:rsid w:val="008975BD"/>
    <w:rsid w:val="00897632"/>
    <w:rsid w:val="00897ADC"/>
    <w:rsid w:val="008A10FF"/>
    <w:rsid w:val="008A13F9"/>
    <w:rsid w:val="008A3E67"/>
    <w:rsid w:val="008A4578"/>
    <w:rsid w:val="008A48CE"/>
    <w:rsid w:val="008A56DC"/>
    <w:rsid w:val="008A63E4"/>
    <w:rsid w:val="008A6D7D"/>
    <w:rsid w:val="008B0596"/>
    <w:rsid w:val="008B0895"/>
    <w:rsid w:val="008B2BBF"/>
    <w:rsid w:val="008B350E"/>
    <w:rsid w:val="008B6F29"/>
    <w:rsid w:val="008C10EE"/>
    <w:rsid w:val="008C67A2"/>
    <w:rsid w:val="008C724E"/>
    <w:rsid w:val="008D126A"/>
    <w:rsid w:val="008D138B"/>
    <w:rsid w:val="008D31AE"/>
    <w:rsid w:val="008D62D9"/>
    <w:rsid w:val="008E007C"/>
    <w:rsid w:val="008E07DC"/>
    <w:rsid w:val="008E0BA1"/>
    <w:rsid w:val="008E1BD7"/>
    <w:rsid w:val="008E2637"/>
    <w:rsid w:val="008E2742"/>
    <w:rsid w:val="008E3691"/>
    <w:rsid w:val="008E38CD"/>
    <w:rsid w:val="008E4E26"/>
    <w:rsid w:val="008E53D4"/>
    <w:rsid w:val="008E7C48"/>
    <w:rsid w:val="008F2987"/>
    <w:rsid w:val="008F30BC"/>
    <w:rsid w:val="008F366F"/>
    <w:rsid w:val="008F393C"/>
    <w:rsid w:val="009009C7"/>
    <w:rsid w:val="00900B06"/>
    <w:rsid w:val="00901C55"/>
    <w:rsid w:val="00902495"/>
    <w:rsid w:val="00912FE2"/>
    <w:rsid w:val="00913021"/>
    <w:rsid w:val="00915340"/>
    <w:rsid w:val="009179DC"/>
    <w:rsid w:val="00920BA2"/>
    <w:rsid w:val="00924774"/>
    <w:rsid w:val="00924E3F"/>
    <w:rsid w:val="00925B65"/>
    <w:rsid w:val="0092678F"/>
    <w:rsid w:val="00934BBA"/>
    <w:rsid w:val="00936AD9"/>
    <w:rsid w:val="00936EB1"/>
    <w:rsid w:val="00937275"/>
    <w:rsid w:val="009417AE"/>
    <w:rsid w:val="0094219E"/>
    <w:rsid w:val="00943ED1"/>
    <w:rsid w:val="00945589"/>
    <w:rsid w:val="00945DA5"/>
    <w:rsid w:val="00946463"/>
    <w:rsid w:val="00951009"/>
    <w:rsid w:val="00954A90"/>
    <w:rsid w:val="00960453"/>
    <w:rsid w:val="0096180C"/>
    <w:rsid w:val="0096283E"/>
    <w:rsid w:val="00962B0D"/>
    <w:rsid w:val="009637B8"/>
    <w:rsid w:val="00963B20"/>
    <w:rsid w:val="009648A4"/>
    <w:rsid w:val="00964EAF"/>
    <w:rsid w:val="009651BA"/>
    <w:rsid w:val="009655A7"/>
    <w:rsid w:val="00965D23"/>
    <w:rsid w:val="00965F98"/>
    <w:rsid w:val="00966AEE"/>
    <w:rsid w:val="00967112"/>
    <w:rsid w:val="0097030F"/>
    <w:rsid w:val="009706C7"/>
    <w:rsid w:val="00972D0D"/>
    <w:rsid w:val="009732B3"/>
    <w:rsid w:val="009739BC"/>
    <w:rsid w:val="00974918"/>
    <w:rsid w:val="00975672"/>
    <w:rsid w:val="0097742B"/>
    <w:rsid w:val="009834D9"/>
    <w:rsid w:val="00983608"/>
    <w:rsid w:val="00983F58"/>
    <w:rsid w:val="00985BA1"/>
    <w:rsid w:val="00986872"/>
    <w:rsid w:val="00986F7E"/>
    <w:rsid w:val="009908C1"/>
    <w:rsid w:val="00993DAE"/>
    <w:rsid w:val="00996172"/>
    <w:rsid w:val="00996B55"/>
    <w:rsid w:val="00997110"/>
    <w:rsid w:val="009A0983"/>
    <w:rsid w:val="009A3C1A"/>
    <w:rsid w:val="009A40F7"/>
    <w:rsid w:val="009A5986"/>
    <w:rsid w:val="009A6C33"/>
    <w:rsid w:val="009A738A"/>
    <w:rsid w:val="009A76A7"/>
    <w:rsid w:val="009B15EE"/>
    <w:rsid w:val="009B2A14"/>
    <w:rsid w:val="009B2B3D"/>
    <w:rsid w:val="009B3F58"/>
    <w:rsid w:val="009B615D"/>
    <w:rsid w:val="009B663A"/>
    <w:rsid w:val="009C000A"/>
    <w:rsid w:val="009C1894"/>
    <w:rsid w:val="009C41DB"/>
    <w:rsid w:val="009C4CAF"/>
    <w:rsid w:val="009D02F3"/>
    <w:rsid w:val="009D12A5"/>
    <w:rsid w:val="009D1BAC"/>
    <w:rsid w:val="009D6176"/>
    <w:rsid w:val="009D6C76"/>
    <w:rsid w:val="009D6D20"/>
    <w:rsid w:val="009E0D29"/>
    <w:rsid w:val="009E1BB5"/>
    <w:rsid w:val="009E1E31"/>
    <w:rsid w:val="009E2588"/>
    <w:rsid w:val="009E2B18"/>
    <w:rsid w:val="009E2C81"/>
    <w:rsid w:val="009E598F"/>
    <w:rsid w:val="009E5BE8"/>
    <w:rsid w:val="009E7704"/>
    <w:rsid w:val="009F4234"/>
    <w:rsid w:val="00A01AFE"/>
    <w:rsid w:val="00A03611"/>
    <w:rsid w:val="00A05E50"/>
    <w:rsid w:val="00A120A7"/>
    <w:rsid w:val="00A1241C"/>
    <w:rsid w:val="00A12639"/>
    <w:rsid w:val="00A141EC"/>
    <w:rsid w:val="00A173ED"/>
    <w:rsid w:val="00A21072"/>
    <w:rsid w:val="00A21631"/>
    <w:rsid w:val="00A2322C"/>
    <w:rsid w:val="00A23CFA"/>
    <w:rsid w:val="00A24782"/>
    <w:rsid w:val="00A30C51"/>
    <w:rsid w:val="00A315F0"/>
    <w:rsid w:val="00A33663"/>
    <w:rsid w:val="00A34164"/>
    <w:rsid w:val="00A378A1"/>
    <w:rsid w:val="00A37C08"/>
    <w:rsid w:val="00A42ED4"/>
    <w:rsid w:val="00A43ADC"/>
    <w:rsid w:val="00A4581D"/>
    <w:rsid w:val="00A46349"/>
    <w:rsid w:val="00A47E13"/>
    <w:rsid w:val="00A526AB"/>
    <w:rsid w:val="00A55483"/>
    <w:rsid w:val="00A56EC8"/>
    <w:rsid w:val="00A574BB"/>
    <w:rsid w:val="00A60E16"/>
    <w:rsid w:val="00A60ED2"/>
    <w:rsid w:val="00A61269"/>
    <w:rsid w:val="00A63E1E"/>
    <w:rsid w:val="00A63F93"/>
    <w:rsid w:val="00A64995"/>
    <w:rsid w:val="00A66A92"/>
    <w:rsid w:val="00A66F46"/>
    <w:rsid w:val="00A67A1F"/>
    <w:rsid w:val="00A67E87"/>
    <w:rsid w:val="00A7259D"/>
    <w:rsid w:val="00A7578E"/>
    <w:rsid w:val="00A761C8"/>
    <w:rsid w:val="00A8127A"/>
    <w:rsid w:val="00A836EE"/>
    <w:rsid w:val="00A861C1"/>
    <w:rsid w:val="00A87927"/>
    <w:rsid w:val="00A90734"/>
    <w:rsid w:val="00A90A42"/>
    <w:rsid w:val="00A91156"/>
    <w:rsid w:val="00A92047"/>
    <w:rsid w:val="00A93C3D"/>
    <w:rsid w:val="00A93CD7"/>
    <w:rsid w:val="00A9520F"/>
    <w:rsid w:val="00A972B8"/>
    <w:rsid w:val="00A97B94"/>
    <w:rsid w:val="00AA0F0C"/>
    <w:rsid w:val="00AA0F22"/>
    <w:rsid w:val="00AA1DCF"/>
    <w:rsid w:val="00AA26D3"/>
    <w:rsid w:val="00AA294E"/>
    <w:rsid w:val="00AA52CF"/>
    <w:rsid w:val="00AA56F2"/>
    <w:rsid w:val="00AA6CFF"/>
    <w:rsid w:val="00AA6EDE"/>
    <w:rsid w:val="00AA7E18"/>
    <w:rsid w:val="00AB1D69"/>
    <w:rsid w:val="00AB272B"/>
    <w:rsid w:val="00AB360D"/>
    <w:rsid w:val="00AB40F0"/>
    <w:rsid w:val="00AB45B1"/>
    <w:rsid w:val="00AB5385"/>
    <w:rsid w:val="00AB6F4F"/>
    <w:rsid w:val="00AB7AEC"/>
    <w:rsid w:val="00AC143D"/>
    <w:rsid w:val="00AC1F7A"/>
    <w:rsid w:val="00AC51D9"/>
    <w:rsid w:val="00AC6E06"/>
    <w:rsid w:val="00AD0F0B"/>
    <w:rsid w:val="00AD1FD5"/>
    <w:rsid w:val="00AD2893"/>
    <w:rsid w:val="00AD384F"/>
    <w:rsid w:val="00AD3EE0"/>
    <w:rsid w:val="00AD3FFE"/>
    <w:rsid w:val="00AD5DD7"/>
    <w:rsid w:val="00AD6680"/>
    <w:rsid w:val="00AD76B0"/>
    <w:rsid w:val="00AD7D6A"/>
    <w:rsid w:val="00AE16A5"/>
    <w:rsid w:val="00AE17E3"/>
    <w:rsid w:val="00AE51B8"/>
    <w:rsid w:val="00AE6A65"/>
    <w:rsid w:val="00AF097F"/>
    <w:rsid w:val="00AF1BF2"/>
    <w:rsid w:val="00AF55D8"/>
    <w:rsid w:val="00B01A93"/>
    <w:rsid w:val="00B04BBA"/>
    <w:rsid w:val="00B0594D"/>
    <w:rsid w:val="00B07579"/>
    <w:rsid w:val="00B1060B"/>
    <w:rsid w:val="00B10D94"/>
    <w:rsid w:val="00B10E54"/>
    <w:rsid w:val="00B12E37"/>
    <w:rsid w:val="00B17F97"/>
    <w:rsid w:val="00B20355"/>
    <w:rsid w:val="00B20AB9"/>
    <w:rsid w:val="00B23AB2"/>
    <w:rsid w:val="00B23D74"/>
    <w:rsid w:val="00B24C45"/>
    <w:rsid w:val="00B26E43"/>
    <w:rsid w:val="00B27232"/>
    <w:rsid w:val="00B27E7E"/>
    <w:rsid w:val="00B27F31"/>
    <w:rsid w:val="00B31661"/>
    <w:rsid w:val="00B32C1C"/>
    <w:rsid w:val="00B32D95"/>
    <w:rsid w:val="00B32E6F"/>
    <w:rsid w:val="00B3320B"/>
    <w:rsid w:val="00B3557A"/>
    <w:rsid w:val="00B357FC"/>
    <w:rsid w:val="00B40E88"/>
    <w:rsid w:val="00B40FFF"/>
    <w:rsid w:val="00B4161A"/>
    <w:rsid w:val="00B5480F"/>
    <w:rsid w:val="00B56303"/>
    <w:rsid w:val="00B5741A"/>
    <w:rsid w:val="00B6054A"/>
    <w:rsid w:val="00B62959"/>
    <w:rsid w:val="00B63F55"/>
    <w:rsid w:val="00B6426C"/>
    <w:rsid w:val="00B642BE"/>
    <w:rsid w:val="00B646E8"/>
    <w:rsid w:val="00B65E34"/>
    <w:rsid w:val="00B71A11"/>
    <w:rsid w:val="00B71C67"/>
    <w:rsid w:val="00B72920"/>
    <w:rsid w:val="00B73752"/>
    <w:rsid w:val="00B73B03"/>
    <w:rsid w:val="00B7425E"/>
    <w:rsid w:val="00B75750"/>
    <w:rsid w:val="00B75F0E"/>
    <w:rsid w:val="00B76570"/>
    <w:rsid w:val="00B76AC3"/>
    <w:rsid w:val="00B80F17"/>
    <w:rsid w:val="00B814A6"/>
    <w:rsid w:val="00B823BA"/>
    <w:rsid w:val="00B853BF"/>
    <w:rsid w:val="00B93173"/>
    <w:rsid w:val="00B93CA2"/>
    <w:rsid w:val="00B9435C"/>
    <w:rsid w:val="00B94B20"/>
    <w:rsid w:val="00B953B9"/>
    <w:rsid w:val="00B968ED"/>
    <w:rsid w:val="00BA22ED"/>
    <w:rsid w:val="00BA2D02"/>
    <w:rsid w:val="00BA36E0"/>
    <w:rsid w:val="00BA5559"/>
    <w:rsid w:val="00BA6887"/>
    <w:rsid w:val="00BA747C"/>
    <w:rsid w:val="00BB1932"/>
    <w:rsid w:val="00BB4306"/>
    <w:rsid w:val="00BB5048"/>
    <w:rsid w:val="00BB580B"/>
    <w:rsid w:val="00BB69EF"/>
    <w:rsid w:val="00BB6E6C"/>
    <w:rsid w:val="00BC1412"/>
    <w:rsid w:val="00BC232E"/>
    <w:rsid w:val="00BC2ED2"/>
    <w:rsid w:val="00BC5195"/>
    <w:rsid w:val="00BC51CE"/>
    <w:rsid w:val="00BC6484"/>
    <w:rsid w:val="00BC67AA"/>
    <w:rsid w:val="00BC757E"/>
    <w:rsid w:val="00BC7C97"/>
    <w:rsid w:val="00BD50C8"/>
    <w:rsid w:val="00BD5369"/>
    <w:rsid w:val="00BD6EC9"/>
    <w:rsid w:val="00BE0876"/>
    <w:rsid w:val="00BE0D9C"/>
    <w:rsid w:val="00BE3C6A"/>
    <w:rsid w:val="00BE496B"/>
    <w:rsid w:val="00BE5782"/>
    <w:rsid w:val="00BE5E06"/>
    <w:rsid w:val="00BE76CB"/>
    <w:rsid w:val="00BE7FA8"/>
    <w:rsid w:val="00BF076A"/>
    <w:rsid w:val="00BF27D5"/>
    <w:rsid w:val="00BF2E2C"/>
    <w:rsid w:val="00BF5D31"/>
    <w:rsid w:val="00BF6E0E"/>
    <w:rsid w:val="00BF7033"/>
    <w:rsid w:val="00C01F5E"/>
    <w:rsid w:val="00C025AB"/>
    <w:rsid w:val="00C027DA"/>
    <w:rsid w:val="00C03CE3"/>
    <w:rsid w:val="00C14EC2"/>
    <w:rsid w:val="00C150BF"/>
    <w:rsid w:val="00C15157"/>
    <w:rsid w:val="00C157F4"/>
    <w:rsid w:val="00C16BD7"/>
    <w:rsid w:val="00C17811"/>
    <w:rsid w:val="00C20A7A"/>
    <w:rsid w:val="00C22882"/>
    <w:rsid w:val="00C23B0A"/>
    <w:rsid w:val="00C241BE"/>
    <w:rsid w:val="00C245E9"/>
    <w:rsid w:val="00C25BA1"/>
    <w:rsid w:val="00C2676A"/>
    <w:rsid w:val="00C270C8"/>
    <w:rsid w:val="00C3048D"/>
    <w:rsid w:val="00C31892"/>
    <w:rsid w:val="00C31956"/>
    <w:rsid w:val="00C330FB"/>
    <w:rsid w:val="00C3371C"/>
    <w:rsid w:val="00C33907"/>
    <w:rsid w:val="00C34EDB"/>
    <w:rsid w:val="00C36F5B"/>
    <w:rsid w:val="00C42EE1"/>
    <w:rsid w:val="00C44AA7"/>
    <w:rsid w:val="00C44E65"/>
    <w:rsid w:val="00C46610"/>
    <w:rsid w:val="00C478A7"/>
    <w:rsid w:val="00C5037C"/>
    <w:rsid w:val="00C51701"/>
    <w:rsid w:val="00C5279B"/>
    <w:rsid w:val="00C540B2"/>
    <w:rsid w:val="00C545F2"/>
    <w:rsid w:val="00C54707"/>
    <w:rsid w:val="00C55E06"/>
    <w:rsid w:val="00C5653D"/>
    <w:rsid w:val="00C56D44"/>
    <w:rsid w:val="00C601A0"/>
    <w:rsid w:val="00C61C02"/>
    <w:rsid w:val="00C61D57"/>
    <w:rsid w:val="00C64CAF"/>
    <w:rsid w:val="00C65841"/>
    <w:rsid w:val="00C6738C"/>
    <w:rsid w:val="00C70DD7"/>
    <w:rsid w:val="00C71348"/>
    <w:rsid w:val="00C745A9"/>
    <w:rsid w:val="00C74CD0"/>
    <w:rsid w:val="00C760D0"/>
    <w:rsid w:val="00C768AB"/>
    <w:rsid w:val="00C77A77"/>
    <w:rsid w:val="00C814E2"/>
    <w:rsid w:val="00C81CC7"/>
    <w:rsid w:val="00C82410"/>
    <w:rsid w:val="00C84F55"/>
    <w:rsid w:val="00C86D4D"/>
    <w:rsid w:val="00C86EE4"/>
    <w:rsid w:val="00C924D0"/>
    <w:rsid w:val="00C93E4B"/>
    <w:rsid w:val="00C93FCA"/>
    <w:rsid w:val="00C949EF"/>
    <w:rsid w:val="00CA335E"/>
    <w:rsid w:val="00CA3B37"/>
    <w:rsid w:val="00CA47E9"/>
    <w:rsid w:val="00CA72A8"/>
    <w:rsid w:val="00CA7B0B"/>
    <w:rsid w:val="00CB0F22"/>
    <w:rsid w:val="00CB2FB8"/>
    <w:rsid w:val="00CB36C7"/>
    <w:rsid w:val="00CB3D75"/>
    <w:rsid w:val="00CB4E1B"/>
    <w:rsid w:val="00CB58FE"/>
    <w:rsid w:val="00CC24E4"/>
    <w:rsid w:val="00CC357B"/>
    <w:rsid w:val="00CC3A6C"/>
    <w:rsid w:val="00CC3B75"/>
    <w:rsid w:val="00CC4DA2"/>
    <w:rsid w:val="00CC5AB5"/>
    <w:rsid w:val="00CD29BB"/>
    <w:rsid w:val="00CD5A95"/>
    <w:rsid w:val="00CD5EDC"/>
    <w:rsid w:val="00CD6395"/>
    <w:rsid w:val="00CE0AF5"/>
    <w:rsid w:val="00CE1095"/>
    <w:rsid w:val="00CE46A2"/>
    <w:rsid w:val="00CF1D21"/>
    <w:rsid w:val="00CF220F"/>
    <w:rsid w:val="00CF7BDB"/>
    <w:rsid w:val="00D0027B"/>
    <w:rsid w:val="00D004D1"/>
    <w:rsid w:val="00D0233D"/>
    <w:rsid w:val="00D029B1"/>
    <w:rsid w:val="00D05A8D"/>
    <w:rsid w:val="00D1206A"/>
    <w:rsid w:val="00D129D9"/>
    <w:rsid w:val="00D14EC8"/>
    <w:rsid w:val="00D15D34"/>
    <w:rsid w:val="00D165DF"/>
    <w:rsid w:val="00D17CEF"/>
    <w:rsid w:val="00D208BB"/>
    <w:rsid w:val="00D21C56"/>
    <w:rsid w:val="00D21E1E"/>
    <w:rsid w:val="00D2312E"/>
    <w:rsid w:val="00D307D9"/>
    <w:rsid w:val="00D30C95"/>
    <w:rsid w:val="00D31F34"/>
    <w:rsid w:val="00D326AE"/>
    <w:rsid w:val="00D34DF7"/>
    <w:rsid w:val="00D379C9"/>
    <w:rsid w:val="00D406C8"/>
    <w:rsid w:val="00D41EF1"/>
    <w:rsid w:val="00D432F0"/>
    <w:rsid w:val="00D44B4E"/>
    <w:rsid w:val="00D47DC0"/>
    <w:rsid w:val="00D51892"/>
    <w:rsid w:val="00D54750"/>
    <w:rsid w:val="00D555E5"/>
    <w:rsid w:val="00D55F63"/>
    <w:rsid w:val="00D61D45"/>
    <w:rsid w:val="00D621AB"/>
    <w:rsid w:val="00D6342D"/>
    <w:rsid w:val="00D65511"/>
    <w:rsid w:val="00D71A46"/>
    <w:rsid w:val="00D74CB7"/>
    <w:rsid w:val="00D7568F"/>
    <w:rsid w:val="00D76346"/>
    <w:rsid w:val="00D76D3F"/>
    <w:rsid w:val="00D82B10"/>
    <w:rsid w:val="00D84B76"/>
    <w:rsid w:val="00D8542A"/>
    <w:rsid w:val="00D85485"/>
    <w:rsid w:val="00D85F67"/>
    <w:rsid w:val="00D860FD"/>
    <w:rsid w:val="00D90CC0"/>
    <w:rsid w:val="00D9128D"/>
    <w:rsid w:val="00D930DE"/>
    <w:rsid w:val="00D93E90"/>
    <w:rsid w:val="00D94718"/>
    <w:rsid w:val="00D9487E"/>
    <w:rsid w:val="00D94985"/>
    <w:rsid w:val="00D94EF2"/>
    <w:rsid w:val="00D9582A"/>
    <w:rsid w:val="00D958D9"/>
    <w:rsid w:val="00D95B95"/>
    <w:rsid w:val="00D976F2"/>
    <w:rsid w:val="00DA16E1"/>
    <w:rsid w:val="00DA270A"/>
    <w:rsid w:val="00DA27C6"/>
    <w:rsid w:val="00DA3590"/>
    <w:rsid w:val="00DA5417"/>
    <w:rsid w:val="00DA5585"/>
    <w:rsid w:val="00DA5853"/>
    <w:rsid w:val="00DA6E90"/>
    <w:rsid w:val="00DB018D"/>
    <w:rsid w:val="00DB0226"/>
    <w:rsid w:val="00DB221F"/>
    <w:rsid w:val="00DB3CB4"/>
    <w:rsid w:val="00DB674E"/>
    <w:rsid w:val="00DC1579"/>
    <w:rsid w:val="00DC2705"/>
    <w:rsid w:val="00DD03C4"/>
    <w:rsid w:val="00DD0F11"/>
    <w:rsid w:val="00DD1C51"/>
    <w:rsid w:val="00DD2C95"/>
    <w:rsid w:val="00DD45D6"/>
    <w:rsid w:val="00DD53F8"/>
    <w:rsid w:val="00DD5F4C"/>
    <w:rsid w:val="00DE12F5"/>
    <w:rsid w:val="00DE3485"/>
    <w:rsid w:val="00DE7EB2"/>
    <w:rsid w:val="00DF0A2B"/>
    <w:rsid w:val="00DF0C91"/>
    <w:rsid w:val="00DF36F2"/>
    <w:rsid w:val="00DF3847"/>
    <w:rsid w:val="00E00F07"/>
    <w:rsid w:val="00E02A4B"/>
    <w:rsid w:val="00E02E27"/>
    <w:rsid w:val="00E02E7A"/>
    <w:rsid w:val="00E04A79"/>
    <w:rsid w:val="00E04D90"/>
    <w:rsid w:val="00E053A7"/>
    <w:rsid w:val="00E10EC9"/>
    <w:rsid w:val="00E145AD"/>
    <w:rsid w:val="00E17803"/>
    <w:rsid w:val="00E17CF0"/>
    <w:rsid w:val="00E204F2"/>
    <w:rsid w:val="00E224E5"/>
    <w:rsid w:val="00E24094"/>
    <w:rsid w:val="00E24308"/>
    <w:rsid w:val="00E24D28"/>
    <w:rsid w:val="00E26B93"/>
    <w:rsid w:val="00E27BA6"/>
    <w:rsid w:val="00E27EA3"/>
    <w:rsid w:val="00E30475"/>
    <w:rsid w:val="00E31646"/>
    <w:rsid w:val="00E35778"/>
    <w:rsid w:val="00E35FB5"/>
    <w:rsid w:val="00E36B5B"/>
    <w:rsid w:val="00E40681"/>
    <w:rsid w:val="00E40927"/>
    <w:rsid w:val="00E44198"/>
    <w:rsid w:val="00E45DBC"/>
    <w:rsid w:val="00E50A86"/>
    <w:rsid w:val="00E51FEE"/>
    <w:rsid w:val="00E5277D"/>
    <w:rsid w:val="00E531C3"/>
    <w:rsid w:val="00E53D89"/>
    <w:rsid w:val="00E54629"/>
    <w:rsid w:val="00E54C1C"/>
    <w:rsid w:val="00E54EA8"/>
    <w:rsid w:val="00E56255"/>
    <w:rsid w:val="00E567FF"/>
    <w:rsid w:val="00E6062E"/>
    <w:rsid w:val="00E61AB0"/>
    <w:rsid w:val="00E61C1C"/>
    <w:rsid w:val="00E62422"/>
    <w:rsid w:val="00E634B9"/>
    <w:rsid w:val="00E65826"/>
    <w:rsid w:val="00E664D9"/>
    <w:rsid w:val="00E72288"/>
    <w:rsid w:val="00E72B3B"/>
    <w:rsid w:val="00E7461E"/>
    <w:rsid w:val="00E7683A"/>
    <w:rsid w:val="00E82F25"/>
    <w:rsid w:val="00E83856"/>
    <w:rsid w:val="00E83FF6"/>
    <w:rsid w:val="00E8582D"/>
    <w:rsid w:val="00E8769F"/>
    <w:rsid w:val="00E905E2"/>
    <w:rsid w:val="00E929CB"/>
    <w:rsid w:val="00E93A7D"/>
    <w:rsid w:val="00E93AF9"/>
    <w:rsid w:val="00E95247"/>
    <w:rsid w:val="00EA0192"/>
    <w:rsid w:val="00EA182F"/>
    <w:rsid w:val="00EA2E49"/>
    <w:rsid w:val="00EB084A"/>
    <w:rsid w:val="00EB0ECB"/>
    <w:rsid w:val="00EB195D"/>
    <w:rsid w:val="00EB2CA6"/>
    <w:rsid w:val="00EB35DB"/>
    <w:rsid w:val="00EB4E51"/>
    <w:rsid w:val="00EB50CD"/>
    <w:rsid w:val="00EB648F"/>
    <w:rsid w:val="00EC2943"/>
    <w:rsid w:val="00EC7470"/>
    <w:rsid w:val="00ED0C0A"/>
    <w:rsid w:val="00ED150C"/>
    <w:rsid w:val="00ED268C"/>
    <w:rsid w:val="00ED3AC0"/>
    <w:rsid w:val="00EE10D7"/>
    <w:rsid w:val="00EE55D0"/>
    <w:rsid w:val="00EE7AAF"/>
    <w:rsid w:val="00EF0441"/>
    <w:rsid w:val="00EF052D"/>
    <w:rsid w:val="00EF11D0"/>
    <w:rsid w:val="00EF164C"/>
    <w:rsid w:val="00EF21DE"/>
    <w:rsid w:val="00EF2A74"/>
    <w:rsid w:val="00EF4097"/>
    <w:rsid w:val="00EF4E5A"/>
    <w:rsid w:val="00EF7A65"/>
    <w:rsid w:val="00EF7C25"/>
    <w:rsid w:val="00F00B04"/>
    <w:rsid w:val="00F00BF9"/>
    <w:rsid w:val="00F010FD"/>
    <w:rsid w:val="00F0197E"/>
    <w:rsid w:val="00F02000"/>
    <w:rsid w:val="00F042DC"/>
    <w:rsid w:val="00F0531B"/>
    <w:rsid w:val="00F07556"/>
    <w:rsid w:val="00F07B74"/>
    <w:rsid w:val="00F1262F"/>
    <w:rsid w:val="00F127F6"/>
    <w:rsid w:val="00F146DB"/>
    <w:rsid w:val="00F15AFD"/>
    <w:rsid w:val="00F15B46"/>
    <w:rsid w:val="00F26384"/>
    <w:rsid w:val="00F27080"/>
    <w:rsid w:val="00F30918"/>
    <w:rsid w:val="00F30B48"/>
    <w:rsid w:val="00F31A84"/>
    <w:rsid w:val="00F31FF2"/>
    <w:rsid w:val="00F321EB"/>
    <w:rsid w:val="00F32AAD"/>
    <w:rsid w:val="00F33731"/>
    <w:rsid w:val="00F340AF"/>
    <w:rsid w:val="00F3454C"/>
    <w:rsid w:val="00F346A1"/>
    <w:rsid w:val="00F350A1"/>
    <w:rsid w:val="00F367A9"/>
    <w:rsid w:val="00F36A49"/>
    <w:rsid w:val="00F42A69"/>
    <w:rsid w:val="00F42DDA"/>
    <w:rsid w:val="00F445B6"/>
    <w:rsid w:val="00F44C8F"/>
    <w:rsid w:val="00F46330"/>
    <w:rsid w:val="00F501E3"/>
    <w:rsid w:val="00F544C6"/>
    <w:rsid w:val="00F55918"/>
    <w:rsid w:val="00F559F0"/>
    <w:rsid w:val="00F5600E"/>
    <w:rsid w:val="00F613A2"/>
    <w:rsid w:val="00F62392"/>
    <w:rsid w:val="00F62E1E"/>
    <w:rsid w:val="00F65431"/>
    <w:rsid w:val="00F66677"/>
    <w:rsid w:val="00F6712E"/>
    <w:rsid w:val="00F67562"/>
    <w:rsid w:val="00F675D1"/>
    <w:rsid w:val="00F67ADC"/>
    <w:rsid w:val="00F7184F"/>
    <w:rsid w:val="00F73131"/>
    <w:rsid w:val="00F73C28"/>
    <w:rsid w:val="00F75936"/>
    <w:rsid w:val="00F7795B"/>
    <w:rsid w:val="00F81DB6"/>
    <w:rsid w:val="00F821DE"/>
    <w:rsid w:val="00F83334"/>
    <w:rsid w:val="00F833F1"/>
    <w:rsid w:val="00F850E7"/>
    <w:rsid w:val="00F869C9"/>
    <w:rsid w:val="00F94F91"/>
    <w:rsid w:val="00F95231"/>
    <w:rsid w:val="00F9528D"/>
    <w:rsid w:val="00F953AA"/>
    <w:rsid w:val="00F95C4F"/>
    <w:rsid w:val="00F96D73"/>
    <w:rsid w:val="00FA3025"/>
    <w:rsid w:val="00FA3448"/>
    <w:rsid w:val="00FA3AC8"/>
    <w:rsid w:val="00FA4172"/>
    <w:rsid w:val="00FA6D47"/>
    <w:rsid w:val="00FA6F26"/>
    <w:rsid w:val="00FB309A"/>
    <w:rsid w:val="00FB31B6"/>
    <w:rsid w:val="00FB32A7"/>
    <w:rsid w:val="00FB4251"/>
    <w:rsid w:val="00FB594F"/>
    <w:rsid w:val="00FB6458"/>
    <w:rsid w:val="00FB76F6"/>
    <w:rsid w:val="00FC0DCE"/>
    <w:rsid w:val="00FC10B3"/>
    <w:rsid w:val="00FC19D7"/>
    <w:rsid w:val="00FC3E94"/>
    <w:rsid w:val="00FC477A"/>
    <w:rsid w:val="00FC572E"/>
    <w:rsid w:val="00FC5EF1"/>
    <w:rsid w:val="00FD138E"/>
    <w:rsid w:val="00FD2AE6"/>
    <w:rsid w:val="00FD5303"/>
    <w:rsid w:val="00FD63DF"/>
    <w:rsid w:val="00FE1B0E"/>
    <w:rsid w:val="00FE2870"/>
    <w:rsid w:val="00FE2E07"/>
    <w:rsid w:val="00FE400E"/>
    <w:rsid w:val="00FE49F7"/>
    <w:rsid w:val="00FE5755"/>
    <w:rsid w:val="00FE5F35"/>
    <w:rsid w:val="00FE6D15"/>
    <w:rsid w:val="00FE71E5"/>
    <w:rsid w:val="00FF0A89"/>
    <w:rsid w:val="00FF0DBE"/>
    <w:rsid w:val="00FF38DC"/>
    <w:rsid w:val="00FF3E6F"/>
    <w:rsid w:val="00FF4650"/>
    <w:rsid w:val="00FF4FBA"/>
    <w:rsid w:val="00FF7CE7"/>
    <w:rsid w:val="021D0F93"/>
    <w:rsid w:val="04830CD2"/>
    <w:rsid w:val="057C58B2"/>
    <w:rsid w:val="06386827"/>
    <w:rsid w:val="06CA47C0"/>
    <w:rsid w:val="077C22FC"/>
    <w:rsid w:val="0894078E"/>
    <w:rsid w:val="08B63668"/>
    <w:rsid w:val="09691B8A"/>
    <w:rsid w:val="0B467C08"/>
    <w:rsid w:val="0C386655"/>
    <w:rsid w:val="0C4646B0"/>
    <w:rsid w:val="0CAC4948"/>
    <w:rsid w:val="0DF9532E"/>
    <w:rsid w:val="0E6E3CBB"/>
    <w:rsid w:val="0EB1632C"/>
    <w:rsid w:val="0F67163D"/>
    <w:rsid w:val="0FBA7D0C"/>
    <w:rsid w:val="11494E5B"/>
    <w:rsid w:val="12827691"/>
    <w:rsid w:val="128A572B"/>
    <w:rsid w:val="12933319"/>
    <w:rsid w:val="13C4753B"/>
    <w:rsid w:val="15282801"/>
    <w:rsid w:val="15F158BF"/>
    <w:rsid w:val="16053E99"/>
    <w:rsid w:val="190B53E7"/>
    <w:rsid w:val="19465950"/>
    <w:rsid w:val="195E48FE"/>
    <w:rsid w:val="1A5F7042"/>
    <w:rsid w:val="1B5875F0"/>
    <w:rsid w:val="1BD73063"/>
    <w:rsid w:val="1C1831C4"/>
    <w:rsid w:val="1C755AB4"/>
    <w:rsid w:val="1D041CE2"/>
    <w:rsid w:val="1D60082E"/>
    <w:rsid w:val="1ED91A9C"/>
    <w:rsid w:val="1FFE4F20"/>
    <w:rsid w:val="2000208D"/>
    <w:rsid w:val="20072C23"/>
    <w:rsid w:val="227E38AE"/>
    <w:rsid w:val="22FF7A6F"/>
    <w:rsid w:val="24C61CB9"/>
    <w:rsid w:val="24D965A6"/>
    <w:rsid w:val="255332AF"/>
    <w:rsid w:val="260841DE"/>
    <w:rsid w:val="268A0FF9"/>
    <w:rsid w:val="26C93FB6"/>
    <w:rsid w:val="26D717B8"/>
    <w:rsid w:val="28033FDC"/>
    <w:rsid w:val="2814341F"/>
    <w:rsid w:val="28FF7F80"/>
    <w:rsid w:val="2905127E"/>
    <w:rsid w:val="2906016E"/>
    <w:rsid w:val="2C1F0DB8"/>
    <w:rsid w:val="2D541A5D"/>
    <w:rsid w:val="2DEE6D47"/>
    <w:rsid w:val="2EE9724F"/>
    <w:rsid w:val="30702BBA"/>
    <w:rsid w:val="30A6777C"/>
    <w:rsid w:val="30CF778B"/>
    <w:rsid w:val="30E81B43"/>
    <w:rsid w:val="313D47D6"/>
    <w:rsid w:val="333A7940"/>
    <w:rsid w:val="33BB2EC8"/>
    <w:rsid w:val="34052A0C"/>
    <w:rsid w:val="349F5937"/>
    <w:rsid w:val="351F2F6B"/>
    <w:rsid w:val="35661288"/>
    <w:rsid w:val="366E663A"/>
    <w:rsid w:val="374C3AAB"/>
    <w:rsid w:val="3888582F"/>
    <w:rsid w:val="388A2D14"/>
    <w:rsid w:val="38DE332C"/>
    <w:rsid w:val="393A4330"/>
    <w:rsid w:val="3B7C09F0"/>
    <w:rsid w:val="3BF21945"/>
    <w:rsid w:val="3C574020"/>
    <w:rsid w:val="3D201A74"/>
    <w:rsid w:val="3ED5422C"/>
    <w:rsid w:val="3F162955"/>
    <w:rsid w:val="3F1E7077"/>
    <w:rsid w:val="40E67721"/>
    <w:rsid w:val="414E4542"/>
    <w:rsid w:val="4182092A"/>
    <w:rsid w:val="42950137"/>
    <w:rsid w:val="43590E76"/>
    <w:rsid w:val="44F11A7C"/>
    <w:rsid w:val="469D3D42"/>
    <w:rsid w:val="46C976FF"/>
    <w:rsid w:val="47981429"/>
    <w:rsid w:val="482515A1"/>
    <w:rsid w:val="483568BD"/>
    <w:rsid w:val="4ACE77E0"/>
    <w:rsid w:val="4B024C27"/>
    <w:rsid w:val="4B1B6BCC"/>
    <w:rsid w:val="4B5B0FCD"/>
    <w:rsid w:val="4BD003CA"/>
    <w:rsid w:val="4BDF36EB"/>
    <w:rsid w:val="4C816A8C"/>
    <w:rsid w:val="4D4513CC"/>
    <w:rsid w:val="4D8E7FDC"/>
    <w:rsid w:val="4E3630A3"/>
    <w:rsid w:val="4FF26819"/>
    <w:rsid w:val="50E7376D"/>
    <w:rsid w:val="527B1259"/>
    <w:rsid w:val="527C5645"/>
    <w:rsid w:val="53021AEE"/>
    <w:rsid w:val="53F727DF"/>
    <w:rsid w:val="54036C58"/>
    <w:rsid w:val="540E7263"/>
    <w:rsid w:val="55752747"/>
    <w:rsid w:val="55F2009D"/>
    <w:rsid w:val="56573605"/>
    <w:rsid w:val="566008D7"/>
    <w:rsid w:val="57380881"/>
    <w:rsid w:val="57572A3A"/>
    <w:rsid w:val="58D31DAF"/>
    <w:rsid w:val="59455A4C"/>
    <w:rsid w:val="5956071F"/>
    <w:rsid w:val="5A7B25A9"/>
    <w:rsid w:val="5ABC5EF0"/>
    <w:rsid w:val="5ACB56E0"/>
    <w:rsid w:val="5BA118AF"/>
    <w:rsid w:val="5CFC59EB"/>
    <w:rsid w:val="5DD326D4"/>
    <w:rsid w:val="5E8E70E7"/>
    <w:rsid w:val="5ED16223"/>
    <w:rsid w:val="5F9429A5"/>
    <w:rsid w:val="5FA43462"/>
    <w:rsid w:val="602137D0"/>
    <w:rsid w:val="60CD288A"/>
    <w:rsid w:val="61FB500B"/>
    <w:rsid w:val="623417D2"/>
    <w:rsid w:val="6240236C"/>
    <w:rsid w:val="624D1DDB"/>
    <w:rsid w:val="62E0779F"/>
    <w:rsid w:val="63777A38"/>
    <w:rsid w:val="63E80B2D"/>
    <w:rsid w:val="661B78FF"/>
    <w:rsid w:val="665A5FAA"/>
    <w:rsid w:val="66C2324E"/>
    <w:rsid w:val="66F16462"/>
    <w:rsid w:val="672D7318"/>
    <w:rsid w:val="685C3B82"/>
    <w:rsid w:val="693427C5"/>
    <w:rsid w:val="699F29DF"/>
    <w:rsid w:val="69B93DF4"/>
    <w:rsid w:val="69E0064F"/>
    <w:rsid w:val="6B26541A"/>
    <w:rsid w:val="6C4B2622"/>
    <w:rsid w:val="6D6353C9"/>
    <w:rsid w:val="7013236B"/>
    <w:rsid w:val="70B17662"/>
    <w:rsid w:val="71271141"/>
    <w:rsid w:val="7162715C"/>
    <w:rsid w:val="71846319"/>
    <w:rsid w:val="71CF4EC0"/>
    <w:rsid w:val="72395053"/>
    <w:rsid w:val="72CA1C2C"/>
    <w:rsid w:val="73D12007"/>
    <w:rsid w:val="73D776AE"/>
    <w:rsid w:val="74694017"/>
    <w:rsid w:val="75D048F4"/>
    <w:rsid w:val="76E043EA"/>
    <w:rsid w:val="790C56D7"/>
    <w:rsid w:val="795904AE"/>
    <w:rsid w:val="7A222695"/>
    <w:rsid w:val="7B5D3F4F"/>
    <w:rsid w:val="7B9C756A"/>
    <w:rsid w:val="7CB41A87"/>
    <w:rsid w:val="7CED1725"/>
    <w:rsid w:val="7E2F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spacing w:line="380" w:lineRule="exact"/>
      <w:jc w:val="center"/>
      <w:outlineLvl w:val="0"/>
    </w:pPr>
    <w:rPr>
      <w:rFonts w:ascii="宋体"/>
      <w:b/>
      <w:bCs/>
      <w:sz w:val="28"/>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5"/>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59"/>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90"/>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78"/>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114"/>
    <w:qFormat/>
    <w:uiPriority w:val="0"/>
    <w:pPr>
      <w:keepNext/>
      <w:keepLines/>
      <w:spacing w:before="240" w:after="64" w:line="320" w:lineRule="auto"/>
      <w:outlineLvl w:val="8"/>
    </w:pPr>
    <w:rPr>
      <w:rFonts w:ascii="黑体" w:hAnsi="黑体" w:eastAsia="楷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8"/>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qFormat/>
    <w:uiPriority w:val="0"/>
    <w:pPr>
      <w:ind w:left="2520" w:leftChars="1200"/>
    </w:pPr>
    <w:rPr>
      <w:szCs w:val="24"/>
    </w:rPr>
  </w:style>
  <w:style w:type="paragraph" w:styleId="13">
    <w:name w:val="List Number"/>
    <w:basedOn w:val="1"/>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qFormat/>
    <w:uiPriority w:val="0"/>
    <w:rPr>
      <w:rFonts w:ascii="黑体" w:hAnsi="黑体" w:eastAsia="楷体" w:cs="黑体"/>
      <w:sz w:val="20"/>
    </w:rPr>
  </w:style>
  <w:style w:type="paragraph" w:styleId="15">
    <w:name w:val="Document Map"/>
    <w:basedOn w:val="1"/>
    <w:link w:val="70"/>
    <w:qFormat/>
    <w:uiPriority w:val="0"/>
    <w:pPr>
      <w:shd w:val="clear" w:color="auto" w:fill="000080"/>
    </w:pPr>
  </w:style>
  <w:style w:type="paragraph" w:styleId="16">
    <w:name w:val="annotation text"/>
    <w:basedOn w:val="1"/>
    <w:link w:val="123"/>
    <w:qFormat/>
    <w:uiPriority w:val="0"/>
    <w:pPr>
      <w:jc w:val="left"/>
    </w:pPr>
  </w:style>
  <w:style w:type="paragraph" w:styleId="17">
    <w:name w:val="Body Text"/>
    <w:basedOn w:val="1"/>
    <w:next w:val="18"/>
    <w:link w:val="102"/>
    <w:qFormat/>
    <w:uiPriority w:val="0"/>
    <w:pPr>
      <w:spacing w:after="120"/>
    </w:pPr>
  </w:style>
  <w:style w:type="paragraph" w:styleId="18">
    <w:name w:val="Body Text First Indent"/>
    <w:basedOn w:val="17"/>
    <w:link w:val="118"/>
    <w:qFormat/>
    <w:uiPriority w:val="0"/>
    <w:pPr>
      <w:ind w:firstLine="420" w:firstLineChars="100"/>
    </w:pPr>
    <w:rPr>
      <w:szCs w:val="24"/>
    </w:rPr>
  </w:style>
  <w:style w:type="paragraph" w:styleId="19">
    <w:name w:val="Body Text Indent"/>
    <w:basedOn w:val="1"/>
    <w:link w:val="85"/>
    <w:qFormat/>
    <w:uiPriority w:val="0"/>
    <w:pPr>
      <w:spacing w:line="380" w:lineRule="exact"/>
      <w:ind w:firstLine="480"/>
    </w:pPr>
    <w:rPr>
      <w:rFonts w:eastAsia="方正书宋简体"/>
      <w:sz w:val="24"/>
    </w:rPr>
  </w:style>
  <w:style w:type="paragraph" w:styleId="20">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2">
    <w:name w:val="toc 5"/>
    <w:basedOn w:val="1"/>
    <w:next w:val="1"/>
    <w:qFormat/>
    <w:uiPriority w:val="0"/>
    <w:pPr>
      <w:ind w:left="1680" w:leftChars="800"/>
    </w:pPr>
    <w:rPr>
      <w:szCs w:val="24"/>
    </w:rPr>
  </w:style>
  <w:style w:type="paragraph" w:styleId="23">
    <w:name w:val="toc 3"/>
    <w:basedOn w:val="1"/>
    <w:next w:val="1"/>
    <w:qFormat/>
    <w:uiPriority w:val="0"/>
    <w:pPr>
      <w:tabs>
        <w:tab w:val="left" w:pos="1236"/>
        <w:tab w:val="right" w:leader="dot" w:pos="8789"/>
      </w:tabs>
      <w:ind w:left="840" w:leftChars="400"/>
    </w:pPr>
  </w:style>
  <w:style w:type="paragraph" w:styleId="24">
    <w:name w:val="Plain Text"/>
    <w:basedOn w:val="1"/>
    <w:link w:val="120"/>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5">
    <w:name w:val="toc 8"/>
    <w:basedOn w:val="1"/>
    <w:next w:val="1"/>
    <w:qFormat/>
    <w:uiPriority w:val="0"/>
    <w:pPr>
      <w:ind w:left="2940" w:leftChars="1400"/>
    </w:pPr>
    <w:rPr>
      <w:szCs w:val="24"/>
    </w:rPr>
  </w:style>
  <w:style w:type="paragraph" w:styleId="26">
    <w:name w:val="Date"/>
    <w:basedOn w:val="1"/>
    <w:next w:val="1"/>
    <w:link w:val="106"/>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127"/>
    <w:qFormat/>
    <w:uiPriority w:val="0"/>
    <w:pPr>
      <w:spacing w:line="380" w:lineRule="exact"/>
      <w:ind w:left="840" w:hanging="45"/>
    </w:pPr>
    <w:rPr>
      <w:rFonts w:ascii="宋体"/>
      <w:sz w:val="24"/>
    </w:rPr>
  </w:style>
  <w:style w:type="paragraph" w:styleId="28">
    <w:name w:val="Balloon Text"/>
    <w:basedOn w:val="1"/>
    <w:link w:val="79"/>
    <w:qFormat/>
    <w:uiPriority w:val="0"/>
    <w:rPr>
      <w:sz w:val="18"/>
      <w:szCs w:val="18"/>
    </w:rPr>
  </w:style>
  <w:style w:type="paragraph" w:styleId="29">
    <w:name w:val="footer"/>
    <w:basedOn w:val="1"/>
    <w:link w:val="99"/>
    <w:qFormat/>
    <w:uiPriority w:val="99"/>
    <w:pPr>
      <w:tabs>
        <w:tab w:val="center" w:pos="4153"/>
        <w:tab w:val="right" w:pos="8306"/>
      </w:tabs>
      <w:snapToGrid w:val="0"/>
      <w:jc w:val="left"/>
    </w:pPr>
    <w:rPr>
      <w:sz w:val="18"/>
      <w:szCs w:val="18"/>
    </w:rPr>
  </w:style>
  <w:style w:type="paragraph" w:styleId="30">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middleDot" w:pos="8789"/>
      </w:tabs>
      <w:spacing w:line="360" w:lineRule="auto"/>
    </w:pPr>
    <w:rPr>
      <w:sz w:val="24"/>
    </w:rPr>
  </w:style>
  <w:style w:type="paragraph" w:styleId="32">
    <w:name w:val="toc 4"/>
    <w:basedOn w:val="1"/>
    <w:next w:val="1"/>
    <w:qFormat/>
    <w:uiPriority w:val="0"/>
    <w:pPr>
      <w:ind w:left="1260" w:leftChars="600"/>
    </w:pPr>
    <w:rPr>
      <w:szCs w:val="24"/>
    </w:rPr>
  </w:style>
  <w:style w:type="paragraph" w:styleId="33">
    <w:name w:val="List"/>
    <w:basedOn w:val="1"/>
    <w:qFormat/>
    <w:uiPriority w:val="0"/>
    <w:pPr>
      <w:ind w:left="200" w:hanging="200" w:hangingChars="200"/>
    </w:pPr>
  </w:style>
  <w:style w:type="paragraph" w:styleId="34">
    <w:name w:val="toc 6"/>
    <w:basedOn w:val="1"/>
    <w:next w:val="1"/>
    <w:qFormat/>
    <w:uiPriority w:val="0"/>
    <w:pPr>
      <w:ind w:left="2100" w:leftChars="1000"/>
    </w:pPr>
    <w:rPr>
      <w:szCs w:val="24"/>
    </w:rPr>
  </w:style>
  <w:style w:type="paragraph" w:styleId="35">
    <w:name w:val="List 5"/>
    <w:basedOn w:val="1"/>
    <w:qFormat/>
    <w:uiPriority w:val="0"/>
    <w:pPr>
      <w:ind w:left="100" w:leftChars="800" w:hanging="200" w:hangingChars="200"/>
    </w:pPr>
    <w:rPr>
      <w:rFonts w:ascii="Arial" w:hAnsi="Arial" w:cs="Arial"/>
    </w:rPr>
  </w:style>
  <w:style w:type="paragraph" w:styleId="36">
    <w:name w:val="Body Text Indent 3"/>
    <w:basedOn w:val="1"/>
    <w:link w:val="73"/>
    <w:qFormat/>
    <w:uiPriority w:val="0"/>
    <w:pPr>
      <w:spacing w:line="380" w:lineRule="exact"/>
      <w:ind w:left="525"/>
    </w:pPr>
    <w:rPr>
      <w:rFonts w:ascii="宋体"/>
      <w:sz w:val="24"/>
    </w:rPr>
  </w:style>
  <w:style w:type="paragraph" w:styleId="37">
    <w:name w:val="toc 2"/>
    <w:basedOn w:val="1"/>
    <w:next w:val="1"/>
    <w:qFormat/>
    <w:uiPriority w:val="39"/>
    <w:pPr>
      <w:tabs>
        <w:tab w:val="right" w:leader="middleDot" w:pos="8789"/>
      </w:tabs>
      <w:spacing w:after="60"/>
      <w:ind w:left="420" w:leftChars="200"/>
    </w:pPr>
  </w:style>
  <w:style w:type="paragraph" w:styleId="38">
    <w:name w:val="toc 9"/>
    <w:basedOn w:val="1"/>
    <w:next w:val="1"/>
    <w:qFormat/>
    <w:uiPriority w:val="0"/>
    <w:pPr>
      <w:ind w:left="3360" w:leftChars="1600"/>
    </w:pPr>
    <w:rPr>
      <w:szCs w:val="24"/>
    </w:rPr>
  </w:style>
  <w:style w:type="paragraph" w:styleId="39">
    <w:name w:val="Body Text 2"/>
    <w:basedOn w:val="1"/>
    <w:link w:val="100"/>
    <w:qFormat/>
    <w:uiPriority w:val="0"/>
    <w:rPr>
      <w:rFonts w:ascii="Arial" w:hAnsi="Arial"/>
      <w:kern w:val="0"/>
      <w:sz w:val="24"/>
      <w:szCs w:val="24"/>
    </w:rPr>
  </w:style>
  <w:style w:type="paragraph" w:styleId="40">
    <w:name w:val="HTML Preformatted"/>
    <w:basedOn w:val="1"/>
    <w:link w:val="57"/>
    <w:qFormat/>
    <w:uiPriority w:val="0"/>
    <w:rPr>
      <w:rFonts w:ascii="Courier New" w:hAnsi="Courier New"/>
      <w:sz w:val="20"/>
    </w:rPr>
  </w:style>
  <w:style w:type="paragraph" w:styleId="41">
    <w:name w:val="Normal (Web)"/>
    <w:basedOn w:val="1"/>
    <w:qFormat/>
    <w:uiPriority w:val="0"/>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2">
    <w:name w:val="Title"/>
    <w:basedOn w:val="1"/>
    <w:next w:val="1"/>
    <w:link w:val="74"/>
    <w:qFormat/>
    <w:uiPriority w:val="99"/>
    <w:pPr>
      <w:spacing w:before="240" w:after="60"/>
      <w:jc w:val="center"/>
      <w:outlineLvl w:val="0"/>
    </w:pPr>
    <w:rPr>
      <w:rFonts w:ascii="Cambria" w:hAnsi="Cambria"/>
      <w:b/>
      <w:bCs/>
      <w:sz w:val="32"/>
      <w:szCs w:val="32"/>
    </w:rPr>
  </w:style>
  <w:style w:type="paragraph" w:styleId="43">
    <w:name w:val="annotation subject"/>
    <w:basedOn w:val="16"/>
    <w:next w:val="16"/>
    <w:link w:val="107"/>
    <w:qFormat/>
    <w:uiPriority w:val="0"/>
    <w:rPr>
      <w:b/>
      <w:bCs/>
    </w:rPr>
  </w:style>
  <w:style w:type="paragraph" w:styleId="44">
    <w:name w:val="Body Text First Indent 2"/>
    <w:basedOn w:val="19"/>
    <w:link w:val="77"/>
    <w:qFormat/>
    <w:uiPriority w:val="99"/>
    <w:pPr>
      <w:spacing w:after="120" w:line="240" w:lineRule="auto"/>
      <w:ind w:left="420" w:leftChars="200" w:firstLine="420" w:firstLineChars="2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正文1"/>
    <w:basedOn w:val="1"/>
    <w:next w:val="1"/>
    <w:qFormat/>
    <w:uiPriority w:val="0"/>
    <w:pPr>
      <w:tabs>
        <w:tab w:val="left" w:pos="306"/>
      </w:tabs>
      <w:spacing w:line="360" w:lineRule="auto"/>
      <w:ind w:left="306" w:hanging="360"/>
      <w:jc w:val="left"/>
    </w:pPr>
    <w:rPr>
      <w:rFonts w:ascii="宋体" w:hAnsi="宋体"/>
      <w:spacing w:val="4"/>
      <w:sz w:val="18"/>
    </w:rPr>
  </w:style>
  <w:style w:type="character" w:customStyle="1" w:styleId="53">
    <w:name w:val="标题 1 字符"/>
    <w:link w:val="2"/>
    <w:qFormat/>
    <w:uiPriority w:val="0"/>
    <w:rPr>
      <w:rFonts w:ascii="宋体" w:eastAsia="宋体"/>
      <w:b/>
      <w:bCs/>
      <w:kern w:val="2"/>
      <w:sz w:val="28"/>
      <w:lang w:val="en-US" w:eastAsia="zh-CN" w:bidi="ar-SA"/>
    </w:rPr>
  </w:style>
  <w:style w:type="character" w:customStyle="1" w:styleId="54">
    <w:name w:val="标题 2 字符"/>
    <w:link w:val="3"/>
    <w:qFormat/>
    <w:uiPriority w:val="0"/>
    <w:rPr>
      <w:rFonts w:ascii="Arial" w:hAnsi="Arial" w:eastAsia="黑体"/>
      <w:b/>
      <w:bCs/>
      <w:kern w:val="2"/>
      <w:sz w:val="32"/>
      <w:szCs w:val="32"/>
      <w:lang w:val="en-US" w:eastAsia="zh-CN" w:bidi="ar-SA"/>
    </w:rPr>
  </w:style>
  <w:style w:type="character" w:customStyle="1" w:styleId="55">
    <w:name w:val="标题 3 字符"/>
    <w:link w:val="4"/>
    <w:qFormat/>
    <w:uiPriority w:val="0"/>
    <w:rPr>
      <w:rFonts w:eastAsia="宋体"/>
      <w:b/>
      <w:bCs/>
      <w:kern w:val="2"/>
      <w:sz w:val="32"/>
      <w:szCs w:val="32"/>
      <w:lang w:val="en-US" w:eastAsia="zh-CN" w:bidi="ar-SA"/>
    </w:rPr>
  </w:style>
  <w:style w:type="character" w:customStyle="1" w:styleId="56">
    <w:name w:val="标题 4 字符"/>
    <w:link w:val="5"/>
    <w:qFormat/>
    <w:uiPriority w:val="0"/>
    <w:rPr>
      <w:rFonts w:ascii="Cambria" w:hAnsi="Cambria" w:eastAsia="宋体"/>
      <w:b/>
      <w:bCs/>
      <w:kern w:val="2"/>
      <w:sz w:val="28"/>
      <w:szCs w:val="28"/>
      <w:lang w:val="en-US" w:eastAsia="zh-CN" w:bidi="ar-SA"/>
    </w:rPr>
  </w:style>
  <w:style w:type="character" w:customStyle="1" w:styleId="57">
    <w:name w:val="HTML 预设格式 字符"/>
    <w:link w:val="40"/>
    <w:qFormat/>
    <w:uiPriority w:val="0"/>
    <w:rPr>
      <w:rFonts w:ascii="Courier New" w:hAnsi="Courier New" w:cs="Courier New"/>
      <w:kern w:val="2"/>
    </w:rPr>
  </w:style>
  <w:style w:type="character" w:customStyle="1" w:styleId="58">
    <w:name w:val="正文缩进 字符"/>
    <w:link w:val="8"/>
    <w:qFormat/>
    <w:uiPriority w:val="0"/>
    <w:rPr>
      <w:rFonts w:ascii="宋体"/>
      <w:sz w:val="21"/>
    </w:rPr>
  </w:style>
  <w:style w:type="character" w:customStyle="1" w:styleId="59">
    <w:name w:val="标题 6 字符"/>
    <w:link w:val="7"/>
    <w:qFormat/>
    <w:uiPriority w:val="0"/>
    <w:rPr>
      <w:rFonts w:ascii="黑体" w:hAnsi="黑体" w:eastAsia="楷体"/>
      <w:b/>
      <w:kern w:val="2"/>
      <w:sz w:val="24"/>
    </w:rPr>
  </w:style>
  <w:style w:type="character" w:customStyle="1" w:styleId="60">
    <w:name w:val="文档结构图 Char Char"/>
    <w:link w:val="61"/>
    <w:qFormat/>
    <w:uiPriority w:val="0"/>
    <w:rPr>
      <w:rFonts w:ascii="Tahoma" w:hAnsi="Tahoma"/>
      <w:sz w:val="16"/>
      <w:szCs w:val="16"/>
    </w:rPr>
  </w:style>
  <w:style w:type="paragraph" w:customStyle="1" w:styleId="61">
    <w:name w:val="文档结构图1"/>
    <w:basedOn w:val="1"/>
    <w:link w:val="60"/>
    <w:qFormat/>
    <w:uiPriority w:val="0"/>
    <w:rPr>
      <w:rFonts w:ascii="Tahoma" w:hAnsi="Tahoma"/>
      <w:kern w:val="0"/>
      <w:sz w:val="16"/>
      <w:szCs w:val="16"/>
    </w:rPr>
  </w:style>
  <w:style w:type="character" w:customStyle="1" w:styleId="62">
    <w:name w:val="标题 1 Char Char"/>
    <w:qFormat/>
    <w:uiPriority w:val="0"/>
    <w:rPr>
      <w:rFonts w:eastAsia="宋体"/>
      <w:b/>
      <w:spacing w:val="-2"/>
      <w:sz w:val="24"/>
      <w:lang w:val="en-US" w:eastAsia="zh-CN" w:bidi="ar-SA"/>
    </w:rPr>
  </w:style>
  <w:style w:type="character" w:customStyle="1" w:styleId="63">
    <w:name w:val="段 Char Char"/>
    <w:link w:val="64"/>
    <w:qFormat/>
    <w:uiPriority w:val="0"/>
    <w:rPr>
      <w:rFonts w:ascii="宋体"/>
      <w:sz w:val="21"/>
      <w:lang w:val="en-US" w:eastAsia="zh-CN" w:bidi="ar-SA"/>
    </w:rPr>
  </w:style>
  <w:style w:type="paragraph" w:customStyle="1" w:styleId="64">
    <w:name w:val="段"/>
    <w:link w:val="6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5">
    <w:name w:val="Char Char18"/>
    <w:qFormat/>
    <w:uiPriority w:val="0"/>
    <w:rPr>
      <w:rFonts w:ascii="Arial" w:hAnsi="Arial" w:eastAsia="Century Gothic" w:cs="Times New Roman"/>
      <w:b/>
      <w:bCs/>
      <w:kern w:val="44"/>
      <w:sz w:val="44"/>
      <w:szCs w:val="44"/>
    </w:rPr>
  </w:style>
  <w:style w:type="character" w:customStyle="1" w:styleId="66">
    <w:name w:val="批注引用1"/>
    <w:qFormat/>
    <w:uiPriority w:val="0"/>
    <w:rPr>
      <w:sz w:val="21"/>
      <w:szCs w:val="21"/>
    </w:rPr>
  </w:style>
  <w:style w:type="character" w:customStyle="1" w:styleId="67">
    <w:name w:val="已访问的超链接1"/>
    <w:qFormat/>
    <w:uiPriority w:val="0"/>
    <w:rPr>
      <w:color w:val="800080"/>
      <w:u w:val="single"/>
    </w:rPr>
  </w:style>
  <w:style w:type="character" w:customStyle="1" w:styleId="68">
    <w:name w:val="Char Char12"/>
    <w:qFormat/>
    <w:uiPriority w:val="0"/>
    <w:rPr>
      <w:rFonts w:ascii="Century Gothic" w:hAnsi="Century Gothic" w:eastAsia="Century Gothic" w:cs="Arial"/>
      <w:sz w:val="24"/>
    </w:rPr>
  </w:style>
  <w:style w:type="character" w:customStyle="1" w:styleId="69">
    <w:name w:val="纯文本 Char Char"/>
    <w:qFormat/>
    <w:uiPriority w:val="0"/>
    <w:rPr>
      <w:rFonts w:ascii="宋体" w:hAnsi="Courier New" w:cs="Courier New"/>
      <w:kern w:val="2"/>
      <w:sz w:val="21"/>
      <w:szCs w:val="21"/>
    </w:rPr>
  </w:style>
  <w:style w:type="character" w:customStyle="1" w:styleId="70">
    <w:name w:val="文档结构图 字符"/>
    <w:link w:val="15"/>
    <w:qFormat/>
    <w:uiPriority w:val="0"/>
    <w:rPr>
      <w:kern w:val="2"/>
      <w:sz w:val="21"/>
      <w:shd w:val="clear" w:color="auto" w:fill="000080"/>
    </w:rPr>
  </w:style>
  <w:style w:type="character" w:customStyle="1" w:styleId="71">
    <w:name w:val="H4 Char1"/>
    <w:qFormat/>
    <w:uiPriority w:val="0"/>
    <w:rPr>
      <w:rFonts w:ascii="MS Sans Serif" w:hAnsi="仿宋_GB2312" w:eastAsia="MS Sans Serif" w:cs="Times New Roman"/>
      <w:snapToGrid w:val="0"/>
      <w:kern w:val="0"/>
      <w:sz w:val="24"/>
      <w:szCs w:val="20"/>
    </w:rPr>
  </w:style>
  <w:style w:type="character" w:customStyle="1" w:styleId="72">
    <w:name w:val="页眉 字符"/>
    <w:link w:val="30"/>
    <w:qFormat/>
    <w:uiPriority w:val="99"/>
    <w:rPr>
      <w:rFonts w:eastAsia="宋体"/>
      <w:kern w:val="2"/>
      <w:sz w:val="18"/>
      <w:szCs w:val="18"/>
      <w:lang w:val="en-US" w:eastAsia="zh-CN" w:bidi="ar-SA"/>
    </w:rPr>
  </w:style>
  <w:style w:type="character" w:customStyle="1" w:styleId="73">
    <w:name w:val="正文文本缩进 3 字符"/>
    <w:link w:val="36"/>
    <w:qFormat/>
    <w:uiPriority w:val="0"/>
    <w:rPr>
      <w:rFonts w:ascii="宋体" w:eastAsia="宋体"/>
      <w:kern w:val="2"/>
      <w:sz w:val="24"/>
      <w:lang w:val="en-US" w:eastAsia="zh-CN" w:bidi="ar-SA"/>
    </w:rPr>
  </w:style>
  <w:style w:type="character" w:customStyle="1" w:styleId="74">
    <w:name w:val="标题 字符"/>
    <w:link w:val="42"/>
    <w:qFormat/>
    <w:uiPriority w:val="99"/>
    <w:rPr>
      <w:rFonts w:ascii="Cambria" w:hAnsi="Cambria" w:cs="Times New Roman"/>
      <w:b/>
      <w:bCs/>
      <w:kern w:val="2"/>
      <w:sz w:val="32"/>
      <w:szCs w:val="32"/>
    </w:rPr>
  </w:style>
  <w:style w:type="character" w:customStyle="1" w:styleId="75">
    <w:name w:val="zbggtop11 style5"/>
    <w:basedOn w:val="47"/>
    <w:qFormat/>
    <w:uiPriority w:val="0"/>
  </w:style>
  <w:style w:type="character" w:customStyle="1" w:styleId="76">
    <w:name w:val="BOD 0 Char"/>
    <w:qFormat/>
    <w:uiPriority w:val="0"/>
    <w:rPr>
      <w:rFonts w:ascii="Calibri" w:hAnsi="Calibri" w:eastAsia="宋体" w:cs="Times New Roman"/>
      <w:b/>
      <w:bCs/>
      <w:sz w:val="32"/>
      <w:szCs w:val="32"/>
    </w:rPr>
  </w:style>
  <w:style w:type="character" w:customStyle="1" w:styleId="77">
    <w:name w:val="正文文本首行缩进 2 字符"/>
    <w:link w:val="44"/>
    <w:qFormat/>
    <w:uiPriority w:val="99"/>
    <w:rPr>
      <w:rFonts w:eastAsia="方正书宋简体"/>
      <w:kern w:val="2"/>
      <w:sz w:val="21"/>
      <w:lang w:val="en-US" w:eastAsia="zh-CN" w:bidi="ar-SA"/>
    </w:rPr>
  </w:style>
  <w:style w:type="character" w:customStyle="1" w:styleId="78">
    <w:name w:val="标题 8 字符"/>
    <w:link w:val="10"/>
    <w:qFormat/>
    <w:uiPriority w:val="0"/>
    <w:rPr>
      <w:rFonts w:ascii="黑体" w:hAnsi="黑体" w:eastAsia="楷体"/>
      <w:kern w:val="2"/>
      <w:sz w:val="24"/>
    </w:rPr>
  </w:style>
  <w:style w:type="character" w:customStyle="1" w:styleId="79">
    <w:name w:val="批注框文本 字符"/>
    <w:link w:val="28"/>
    <w:qFormat/>
    <w:uiPriority w:val="0"/>
    <w:rPr>
      <w:rFonts w:eastAsia="宋体"/>
      <w:kern w:val="2"/>
      <w:sz w:val="18"/>
      <w:szCs w:val="18"/>
      <w:lang w:val="en-US" w:eastAsia="zh-CN" w:bidi="ar-SA"/>
    </w:rPr>
  </w:style>
  <w:style w:type="character" w:customStyle="1" w:styleId="80">
    <w:name w:val="表格抬头 Char Char"/>
    <w:link w:val="81"/>
    <w:qFormat/>
    <w:uiPriority w:val="0"/>
    <w:rPr>
      <w:rFonts w:ascii="黑体" w:eastAsia="黑体"/>
      <w:b/>
    </w:rPr>
  </w:style>
  <w:style w:type="paragraph" w:customStyle="1" w:styleId="81">
    <w:name w:val="表格抬头"/>
    <w:basedOn w:val="1"/>
    <w:link w:val="80"/>
    <w:qFormat/>
    <w:uiPriority w:val="0"/>
    <w:pPr>
      <w:jc w:val="center"/>
    </w:pPr>
    <w:rPr>
      <w:rFonts w:ascii="黑体" w:eastAsia="黑体"/>
      <w:b/>
      <w:kern w:val="0"/>
      <w:sz w:val="20"/>
    </w:rPr>
  </w:style>
  <w:style w:type="character" w:customStyle="1" w:styleId="82">
    <w:name w:val="Char Char Char"/>
    <w:qFormat/>
    <w:uiPriority w:val="0"/>
    <w:rPr>
      <w:rFonts w:ascii="Courier New" w:eastAsia="Courier New"/>
      <w:color w:val="FF0000"/>
      <w:kern w:val="2"/>
      <w:sz w:val="24"/>
      <w:szCs w:val="24"/>
      <w:u w:val="single"/>
      <w:lang w:val="en-US" w:eastAsia="zh-CN" w:bidi="ar-SA"/>
    </w:rPr>
  </w:style>
  <w:style w:type="character" w:customStyle="1" w:styleId="83">
    <w:name w:val="font11"/>
    <w:basedOn w:val="47"/>
    <w:qFormat/>
    <w:uiPriority w:val="0"/>
    <w:rPr>
      <w:rFonts w:hint="default" w:ascii="Arial" w:hAnsi="Arial" w:cs="Arial"/>
      <w:color w:val="000000"/>
      <w:sz w:val="20"/>
      <w:szCs w:val="20"/>
      <w:u w:val="none"/>
    </w:rPr>
  </w:style>
  <w:style w:type="character" w:customStyle="1" w:styleId="84">
    <w:name w:val="标题 3 Char Char"/>
    <w:qFormat/>
    <w:uiPriority w:val="0"/>
    <w:rPr>
      <w:rFonts w:ascii="Times New Roman" w:hAnsi="Times New Roman" w:eastAsia="宋体" w:cs="Times New Roman"/>
      <w:kern w:val="0"/>
      <w:sz w:val="24"/>
      <w:szCs w:val="20"/>
    </w:rPr>
  </w:style>
  <w:style w:type="character" w:customStyle="1" w:styleId="85">
    <w:name w:val="正文文本缩进 字符"/>
    <w:link w:val="19"/>
    <w:qFormat/>
    <w:uiPriority w:val="0"/>
    <w:rPr>
      <w:rFonts w:eastAsia="方正书宋简体"/>
      <w:kern w:val="2"/>
      <w:sz w:val="24"/>
      <w:lang w:val="en-US" w:eastAsia="zh-CN" w:bidi="ar-SA"/>
    </w:rPr>
  </w:style>
  <w:style w:type="character" w:customStyle="1" w:styleId="86">
    <w:name w:val="font01"/>
    <w:qFormat/>
    <w:uiPriority w:val="0"/>
    <w:rPr>
      <w:rFonts w:hint="eastAsia" w:ascii="宋体" w:hAnsi="宋体" w:eastAsia="宋体" w:cs="宋体"/>
      <w:color w:val="000000"/>
      <w:sz w:val="24"/>
      <w:szCs w:val="24"/>
      <w:u w:val="none"/>
    </w:rPr>
  </w:style>
  <w:style w:type="character" w:customStyle="1" w:styleId="87">
    <w:name w:val="批注框文本 Char Char"/>
    <w:qFormat/>
    <w:uiPriority w:val="0"/>
    <w:rPr>
      <w:rFonts w:ascii="Calibri" w:hAnsi="Calibri" w:eastAsia="宋体" w:cs="Times New Roman"/>
      <w:sz w:val="16"/>
      <w:szCs w:val="16"/>
    </w:rPr>
  </w:style>
  <w:style w:type="character" w:customStyle="1" w:styleId="88">
    <w:name w:val="正文文本缩进 2 Char Char"/>
    <w:qFormat/>
    <w:uiPriority w:val="0"/>
    <w:rPr>
      <w:rFonts w:ascii="宋体" w:eastAsia="宋体"/>
      <w:kern w:val="2"/>
      <w:sz w:val="24"/>
      <w:lang w:val="en-US" w:eastAsia="zh-CN" w:bidi="ar-SA"/>
    </w:rPr>
  </w:style>
  <w:style w:type="character" w:customStyle="1" w:styleId="89">
    <w:name w:val="正文文本 Char Char"/>
    <w:qFormat/>
    <w:uiPriority w:val="0"/>
    <w:rPr>
      <w:rFonts w:ascii="Calibri" w:hAnsi="Calibri" w:eastAsia="宋体" w:cs="Times New Roman"/>
    </w:rPr>
  </w:style>
  <w:style w:type="character" w:customStyle="1" w:styleId="90">
    <w:name w:val="标题 7 字符"/>
    <w:link w:val="9"/>
    <w:qFormat/>
    <w:uiPriority w:val="0"/>
    <w:rPr>
      <w:rFonts w:ascii="Arial" w:hAnsi="Arial"/>
      <w:b/>
      <w:kern w:val="2"/>
      <w:sz w:val="24"/>
    </w:rPr>
  </w:style>
  <w:style w:type="character" w:customStyle="1" w:styleId="91">
    <w:name w:val="H4 Char"/>
    <w:qFormat/>
    <w:uiPriority w:val="0"/>
    <w:rPr>
      <w:rFonts w:ascii="Arial" w:hAnsi="Arial" w:eastAsia="黑体" w:cs="Times New Roman"/>
      <w:b/>
      <w:bCs/>
      <w:sz w:val="28"/>
      <w:szCs w:val="28"/>
    </w:rPr>
  </w:style>
  <w:style w:type="character" w:customStyle="1" w:styleId="92">
    <w:name w:val="Char Char10"/>
    <w:qFormat/>
    <w:uiPriority w:val="0"/>
    <w:rPr>
      <w:rFonts w:ascii="宋体" w:eastAsia="宋体"/>
      <w:kern w:val="2"/>
      <w:sz w:val="24"/>
      <w:lang w:val="en-US" w:eastAsia="zh-CN" w:bidi="ar-SA"/>
    </w:rPr>
  </w:style>
  <w:style w:type="character" w:customStyle="1" w:styleId="93">
    <w:name w:val="tpc_content1"/>
    <w:qFormat/>
    <w:uiPriority w:val="0"/>
    <w:rPr>
      <w:sz w:val="20"/>
      <w:szCs w:val="20"/>
    </w:rPr>
  </w:style>
  <w:style w:type="character" w:customStyle="1" w:styleId="94">
    <w:name w:val="标题 4 Char Char"/>
    <w:qFormat/>
    <w:uiPriority w:val="0"/>
    <w:rPr>
      <w:rFonts w:ascii="Times New Roman" w:hAnsi="Times New Roman" w:eastAsia="宋体" w:cs="Times New Roman"/>
      <w:sz w:val="24"/>
      <w:szCs w:val="20"/>
    </w:rPr>
  </w:style>
  <w:style w:type="character" w:customStyle="1" w:styleId="95">
    <w:name w:val="标题 5 字符"/>
    <w:link w:val="6"/>
    <w:qFormat/>
    <w:uiPriority w:val="0"/>
    <w:rPr>
      <w:rFonts w:ascii="MS Sans Serif" w:hAnsi="Arial" w:eastAsia="MS Sans Serif"/>
      <w:sz w:val="24"/>
    </w:rPr>
  </w:style>
  <w:style w:type="character" w:customStyle="1" w:styleId="96">
    <w:name w:val="标题 Char Char"/>
    <w:qFormat/>
    <w:uiPriority w:val="0"/>
    <w:rPr>
      <w:rFonts w:ascii="Cambria" w:hAnsi="Cambria" w:eastAsia="宋体" w:cs="Times New Roman"/>
      <w:b/>
      <w:bCs/>
      <w:sz w:val="32"/>
      <w:szCs w:val="32"/>
    </w:rPr>
  </w:style>
  <w:style w:type="character" w:customStyle="1" w:styleId="97">
    <w:name w:val="Char Char13"/>
    <w:qFormat/>
    <w:uiPriority w:val="0"/>
    <w:rPr>
      <w:rFonts w:eastAsia="方正书宋简体"/>
      <w:kern w:val="2"/>
      <w:sz w:val="24"/>
      <w:lang w:val="en-US" w:eastAsia="zh-CN" w:bidi="ar-SA"/>
    </w:rPr>
  </w:style>
  <w:style w:type="character" w:customStyle="1" w:styleId="98">
    <w:name w:val="Char Char Char Char Char Char"/>
    <w:qFormat/>
    <w:uiPriority w:val="0"/>
    <w:rPr>
      <w:rFonts w:ascii="宋体" w:hAnsi="Courier New"/>
      <w:kern w:val="2"/>
      <w:sz w:val="24"/>
      <w:szCs w:val="24"/>
    </w:rPr>
  </w:style>
  <w:style w:type="character" w:customStyle="1" w:styleId="99">
    <w:name w:val="页脚 字符"/>
    <w:link w:val="29"/>
    <w:qFormat/>
    <w:uiPriority w:val="99"/>
    <w:rPr>
      <w:rFonts w:eastAsia="宋体"/>
      <w:kern w:val="2"/>
      <w:sz w:val="18"/>
      <w:szCs w:val="18"/>
      <w:lang w:val="en-US" w:eastAsia="zh-CN" w:bidi="ar-SA"/>
    </w:rPr>
  </w:style>
  <w:style w:type="character" w:customStyle="1" w:styleId="100">
    <w:name w:val="正文文本 2 字符"/>
    <w:link w:val="39"/>
    <w:qFormat/>
    <w:uiPriority w:val="0"/>
    <w:rPr>
      <w:rFonts w:ascii="Arial" w:hAnsi="Arial"/>
      <w:sz w:val="24"/>
      <w:szCs w:val="24"/>
    </w:rPr>
  </w:style>
  <w:style w:type="character" w:customStyle="1" w:styleId="101">
    <w:name w:val="页眉 Char Char"/>
    <w:qFormat/>
    <w:uiPriority w:val="0"/>
    <w:rPr>
      <w:rFonts w:ascii="Calibri" w:hAnsi="Calibri" w:eastAsia="宋体" w:cs="Times New Roman"/>
      <w:sz w:val="18"/>
      <w:szCs w:val="18"/>
    </w:rPr>
  </w:style>
  <w:style w:type="character" w:customStyle="1" w:styleId="102">
    <w:name w:val="正文文本 字符"/>
    <w:link w:val="17"/>
    <w:qFormat/>
    <w:uiPriority w:val="0"/>
    <w:rPr>
      <w:kern w:val="2"/>
      <w:sz w:val="21"/>
    </w:rPr>
  </w:style>
  <w:style w:type="character" w:customStyle="1" w:styleId="103">
    <w:name w:val="pagename"/>
    <w:basedOn w:val="47"/>
    <w:qFormat/>
    <w:uiPriority w:val="0"/>
  </w:style>
  <w:style w:type="character" w:customStyle="1" w:styleId="104">
    <w:name w:val="正文文本缩进 Char Char"/>
    <w:qFormat/>
    <w:uiPriority w:val="0"/>
    <w:rPr>
      <w:kern w:val="2"/>
      <w:sz w:val="21"/>
      <w:szCs w:val="24"/>
    </w:rPr>
  </w:style>
  <w:style w:type="character" w:customStyle="1" w:styleId="105">
    <w:name w:val="Char Char21"/>
    <w:qFormat/>
    <w:uiPriority w:val="0"/>
    <w:rPr>
      <w:rFonts w:eastAsia="Century Gothic"/>
      <w:b/>
      <w:bCs/>
      <w:kern w:val="44"/>
      <w:sz w:val="32"/>
      <w:szCs w:val="44"/>
      <w:lang w:val="en-US" w:eastAsia="zh-CN" w:bidi="ar-SA"/>
    </w:rPr>
  </w:style>
  <w:style w:type="character" w:customStyle="1" w:styleId="106">
    <w:name w:val="日期 字符"/>
    <w:link w:val="26"/>
    <w:qFormat/>
    <w:uiPriority w:val="0"/>
    <w:rPr>
      <w:rFonts w:ascii="宋体" w:eastAsia="宋体"/>
      <w:sz w:val="24"/>
      <w:lang w:val="en-US" w:eastAsia="zh-CN" w:bidi="ar-SA"/>
    </w:rPr>
  </w:style>
  <w:style w:type="character" w:customStyle="1" w:styleId="107">
    <w:name w:val="批注主题 字符"/>
    <w:link w:val="43"/>
    <w:qFormat/>
    <w:uiPriority w:val="0"/>
    <w:rPr>
      <w:rFonts w:eastAsia="宋体"/>
      <w:b/>
      <w:bCs/>
      <w:kern w:val="2"/>
      <w:sz w:val="21"/>
      <w:lang w:val="en-US" w:eastAsia="zh-CN" w:bidi="ar-SA"/>
    </w:rPr>
  </w:style>
  <w:style w:type="character" w:customStyle="1" w:styleId="108">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09">
    <w:name w:val="页脚 Char Char"/>
    <w:qFormat/>
    <w:uiPriority w:val="0"/>
    <w:rPr>
      <w:rFonts w:ascii="Calibri" w:hAnsi="Calibri" w:eastAsia="宋体" w:cs="Times New Roman"/>
      <w:sz w:val="18"/>
      <w:szCs w:val="18"/>
    </w:rPr>
  </w:style>
  <w:style w:type="character" w:customStyle="1" w:styleId="110">
    <w:name w:val="标准文本 Char Char"/>
    <w:link w:val="111"/>
    <w:qFormat/>
    <w:uiPriority w:val="0"/>
    <w:rPr>
      <w:rFonts w:ascii="Arial" w:hAnsi="Arial"/>
      <w:sz w:val="24"/>
    </w:rPr>
  </w:style>
  <w:style w:type="paragraph" w:customStyle="1" w:styleId="111">
    <w:name w:val="标准文本"/>
    <w:basedOn w:val="1"/>
    <w:link w:val="110"/>
    <w:qFormat/>
    <w:uiPriority w:val="0"/>
    <w:pPr>
      <w:spacing w:line="360" w:lineRule="auto"/>
      <w:ind w:firstLine="480" w:firstLineChars="200"/>
    </w:pPr>
    <w:rPr>
      <w:rFonts w:ascii="Arial" w:hAnsi="Arial"/>
      <w:kern w:val="0"/>
      <w:sz w:val="24"/>
    </w:rPr>
  </w:style>
  <w:style w:type="character" w:customStyle="1" w:styleId="112">
    <w:name w:val="正文标准 Char Char"/>
    <w:link w:val="113"/>
    <w:qFormat/>
    <w:uiPriority w:val="0"/>
    <w:rPr>
      <w:rFonts w:ascii="Arial" w:hAnsi="Arial"/>
      <w:sz w:val="24"/>
      <w:szCs w:val="21"/>
    </w:rPr>
  </w:style>
  <w:style w:type="paragraph" w:customStyle="1" w:styleId="113">
    <w:name w:val="正文标准"/>
    <w:basedOn w:val="1"/>
    <w:link w:val="112"/>
    <w:qFormat/>
    <w:uiPriority w:val="0"/>
    <w:pPr>
      <w:spacing w:beforeLines="50"/>
      <w:ind w:firstLine="200" w:firstLineChars="200"/>
    </w:pPr>
    <w:rPr>
      <w:rFonts w:ascii="Arial" w:hAnsi="Arial"/>
      <w:kern w:val="0"/>
      <w:sz w:val="24"/>
      <w:szCs w:val="21"/>
    </w:rPr>
  </w:style>
  <w:style w:type="character" w:customStyle="1" w:styleId="114">
    <w:name w:val="标题 9 字符"/>
    <w:link w:val="11"/>
    <w:qFormat/>
    <w:uiPriority w:val="0"/>
    <w:rPr>
      <w:rFonts w:ascii="黑体" w:hAnsi="黑体" w:eastAsia="楷体"/>
      <w:kern w:val="2"/>
      <w:sz w:val="21"/>
    </w:rPr>
  </w:style>
  <w:style w:type="character" w:customStyle="1" w:styleId="115">
    <w:name w:val="bulletintext1"/>
    <w:qFormat/>
    <w:uiPriority w:val="0"/>
    <w:rPr>
      <w:color w:val="000000"/>
      <w:sz w:val="18"/>
    </w:rPr>
  </w:style>
  <w:style w:type="character" w:customStyle="1" w:styleId="116">
    <w:name w:val="无间隔 字符"/>
    <w:link w:val="117"/>
    <w:qFormat/>
    <w:uiPriority w:val="1"/>
    <w:rPr>
      <w:rFonts w:ascii="Calibri" w:hAnsi="Calibri"/>
      <w:sz w:val="22"/>
      <w:szCs w:val="22"/>
      <w:lang w:val="en-US" w:eastAsia="zh-CN" w:bidi="ar-SA"/>
    </w:rPr>
  </w:style>
  <w:style w:type="paragraph" w:styleId="117">
    <w:name w:val="No Spacing"/>
    <w:link w:val="116"/>
    <w:qFormat/>
    <w:uiPriority w:val="1"/>
    <w:rPr>
      <w:rFonts w:ascii="Calibri" w:hAnsi="Calibri" w:eastAsia="宋体" w:cs="Times New Roman"/>
      <w:sz w:val="22"/>
      <w:szCs w:val="22"/>
      <w:lang w:val="en-US" w:eastAsia="zh-CN" w:bidi="ar-SA"/>
    </w:rPr>
  </w:style>
  <w:style w:type="character" w:customStyle="1" w:styleId="118">
    <w:name w:val="正文文本首行缩进 字符"/>
    <w:link w:val="18"/>
    <w:qFormat/>
    <w:uiPriority w:val="0"/>
    <w:rPr>
      <w:kern w:val="2"/>
      <w:sz w:val="21"/>
      <w:szCs w:val="24"/>
    </w:rPr>
  </w:style>
  <w:style w:type="character" w:customStyle="1" w:styleId="119">
    <w:name w:val="段 Char"/>
    <w:qFormat/>
    <w:uiPriority w:val="0"/>
    <w:rPr>
      <w:rFonts w:ascii="宋体" w:eastAsia="宋体"/>
      <w:sz w:val="21"/>
      <w:lang w:val="en-US" w:eastAsia="zh-CN" w:bidi="ar-SA"/>
    </w:rPr>
  </w:style>
  <w:style w:type="character" w:customStyle="1" w:styleId="120">
    <w:name w:val="纯文本 字符"/>
    <w:link w:val="24"/>
    <w:qFormat/>
    <w:uiPriority w:val="0"/>
    <w:rPr>
      <w:rFonts w:ascii="宋体" w:hAnsi="Courier New"/>
    </w:rPr>
  </w:style>
  <w:style w:type="character" w:customStyle="1" w:styleId="121">
    <w:name w:val="批注主题 Char Char"/>
    <w:link w:val="122"/>
    <w:qFormat/>
    <w:uiPriority w:val="0"/>
    <w:rPr>
      <w:rFonts w:ascii="Calibri" w:hAnsi="Calibri"/>
      <w:b/>
      <w:bCs/>
    </w:rPr>
  </w:style>
  <w:style w:type="paragraph" w:customStyle="1" w:styleId="122">
    <w:name w:val="批注主题1"/>
    <w:basedOn w:val="16"/>
    <w:next w:val="16"/>
    <w:link w:val="121"/>
    <w:qFormat/>
    <w:uiPriority w:val="0"/>
    <w:rPr>
      <w:rFonts w:ascii="Calibri" w:hAnsi="Calibri"/>
      <w:b/>
      <w:bCs/>
      <w:kern w:val="0"/>
      <w:sz w:val="20"/>
    </w:rPr>
  </w:style>
  <w:style w:type="character" w:customStyle="1" w:styleId="123">
    <w:name w:val="批注文字 字符"/>
    <w:link w:val="16"/>
    <w:qFormat/>
    <w:uiPriority w:val="0"/>
    <w:rPr>
      <w:rFonts w:eastAsia="宋体"/>
      <w:kern w:val="2"/>
      <w:sz w:val="21"/>
      <w:lang w:val="en-US" w:eastAsia="zh-CN" w:bidi="ar-SA"/>
    </w:rPr>
  </w:style>
  <w:style w:type="character" w:customStyle="1" w:styleId="124">
    <w:name w:val="Char Char121"/>
    <w:qFormat/>
    <w:uiPriority w:val="0"/>
    <w:rPr>
      <w:rFonts w:ascii="Century Gothic" w:hAnsi="楷体_GB2312" w:eastAsia="Century Gothic" w:cs="楷体_GB2312"/>
      <w:kern w:val="2"/>
      <w:sz w:val="21"/>
      <w:szCs w:val="21"/>
      <w:lang w:val="en-US" w:eastAsia="zh-CN" w:bidi="ar-SA"/>
    </w:rPr>
  </w:style>
  <w:style w:type="character" w:customStyle="1" w:styleId="125">
    <w:name w:val="批注文字 Char Char"/>
    <w:qFormat/>
    <w:uiPriority w:val="0"/>
    <w:rPr>
      <w:rFonts w:ascii="Calibri" w:hAnsi="Calibri" w:eastAsia="宋体" w:cs="Times New Roman"/>
    </w:rPr>
  </w:style>
  <w:style w:type="character" w:customStyle="1" w:styleId="126">
    <w:name w:val="style1"/>
    <w:basedOn w:val="47"/>
    <w:qFormat/>
    <w:uiPriority w:val="0"/>
  </w:style>
  <w:style w:type="character" w:customStyle="1" w:styleId="127">
    <w:name w:val="正文文本缩进 2 字符"/>
    <w:link w:val="27"/>
    <w:qFormat/>
    <w:uiPriority w:val="0"/>
    <w:rPr>
      <w:rFonts w:ascii="宋体" w:eastAsia="宋体"/>
      <w:kern w:val="2"/>
      <w:sz w:val="24"/>
      <w:lang w:val="en-US" w:eastAsia="zh-CN" w:bidi="ar-SA"/>
    </w:rPr>
  </w:style>
  <w:style w:type="character" w:customStyle="1" w:styleId="128">
    <w:name w:val="BOD 0 Char1"/>
    <w:qFormat/>
    <w:uiPriority w:val="0"/>
    <w:rPr>
      <w:rFonts w:ascii="Arial" w:hAnsi="Arial" w:eastAsia="宋体" w:cs="Times New Roman"/>
      <w:b/>
      <w:bCs/>
      <w:sz w:val="32"/>
      <w:szCs w:val="32"/>
    </w:rPr>
  </w:style>
  <w:style w:type="character" w:customStyle="1" w:styleId="129">
    <w:name w:val="zbggmain style9"/>
    <w:qFormat/>
    <w:uiPriority w:val="0"/>
    <w:rPr>
      <w:rFonts w:ascii="Courier New" w:eastAsia="Courier New"/>
      <w:b/>
      <w:kern w:val="2"/>
      <w:sz w:val="32"/>
      <w:szCs w:val="32"/>
      <w:lang w:val="en-US" w:eastAsia="zh-CN" w:bidi="ar-SA"/>
    </w:rPr>
  </w:style>
  <w:style w:type="paragraph" w:customStyle="1" w:styleId="13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1">
    <w:name w:val="Char Char9 Char Char"/>
    <w:basedOn w:val="1"/>
    <w:qFormat/>
    <w:uiPriority w:val="0"/>
    <w:pPr>
      <w:ind w:firstLine="200" w:firstLineChars="200"/>
    </w:pPr>
  </w:style>
  <w:style w:type="paragraph" w:customStyle="1" w:styleId="132">
    <w:name w:val="正文图标题"/>
    <w:next w:val="6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二级无"/>
    <w:basedOn w:val="134"/>
    <w:qFormat/>
    <w:uiPriority w:val="0"/>
    <w:rPr>
      <w:rFonts w:ascii="宋体" w:eastAsia="宋体"/>
    </w:rPr>
  </w:style>
  <w:style w:type="paragraph" w:customStyle="1" w:styleId="134">
    <w:name w:val="二级条标题"/>
    <w:basedOn w:val="135"/>
    <w:next w:val="64"/>
    <w:qFormat/>
    <w:uiPriority w:val="0"/>
    <w:pPr>
      <w:spacing w:beforeLines="0" w:afterLines="0"/>
      <w:ind w:left="1236"/>
      <w:outlineLvl w:val="3"/>
    </w:pPr>
  </w:style>
  <w:style w:type="paragraph" w:customStyle="1" w:styleId="135">
    <w:name w:val="一级条标题"/>
    <w:next w:val="64"/>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36">
    <w:name w:val="p21"/>
    <w:basedOn w:val="1"/>
    <w:qFormat/>
    <w:uiPriority w:val="0"/>
    <w:pPr>
      <w:widowControl/>
      <w:jc w:val="left"/>
    </w:pPr>
    <w:rPr>
      <w:rFonts w:ascii="Calibri" w:hAnsi="Calibri" w:cs="宋体"/>
      <w:kern w:val="0"/>
      <w:sz w:val="18"/>
      <w:szCs w:val="18"/>
    </w:rPr>
  </w:style>
  <w:style w:type="paragraph" w:customStyle="1" w:styleId="137">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38">
    <w:name w:val="List Paragraph"/>
    <w:basedOn w:val="1"/>
    <w:qFormat/>
    <w:uiPriority w:val="34"/>
    <w:pPr>
      <w:ind w:firstLine="420" w:firstLineChars="200"/>
    </w:pPr>
    <w:rPr>
      <w:rFonts w:ascii="Calibri" w:hAnsi="Calibri"/>
      <w:szCs w:val="22"/>
    </w:rPr>
  </w:style>
  <w:style w:type="paragraph" w:customStyle="1" w:styleId="139">
    <w:name w:val="样式 表格正文 + 两端对齐"/>
    <w:basedOn w:val="1"/>
    <w:qFormat/>
    <w:uiPriority w:val="0"/>
    <w:pPr>
      <w:spacing w:line="300" w:lineRule="auto"/>
    </w:pPr>
    <w:rPr>
      <w:sz w:val="24"/>
    </w:rPr>
  </w:style>
  <w:style w:type="paragraph" w:customStyle="1" w:styleId="140">
    <w:name w:val="一级无"/>
    <w:basedOn w:val="135"/>
    <w:qFormat/>
    <w:uiPriority w:val="0"/>
    <w:pPr>
      <w:spacing w:beforeLines="0" w:afterLines="0"/>
    </w:pPr>
    <w:rPr>
      <w:rFonts w:ascii="宋体" w:eastAsia="宋体"/>
    </w:rPr>
  </w:style>
  <w:style w:type="paragraph" w:customStyle="1" w:styleId="141">
    <w:name w:val="p18"/>
    <w:basedOn w:val="1"/>
    <w:qFormat/>
    <w:uiPriority w:val="0"/>
    <w:pPr>
      <w:widowControl/>
      <w:ind w:firstLine="420"/>
    </w:pPr>
    <w:rPr>
      <w:rFonts w:ascii="Calibri" w:hAnsi="Calibri" w:cs="宋体"/>
      <w:kern w:val="0"/>
      <w:szCs w:val="21"/>
    </w:rPr>
  </w:style>
  <w:style w:type="paragraph" w:customStyle="1" w:styleId="142">
    <w:name w:val="标书标题2"/>
    <w:basedOn w:val="3"/>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43">
    <w:name w:val="修订1"/>
    <w:semiHidden/>
    <w:qFormat/>
    <w:uiPriority w:val="99"/>
    <w:rPr>
      <w:rFonts w:ascii="Times New Roman" w:hAnsi="Times New Roman" w:eastAsia="宋体" w:cs="Times New Roman"/>
      <w:kern w:val="2"/>
      <w:sz w:val="21"/>
      <w:lang w:val="en-US" w:eastAsia="zh-CN" w:bidi="ar-SA"/>
    </w:rPr>
  </w:style>
  <w:style w:type="paragraph" w:customStyle="1" w:styleId="144">
    <w:name w:val="章标题"/>
    <w:next w:val="6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5">
    <w:name w:val="五级条标题"/>
    <w:basedOn w:val="146"/>
    <w:next w:val="64"/>
    <w:qFormat/>
    <w:uiPriority w:val="0"/>
    <w:pPr>
      <w:outlineLvl w:val="6"/>
    </w:pPr>
  </w:style>
  <w:style w:type="paragraph" w:customStyle="1" w:styleId="146">
    <w:name w:val="四级条标题"/>
    <w:basedOn w:val="147"/>
    <w:next w:val="64"/>
    <w:qFormat/>
    <w:uiPriority w:val="0"/>
    <w:pPr>
      <w:outlineLvl w:val="5"/>
    </w:pPr>
  </w:style>
  <w:style w:type="paragraph" w:customStyle="1" w:styleId="147">
    <w:name w:val="三级条标题"/>
    <w:basedOn w:val="134"/>
    <w:next w:val="64"/>
    <w:qFormat/>
    <w:uiPriority w:val="0"/>
    <w:pPr>
      <w:ind w:left="0"/>
      <w:outlineLvl w:val="4"/>
    </w:pPr>
  </w:style>
  <w:style w:type="paragraph" w:customStyle="1" w:styleId="148">
    <w:name w:val="p0"/>
    <w:basedOn w:val="1"/>
    <w:qFormat/>
    <w:uiPriority w:val="0"/>
    <w:pPr>
      <w:widowControl/>
    </w:pPr>
    <w:rPr>
      <w:rFonts w:ascii="Calibri" w:hAnsi="Calibri" w:cs="宋体"/>
      <w:kern w:val="0"/>
      <w:szCs w:val="21"/>
    </w:rPr>
  </w:style>
  <w:style w:type="paragraph" w:customStyle="1" w:styleId="149">
    <w:name w:val="正文首行缩进1"/>
    <w:basedOn w:val="1"/>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50">
    <w:name w:val="正文文字格式"/>
    <w:basedOn w:val="1"/>
    <w:qFormat/>
    <w:uiPriority w:val="0"/>
    <w:pPr>
      <w:spacing w:line="460" w:lineRule="exact"/>
      <w:ind w:firstLine="505"/>
      <w:jc w:val="left"/>
    </w:pPr>
    <w:rPr>
      <w:rFonts w:ascii="Century Gothic" w:hAnsi="Arial" w:cs="Arial"/>
      <w:kern w:val="24"/>
      <w:sz w:val="24"/>
    </w:rPr>
  </w:style>
  <w:style w:type="paragraph" w:customStyle="1" w:styleId="151">
    <w:name w:val="其他发布日期"/>
    <w:basedOn w:val="1"/>
    <w:qFormat/>
    <w:uiPriority w:val="0"/>
    <w:pPr>
      <w:widowControl/>
      <w:jc w:val="left"/>
    </w:pPr>
    <w:rPr>
      <w:rFonts w:eastAsia="黑体"/>
      <w:kern w:val="0"/>
      <w:sz w:val="28"/>
    </w:rPr>
  </w:style>
  <w:style w:type="paragraph" w:customStyle="1" w:styleId="152">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54">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5">
    <w:name w:val="font1"/>
    <w:basedOn w:val="1"/>
    <w:qFormat/>
    <w:uiPriority w:val="0"/>
    <w:pPr>
      <w:widowControl/>
      <w:spacing w:before="100" w:beforeAutospacing="1" w:after="100" w:afterAutospacing="1"/>
      <w:jc w:val="left"/>
    </w:pPr>
    <w:rPr>
      <w:rFonts w:ascii="Century Gothic" w:hAnsi="Century Gothic" w:cs="Arial"/>
      <w:kern w:val="0"/>
      <w:sz w:val="24"/>
    </w:rPr>
  </w:style>
  <w:style w:type="paragraph" w:customStyle="1" w:styleId="156">
    <w:name w:val="List Paragraph1"/>
    <w:basedOn w:val="1"/>
    <w:qFormat/>
    <w:uiPriority w:val="0"/>
    <w:pPr>
      <w:ind w:firstLine="420" w:firstLineChars="200"/>
    </w:pPr>
    <w:rPr>
      <w:rFonts w:ascii="Calibri" w:hAnsi="Calibri"/>
      <w:szCs w:val="22"/>
    </w:rPr>
  </w:style>
  <w:style w:type="paragraph" w:customStyle="1" w:styleId="157">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8">
    <w:name w:val="p16"/>
    <w:basedOn w:val="1"/>
    <w:qFormat/>
    <w:uiPriority w:val="0"/>
    <w:pPr>
      <w:widowControl/>
      <w:ind w:firstLine="420"/>
    </w:pPr>
    <w:rPr>
      <w:rFonts w:ascii="Calibri" w:hAnsi="Calibri" w:cs="宋体"/>
      <w:kern w:val="0"/>
      <w:szCs w:val="21"/>
    </w:rPr>
  </w:style>
  <w:style w:type="paragraph" w:customStyle="1" w:styleId="159">
    <w:name w:val="Char Char Char Char Char Char Char Char"/>
    <w:basedOn w:val="1"/>
    <w:qFormat/>
    <w:uiPriority w:val="0"/>
    <w:pPr>
      <w:tabs>
        <w:tab w:val="left" w:pos="360"/>
      </w:tabs>
    </w:pPr>
    <w:rPr>
      <w:rFonts w:ascii="Calibri" w:hAnsi="Calibri"/>
    </w:rPr>
  </w:style>
  <w:style w:type="paragraph" w:customStyle="1" w:styleId="160">
    <w:name w:val="1."/>
    <w:basedOn w:val="1"/>
    <w:qFormat/>
    <w:uiPriority w:val="0"/>
    <w:pPr>
      <w:spacing w:line="360" w:lineRule="auto"/>
      <w:ind w:firstLine="480" w:firstLineChars="200"/>
    </w:pPr>
    <w:rPr>
      <w:rFonts w:ascii="宋体" w:hAnsi="宋体"/>
      <w:sz w:val="24"/>
      <w:szCs w:val="24"/>
    </w:rPr>
  </w:style>
  <w:style w:type="paragraph" w:customStyle="1" w:styleId="161">
    <w:name w:val="Char Char Char Char"/>
    <w:basedOn w:val="1"/>
    <w:qFormat/>
    <w:uiPriority w:val="0"/>
    <w:rPr>
      <w:rFonts w:ascii="Arial" w:hAnsi="Arial"/>
    </w:rPr>
  </w:style>
  <w:style w:type="paragraph" w:customStyle="1" w:styleId="162">
    <w:name w:val="Char"/>
    <w:basedOn w:val="1"/>
    <w:qFormat/>
    <w:uiPriority w:val="0"/>
    <w:rPr>
      <w:rFonts w:ascii="Arial" w:hAnsi="Arial" w:cs="Arial"/>
      <w:szCs w:val="24"/>
    </w:rPr>
  </w:style>
  <w:style w:type="paragraph" w:customStyle="1" w:styleId="163">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Char Char Char Char Char Char Char"/>
    <w:basedOn w:val="1"/>
    <w:qFormat/>
    <w:uiPriority w:val="0"/>
    <w:pPr>
      <w:tabs>
        <w:tab w:val="left" w:pos="432"/>
      </w:tabs>
      <w:ind w:left="432" w:hanging="432"/>
    </w:pPr>
    <w:rPr>
      <w:rFonts w:ascii="Tahoma" w:hAnsi="Tahoma"/>
      <w:sz w:val="24"/>
    </w:rPr>
  </w:style>
  <w:style w:type="paragraph" w:customStyle="1" w:styleId="165">
    <w:name w:val="四级无"/>
    <w:basedOn w:val="1"/>
    <w:qFormat/>
    <w:uiPriority w:val="0"/>
    <w:pPr>
      <w:widowControl/>
      <w:tabs>
        <w:tab w:val="left" w:pos="2551"/>
      </w:tabs>
      <w:ind w:left="2551" w:hanging="850"/>
      <w:jc w:val="left"/>
      <w:outlineLvl w:val="5"/>
    </w:pPr>
    <w:rPr>
      <w:rFonts w:ascii="宋体"/>
      <w:kern w:val="0"/>
      <w:szCs w:val="21"/>
    </w:rPr>
  </w:style>
  <w:style w:type="paragraph" w:customStyle="1" w:styleId="166">
    <w:name w:val="正文文本 21"/>
    <w:basedOn w:val="1"/>
    <w:qFormat/>
    <w:uiPriority w:val="0"/>
    <w:pPr>
      <w:adjustRightInd w:val="0"/>
      <w:spacing w:line="300" w:lineRule="auto"/>
      <w:jc w:val="center"/>
    </w:pPr>
    <w:rPr>
      <w:rFonts w:hint="eastAsia" w:ascii="Century Gothic" w:hAnsi="Century Gothic"/>
      <w:sz w:val="24"/>
    </w:rPr>
  </w:style>
  <w:style w:type="paragraph" w:customStyle="1" w:styleId="167">
    <w:name w:val="标书标题4"/>
    <w:basedOn w:val="5"/>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68">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69">
    <w:name w:val="p20"/>
    <w:basedOn w:val="1"/>
    <w:qFormat/>
    <w:uiPriority w:val="0"/>
    <w:pPr>
      <w:widowControl/>
      <w:ind w:firstLine="420"/>
    </w:pPr>
    <w:rPr>
      <w:rFonts w:ascii="Calibri" w:hAnsi="Calibri" w:cs="宋体"/>
      <w:kern w:val="0"/>
      <w:szCs w:val="21"/>
    </w:rPr>
  </w:style>
  <w:style w:type="paragraph" w:customStyle="1" w:styleId="170">
    <w:name w:val="p17"/>
    <w:basedOn w:val="1"/>
    <w:qFormat/>
    <w:uiPriority w:val="0"/>
    <w:pPr>
      <w:widowControl/>
      <w:ind w:firstLine="420"/>
    </w:pPr>
    <w:rPr>
      <w:rFonts w:ascii="Calibri" w:hAnsi="Calibri" w:cs="宋体"/>
      <w:kern w:val="0"/>
      <w:szCs w:val="21"/>
    </w:rPr>
  </w:style>
  <w:style w:type="paragraph" w:customStyle="1" w:styleId="17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2">
    <w:name w:val="正文表标题"/>
    <w:next w:val="64"/>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73">
    <w:name w:val="列出段落1"/>
    <w:basedOn w:val="1"/>
    <w:qFormat/>
    <w:uiPriority w:val="0"/>
    <w:pPr>
      <w:ind w:firstLine="420" w:firstLineChars="200"/>
    </w:pPr>
    <w:rPr>
      <w:rFonts w:ascii="Calibri" w:hAnsi="Calibri"/>
      <w:szCs w:val="22"/>
    </w:rPr>
  </w:style>
  <w:style w:type="paragraph" w:customStyle="1" w:styleId="174">
    <w:name w:val="Char1"/>
    <w:basedOn w:val="1"/>
    <w:qFormat/>
    <w:uiPriority w:val="0"/>
    <w:rPr>
      <w:szCs w:val="24"/>
    </w:rPr>
  </w:style>
  <w:style w:type="paragraph" w:customStyle="1" w:styleId="175">
    <w:name w:val="表头文本"/>
    <w:basedOn w:val="1"/>
    <w:qFormat/>
    <w:uiPriority w:val="0"/>
    <w:pPr>
      <w:autoSpaceDE w:val="0"/>
      <w:autoSpaceDN w:val="0"/>
      <w:adjustRightInd w:val="0"/>
      <w:jc w:val="center"/>
    </w:pPr>
    <w:rPr>
      <w:b/>
      <w:kern w:val="0"/>
      <w:sz w:val="24"/>
    </w:rPr>
  </w:style>
  <w:style w:type="paragraph" w:customStyle="1" w:styleId="176">
    <w:name w:val="正文缩进1"/>
    <w:basedOn w:val="1"/>
    <w:qFormat/>
    <w:uiPriority w:val="0"/>
    <w:pPr>
      <w:ind w:firstLine="420" w:firstLineChars="200"/>
    </w:pPr>
    <w:rPr>
      <w:rFonts w:ascii="Calibri" w:hAnsi="Calibri"/>
      <w:szCs w:val="22"/>
    </w:rPr>
  </w:style>
  <w:style w:type="paragraph" w:customStyle="1" w:styleId="17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8">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0">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标书标题3"/>
    <w:basedOn w:val="4"/>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2">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8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小节"/>
    <w:basedOn w:val="4"/>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8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86">
    <w:name w:val="Char2"/>
    <w:basedOn w:val="1"/>
    <w:qFormat/>
    <w:uiPriority w:val="99"/>
    <w:rPr>
      <w:rFonts w:ascii="Courier New" w:hAnsi="Arial" w:eastAsia="Courier New" w:cs="Arial"/>
      <w:b/>
      <w:sz w:val="32"/>
      <w:szCs w:val="32"/>
    </w:rPr>
  </w:style>
  <w:style w:type="paragraph" w:customStyle="1" w:styleId="187">
    <w:name w:val="Char3 Char Char Char"/>
    <w:basedOn w:val="1"/>
    <w:qFormat/>
    <w:uiPriority w:val="0"/>
    <w:pPr>
      <w:widowControl/>
      <w:spacing w:after="160" w:line="240" w:lineRule="exact"/>
      <w:jc w:val="left"/>
    </w:pPr>
    <w:rPr>
      <w:rFonts w:ascii="Arial" w:hAnsi="Arial" w:cs="Arial"/>
    </w:rPr>
  </w:style>
  <w:style w:type="paragraph" w:customStyle="1" w:styleId="1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9">
    <w:name w:val="正文段"/>
    <w:basedOn w:val="1"/>
    <w:qFormat/>
    <w:uiPriority w:val="99"/>
    <w:pPr>
      <w:widowControl/>
      <w:snapToGrid w:val="0"/>
      <w:spacing w:afterLines="50"/>
      <w:ind w:firstLine="200" w:firstLineChars="200"/>
    </w:pPr>
    <w:rPr>
      <w:rFonts w:ascii="Arial" w:hAnsi="Arial" w:cs="Arial"/>
      <w:kern w:val="0"/>
      <w:sz w:val="24"/>
    </w:rPr>
  </w:style>
  <w:style w:type="paragraph" w:customStyle="1" w:styleId="190">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2">
    <w:name w:val="Body Text 21"/>
    <w:basedOn w:val="1"/>
    <w:qFormat/>
    <w:uiPriority w:val="0"/>
    <w:pPr>
      <w:adjustRightInd w:val="0"/>
      <w:spacing w:line="300" w:lineRule="auto"/>
      <w:jc w:val="center"/>
    </w:pPr>
    <w:rPr>
      <w:rFonts w:hint="eastAsia" w:ascii="Century Gothic" w:hAnsi="Century Gothic" w:cs="Arial"/>
      <w:sz w:val="24"/>
    </w:rPr>
  </w:style>
  <w:style w:type="paragraph" w:customStyle="1" w:styleId="193">
    <w:name w:val="Char3"/>
    <w:basedOn w:val="1"/>
    <w:qFormat/>
    <w:uiPriority w:val="0"/>
    <w:rPr>
      <w:rFonts w:ascii="仿宋_GB2312" w:eastAsia="仿宋_GB2312"/>
      <w:b/>
      <w:sz w:val="32"/>
      <w:szCs w:val="32"/>
    </w:rPr>
  </w:style>
  <w:style w:type="paragraph" w:customStyle="1" w:styleId="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5">
    <w:name w:val="_Style 2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19"/>
    <w:basedOn w:val="1"/>
    <w:qFormat/>
    <w:uiPriority w:val="0"/>
    <w:pPr>
      <w:widowControl/>
      <w:pBdr>
        <w:bottom w:val="single" w:color="000000" w:sz="6" w:space="1"/>
      </w:pBdr>
      <w:jc w:val="center"/>
    </w:pPr>
    <w:rPr>
      <w:rFonts w:ascii="Calibri" w:hAnsi="Calibri" w:cs="宋体"/>
      <w:kern w:val="0"/>
      <w:sz w:val="18"/>
      <w:szCs w:val="18"/>
    </w:rPr>
  </w:style>
  <w:style w:type="paragraph" w:customStyle="1" w:styleId="197">
    <w:name w:val="默认段落字体 Para Char Char Char Char"/>
    <w:basedOn w:val="1"/>
    <w:qFormat/>
    <w:uiPriority w:val="0"/>
    <w:pPr>
      <w:adjustRightInd w:val="0"/>
      <w:spacing w:line="360" w:lineRule="auto"/>
    </w:pPr>
    <w:rPr>
      <w:szCs w:val="24"/>
    </w:rPr>
  </w:style>
  <w:style w:type="paragraph" w:customStyle="1" w:styleId="198">
    <w:name w:val="_Style 61"/>
    <w:basedOn w:val="1"/>
    <w:qFormat/>
    <w:uiPriority w:val="0"/>
    <w:pPr>
      <w:widowControl/>
      <w:spacing w:after="160" w:line="240" w:lineRule="exact"/>
      <w:jc w:val="left"/>
    </w:pPr>
    <w:rPr>
      <w:szCs w:val="24"/>
    </w:rPr>
  </w:style>
  <w:style w:type="paragraph" w:customStyle="1" w:styleId="19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0">
    <w:name w:val="样式5"/>
    <w:basedOn w:val="5"/>
    <w:qFormat/>
    <w:uiPriority w:val="0"/>
    <w:pPr>
      <w:jc w:val="center"/>
    </w:pPr>
    <w:rPr>
      <w:rFonts w:ascii="Century Gothic" w:hAnsi="Century Gothic" w:eastAsia="Century Gothic"/>
      <w:sz w:val="32"/>
      <w:szCs w:val="32"/>
    </w:rPr>
  </w:style>
  <w:style w:type="paragraph" w:customStyle="1" w:styleId="201">
    <w:name w:val="Blockquote"/>
    <w:basedOn w:val="1"/>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2">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03">
    <w:name w:val="目次、标准名称标题"/>
    <w:basedOn w:val="1"/>
    <w:next w:val="64"/>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04">
    <w:name w:val="Char1 Char Char Char"/>
    <w:basedOn w:val="1"/>
    <w:qFormat/>
    <w:uiPriority w:val="0"/>
    <w:rPr>
      <w:rFonts w:ascii="仿宋_GB2312" w:eastAsia="仿宋_GB2312" w:cs="仿宋_GB2312"/>
      <w:b/>
      <w:bCs/>
      <w:sz w:val="32"/>
      <w:szCs w:val="32"/>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8">
    <w:name w:val="p15"/>
    <w:basedOn w:val="1"/>
    <w:qFormat/>
    <w:uiPriority w:val="0"/>
    <w:pPr>
      <w:widowControl/>
      <w:snapToGrid w:val="0"/>
      <w:spacing w:line="360" w:lineRule="auto"/>
      <w:ind w:firstLine="420"/>
      <w:jc w:val="left"/>
    </w:pPr>
    <w:rPr>
      <w:rFonts w:ascii="Arial" w:hAnsi="Arial" w:cs="Arial"/>
      <w:kern w:val="0"/>
      <w:sz w:val="24"/>
      <w:szCs w:val="24"/>
    </w:rPr>
  </w:style>
  <w:style w:type="paragraph" w:customStyle="1" w:styleId="20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210">
    <w:name w:val="font21"/>
    <w:basedOn w:val="47"/>
    <w:qFormat/>
    <w:uiPriority w:val="0"/>
    <w:rPr>
      <w:rFonts w:hint="eastAsia" w:ascii="宋体" w:hAnsi="宋体" w:eastAsia="宋体" w:cs="宋体"/>
      <w:color w:val="000000"/>
      <w:sz w:val="22"/>
      <w:szCs w:val="22"/>
      <w:u w:val="none"/>
    </w:rPr>
  </w:style>
  <w:style w:type="character" w:customStyle="1" w:styleId="211">
    <w:name w:val="font41"/>
    <w:basedOn w:val="47"/>
    <w:qFormat/>
    <w:uiPriority w:val="0"/>
    <w:rPr>
      <w:rFonts w:hint="eastAsia" w:ascii="宋体" w:hAnsi="宋体" w:eastAsia="宋体" w:cs="宋体"/>
      <w:color w:val="000000"/>
      <w:sz w:val="21"/>
      <w:szCs w:val="21"/>
      <w:u w:val="none"/>
    </w:rPr>
  </w:style>
  <w:style w:type="character" w:customStyle="1" w:styleId="212">
    <w:name w:val="font61"/>
    <w:basedOn w:val="47"/>
    <w:qFormat/>
    <w:uiPriority w:val="0"/>
    <w:rPr>
      <w:rFonts w:ascii="仿宋_GB2312" w:eastAsia="仿宋_GB2312" w:cs="仿宋_GB2312"/>
      <w:b/>
      <w:bCs/>
      <w:color w:val="000000"/>
      <w:sz w:val="22"/>
      <w:szCs w:val="22"/>
      <w:u w:val="none"/>
    </w:rPr>
  </w:style>
  <w:style w:type="character" w:customStyle="1" w:styleId="213">
    <w:name w:val="font31"/>
    <w:basedOn w:val="47"/>
    <w:qFormat/>
    <w:uiPriority w:val="0"/>
    <w:rPr>
      <w:rFonts w:hint="default" w:ascii="Times New Roman" w:hAnsi="Times New Roman" w:cs="Times New Roman"/>
      <w:color w:val="000000"/>
      <w:sz w:val="21"/>
      <w:szCs w:val="21"/>
      <w:u w:val="none"/>
    </w:rPr>
  </w:style>
  <w:style w:type="character" w:customStyle="1" w:styleId="214">
    <w:name w:val="font81"/>
    <w:basedOn w:val="47"/>
    <w:qFormat/>
    <w:uiPriority w:val="0"/>
    <w:rPr>
      <w:rFonts w:hint="default" w:ascii="仿宋" w:hAnsi="仿宋" w:eastAsia="仿宋" w:cs="仿宋"/>
      <w:color w:val="000000"/>
      <w:sz w:val="22"/>
      <w:szCs w:val="22"/>
      <w:u w:val="none"/>
    </w:rPr>
  </w:style>
  <w:style w:type="paragraph" w:customStyle="1" w:styleId="215">
    <w:name w:val="Table Text"/>
    <w:basedOn w:val="1"/>
    <w:semiHidden/>
    <w:qFormat/>
    <w:uiPriority w:val="0"/>
    <w:rPr>
      <w:rFonts w:ascii="仿宋" w:hAnsi="仿宋" w:eastAsia="仿宋" w:cs="仿宋"/>
      <w:sz w:val="22"/>
      <w:szCs w:val="22"/>
      <w:lang w:eastAsia="en-US"/>
    </w:rPr>
  </w:style>
  <w:style w:type="paragraph" w:customStyle="1" w:styleId="216">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17">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218">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979BB-9D35-4CFB-AC3D-FC60A3800515}">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70</Pages>
  <Words>5253</Words>
  <Characters>5779</Characters>
  <Lines>1818</Lines>
  <Paragraphs>1915</Paragraphs>
  <TotalTime>88</TotalTime>
  <ScaleCrop>false</ScaleCrop>
  <LinksUpToDate>false</LinksUpToDate>
  <CharactersWithSpaces>5913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2025-06-26T09:01:00Z</dcterms:created>
  <dc:creator>周全</dc:creator>
  <cp:lastModifiedBy>周全</cp:lastModifiedBy>
  <cp:lastPrinted>2025-04-02T05:05:00Z</cp:lastPrinted>
  <dcterms:modified xsi:type="dcterms:W3CDTF">2025-07-02T08:43:31Z</dcterms:modified>
  <dc:title>服务类文件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F7C70037ADF94A98A8721A4F2B475700</vt:lpwstr>
  </property>
  <property fmtid="{D5CDD505-2E9C-101B-9397-08002B2CF9AE}" pid="4" name="KSOTemplateDocerSaveRecord">
    <vt:lpwstr>eyJoZGlkIjoiYzA3MmQ2YmQxNjk3MzEyYjViMWQ0OTFiNDBlNjAxYjgiLCJ1c2VySWQiOiI1MDU1MTU3NTkifQ==</vt:lpwstr>
  </property>
</Properties>
</file>